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pPr>
        <w:pStyle w:val="26"/>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8"/>
        <w:tblW w:w="7943" w:type="dxa"/>
        <w:jc w:val="center"/>
        <w:tblCellSpacing w:w="0" w:type="dxa"/>
        <w:tblLayout w:type="fixed"/>
        <w:tblCellMar>
          <w:top w:w="45" w:type="dxa"/>
          <w:left w:w="45" w:type="dxa"/>
          <w:bottom w:w="45" w:type="dxa"/>
          <w:right w:w="45" w:type="dxa"/>
        </w:tblCellMar>
      </w:tblPr>
      <w:tblGrid>
        <w:gridCol w:w="2723"/>
        <w:gridCol w:w="5220"/>
      </w:tblGrid>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pPr>
              <w:rPr>
                <w:sz w:val="30"/>
                <w:szCs w:val="30"/>
              </w:rPr>
            </w:pPr>
            <w:r>
              <w:rPr>
                <w:rFonts w:hint="eastAsia" w:ascii="宋体" w:hAnsi="宋体"/>
                <w:sz w:val="30"/>
                <w:szCs w:val="30"/>
              </w:rPr>
              <w:t>BAZXCG-2025-00299</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pPr>
              <w:rPr>
                <w:sz w:val="30"/>
                <w:szCs w:val="30"/>
              </w:rPr>
            </w:pPr>
            <w:bookmarkStart w:id="1" w:name="OLE_LINK2"/>
            <w:r>
              <w:rPr>
                <w:rFonts w:hint="eastAsia"/>
                <w:sz w:val="30"/>
                <w:szCs w:val="30"/>
              </w:rPr>
              <w:t>深圳市宝安中学（集团）第二外国语学校</w:t>
            </w:r>
            <w:bookmarkEnd w:id="1"/>
            <w:r>
              <w:rPr>
                <w:rFonts w:hint="eastAsia"/>
                <w:sz w:val="30"/>
                <w:szCs w:val="30"/>
              </w:rPr>
              <w:t>（步涌实验学校）餐厅设备采购</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A</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货物类</w:t>
            </w:r>
            <w:bookmarkStart w:id="141" w:name="_GoBack"/>
            <w:bookmarkEnd w:id="141"/>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公开招标</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人民币</w:t>
            </w:r>
          </w:p>
        </w:tc>
      </w:tr>
      <w:tr>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pPr>
              <w:widowControl/>
              <w:jc w:val="left"/>
              <w:rPr>
                <w:sz w:val="30"/>
                <w:szCs w:val="30"/>
              </w:rPr>
            </w:pPr>
            <w:r>
              <w:rPr>
                <w:rFonts w:ascii="宋体" w:hAnsi="宋体" w:cs="宋体"/>
                <w:kern w:val="0"/>
                <w:sz w:val="30"/>
                <w:szCs w:val="30"/>
                <w:lang w:bidi="ar"/>
              </w:rPr>
              <w:t>综合评分法</w:t>
            </w:r>
          </w:p>
        </w:tc>
      </w:tr>
      <w:bookmarkEnd w:id="0"/>
    </w:tbl>
    <w:p>
      <w:pPr>
        <w:pStyle w:val="16"/>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pPr>
        <w:pStyle w:val="16"/>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8"/>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jc w:val="center"/>
              <w:rPr>
                <w:sz w:val="28"/>
                <w:szCs w:val="28"/>
              </w:rPr>
            </w:pPr>
            <w:r>
              <w:rPr>
                <w:rFonts w:ascii="宋体" w:hAnsi="宋体" w:cs="宋体"/>
                <w:kern w:val="0"/>
                <w:sz w:val="28"/>
                <w:szCs w:val="28"/>
                <w:lang w:bidi="ar"/>
              </w:rPr>
              <w:t>内容</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lang w:val="en-US" w:eastAsia="zh-CN"/>
              </w:rPr>
              <w:t>不得</w:t>
            </w:r>
            <w:r>
              <w:rPr>
                <w:rFonts w:hint="eastAsia"/>
              </w:rPr>
              <w:t>将一个包的内容拆开投标；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2" w:name="_Hlk71832186"/>
            <w:r>
              <w:rPr>
                <w:rFonts w:hint="eastAsia"/>
              </w:rPr>
              <w:t>相应预算金额（或设定的预算金额下的最高限价）</w:t>
            </w:r>
            <w:bookmarkEnd w:id="2"/>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投标文件存在列放位置错误，导致属于信息公开情形的没有被公开；</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投标文件用不属于本公司的电子密钥或电子营业执照进行加密的；</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pPr>
              <w:widowControl/>
              <w:jc w:val="left"/>
              <w:textAlignment w:val="top"/>
              <w:rPr>
                <w:szCs w:val="21"/>
              </w:rPr>
            </w:pPr>
            <w:r>
              <w:rPr>
                <w:rFonts w:hint="eastAsia"/>
              </w:rPr>
              <w:t>法律、法规、规章、规范性文件规定的其他情形。</w:t>
            </w:r>
          </w:p>
        </w:tc>
      </w:tr>
    </w:tbl>
    <w:p>
      <w:pPr>
        <w:pStyle w:val="16"/>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pPr>
        <w:pStyle w:val="16"/>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8"/>
        <w:tblW w:w="9141"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63"/>
        <w:gridCol w:w="618"/>
        <w:gridCol w:w="681"/>
        <w:gridCol w:w="2837"/>
        <w:gridCol w:w="681"/>
        <w:gridCol w:w="4198"/>
        <w:gridCol w:w="63"/>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jc w:val="left"/>
              <w:rPr>
                <w:rFonts w:ascii="宋体"/>
                <w:b/>
                <w:bCs/>
                <w:sz w:val="24"/>
              </w:rPr>
            </w:pPr>
            <w:r>
              <w:rPr>
                <w:b/>
                <w:bCs/>
              </w:rPr>
              <w:t>评标方法：综合评分法</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63" w:type="dxa"/>
          <w:tblCellSpacing w:w="0" w:type="dxa"/>
          <w:jc w:val="center"/>
        </w:trPr>
        <w:tc>
          <w:tcPr>
            <w:tcW w:w="9078" w:type="dxa"/>
            <w:gridSpan w:val="6"/>
            <w:shd w:val="clear" w:color="auto" w:fill="auto"/>
            <w:vAlign w:val="center"/>
          </w:tcPr>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pPr>
              <w:pStyle w:val="16"/>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bookmarkStart w:id="3" w:name="_Hlk72360569"/>
            <w:r>
              <w:rPr>
                <w:rFonts w:ascii="宋体" w:hAnsi="宋体" w:cs="宋体"/>
                <w:b/>
                <w:bCs/>
                <w:kern w:val="0"/>
                <w:sz w:val="24"/>
                <w:lang w:bidi="ar"/>
              </w:rPr>
              <w:t>序号</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评分项</w:t>
            </w:r>
          </w:p>
        </w:tc>
        <w:tc>
          <w:tcPr>
            <w:tcW w:w="4198" w:type="dxa"/>
            <w:tcBorders>
              <w:top w:val="single" w:color="000000" w:sz="8" w:space="0"/>
              <w:left w:val="single" w:color="000000" w:sz="8" w:space="0"/>
              <w:bottom w:val="single" w:color="000000" w:sz="8" w:space="0"/>
              <w:right w:val="single" w:color="000000" w:sz="8" w:space="0"/>
            </w:tcBorders>
            <w:shd w:val="clear" w:color="auto" w:fill="E6EFFA"/>
            <w:vAlign w:val="center"/>
          </w:tcPr>
          <w:p>
            <w:pPr>
              <w:widowControl/>
              <w:wordWrap w:val="0"/>
              <w:jc w:val="center"/>
              <w:rPr>
                <w:b/>
                <w:bCs/>
                <w:sz w:val="24"/>
              </w:rPr>
            </w:pPr>
            <w:r>
              <w:rPr>
                <w:rFonts w:ascii="宋体" w:hAnsi="宋体" w:cs="宋体"/>
                <w:b/>
                <w:bCs/>
                <w:kern w:val="0"/>
                <w:sz w:val="24"/>
                <w:lang w:bidi="ar"/>
              </w:rPr>
              <w:t>权重(%)</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1</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价格</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30</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2</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技术部分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Theme="minorEastAsia"/>
                <w:b/>
                <w:bCs/>
                <w:color w:val="0000FF"/>
                <w:sz w:val="24"/>
                <w:lang w:val="en-US" w:eastAsia="zh-CN"/>
              </w:rPr>
            </w:pPr>
            <w:r>
              <w:rPr>
                <w:rFonts w:hint="eastAsia"/>
                <w:b/>
                <w:bCs/>
                <w:color w:val="0000FF"/>
                <w:sz w:val="24"/>
                <w:lang w:val="en-US" w:eastAsia="zh-CN"/>
              </w:rPr>
              <w:t>59</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ascii="宋体" w:hAnsi="宋体" w:cs="宋体"/>
                <w:kern w:val="0"/>
                <w:szCs w:val="21"/>
                <w:lang w:bidi="ar"/>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b/>
                <w:kern w:val="2"/>
                <w:sz w:val="21"/>
                <w:szCs w:val="21"/>
                <w:lang w:val="en-US" w:eastAsia="zh-CN" w:bidi="ar-SA"/>
              </w:rPr>
            </w:pPr>
            <w:r>
              <w:rPr>
                <w:rFonts w:hint="eastAsia" w:ascii="宋体" w:hAnsi="宋体" w:eastAsia="宋体"/>
                <w:bCs/>
                <w:szCs w:val="21"/>
              </w:rPr>
              <w:t>“▲”参数响应</w:t>
            </w:r>
            <w:r>
              <w:rPr>
                <w:rFonts w:hint="default" w:ascii="宋体" w:hAnsi="宋体" w:eastAsia="宋体"/>
                <w:bCs/>
                <w:szCs w:val="21"/>
              </w:rPr>
              <w:t>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31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（一）评审内容：</w:t>
            </w:r>
          </w:p>
          <w:p>
            <w:pPr>
              <w:snapToGrid w:val="0"/>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考察投标人对招标文件</w:t>
            </w:r>
            <w:r>
              <w:rPr>
                <w:rFonts w:hint="eastAsia" w:ascii="宋体" w:hAnsi="宋体" w:eastAsia="宋体" w:cs="宋体"/>
                <w:b/>
                <w:bCs/>
                <w:color w:val="auto"/>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color w:val="auto"/>
                <w:kern w:val="0"/>
                <w:szCs w:val="21"/>
                <w:highlight w:val="none"/>
              </w:rPr>
              <w:t>内容中的</w:t>
            </w:r>
            <w:r>
              <w:rPr>
                <w:rFonts w:hint="eastAsia" w:ascii="宋体" w:hAnsi="宋体" w:eastAsia="宋体" w:cs="宋体"/>
                <w:b/>
                <w:bCs/>
                <w:color w:val="auto"/>
                <w:kern w:val="0"/>
                <w:szCs w:val="21"/>
                <w:highlight w:val="none"/>
              </w:rPr>
              <w:t>“▲”参数响应</w:t>
            </w:r>
            <w:r>
              <w:rPr>
                <w:rFonts w:hint="eastAsia" w:ascii="宋体" w:hAnsi="宋体" w:eastAsia="宋体" w:cs="宋体"/>
                <w:color w:val="auto"/>
                <w:kern w:val="0"/>
                <w:szCs w:val="21"/>
                <w:highlight w:val="none"/>
              </w:rPr>
              <w:t>情况。</w:t>
            </w:r>
          </w:p>
          <w:p>
            <w:pPr>
              <w:snapToGrid w:val="0"/>
              <w:rPr>
                <w:rFonts w:hint="eastAsia" w:ascii="宋体" w:hAnsi="宋体" w:eastAsia="宋体" w:cs="宋体"/>
                <w:color w:val="0000FF"/>
                <w:kern w:val="0"/>
                <w:szCs w:val="21"/>
                <w:highlight w:val="none"/>
                <w:lang w:eastAsia="zh-CN"/>
              </w:rPr>
            </w:pPr>
            <w:r>
              <w:rPr>
                <w:rFonts w:hint="eastAsia" w:ascii="宋体" w:hAnsi="宋体" w:eastAsia="宋体" w:cs="宋体"/>
                <w:color w:val="0000FF"/>
                <w:kern w:val="0"/>
                <w:szCs w:val="21"/>
                <w:highlight w:val="none"/>
              </w:rPr>
              <w:t>（二）评审依据：</w:t>
            </w:r>
          </w:p>
          <w:p>
            <w:pPr>
              <w:snapToGrid w:val="0"/>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以投标文件《技术要求偏离表》为评审依据，完全符合招标要求的，得100分。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1项“▲”参数不符合招标要求（或缺漏）的扣14.29分，最低得0分。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Cs w:val="21"/>
                <w:lang w:val="en-US" w:eastAsia="zh-CN" w:bidi="ar"/>
              </w:rPr>
            </w:pPr>
            <w:r>
              <w:rPr>
                <w:rFonts w:hint="eastAsia" w:ascii="宋体" w:hAnsi="宋体" w:cs="宋体"/>
                <w:kern w:val="0"/>
                <w:szCs w:val="21"/>
                <w:lang w:val="en-US" w:eastAsia="zh-CN" w:bidi="ar"/>
              </w:rPr>
              <w:t>2</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szCs w:val="21"/>
              </w:rPr>
              <w:t>非“</w:t>
            </w:r>
            <w:r>
              <w:rPr>
                <w:rFonts w:hint="eastAsia" w:ascii="宋体" w:hAnsi="宋体" w:eastAsia="宋体"/>
                <w:bCs/>
                <w:szCs w:val="21"/>
              </w:rPr>
              <w:t>▲”参数</w:t>
            </w:r>
            <w:r>
              <w:rPr>
                <w:rFonts w:hint="eastAsia" w:ascii="宋体" w:hAnsi="宋体" w:eastAsia="宋体"/>
                <w:szCs w:val="21"/>
              </w:rPr>
              <w:t>响应情况评价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eastAsiaTheme="minorEastAsia"/>
                <w:szCs w:val="21"/>
                <w:lang w:val="en-US" w:eastAsia="zh-CN"/>
              </w:rPr>
            </w:pPr>
            <w:r>
              <w:rPr>
                <w:rFonts w:hint="eastAsia"/>
                <w:szCs w:val="21"/>
                <w:lang w:val="en-US" w:eastAsia="zh-CN"/>
              </w:rPr>
              <w:t>13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考察投标人对招标文件</w:t>
            </w:r>
            <w:r>
              <w:rPr>
                <w:rFonts w:hint="eastAsia" w:ascii="宋体" w:hAnsi="宋体" w:eastAsia="宋体" w:cs="宋体"/>
                <w:b/>
                <w:bCs/>
                <w:kern w:val="0"/>
                <w:szCs w:val="21"/>
                <w:highlight w:val="none"/>
              </w:rPr>
              <w:t>《第一册 专用条款 第三章 用户需求书：</w:t>
            </w:r>
            <w:r>
              <w:rPr>
                <w:rFonts w:hint="eastAsia" w:ascii="宋体" w:hAnsi="宋体" w:cs="宋体"/>
                <w:b/>
                <w:bCs/>
                <w:color w:val="auto"/>
                <w:kern w:val="0"/>
                <w:szCs w:val="21"/>
                <w:highlight w:val="none"/>
                <w:lang w:val="en-US" w:eastAsia="zh-CN"/>
              </w:rPr>
              <w:t>四</w:t>
            </w:r>
            <w:r>
              <w:rPr>
                <w:rFonts w:hint="eastAsia" w:ascii="宋体" w:hAnsi="宋体" w:eastAsia="宋体" w:cs="宋体"/>
                <w:b/>
                <w:bCs/>
                <w:color w:val="auto"/>
                <w:kern w:val="0"/>
                <w:szCs w:val="21"/>
                <w:highlight w:val="none"/>
              </w:rPr>
              <w:t>、技术要求</w:t>
            </w:r>
            <w:r>
              <w:rPr>
                <w:rFonts w:hint="eastAsia" w:ascii="宋体" w:hAnsi="宋体" w:eastAsia="宋体" w:cs="宋体"/>
                <w:b/>
                <w:bCs/>
                <w:kern w:val="0"/>
                <w:szCs w:val="21"/>
                <w:highlight w:val="none"/>
              </w:rPr>
              <w:t>》</w:t>
            </w:r>
            <w:r>
              <w:rPr>
                <w:rFonts w:hint="eastAsia" w:ascii="宋体" w:hAnsi="宋体" w:eastAsia="宋体" w:cs="宋体"/>
                <w:kern w:val="0"/>
                <w:szCs w:val="21"/>
                <w:highlight w:val="none"/>
              </w:rPr>
              <w:t>内容中的</w:t>
            </w:r>
            <w:r>
              <w:rPr>
                <w:rFonts w:hint="eastAsia" w:ascii="宋体" w:hAnsi="宋体" w:eastAsia="宋体" w:cs="宋体"/>
                <w:b/>
                <w:kern w:val="0"/>
                <w:szCs w:val="21"/>
                <w:highlight w:val="none"/>
              </w:rPr>
              <w:t>非“▲”参数响应</w:t>
            </w:r>
            <w:r>
              <w:rPr>
                <w:rFonts w:hint="eastAsia" w:ascii="宋体" w:hAnsi="宋体" w:eastAsia="宋体" w:cs="宋体"/>
                <w:kern w:val="0"/>
                <w:szCs w:val="21"/>
                <w:highlight w:val="none"/>
              </w:rPr>
              <w:t>情况。</w:t>
            </w:r>
          </w:p>
          <w:p>
            <w:pPr>
              <w:keepNext w:val="0"/>
              <w:keepLines w:val="0"/>
              <w:suppressLineNumbers w:val="0"/>
              <w:spacing w:before="0" w:beforeAutospacing="0" w:after="0" w:afterAutospacing="0" w:line="300" w:lineRule="exact"/>
              <w:ind w:left="0" w:right="0"/>
              <w:rPr>
                <w:rFonts w:hint="default" w:ascii="宋体" w:hAnsi="宋体" w:eastAsia="宋体" w:cs="宋体"/>
                <w:color w:val="0000FF"/>
                <w:szCs w:val="21"/>
                <w:highlight w:val="none"/>
              </w:rPr>
            </w:pPr>
            <w:r>
              <w:rPr>
                <w:rFonts w:hint="eastAsia" w:ascii="宋体" w:hAnsi="宋体" w:eastAsia="宋体" w:cs="宋体"/>
                <w:color w:val="0000FF"/>
                <w:szCs w:val="21"/>
                <w:highlight w:val="none"/>
              </w:rPr>
              <w:t>（二）评审依据：</w:t>
            </w:r>
          </w:p>
          <w:p>
            <w:pPr>
              <w:autoSpaceDE w:val="0"/>
              <w:autoSpaceDN w:val="0"/>
              <w:adjustRightInd w:val="0"/>
              <w:spacing w:line="300" w:lineRule="exact"/>
              <w:jc w:val="left"/>
              <w:rPr>
                <w:rFonts w:hint="eastAsia" w:ascii="宋体" w:hAnsi="宋体" w:eastAsia="宋体" w:cs="宋体"/>
                <w:kern w:val="2"/>
                <w:sz w:val="21"/>
                <w:szCs w:val="21"/>
                <w:lang w:val="en-US" w:eastAsia="zh-CN" w:bidi="ar-SA"/>
              </w:rPr>
            </w:pPr>
            <w:r>
              <w:rPr>
                <w:rFonts w:hint="eastAsia" w:ascii="宋体" w:hAnsi="宋体" w:eastAsia="宋体" w:cs="宋体"/>
                <w:color w:val="0000FF"/>
                <w:kern w:val="0"/>
                <w:szCs w:val="21"/>
                <w:highlight w:val="none"/>
              </w:rPr>
              <w:t>以投标文件《技术</w:t>
            </w:r>
            <w:r>
              <w:rPr>
                <w:rFonts w:hint="eastAsia" w:ascii="宋体" w:hAnsi="宋体" w:eastAsia="宋体" w:cs="宋体"/>
                <w:color w:val="0000FF"/>
                <w:kern w:val="0"/>
                <w:szCs w:val="21"/>
                <w:highlight w:val="none"/>
                <w:lang w:val="en-US" w:eastAsia="zh-CN"/>
              </w:rPr>
              <w:t>要求</w:t>
            </w:r>
            <w:r>
              <w:rPr>
                <w:rFonts w:hint="eastAsia" w:ascii="宋体" w:hAnsi="宋体" w:eastAsia="宋体" w:cs="宋体"/>
                <w:color w:val="0000FF"/>
                <w:kern w:val="0"/>
                <w:szCs w:val="21"/>
                <w:highlight w:val="none"/>
              </w:rPr>
              <w:t>偏离表》为评审依据，完全符合招标要求的，得100分。</w:t>
            </w:r>
            <w:r>
              <w:rPr>
                <w:rFonts w:hint="eastAsia" w:ascii="宋体" w:hAnsi="宋体" w:cs="宋体"/>
                <w:color w:val="0000FF"/>
                <w:kern w:val="0"/>
                <w:szCs w:val="21"/>
                <w:highlight w:val="none"/>
                <w:lang w:val="en-US" w:eastAsia="zh-CN"/>
              </w:rPr>
              <w:t>每</w:t>
            </w:r>
            <w:r>
              <w:rPr>
                <w:rFonts w:hint="eastAsia" w:ascii="宋体" w:hAnsi="宋体" w:eastAsia="宋体" w:cs="宋体"/>
                <w:color w:val="0000FF"/>
                <w:kern w:val="0"/>
                <w:szCs w:val="21"/>
                <w:highlight w:val="none"/>
              </w:rPr>
              <w:t>1项非“▲”参数不符合招标要求（或缺漏）的扣</w:t>
            </w:r>
            <w:r>
              <w:rPr>
                <w:rFonts w:hint="eastAsia" w:ascii="宋体" w:hAnsi="宋体" w:eastAsia="宋体" w:cs="宋体"/>
                <w:color w:val="0000FF"/>
                <w:kern w:val="0"/>
                <w:szCs w:val="21"/>
                <w:highlight w:val="none"/>
                <w:lang w:val="en-US" w:eastAsia="zh-CN"/>
              </w:rPr>
              <w:t>1.93</w:t>
            </w:r>
            <w:r>
              <w:rPr>
                <w:rFonts w:hint="eastAsia" w:ascii="宋体" w:hAnsi="宋体" w:eastAsia="宋体" w:cs="宋体"/>
                <w:color w:val="0000FF"/>
                <w:kern w:val="0"/>
                <w:szCs w:val="21"/>
                <w:highlight w:val="none"/>
              </w:rPr>
              <w:t>分，最低得0分。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eastAsia="宋体" w:cs="宋体"/>
                <w:kern w:val="0"/>
                <w:sz w:val="21"/>
                <w:szCs w:val="21"/>
                <w:lang w:val="en-US" w:eastAsia="zh-CN" w:bidi="ar"/>
              </w:rPr>
            </w:pPr>
            <w:r>
              <w:rPr>
                <w:rFonts w:hint="eastAsia" w:ascii="宋体" w:hAnsi="宋体" w:cs="宋体"/>
                <w:kern w:val="0"/>
                <w:szCs w:val="21"/>
                <w:lang w:val="en-US" w:eastAsia="zh-CN" w:bidi="ar"/>
              </w:rPr>
              <w:t>3</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政府采购节能环保产品</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宋体" w:asciiTheme="minorHAnsi" w:hAnsiTheme="minorHAnsi" w:cstheme="minorBidi"/>
                <w:kern w:val="2"/>
                <w:sz w:val="21"/>
                <w:szCs w:val="21"/>
                <w:lang w:val="en-US" w:eastAsia="zh-CN" w:bidi="ar-SA"/>
              </w:rPr>
            </w:pPr>
            <w:r>
              <w:rPr>
                <w:rFonts w:hint="eastAsia"/>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根据《关于印发节能产品政府采购品目清单的通知》（财库〔2019〕19号）以及《关于印发环境标志产品政府采购品目清单的通知》（财库〔2019〕18号）的要求，投标人所投任一产品（以第三章 用户需求书 二、货物需求明细中“货物名称”为准）被列入节能产品政府采购品目清单（政府强制采购产品除外）或环境标志产品政府采购品目清单的得100分。</w:t>
            </w:r>
          </w:p>
          <w:p>
            <w:pPr>
              <w:keepNext w:val="0"/>
              <w:keepLines w:val="0"/>
              <w:suppressLineNumbers w:val="0"/>
              <w:spacing w:before="0" w:beforeAutospacing="0" w:after="0" w:afterAutospacing="0" w:line="300" w:lineRule="exact"/>
              <w:ind w:left="0" w:right="0"/>
              <w:rPr>
                <w:rFonts w:hint="eastAsia" w:ascii="宋体" w:hAnsi="宋体" w:eastAsia="宋体" w:cs="宋体"/>
                <w:kern w:val="2"/>
                <w:sz w:val="21"/>
                <w:szCs w:val="21"/>
                <w:lang w:val="en-US" w:eastAsia="zh-CN" w:bidi="ar-SA"/>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需提供依据《市场监管总局关于发布参与实施政府采购节能产品、环境标志产品认证机构名录的公告》（2019年第16号）确定的认证机构出具的、处于有效期之内的节能产品、环境标志产品认证证书扫描件，原件备查。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4</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rPr>
              <w:t>绿色采购</w:t>
            </w:r>
            <w:r>
              <w:rPr>
                <w:rFonts w:hint="eastAsia" w:ascii="宋体" w:hAnsi="宋体" w:eastAsia="宋体" w:cs="宋体"/>
                <w:sz w:val="21"/>
                <w:szCs w:val="21"/>
                <w:lang w:val="en-US" w:eastAsia="zh-CN"/>
              </w:rPr>
              <w:t>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Theme="minorHAnsi" w:hAnsiTheme="minorHAnsi" w:eastAsiaTheme="minorEastAsia" w:cstheme="minorBidi"/>
                <w:kern w:val="2"/>
                <w:sz w:val="21"/>
                <w:szCs w:val="21"/>
                <w:lang w:val="en-US" w:eastAsia="zh-CN" w:bidi="ar-SA"/>
              </w:rPr>
            </w:pPr>
            <w:r>
              <w:rPr>
                <w:rFonts w:hint="eastAsia" w:ascii="Times New Roman" w:eastAsia="宋体"/>
                <w:szCs w:val="21"/>
                <w:lang w:val="en-US" w:eastAsia="zh-CN"/>
              </w:rPr>
              <w:t>1</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top"/>
          </w:tcPr>
          <w:p>
            <w:pPr>
              <w:keepNext w:val="0"/>
              <w:keepLines w:val="0"/>
              <w:widowControl/>
              <w:suppressLineNumbers w:val="0"/>
              <w:spacing w:before="0" w:beforeAutospacing="0" w:after="0" w:afterAutospacing="0" w:line="300" w:lineRule="exact"/>
              <w:ind w:left="0" w:right="0"/>
              <w:jc w:val="left"/>
              <w:rPr>
                <w:rFonts w:hint="default" w:ascii="宋体" w:hAnsi="宋体" w:eastAsia="宋体" w:cs="宋体"/>
                <w:kern w:val="0"/>
                <w:szCs w:val="21"/>
                <w:highlight w:val="none"/>
              </w:rPr>
            </w:pPr>
            <w:r>
              <w:rPr>
                <w:rFonts w:hint="eastAsia" w:ascii="宋体" w:hAnsi="宋体" w:eastAsia="宋体" w:cs="宋体"/>
                <w:kern w:val="0"/>
                <w:szCs w:val="21"/>
                <w:highlight w:val="none"/>
              </w:rPr>
              <w:t>（一）评审内容：</w:t>
            </w:r>
          </w:p>
          <w:p>
            <w:pPr>
              <w:snapToGrid w:val="0"/>
              <w:ind w:firstLine="420" w:firstLineChars="200"/>
              <w:jc w:val="both"/>
              <w:rPr>
                <w:rFonts w:hint="eastAsia"/>
                <w:szCs w:val="21"/>
              </w:rPr>
            </w:pPr>
            <w:r>
              <w:rPr>
                <w:rFonts w:hint="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pPr>
              <w:keepNext w:val="0"/>
              <w:keepLines w:val="0"/>
              <w:suppressLineNumbers w:val="0"/>
              <w:spacing w:before="0" w:beforeAutospacing="0" w:after="0" w:afterAutospacing="0" w:line="300" w:lineRule="exact"/>
              <w:ind w:left="0" w:right="0"/>
              <w:rPr>
                <w:rFonts w:hint="default" w:ascii="宋体" w:hAnsi="宋体" w:eastAsia="宋体" w:cs="宋体"/>
                <w:kern w:val="0"/>
                <w:szCs w:val="21"/>
                <w:highlight w:val="none"/>
              </w:rPr>
            </w:pPr>
            <w:r>
              <w:rPr>
                <w:rFonts w:hint="eastAsia" w:ascii="宋体" w:hAnsi="宋体" w:eastAsia="宋体" w:cs="宋体"/>
                <w:color w:val="0000FF"/>
                <w:szCs w:val="21"/>
                <w:highlight w:val="none"/>
              </w:rPr>
              <w:t>（二）评审依据：</w:t>
            </w:r>
          </w:p>
          <w:p>
            <w:pPr>
              <w:snapToGrid w:val="0"/>
              <w:ind w:firstLine="420" w:firstLineChars="200"/>
              <w:jc w:val="both"/>
              <w:rPr>
                <w:rFonts w:hint="eastAsia" w:ascii="宋体" w:hAnsi="宋体" w:eastAsia="宋体" w:cs="宋体"/>
                <w:color w:val="0000FF"/>
                <w:kern w:val="2"/>
                <w:sz w:val="21"/>
                <w:szCs w:val="21"/>
                <w:lang w:val="en-US" w:eastAsia="zh-CN" w:bidi="ar-SA"/>
              </w:rPr>
            </w:pPr>
            <w:r>
              <w:rPr>
                <w:rFonts w:hint="eastAsia" w:ascii="宋体" w:hAnsi="宋体" w:eastAsia="宋体" w:cs="宋体"/>
                <w:color w:val="0000FF"/>
                <w:szCs w:val="21"/>
                <w:highlight w:val="none"/>
              </w:rPr>
              <w:t>投标人提供符合相关要求的承诺函</w:t>
            </w:r>
            <w:r>
              <w:rPr>
                <w:rFonts w:hint="eastAsia" w:ascii="宋体" w:hAnsi="宋体" w:eastAsia="宋体" w:cs="宋体"/>
                <w:color w:val="0000FF"/>
                <w:szCs w:val="21"/>
                <w:highlight w:val="none"/>
                <w:lang w:val="en-US" w:eastAsia="zh-CN"/>
              </w:rPr>
              <w:t>得100分</w:t>
            </w:r>
            <w:r>
              <w:rPr>
                <w:rFonts w:hint="eastAsia" w:ascii="宋体" w:hAnsi="宋体" w:eastAsia="宋体" w:cs="宋体"/>
                <w:color w:val="0000FF"/>
                <w:szCs w:val="21"/>
                <w:highlight w:val="none"/>
              </w:rPr>
              <w:t>（格式自定，</w:t>
            </w:r>
            <w:r>
              <w:rPr>
                <w:rFonts w:hint="eastAsia" w:ascii="宋体" w:hAnsi="宋体" w:eastAsia="宋体" w:cs="宋体"/>
                <w:color w:val="0000FF"/>
                <w:szCs w:val="21"/>
                <w:highlight w:val="none"/>
                <w:lang w:val="en-US" w:eastAsia="zh-CN"/>
              </w:rPr>
              <w:t>应在《自行采购投标及履约承诺函》外另起承诺函）可视为符合规定，</w:t>
            </w:r>
            <w:r>
              <w:rPr>
                <w:rFonts w:hint="eastAsia" w:ascii="宋体" w:hAnsi="宋体" w:eastAsia="宋体" w:cs="宋体"/>
                <w:color w:val="0000FF"/>
                <w:szCs w:val="21"/>
                <w:highlight w:val="none"/>
              </w:rPr>
              <w:t>无需提供检测报告、认证报告。未提供或不符合的不得分。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eastAsia="宋体" w:cs="宋体"/>
                <w:kern w:val="0"/>
                <w:szCs w:val="21"/>
                <w:lang w:val="en-US" w:eastAsia="zh-CN" w:bidi="ar"/>
              </w:rPr>
            </w:pPr>
            <w:r>
              <w:rPr>
                <w:rFonts w:hint="eastAsia" w:ascii="宋体" w:hAnsi="宋体" w:eastAsia="宋体" w:cs="宋体"/>
                <w:kern w:val="0"/>
                <w:szCs w:val="21"/>
                <w:lang w:val="en-US" w:eastAsia="zh-CN" w:bidi="ar"/>
              </w:rPr>
              <w:t>5</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项目组织实施方案的评价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default" w:eastAsia="宋体"/>
                <w:sz w:val="21"/>
                <w:szCs w:val="21"/>
                <w:lang w:val="en-US" w:eastAsia="zh-CN"/>
              </w:rPr>
            </w:pPr>
            <w:r>
              <w:rPr>
                <w:rFonts w:hint="eastAsia" w:ascii="宋体" w:hAnsi="宋体" w:eastAsia="宋体" w:cs="宋体"/>
                <w:kern w:val="0"/>
                <w:sz w:val="21"/>
                <w:szCs w:val="21"/>
                <w:lang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（一）评审内容：</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投标人提供本项目的组织实施方案，方案中应包含</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1、项目进度计划安排</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 xml:space="preserve"> </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2、施工组织计划</w:t>
            </w:r>
            <w:r>
              <w:rPr>
                <w:rFonts w:hint="eastAsia" w:ascii="宋体" w:hAnsi="宋体" w:eastAsia="宋体" w:cs="宋体"/>
                <w:kern w:val="0"/>
                <w:sz w:val="21"/>
                <w:szCs w:val="21"/>
                <w:lang w:eastAsia="zh-CN" w:bidi="ar"/>
              </w:rPr>
              <w:t>；</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3、验收组织计划</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 xml:space="preserve"> </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0"/>
                <w:sz w:val="21"/>
                <w:szCs w:val="21"/>
                <w:lang w:eastAsia="zh-CN" w:bidi="ar"/>
              </w:rPr>
            </w:pPr>
            <w:r>
              <w:rPr>
                <w:rFonts w:hint="eastAsia" w:ascii="宋体" w:hAnsi="宋体" w:eastAsia="宋体" w:cs="宋体"/>
                <w:kern w:val="0"/>
                <w:sz w:val="21"/>
                <w:szCs w:val="21"/>
                <w:lang w:bidi="ar"/>
              </w:rPr>
              <w:t>4、产品培训方案</w:t>
            </w:r>
            <w:r>
              <w:rPr>
                <w:rFonts w:hint="eastAsia" w:ascii="宋体" w:hAnsi="宋体" w:eastAsia="宋体" w:cs="宋体"/>
                <w:kern w:val="0"/>
                <w:sz w:val="21"/>
                <w:szCs w:val="21"/>
                <w:lang w:eastAsia="zh-CN" w:bidi="ar"/>
              </w:rPr>
              <w:t>；</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（二）评审标准：</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方案中含有上述一个内容得15分</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最高得60分</w:t>
            </w:r>
            <w:r>
              <w:rPr>
                <w:rFonts w:hint="eastAsia" w:ascii="宋体" w:hAnsi="宋体" w:eastAsia="宋体" w:cs="宋体"/>
                <w:kern w:val="0"/>
                <w:sz w:val="21"/>
                <w:szCs w:val="21"/>
                <w:lang w:bidi="ar"/>
              </w:rPr>
              <w:t>。</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 xml:space="preserve">在此基础上，对方案的合理性、可行性进行打分。 </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1、方案清晰周密、合理可行、表述完整、方法得当、技术先进、符合相关规范要求得40分。</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 xml:space="preserve">2、方案基本可行表述基本完整得20分。 </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3、未提供或方案计划不切合本项目的实际情况、合理完善性差、可行性差的对应项不得分。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ascii="宋体" w:hAnsi="宋体" w:cs="宋体" w:eastAsiaTheme="minorEastAsia"/>
                <w:kern w:val="0"/>
                <w:sz w:val="21"/>
                <w:szCs w:val="21"/>
                <w:lang w:val="en-US" w:eastAsia="zh-CN" w:bidi="ar"/>
              </w:rPr>
            </w:pPr>
            <w:r>
              <w:rPr>
                <w:rFonts w:hint="eastAsia" w:ascii="宋体" w:hAnsi="宋体" w:cs="宋体"/>
                <w:kern w:val="0"/>
                <w:szCs w:val="21"/>
                <w:lang w:val="en-US" w:eastAsia="zh-CN" w:bidi="ar"/>
              </w:rPr>
              <w:t>6</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kern w:val="0"/>
                <w:sz w:val="21"/>
                <w:szCs w:val="21"/>
                <w:lang w:bidi="ar"/>
              </w:rPr>
              <w:t>设计图评价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heme="minorHAnsi" w:hAnsiTheme="minorHAnsi" w:eastAsiaTheme="minorEastAsia" w:cstheme="minorBidi"/>
                <w:kern w:val="2"/>
                <w:sz w:val="21"/>
                <w:szCs w:val="21"/>
                <w:lang w:val="en-US" w:eastAsia="zh-CN" w:bidi="ar-SA"/>
              </w:rPr>
            </w:pPr>
            <w:r>
              <w:rPr>
                <w:rFonts w:hint="eastAsia" w:ascii="宋体" w:hAnsi="宋体" w:eastAsia="宋体" w:cs="宋体"/>
                <w:kern w:val="0"/>
                <w:sz w:val="21"/>
                <w:szCs w:val="21"/>
                <w:lang w:bidi="ar"/>
              </w:rPr>
              <w:t>3</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 xml:space="preserve">（一）评审内容： </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根据投标人提供的设计方案进行评价：</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1、场所平面布置图；</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2、场所效果图；</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（二）评审依据：</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 xml:space="preserve">1、满足上述任意一项的得30分，最高得60分。 </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2、在上述基础上，由评审委员会对具体响应内容进一步评审：</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1、内容完整，设计合理、实用性强，图片清晰、整体效果完全符合实际需求的评价为优，得40分；</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2、内容完整，设计较为合理、实用性一般，图片清晰、整体效果基本符合实际需求的评价为良，得20分；</w:t>
            </w:r>
          </w:p>
          <w:p>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3、内容基本完整，设计合理性较差、实用性较差，图片清晰、整体效果不符合实际需求的评价为中，得10分；</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kern w:val="0"/>
                <w:sz w:val="21"/>
                <w:szCs w:val="21"/>
                <w:lang w:bidi="ar"/>
              </w:rPr>
              <w:t>4、未按要求提供或提供的材料不能证明相关情况的或提供不清晰导致专家无法判断的不得分。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default" w:ascii="宋体" w:hAnsi="宋体" w:cs="宋体"/>
                <w:kern w:val="0"/>
                <w:szCs w:val="21"/>
                <w:lang w:val="en-US" w:eastAsia="zh-CN" w:bidi="ar"/>
              </w:rPr>
            </w:pPr>
            <w:r>
              <w:rPr>
                <w:rFonts w:hint="eastAsia" w:ascii="宋体" w:hAnsi="宋体" w:cs="宋体"/>
                <w:kern w:val="0"/>
                <w:szCs w:val="21"/>
                <w:lang w:val="en-US" w:eastAsia="zh-CN" w:bidi="ar"/>
              </w:rPr>
              <w:t>7</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宋体"/>
                <w:kern w:val="2"/>
                <w:sz w:val="21"/>
                <w:szCs w:val="21"/>
                <w:lang w:val="en-US" w:eastAsia="zh-CN" w:bidi="ar-SA"/>
              </w:rPr>
            </w:pPr>
            <w:r>
              <w:rPr>
                <w:rFonts w:hint="eastAsia" w:ascii="宋体" w:hAnsi="宋体" w:eastAsia="宋体" w:cs="宋体"/>
                <w:color w:val="030405"/>
                <w:kern w:val="0"/>
                <w:sz w:val="21"/>
                <w:szCs w:val="21"/>
                <w:lang w:bidi="ar"/>
              </w:rPr>
              <w:t>售后服务评价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sz w:val="21"/>
                <w:szCs w:val="21"/>
                <w:lang w:val="en-US" w:eastAsia="zh-CN"/>
              </w:rPr>
            </w:pPr>
            <w:r>
              <w:rPr>
                <w:rFonts w:hint="eastAsia" w:ascii="宋体" w:hAnsi="宋体" w:eastAsia="宋体" w:cs="宋体"/>
                <w:color w:val="030405"/>
                <w:sz w:val="21"/>
                <w:szCs w:val="21"/>
              </w:rPr>
              <w:t>7</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（一）评审内容：</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 xml:space="preserve">投标人提供本项目的售后服务方案，方案中应包含 </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 xml:space="preserve">1、服务内容 </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 xml:space="preserve">2、维修应急方案 </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 xml:space="preserve">3、培训计划 </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 xml:space="preserve">4、其他特色服务等 </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（二）评审标准：方案中含有上述一个内容得15分</w:t>
            </w:r>
            <w:r>
              <w:rPr>
                <w:rFonts w:hint="eastAsia" w:ascii="宋体" w:hAnsi="宋体" w:eastAsia="宋体" w:cs="宋体"/>
                <w:color w:val="030405"/>
                <w:kern w:val="0"/>
                <w:sz w:val="21"/>
                <w:szCs w:val="21"/>
                <w:lang w:eastAsia="zh-CN" w:bidi="ar"/>
              </w:rPr>
              <w:t>，</w:t>
            </w:r>
            <w:r>
              <w:rPr>
                <w:rFonts w:hint="eastAsia" w:ascii="宋体" w:hAnsi="宋体" w:eastAsia="宋体" w:cs="宋体"/>
                <w:color w:val="030405"/>
                <w:kern w:val="0"/>
                <w:sz w:val="21"/>
                <w:szCs w:val="21"/>
                <w:lang w:val="en-US" w:eastAsia="zh-CN" w:bidi="ar"/>
              </w:rPr>
              <w:t>最高得60分</w:t>
            </w:r>
            <w:r>
              <w:rPr>
                <w:rFonts w:hint="eastAsia" w:ascii="宋体" w:hAnsi="宋体" w:eastAsia="宋体" w:cs="宋体"/>
                <w:color w:val="030405"/>
                <w:kern w:val="0"/>
                <w:sz w:val="21"/>
                <w:szCs w:val="21"/>
                <w:lang w:bidi="ar"/>
              </w:rPr>
              <w:t>。</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bidi="ar"/>
              </w:rPr>
              <w:t xml:space="preserve">在此基础上，对方案的合理性、可行性进行打分。 </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val="en-US" w:eastAsia="zh-CN" w:bidi="ar"/>
              </w:rPr>
              <w:t>1、</w:t>
            </w:r>
            <w:r>
              <w:rPr>
                <w:rFonts w:hint="eastAsia" w:ascii="宋体" w:hAnsi="宋体" w:eastAsia="宋体" w:cs="宋体"/>
                <w:color w:val="030405"/>
                <w:kern w:val="0"/>
                <w:sz w:val="21"/>
                <w:szCs w:val="21"/>
                <w:lang w:bidi="ar"/>
              </w:rPr>
              <w:t xml:space="preserve">售后服务方案非常详细，保障措施完善可行，得40分； </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30405"/>
                <w:kern w:val="0"/>
                <w:sz w:val="21"/>
                <w:szCs w:val="21"/>
                <w:lang w:bidi="ar"/>
              </w:rPr>
            </w:pPr>
            <w:r>
              <w:rPr>
                <w:rFonts w:hint="eastAsia" w:ascii="宋体" w:hAnsi="宋体" w:eastAsia="宋体" w:cs="宋体"/>
                <w:color w:val="030405"/>
                <w:kern w:val="0"/>
                <w:sz w:val="21"/>
                <w:szCs w:val="21"/>
                <w:lang w:val="en-US" w:eastAsia="zh-CN" w:bidi="ar"/>
              </w:rPr>
              <w:t>2、</w:t>
            </w:r>
            <w:r>
              <w:rPr>
                <w:rFonts w:hint="eastAsia" w:ascii="宋体" w:hAnsi="宋体" w:eastAsia="宋体" w:cs="宋体"/>
                <w:color w:val="030405"/>
                <w:kern w:val="0"/>
                <w:sz w:val="21"/>
                <w:szCs w:val="21"/>
                <w:lang w:bidi="ar"/>
              </w:rPr>
              <w:t xml:space="preserve">售后服务方案比较具体，保障措施比较完善可行，能够满足招标文件要求的得20分； </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color w:val="0000FF"/>
                <w:kern w:val="2"/>
                <w:sz w:val="21"/>
                <w:szCs w:val="21"/>
                <w:lang w:val="en-US" w:eastAsia="zh-CN" w:bidi="ar-SA"/>
              </w:rPr>
            </w:pPr>
            <w:r>
              <w:rPr>
                <w:rFonts w:hint="eastAsia" w:ascii="宋体" w:hAnsi="宋体" w:eastAsia="宋体" w:cs="宋体"/>
                <w:color w:val="030405"/>
                <w:kern w:val="0"/>
                <w:sz w:val="21"/>
                <w:szCs w:val="21"/>
                <w:lang w:val="en-US" w:eastAsia="zh-CN" w:bidi="ar"/>
              </w:rPr>
              <w:t>3、</w:t>
            </w:r>
            <w:r>
              <w:rPr>
                <w:rFonts w:hint="eastAsia" w:ascii="宋体" w:hAnsi="宋体" w:eastAsia="宋体" w:cs="宋体"/>
                <w:color w:val="030405"/>
                <w:kern w:val="0"/>
                <w:sz w:val="21"/>
                <w:szCs w:val="21"/>
                <w:lang w:bidi="ar"/>
              </w:rPr>
              <w:t>未提供售后服务方案和措施或方案不详细、可行性较差，无法满足招标文件要求的得0分。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3</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ascii="宋体" w:hAnsi="宋体" w:cs="宋体"/>
                <w:b/>
                <w:bCs/>
                <w:color w:val="0000FF"/>
                <w:kern w:val="0"/>
                <w:sz w:val="24"/>
                <w:lang w:bidi="ar"/>
              </w:rPr>
              <w:t>商务</w:t>
            </w:r>
            <w:r>
              <w:rPr>
                <w:rFonts w:hint="eastAsia" w:ascii="宋体" w:hAnsi="宋体" w:cs="宋体"/>
                <w:b/>
                <w:bCs/>
                <w:color w:val="0000FF"/>
                <w:kern w:val="0"/>
                <w:sz w:val="24"/>
                <w:lang w:bidi="ar"/>
              </w:rPr>
              <w:t>部分</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val="en-US" w:eastAsia="zh-CN"/>
              </w:rPr>
            </w:pPr>
            <w:r>
              <w:rPr>
                <w:rFonts w:hint="eastAsia"/>
                <w:b/>
                <w:bCs/>
                <w:color w:val="0000FF"/>
                <w:sz w:val="24"/>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rHeight w:val="90" w:hRule="atLeast"/>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rFonts w:hint="eastAsia" w:eastAsiaTheme="minorEastAsia"/>
                <w:szCs w:val="21"/>
                <w:lang w:val="en-US" w:eastAsia="zh-CN"/>
              </w:rPr>
            </w:pPr>
            <w:r>
              <w:rPr>
                <w:rFonts w:hint="eastAsia"/>
                <w:szCs w:val="21"/>
                <w:lang w:val="en-US" w:eastAsia="zh-CN"/>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eastAsiaTheme="minorEastAsia"/>
                <w:sz w:val="21"/>
                <w:szCs w:val="21"/>
                <w:lang w:val="en-US" w:eastAsia="zh-CN"/>
              </w:rPr>
            </w:pPr>
            <w:r>
              <w:rPr>
                <w:rFonts w:hint="eastAsia" w:ascii="宋体" w:hAnsi="宋体" w:eastAsia="宋体" w:cs="宋体"/>
                <w:kern w:val="0"/>
                <w:sz w:val="21"/>
                <w:szCs w:val="21"/>
                <w:lang w:bidi="ar"/>
              </w:rPr>
              <w:t>经验评价</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eastAsiaTheme="minorEastAsia"/>
                <w:sz w:val="21"/>
                <w:szCs w:val="21"/>
                <w:lang w:val="en-US" w:eastAsia="zh-CN"/>
              </w:rPr>
            </w:pPr>
            <w:r>
              <w:rPr>
                <w:rFonts w:hint="eastAsia" w:ascii="宋体" w:hAnsi="宋体" w:eastAsia="宋体" w:cs="宋体"/>
                <w:kern w:val="0"/>
                <w:sz w:val="21"/>
                <w:szCs w:val="21"/>
                <w:highlight w:val="yellow"/>
                <w:lang w:val="en-US" w:eastAsia="zh-CN" w:bidi="ar"/>
              </w:rPr>
              <w:t>6</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pStyle w:val="11"/>
              <w:keepNext w:val="0"/>
              <w:keepLines w:val="0"/>
              <w:suppressLineNumbers w:val="0"/>
              <w:spacing w:before="0" w:beforeAutospacing="0" w:after="0" w:afterAutospacing="0"/>
              <w:ind w:left="0" w:right="0"/>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（一）评审内容：</w:t>
            </w:r>
          </w:p>
          <w:p>
            <w:pPr>
              <w:pStyle w:val="11"/>
              <w:keepNext w:val="0"/>
              <w:keepLines w:val="0"/>
              <w:suppressLineNumbers w:val="0"/>
              <w:spacing w:before="0" w:beforeAutospacing="0" w:after="0" w:afterAutospacing="0"/>
              <w:ind w:left="0" w:right="0"/>
              <w:rPr>
                <w:rFonts w:hint="eastAsia" w:ascii="宋体" w:hAnsi="宋体" w:eastAsia="宋体" w:cs="宋体"/>
                <w:kern w:val="0"/>
                <w:sz w:val="21"/>
                <w:szCs w:val="21"/>
                <w:lang w:bidi="ar"/>
              </w:rPr>
            </w:pPr>
            <w:r>
              <w:rPr>
                <w:rFonts w:hint="eastAsia" w:ascii="宋体" w:hAnsi="宋体" w:eastAsia="宋体" w:cs="宋体"/>
                <w:kern w:val="0"/>
                <w:sz w:val="21"/>
                <w:szCs w:val="21"/>
                <w:lang w:bidi="ar"/>
              </w:rPr>
              <w:t>2022年1月1日（以合同签订日期为准）以后，投标人具有与本项目同类项目（餐厅设备）经验，且履约评价为优或满意（或同等评价），每提供一个得25分，最高得100分。</w:t>
            </w:r>
          </w:p>
          <w:p>
            <w:pPr>
              <w:keepNext w:val="0"/>
              <w:keepLines w:val="0"/>
              <w:widowControl/>
              <w:suppressLineNumbers w:val="0"/>
              <w:spacing w:before="0" w:beforeAutospacing="0" w:after="0" w:afterAutospacing="0"/>
              <w:ind w:left="0" w:leftChars="0" w:right="0" w:rightChars="0"/>
              <w:jc w:val="left"/>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（二）评审依据：</w:t>
            </w:r>
          </w:p>
          <w:p>
            <w:pPr>
              <w:keepNext w:val="0"/>
              <w:keepLines w:val="0"/>
              <w:widowControl/>
              <w:suppressLineNumbers w:val="0"/>
              <w:spacing w:before="0" w:beforeAutospacing="0" w:after="0" w:afterAutospacing="0"/>
              <w:ind w:left="0" w:leftChars="0" w:right="0" w:rightChars="0"/>
              <w:jc w:val="left"/>
              <w:textAlignment w:val="center"/>
              <w:rPr>
                <w:rFonts w:hint="default"/>
                <w:sz w:val="21"/>
                <w:szCs w:val="21"/>
                <w:lang w:val="en-US"/>
              </w:rPr>
            </w:pPr>
            <w:r>
              <w:rPr>
                <w:rFonts w:hint="eastAsia" w:ascii="宋体" w:hAnsi="宋体" w:eastAsia="宋体" w:cs="宋体"/>
                <w:kern w:val="0"/>
                <w:sz w:val="21"/>
                <w:szCs w:val="21"/>
                <w:lang w:bidi="ar"/>
              </w:rPr>
              <w:t>1、同时提供以下：（1）合同关键页扫描件；（2）设备配置清单扫描件；（3）验收报告[加盖合同甲方</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合同相对方</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公章（业务章）]；（4）履约评价证明[加盖合同甲方</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val="en-US" w:eastAsia="zh-CN" w:bidi="ar"/>
              </w:rPr>
              <w:t>合同相对方</w:t>
            </w:r>
            <w:r>
              <w:rPr>
                <w:rFonts w:hint="eastAsia" w:ascii="宋体" w:hAnsi="宋体" w:eastAsia="宋体" w:cs="宋体"/>
                <w:kern w:val="0"/>
                <w:sz w:val="21"/>
                <w:szCs w:val="21"/>
                <w:lang w:eastAsia="zh-CN" w:bidi="ar"/>
              </w:rPr>
              <w:t>）</w:t>
            </w:r>
            <w:r>
              <w:rPr>
                <w:rFonts w:hint="eastAsia" w:ascii="宋体" w:hAnsi="宋体" w:eastAsia="宋体" w:cs="宋体"/>
                <w:kern w:val="0"/>
                <w:sz w:val="21"/>
                <w:szCs w:val="21"/>
                <w:lang w:bidi="ar"/>
              </w:rPr>
              <w:t>公章（业务章）]。</w:t>
            </w:r>
            <w:r>
              <w:rPr>
                <w:rFonts w:hint="eastAsia" w:ascii="宋体" w:hAnsi="宋体" w:eastAsia="宋体" w:cs="宋体"/>
                <w:kern w:val="0"/>
                <w:sz w:val="21"/>
                <w:szCs w:val="21"/>
                <w:lang w:bidi="ar"/>
              </w:rPr>
              <w:br w:type="textWrapping"/>
            </w:r>
            <w:r>
              <w:rPr>
                <w:rFonts w:hint="eastAsia" w:asciiTheme="minorEastAsia" w:hAnsiTheme="minorEastAsia" w:cstheme="minorEastAsia"/>
                <w:szCs w:val="21"/>
              </w:rPr>
              <w:t>2、未按要求提供相关证明材料（或相关证明材料无法判断是否符合评分要求）的不计得分，原件备查。</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eastAsia" w:eastAsiaTheme="minorEastAsia"/>
                <w:b/>
                <w:bCs/>
                <w:color w:val="0000FF"/>
                <w:sz w:val="24"/>
                <w:lang w:eastAsia="zh-CN"/>
              </w:rPr>
            </w:pPr>
            <w:r>
              <w:rPr>
                <w:rFonts w:hint="eastAsia" w:ascii="宋体" w:hAnsi="宋体" w:cs="宋体"/>
                <w:b/>
                <w:bCs/>
                <w:color w:val="0000FF"/>
                <w:kern w:val="0"/>
                <w:sz w:val="24"/>
                <w:lang w:val="en-US" w:eastAsia="zh-CN" w:bidi="ar"/>
              </w:rPr>
              <w:t>4</w:t>
            </w:r>
          </w:p>
        </w:tc>
        <w:tc>
          <w:tcPr>
            <w:tcW w:w="4199"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b/>
                <w:bCs/>
                <w:color w:val="0000FF"/>
                <w:sz w:val="24"/>
              </w:rPr>
            </w:pPr>
            <w:r>
              <w:rPr>
                <w:rFonts w:hint="eastAsia" w:ascii="宋体" w:hAnsi="宋体" w:cs="宋体"/>
                <w:b/>
                <w:bCs/>
                <w:color w:val="0000FF"/>
                <w:kern w:val="0"/>
                <w:sz w:val="24"/>
                <w:lang w:bidi="ar"/>
              </w:rPr>
              <w:t>诚信情况</w:t>
            </w:r>
          </w:p>
        </w:tc>
        <w:tc>
          <w:tcPr>
            <w:tcW w:w="4198"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rPr>
                <w:rFonts w:hint="default" w:eastAsia="宋体"/>
                <w:b/>
                <w:bCs/>
                <w:color w:val="0000FF"/>
                <w:sz w:val="24"/>
                <w:lang w:val="en-US" w:eastAsia="zh-CN"/>
              </w:rPr>
            </w:pPr>
            <w:r>
              <w:rPr>
                <w:rFonts w:hint="eastAsia"/>
                <w:b/>
                <w:bCs/>
                <w:color w:val="0000FF"/>
                <w:sz w:val="24"/>
                <w:lang w:val="en-US" w:eastAsia="zh-CN"/>
              </w:rPr>
              <w:t>5</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pPr>
              <w:rPr>
                <w:rFonts w:ascii="宋体"/>
                <w:szCs w:val="21"/>
              </w:rPr>
            </w:pP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pPr>
              <w:jc w:val="center"/>
              <w:rPr>
                <w:rFonts w:ascii="宋体"/>
                <w:b/>
                <w:bCs/>
                <w:color w:val="0000FF"/>
                <w:sz w:val="24"/>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序号</w:t>
            </w:r>
          </w:p>
        </w:tc>
        <w:tc>
          <w:tcPr>
            <w:tcW w:w="2837"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评分因素</w:t>
            </w: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权重(%)</w:t>
            </w:r>
          </w:p>
        </w:tc>
        <w:tc>
          <w:tcPr>
            <w:tcW w:w="4198" w:type="dxa"/>
            <w:tcBorders>
              <w:top w:val="outset" w:color="000000" w:sz="6" w:space="0"/>
              <w:left w:val="outset" w:color="000000" w:sz="6" w:space="0"/>
              <w:bottom w:val="outset" w:color="000000" w:sz="6" w:space="0"/>
              <w:right w:val="outset" w:color="000000" w:sz="6" w:space="0"/>
            </w:tcBorders>
            <w:shd w:val="clear" w:color="auto" w:fill="E6EFFA"/>
            <w:vAlign w:val="center"/>
          </w:tcPr>
          <w:p>
            <w:pPr>
              <w:widowControl/>
              <w:wordWrap w:val="0"/>
              <w:jc w:val="center"/>
              <w:rPr>
                <w:szCs w:val="21"/>
              </w:rPr>
            </w:pPr>
            <w:r>
              <w:rPr>
                <w:rFonts w:ascii="宋体" w:hAnsi="宋体" w:cs="宋体"/>
                <w:kern w:val="0"/>
                <w:szCs w:val="21"/>
                <w:lang w:bidi="ar"/>
              </w:rPr>
              <w:t>评分准则</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63"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ascii="宋体"/>
                <w:b/>
                <w:bCs/>
                <w:color w:val="0000FF"/>
                <w:sz w:val="24"/>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1</w:t>
            </w:r>
          </w:p>
        </w:tc>
        <w:tc>
          <w:tcPr>
            <w:tcW w:w="2837"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诚信情况</w:t>
            </w: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wordWrap w:val="0"/>
              <w:jc w:val="center"/>
              <w:textAlignment w:val="top"/>
              <w:rPr>
                <w:szCs w:val="21"/>
              </w:rPr>
            </w:pPr>
            <w:r>
              <w:rPr>
                <w:rFonts w:hint="eastAsia"/>
              </w:rPr>
              <w:t>5</w:t>
            </w:r>
          </w:p>
        </w:tc>
        <w:tc>
          <w:tcPr>
            <w:tcW w:w="4198" w:type="dxa"/>
            <w:tcBorders>
              <w:top w:val="single" w:color="000000" w:sz="8" w:space="0"/>
              <w:left w:val="single" w:color="000000" w:sz="8" w:space="0"/>
              <w:bottom w:val="single" w:color="000000" w:sz="8" w:space="0"/>
              <w:right w:val="single" w:color="000000" w:sz="8" w:space="0"/>
            </w:tcBorders>
            <w:shd w:val="clear" w:color="auto" w:fill="auto"/>
          </w:tcPr>
          <w:p>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w:t>
            </w:r>
            <w:r>
              <w:rPr>
                <w:rFonts w:hint="eastAsia" w:asciiTheme="minorEastAsia" w:hAnsiTheme="minorEastAsia" w:eastAsiaTheme="minorEastAsia" w:cstheme="minorEastAsia"/>
                <w:b w:val="0"/>
                <w:bCs w:val="0"/>
                <w:sz w:val="21"/>
                <w:szCs w:val="21"/>
                <w:lang w:val="en-US" w:eastAsia="zh-CN"/>
              </w:rPr>
              <w:t>有关</w:t>
            </w:r>
            <w:r>
              <w:rPr>
                <w:rFonts w:hint="eastAsia" w:asciiTheme="minorEastAsia" w:hAnsiTheme="minorEastAsia" w:eastAsiaTheme="minorEastAsia" w:cstheme="minorEastAsia"/>
                <w:b w:val="0"/>
                <w:bCs w:val="0"/>
                <w:sz w:val="21"/>
                <w:szCs w:val="21"/>
              </w:rPr>
              <w:t>供应商诚信查询结果。</w:t>
            </w:r>
          </w:p>
          <w:p>
            <w:pPr>
              <w:pStyle w:val="8"/>
              <w:keepNext w:val="0"/>
              <w:keepLines w:val="0"/>
              <w:pageBreakBefore w:val="0"/>
              <w:widowControl w:val="0"/>
              <w:kinsoku/>
              <w:wordWrap w:val="0"/>
              <w:overflowPunct/>
              <w:topLinePunct w:val="0"/>
              <w:autoSpaceDE/>
              <w:autoSpaceDN/>
              <w:bidi w:val="0"/>
              <w:adjustRightInd/>
              <w:snapToGrid/>
              <w:spacing w:line="240" w:lineRule="auto"/>
              <w:ind w:firstLine="420" w:firstLineChars="200"/>
              <w:textAlignment w:val="auto"/>
            </w:pPr>
            <w:r>
              <w:rPr>
                <w:rFonts w:hint="eastAsia" w:asciiTheme="minorEastAsia" w:hAnsiTheme="minorEastAsia" w:eastAsiaTheme="minorEastAsia" w:cstheme="minorEastAsia"/>
                <w:b w:val="0"/>
                <w:bCs w:val="0"/>
                <w:sz w:val="21"/>
                <w:szCs w:val="21"/>
                <w:lang w:val="en-US" w:eastAsia="zh-CN"/>
              </w:rPr>
              <w:t>查询渠道：通过“信用中国”（www.creditchina.gov.cn，下载信用信息报告）、“中国政府采购网”（www.ccgp.gov.cn）以及“深圳市政府采购监管网”（http://zfcg.sz.gov.cn）查询供应商信用信息，信用信息以开标当日的查询结果为准。</w:t>
            </w:r>
          </w:p>
        </w:tc>
      </w:tr>
      <w:bookmarkEnd w:id="3"/>
    </w:tbl>
    <w:p/>
    <w:p>
      <w:pPr>
        <w:pStyle w:val="15"/>
      </w:pPr>
    </w:p>
    <w:p>
      <w:pPr>
        <w:sectPr>
          <w:pgSz w:w="11907" w:h="16840"/>
          <w:pgMar w:top="1440" w:right="1418" w:bottom="1440" w:left="1418" w:header="851" w:footer="992" w:gutter="0"/>
          <w:cols w:space="425" w:num="1"/>
          <w:titlePg/>
          <w:docGrid w:linePitch="462" w:charSpace="0"/>
        </w:sectPr>
      </w:pPr>
    </w:p>
    <w:p>
      <w:pPr>
        <w:jc w:val="center"/>
        <w:rPr>
          <w:b/>
          <w:sz w:val="84"/>
          <w:szCs w:val="84"/>
        </w:rPr>
      </w:pPr>
    </w:p>
    <w:p>
      <w:pPr>
        <w:jc w:val="center"/>
        <w:rPr>
          <w:b/>
          <w:sz w:val="84"/>
          <w:szCs w:val="84"/>
        </w:rPr>
      </w:pPr>
    </w:p>
    <w:p>
      <w:pPr>
        <w:jc w:val="center"/>
        <w:rPr>
          <w:b/>
          <w:sz w:val="84"/>
          <w:szCs w:val="84"/>
        </w:rPr>
      </w:pPr>
    </w:p>
    <w:p>
      <w:pPr>
        <w:jc w:val="center"/>
        <w:rPr>
          <w:rFonts w:hint="eastAsia" w:eastAsiaTheme="minorEastAsia"/>
          <w:b/>
          <w:sz w:val="120"/>
          <w:szCs w:val="120"/>
          <w:lang w:eastAsia="zh-CN"/>
        </w:rPr>
      </w:pPr>
      <w:r>
        <w:rPr>
          <w:rFonts w:hint="eastAsia"/>
          <w:b/>
          <w:sz w:val="120"/>
          <w:szCs w:val="120"/>
          <w:lang w:eastAsia="zh-CN"/>
        </w:rPr>
        <w:t>自行采购</w:t>
      </w:r>
    </w:p>
    <w:p>
      <w:pPr>
        <w:jc w:val="center"/>
        <w:rPr>
          <w:b/>
          <w:sz w:val="120"/>
          <w:szCs w:val="120"/>
        </w:rPr>
      </w:pPr>
      <w:r>
        <w:rPr>
          <w:rFonts w:hint="eastAsia"/>
          <w:b/>
          <w:sz w:val="120"/>
          <w:szCs w:val="120"/>
        </w:rPr>
        <w:t>招标文件</w:t>
      </w:r>
    </w:p>
    <w:p>
      <w:pPr>
        <w:jc w:val="center"/>
        <w:rPr>
          <w:b/>
          <w:sz w:val="52"/>
          <w:szCs w:val="52"/>
        </w:rPr>
      </w:pPr>
      <w:r>
        <w:rPr>
          <w:rFonts w:hint="eastAsia"/>
          <w:b/>
          <w:sz w:val="52"/>
          <w:szCs w:val="52"/>
        </w:rPr>
        <w:t>（货物类）</w:t>
      </w:r>
    </w:p>
    <w:p/>
    <w:p/>
    <w:p/>
    <w:p/>
    <w:p/>
    <w:p/>
    <w:p/>
    <w:p/>
    <w:p/>
    <w:p/>
    <w:p/>
    <w:p/>
    <w:p/>
    <w:p/>
    <w:p/>
    <w:p/>
    <w:p/>
    <w:p/>
    <w:p/>
    <w:p>
      <w:pPr>
        <w:jc w:val="center"/>
        <w:rPr>
          <w:b/>
          <w:sz w:val="44"/>
          <w:szCs w:val="44"/>
        </w:rPr>
      </w:pPr>
      <w:bookmarkStart w:id="4" w:name="_Hlk71465316"/>
      <w:r>
        <w:rPr>
          <w:rFonts w:hint="eastAsia"/>
          <w:b/>
          <w:sz w:val="44"/>
          <w:szCs w:val="44"/>
        </w:rPr>
        <w:t>深圳公共资源交易中心</w:t>
      </w:r>
    </w:p>
    <w:p>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4"/>
    <w:p>
      <w:pPr>
        <w:widowControl/>
        <w:jc w:val="center"/>
      </w:pPr>
    </w:p>
    <w:p>
      <w:pPr>
        <w:widowControl/>
        <w:jc w:val="center"/>
      </w:pPr>
      <w:r>
        <w:br w:type="page"/>
      </w:r>
    </w:p>
    <w:p>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5" w:name="_Hlk72218009"/>
      <w:r>
        <w:rPr>
          <w:rFonts w:hint="eastAsia" w:ascii="黑体" w:hAnsi="黑体" w:eastAsia="黑体" w:cs="黑体"/>
          <w:b/>
          <w:bCs/>
          <w:sz w:val="28"/>
          <w:szCs w:val="36"/>
        </w:rPr>
        <w:t>目   录</w:t>
      </w:r>
    </w:p>
    <w:p>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pPr>
        <w:ind w:firstLine="960" w:firstLineChars="400"/>
        <w:rPr>
          <w:sz w:val="24"/>
        </w:rPr>
      </w:pPr>
      <w:r>
        <w:rPr>
          <w:rFonts w:hint="eastAsia"/>
          <w:sz w:val="24"/>
        </w:rPr>
        <w:t>关键信息</w:t>
      </w:r>
    </w:p>
    <w:p>
      <w:pPr>
        <w:ind w:left="630" w:leftChars="300" w:firstLine="630" w:firstLineChars="300"/>
        <w:rPr>
          <w:rFonts w:ascii="宋体" w:hAnsi="宋体"/>
          <w:szCs w:val="21"/>
        </w:rPr>
      </w:pPr>
      <w:r>
        <w:rPr>
          <w:rFonts w:hint="eastAsia" w:ascii="宋体" w:hAnsi="宋体"/>
          <w:szCs w:val="21"/>
        </w:rPr>
        <w:t>第一章  招标公告</w:t>
      </w:r>
    </w:p>
    <w:p>
      <w:pPr>
        <w:ind w:left="630" w:leftChars="300" w:firstLine="630" w:firstLineChars="300"/>
        <w:rPr>
          <w:rFonts w:ascii="宋体" w:hAnsi="宋体"/>
          <w:szCs w:val="21"/>
        </w:rPr>
      </w:pPr>
      <w:r>
        <w:rPr>
          <w:rFonts w:hint="eastAsia" w:ascii="宋体" w:hAnsi="宋体"/>
          <w:szCs w:val="21"/>
        </w:rPr>
        <w:t xml:space="preserve">第二章  </w:t>
      </w:r>
      <w:bookmarkStart w:id="6" w:name="_Hlk71994379"/>
      <w:r>
        <w:rPr>
          <w:rFonts w:hint="eastAsia" w:ascii="宋体" w:hAnsi="宋体"/>
          <w:szCs w:val="21"/>
        </w:rPr>
        <w:t>对通用条款的补充内容及其他关键信息</w:t>
      </w:r>
      <w:bookmarkEnd w:id="6"/>
    </w:p>
    <w:p>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pPr>
        <w:ind w:left="630" w:leftChars="300" w:firstLine="630" w:firstLineChars="300"/>
        <w:rPr>
          <w:rFonts w:ascii="宋体" w:hAnsi="宋体"/>
          <w:szCs w:val="21"/>
        </w:rPr>
      </w:pPr>
      <w:r>
        <w:rPr>
          <w:rFonts w:hint="eastAsia" w:ascii="宋体" w:hAnsi="宋体"/>
          <w:szCs w:val="21"/>
        </w:rPr>
        <w:t>第五章  合同条款及格式</w:t>
      </w:r>
    </w:p>
    <w:p>
      <w:pPr>
        <w:rPr>
          <w:b/>
          <w:sz w:val="24"/>
        </w:rPr>
      </w:pPr>
    </w:p>
    <w:p>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pPr>
        <w:ind w:left="630" w:leftChars="300" w:firstLine="411" w:firstLineChars="196"/>
        <w:rPr>
          <w:rFonts w:ascii="宋体" w:hAnsi="宋体"/>
          <w:szCs w:val="21"/>
        </w:rPr>
      </w:pPr>
      <w:r>
        <w:rPr>
          <w:rFonts w:hint="eastAsia" w:ascii="宋体" w:hAnsi="宋体"/>
          <w:szCs w:val="21"/>
        </w:rPr>
        <w:t>第一章  总则</w:t>
      </w:r>
    </w:p>
    <w:p>
      <w:pPr>
        <w:ind w:left="630" w:leftChars="300" w:firstLine="411" w:firstLineChars="196"/>
        <w:rPr>
          <w:rFonts w:ascii="宋体" w:hAnsi="宋体"/>
          <w:szCs w:val="21"/>
        </w:rPr>
      </w:pPr>
      <w:r>
        <w:rPr>
          <w:rFonts w:hint="eastAsia" w:ascii="宋体" w:hAnsi="宋体"/>
          <w:szCs w:val="21"/>
        </w:rPr>
        <w:t>第二章  招标文件</w:t>
      </w:r>
    </w:p>
    <w:p>
      <w:pPr>
        <w:ind w:left="630" w:leftChars="300" w:firstLine="411" w:firstLineChars="196"/>
        <w:rPr>
          <w:rFonts w:ascii="宋体" w:hAnsi="宋体"/>
          <w:szCs w:val="21"/>
        </w:rPr>
      </w:pPr>
      <w:r>
        <w:rPr>
          <w:rFonts w:hint="eastAsia" w:ascii="宋体" w:hAnsi="宋体"/>
          <w:szCs w:val="21"/>
        </w:rPr>
        <w:t>第三章  投标文件的编制</w:t>
      </w:r>
    </w:p>
    <w:p>
      <w:pPr>
        <w:ind w:left="630" w:leftChars="300" w:firstLine="411" w:firstLineChars="196"/>
        <w:rPr>
          <w:rFonts w:ascii="宋体" w:hAnsi="宋体"/>
          <w:szCs w:val="21"/>
        </w:rPr>
      </w:pPr>
      <w:r>
        <w:rPr>
          <w:rFonts w:hint="eastAsia" w:ascii="宋体" w:hAnsi="宋体"/>
          <w:szCs w:val="21"/>
        </w:rPr>
        <w:t>第四章  投标文件的递交</w:t>
      </w:r>
    </w:p>
    <w:p>
      <w:pPr>
        <w:ind w:left="630" w:leftChars="300" w:firstLine="411" w:firstLineChars="196"/>
        <w:rPr>
          <w:rFonts w:ascii="宋体" w:hAnsi="宋体"/>
          <w:szCs w:val="21"/>
        </w:rPr>
      </w:pPr>
      <w:r>
        <w:rPr>
          <w:rFonts w:hint="eastAsia" w:ascii="宋体" w:hAnsi="宋体"/>
          <w:szCs w:val="21"/>
        </w:rPr>
        <w:t>第五章  开标</w:t>
      </w:r>
    </w:p>
    <w:p>
      <w:pPr>
        <w:ind w:left="630" w:leftChars="300" w:firstLine="411" w:firstLineChars="196"/>
        <w:rPr>
          <w:rFonts w:ascii="宋体" w:hAnsi="宋体"/>
          <w:szCs w:val="21"/>
        </w:rPr>
      </w:pPr>
      <w:r>
        <w:rPr>
          <w:rFonts w:hint="eastAsia" w:ascii="宋体" w:hAnsi="宋体"/>
          <w:szCs w:val="21"/>
        </w:rPr>
        <w:t>第六章  评审要求</w:t>
      </w:r>
    </w:p>
    <w:p>
      <w:pPr>
        <w:ind w:left="630" w:leftChars="300" w:firstLine="411" w:firstLineChars="196"/>
        <w:rPr>
          <w:rFonts w:ascii="宋体" w:hAnsi="宋体"/>
          <w:szCs w:val="21"/>
        </w:rPr>
      </w:pPr>
      <w:r>
        <w:rPr>
          <w:rFonts w:hint="eastAsia" w:ascii="宋体" w:hAnsi="宋体"/>
          <w:szCs w:val="21"/>
        </w:rPr>
        <w:t>第七章  评审程序及评审方法</w:t>
      </w:r>
    </w:p>
    <w:p>
      <w:pPr>
        <w:ind w:left="630" w:leftChars="300" w:firstLine="411" w:firstLineChars="196"/>
        <w:rPr>
          <w:rFonts w:ascii="宋体" w:hAnsi="宋体"/>
          <w:szCs w:val="21"/>
        </w:rPr>
      </w:pPr>
      <w:r>
        <w:rPr>
          <w:rFonts w:hint="eastAsia" w:ascii="宋体" w:hAnsi="宋体"/>
          <w:szCs w:val="21"/>
        </w:rPr>
        <w:t>第八章  定标及公示</w:t>
      </w:r>
    </w:p>
    <w:p>
      <w:pPr>
        <w:ind w:left="630" w:leftChars="300" w:firstLine="411" w:firstLineChars="196"/>
        <w:rPr>
          <w:rFonts w:ascii="宋体" w:hAnsi="宋体"/>
          <w:szCs w:val="21"/>
        </w:rPr>
      </w:pPr>
      <w:r>
        <w:rPr>
          <w:rFonts w:hint="eastAsia" w:ascii="宋体" w:hAnsi="宋体"/>
          <w:szCs w:val="21"/>
        </w:rPr>
        <w:t>第九章  公开招标失败的后续处理</w:t>
      </w:r>
    </w:p>
    <w:p>
      <w:pPr>
        <w:ind w:left="630" w:leftChars="300" w:firstLine="411" w:firstLineChars="196"/>
        <w:rPr>
          <w:rFonts w:ascii="宋体" w:hAnsi="宋体"/>
          <w:szCs w:val="21"/>
        </w:rPr>
      </w:pPr>
      <w:r>
        <w:rPr>
          <w:rFonts w:hint="eastAsia" w:ascii="宋体" w:hAnsi="宋体"/>
          <w:szCs w:val="21"/>
        </w:rPr>
        <w:t>第十章  合同的授予与备案</w:t>
      </w:r>
    </w:p>
    <w:p>
      <w:pPr>
        <w:ind w:firstLine="1050" w:firstLineChars="500"/>
        <w:rPr>
          <w:rFonts w:hint="eastAsia"/>
        </w:rPr>
      </w:pPr>
      <w:r>
        <w:rPr>
          <w:rFonts w:hint="eastAsia"/>
        </w:rPr>
        <w:t>第十一章  质疑处理</w:t>
      </w:r>
    </w:p>
    <w:p>
      <w:pPr>
        <w:pStyle w:val="8"/>
        <w:rPr>
          <w:rFonts w:hint="eastAsia"/>
        </w:rPr>
      </w:pPr>
    </w:p>
    <w:p>
      <w:pPr>
        <w:pStyle w:val="15"/>
        <w:rPr>
          <w:rFonts w:hint="eastAsia"/>
        </w:rPr>
      </w:pPr>
    </w:p>
    <w:p>
      <w:pPr>
        <w:pStyle w:val="15"/>
        <w:rPr>
          <w:rFonts w:hint="eastAsia"/>
        </w:rPr>
      </w:pPr>
    </w:p>
    <w:p>
      <w:pPr>
        <w:pStyle w:val="8"/>
        <w:rPr>
          <w:rFonts w:hint="eastAsia"/>
        </w:rPr>
        <w:sectPr>
          <w:pgSz w:w="11907" w:h="16840"/>
          <w:pgMar w:top="1440" w:right="1797" w:bottom="1440" w:left="1797" w:header="851" w:footer="992" w:gutter="0"/>
          <w:cols w:space="425" w:num="1"/>
          <w:titlePg/>
          <w:docGrid w:linePitch="462" w:charSpace="0"/>
        </w:sectPr>
      </w:pPr>
    </w:p>
    <w:bookmarkEnd w:id="5"/>
    <w:p>
      <w:pPr>
        <w:pStyle w:val="3"/>
        <w:jc w:val="center"/>
        <w:rPr>
          <w:color w:val="FF0000"/>
          <w:sz w:val="24"/>
        </w:rPr>
      </w:pPr>
      <w:bookmarkStart w:id="7" w:name="bt合同条款"/>
      <w:bookmarkEnd w:id="7"/>
      <w:bookmarkStart w:id="8" w:name="bt商务标投标文件格式"/>
      <w:bookmarkEnd w:id="8"/>
      <w:bookmarkStart w:id="9" w:name="bt开标一览表"/>
      <w:bookmarkEnd w:id="9"/>
      <w:bookmarkStart w:id="10" w:name="合同格式"/>
      <w:bookmarkEnd w:id="10"/>
      <w:bookmarkStart w:id="11" w:name="bt投标人须知"/>
      <w:bookmarkEnd w:id="11"/>
      <w:bookmarkStart w:id="12" w:name="bt合同条款及格式"/>
      <w:bookmarkEnd w:id="12"/>
      <w:bookmarkStart w:id="13" w:name="bt投标函"/>
      <w:bookmarkEnd w:id="13"/>
      <w:bookmarkStart w:id="14" w:name="bt项目管理班子配备情况"/>
      <w:bookmarkEnd w:id="14"/>
      <w:bookmarkStart w:id="15" w:name="bt技术标投标文件格式"/>
      <w:bookmarkEnd w:id="15"/>
      <w:bookmarkStart w:id="16" w:name="bt其他资料由投标人自定"/>
      <w:bookmarkEnd w:id="16"/>
      <w:bookmarkStart w:id="17" w:name="bt说明"/>
      <w:bookmarkEnd w:id="17"/>
      <w:bookmarkStart w:id="18" w:name="bt投标人情况介绍"/>
      <w:bookmarkEnd w:id="18"/>
      <w:bookmarkStart w:id="19" w:name="bt投标报价汇总表"/>
      <w:bookmarkEnd w:id="19"/>
      <w:bookmarkStart w:id="20" w:name="bt其他资料2"/>
      <w:bookmarkEnd w:id="20"/>
      <w:bookmarkStart w:id="21" w:name="bt本工程承诺书"/>
      <w:bookmarkEnd w:id="21"/>
      <w:bookmarkStart w:id="22" w:name="bt合同格式"/>
      <w:bookmarkEnd w:id="22"/>
      <w:bookmarkStart w:id="23" w:name="bt投标文件签署授权委托书"/>
      <w:bookmarkEnd w:id="23"/>
      <w:r>
        <w:rPr>
          <w:rFonts w:hint="eastAsia"/>
        </w:rPr>
        <w:t>第一册  专用条款</w:t>
      </w:r>
    </w:p>
    <w:p>
      <w:pPr>
        <w:pStyle w:val="6"/>
        <w:jc w:val="center"/>
        <w:rPr>
          <w:sz w:val="28"/>
          <w:szCs w:val="28"/>
        </w:rPr>
      </w:pPr>
      <w:r>
        <w:rPr>
          <w:rFonts w:hint="eastAsia"/>
          <w:sz w:val="28"/>
          <w:szCs w:val="28"/>
        </w:rPr>
        <w:t>第一章  招标公告</w:t>
      </w:r>
    </w:p>
    <w:p>
      <w:pPr>
        <w:spacing w:line="360" w:lineRule="auto"/>
        <w:rPr>
          <w:rFonts w:ascii="宋体" w:hAnsi="宋体" w:cs="宋体"/>
          <w:b/>
          <w:bCs/>
          <w:kern w:val="0"/>
          <w:szCs w:val="21"/>
        </w:rPr>
      </w:pPr>
      <w:r>
        <w:rPr>
          <w:rFonts w:hint="eastAsia" w:ascii="宋体" w:hAnsi="宋体" w:cs="宋体"/>
          <w:b/>
          <w:bCs/>
          <w:kern w:val="0"/>
          <w:szCs w:val="21"/>
        </w:rPr>
        <w:t>申请人的资格要求：</w:t>
      </w:r>
    </w:p>
    <w:p>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pPr>
        <w:pStyle w:val="26"/>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专门面向中小企业采购：否</w:t>
      </w:r>
      <w:r>
        <w:rPr>
          <w:rFonts w:hint="eastAsia" w:ascii="宋体" w:hAnsi="宋体" w:cs="宋体"/>
          <w:kern w:val="0"/>
          <w:szCs w:val="21"/>
          <w:lang w:eastAsia="zh-CN"/>
        </w:rPr>
        <w:t>。</w:t>
      </w:r>
    </w:p>
    <w:p>
      <w:pPr>
        <w:ind w:firstLine="420" w:firstLineChars="200"/>
        <w:rPr>
          <w:rFonts w:hint="default" w:eastAsia="宋体"/>
          <w:lang w:val="en-US" w:eastAsia="zh-CN"/>
        </w:rPr>
      </w:pPr>
    </w:p>
    <w:p>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pPr>
        <w:ind w:firstLine="420" w:firstLineChars="200"/>
        <w:rPr>
          <w:rFonts w:ascii="宋体" w:hAnsi="宋体"/>
        </w:rPr>
      </w:pPr>
      <w:r>
        <w:rPr>
          <w:rFonts w:hint="eastAsia" w:ascii="宋体" w:hAnsi="宋体"/>
        </w:rPr>
        <w:t>（2）供应商投标（上传投标文件）必须先行办理注册手续。</w:t>
      </w:r>
    </w:p>
    <w:p>
      <w:pPr>
        <w:ind w:firstLine="420" w:firstLineChars="200"/>
        <w:rPr>
          <w:rFonts w:ascii="宋体" w:hAnsi="宋体"/>
        </w:rPr>
      </w:pPr>
    </w:p>
    <w:p>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pPr>
        <w:ind w:firstLine="422" w:firstLineChars="200"/>
        <w:rPr>
          <w:b/>
        </w:rPr>
      </w:pPr>
    </w:p>
    <w:p>
      <w:pPr>
        <w:rPr>
          <w:sz w:val="24"/>
        </w:rPr>
        <w:sectPr>
          <w:pgSz w:w="11907" w:h="16840"/>
          <w:pgMar w:top="1440" w:right="1797" w:bottom="1440" w:left="1797" w:header="851" w:footer="992" w:gutter="0"/>
          <w:cols w:space="425" w:num="1"/>
          <w:titlePg/>
          <w:docGrid w:linePitch="462" w:charSpace="0"/>
        </w:sectPr>
      </w:pPr>
    </w:p>
    <w:p>
      <w:pPr>
        <w:pStyle w:val="6"/>
        <w:jc w:val="center"/>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pPr>
        <w:pStyle w:val="6"/>
        <w:spacing w:before="120" w:beforeLines="50" w:after="120" w:afterLines="50"/>
        <w:jc w:val="center"/>
        <w:rPr>
          <w:szCs w:val="24"/>
        </w:rPr>
      </w:pPr>
      <w:bookmarkStart w:id="25" w:name="_Toc60560625"/>
      <w:bookmarkStart w:id="26" w:name="_Toc100052364"/>
      <w:bookmarkStart w:id="27" w:name="_Toc73521547"/>
      <w:bookmarkStart w:id="28" w:name="_Toc73521635"/>
      <w:bookmarkStart w:id="29" w:name="_Toc101074876"/>
      <w:bookmarkStart w:id="30" w:name="_Toc73518117"/>
      <w:bookmarkStart w:id="31" w:name="_Toc73517639"/>
      <w:bookmarkStart w:id="32" w:name="_Toc60631620"/>
      <w:r>
        <w:rPr>
          <w:rFonts w:hint="eastAsia"/>
          <w:szCs w:val="24"/>
        </w:rPr>
        <w:t>一、对通用条款的补充内容</w:t>
      </w:r>
    </w:p>
    <w:bookmarkEnd w:id="25"/>
    <w:bookmarkEnd w:id="26"/>
    <w:bookmarkEnd w:id="27"/>
    <w:bookmarkEnd w:id="28"/>
    <w:bookmarkEnd w:id="29"/>
    <w:bookmarkEnd w:id="30"/>
    <w:bookmarkEnd w:id="31"/>
    <w:bookmarkEnd w:id="32"/>
    <w:tbl>
      <w:tblPr>
        <w:tblStyle w:val="18"/>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b/>
                <w:bCs/>
              </w:rPr>
            </w:pPr>
            <w:bookmarkStart w:id="33" w:name="_Hlk72218097"/>
            <w:r>
              <w:rPr>
                <w:rFonts w:hint="eastAsia" w:ascii="宋体" w:hAnsi="宋体"/>
                <w:b/>
                <w:bCs/>
              </w:rPr>
              <w:t>通用条款序号</w:t>
            </w:r>
          </w:p>
        </w:tc>
        <w:tc>
          <w:tcPr>
            <w:tcW w:w="2409" w:type="dxa"/>
            <w:noWrap w:val="0"/>
            <w:vAlign w:val="center"/>
          </w:tcPr>
          <w:p>
            <w:pPr>
              <w:jc w:val="center"/>
              <w:rPr>
                <w:rFonts w:ascii="宋体" w:hAnsi="宋体"/>
                <w:b/>
                <w:bCs/>
              </w:rPr>
            </w:pPr>
            <w:r>
              <w:rPr>
                <w:rFonts w:hint="eastAsia" w:ascii="宋体" w:hAnsi="宋体"/>
                <w:b/>
                <w:bCs/>
              </w:rPr>
              <w:t>涉及事项</w:t>
            </w:r>
          </w:p>
        </w:tc>
        <w:tc>
          <w:tcPr>
            <w:tcW w:w="4980" w:type="dxa"/>
            <w:noWrap w:val="0"/>
            <w:vAlign w:val="center"/>
          </w:tcPr>
          <w:p>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.1</w:t>
            </w:r>
          </w:p>
        </w:tc>
        <w:tc>
          <w:tcPr>
            <w:tcW w:w="2409" w:type="dxa"/>
            <w:noWrap w:val="0"/>
            <w:vAlign w:val="center"/>
          </w:tcPr>
          <w:p>
            <w:pPr>
              <w:jc w:val="center"/>
            </w:pPr>
            <w:r>
              <w:rPr>
                <w:rFonts w:hint="eastAsia"/>
              </w:rPr>
              <w:t>采购人</w:t>
            </w:r>
          </w:p>
        </w:tc>
        <w:tc>
          <w:tcPr>
            <w:tcW w:w="4980" w:type="dxa"/>
            <w:noWrap w:val="0"/>
            <w:vAlign w:val="center"/>
          </w:tcPr>
          <w:p>
            <w:pPr>
              <w:jc w:val="center"/>
              <w:rPr>
                <w:rFonts w:ascii="宋体" w:hAnsi="宋体"/>
              </w:rPr>
            </w:pPr>
            <w:r>
              <w:rPr>
                <w:rFonts w:hint="eastAsia" w:ascii="宋体" w:hAnsi="宋体" w:eastAsia="宋体" w:cs="Arial"/>
                <w:b/>
                <w:szCs w:val="21"/>
              </w:rPr>
              <w:t>深圳市宝安中学（集团）第二外国语学校（步涌实验学校）</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.2</w:t>
            </w:r>
          </w:p>
        </w:tc>
        <w:tc>
          <w:tcPr>
            <w:tcW w:w="2409" w:type="dxa"/>
            <w:noWrap w:val="0"/>
            <w:vAlign w:val="center"/>
          </w:tcPr>
          <w:p>
            <w:pPr>
              <w:jc w:val="center"/>
              <w:rPr>
                <w:rFonts w:ascii="宋体" w:hAnsi="宋体"/>
              </w:rPr>
            </w:pPr>
            <w:r>
              <w:rPr>
                <w:rFonts w:hint="eastAsia" w:ascii="宋体" w:hAnsi="宋体"/>
              </w:rPr>
              <w:t>政府集中采购机构</w:t>
            </w:r>
          </w:p>
        </w:tc>
        <w:tc>
          <w:tcPr>
            <w:tcW w:w="4980" w:type="dxa"/>
            <w:noWrap w:val="0"/>
            <w:vAlign w:val="center"/>
          </w:tcPr>
          <w:p>
            <w:pPr>
              <w:jc w:val="center"/>
            </w:pPr>
            <w:r>
              <w:rPr>
                <w:rFonts w:hint="eastAsia"/>
              </w:rPr>
              <w:t>深圳公共资源交易中心</w:t>
            </w:r>
          </w:p>
          <w:p>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9</w:t>
            </w:r>
          </w:p>
        </w:tc>
        <w:tc>
          <w:tcPr>
            <w:tcW w:w="2409" w:type="dxa"/>
            <w:noWrap w:val="0"/>
            <w:vAlign w:val="center"/>
          </w:tcPr>
          <w:p>
            <w:pPr>
              <w:jc w:val="center"/>
              <w:rPr>
                <w:rFonts w:ascii="宋体" w:hAnsi="宋体"/>
              </w:rPr>
            </w:pPr>
            <w:r>
              <w:rPr>
                <w:rFonts w:hint="eastAsia" w:ascii="宋体" w:hAnsi="宋体"/>
              </w:rPr>
              <w:t>踏勘现场</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0</w:t>
            </w:r>
          </w:p>
        </w:tc>
        <w:tc>
          <w:tcPr>
            <w:tcW w:w="2409" w:type="dxa"/>
            <w:noWrap w:val="0"/>
            <w:vAlign w:val="center"/>
          </w:tcPr>
          <w:p>
            <w:pPr>
              <w:jc w:val="center"/>
              <w:rPr>
                <w:rFonts w:ascii="宋体" w:hAnsi="宋体"/>
              </w:rPr>
            </w:pPr>
            <w:r>
              <w:rPr>
                <w:rFonts w:hint="eastAsia" w:ascii="宋体" w:hAnsi="宋体"/>
              </w:rPr>
              <w:t>标前会议</w:t>
            </w:r>
          </w:p>
        </w:tc>
        <w:tc>
          <w:tcPr>
            <w:tcW w:w="4980" w:type="dxa"/>
            <w:noWrap w:val="0"/>
            <w:vAlign w:val="center"/>
          </w:tcPr>
          <w:p>
            <w:pPr>
              <w:jc w:val="center"/>
              <w:rPr>
                <w:rFonts w:ascii="宋体" w:hAnsi="宋体"/>
              </w:rPr>
            </w:pPr>
            <w:r>
              <w:rPr>
                <w:rFonts w:hint="eastAsia"/>
              </w:rPr>
              <w:t>不组织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pPr>
              <w:jc w:val="center"/>
              <w:rPr>
                <w:rFonts w:ascii="宋体" w:hAnsi="宋体"/>
              </w:rPr>
            </w:pPr>
            <w:r>
              <w:rPr>
                <w:rFonts w:hint="eastAsia" w:ascii="宋体" w:hAnsi="宋体"/>
              </w:rPr>
              <w:t>招标文件的澄清和修改</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0</w:t>
            </w:r>
          </w:p>
        </w:tc>
        <w:tc>
          <w:tcPr>
            <w:tcW w:w="2409" w:type="dxa"/>
            <w:noWrap w:val="0"/>
            <w:vAlign w:val="center"/>
          </w:tcPr>
          <w:p>
            <w:pPr>
              <w:jc w:val="center"/>
              <w:rPr>
                <w:rFonts w:ascii="宋体" w:hAnsi="宋体"/>
              </w:rPr>
            </w:pPr>
            <w:r>
              <w:rPr>
                <w:rFonts w:hint="eastAsia" w:ascii="宋体" w:hAnsi="宋体"/>
              </w:rPr>
              <w:t>投标有效期</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2</w:t>
            </w:r>
          </w:p>
        </w:tc>
        <w:tc>
          <w:tcPr>
            <w:tcW w:w="2409" w:type="dxa"/>
            <w:noWrap w:val="0"/>
            <w:vAlign w:val="center"/>
          </w:tcPr>
          <w:p>
            <w:pPr>
              <w:jc w:val="center"/>
              <w:rPr>
                <w:rFonts w:ascii="宋体" w:hAnsi="宋体"/>
              </w:rPr>
            </w:pPr>
            <w:r>
              <w:rPr>
                <w:rFonts w:hint="eastAsia" w:ascii="宋体" w:hAnsi="宋体"/>
              </w:rPr>
              <w:t>投标人的替代方案</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5</w:t>
            </w:r>
          </w:p>
        </w:tc>
        <w:tc>
          <w:tcPr>
            <w:tcW w:w="2409" w:type="dxa"/>
            <w:noWrap w:val="0"/>
            <w:vAlign w:val="center"/>
          </w:tcPr>
          <w:p>
            <w:pPr>
              <w:jc w:val="center"/>
              <w:rPr>
                <w:rFonts w:ascii="宋体" w:hAnsi="宋体"/>
              </w:rPr>
            </w:pPr>
            <w:r>
              <w:rPr>
                <w:rFonts w:hint="eastAsia" w:ascii="宋体" w:hAnsi="宋体"/>
              </w:rPr>
              <w:t>投标文件的大小</w:t>
            </w:r>
          </w:p>
        </w:tc>
        <w:tc>
          <w:tcPr>
            <w:tcW w:w="4980" w:type="dxa"/>
            <w:noWrap w:val="0"/>
            <w:vAlign w:val="center"/>
          </w:tcPr>
          <w:p>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2</w:t>
            </w:r>
            <w:r>
              <w:rPr>
                <w:rFonts w:ascii="宋体" w:hAnsi="宋体"/>
              </w:rPr>
              <w:t>6</w:t>
            </w:r>
          </w:p>
        </w:tc>
        <w:tc>
          <w:tcPr>
            <w:tcW w:w="2409" w:type="dxa"/>
            <w:noWrap w:val="0"/>
            <w:vAlign w:val="center"/>
          </w:tcPr>
          <w:p>
            <w:pPr>
              <w:jc w:val="center"/>
              <w:rPr>
                <w:rFonts w:ascii="宋体" w:hAnsi="宋体"/>
              </w:rPr>
            </w:pPr>
            <w:bookmarkStart w:id="34" w:name="_Hlk71664860"/>
            <w:r>
              <w:rPr>
                <w:rFonts w:hint="eastAsia" w:ascii="宋体" w:hAnsi="宋体"/>
              </w:rPr>
              <w:t>样品、现场演示、方案讲解</w:t>
            </w:r>
            <w:bookmarkEnd w:id="34"/>
          </w:p>
        </w:tc>
        <w:tc>
          <w:tcPr>
            <w:tcW w:w="4980" w:type="dxa"/>
            <w:noWrap w:val="0"/>
            <w:vAlign w:val="center"/>
          </w:tcPr>
          <w:p>
            <w:pPr>
              <w:jc w:val="center"/>
              <w:rPr>
                <w:rFonts w:ascii="宋体" w:hAnsi="宋体"/>
              </w:rPr>
            </w:pPr>
            <w:r>
              <w:rPr>
                <w:rFonts w:hint="eastAsia"/>
              </w:rPr>
              <w:t>如有样品、演示、方案讲解，具体安排见第三章 用户需求书相关要求</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7</w:t>
            </w:r>
          </w:p>
        </w:tc>
        <w:tc>
          <w:tcPr>
            <w:tcW w:w="2409" w:type="dxa"/>
            <w:noWrap w:val="0"/>
            <w:vAlign w:val="center"/>
          </w:tcPr>
          <w:p>
            <w:pPr>
              <w:jc w:val="center"/>
              <w:rPr>
                <w:rFonts w:ascii="宋体" w:hAnsi="宋体"/>
              </w:rPr>
            </w:pPr>
            <w:r>
              <w:rPr>
                <w:rFonts w:hint="eastAsia" w:ascii="宋体" w:hAnsi="宋体"/>
              </w:rPr>
              <w:t>评审方法</w:t>
            </w:r>
          </w:p>
        </w:tc>
        <w:tc>
          <w:tcPr>
            <w:tcW w:w="4980" w:type="dxa"/>
            <w:noWrap w:val="0"/>
            <w:vAlign w:val="center"/>
          </w:tcPr>
          <w:p>
            <w:pPr>
              <w:jc w:val="center"/>
              <w:rPr>
                <w:rFonts w:ascii="宋体" w:hAnsi="宋体"/>
              </w:rPr>
            </w:pPr>
            <w:r>
              <w:rPr>
                <w:rFonts w:hint="eastAsia"/>
              </w:rPr>
              <w:t>综合评分法</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3</w:t>
            </w:r>
            <w:r>
              <w:rPr>
                <w:rFonts w:ascii="宋体" w:hAnsi="宋体"/>
              </w:rPr>
              <w:t>8</w:t>
            </w:r>
          </w:p>
        </w:tc>
        <w:tc>
          <w:tcPr>
            <w:tcW w:w="2409" w:type="dxa"/>
            <w:noWrap w:val="0"/>
            <w:vAlign w:val="center"/>
          </w:tcPr>
          <w:p>
            <w:pPr>
              <w:jc w:val="center"/>
              <w:rPr>
                <w:rFonts w:ascii="宋体" w:hAnsi="宋体"/>
              </w:rPr>
            </w:pPr>
            <w:r>
              <w:rPr>
                <w:rFonts w:hint="eastAsia" w:ascii="宋体" w:hAnsi="宋体"/>
              </w:rPr>
              <w:t>定标方法</w:t>
            </w:r>
          </w:p>
        </w:tc>
        <w:tc>
          <w:tcPr>
            <w:tcW w:w="4980" w:type="dxa"/>
            <w:noWrap w:val="0"/>
            <w:vAlign w:val="center"/>
          </w:tcPr>
          <w:p>
            <w:pPr>
              <w:jc w:val="center"/>
              <w:rPr>
                <w:rFonts w:ascii="宋体" w:hAnsi="宋体"/>
              </w:rPr>
            </w:pPr>
            <w:r>
              <w:rPr>
                <w:rFonts w:hint="eastAsia"/>
              </w:rPr>
              <w:t>非评定分离</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pPr>
              <w:jc w:val="center"/>
              <w:rPr>
                <w:rFonts w:ascii="宋体" w:hAnsi="宋体"/>
              </w:rPr>
            </w:pPr>
            <w:r>
              <w:rPr>
                <w:rFonts w:hint="eastAsia" w:ascii="宋体" w:hAnsi="宋体"/>
              </w:rPr>
              <w:t>4</w:t>
            </w:r>
            <w:r>
              <w:rPr>
                <w:rFonts w:ascii="宋体" w:hAnsi="宋体"/>
              </w:rPr>
              <w:t>6</w:t>
            </w:r>
          </w:p>
        </w:tc>
        <w:tc>
          <w:tcPr>
            <w:tcW w:w="2409" w:type="dxa"/>
            <w:noWrap w:val="0"/>
            <w:vAlign w:val="center"/>
          </w:tcPr>
          <w:p>
            <w:pPr>
              <w:jc w:val="center"/>
              <w:rPr>
                <w:rFonts w:ascii="宋体" w:hAnsi="宋体"/>
              </w:rPr>
            </w:pPr>
            <w:r>
              <w:rPr>
                <w:rFonts w:hint="eastAsia" w:ascii="宋体" w:hAnsi="宋体"/>
              </w:rPr>
              <w:t>履约担保</w:t>
            </w:r>
          </w:p>
        </w:tc>
        <w:tc>
          <w:tcPr>
            <w:tcW w:w="4980" w:type="dxa"/>
            <w:noWrap w:val="0"/>
            <w:vAlign w:val="center"/>
          </w:tcPr>
          <w:p>
            <w:pPr>
              <w:jc w:val="center"/>
              <w:rPr>
                <w:rFonts w:ascii="宋体" w:hAnsi="宋体"/>
              </w:rPr>
            </w:pPr>
            <w:r>
              <w:rPr>
                <w:rFonts w:hint="eastAsia"/>
              </w:rPr>
              <w:t>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52.8</w:t>
            </w:r>
          </w:p>
        </w:tc>
        <w:tc>
          <w:tcPr>
            <w:tcW w:w="2409" w:type="dxa"/>
            <w:shd w:val="clear" w:color="auto" w:fill="auto"/>
            <w:noWrap w:val="0"/>
            <w:vAlign w:val="center"/>
          </w:tcPr>
          <w:p>
            <w:pPr>
              <w:jc w:val="center"/>
              <w:rPr>
                <w:rFonts w:hint="eastAsia" w:ascii="宋体" w:hAnsi="宋体" w:eastAsiaTheme="minorEastAsia" w:cstheme="minorBidi"/>
                <w:kern w:val="2"/>
                <w:sz w:val="21"/>
                <w:szCs w:val="22"/>
                <w:lang w:val="en-US" w:eastAsia="zh-CN" w:bidi="ar-SA"/>
              </w:rPr>
            </w:pPr>
            <w:r>
              <w:rPr>
                <w:rFonts w:hint="eastAsia" w:ascii="宋体" w:hAnsi="宋体"/>
                <w:lang w:val="en-US" w:eastAsia="zh-CN"/>
              </w:rPr>
              <w:t>投诉</w:t>
            </w:r>
          </w:p>
        </w:tc>
        <w:tc>
          <w:tcPr>
            <w:tcW w:w="4980" w:type="dxa"/>
            <w:shd w:val="clear" w:color="auto" w:fill="auto"/>
            <w:noWrap w:val="0"/>
            <w:vAlign w:val="center"/>
          </w:tcPr>
          <w:p>
            <w:pPr>
              <w:jc w:val="left"/>
              <w:rPr>
                <w:rFonts w:hint="eastAsia" w:ascii="宋体" w:hAnsi="宋体" w:eastAsiaTheme="minorEastAsia" w:cstheme="minorBidi"/>
                <w:kern w:val="2"/>
                <w:sz w:val="21"/>
                <w:szCs w:val="22"/>
                <w:lang w:val="en-US" w:eastAsia="zh-CN" w:bidi="ar-S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pPr>
        <w:rPr>
          <w:b/>
        </w:rPr>
      </w:pPr>
      <w:r>
        <w:rPr>
          <w:rFonts w:hint="eastAsia"/>
          <w:szCs w:val="21"/>
        </w:rPr>
        <w:t>备注：本表是通用条款相关条款的补充和明确，如与通用条款内容相冲突的，以本表为准。</w:t>
      </w:r>
    </w:p>
    <w:bookmarkEnd w:id="33"/>
    <w:p>
      <w:pPr>
        <w:pStyle w:val="6"/>
        <w:spacing w:before="120" w:beforeLines="50" w:after="120" w:afterLines="50"/>
        <w:jc w:val="center"/>
        <w:rPr>
          <w:szCs w:val="24"/>
        </w:rPr>
      </w:pPr>
      <w:bookmarkStart w:id="35" w:name="_Hlk72218117"/>
      <w:r>
        <w:rPr>
          <w:rFonts w:hint="eastAsia"/>
          <w:szCs w:val="24"/>
        </w:rPr>
        <w:t>二、其他关键信息</w:t>
      </w:r>
    </w:p>
    <w:p>
      <w:pPr>
        <w:ind w:firstLine="422" w:firstLineChars="200"/>
        <w:rPr>
          <w:b/>
          <w:bCs/>
        </w:rPr>
      </w:pPr>
      <w:bookmarkStart w:id="36" w:name="_Hlk72579427"/>
      <w:r>
        <w:rPr>
          <w:rFonts w:hint="eastAsia"/>
          <w:b/>
          <w:bCs/>
        </w:rPr>
        <w:t>（一）与“对通用条款的补充内容”章节相关的事项</w:t>
      </w:r>
    </w:p>
    <w:p>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pPr>
        <w:jc w:val="center"/>
      </w:pPr>
      <w:r>
        <w:rPr>
          <w:rFonts w:hint="eastAsia"/>
          <w:b/>
        </w:rPr>
        <w:t>非评定分离项目</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评标方法</w:t>
            </w:r>
          </w:p>
        </w:tc>
        <w:tc>
          <w:tcPr>
            <w:tcW w:w="3235" w:type="dxa"/>
            <w:noWrap w:val="0"/>
            <w:vAlign w:val="top"/>
          </w:tcPr>
          <w:p>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候选中标供应商家数</w:t>
            </w:r>
          </w:p>
        </w:tc>
        <w:tc>
          <w:tcPr>
            <w:tcW w:w="3235" w:type="dxa"/>
            <w:noWrap w:val="0"/>
            <w:vAlign w:val="top"/>
          </w:tcPr>
          <w:p>
            <w:pPr>
              <w:jc w:val="center"/>
              <w:rPr>
                <w:rFonts w:hint="default" w:eastAsia="宋体"/>
                <w:lang w:val="en-US" w:eastAsia="zh-CN"/>
              </w:rPr>
            </w:pPr>
            <w:r>
              <w:rPr>
                <w:rFonts w:hint="eastAsia"/>
              </w:rPr>
              <w:t>1</w:t>
            </w:r>
          </w:p>
        </w:tc>
        <w:tc>
          <w:tcPr>
            <w:tcW w:w="2450" w:type="dxa"/>
            <w:noWrap w:val="0"/>
            <w:vAlign w:val="top"/>
          </w:tcPr>
          <w:p>
            <w:pPr>
              <w:jc w:val="center"/>
              <w:rPr>
                <w:rFonts w:hint="eastAsia"/>
              </w:rPr>
            </w:pPr>
            <w:r>
              <w:rPr>
                <w:rFonts w:hint="eastAsi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pPr>
              <w:jc w:val="center"/>
            </w:pPr>
            <w:r>
              <w:rPr>
                <w:rFonts w:hint="eastAsia"/>
              </w:rPr>
              <w:t>中标供应商家数</w:t>
            </w:r>
          </w:p>
        </w:tc>
        <w:tc>
          <w:tcPr>
            <w:tcW w:w="3235" w:type="dxa"/>
            <w:noWrap w:val="0"/>
            <w:vAlign w:val="top"/>
          </w:tcPr>
          <w:p>
            <w:pPr>
              <w:jc w:val="center"/>
            </w:pPr>
            <w:r>
              <w:rPr>
                <w:rFonts w:hint="eastAsia"/>
              </w:rPr>
              <w:t>1</w:t>
            </w:r>
          </w:p>
        </w:tc>
        <w:tc>
          <w:tcPr>
            <w:tcW w:w="2450" w:type="dxa"/>
            <w:noWrap w:val="0"/>
            <w:vAlign w:val="top"/>
          </w:tcPr>
          <w:p>
            <w:pPr>
              <w:jc w:val="center"/>
              <w:rPr>
                <w:rFonts w:hint="eastAsia"/>
              </w:rPr>
            </w:pPr>
            <w:r>
              <w:rPr>
                <w:rFonts w:hint="eastAsia"/>
              </w:rPr>
              <w:t>1</w:t>
            </w:r>
          </w:p>
        </w:tc>
      </w:tr>
    </w:tbl>
    <w:p>
      <w:pPr>
        <w:pStyle w:val="15"/>
      </w:pPr>
    </w:p>
    <w:p>
      <w:pPr>
        <w:ind w:firstLine="422" w:firstLineChars="200"/>
        <w:rPr>
          <w:rFonts w:hint="eastAsia"/>
          <w:b/>
        </w:rPr>
      </w:pPr>
    </w:p>
    <w:p>
      <w:pPr>
        <w:ind w:firstLine="422" w:firstLineChars="200"/>
        <w:rPr>
          <w:b/>
        </w:rPr>
      </w:pPr>
      <w:r>
        <w:rPr>
          <w:rFonts w:hint="eastAsia"/>
          <w:b/>
        </w:rPr>
        <w:t>（二）其他事项</w:t>
      </w:r>
      <w:bookmarkEnd w:id="36"/>
    </w:p>
    <w:p>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 xml:space="preserve"> 10  </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rPr>
        <w:t>（</w:t>
      </w:r>
      <w:r>
        <w:rPr>
          <w:rFonts w:hint="eastAsia"/>
          <w:color w:val="000000" w:themeColor="text1"/>
          <w:u w:val="none"/>
          <w:lang w:val="en-US" w:eastAsia="zh-CN"/>
        </w:rPr>
        <w:t>10%~20%</w:t>
      </w:r>
      <w:r>
        <w:rPr>
          <w:rFonts w:hint="eastAsia"/>
          <w:color w:val="000000" w:themeColor="text1"/>
          <w:u w:val="none"/>
          <w:lang w:eastAsia="zh-CN"/>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7"/>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pPr>
        <w:numPr>
          <w:ilvl w:val="0"/>
          <w:numId w:val="0"/>
        </w:numPr>
        <w:ind w:left="0" w:leftChars="0" w:firstLine="420" w:firstLineChars="200"/>
        <w:rPr>
          <w:rFonts w:hint="default" w:eastAsia="宋体"/>
          <w:lang w:val="en-US" w:eastAsia="zh-CN"/>
        </w:rPr>
      </w:pPr>
    </w:p>
    <w:p>
      <w:pPr>
        <w:spacing w:before="0" w:after="0"/>
        <w:jc w:val="both"/>
        <w:outlineLvl w:val="9"/>
      </w:pPr>
    </w:p>
    <w:p>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pPr>
              <w:widowControl/>
              <w:spacing w:line="360" w:lineRule="auto"/>
              <w:jc w:val="center"/>
            </w:pPr>
            <w:r>
              <w:rPr>
                <w:rFonts w:hint="eastAsia"/>
              </w:rPr>
              <w:t>货物采购</w:t>
            </w:r>
          </w:p>
        </w:tc>
        <w:tc>
          <w:tcPr>
            <w:tcW w:w="1799" w:type="dxa"/>
            <w:vAlign w:val="center"/>
          </w:tcPr>
          <w:p>
            <w:pPr>
              <w:widowControl/>
              <w:spacing w:line="360" w:lineRule="auto"/>
              <w:jc w:val="center"/>
            </w:pPr>
            <w:r>
              <w:rPr>
                <w:rFonts w:hint="eastAsia"/>
              </w:rPr>
              <w:t>服务采购</w:t>
            </w:r>
          </w:p>
        </w:tc>
        <w:tc>
          <w:tcPr>
            <w:tcW w:w="1799" w:type="dxa"/>
            <w:vAlign w:val="center"/>
          </w:tcPr>
          <w:p>
            <w:pPr>
              <w:widowControl/>
              <w:spacing w:line="360" w:lineRule="auto"/>
              <w:jc w:val="center"/>
            </w:pPr>
            <w:r>
              <w:rPr>
                <w:rFonts w:hint="eastAsia"/>
              </w:rPr>
              <w:t>工程采购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100万元以下</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1.5%</w:t>
            </w:r>
          </w:p>
        </w:tc>
        <w:tc>
          <w:tcPr>
            <w:tcW w:w="1799" w:type="dxa"/>
            <w:vAlign w:val="center"/>
          </w:tcPr>
          <w:p>
            <w:pPr>
              <w:widowControl/>
              <w:spacing w:line="360" w:lineRule="auto"/>
              <w:jc w:val="center"/>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100万元（含）-500万元</w:t>
            </w:r>
          </w:p>
        </w:tc>
        <w:tc>
          <w:tcPr>
            <w:tcW w:w="1799" w:type="dxa"/>
            <w:vAlign w:val="center"/>
          </w:tcPr>
          <w:p>
            <w:pPr>
              <w:widowControl/>
              <w:spacing w:line="360" w:lineRule="auto"/>
              <w:jc w:val="center"/>
            </w:pPr>
            <w:r>
              <w:rPr>
                <w:rFonts w:hint="eastAsia"/>
              </w:rPr>
              <w:t>1.1%</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500万元（含）-1000万元</w:t>
            </w:r>
          </w:p>
        </w:tc>
        <w:tc>
          <w:tcPr>
            <w:tcW w:w="1799" w:type="dxa"/>
            <w:vAlign w:val="center"/>
          </w:tcPr>
          <w:p>
            <w:pPr>
              <w:widowControl/>
              <w:spacing w:line="360" w:lineRule="auto"/>
              <w:jc w:val="center"/>
            </w:pPr>
            <w:r>
              <w:rPr>
                <w:rFonts w:hint="eastAsia"/>
              </w:rPr>
              <w:t>0.8%</w:t>
            </w:r>
          </w:p>
        </w:tc>
        <w:tc>
          <w:tcPr>
            <w:tcW w:w="1799" w:type="dxa"/>
            <w:vAlign w:val="center"/>
          </w:tcPr>
          <w:p>
            <w:pPr>
              <w:widowControl/>
              <w:spacing w:line="360" w:lineRule="auto"/>
              <w:jc w:val="center"/>
            </w:pPr>
            <w:r>
              <w:rPr>
                <w:rFonts w:hint="eastAsia"/>
              </w:rPr>
              <w:t>0.45%</w:t>
            </w:r>
          </w:p>
        </w:tc>
        <w:tc>
          <w:tcPr>
            <w:tcW w:w="1799" w:type="dxa"/>
            <w:vAlign w:val="center"/>
          </w:tcPr>
          <w:p>
            <w:pPr>
              <w:widowControl/>
              <w:spacing w:line="360" w:lineRule="auto"/>
              <w:jc w:val="center"/>
            </w:pPr>
            <w:r>
              <w:rPr>
                <w:rFonts w:hint="eastAsia"/>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1000万元（含）-5000万元</w:t>
            </w:r>
          </w:p>
        </w:tc>
        <w:tc>
          <w:tcPr>
            <w:tcW w:w="1799" w:type="dxa"/>
            <w:vAlign w:val="center"/>
          </w:tcPr>
          <w:p>
            <w:pPr>
              <w:widowControl/>
              <w:spacing w:line="360" w:lineRule="auto"/>
              <w:jc w:val="center"/>
            </w:pPr>
            <w:r>
              <w:rPr>
                <w:rFonts w:hint="eastAsia"/>
              </w:rPr>
              <w:t>0.5%</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5000万元（含）-1亿元</w:t>
            </w:r>
          </w:p>
        </w:tc>
        <w:tc>
          <w:tcPr>
            <w:tcW w:w="1799" w:type="dxa"/>
            <w:vAlign w:val="center"/>
          </w:tcPr>
          <w:p>
            <w:pPr>
              <w:widowControl/>
              <w:spacing w:line="360" w:lineRule="auto"/>
              <w:jc w:val="center"/>
            </w:pPr>
            <w:r>
              <w:rPr>
                <w:rFonts w:hint="eastAsia"/>
              </w:rPr>
              <w:t>0.25%</w:t>
            </w:r>
          </w:p>
        </w:tc>
        <w:tc>
          <w:tcPr>
            <w:tcW w:w="1799" w:type="dxa"/>
            <w:vAlign w:val="center"/>
          </w:tcPr>
          <w:p>
            <w:pPr>
              <w:widowControl/>
              <w:spacing w:line="360" w:lineRule="auto"/>
              <w:jc w:val="center"/>
            </w:pPr>
            <w:r>
              <w:rPr>
                <w:rFonts w:hint="eastAsia"/>
              </w:rPr>
              <w:t>0.1%</w:t>
            </w:r>
          </w:p>
        </w:tc>
        <w:tc>
          <w:tcPr>
            <w:tcW w:w="1799" w:type="dxa"/>
            <w:vAlign w:val="center"/>
          </w:tcPr>
          <w:p>
            <w:pPr>
              <w:widowControl/>
              <w:spacing w:line="360" w:lineRule="auto"/>
              <w:jc w:val="center"/>
            </w:pPr>
            <w:r>
              <w:rPr>
                <w:rFonts w:hint="eastAsia"/>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1亿元（含）-5亿元</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c>
          <w:tcPr>
            <w:tcW w:w="1799" w:type="dxa"/>
            <w:vAlign w:val="center"/>
          </w:tcPr>
          <w:p>
            <w:pPr>
              <w:widowControl/>
              <w:spacing w:line="360" w:lineRule="auto"/>
              <w:jc w:val="center"/>
            </w:pPr>
            <w:r>
              <w:rPr>
                <w:rFonts w:hint="eastAsia"/>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5亿元（含）-10亿元</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c>
          <w:tcPr>
            <w:tcW w:w="1799" w:type="dxa"/>
            <w:vAlign w:val="center"/>
          </w:tcPr>
          <w:p>
            <w:pPr>
              <w:widowControl/>
              <w:spacing w:line="360" w:lineRule="auto"/>
              <w:jc w:val="center"/>
            </w:pPr>
            <w:r>
              <w:rPr>
                <w:rFonts w:hint="eastAsia"/>
              </w:rPr>
              <w:t>0.035%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pPr>
              <w:widowControl/>
              <w:spacing w:line="360" w:lineRule="auto"/>
              <w:jc w:val="center"/>
            </w:pPr>
            <w:r>
              <w:rPr>
                <w:rFonts w:hint="eastAsia"/>
              </w:rPr>
              <w:t>10亿元（含）-50亿元</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c>
          <w:tcPr>
            <w:tcW w:w="1799" w:type="dxa"/>
            <w:vAlign w:val="center"/>
          </w:tcPr>
          <w:p>
            <w:pPr>
              <w:widowControl/>
              <w:spacing w:line="360" w:lineRule="auto"/>
              <w:jc w:val="center"/>
            </w:pPr>
            <w:r>
              <w:rPr>
                <w:rFonts w:hint="eastAsia"/>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50亿元（含）-100亿元</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c>
          <w:tcPr>
            <w:tcW w:w="1799" w:type="dxa"/>
            <w:vAlign w:val="center"/>
          </w:tcPr>
          <w:p>
            <w:pPr>
              <w:widowControl/>
              <w:spacing w:line="360" w:lineRule="auto"/>
              <w:jc w:val="center"/>
            </w:pPr>
            <w:r>
              <w:rPr>
                <w:rFonts w:hint="eastAsia"/>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pPr>
              <w:widowControl/>
              <w:spacing w:line="360" w:lineRule="auto"/>
              <w:jc w:val="center"/>
            </w:pPr>
            <w:r>
              <w:rPr>
                <w:rFonts w:hint="eastAsia"/>
              </w:rPr>
              <w:t>100亿元（含）以上</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c>
          <w:tcPr>
            <w:tcW w:w="1799" w:type="dxa"/>
            <w:vAlign w:val="center"/>
          </w:tcPr>
          <w:p>
            <w:pPr>
              <w:widowControl/>
              <w:spacing w:line="360" w:lineRule="auto"/>
              <w:jc w:val="center"/>
            </w:pPr>
            <w:r>
              <w:rPr>
                <w:rFonts w:hint="eastAsia"/>
              </w:rPr>
              <w:t>0.004%</w:t>
            </w:r>
          </w:p>
        </w:tc>
      </w:tr>
    </w:tbl>
    <w:p>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pPr>
        <w:ind w:firstLine="420" w:firstLineChars="200"/>
      </w:pPr>
    </w:p>
    <w:p>
      <w:pPr>
        <w:ind w:firstLine="420" w:firstLineChars="200"/>
      </w:pPr>
      <w:r>
        <w:rPr>
          <w:rFonts w:hint="eastAsia"/>
        </w:rPr>
        <w:t>如某货物采购项目，中标（成交）金额为600万元，总共交纳的代理服务费的具体计算过程如下：</w:t>
      </w:r>
    </w:p>
    <w:p>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pPr>
        <w:pStyle w:val="8"/>
        <w:rPr>
          <w:b/>
        </w:rPr>
      </w:pPr>
    </w:p>
    <w:p>
      <w:pPr>
        <w:pStyle w:val="15"/>
        <w:rPr>
          <w:b/>
        </w:rPr>
      </w:pPr>
    </w:p>
    <w:p>
      <w:pPr>
        <w:pStyle w:val="15"/>
        <w:rPr>
          <w:b/>
        </w:rPr>
      </w:pPr>
    </w:p>
    <w:p>
      <w:pPr>
        <w:pStyle w:val="15"/>
        <w:rPr>
          <w:b/>
        </w:rPr>
        <w:sectPr>
          <w:pgSz w:w="11907" w:h="16840"/>
          <w:pgMar w:top="1440" w:right="1797" w:bottom="1440" w:left="1797" w:header="851" w:footer="992" w:gutter="0"/>
          <w:cols w:space="425" w:num="1"/>
          <w:titlePg/>
          <w:docGrid w:linePitch="462" w:charSpace="0"/>
        </w:sectPr>
      </w:pPr>
    </w:p>
    <w:bookmarkEnd w:id="35"/>
    <w:p>
      <w:pPr>
        <w:pStyle w:val="6"/>
        <w:jc w:val="center"/>
        <w:rPr>
          <w:sz w:val="28"/>
          <w:szCs w:val="28"/>
        </w:rPr>
      </w:pPr>
      <w:r>
        <w:rPr>
          <w:rFonts w:hint="eastAsia"/>
          <w:sz w:val="28"/>
          <w:szCs w:val="28"/>
        </w:rPr>
        <w:t>第三章 用户需求书</w:t>
      </w:r>
    </w:p>
    <w:p>
      <w:pPr>
        <w:pStyle w:val="6"/>
        <w:spacing w:before="120" w:beforeLines="50" w:after="120" w:afterLines="50"/>
        <w:jc w:val="center"/>
        <w:rPr>
          <w:szCs w:val="24"/>
        </w:rPr>
      </w:pPr>
      <w:r>
        <w:rPr>
          <w:rFonts w:hint="eastAsia"/>
          <w:szCs w:val="24"/>
        </w:rPr>
        <w:t>一、项目基本信息</w:t>
      </w:r>
    </w:p>
    <w:p>
      <w:pPr>
        <w:rPr>
          <w:rFonts w:ascii="宋体" w:hAnsi="宋体"/>
          <w:b/>
          <w:color w:val="FF0000"/>
          <w:szCs w:val="21"/>
        </w:rPr>
      </w:pPr>
    </w:p>
    <w:tbl>
      <w:tblPr>
        <w:tblStyle w:val="18"/>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2603"/>
        <w:gridCol w:w="3158"/>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szCs w:val="21"/>
              </w:rPr>
            </w:pPr>
            <w:r>
              <w:rPr>
                <w:rFonts w:hint="eastAsia"/>
                <w:bCs/>
                <w:szCs w:val="21"/>
              </w:rPr>
              <w:t>序号</w:t>
            </w:r>
          </w:p>
        </w:tc>
        <w:tc>
          <w:tcPr>
            <w:tcW w:w="2603" w:type="dxa"/>
            <w:vAlign w:val="center"/>
          </w:tcPr>
          <w:p>
            <w:pPr>
              <w:jc w:val="center"/>
              <w:rPr>
                <w:bCs/>
                <w:szCs w:val="21"/>
              </w:rPr>
            </w:pPr>
            <w:r>
              <w:rPr>
                <w:rFonts w:hint="eastAsia"/>
                <w:szCs w:val="21"/>
              </w:rPr>
              <w:t>采购计划编号</w:t>
            </w:r>
          </w:p>
        </w:tc>
        <w:tc>
          <w:tcPr>
            <w:tcW w:w="3158" w:type="dxa"/>
            <w:vAlign w:val="center"/>
          </w:tcPr>
          <w:p>
            <w:pPr>
              <w:jc w:val="center"/>
              <w:rPr>
                <w:bCs/>
                <w:szCs w:val="21"/>
              </w:rPr>
            </w:pPr>
            <w:r>
              <w:rPr>
                <w:rFonts w:hint="eastAsia"/>
                <w:bCs/>
                <w:szCs w:val="21"/>
              </w:rPr>
              <w:t>采购项目名称</w:t>
            </w:r>
          </w:p>
        </w:tc>
        <w:tc>
          <w:tcPr>
            <w:tcW w:w="2355" w:type="dxa"/>
            <w:vAlign w:val="center"/>
          </w:tcPr>
          <w:p>
            <w:pPr>
              <w:jc w:val="center"/>
              <w:rPr>
                <w:b/>
                <w:bCs/>
                <w:color w:val="FF0000"/>
                <w:szCs w:val="21"/>
              </w:rPr>
            </w:pPr>
            <w:r>
              <w:rPr>
                <w:rFonts w:hint="eastAsia"/>
                <w:b/>
                <w:bCs/>
                <w:color w:val="FF0000"/>
                <w:szCs w:val="21"/>
              </w:rPr>
              <w:t>财政预算限额（元）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13" w:type="dxa"/>
            <w:vAlign w:val="center"/>
          </w:tcPr>
          <w:p>
            <w:pPr>
              <w:jc w:val="center"/>
              <w:rPr>
                <w:bCs/>
                <w:color w:val="FF0000"/>
                <w:szCs w:val="21"/>
              </w:rPr>
            </w:pPr>
            <w:r>
              <w:rPr>
                <w:rFonts w:hint="eastAsia"/>
                <w:bCs/>
                <w:color w:val="FF0000"/>
                <w:szCs w:val="21"/>
              </w:rPr>
              <w:t>1</w:t>
            </w:r>
          </w:p>
        </w:tc>
        <w:tc>
          <w:tcPr>
            <w:tcW w:w="2603" w:type="dxa"/>
            <w:vAlign w:val="center"/>
          </w:tcPr>
          <w:p>
            <w:pPr>
              <w:jc w:val="center"/>
              <w:rPr>
                <w:bCs/>
                <w:color w:val="FF0000"/>
                <w:szCs w:val="21"/>
              </w:rPr>
            </w:pPr>
            <w:r>
              <w:rPr>
                <w:rFonts w:hint="eastAsia"/>
                <w:bCs/>
                <w:color w:val="FF0000"/>
                <w:szCs w:val="21"/>
              </w:rPr>
              <w:t>JYCG-DECL-2025-29365</w:t>
            </w:r>
          </w:p>
        </w:tc>
        <w:tc>
          <w:tcPr>
            <w:tcW w:w="3158" w:type="dxa"/>
            <w:vAlign w:val="center"/>
          </w:tcPr>
          <w:p>
            <w:pPr>
              <w:jc w:val="center"/>
              <w:rPr>
                <w:b/>
                <w:bCs/>
                <w:color w:val="FF0000"/>
                <w:szCs w:val="21"/>
              </w:rPr>
            </w:pPr>
            <w:r>
              <w:rPr>
                <w:rFonts w:hint="eastAsia"/>
                <w:b/>
                <w:bCs/>
                <w:color w:val="FF0000"/>
                <w:szCs w:val="21"/>
              </w:rPr>
              <w:t>深圳市宝安中学（集团）第二外国语学校（步涌实验学校）餐厅设备采购</w:t>
            </w:r>
          </w:p>
        </w:tc>
        <w:tc>
          <w:tcPr>
            <w:tcW w:w="2355" w:type="dxa"/>
            <w:vAlign w:val="center"/>
          </w:tcPr>
          <w:p>
            <w:pPr>
              <w:jc w:val="center"/>
              <w:rPr>
                <w:bCs/>
                <w:color w:val="FF0000"/>
                <w:szCs w:val="21"/>
              </w:rPr>
            </w:pPr>
            <w:r>
              <w:rPr>
                <w:rFonts w:hint="eastAsia"/>
                <w:bCs/>
                <w:color w:val="FF0000"/>
                <w:szCs w:val="21"/>
              </w:rPr>
              <w:t>360000.00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6174" w:type="dxa"/>
            <w:gridSpan w:val="3"/>
            <w:vAlign w:val="center"/>
          </w:tcPr>
          <w:p>
            <w:pPr>
              <w:jc w:val="center"/>
              <w:rPr>
                <w:b/>
                <w:bCs/>
                <w:color w:val="FF0000"/>
                <w:szCs w:val="21"/>
              </w:rPr>
            </w:pPr>
            <w:r>
              <w:rPr>
                <w:b/>
                <w:bCs/>
                <w:color w:val="FF0000"/>
                <w:szCs w:val="21"/>
              </w:rPr>
              <w:t>合计</w:t>
            </w:r>
          </w:p>
        </w:tc>
        <w:tc>
          <w:tcPr>
            <w:tcW w:w="2355" w:type="dxa"/>
            <w:vAlign w:val="center"/>
          </w:tcPr>
          <w:p>
            <w:pPr>
              <w:jc w:val="center"/>
              <w:rPr>
                <w:bCs/>
                <w:color w:val="FF0000"/>
                <w:szCs w:val="21"/>
              </w:rPr>
            </w:pPr>
            <w:r>
              <w:rPr>
                <w:rFonts w:hint="eastAsia"/>
                <w:bCs/>
                <w:color w:val="FF0000"/>
                <w:szCs w:val="21"/>
              </w:rPr>
              <w:t>360000.00</w:t>
            </w:r>
          </w:p>
        </w:tc>
      </w:tr>
    </w:tbl>
    <w:p>
      <w:pPr>
        <w:rPr>
          <w:rFonts w:ascii="宋体" w:hAnsi="宋体"/>
          <w:b/>
          <w:color w:val="FF0000"/>
          <w:szCs w:val="21"/>
        </w:rPr>
      </w:pPr>
    </w:p>
    <w:p>
      <w:pPr>
        <w:rPr>
          <w:rFonts w:ascii="宋体" w:hAnsi="宋体"/>
          <w:b/>
          <w:color w:val="FF0000"/>
          <w:szCs w:val="21"/>
        </w:rPr>
      </w:pPr>
    </w:p>
    <w:p>
      <w:pPr>
        <w:pStyle w:val="6"/>
        <w:spacing w:before="120" w:beforeLines="50" w:after="120" w:afterLines="50"/>
        <w:jc w:val="center"/>
        <w:rPr>
          <w:szCs w:val="24"/>
        </w:rPr>
      </w:pPr>
      <w:bookmarkStart w:id="38" w:name="_Hlk72258617"/>
      <w:r>
        <w:rPr>
          <w:rFonts w:hint="eastAsia"/>
          <w:szCs w:val="24"/>
        </w:rPr>
        <w:t>二、</w:t>
      </w:r>
      <w:bookmarkStart w:id="39" w:name="_Hlk72073432"/>
      <w:r>
        <w:rPr>
          <w:rFonts w:hint="eastAsia"/>
          <w:szCs w:val="24"/>
        </w:rPr>
        <w:t>货物需求明细</w:t>
      </w:r>
      <w:bookmarkEnd w:id="39"/>
    </w:p>
    <w:tbl>
      <w:tblPr>
        <w:tblStyle w:val="18"/>
        <w:tblW w:w="51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42"/>
        <w:gridCol w:w="1522"/>
        <w:gridCol w:w="1572"/>
        <w:gridCol w:w="607"/>
        <w:gridCol w:w="607"/>
        <w:gridCol w:w="1278"/>
        <w:gridCol w:w="1198"/>
        <w:gridCol w:w="13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jc w:val="center"/>
              <w:rPr>
                <w:bCs/>
                <w:szCs w:val="21"/>
              </w:rPr>
            </w:pPr>
            <w:r>
              <w:rPr>
                <w:rFonts w:hint="eastAsia"/>
                <w:bCs/>
                <w:szCs w:val="21"/>
              </w:rPr>
              <w:t>序号</w:t>
            </w:r>
          </w:p>
        </w:tc>
        <w:tc>
          <w:tcPr>
            <w:tcW w:w="874" w:type="pct"/>
            <w:vAlign w:val="center"/>
          </w:tcPr>
          <w:p>
            <w:pPr>
              <w:jc w:val="center"/>
              <w:rPr>
                <w:bCs/>
                <w:szCs w:val="21"/>
              </w:rPr>
            </w:pPr>
            <w:r>
              <w:rPr>
                <w:rFonts w:hint="eastAsia"/>
                <w:szCs w:val="21"/>
              </w:rPr>
              <w:t>采购计划编号</w:t>
            </w:r>
          </w:p>
        </w:tc>
        <w:tc>
          <w:tcPr>
            <w:tcW w:w="903" w:type="pct"/>
            <w:vAlign w:val="center"/>
          </w:tcPr>
          <w:p>
            <w:pPr>
              <w:jc w:val="center"/>
              <w:rPr>
                <w:bCs/>
                <w:szCs w:val="21"/>
              </w:rPr>
            </w:pPr>
            <w:r>
              <w:rPr>
                <w:rFonts w:hint="eastAsia"/>
                <w:bCs/>
                <w:szCs w:val="21"/>
              </w:rPr>
              <w:t>货物名称（标的名称）</w:t>
            </w:r>
          </w:p>
        </w:tc>
        <w:tc>
          <w:tcPr>
            <w:tcW w:w="348" w:type="pct"/>
            <w:vAlign w:val="center"/>
          </w:tcPr>
          <w:p>
            <w:pPr>
              <w:jc w:val="center"/>
              <w:rPr>
                <w:bCs/>
                <w:szCs w:val="21"/>
              </w:rPr>
            </w:pPr>
            <w:r>
              <w:rPr>
                <w:rFonts w:hint="eastAsia"/>
                <w:bCs/>
                <w:szCs w:val="21"/>
              </w:rPr>
              <w:t>数量</w:t>
            </w:r>
          </w:p>
        </w:tc>
        <w:tc>
          <w:tcPr>
            <w:tcW w:w="348" w:type="pct"/>
            <w:vAlign w:val="center"/>
          </w:tcPr>
          <w:p>
            <w:pPr>
              <w:jc w:val="center"/>
              <w:rPr>
                <w:bCs/>
                <w:szCs w:val="21"/>
              </w:rPr>
            </w:pPr>
            <w:r>
              <w:rPr>
                <w:rFonts w:hint="eastAsia"/>
                <w:bCs/>
                <w:szCs w:val="21"/>
              </w:rPr>
              <w:t>单位</w:t>
            </w:r>
          </w:p>
        </w:tc>
        <w:tc>
          <w:tcPr>
            <w:tcW w:w="734" w:type="pct"/>
            <w:vAlign w:val="center"/>
          </w:tcPr>
          <w:p>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688" w:type="pct"/>
            <w:vAlign w:val="center"/>
          </w:tcPr>
          <w:p>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789" w:type="pct"/>
            <w:vAlign w:val="center"/>
          </w:tcPr>
          <w:p>
            <w:pPr>
              <w:jc w:val="center"/>
              <w:rPr>
                <w:rFonts w:hint="default"/>
                <w:b/>
                <w:bCs/>
                <w:color w:val="FF0000"/>
                <w:szCs w:val="21"/>
                <w:lang w:val="en-US" w:eastAsia="zh-CN"/>
              </w:rPr>
            </w:pPr>
            <w:r>
              <w:rPr>
                <w:rFonts w:hint="eastAsia"/>
                <w:b/>
                <w:bCs/>
                <w:color w:val="FF0000"/>
                <w:szCs w:val="21"/>
                <w:lang w:val="en-US" w:eastAsia="zh-CN"/>
              </w:rPr>
              <w:t>标的所属行业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eastAsia" w:eastAsiaTheme="minorEastAsia"/>
                <w:bCs/>
                <w:szCs w:val="21"/>
                <w:lang w:val="en-US" w:eastAsia="zh-CN"/>
              </w:rPr>
            </w:pPr>
            <w:r>
              <w:rPr>
                <w:rFonts w:hint="eastAsia"/>
                <w:bCs/>
                <w:szCs w:val="21"/>
                <w:lang w:val="en-US" w:eastAsia="zh-CN"/>
              </w:rPr>
              <w:t>1</w:t>
            </w:r>
          </w:p>
        </w:tc>
        <w:tc>
          <w:tcPr>
            <w:tcW w:w="874" w:type="pct"/>
            <w:vMerge w:val="restart"/>
            <w:vAlign w:val="center"/>
          </w:tcPr>
          <w:p>
            <w:pPr>
              <w:jc w:val="center"/>
              <w:rPr>
                <w:bCs/>
                <w:szCs w:val="21"/>
              </w:rPr>
            </w:pPr>
            <w:r>
              <w:rPr>
                <w:rFonts w:hint="eastAsia"/>
                <w:bCs/>
                <w:szCs w:val="21"/>
              </w:rPr>
              <w:t>JYCG-DECL-2025-29365</w:t>
            </w: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四人桌1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7</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color w:val="FF0000"/>
                <w:szCs w:val="21"/>
              </w:rPr>
            </w:pPr>
            <w:r>
              <w:rPr>
                <w:rFonts w:hint="eastAsia"/>
                <w:b/>
                <w:bCs/>
                <w:szCs w:val="21"/>
              </w:rPr>
              <w:t>拒绝进口</w:t>
            </w:r>
          </w:p>
        </w:tc>
        <w:tc>
          <w:tcPr>
            <w:tcW w:w="688" w:type="pct"/>
            <w:vAlign w:val="center"/>
          </w:tcPr>
          <w:p>
            <w:pPr>
              <w:jc w:val="center"/>
              <w:rPr>
                <w:b/>
                <w:bCs/>
                <w:color w:val="FF0000"/>
                <w:szCs w:val="21"/>
              </w:rPr>
            </w:pPr>
            <w:r>
              <w:rPr>
                <w:rFonts w:hint="eastAsia"/>
                <w:b/>
                <w:bCs/>
                <w:szCs w:val="21"/>
                <w:lang w:val="en-US" w:eastAsia="zh-CN"/>
              </w:rPr>
              <w:t>否</w:t>
            </w:r>
          </w:p>
        </w:tc>
        <w:tc>
          <w:tcPr>
            <w:tcW w:w="789" w:type="pct"/>
            <w:vAlign w:val="center"/>
          </w:tcPr>
          <w:p>
            <w:pPr>
              <w:jc w:val="center"/>
              <w:rPr>
                <w:b/>
                <w:bCs/>
                <w:color w:val="FF0000"/>
                <w:szCs w:val="21"/>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eastAsia" w:eastAsiaTheme="minorEastAsia"/>
                <w:bCs/>
                <w:szCs w:val="21"/>
                <w:lang w:val="en-US" w:eastAsia="zh-CN"/>
              </w:rPr>
            </w:pPr>
            <w:r>
              <w:rPr>
                <w:rFonts w:hint="eastAsia"/>
                <w:bCs/>
                <w:szCs w:val="21"/>
                <w:lang w:val="en-US" w:eastAsia="zh-CN"/>
              </w:rPr>
              <w:t>2</w:t>
            </w:r>
          </w:p>
        </w:tc>
        <w:tc>
          <w:tcPr>
            <w:tcW w:w="874" w:type="pct"/>
            <w:vMerge w:val="continue"/>
            <w:vAlign w:val="center"/>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四人桌2</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2</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color w:val="FF0000"/>
                <w:szCs w:val="21"/>
              </w:rPr>
            </w:pPr>
            <w:r>
              <w:rPr>
                <w:rFonts w:hint="eastAsia"/>
                <w:b/>
                <w:bCs/>
                <w:szCs w:val="21"/>
              </w:rPr>
              <w:t>拒绝进口</w:t>
            </w:r>
          </w:p>
        </w:tc>
        <w:tc>
          <w:tcPr>
            <w:tcW w:w="688" w:type="pct"/>
            <w:vAlign w:val="center"/>
          </w:tcPr>
          <w:p>
            <w:pPr>
              <w:jc w:val="center"/>
              <w:rPr>
                <w:rFonts w:hint="eastAsia"/>
                <w:b/>
                <w:bCs/>
                <w:color w:val="FF0000"/>
                <w:szCs w:val="21"/>
              </w:rPr>
            </w:pPr>
            <w:r>
              <w:rPr>
                <w:rFonts w:hint="eastAsia"/>
                <w:b/>
                <w:bCs/>
                <w:szCs w:val="21"/>
                <w:lang w:val="en-US" w:eastAsia="zh-CN"/>
              </w:rPr>
              <w:t>否</w:t>
            </w:r>
          </w:p>
        </w:tc>
        <w:tc>
          <w:tcPr>
            <w:tcW w:w="789" w:type="pct"/>
            <w:vAlign w:val="center"/>
          </w:tcPr>
          <w:p>
            <w:pPr>
              <w:jc w:val="center"/>
              <w:rPr>
                <w:rFonts w:hint="eastAsia"/>
                <w:b/>
                <w:bCs/>
                <w:color w:val="FF0000"/>
                <w:szCs w:val="21"/>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3</w:t>
            </w:r>
          </w:p>
        </w:tc>
        <w:tc>
          <w:tcPr>
            <w:tcW w:w="874" w:type="pct"/>
            <w:vMerge w:val="continue"/>
            <w:vAlign w:val="center"/>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六人桌</w:t>
            </w:r>
            <w:r>
              <w:rPr>
                <w:rFonts w:hint="eastAsia" w:ascii="宋体" w:hAnsi="宋体" w:cs="宋体"/>
                <w:i w:val="0"/>
                <w:iCs w:val="0"/>
                <w:color w:val="000000"/>
                <w:kern w:val="0"/>
                <w:sz w:val="21"/>
                <w:szCs w:val="21"/>
                <w:u w:val="none"/>
                <w:lang w:val="en-US" w:eastAsia="zh-CN" w:bidi="ar"/>
              </w:rPr>
              <w:t>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cs="宋体"/>
                <w:i w:val="0"/>
                <w:iCs w:val="0"/>
                <w:color w:val="000000"/>
                <w:kern w:val="0"/>
                <w:sz w:val="21"/>
                <w:szCs w:val="21"/>
                <w:u w:val="none"/>
                <w:lang w:val="en-US" w:eastAsia="zh-CN" w:bidi="ar"/>
              </w:rPr>
              <w:t>4</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szCs w:val="21"/>
              </w:rPr>
            </w:pPr>
            <w:r>
              <w:rPr>
                <w:rFonts w:hint="eastAsia"/>
                <w:b/>
                <w:bCs/>
                <w:szCs w:val="21"/>
              </w:rPr>
              <w:t>拒绝进口</w:t>
            </w:r>
          </w:p>
        </w:tc>
        <w:tc>
          <w:tcPr>
            <w:tcW w:w="688" w:type="pct"/>
            <w:vAlign w:val="center"/>
          </w:tcPr>
          <w:p>
            <w:pPr>
              <w:jc w:val="center"/>
              <w:rPr>
                <w:rFonts w:hint="eastAsia" w:eastAsiaTheme="minorEastAsia"/>
                <w:b/>
                <w:bCs/>
                <w:szCs w:val="21"/>
                <w:lang w:val="en-US" w:eastAsia="zh-CN"/>
              </w:rPr>
            </w:pPr>
            <w:r>
              <w:rPr>
                <w:rFonts w:hint="eastAsia"/>
                <w:b/>
                <w:bCs/>
                <w:szCs w:val="21"/>
                <w:lang w:val="en-US" w:eastAsia="zh-CN"/>
              </w:rPr>
              <w:t>否</w:t>
            </w:r>
          </w:p>
        </w:tc>
        <w:tc>
          <w:tcPr>
            <w:tcW w:w="789" w:type="pct"/>
            <w:vAlign w:val="center"/>
          </w:tcPr>
          <w:p>
            <w:pPr>
              <w:jc w:val="center"/>
              <w:rPr>
                <w:rFonts w:hint="eastAsia" w:eastAsiaTheme="minorEastAsia"/>
                <w:b/>
                <w:bCs/>
                <w:szCs w:val="21"/>
                <w:lang w:val="en-US" w:eastAsia="zh-CN"/>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eastAsia" w:eastAsiaTheme="minorEastAsia"/>
                <w:bCs/>
                <w:szCs w:val="21"/>
                <w:lang w:val="en-US" w:eastAsia="zh-CN"/>
              </w:rPr>
            </w:pPr>
            <w:r>
              <w:rPr>
                <w:rFonts w:hint="eastAsia"/>
                <w:bCs/>
                <w:szCs w:val="21"/>
                <w:lang w:val="en-US" w:eastAsia="zh-CN"/>
              </w:rPr>
              <w:t>4</w:t>
            </w:r>
          </w:p>
        </w:tc>
        <w:tc>
          <w:tcPr>
            <w:tcW w:w="874" w:type="pct"/>
            <w:vMerge w:val="continue"/>
            <w:vAlign w:val="center"/>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六人桌</w:t>
            </w:r>
            <w:r>
              <w:rPr>
                <w:rFonts w:hint="eastAsia" w:ascii="宋体" w:hAnsi="宋体" w:cs="宋体"/>
                <w:i w:val="0"/>
                <w:iCs w:val="0"/>
                <w:color w:val="000000"/>
                <w:kern w:val="0"/>
                <w:sz w:val="21"/>
                <w:szCs w:val="21"/>
                <w:u w:val="none"/>
                <w:lang w:val="en-US" w:eastAsia="zh-CN" w:bidi="ar"/>
              </w:rPr>
              <w:t>2</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cs="宋体"/>
                <w:i w:val="0"/>
                <w:iCs w:val="0"/>
                <w:color w:val="000000"/>
                <w:kern w:val="0"/>
                <w:sz w:val="21"/>
                <w:szCs w:val="21"/>
                <w:u w:val="none"/>
                <w:lang w:val="en-US" w:eastAsia="zh-CN" w:bidi="ar"/>
              </w:rPr>
              <w:t>9</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color w:val="FF0000"/>
                <w:szCs w:val="21"/>
              </w:rPr>
            </w:pPr>
            <w:r>
              <w:rPr>
                <w:rFonts w:hint="eastAsia"/>
                <w:b/>
                <w:bCs/>
                <w:szCs w:val="21"/>
              </w:rPr>
              <w:t>拒绝进口</w:t>
            </w:r>
          </w:p>
        </w:tc>
        <w:tc>
          <w:tcPr>
            <w:tcW w:w="688" w:type="pct"/>
            <w:vAlign w:val="center"/>
          </w:tcPr>
          <w:p>
            <w:pPr>
              <w:jc w:val="center"/>
              <w:rPr>
                <w:rFonts w:hint="eastAsia"/>
                <w:b/>
                <w:bCs/>
                <w:szCs w:val="21"/>
              </w:rPr>
            </w:pPr>
            <w:r>
              <w:rPr>
                <w:rFonts w:hint="eastAsia"/>
                <w:b/>
                <w:bCs/>
                <w:szCs w:val="21"/>
                <w:lang w:val="en-US" w:eastAsia="zh-CN"/>
              </w:rPr>
              <w:t>否</w:t>
            </w:r>
          </w:p>
        </w:tc>
        <w:tc>
          <w:tcPr>
            <w:tcW w:w="789" w:type="pct"/>
            <w:vAlign w:val="center"/>
          </w:tcPr>
          <w:p>
            <w:pPr>
              <w:jc w:val="center"/>
              <w:rPr>
                <w:rFonts w:hint="eastAsia"/>
                <w:b/>
                <w:bCs/>
                <w:szCs w:val="21"/>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eastAsia" w:eastAsiaTheme="minorEastAsia"/>
                <w:bCs/>
                <w:szCs w:val="21"/>
                <w:lang w:val="en-US" w:eastAsia="zh-CN"/>
              </w:rPr>
            </w:pPr>
            <w:r>
              <w:rPr>
                <w:rFonts w:hint="eastAsia"/>
                <w:bCs/>
                <w:szCs w:val="21"/>
                <w:lang w:val="en-US" w:eastAsia="zh-CN"/>
              </w:rPr>
              <w:t>5</w:t>
            </w:r>
          </w:p>
        </w:tc>
        <w:tc>
          <w:tcPr>
            <w:tcW w:w="874" w:type="pct"/>
            <w:vMerge w:val="continue"/>
            <w:vAlign w:val="center"/>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四人圆桌</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2</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color w:val="FF0000"/>
                <w:szCs w:val="21"/>
                <w:highlight w:val="yellow"/>
              </w:rPr>
            </w:pPr>
            <w:r>
              <w:rPr>
                <w:rFonts w:hint="eastAsia"/>
                <w:b/>
                <w:bCs/>
                <w:szCs w:val="21"/>
              </w:rPr>
              <w:t>拒绝进口</w:t>
            </w:r>
          </w:p>
        </w:tc>
        <w:tc>
          <w:tcPr>
            <w:tcW w:w="688" w:type="pct"/>
            <w:vAlign w:val="center"/>
          </w:tcPr>
          <w:p>
            <w:pPr>
              <w:jc w:val="center"/>
              <w:rPr>
                <w:b/>
                <w:bCs/>
                <w:color w:val="FF0000"/>
                <w:szCs w:val="21"/>
                <w:highlight w:val="yellow"/>
              </w:rPr>
            </w:pPr>
            <w:r>
              <w:rPr>
                <w:rFonts w:hint="eastAsia"/>
                <w:b/>
                <w:bCs/>
                <w:szCs w:val="21"/>
                <w:lang w:val="en-US" w:eastAsia="zh-CN"/>
              </w:rPr>
              <w:t>否</w:t>
            </w:r>
          </w:p>
        </w:tc>
        <w:tc>
          <w:tcPr>
            <w:tcW w:w="789" w:type="pct"/>
            <w:vAlign w:val="center"/>
          </w:tcPr>
          <w:p>
            <w:pPr>
              <w:jc w:val="center"/>
              <w:rPr>
                <w:b/>
                <w:bCs/>
                <w:color w:val="FF0000"/>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eastAsia" w:eastAsiaTheme="minorEastAsia"/>
                <w:bCs/>
                <w:szCs w:val="21"/>
                <w:lang w:val="en-US" w:eastAsia="zh-CN"/>
              </w:rPr>
            </w:pPr>
            <w:r>
              <w:rPr>
                <w:rFonts w:hint="eastAsia"/>
                <w:bCs/>
                <w:szCs w:val="21"/>
                <w:lang w:val="en-US" w:eastAsia="zh-CN"/>
              </w:rPr>
              <w:t>6</w:t>
            </w:r>
          </w:p>
        </w:tc>
        <w:tc>
          <w:tcPr>
            <w:tcW w:w="874" w:type="pct"/>
            <w:vMerge w:val="continue"/>
            <w:vAlign w:val="center"/>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六人圆桌</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3</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eastAsia" w:eastAsiaTheme="minorEastAsia"/>
                <w:bCs/>
                <w:szCs w:val="21"/>
                <w:lang w:val="en-US" w:eastAsia="zh-CN"/>
              </w:rPr>
            </w:pPr>
            <w:r>
              <w:rPr>
                <w:rFonts w:hint="eastAsia"/>
                <w:bCs/>
                <w:szCs w:val="21"/>
                <w:lang w:val="en-US" w:eastAsia="zh-CN"/>
              </w:rPr>
              <w:t>7</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小方桌</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2</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eastAsia" w:eastAsiaTheme="minorEastAsia"/>
                <w:bCs/>
                <w:szCs w:val="21"/>
                <w:lang w:val="en-US" w:eastAsia="zh-CN"/>
              </w:rPr>
            </w:pPr>
            <w:r>
              <w:rPr>
                <w:rFonts w:hint="eastAsia"/>
                <w:bCs/>
                <w:szCs w:val="21"/>
                <w:lang w:val="en-US" w:eastAsia="zh-CN"/>
              </w:rPr>
              <w:t>8</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吧台桌1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2</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eastAsia" w:eastAsiaTheme="minorEastAsia"/>
                <w:bCs/>
                <w:szCs w:val="21"/>
                <w:lang w:val="en-US" w:eastAsia="zh-CN"/>
              </w:rPr>
            </w:pPr>
            <w:r>
              <w:rPr>
                <w:rFonts w:hint="eastAsia"/>
                <w:bCs/>
                <w:szCs w:val="21"/>
                <w:lang w:val="en-US" w:eastAsia="zh-CN"/>
              </w:rPr>
              <w:t>9</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吧台桌2</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10</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卡座</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个</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11</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花箱</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3</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个</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12</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椅子1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54</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13</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椅子2</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30</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14</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椅子3</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9</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15</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柜子</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个</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16</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三人沙发</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个</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17</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茶几</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个</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18</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单人沙发</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2</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个</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19</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茶水柜</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个</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20</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边柜</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2</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个</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21</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10人圆桌</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22</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餐椅</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10</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个</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23</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餐边柜</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个</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24</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空气消毒机</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台</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25</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屏风1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套</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ilvl w:val="0"/>
                <w:numId w:val="0"/>
              </w:numPr>
              <w:ind w:left="425" w:leftChars="0" w:hanging="425" w:firstLineChars="0"/>
              <w:jc w:val="center"/>
              <w:rPr>
                <w:rFonts w:hint="default" w:eastAsiaTheme="minorEastAsia"/>
                <w:bCs/>
                <w:szCs w:val="21"/>
                <w:lang w:val="en-US" w:eastAsia="zh-CN"/>
              </w:rPr>
            </w:pPr>
            <w:r>
              <w:rPr>
                <w:rFonts w:hint="eastAsia"/>
                <w:bCs/>
                <w:szCs w:val="21"/>
                <w:lang w:val="en-US" w:eastAsia="zh-CN"/>
              </w:rPr>
              <w:t>26</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屏风2</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1</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套</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11" w:type="pct"/>
            <w:vAlign w:val="center"/>
          </w:tcPr>
          <w:p>
            <w:pPr>
              <w:numPr>
                <w:numId w:val="0"/>
              </w:numPr>
              <w:ind w:leftChars="0"/>
              <w:jc w:val="center"/>
              <w:rPr>
                <w:rFonts w:hint="default" w:eastAsiaTheme="minorEastAsia"/>
                <w:bCs/>
                <w:szCs w:val="21"/>
                <w:lang w:val="en-US" w:eastAsia="zh-CN"/>
              </w:rPr>
            </w:pPr>
            <w:r>
              <w:rPr>
                <w:rFonts w:hint="eastAsia"/>
                <w:bCs/>
                <w:szCs w:val="21"/>
                <w:lang w:val="en-US" w:eastAsia="zh-CN"/>
              </w:rPr>
              <w:t>27</w:t>
            </w:r>
          </w:p>
        </w:tc>
        <w:tc>
          <w:tcPr>
            <w:tcW w:w="874" w:type="pct"/>
            <w:vMerge w:val="continue"/>
          </w:tcPr>
          <w:p>
            <w:pPr>
              <w:jc w:val="center"/>
              <w:rPr>
                <w:bCs/>
                <w:szCs w:val="21"/>
              </w:rPr>
            </w:pPr>
          </w:p>
        </w:tc>
        <w:tc>
          <w:tcPr>
            <w:tcW w:w="903" w:type="pct"/>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rPr>
            </w:pPr>
            <w:r>
              <w:rPr>
                <w:rFonts w:hint="eastAsia" w:ascii="宋体" w:hAnsi="宋体" w:eastAsia="宋体" w:cs="宋体"/>
                <w:i w:val="0"/>
                <w:iCs w:val="0"/>
                <w:color w:val="000000"/>
                <w:kern w:val="0"/>
                <w:sz w:val="21"/>
                <w:szCs w:val="21"/>
                <w:u w:val="none"/>
                <w:lang w:val="en-US" w:eastAsia="zh-CN" w:bidi="ar"/>
              </w:rPr>
              <w:t>实木方凳</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54</w:t>
            </w:r>
          </w:p>
        </w:tc>
        <w:tc>
          <w:tcPr>
            <w:tcW w:w="348" w:type="pct"/>
            <w:vAlign w:val="center"/>
          </w:tcPr>
          <w:p>
            <w:pPr>
              <w:keepNext w:val="0"/>
              <w:keepLines w:val="0"/>
              <w:widowControl/>
              <w:suppressLineNumbers w:val="0"/>
              <w:spacing w:before="0" w:beforeAutospacing="0" w:after="0" w:afterAutospacing="0"/>
              <w:ind w:left="0" w:leftChars="0" w:right="0" w:rightChars="0"/>
              <w:jc w:val="center"/>
              <w:textAlignment w:val="center"/>
              <w:rPr>
                <w:bCs/>
                <w:szCs w:val="21"/>
              </w:rPr>
            </w:pPr>
            <w:r>
              <w:rPr>
                <w:rFonts w:hint="eastAsia" w:ascii="宋体" w:hAnsi="宋体" w:eastAsia="宋体" w:cs="宋体"/>
                <w:i w:val="0"/>
                <w:iCs w:val="0"/>
                <w:color w:val="000000"/>
                <w:kern w:val="0"/>
                <w:sz w:val="21"/>
                <w:szCs w:val="21"/>
                <w:u w:val="none"/>
                <w:lang w:val="en-US" w:eastAsia="zh-CN" w:bidi="ar"/>
              </w:rPr>
              <w:t>张</w:t>
            </w:r>
          </w:p>
        </w:tc>
        <w:tc>
          <w:tcPr>
            <w:tcW w:w="734" w:type="pct"/>
            <w:vAlign w:val="center"/>
          </w:tcPr>
          <w:p>
            <w:pPr>
              <w:jc w:val="center"/>
              <w:rPr>
                <w:b/>
                <w:bCs/>
                <w:szCs w:val="21"/>
                <w:highlight w:val="yellow"/>
              </w:rPr>
            </w:pPr>
            <w:r>
              <w:rPr>
                <w:rFonts w:hint="eastAsia"/>
                <w:b/>
                <w:bCs/>
                <w:szCs w:val="21"/>
              </w:rPr>
              <w:t>拒绝进口</w:t>
            </w:r>
          </w:p>
        </w:tc>
        <w:tc>
          <w:tcPr>
            <w:tcW w:w="688" w:type="pct"/>
            <w:vAlign w:val="center"/>
          </w:tcPr>
          <w:p>
            <w:pPr>
              <w:jc w:val="center"/>
              <w:rPr>
                <w:b/>
                <w:bCs/>
                <w:szCs w:val="21"/>
                <w:highlight w:val="yellow"/>
              </w:rPr>
            </w:pPr>
            <w:r>
              <w:rPr>
                <w:rFonts w:hint="eastAsia"/>
                <w:b/>
                <w:bCs/>
                <w:szCs w:val="21"/>
                <w:lang w:val="en-US" w:eastAsia="zh-CN"/>
              </w:rPr>
              <w:t>否</w:t>
            </w:r>
          </w:p>
        </w:tc>
        <w:tc>
          <w:tcPr>
            <w:tcW w:w="789" w:type="pct"/>
            <w:vAlign w:val="center"/>
          </w:tcPr>
          <w:p>
            <w:pPr>
              <w:jc w:val="center"/>
              <w:rPr>
                <w:b/>
                <w:bCs/>
                <w:szCs w:val="21"/>
                <w:highlight w:val="yellow"/>
              </w:rPr>
            </w:pPr>
            <w:r>
              <w:rPr>
                <w:rFonts w:hint="eastAsia"/>
                <w:b/>
                <w:bCs/>
                <w:szCs w:val="21"/>
                <w:lang w:val="en-US" w:eastAsia="zh-CN"/>
              </w:rPr>
              <w:t>工业</w:t>
            </w:r>
          </w:p>
        </w:tc>
      </w:tr>
    </w:tbl>
    <w:p>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pPr>
        <w:numPr>
          <w:ilvl w:val="0"/>
          <w:numId w:val="1"/>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pPr>
        <w:numPr>
          <w:ilvl w:val="0"/>
          <w:numId w:val="1"/>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pPr>
        <w:ind w:firstLine="422" w:firstLineChars="200"/>
        <w:rPr>
          <w:rFonts w:ascii="宋体" w:hAnsi="宋体"/>
          <w:b/>
          <w:color w:val="FF0000"/>
          <w:szCs w:val="21"/>
        </w:rPr>
      </w:pPr>
      <w:r>
        <w:rPr>
          <w:rFonts w:hint="eastAsia" w:ascii="宋体" w:hAnsi="宋体"/>
          <w:b/>
          <w:color w:val="FF0000"/>
          <w:szCs w:val="21"/>
        </w:rPr>
        <w:t>本项目核心产品</w:t>
      </w:r>
      <w:r>
        <w:rPr>
          <w:rFonts w:hint="eastAsia" w:ascii="宋体" w:hAnsi="宋体"/>
          <w:b/>
          <w:color w:val="FF0000"/>
          <w:szCs w:val="21"/>
          <w:highlight w:val="none"/>
        </w:rPr>
        <w:t>为：</w:t>
      </w:r>
      <w:r>
        <w:rPr>
          <w:rFonts w:hint="eastAsia" w:ascii="宋体" w:hAnsi="宋体"/>
          <w:b/>
          <w:color w:val="FF0000"/>
          <w:szCs w:val="21"/>
          <w:highlight w:val="none"/>
          <w:u w:val="single"/>
        </w:rPr>
        <w:t xml:space="preserve">   四人桌</w:t>
      </w:r>
      <w:r>
        <w:rPr>
          <w:rFonts w:hint="eastAsia" w:ascii="宋体" w:hAnsi="宋体"/>
          <w:b/>
          <w:color w:val="FF0000"/>
          <w:szCs w:val="21"/>
          <w:highlight w:val="none"/>
          <w:u w:val="single"/>
          <w:lang w:val="en-US" w:eastAsia="zh-CN"/>
        </w:rPr>
        <w:t>1</w:t>
      </w:r>
      <w:r>
        <w:rPr>
          <w:rFonts w:hint="eastAsia" w:ascii="宋体" w:hAnsi="宋体"/>
          <w:b/>
          <w:color w:val="FF0000"/>
          <w:szCs w:val="21"/>
          <w:highlight w:val="none"/>
          <w:u w:val="single"/>
        </w:rPr>
        <w:t xml:space="preserve"> </w:t>
      </w:r>
      <w:r>
        <w:rPr>
          <w:rFonts w:hint="eastAsia" w:ascii="宋体" w:hAnsi="宋体"/>
          <w:b/>
          <w:color w:val="FF0000"/>
          <w:szCs w:val="21"/>
          <w:u w:val="single"/>
        </w:rPr>
        <w:t xml:space="preserve">  </w:t>
      </w:r>
      <w:r>
        <w:rPr>
          <w:rFonts w:hint="eastAsia" w:ascii="宋体" w:hAnsi="宋体"/>
          <w:b/>
          <w:color w:val="FF0000"/>
          <w:szCs w:val="21"/>
        </w:rPr>
        <w:t>。</w:t>
      </w:r>
    </w:p>
    <w:bookmarkEnd w:id="38"/>
    <w:p>
      <w:pPr>
        <w:rPr>
          <w:rFonts w:ascii="宋体" w:hAnsi="宋体"/>
          <w:b/>
          <w:color w:val="FF0000"/>
          <w:szCs w:val="21"/>
        </w:rPr>
      </w:pPr>
    </w:p>
    <w:p>
      <w:pPr>
        <w:pStyle w:val="8"/>
      </w:pPr>
    </w:p>
    <w:p>
      <w:pPr>
        <w:pStyle w:val="6"/>
        <w:spacing w:before="120" w:beforeLines="50" w:after="120" w:afterLines="50"/>
        <w:jc w:val="center"/>
        <w:rPr>
          <w:sz w:val="28"/>
          <w:szCs w:val="28"/>
        </w:rPr>
      </w:pPr>
      <w:bookmarkStart w:id="40" w:name="_Toc128884461"/>
      <w:r>
        <w:rPr>
          <w:rFonts w:hint="eastAsia"/>
          <w:sz w:val="28"/>
          <w:szCs w:val="28"/>
        </w:rPr>
        <w:t>三、实质性条款</w:t>
      </w:r>
    </w:p>
    <w:tbl>
      <w:tblPr>
        <w:tblStyle w:val="18"/>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r>
              <w:rPr>
                <w:rFonts w:hint="eastAsia"/>
              </w:rPr>
              <w:t>序号</w:t>
            </w:r>
          </w:p>
        </w:tc>
        <w:tc>
          <w:tcPr>
            <w:tcW w:w="7832" w:type="dxa"/>
            <w:noWrap w:val="0"/>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pPr>
              <w:jc w:val="center"/>
            </w:pPr>
            <w:r>
              <w:rPr>
                <w:rFonts w:hint="eastAsia"/>
              </w:rPr>
              <w:t>1</w:t>
            </w:r>
          </w:p>
        </w:tc>
        <w:tc>
          <w:tcPr>
            <w:tcW w:w="7832" w:type="dxa"/>
            <w:noWrap w:val="0"/>
            <w:vAlign w:val="top"/>
          </w:tcPr>
          <w:p>
            <w:pPr>
              <w:jc w:val="center"/>
              <w:rPr>
                <w:rFonts w:hint="eastAsia" w:eastAsia="宋体"/>
                <w:lang w:eastAsia="zh-CN"/>
              </w:rPr>
            </w:pPr>
            <w:r>
              <w:rPr>
                <w:rFonts w:hint="eastAsia"/>
              </w:rPr>
              <w:t>本项目招标文件中所有带★号条款</w:t>
            </w:r>
            <w:r>
              <w:rPr>
                <w:rFonts w:hint="eastAsia"/>
                <w:lang w:val="en-US" w:eastAsia="zh-CN"/>
              </w:rPr>
              <w:t>内容</w:t>
            </w:r>
          </w:p>
        </w:tc>
      </w:tr>
    </w:tbl>
    <w:p>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40"/>
    <w:p>
      <w:pPr>
        <w:spacing w:afterLines="25" w:line="300" w:lineRule="auto"/>
        <w:rPr>
          <w:rFonts w:ascii="Arial" w:hAnsi="Arial" w:eastAsia="宋体" w:cs="Times New Roman"/>
          <w:szCs w:val="24"/>
        </w:rPr>
      </w:pPr>
    </w:p>
    <w:p>
      <w:pPr>
        <w:widowControl/>
        <w:jc w:val="left"/>
        <w:rPr>
          <w:rFonts w:ascii="Arial" w:hAnsi="Arial" w:eastAsia="宋体" w:cs="Times New Roman"/>
          <w:szCs w:val="24"/>
        </w:rPr>
      </w:pPr>
    </w:p>
    <w:p>
      <w:pPr>
        <w:pStyle w:val="8"/>
      </w:pPr>
    </w:p>
    <w:p>
      <w:pPr>
        <w:pStyle w:val="6"/>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1"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p>
      <w:pPr>
        <w:ind w:firstLine="422" w:firstLineChars="200"/>
        <w:rPr>
          <w:rFonts w:hint="eastAsia"/>
          <w:b/>
          <w:szCs w:val="21"/>
        </w:rPr>
      </w:pPr>
    </w:p>
    <w:bookmarkEnd w:id="41"/>
    <w:tbl>
      <w:tblPr>
        <w:tblStyle w:val="18"/>
        <w:tblW w:w="88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1"/>
        <w:gridCol w:w="1479"/>
        <w:gridCol w:w="6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jc w:val="center"/>
        </w:trPr>
        <w:tc>
          <w:tcPr>
            <w:tcW w:w="841" w:type="dxa"/>
            <w:vAlign w:val="center"/>
          </w:tcPr>
          <w:p>
            <w:pPr>
              <w:keepNext w:val="0"/>
              <w:keepLines w:val="0"/>
              <w:widowControl/>
              <w:suppressLineNumbers w:val="0"/>
              <w:jc w:val="center"/>
              <w:textAlignment w:val="center"/>
              <w:rPr>
                <w:rStyle w:val="40"/>
                <w:lang w:val="en-US" w:eastAsia="zh-CN" w:bidi="ar"/>
              </w:rPr>
            </w:pPr>
            <w:bookmarkStart w:id="42" w:name="_Hlk70236148"/>
            <w:r>
              <w:rPr>
                <w:rStyle w:val="40"/>
                <w:lang w:val="en-US" w:eastAsia="zh-CN" w:bidi="ar"/>
              </w:rPr>
              <w:t>序号</w:t>
            </w:r>
          </w:p>
        </w:tc>
        <w:tc>
          <w:tcPr>
            <w:tcW w:w="1479" w:type="dxa"/>
            <w:vAlign w:val="center"/>
          </w:tcPr>
          <w:p>
            <w:pPr>
              <w:keepNext w:val="0"/>
              <w:keepLines w:val="0"/>
              <w:widowControl/>
              <w:suppressLineNumbers w:val="0"/>
              <w:jc w:val="center"/>
              <w:textAlignment w:val="center"/>
              <w:rPr>
                <w:rStyle w:val="40"/>
                <w:lang w:val="en-US" w:eastAsia="zh-CN" w:bidi="ar"/>
              </w:rPr>
            </w:pPr>
            <w:r>
              <w:rPr>
                <w:rStyle w:val="40"/>
                <w:lang w:val="en-US" w:eastAsia="zh-CN" w:bidi="ar"/>
              </w:rPr>
              <w:t>货物名称</w:t>
            </w:r>
          </w:p>
        </w:tc>
        <w:tc>
          <w:tcPr>
            <w:tcW w:w="6485" w:type="dxa"/>
            <w:vAlign w:val="center"/>
          </w:tcPr>
          <w:p>
            <w:pPr>
              <w:keepNext w:val="0"/>
              <w:keepLines w:val="0"/>
              <w:widowControl/>
              <w:suppressLineNumbers w:val="0"/>
              <w:jc w:val="center"/>
              <w:textAlignment w:val="center"/>
              <w:rPr>
                <w:rStyle w:val="40"/>
                <w:lang w:val="en-US" w:eastAsia="zh-CN" w:bidi="ar"/>
              </w:rPr>
            </w:pPr>
            <w:r>
              <w:rPr>
                <w:rStyle w:val="40"/>
                <w:rFonts w:hint="eastAsia"/>
                <w:lang w:val="en-US" w:eastAsia="zh-CN" w:bidi="ar"/>
              </w:rPr>
              <w:t>招标</w:t>
            </w:r>
            <w:r>
              <w:rPr>
                <w:rStyle w:val="40"/>
                <w:lang w:val="en-US" w:eastAsia="zh-CN" w:bidi="ar"/>
              </w:rPr>
              <w:t>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四人桌1</w:t>
            </w:r>
          </w:p>
        </w:tc>
        <w:tc>
          <w:tcPr>
            <w:tcW w:w="6485" w:type="dxa"/>
            <w:vAlign w:val="center"/>
          </w:tcPr>
          <w:p>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 xml:space="preserve">1. </w:t>
            </w:r>
            <w:r>
              <w:rPr>
                <w:rStyle w:val="39"/>
                <w:lang w:val="en-US" w:eastAsia="zh-CN" w:bidi="ar"/>
              </w:rPr>
              <w:t>（尺寸允许±10%偏离）尺寸：长1500mm*宽800mm*高750mm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 xml:space="preserve">2. </w:t>
            </w:r>
            <w:r>
              <w:rPr>
                <w:rStyle w:val="40"/>
                <w:lang w:val="en-US" w:eastAsia="zh-CN" w:bidi="ar"/>
              </w:rPr>
              <w:t>材质：采用红榉木，桌面板采用≧40mm厚榉木木实木，漆面采用水性漆，整张桌子采用榫卯结构组装，桌腿采用长≧80mm*宽≧80mm</w:t>
            </w:r>
            <w:r>
              <w:rPr>
                <w:rStyle w:val="40"/>
                <w:highlight w:val="none"/>
                <w:lang w:val="en-US" w:eastAsia="zh-CN" w:bidi="ar"/>
              </w:rPr>
              <w:t>榉木实木。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四人桌2</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 </w:t>
            </w:r>
            <w:r>
              <w:rPr>
                <w:rStyle w:val="39"/>
                <w:lang w:val="en-US" w:eastAsia="zh-CN" w:bidi="ar"/>
              </w:rPr>
              <w:t>（尺寸允许±10%偏离）尺寸：长1500mm*宽1000mm*高750mm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 </w:t>
            </w:r>
            <w:r>
              <w:rPr>
                <w:rStyle w:val="40"/>
                <w:lang w:val="en-US" w:eastAsia="zh-CN" w:bidi="ar"/>
              </w:rPr>
              <w:t>材质：</w:t>
            </w:r>
            <w:r>
              <w:rPr>
                <w:rStyle w:val="39"/>
                <w:lang w:val="en-US" w:eastAsia="zh-CN" w:bidi="ar"/>
              </w:rPr>
              <w:t>采用</w:t>
            </w:r>
            <w:r>
              <w:rPr>
                <w:rStyle w:val="40"/>
                <w:lang w:val="en-US" w:eastAsia="zh-CN" w:bidi="ar"/>
              </w:rPr>
              <w:t>红榉木，桌面板采用≧40mm厚榉木木实木，漆面采用水性漆，整张桌子采用榫卯结构组装，桌腿采用长≧80mm*宽≧80mm榉木木实木。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六人桌1</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 </w:t>
            </w:r>
            <w:r>
              <w:rPr>
                <w:rStyle w:val="39"/>
                <w:lang w:val="en-US" w:eastAsia="zh-CN" w:bidi="ar"/>
              </w:rPr>
              <w:t>（尺寸允许±10%偏离）尺寸：长2200mm*宽1000mm*高750mm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6. </w:t>
            </w:r>
            <w:r>
              <w:rPr>
                <w:rStyle w:val="40"/>
                <w:lang w:val="en-US" w:eastAsia="zh-CN" w:bidi="ar"/>
              </w:rPr>
              <w:t>材质：采用红榉木，桌面板采用≧40mm厚榉木木实木，漆面采用水性漆，整张桌子</w:t>
            </w:r>
            <w:r>
              <w:rPr>
                <w:rStyle w:val="39"/>
                <w:lang w:val="en-US" w:eastAsia="zh-CN" w:bidi="ar"/>
              </w:rPr>
              <w:t>采用</w:t>
            </w:r>
            <w:r>
              <w:rPr>
                <w:rStyle w:val="40"/>
                <w:lang w:val="en-US" w:eastAsia="zh-CN" w:bidi="ar"/>
              </w:rPr>
              <w:t>榫卯结构组装，桌腿采用长≧80mm*宽≧80mm榉木木实木。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六人桌2</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7. </w:t>
            </w:r>
            <w:r>
              <w:rPr>
                <w:rStyle w:val="39"/>
                <w:lang w:val="en-US" w:eastAsia="zh-CN" w:bidi="ar"/>
              </w:rPr>
              <w:t>（尺寸允许±10%偏离）尺寸：长2200mm*宽1200mm*高750mm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8. </w:t>
            </w:r>
            <w:r>
              <w:rPr>
                <w:rStyle w:val="40"/>
                <w:lang w:val="en-US" w:eastAsia="zh-CN" w:bidi="ar"/>
              </w:rPr>
              <w:t>材质：采用红榉木，桌面板采用≧40mm厚榉木木实木，漆面采用水性漆，整张桌子</w:t>
            </w:r>
            <w:r>
              <w:rPr>
                <w:rStyle w:val="39"/>
                <w:lang w:val="en-US" w:eastAsia="zh-CN" w:bidi="ar"/>
              </w:rPr>
              <w:t>采用</w:t>
            </w:r>
            <w:r>
              <w:rPr>
                <w:rStyle w:val="40"/>
                <w:lang w:val="en-US" w:eastAsia="zh-CN" w:bidi="ar"/>
              </w:rPr>
              <w:t>榫卯结构组装，桌腿采用长≧80mm*宽≧80mm榉木木实木。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四人圆桌</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9. </w:t>
            </w:r>
            <w:r>
              <w:rPr>
                <w:rStyle w:val="39"/>
                <w:lang w:val="en-US" w:eastAsia="zh-CN" w:bidi="ar"/>
              </w:rPr>
              <w:t>（尺寸允许±10%偏离）尺寸：直径1000mm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10. </w:t>
            </w:r>
            <w:r>
              <w:rPr>
                <w:rStyle w:val="40"/>
                <w:lang w:val="en-US" w:eastAsia="zh-CN" w:bidi="ar"/>
              </w:rPr>
              <w:t>材质：采用红榉木，桌面板采用≧40mm厚榉木木实木，漆面采用水性漆，桌腿上横截面（80mm*40mm）±10%,桌腿下横截面（40mm*40mm）±10%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六人圆桌</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11. </w:t>
            </w:r>
            <w:r>
              <w:rPr>
                <w:rStyle w:val="39"/>
                <w:lang w:val="en-US" w:eastAsia="zh-CN" w:bidi="ar"/>
              </w:rPr>
              <w:t>（尺寸允许±10%偏离）尺寸：直径1400mm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12. </w:t>
            </w:r>
            <w:r>
              <w:rPr>
                <w:rStyle w:val="40"/>
                <w:lang w:val="en-US" w:eastAsia="zh-CN" w:bidi="ar"/>
              </w:rPr>
              <w:t>材质：采用红榉木，桌面板采用≧40mm厚榉木木实木，漆面采用水性漆，桌腿上横截面（80mm*40mm）±10%,桌腿下横截面（40mm*40mm）±10%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13. </w:t>
            </w:r>
            <w:r>
              <w:rPr>
                <w:rStyle w:val="41"/>
                <w:lang w:val="en-US" w:eastAsia="zh-CN" w:bidi="ar"/>
              </w:rPr>
              <w:t>▲红榉木依据LY/T 1985-2011的测定，五氯苯酚含量应≤0.5mg/kg；依据GB/T 1927.4-2021的测定，含水率应在9～12%的范围内；依据GB/T 29894-2013的测定，木材鉴定应符合要求；依据GB/T 1927.19-2021的测定，硬度应≥40N/mm²。</w:t>
            </w:r>
            <w:r>
              <w:rPr>
                <w:rStyle w:val="42"/>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14. </w:t>
            </w:r>
            <w:r>
              <w:rPr>
                <w:rStyle w:val="41"/>
                <w:lang w:val="en-US" w:eastAsia="zh-CN" w:bidi="ar"/>
              </w:rPr>
              <w:t>▲水性漆依据GB/T 36488-2018的测定，多环芳烃总和含量（限萘、蒽）应≤200mg/kg；依据GB/T 37884-2019的测定，挥发性有机化合物（VOC）释放量应≤50μg/m³；依据GB/T 23991-2009的测定，可溶性重金属镉应≤75mg/kg、可溶性重金属汞、可溶性重金属铬均应≤60mg/kg；依据GB/T 23990-2009的测定，苯系物总和含量[限苯、甲苯、二甲苯（含乙苯）]应≤100mg/kg。</w:t>
            </w:r>
            <w:r>
              <w:rPr>
                <w:rStyle w:val="42"/>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小方桌</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15. </w:t>
            </w:r>
            <w:r>
              <w:rPr>
                <w:rStyle w:val="39"/>
                <w:lang w:val="en-US" w:eastAsia="zh-CN" w:bidi="ar"/>
              </w:rPr>
              <w:t>（尺寸允许±10%偏离）尺寸：长800mm*宽600mm*高750mm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16. </w:t>
            </w:r>
            <w:r>
              <w:rPr>
                <w:rStyle w:val="40"/>
                <w:lang w:val="en-US" w:eastAsia="zh-CN" w:bidi="ar"/>
              </w:rPr>
              <w:t>材质：采用红榉木，桌面板采用≧40mm厚榉木木实木，漆面采用水性漆，桌腿采用钢铁圆管，桌腿直径76mm±6mm；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吧台桌1</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17. </w:t>
            </w:r>
            <w:r>
              <w:rPr>
                <w:rStyle w:val="39"/>
                <w:lang w:val="en-US" w:eastAsia="zh-CN" w:bidi="ar"/>
              </w:rPr>
              <w:t>（尺寸允许±10%偏离）尺寸：长2200mm*宽600mm*高1050mm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18. </w:t>
            </w:r>
            <w:r>
              <w:rPr>
                <w:rStyle w:val="40"/>
                <w:lang w:val="en-US" w:eastAsia="zh-CN" w:bidi="ar"/>
              </w:rPr>
              <w:t>材质：采用红榉木，桌面板采用≧40mm厚榉木木实木，漆面采用水性漆，整张桌子采用榫卯结构组装，桌腿采用长≧80mm*宽≧80mm榉木木实木。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吧台桌2</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19. </w:t>
            </w:r>
            <w:r>
              <w:rPr>
                <w:rStyle w:val="39"/>
                <w:lang w:val="en-US" w:eastAsia="zh-CN" w:bidi="ar"/>
              </w:rPr>
              <w:t>（尺寸允许±10%偏离）尺寸：长2000mm*宽600mm*高1050mm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20. </w:t>
            </w:r>
            <w:r>
              <w:rPr>
                <w:rStyle w:val="40"/>
                <w:lang w:val="en-US" w:eastAsia="zh-CN" w:bidi="ar"/>
              </w:rPr>
              <w:t>材质：采用红榉木，桌面板采用≧40mm厚榉木木实木，漆面采用水性漆，整张桌子采用榫卯结构组装，桌腿采用长≧80mm*宽≧80mm榉木木实木。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卡座</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21. </w:t>
            </w:r>
            <w:r>
              <w:rPr>
                <w:rStyle w:val="39"/>
                <w:lang w:val="en-US" w:eastAsia="zh-CN" w:bidi="ar"/>
              </w:rPr>
              <w:t>（尺寸</w:t>
            </w:r>
            <w:r>
              <w:rPr>
                <w:rStyle w:val="40"/>
                <w:lang w:val="en-US" w:eastAsia="zh-CN" w:bidi="ar"/>
              </w:rPr>
              <w:t>允许</w:t>
            </w:r>
            <w:r>
              <w:rPr>
                <w:rStyle w:val="39"/>
                <w:lang w:val="en-US" w:eastAsia="zh-CN" w:bidi="ar"/>
              </w:rPr>
              <w:t>±10%偏离）尺寸：长6000mm*宽670mm*高900mm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22. </w:t>
            </w:r>
            <w:r>
              <w:rPr>
                <w:rStyle w:val="40"/>
                <w:lang w:val="en-US" w:eastAsia="zh-CN" w:bidi="ar"/>
              </w:rPr>
              <w:t>材质：座椅木架采用18mm±1mm浸渍胶膜纸饰面胶合板，座垫和靠背采用阻燃海绵软包，软包表层采用西皮合成革，软包内填充50mm±5mm厚海绵，</w:t>
            </w:r>
            <w:bookmarkStart w:id="43" w:name="OLE_LINK1"/>
            <w:r>
              <w:rPr>
                <w:rStyle w:val="40"/>
                <w:lang w:val="en-US" w:eastAsia="zh-CN" w:bidi="ar"/>
              </w:rPr>
              <w:t>海绵密度：40%</w:t>
            </w:r>
            <w:bookmarkEnd w:id="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23. </w:t>
            </w:r>
            <w:r>
              <w:rPr>
                <w:rStyle w:val="41"/>
                <w:lang w:val="en-US" w:eastAsia="zh-CN" w:bidi="ar"/>
              </w:rPr>
              <w:t>▲合成革依据QB/T 5067-2017的测定，颜色迁移性应在4~5级范围内、耐光性（变褪色）应≥4级；依据GB/T 7573-2009的测定，pH值应在4.0~7.5范围内；依据GB/T 19942-2019的测定，可裂解出致癌芳香胺的偶氮染料应≤30mg/kg；依据GB/T 3920-2008的测定，耐干摩擦应≥4级。</w:t>
            </w:r>
            <w:r>
              <w:rPr>
                <w:rStyle w:val="42"/>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24. </w:t>
            </w:r>
            <w:r>
              <w:rPr>
                <w:rStyle w:val="41"/>
                <w:lang w:val="en-US" w:eastAsia="zh-CN" w:bidi="ar"/>
              </w:rPr>
              <w:t>▲海绵依据GB/T 6343-2009的测定，海绵表面密度应≧40kg/m³；依据GB/T 6670-2008的测定，海绵回弹率应≥80%；依据GB/T 6344-2008的测定，拉伸强度应≧130Kpa，伸长率应≥140%。</w:t>
            </w:r>
            <w:r>
              <w:rPr>
                <w:rStyle w:val="42"/>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花箱</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25. </w:t>
            </w:r>
            <w:r>
              <w:rPr>
                <w:rStyle w:val="39"/>
                <w:lang w:val="en-US" w:eastAsia="zh-CN" w:bidi="ar"/>
              </w:rPr>
              <w:t>（尺寸允许±10%偏离）尺寸：长2000mm*宽350mm*高900mm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26. </w:t>
            </w:r>
            <w:r>
              <w:rPr>
                <w:rStyle w:val="39"/>
                <w:lang w:val="en-US" w:eastAsia="zh-CN" w:bidi="ar"/>
              </w:rPr>
              <w:t>采用</w:t>
            </w:r>
            <w:r>
              <w:rPr>
                <w:rStyle w:val="40"/>
                <w:lang w:val="en-US" w:eastAsia="zh-CN" w:bidi="ar"/>
              </w:rPr>
              <w:t>18mm±1mm浸渍胶膜纸饰面胶合板,板件四周采用厚度1mm±0.1mmPVC封边条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27. </w:t>
            </w:r>
            <w:r>
              <w:rPr>
                <w:rStyle w:val="41"/>
                <w:lang w:val="en-US" w:eastAsia="zh-CN" w:bidi="ar"/>
              </w:rPr>
              <w:t>▲浸渍胶膜纸饰面胶合板依据GB/T 34722-2017的测定，外观应符合合格要求；依据LY/T 1985-2011的测定，五氯苯酚含量应为未检出；依据GB/T 1927.8-2021的测定，弦向湿胀率≤6%，径向湿胀率≤3%。</w:t>
            </w:r>
            <w:r>
              <w:rPr>
                <w:rStyle w:val="42"/>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椅子1</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28. </w:t>
            </w:r>
            <w:r>
              <w:rPr>
                <w:rStyle w:val="39"/>
                <w:lang w:val="en-US" w:eastAsia="zh-CN" w:bidi="ar"/>
              </w:rPr>
              <w:t>（尺寸</w:t>
            </w:r>
            <w:r>
              <w:rPr>
                <w:rStyle w:val="40"/>
                <w:lang w:val="en-US" w:eastAsia="zh-CN" w:bidi="ar"/>
              </w:rPr>
              <w:t>允许</w:t>
            </w:r>
            <w:r>
              <w:rPr>
                <w:rStyle w:val="39"/>
                <w:lang w:val="en-US" w:eastAsia="zh-CN" w:bidi="ar"/>
              </w:rPr>
              <w:t>±10%偏离）尺寸：长565mm*宽545mm*高830mm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29. </w:t>
            </w:r>
            <w:r>
              <w:rPr>
                <w:rStyle w:val="40"/>
                <w:lang w:val="en-US" w:eastAsia="zh-CN" w:bidi="ar"/>
              </w:rPr>
              <w:t>材质：椅腿采用钢管，椅背采用PP塑料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椅子2</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30. </w:t>
            </w:r>
            <w:r>
              <w:rPr>
                <w:rStyle w:val="39"/>
                <w:lang w:val="en-US" w:eastAsia="zh-CN" w:bidi="ar"/>
              </w:rPr>
              <w:t>（尺寸</w:t>
            </w:r>
            <w:r>
              <w:rPr>
                <w:rStyle w:val="40"/>
                <w:lang w:val="en-US" w:eastAsia="zh-CN" w:bidi="ar"/>
              </w:rPr>
              <w:t>允许</w:t>
            </w:r>
            <w:r>
              <w:rPr>
                <w:rStyle w:val="39"/>
                <w:lang w:val="en-US" w:eastAsia="zh-CN" w:bidi="ar"/>
              </w:rPr>
              <w:t>±10%偏离）尺寸：总高830mm*宽度520mm*座深460mm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31. </w:t>
            </w:r>
            <w:r>
              <w:rPr>
                <w:rStyle w:val="40"/>
                <w:lang w:val="en-US" w:eastAsia="zh-CN" w:bidi="ar"/>
              </w:rPr>
              <w:t>材质</w:t>
            </w:r>
            <w:r>
              <w:rPr>
                <w:rStyle w:val="39"/>
                <w:lang w:val="en-US" w:eastAsia="zh-CN" w:bidi="ar"/>
              </w:rPr>
              <w:t>：</w:t>
            </w:r>
            <w:r>
              <w:rPr>
                <w:rStyle w:val="40"/>
                <w:lang w:val="en-US" w:eastAsia="zh-CN" w:bidi="ar"/>
              </w:rPr>
              <w:t>椅腿采用钢管，椅背采用合成皮革，座垫填充海绵。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椅子3</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32. </w:t>
            </w:r>
            <w:r>
              <w:rPr>
                <w:rStyle w:val="39"/>
                <w:lang w:val="en-US" w:eastAsia="zh-CN" w:bidi="ar"/>
              </w:rPr>
              <w:t>（尺寸允许±10%偏离）尺寸：长400mm*座椅宽360mm*高800mm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33. </w:t>
            </w:r>
            <w:r>
              <w:rPr>
                <w:rStyle w:val="40"/>
                <w:lang w:val="en-US" w:eastAsia="zh-CN" w:bidi="ar"/>
              </w:rPr>
              <w:t>材质：桌腿采用木质，座垫和靠背采用海绵软包，软包表层采用合成革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柜子</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34. </w:t>
            </w:r>
            <w:r>
              <w:rPr>
                <w:rStyle w:val="39"/>
                <w:lang w:val="en-US" w:eastAsia="zh-CN" w:bidi="ar"/>
              </w:rPr>
              <w:t>（尺寸允许±10%偏离）尺寸：长4190mm*宽300mm*高2200mm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35. </w:t>
            </w:r>
            <w:r>
              <w:rPr>
                <w:rStyle w:val="40"/>
                <w:lang w:val="en-US" w:eastAsia="zh-CN" w:bidi="ar"/>
              </w:rPr>
              <w:t>材质：主柜架采用18mm±1mm浸渍胶膜纸饰面胶合板，背板采用9mm±1mm浸渍胶膜纸饰面胶合板,板件四周采用厚度1mmPVC封边条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36. </w:t>
            </w:r>
            <w:r>
              <w:rPr>
                <w:rStyle w:val="41"/>
                <w:lang w:val="en-US" w:eastAsia="zh-CN" w:bidi="ar"/>
              </w:rPr>
              <w:t>▲PVC封边条依据GB/T 16422.2-2022的测定，氙灯老化120h后样品表面无明显变化；依据QB/T 4463-2013的测定，耐老化性应无开裂、耐干热性应无龟裂、无鼓泡、耐冷热循环性应无龟裂、无鼓泡、无变色、无起皱；依据GB/T 12000-2017的测定，盐雾试验24h后应符合合格要求、UV老化120h后应表面无裂纹。</w:t>
            </w:r>
            <w:r>
              <w:rPr>
                <w:rStyle w:val="42"/>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三人沙发</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37. </w:t>
            </w:r>
            <w:r>
              <w:rPr>
                <w:rStyle w:val="39"/>
                <w:lang w:val="en-US" w:eastAsia="zh-CN" w:bidi="ar"/>
              </w:rPr>
              <w:t>（尺寸允许±10%偏离）尺寸：长2655mm*宽1080mm*高850mm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38. </w:t>
            </w:r>
            <w:r>
              <w:rPr>
                <w:rStyle w:val="40"/>
                <w:lang w:val="en-US" w:eastAsia="zh-CN" w:bidi="ar"/>
              </w:rPr>
              <w:t>材质：内架采用夹板及刨方木装订而成，坐包采用蛇形弹簧支撑加钢丝绳及高弹力橡筋和网布支撑加高密度海绵填充。外采用布艺饰面，框架采用白蜡木，水性漆处理。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茶几</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39. </w:t>
            </w:r>
            <w:r>
              <w:rPr>
                <w:rStyle w:val="39"/>
                <w:lang w:val="en-US" w:eastAsia="zh-CN" w:bidi="ar"/>
              </w:rPr>
              <w:t>（尺寸允许±10%偏离）尺寸：长1200mm*宽556mm*高430mm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40. </w:t>
            </w:r>
            <w:r>
              <w:rPr>
                <w:rStyle w:val="40"/>
                <w:lang w:val="en-US" w:eastAsia="zh-CN" w:bidi="ar"/>
              </w:rPr>
              <w:t>材质：主体板材采用白蜡木，水性漆处理。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单人沙发</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41. </w:t>
            </w:r>
            <w:r>
              <w:rPr>
                <w:rStyle w:val="39"/>
                <w:lang w:val="en-US" w:eastAsia="zh-CN" w:bidi="ar"/>
              </w:rPr>
              <w:t>（尺寸允许±10%偏离）尺寸：长710mm*宽850mm*高845mm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42. </w:t>
            </w:r>
            <w:r>
              <w:rPr>
                <w:rStyle w:val="40"/>
                <w:lang w:val="en-US" w:eastAsia="zh-CN" w:bidi="ar"/>
              </w:rPr>
              <w:t>材质：框架采用木质，水性漆处理。外采用布艺饰面，坐包采用海绵填充。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茶水柜</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43. </w:t>
            </w:r>
            <w:r>
              <w:rPr>
                <w:rStyle w:val="39"/>
                <w:lang w:val="en-US" w:eastAsia="zh-CN" w:bidi="ar"/>
              </w:rPr>
              <w:t>（尺寸允许±10%偏离）尺寸：长784mm*宽393mm*高628mm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44. </w:t>
            </w:r>
            <w:r>
              <w:rPr>
                <w:rStyle w:val="40"/>
                <w:lang w:val="en-US" w:eastAsia="zh-CN" w:bidi="ar"/>
              </w:rPr>
              <w:t>材质：主体板材采用白蜡木，水性漆处理。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边柜</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45. </w:t>
            </w:r>
            <w:r>
              <w:rPr>
                <w:rStyle w:val="39"/>
                <w:lang w:val="en-US" w:eastAsia="zh-CN" w:bidi="ar"/>
              </w:rPr>
              <w:t>（尺寸允许±10%偏离）尺寸：长380mm*宽500mm*高578mm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46. </w:t>
            </w:r>
            <w:r>
              <w:rPr>
                <w:rStyle w:val="40"/>
                <w:lang w:val="en-US" w:eastAsia="zh-CN" w:bidi="ar"/>
              </w:rPr>
              <w:t>材质：主体板材采用白蜡木，水性漆处理。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10人圆桌</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47. </w:t>
            </w:r>
            <w:r>
              <w:rPr>
                <w:rStyle w:val="39"/>
                <w:lang w:val="en-US" w:eastAsia="zh-CN" w:bidi="ar"/>
              </w:rPr>
              <w:t>（尺寸允许±10%偏离）尺寸：直径2100mm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48. </w:t>
            </w:r>
            <w:r>
              <w:rPr>
                <w:rStyle w:val="40"/>
                <w:lang w:val="en-US" w:eastAsia="zh-CN" w:bidi="ar"/>
              </w:rPr>
              <w:t>材质：桌面采用岩板材质，桌盘带电动摇控装置。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餐椅</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49. </w:t>
            </w:r>
            <w:r>
              <w:rPr>
                <w:rStyle w:val="39"/>
                <w:lang w:val="en-US" w:eastAsia="zh-CN" w:bidi="ar"/>
              </w:rPr>
              <w:t>（尺寸允许±10%偏离）尺寸：长550mm*宽480mm*高820mm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50. </w:t>
            </w:r>
            <w:r>
              <w:rPr>
                <w:rStyle w:val="40"/>
                <w:lang w:val="en-US" w:eastAsia="zh-CN" w:bidi="ar"/>
              </w:rPr>
              <w:t>材质：坐垫及靠背采用皮质或布面，内板+高密度定型海绵，白腊木木脚，</w:t>
            </w:r>
            <w:r>
              <w:rPr>
                <w:rStyle w:val="39"/>
                <w:lang w:val="en-US" w:eastAsia="zh-CN" w:bidi="ar"/>
              </w:rPr>
              <w:t>水性</w:t>
            </w:r>
            <w:r>
              <w:rPr>
                <w:rStyle w:val="40"/>
                <w:lang w:val="en-US" w:eastAsia="zh-CN" w:bidi="ar"/>
              </w:rPr>
              <w:t>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餐边柜</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51. </w:t>
            </w:r>
            <w:r>
              <w:rPr>
                <w:rStyle w:val="39"/>
                <w:lang w:val="en-US" w:eastAsia="zh-CN" w:bidi="ar"/>
              </w:rPr>
              <w:t>（尺寸允许±</w:t>
            </w:r>
            <w:r>
              <w:rPr>
                <w:rStyle w:val="40"/>
                <w:lang w:val="en-US" w:eastAsia="zh-CN" w:bidi="ar"/>
              </w:rPr>
              <w:t>10</w:t>
            </w:r>
            <w:r>
              <w:rPr>
                <w:rStyle w:val="39"/>
                <w:lang w:val="en-US" w:eastAsia="zh-CN" w:bidi="ar"/>
              </w:rPr>
              <w:t>%偏离）尺寸：长1200mm*宽400mm*高810mm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52. </w:t>
            </w:r>
            <w:r>
              <w:rPr>
                <w:rStyle w:val="40"/>
                <w:lang w:val="en-US" w:eastAsia="zh-CN" w:bidi="ar"/>
              </w:rPr>
              <w:t>材质：</w:t>
            </w:r>
            <w:r>
              <w:rPr>
                <w:rStyle w:val="39"/>
                <w:lang w:val="en-US" w:eastAsia="zh-CN" w:bidi="ar"/>
              </w:rPr>
              <w:t>主体</w:t>
            </w:r>
            <w:r>
              <w:rPr>
                <w:rStyle w:val="40"/>
                <w:lang w:val="en-US" w:eastAsia="zh-CN" w:bidi="ar"/>
              </w:rPr>
              <w:t>板材采用白蜡木，水性漆处理。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空气消毒机</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53. </w:t>
            </w:r>
            <w:r>
              <w:rPr>
                <w:rStyle w:val="39"/>
                <w:lang w:val="en-US" w:eastAsia="zh-CN" w:bidi="ar"/>
              </w:rPr>
              <w:t>（尺寸允许±10%偏离）</w:t>
            </w:r>
            <w:r>
              <w:rPr>
                <w:rStyle w:val="40"/>
                <w:lang w:val="en-US" w:eastAsia="zh-CN" w:bidi="ar"/>
              </w:rPr>
              <w:t>规格：高1273mm*长635mm*宽338mm，</w:t>
            </w:r>
            <w:r>
              <w:rPr>
                <w:rStyle w:val="40"/>
                <w:rFonts w:hint="eastAsia" w:ascii="宋体" w:hAnsi="宋体" w:eastAsia="宋体" w:cs="宋体"/>
                <w:lang w:val="en-US" w:eastAsia="zh-CN" w:bidi="ar"/>
              </w:rPr>
              <w:t>4.3英寸触控彩屏，实时检测及显示PM2.5指标。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54. </w:t>
            </w:r>
            <w:r>
              <w:rPr>
                <w:rStyle w:val="40"/>
                <w:lang w:val="en-US" w:eastAsia="zh-CN" w:bidi="ar"/>
              </w:rPr>
              <w:t>技术要求：产品具有消毒杀菌、净化功能，配有万向轮；双重毒、杀菌技术，有效杀灭细菌、流感病毒；双重净化技术，有效去除国空气中异味、甲醛、颗粒物污染物；风道</w:t>
            </w:r>
            <w:r>
              <w:rPr>
                <w:rStyle w:val="39"/>
                <w:lang w:val="en-US" w:eastAsia="zh-CN" w:bidi="ar"/>
              </w:rPr>
              <w:t>设计</w:t>
            </w:r>
            <w:r>
              <w:rPr>
                <w:rStyle w:val="40"/>
                <w:lang w:val="en-US" w:eastAsia="zh-CN" w:bidi="ar"/>
              </w:rPr>
              <w:t>先消毒再净化，避免细菌、病毒在滤网上滋生，再次传染；净化先吸附再过滤，避免碳粉脱落，</w:t>
            </w:r>
            <w:r>
              <w:rPr>
                <w:rStyle w:val="40"/>
                <w:rFonts w:ascii="宋体" w:hAnsi="宋体" w:eastAsia="宋体" w:cs="宋体"/>
                <w:lang w:val="en-US" w:eastAsia="zh-CN" w:bidi="ar"/>
              </w:rPr>
              <w:t>二次污染；内置PM2.5传感器，实施监测空气中PM2.5数值。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55.</w:t>
            </w:r>
            <w:r>
              <w:rPr>
                <w:rFonts w:hint="eastAsia" w:ascii="宋体" w:hAnsi="宋体" w:eastAsia="宋体" w:cs="宋体"/>
                <w:i w:val="0"/>
                <w:iCs w:val="0"/>
                <w:color w:val="000000"/>
                <w:kern w:val="0"/>
                <w:sz w:val="24"/>
                <w:szCs w:val="24"/>
                <w:highlight w:val="none"/>
                <w:u w:val="none"/>
                <w:lang w:val="en-US" w:eastAsia="zh-CN" w:bidi="ar"/>
              </w:rPr>
              <w:t xml:space="preserve"> </w:t>
            </w:r>
            <w:r>
              <w:rPr>
                <w:rStyle w:val="41"/>
                <w:highlight w:val="none"/>
                <w:lang w:val="en-US" w:eastAsia="zh-CN" w:bidi="ar"/>
              </w:rPr>
              <w:t>▲空气消毒效果现场试验：在20M</w:t>
            </w:r>
            <w:r>
              <w:rPr>
                <w:rStyle w:val="41"/>
                <w:sz w:val="24"/>
                <w:highlight w:val="none"/>
                <w:vertAlign w:val="superscript"/>
                <w:lang w:val="en-US" w:eastAsia="zh-CN" w:bidi="ar"/>
              </w:rPr>
              <w:t>3</w:t>
            </w:r>
            <w:r>
              <w:rPr>
                <w:rStyle w:val="41"/>
                <w:highlight w:val="none"/>
                <w:lang w:val="en-US" w:eastAsia="zh-CN" w:bidi="ar"/>
              </w:rPr>
              <w:t>试空间内，开启样机杀菌功能和量大风速作用2h，试验重复3次，空气中自然茵消亡率应大于90%，空气消毒效果模拟现场试验，在10m</w:t>
            </w:r>
            <w:r>
              <w:rPr>
                <w:rStyle w:val="41"/>
                <w:sz w:val="24"/>
                <w:highlight w:val="none"/>
                <w:vertAlign w:val="superscript"/>
                <w:lang w:val="en-US" w:eastAsia="zh-CN" w:bidi="ar"/>
              </w:rPr>
              <w:t>3</w:t>
            </w:r>
            <w:r>
              <w:rPr>
                <w:rStyle w:val="41"/>
                <w:highlight w:val="none"/>
                <w:lang w:val="en-US" w:eastAsia="zh-CN" w:bidi="ar"/>
              </w:rPr>
              <w:t>试验空间内，开启样机杀菌功能和量大风速作用2h，试验重复3次，空气中白色葡萄球菌杀灭率应≧99.9%；紫外线泄漏量强度测试，在装置周边30cm处紫外线泄漏量强度应≤5μW/cm</w:t>
            </w:r>
            <w:r>
              <w:rPr>
                <w:rStyle w:val="41"/>
                <w:sz w:val="24"/>
                <w:highlight w:val="none"/>
                <w:vertAlign w:val="superscript"/>
                <w:lang w:val="en-US" w:eastAsia="zh-CN" w:bidi="ar"/>
              </w:rPr>
              <w:t>2</w:t>
            </w:r>
            <w:r>
              <w:rPr>
                <w:rStyle w:val="41"/>
                <w:highlight w:val="none"/>
                <w:lang w:val="en-US" w:eastAsia="zh-CN" w:bidi="ar"/>
              </w:rPr>
              <w:t>。</w:t>
            </w:r>
            <w:r>
              <w:rPr>
                <w:rStyle w:val="42"/>
                <w:highlight w:val="none"/>
                <w:lang w:val="en-US" w:eastAsia="zh-CN" w:bidi="ar"/>
              </w:rPr>
              <w:t>（投标时同时提供：①由第三方检验检测机构出具并加盖（或带有）CMA</w:t>
            </w:r>
            <w:r>
              <w:rPr>
                <w:rStyle w:val="42"/>
                <w:rFonts w:hint="eastAsia"/>
                <w:highlight w:val="none"/>
                <w:lang w:val="en-US" w:eastAsia="zh-CN" w:bidi="ar"/>
              </w:rPr>
              <w:t>及CNAS</w:t>
            </w:r>
            <w:r>
              <w:rPr>
                <w:rStyle w:val="42"/>
                <w:highlight w:val="none"/>
                <w:lang w:val="en-US" w:eastAsia="zh-CN" w:bidi="ar"/>
              </w:rPr>
              <w:t>标志的检验检测报告扫描件，原件备查；②上述检验检测报告在全国认证认可</w:t>
            </w:r>
            <w:r>
              <w:rPr>
                <w:rStyle w:val="42"/>
                <w:lang w:val="en-US" w:eastAsia="zh-CN" w:bidi="ar"/>
              </w:rPr>
              <w:t>信息公共服务平台（认e云）（http://cx.cnca.cn/）的信息查询记录截图。注：对应参数（检验检测项）在检验检测报告中进行标注。如检验检测报告中明确备注说明相关检验检测项不在检验检测机构</w:t>
            </w:r>
            <w:r>
              <w:rPr>
                <w:rStyle w:val="42"/>
                <w:highlight w:val="none"/>
                <w:lang w:val="en-US" w:eastAsia="zh-CN" w:bidi="ar"/>
              </w:rPr>
              <w:t>CMA</w:t>
            </w:r>
            <w:r>
              <w:rPr>
                <w:rStyle w:val="42"/>
                <w:rFonts w:hint="eastAsia"/>
                <w:highlight w:val="none"/>
                <w:lang w:val="en-US" w:eastAsia="zh-CN" w:bidi="ar"/>
              </w:rPr>
              <w:t>及CNAS</w:t>
            </w:r>
            <w:r>
              <w:rPr>
                <w:rStyle w:val="42"/>
                <w:lang w:val="en-US" w:eastAsia="zh-CN" w:bidi="ar"/>
              </w:rPr>
              <w:t>资质许可（认定）范围内的，不符合招标文件要求。）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屏风1</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56. </w:t>
            </w:r>
            <w:r>
              <w:rPr>
                <w:rStyle w:val="39"/>
                <w:lang w:val="en-US" w:eastAsia="zh-CN" w:bidi="ar"/>
              </w:rPr>
              <w:t>（尺寸允许±</w:t>
            </w:r>
            <w:r>
              <w:rPr>
                <w:rStyle w:val="40"/>
                <w:lang w:val="en-US" w:eastAsia="zh-CN" w:bidi="ar"/>
              </w:rPr>
              <w:t>10</w:t>
            </w:r>
            <w:r>
              <w:rPr>
                <w:rStyle w:val="39"/>
                <w:lang w:val="en-US" w:eastAsia="zh-CN" w:bidi="ar"/>
              </w:rPr>
              <w:t>%偏离）尺寸：</w:t>
            </w:r>
            <w:r>
              <w:rPr>
                <w:rStyle w:val="40"/>
                <w:lang w:val="en-US" w:eastAsia="zh-CN" w:bidi="ar"/>
              </w:rPr>
              <w:t>长4800mm*高2600mm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57.材质：铝型材边框、木饰面板内夹隔音材料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147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屏风2</w:t>
            </w: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58. </w:t>
            </w:r>
            <w:r>
              <w:rPr>
                <w:rStyle w:val="39"/>
                <w:lang w:val="en-US" w:eastAsia="zh-CN" w:bidi="ar"/>
              </w:rPr>
              <w:t>（尺寸允许±</w:t>
            </w:r>
            <w:r>
              <w:rPr>
                <w:rStyle w:val="40"/>
                <w:lang w:val="en-US" w:eastAsia="zh-CN" w:bidi="ar"/>
              </w:rPr>
              <w:t>10</w:t>
            </w:r>
            <w:r>
              <w:rPr>
                <w:rStyle w:val="39"/>
                <w:lang w:val="en-US" w:eastAsia="zh-CN" w:bidi="ar"/>
              </w:rPr>
              <w:t>%偏离）尺寸：</w:t>
            </w:r>
            <w:r>
              <w:rPr>
                <w:rStyle w:val="40"/>
                <w:lang w:val="en-US" w:eastAsia="zh-CN" w:bidi="ar"/>
              </w:rPr>
              <w:t>长8800mm*高2600mm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841"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1479" w:type="dxa"/>
            <w:vMerge w:val="continue"/>
            <w:vAlign w:val="center"/>
          </w:tcPr>
          <w:p>
            <w:pPr>
              <w:jc w:val="center"/>
              <w:rPr>
                <w:color w:val="000000" w:themeColor="text1"/>
                <w:szCs w:val="21"/>
              </w:rPr>
            </w:pPr>
          </w:p>
        </w:tc>
        <w:tc>
          <w:tcPr>
            <w:tcW w:w="6485"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59.材质：铝型材边框、木饰面板内夹隔音材料</w:t>
            </w:r>
          </w:p>
        </w:tc>
      </w:tr>
      <w:bookmarkEnd w:id="42"/>
    </w:tbl>
    <w:p>
      <w:pPr>
        <w:rPr>
          <w:b/>
          <w:szCs w:val="21"/>
        </w:rPr>
      </w:pPr>
    </w:p>
    <w:p>
      <w:pPr>
        <w:rPr>
          <w:b/>
          <w:szCs w:val="21"/>
        </w:rPr>
      </w:pPr>
    </w:p>
    <w:p>
      <w:pPr>
        <w:pStyle w:val="6"/>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pPr>
        <w:ind w:firstLine="422" w:firstLineChars="200"/>
        <w:rPr>
          <w:b/>
        </w:rPr>
      </w:pPr>
      <w:r>
        <w:rPr>
          <w:rFonts w:hint="eastAsia"/>
          <w:b/>
          <w:szCs w:val="21"/>
        </w:rPr>
        <w:t>说明：</w:t>
      </w:r>
      <w:r>
        <w:rPr>
          <w:b/>
        </w:rPr>
        <w:t>1</w:t>
      </w:r>
      <w:r>
        <w:rPr>
          <w:rFonts w:hint="eastAsia"/>
          <w:b/>
        </w:rPr>
        <w:t>、评分时，如对一项招标商务要求（以划分框为准）中的内容存在两处（或以上）负偏离的，在评分时只作一项负偏离扣分。</w:t>
      </w:r>
    </w:p>
    <w:p>
      <w:pPr>
        <w:ind w:firstLine="422" w:firstLineChars="200"/>
        <w:rPr>
          <w:b/>
          <w:szCs w:val="21"/>
        </w:rPr>
      </w:pPr>
      <w:r>
        <w:rPr>
          <w:b/>
          <w:szCs w:val="21"/>
        </w:rPr>
        <w:t>2</w:t>
      </w:r>
      <w:r>
        <w:rPr>
          <w:rFonts w:hint="eastAsia"/>
          <w:b/>
          <w:szCs w:val="21"/>
        </w:rPr>
        <w:t>、带★号条款为不可偏离条款，不作为评分准则中的评分内容</w:t>
      </w:r>
      <w:r>
        <w:rPr>
          <w:rFonts w:hint="eastAsia"/>
          <w:b/>
          <w:szCs w:val="21"/>
          <w:lang w:eastAsia="zh-CN"/>
        </w:rPr>
        <w:t>，</w:t>
      </w:r>
      <w:r>
        <w:rPr>
          <w:rFonts w:hint="eastAsia"/>
          <w:b/>
          <w:szCs w:val="21"/>
        </w:rPr>
        <w:t>如未响应或出现负偏离的，将作投标无效处理；带“</w:t>
      </w:r>
      <w:r>
        <w:t>▲</w:t>
      </w:r>
      <w:r>
        <w:rPr>
          <w:rFonts w:hint="eastAsia"/>
          <w:b/>
          <w:szCs w:val="21"/>
        </w:rPr>
        <w:t>”指标项为重要参数，负偏离时依相关评分准则内容作重点扣分处理。</w:t>
      </w:r>
    </w:p>
    <w:tbl>
      <w:tblPr>
        <w:tblStyle w:val="18"/>
        <w:tblW w:w="882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1457"/>
        <w:gridCol w:w="65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40" w:type="dxa"/>
            <w:noWrap w:val="0"/>
            <w:vAlign w:val="center"/>
          </w:tcPr>
          <w:p>
            <w:pPr>
              <w:jc w:val="center"/>
              <w:rPr>
                <w:b/>
                <w:color w:val="auto"/>
              </w:rPr>
            </w:pPr>
            <w:r>
              <w:rPr>
                <w:rFonts w:hint="eastAsia"/>
                <w:b/>
                <w:color w:val="auto"/>
              </w:rPr>
              <w:t>序号</w:t>
            </w:r>
          </w:p>
        </w:tc>
        <w:tc>
          <w:tcPr>
            <w:tcW w:w="1457" w:type="dxa"/>
            <w:noWrap w:val="0"/>
            <w:vAlign w:val="center"/>
          </w:tcPr>
          <w:p>
            <w:pPr>
              <w:jc w:val="center"/>
              <w:rPr>
                <w:b/>
                <w:color w:val="auto"/>
              </w:rPr>
            </w:pPr>
            <w:r>
              <w:rPr>
                <w:rFonts w:hint="eastAsia"/>
                <w:b/>
                <w:color w:val="auto"/>
              </w:rPr>
              <w:t>商务需求项</w:t>
            </w:r>
          </w:p>
        </w:tc>
        <w:tc>
          <w:tcPr>
            <w:tcW w:w="6523" w:type="dxa"/>
            <w:noWrap w:val="0"/>
            <w:vAlign w:val="center"/>
          </w:tcPr>
          <w:p>
            <w:pPr>
              <w:jc w:val="center"/>
              <w:rPr>
                <w:b/>
                <w:color w:val="auto"/>
              </w:rPr>
            </w:pPr>
            <w:r>
              <w:rPr>
                <w:rFonts w:hint="eastAsia"/>
                <w:b/>
                <w:color w:val="auto"/>
              </w:rPr>
              <w:t>招标商务要求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8820" w:type="dxa"/>
            <w:gridSpan w:val="3"/>
            <w:noWrap w:val="0"/>
            <w:vAlign w:val="top"/>
          </w:tcPr>
          <w:p>
            <w:pPr>
              <w:rPr>
                <w:b/>
                <w:color w:val="auto"/>
              </w:rPr>
            </w:pPr>
            <w:r>
              <w:rPr>
                <w:rFonts w:hint="eastAsia"/>
                <w:b/>
                <w:color w:val="auto"/>
              </w:rPr>
              <w:t>（一）免费保修期内售后服务要求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noWrap w:val="0"/>
            <w:vAlign w:val="center"/>
          </w:tcPr>
          <w:p>
            <w:pPr>
              <w:jc w:val="center"/>
              <w:rPr>
                <w:bCs/>
                <w:color w:val="auto"/>
              </w:rPr>
            </w:pPr>
            <w:r>
              <w:rPr>
                <w:rFonts w:hint="eastAsia" w:ascii="宋体" w:hAnsi="宋体" w:cs="宋体"/>
                <w:color w:val="auto"/>
                <w:szCs w:val="21"/>
              </w:rPr>
              <w:t>1</w:t>
            </w:r>
          </w:p>
        </w:tc>
        <w:tc>
          <w:tcPr>
            <w:tcW w:w="1457" w:type="dxa"/>
            <w:noWrap w:val="0"/>
            <w:vAlign w:val="top"/>
          </w:tcPr>
          <w:p>
            <w:pPr>
              <w:jc w:val="center"/>
              <w:rPr>
                <w:color w:val="auto"/>
              </w:rPr>
            </w:pPr>
            <w:r>
              <w:rPr>
                <w:rFonts w:hint="eastAsia" w:ascii="宋体" w:hAnsi="宋体" w:cs="宋体"/>
                <w:color w:val="auto"/>
                <w:szCs w:val="21"/>
              </w:rPr>
              <w:t>维修响应及故障解决时间</w:t>
            </w:r>
          </w:p>
        </w:tc>
        <w:tc>
          <w:tcPr>
            <w:tcW w:w="6523" w:type="dxa"/>
            <w:noWrap w:val="0"/>
            <w:vAlign w:val="top"/>
          </w:tcPr>
          <w:p>
            <w:pPr>
              <w:rPr>
                <w:b/>
                <w:color w:val="auto"/>
              </w:rPr>
            </w:pPr>
            <w:r>
              <w:rPr>
                <w:rFonts w:hint="eastAsia" w:ascii="宋体" w:hAnsi="宋体" w:cs="宋体"/>
                <w:color w:val="auto"/>
                <w:szCs w:val="21"/>
              </w:rPr>
              <w:t>在免费保修期内，一旦发生质量问题，中标人保证在接到通知24小时内赶到现场进行修理或更换。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840" w:type="dxa"/>
            <w:vMerge w:val="restart"/>
            <w:noWrap w:val="0"/>
            <w:vAlign w:val="center"/>
          </w:tcPr>
          <w:p>
            <w:pPr>
              <w:jc w:val="center"/>
              <w:rPr>
                <w:color w:val="auto"/>
                <w:szCs w:val="21"/>
              </w:rPr>
            </w:pPr>
            <w:r>
              <w:rPr>
                <w:rFonts w:hint="eastAsia" w:ascii="宋体" w:hAnsi="宋体" w:cs="宋体"/>
                <w:color w:val="auto"/>
                <w:szCs w:val="21"/>
              </w:rPr>
              <w:t>2</w:t>
            </w:r>
          </w:p>
        </w:tc>
        <w:tc>
          <w:tcPr>
            <w:tcW w:w="1457" w:type="dxa"/>
            <w:vMerge w:val="restart"/>
            <w:noWrap w:val="0"/>
            <w:vAlign w:val="center"/>
          </w:tcPr>
          <w:p>
            <w:pPr>
              <w:jc w:val="center"/>
              <w:rPr>
                <w:color w:val="auto"/>
                <w:szCs w:val="21"/>
              </w:rPr>
            </w:pPr>
            <w:r>
              <w:rPr>
                <w:rFonts w:hint="eastAsia" w:ascii="宋体" w:hAnsi="宋体" w:cs="宋体"/>
                <w:color w:val="auto"/>
                <w:szCs w:val="21"/>
              </w:rPr>
              <w:t>免费保修期</w:t>
            </w:r>
          </w:p>
        </w:tc>
        <w:tc>
          <w:tcPr>
            <w:tcW w:w="6523" w:type="dxa"/>
            <w:noWrap w:val="0"/>
            <w:vAlign w:val="top"/>
          </w:tcPr>
          <w:p>
            <w:pPr>
              <w:rPr>
                <w:b/>
                <w:color w:val="auto"/>
                <w:szCs w:val="21"/>
              </w:rPr>
            </w:pPr>
            <w:r>
              <w:rPr>
                <w:rFonts w:hint="eastAsia" w:ascii="宋体" w:hAnsi="宋体" w:cs="宋体"/>
                <w:color w:val="auto"/>
                <w:szCs w:val="21"/>
              </w:rPr>
              <w:t>1.货物免费保修期1年，时间自最终验收合格并交付使用之日起计算。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vMerge w:val="continue"/>
            <w:noWrap w:val="0"/>
            <w:vAlign w:val="center"/>
          </w:tcPr>
          <w:p>
            <w:pPr>
              <w:jc w:val="center"/>
              <w:rPr>
                <w:b/>
                <w:color w:val="auto"/>
              </w:rPr>
            </w:pPr>
          </w:p>
        </w:tc>
        <w:tc>
          <w:tcPr>
            <w:tcW w:w="1457" w:type="dxa"/>
            <w:vMerge w:val="continue"/>
            <w:noWrap w:val="0"/>
            <w:vAlign w:val="center"/>
          </w:tcPr>
          <w:p>
            <w:pPr>
              <w:rPr>
                <w:color w:val="auto"/>
              </w:rPr>
            </w:pPr>
          </w:p>
        </w:tc>
        <w:tc>
          <w:tcPr>
            <w:tcW w:w="6523" w:type="dxa"/>
            <w:noWrap w:val="0"/>
            <w:vAlign w:val="center"/>
          </w:tcPr>
          <w:p>
            <w:pPr>
              <w:rPr>
                <w:bCs/>
                <w:color w:val="auto"/>
                <w:szCs w:val="21"/>
              </w:rPr>
            </w:pPr>
            <w:r>
              <w:rPr>
                <w:rFonts w:hint="eastAsia" w:ascii="宋体" w:hAnsi="宋体" w:cs="宋体"/>
                <w:color w:val="auto"/>
                <w:szCs w:val="21"/>
              </w:rPr>
              <w:t>2.免费保修期内，所有服务及配件全部免费。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840" w:type="dxa"/>
            <w:noWrap w:val="0"/>
            <w:vAlign w:val="center"/>
          </w:tcPr>
          <w:p>
            <w:pPr>
              <w:jc w:val="center"/>
              <w:rPr>
                <w:b/>
                <w:color w:val="auto"/>
              </w:rPr>
            </w:pPr>
            <w:r>
              <w:rPr>
                <w:rFonts w:hint="eastAsia" w:ascii="宋体" w:hAnsi="宋体" w:cs="宋体"/>
                <w:color w:val="auto"/>
                <w:szCs w:val="21"/>
              </w:rPr>
              <w:t>3</w:t>
            </w:r>
          </w:p>
        </w:tc>
        <w:tc>
          <w:tcPr>
            <w:tcW w:w="1457" w:type="dxa"/>
            <w:noWrap w:val="0"/>
            <w:vAlign w:val="center"/>
          </w:tcPr>
          <w:p>
            <w:pPr>
              <w:jc w:val="center"/>
              <w:rPr>
                <w:b/>
                <w:color w:val="auto"/>
              </w:rPr>
            </w:pPr>
            <w:r>
              <w:rPr>
                <w:rFonts w:hint="eastAsia" w:ascii="宋体" w:hAnsi="宋体" w:cs="宋体"/>
                <w:color w:val="auto"/>
                <w:szCs w:val="21"/>
              </w:rPr>
              <w:t>技术要求</w:t>
            </w:r>
          </w:p>
        </w:tc>
        <w:tc>
          <w:tcPr>
            <w:tcW w:w="6523" w:type="dxa"/>
            <w:noWrap w:val="0"/>
            <w:vAlign w:val="center"/>
          </w:tcPr>
          <w:p>
            <w:pPr>
              <w:rPr>
                <w:bCs/>
                <w:color w:val="auto"/>
              </w:rPr>
            </w:pPr>
            <w:r>
              <w:rPr>
                <w:rFonts w:hint="eastAsia" w:ascii="宋体" w:hAnsi="宋体" w:cs="宋体"/>
                <w:color w:val="auto"/>
                <w:szCs w:val="21"/>
              </w:rPr>
              <w:t>要求投标人在交货完成后一周内，免费向用户方进行技术培训工作，直至用户能熟练操作设备。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color w:val="auto"/>
              </w:rPr>
            </w:pPr>
            <w:r>
              <w:rPr>
                <w:rFonts w:hint="eastAsia" w:ascii="宋体" w:hAnsi="宋体"/>
                <w:b/>
                <w:color w:val="auto"/>
              </w:rPr>
              <w:t>（二）免费保修期外售后服务要求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ascii="宋体" w:hAnsi="宋体"/>
                <w:b/>
                <w:color w:val="auto"/>
                <w:sz w:val="20"/>
                <w:szCs w:val="20"/>
              </w:rPr>
            </w:pPr>
            <w:r>
              <w:rPr>
                <w:rFonts w:hint="eastAsia" w:ascii="宋体" w:hAnsi="宋体" w:cs="宋体"/>
                <w:b/>
                <w:color w:val="auto"/>
                <w:szCs w:val="21"/>
              </w:rPr>
              <w:t>1</w:t>
            </w:r>
          </w:p>
        </w:tc>
        <w:tc>
          <w:tcPr>
            <w:tcW w:w="1457" w:type="dxa"/>
            <w:noWrap w:val="0"/>
            <w:vAlign w:val="center"/>
          </w:tcPr>
          <w:p>
            <w:pPr>
              <w:spacing w:line="360" w:lineRule="exact"/>
              <w:jc w:val="center"/>
              <w:rPr>
                <w:rFonts w:ascii="宋体" w:hAnsi="宋体"/>
                <w:b/>
                <w:color w:val="auto"/>
                <w:sz w:val="20"/>
                <w:szCs w:val="20"/>
              </w:rPr>
            </w:pPr>
            <w:r>
              <w:rPr>
                <w:rStyle w:val="21"/>
                <w:rFonts w:hint="eastAsia" w:ascii="宋体" w:hAnsi="宋体" w:cs="宋体"/>
                <w:color w:val="auto"/>
                <w:szCs w:val="21"/>
              </w:rPr>
              <w:t>维修零配件、消耗品和延续保修合同的报价</w:t>
            </w:r>
          </w:p>
        </w:tc>
        <w:tc>
          <w:tcPr>
            <w:tcW w:w="6523" w:type="dxa"/>
            <w:noWrap w:val="0"/>
            <w:vAlign w:val="center"/>
          </w:tcPr>
          <w:p>
            <w:pPr>
              <w:spacing w:line="360" w:lineRule="exact"/>
              <w:rPr>
                <w:rFonts w:ascii="宋体" w:hAnsi="宋体"/>
                <w:b/>
                <w:color w:val="auto"/>
              </w:rPr>
            </w:pPr>
            <w:r>
              <w:rPr>
                <w:rFonts w:hint="eastAsia" w:ascii="宋体" w:hAnsi="宋体" w:cs="宋体"/>
                <w:color w:val="auto"/>
                <w:szCs w:val="21"/>
              </w:rPr>
              <w:t>1.1由设备制造商提供售后服务，</w:t>
            </w:r>
            <w:r>
              <w:rPr>
                <w:rFonts w:hint="eastAsia" w:ascii="宋体" w:hAnsi="宋体" w:cs="宋体"/>
                <w:color w:val="auto"/>
                <w:szCs w:val="21"/>
                <w:u w:val="single"/>
              </w:rPr>
              <w:t xml:space="preserve"> 1 </w:t>
            </w:r>
            <w:r>
              <w:rPr>
                <w:rFonts w:hint="eastAsia" w:ascii="宋体" w:hAnsi="宋体" w:cs="宋体"/>
                <w:color w:val="auto"/>
                <w:szCs w:val="21"/>
              </w:rPr>
              <w:t>小时内响应，</w:t>
            </w:r>
            <w:r>
              <w:rPr>
                <w:rFonts w:hint="eastAsia" w:ascii="宋体" w:hAnsi="宋体" w:cs="宋体"/>
                <w:color w:val="auto"/>
                <w:szCs w:val="21"/>
                <w:u w:val="single"/>
              </w:rPr>
              <w:t xml:space="preserve"> 24 </w:t>
            </w:r>
            <w:r>
              <w:rPr>
                <w:rFonts w:hint="eastAsia" w:ascii="宋体" w:hAnsi="宋体" w:cs="宋体"/>
                <w:color w:val="auto"/>
                <w:szCs w:val="21"/>
              </w:rPr>
              <w:t>小时维修到位，并在48小时内消除故障（不可抗力情况除外）。消耗品和零配件供应及时，特殊情况下可提供备用机。在境内有相对应的零配件保税库，于中标后出具证明文件。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820" w:type="dxa"/>
            <w:gridSpan w:val="3"/>
            <w:noWrap w:val="0"/>
            <w:vAlign w:val="center"/>
          </w:tcPr>
          <w:p>
            <w:pPr>
              <w:spacing w:line="360" w:lineRule="exact"/>
              <w:rPr>
                <w:rFonts w:ascii="宋体" w:hAnsi="宋体"/>
                <w:b/>
                <w:color w:val="auto"/>
              </w:rPr>
            </w:pPr>
            <w:r>
              <w:rPr>
                <w:rFonts w:hint="eastAsia" w:ascii="宋体" w:hAnsi="宋体"/>
                <w:b/>
                <w:color w:val="auto"/>
              </w:rPr>
              <w:t>（三）其他商务要求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0" w:type="dxa"/>
            <w:vMerge w:val="restart"/>
            <w:noWrap w:val="0"/>
            <w:vAlign w:val="center"/>
          </w:tcPr>
          <w:p>
            <w:pPr>
              <w:spacing w:line="360" w:lineRule="exact"/>
              <w:jc w:val="center"/>
              <w:rPr>
                <w:rFonts w:hint="eastAsia" w:ascii="宋体" w:hAnsi="宋体" w:eastAsia="宋体"/>
                <w:b/>
                <w:color w:val="auto"/>
                <w:sz w:val="20"/>
                <w:szCs w:val="20"/>
                <w:lang w:eastAsia="zh-CN"/>
              </w:rPr>
            </w:pPr>
            <w:r>
              <w:rPr>
                <w:rFonts w:hint="eastAsia" w:ascii="宋体" w:hAnsi="宋体" w:cs="宋体"/>
                <w:b/>
                <w:color w:val="auto"/>
                <w:szCs w:val="21"/>
              </w:rPr>
              <w:t>1</w:t>
            </w:r>
          </w:p>
        </w:tc>
        <w:tc>
          <w:tcPr>
            <w:tcW w:w="1457" w:type="dxa"/>
            <w:vMerge w:val="restart"/>
            <w:noWrap w:val="0"/>
            <w:vAlign w:val="center"/>
          </w:tcPr>
          <w:p>
            <w:pPr>
              <w:spacing w:line="360" w:lineRule="exact"/>
              <w:jc w:val="center"/>
              <w:rPr>
                <w:rFonts w:hint="eastAsia" w:ascii="宋体" w:hAnsi="宋体"/>
                <w:b/>
                <w:color w:val="auto"/>
                <w:sz w:val="20"/>
                <w:szCs w:val="20"/>
              </w:rPr>
            </w:pPr>
            <w:r>
              <w:rPr>
                <w:rFonts w:hint="eastAsia" w:ascii="宋体" w:hAnsi="宋体" w:cs="宋体"/>
                <w:b/>
                <w:color w:val="auto"/>
                <w:szCs w:val="21"/>
              </w:rPr>
              <w:t>违约责任</w:t>
            </w:r>
          </w:p>
        </w:tc>
        <w:tc>
          <w:tcPr>
            <w:tcW w:w="6523" w:type="dxa"/>
            <w:noWrap w:val="0"/>
            <w:vAlign w:val="top"/>
          </w:tcPr>
          <w:p>
            <w:pPr>
              <w:spacing w:line="360" w:lineRule="exact"/>
              <w:rPr>
                <w:rFonts w:hint="eastAsia" w:ascii="宋体" w:hAnsi="宋体" w:cs="宋体"/>
                <w:color w:val="auto"/>
                <w:sz w:val="20"/>
                <w:szCs w:val="20"/>
              </w:rPr>
            </w:pPr>
            <w:r>
              <w:rPr>
                <w:rFonts w:hint="eastAsia" w:ascii="宋体" w:hAnsi="宋体" w:cs="宋体"/>
                <w:color w:val="auto"/>
                <w:szCs w:val="21"/>
              </w:rPr>
              <w:t>1.1中标人不能交货的，需偿付不能交货部分货款的</w:t>
            </w:r>
            <w:r>
              <w:rPr>
                <w:rFonts w:hint="eastAsia" w:ascii="宋体" w:hAnsi="宋体" w:cs="宋体"/>
                <w:color w:val="auto"/>
                <w:szCs w:val="21"/>
                <w:u w:val="single"/>
              </w:rPr>
              <w:t xml:space="preserve"> 10 </w:t>
            </w:r>
            <w:r>
              <w:rPr>
                <w:rFonts w:hint="eastAsia" w:ascii="宋体" w:hAnsi="宋体" w:cs="宋体"/>
                <w:color w:val="auto"/>
                <w:szCs w:val="21"/>
              </w:rPr>
              <w:t>%的违约金并按主管部门相关规定处理。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color w:val="auto"/>
                <w:sz w:val="20"/>
                <w:szCs w:val="20"/>
              </w:rPr>
            </w:pPr>
          </w:p>
        </w:tc>
        <w:tc>
          <w:tcPr>
            <w:tcW w:w="1457" w:type="dxa"/>
            <w:vMerge w:val="continue"/>
            <w:noWrap w:val="0"/>
            <w:vAlign w:val="center"/>
          </w:tcPr>
          <w:p>
            <w:pPr>
              <w:spacing w:line="360" w:lineRule="exact"/>
              <w:jc w:val="center"/>
              <w:rPr>
                <w:rFonts w:hint="eastAsia" w:ascii="宋体" w:hAnsi="宋体"/>
                <w:b/>
                <w:color w:val="auto"/>
                <w:sz w:val="20"/>
                <w:szCs w:val="20"/>
              </w:rPr>
            </w:pPr>
          </w:p>
        </w:tc>
        <w:tc>
          <w:tcPr>
            <w:tcW w:w="6523" w:type="dxa"/>
            <w:noWrap w:val="0"/>
            <w:vAlign w:val="top"/>
          </w:tcPr>
          <w:p>
            <w:pPr>
              <w:spacing w:line="360" w:lineRule="exact"/>
              <w:rPr>
                <w:rFonts w:hint="eastAsia" w:ascii="宋体" w:hAnsi="宋体" w:cs="宋体"/>
                <w:color w:val="auto"/>
                <w:sz w:val="20"/>
                <w:szCs w:val="20"/>
              </w:rPr>
            </w:pPr>
            <w:r>
              <w:rPr>
                <w:rFonts w:hint="eastAsia" w:ascii="宋体" w:hAnsi="宋体" w:cs="宋体"/>
                <w:color w:val="auto"/>
                <w:szCs w:val="21"/>
              </w:rPr>
              <w:t>1.2中标人逾期交货的，应当承担继续履行、采取补救措施或者赔偿损失等违约责任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vMerge w:val="continue"/>
            <w:noWrap w:val="0"/>
            <w:vAlign w:val="center"/>
          </w:tcPr>
          <w:p>
            <w:pPr>
              <w:spacing w:line="360" w:lineRule="exact"/>
              <w:jc w:val="center"/>
              <w:rPr>
                <w:rFonts w:hint="eastAsia" w:ascii="宋体" w:hAnsi="宋体"/>
                <w:b/>
                <w:color w:val="auto"/>
                <w:sz w:val="20"/>
                <w:szCs w:val="20"/>
              </w:rPr>
            </w:pPr>
          </w:p>
        </w:tc>
        <w:tc>
          <w:tcPr>
            <w:tcW w:w="1457" w:type="dxa"/>
            <w:vMerge w:val="continue"/>
            <w:noWrap w:val="0"/>
            <w:vAlign w:val="center"/>
          </w:tcPr>
          <w:p>
            <w:pPr>
              <w:spacing w:line="360" w:lineRule="exact"/>
              <w:jc w:val="center"/>
              <w:rPr>
                <w:rFonts w:hint="eastAsia" w:ascii="宋体" w:hAnsi="宋体"/>
                <w:b/>
                <w:color w:val="auto"/>
                <w:sz w:val="20"/>
                <w:szCs w:val="20"/>
              </w:rPr>
            </w:pPr>
          </w:p>
        </w:tc>
        <w:tc>
          <w:tcPr>
            <w:tcW w:w="6523" w:type="dxa"/>
            <w:noWrap w:val="0"/>
            <w:vAlign w:val="top"/>
          </w:tcPr>
          <w:p>
            <w:pPr>
              <w:spacing w:line="360" w:lineRule="exact"/>
              <w:rPr>
                <w:rFonts w:hint="eastAsia" w:ascii="宋体" w:hAnsi="宋体" w:cs="宋体"/>
                <w:color w:val="auto"/>
                <w:sz w:val="20"/>
                <w:szCs w:val="20"/>
              </w:rPr>
            </w:pPr>
            <w:r>
              <w:rPr>
                <w:rFonts w:hint="eastAsia" w:ascii="宋体" w:hAnsi="宋体" w:cs="宋体"/>
                <w:color w:val="auto"/>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做、退货、减少价款或者报酬等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after="78" w:afterLines="25" w:line="300" w:lineRule="auto"/>
              <w:jc w:val="center"/>
              <w:rPr>
                <w:rFonts w:hint="eastAsia" w:ascii="宋体" w:hAnsi="宋体"/>
                <w:b/>
                <w:bCs w:val="0"/>
                <w:color w:val="auto"/>
                <w:sz w:val="20"/>
                <w:szCs w:val="20"/>
                <w:lang w:val="en-US" w:eastAsia="zh-CN"/>
              </w:rPr>
            </w:pPr>
            <w:r>
              <w:rPr>
                <w:rFonts w:hint="eastAsia" w:ascii="宋体" w:hAnsi="宋体" w:cs="宋体"/>
                <w:b/>
                <w:color w:val="auto"/>
                <w:szCs w:val="21"/>
              </w:rPr>
              <w:t>2</w:t>
            </w:r>
          </w:p>
        </w:tc>
        <w:tc>
          <w:tcPr>
            <w:tcW w:w="1457" w:type="dxa"/>
            <w:noWrap w:val="0"/>
            <w:vAlign w:val="center"/>
          </w:tcPr>
          <w:p>
            <w:pPr>
              <w:spacing w:after="78" w:afterLines="25" w:line="300" w:lineRule="auto"/>
              <w:jc w:val="center"/>
              <w:rPr>
                <w:rFonts w:hint="eastAsia" w:ascii="宋体" w:hAnsi="宋体"/>
                <w:b/>
                <w:bCs w:val="0"/>
                <w:color w:val="auto"/>
                <w:sz w:val="20"/>
                <w:szCs w:val="20"/>
              </w:rPr>
            </w:pPr>
            <w:r>
              <w:rPr>
                <w:rFonts w:hint="eastAsia" w:ascii="宋体" w:hAnsi="宋体" w:cs="宋体"/>
                <w:b/>
                <w:color w:val="auto"/>
                <w:szCs w:val="21"/>
              </w:rPr>
              <w:t>报价要求</w:t>
            </w:r>
          </w:p>
        </w:tc>
        <w:tc>
          <w:tcPr>
            <w:tcW w:w="6523" w:type="dxa"/>
            <w:noWrap w:val="0"/>
            <w:vAlign w:val="top"/>
          </w:tcPr>
          <w:p>
            <w:pPr>
              <w:snapToGrid w:val="0"/>
              <w:rPr>
                <w:rFonts w:ascii="宋体" w:hAnsi="宋体" w:cs="宋体"/>
                <w:color w:val="auto"/>
                <w:szCs w:val="21"/>
              </w:rPr>
            </w:pPr>
            <w:r>
              <w:rPr>
                <w:rFonts w:hint="eastAsia" w:ascii="宋体" w:hAnsi="宋体" w:cs="宋体"/>
                <w:b/>
                <w:color w:val="auto"/>
                <w:szCs w:val="21"/>
              </w:rPr>
              <w:t>本项目报总价，</w:t>
            </w:r>
            <w:r>
              <w:rPr>
                <w:rFonts w:hint="eastAsia" w:ascii="宋体" w:hAnsi="宋体" w:cs="宋体"/>
                <w:color w:val="auto"/>
                <w:szCs w:val="21"/>
              </w:rPr>
              <w:t>项目报价采用包干价格形式，各分项报价之和为本项目投标报价，投标报价不得超过本项目预算。</w:t>
            </w:r>
          </w:p>
          <w:p>
            <w:pPr>
              <w:snapToGrid w:val="0"/>
              <w:rPr>
                <w:rFonts w:ascii="宋体" w:hAnsi="宋体" w:cs="宋体"/>
                <w:color w:val="auto"/>
                <w:szCs w:val="21"/>
              </w:rPr>
            </w:pPr>
            <w:r>
              <w:rPr>
                <w:rFonts w:hint="eastAsia" w:ascii="宋体" w:hAnsi="宋体" w:cs="宋体"/>
                <w:color w:val="auto"/>
                <w:szCs w:val="21"/>
              </w:rPr>
              <w:t>投标报价以人民币报价，投标总价必须是完成该项目的一切费用总和，包括投标费、设备费、运输费、装卸费、保险费、技术培训费、设备安装费、调试费、检测费、国家规定的各项税费等。</w:t>
            </w:r>
          </w:p>
          <w:p>
            <w:pPr>
              <w:snapToGrid w:val="0"/>
              <w:rPr>
                <w:rFonts w:hint="eastAsia" w:ascii="Times New Roman" w:hAnsi="Times New Roman" w:eastAsia="宋体" w:cs="Times New Roman"/>
                <w:b w:val="0"/>
                <w:bCs w:val="0"/>
                <w:color w:val="auto"/>
                <w:kern w:val="2"/>
                <w:sz w:val="21"/>
                <w:szCs w:val="24"/>
                <w:lang w:val="en-US" w:eastAsia="zh-CN" w:bidi="ar-SA"/>
              </w:rPr>
            </w:pPr>
            <w:r>
              <w:rPr>
                <w:rFonts w:hint="eastAsia" w:ascii="宋体" w:hAnsi="宋体" w:cs="宋体"/>
                <w:color w:val="auto"/>
                <w:szCs w:val="21"/>
              </w:rPr>
              <w:t>项目执行过程中中标方不得增加费用，因中标商考虑不周而造成费用增加，由中标商承担该部分费用。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shd w:val="clear" w:color="auto" w:fill="auto"/>
            <w:noWrap w:val="0"/>
            <w:vAlign w:val="center"/>
          </w:tcPr>
          <w:p>
            <w:pPr>
              <w:spacing w:after="78" w:afterLines="25" w:line="300" w:lineRule="auto"/>
              <w:jc w:val="center"/>
              <w:rPr>
                <w:rFonts w:hint="eastAsia" w:ascii="宋体" w:hAnsi="宋体" w:cs="宋体" w:eastAsiaTheme="minorEastAsia"/>
                <w:b/>
                <w:color w:val="auto"/>
                <w:kern w:val="2"/>
                <w:sz w:val="21"/>
                <w:szCs w:val="21"/>
                <w:lang w:val="en-US" w:eastAsia="zh-CN" w:bidi="ar-SA"/>
              </w:rPr>
            </w:pPr>
            <w:r>
              <w:rPr>
                <w:rFonts w:hint="eastAsia" w:ascii="宋体" w:hAnsi="宋体" w:cs="宋体"/>
                <w:b/>
                <w:color w:val="auto"/>
                <w:szCs w:val="21"/>
              </w:rPr>
              <w:t>3</w:t>
            </w:r>
          </w:p>
        </w:tc>
        <w:tc>
          <w:tcPr>
            <w:tcW w:w="1457" w:type="dxa"/>
            <w:shd w:val="clear" w:color="auto" w:fill="auto"/>
            <w:noWrap w:val="0"/>
            <w:vAlign w:val="center"/>
          </w:tcPr>
          <w:p>
            <w:pPr>
              <w:spacing w:after="78" w:afterLines="25" w:line="300" w:lineRule="auto"/>
              <w:jc w:val="center"/>
              <w:rPr>
                <w:rFonts w:hint="eastAsia" w:ascii="宋体" w:hAnsi="宋体" w:cs="宋体" w:eastAsiaTheme="minorEastAsia"/>
                <w:color w:val="auto"/>
                <w:kern w:val="2"/>
                <w:sz w:val="21"/>
                <w:szCs w:val="21"/>
                <w:lang w:val="en-US" w:eastAsia="zh-CN" w:bidi="ar-SA"/>
              </w:rPr>
            </w:pPr>
            <w:r>
              <w:rPr>
                <w:rFonts w:hint="eastAsia" w:ascii="宋体" w:hAnsi="宋体" w:cs="宋体"/>
                <w:b/>
                <w:color w:val="auto"/>
                <w:szCs w:val="21"/>
              </w:rPr>
              <w:t>交货地点</w:t>
            </w:r>
          </w:p>
        </w:tc>
        <w:tc>
          <w:tcPr>
            <w:tcW w:w="6523" w:type="dxa"/>
            <w:shd w:val="clear" w:color="auto" w:fill="auto"/>
            <w:noWrap w:val="0"/>
            <w:vAlign w:val="top"/>
          </w:tcPr>
          <w:p>
            <w:pPr>
              <w:spacing w:after="78" w:afterLines="25" w:line="300" w:lineRule="auto"/>
              <w:rPr>
                <w:rFonts w:hint="eastAsia" w:ascii="宋体" w:hAnsi="宋体" w:cs="宋体" w:eastAsiaTheme="minorEastAsia"/>
                <w:b/>
                <w:color w:val="auto"/>
                <w:kern w:val="2"/>
                <w:sz w:val="21"/>
                <w:szCs w:val="21"/>
                <w:lang w:val="en-US" w:eastAsia="zh-CN" w:bidi="ar-SA"/>
              </w:rPr>
            </w:pPr>
            <w:r>
              <w:rPr>
                <w:rFonts w:hint="eastAsia" w:ascii="宋体" w:hAnsi="宋体" w:cs="宋体"/>
                <w:b/>
                <w:color w:val="auto"/>
                <w:szCs w:val="21"/>
              </w:rPr>
              <w:t>深圳市宝安中学（集团）第二外国语学校（步涌实验学校）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shd w:val="clear" w:color="auto" w:fill="auto"/>
            <w:noWrap w:val="0"/>
            <w:vAlign w:val="center"/>
          </w:tcPr>
          <w:p>
            <w:pPr>
              <w:spacing w:after="78" w:afterLines="25" w:line="300" w:lineRule="auto"/>
              <w:jc w:val="center"/>
              <w:rPr>
                <w:rFonts w:hint="eastAsia" w:ascii="宋体" w:hAnsi="宋体" w:cs="宋体"/>
                <w:b/>
                <w:color w:val="auto"/>
                <w:szCs w:val="21"/>
              </w:rPr>
            </w:pPr>
            <w:r>
              <w:rPr>
                <w:rFonts w:hint="eastAsia" w:ascii="宋体" w:hAnsi="宋体" w:cs="宋体"/>
                <w:b/>
                <w:color w:val="auto"/>
                <w:szCs w:val="21"/>
              </w:rPr>
              <w:t>4</w:t>
            </w:r>
          </w:p>
        </w:tc>
        <w:tc>
          <w:tcPr>
            <w:tcW w:w="1457" w:type="dxa"/>
            <w:shd w:val="clear" w:color="auto" w:fill="auto"/>
            <w:noWrap w:val="0"/>
            <w:vAlign w:val="center"/>
          </w:tcPr>
          <w:p>
            <w:pPr>
              <w:spacing w:after="78" w:afterLines="25" w:line="300" w:lineRule="auto"/>
              <w:jc w:val="center"/>
              <w:rPr>
                <w:rFonts w:hint="eastAsia" w:ascii="宋体" w:hAnsi="宋体" w:cs="宋体"/>
                <w:b/>
                <w:color w:val="auto"/>
                <w:szCs w:val="21"/>
              </w:rPr>
            </w:pPr>
            <w:r>
              <w:rPr>
                <w:rFonts w:hint="eastAsia" w:ascii="宋体" w:hAnsi="宋体" w:cs="宋体"/>
                <w:b/>
                <w:color w:val="auto"/>
                <w:szCs w:val="21"/>
              </w:rPr>
              <w:t>交货期或完工期</w:t>
            </w:r>
          </w:p>
        </w:tc>
        <w:tc>
          <w:tcPr>
            <w:tcW w:w="6523" w:type="dxa"/>
            <w:shd w:val="clear" w:color="auto" w:fill="auto"/>
            <w:noWrap w:val="0"/>
            <w:vAlign w:val="top"/>
          </w:tcPr>
          <w:p>
            <w:pPr>
              <w:spacing w:after="78" w:afterLines="25" w:line="300" w:lineRule="auto"/>
              <w:rPr>
                <w:rFonts w:hint="eastAsia" w:ascii="宋体" w:hAnsi="宋体" w:cs="宋体"/>
                <w:b/>
                <w:color w:val="auto"/>
                <w:szCs w:val="21"/>
              </w:rPr>
            </w:pPr>
            <w:r>
              <w:rPr>
                <w:rFonts w:hint="eastAsia" w:ascii="宋体" w:hAnsi="宋体" w:cs="宋体"/>
                <w:color w:val="auto"/>
                <w:szCs w:val="21"/>
              </w:rPr>
              <w:t>本项目要求在进场施工日起30个日历日内完工，进场施工时间由采购人确定。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after="78" w:afterLines="25" w:line="300" w:lineRule="auto"/>
              <w:jc w:val="center"/>
              <w:rPr>
                <w:rFonts w:hint="eastAsia" w:ascii="宋体" w:hAnsi="宋体" w:eastAsia="宋体"/>
                <w:b/>
                <w:bCs w:val="0"/>
                <w:color w:val="auto"/>
                <w:sz w:val="20"/>
                <w:szCs w:val="20"/>
                <w:lang w:eastAsia="zh-CN"/>
              </w:rPr>
            </w:pPr>
            <w:r>
              <w:rPr>
                <w:rFonts w:hint="eastAsia" w:ascii="宋体" w:hAnsi="宋体" w:cs="宋体"/>
                <w:b/>
                <w:color w:val="auto"/>
                <w:szCs w:val="21"/>
              </w:rPr>
              <w:t>5</w:t>
            </w:r>
          </w:p>
        </w:tc>
        <w:tc>
          <w:tcPr>
            <w:tcW w:w="1457" w:type="dxa"/>
            <w:noWrap w:val="0"/>
            <w:vAlign w:val="center"/>
          </w:tcPr>
          <w:p>
            <w:pPr>
              <w:spacing w:after="78" w:afterLines="25" w:line="300" w:lineRule="auto"/>
              <w:jc w:val="center"/>
              <w:rPr>
                <w:rFonts w:hint="default" w:ascii="宋体" w:hAnsi="宋体" w:eastAsia="宋体"/>
                <w:b/>
                <w:bCs w:val="0"/>
                <w:color w:val="auto"/>
                <w:sz w:val="20"/>
                <w:szCs w:val="20"/>
                <w:lang w:val="en-US" w:eastAsia="zh-CN"/>
              </w:rPr>
            </w:pPr>
            <w:r>
              <w:rPr>
                <w:rFonts w:hint="eastAsia" w:ascii="宋体" w:hAnsi="宋体" w:cs="宋体"/>
                <w:b/>
                <w:color w:val="auto"/>
                <w:szCs w:val="21"/>
              </w:rPr>
              <w:t>付款方式</w:t>
            </w:r>
          </w:p>
        </w:tc>
        <w:tc>
          <w:tcPr>
            <w:tcW w:w="6523" w:type="dxa"/>
            <w:noWrap w:val="0"/>
            <w:vAlign w:val="top"/>
          </w:tcPr>
          <w:p>
            <w:pPr>
              <w:spacing w:after="78" w:afterLines="25" w:line="300" w:lineRule="auto"/>
              <w:rPr>
                <w:rFonts w:hint="default" w:eastAsia="宋体"/>
                <w:color w:val="auto"/>
                <w:lang w:val="en-US" w:eastAsia="zh-CN"/>
              </w:rPr>
            </w:pPr>
            <w:r>
              <w:rPr>
                <w:rFonts w:hint="eastAsia" w:ascii="宋体" w:hAnsi="宋体" w:cs="宋体"/>
                <w:color w:val="auto"/>
                <w:szCs w:val="21"/>
              </w:rPr>
              <w:t>付款期限和方式：合同签订后5个工作日内支付50%的预付款。本项目完成并经验收合格后，对于满足合同约定支付条件的，采购人应当自收到发票后10个工作日内将资金支付到合同约定的中标（成交）供应商账户。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after="78" w:afterLines="25" w:line="300" w:lineRule="auto"/>
              <w:jc w:val="center"/>
              <w:rPr>
                <w:rFonts w:hint="default" w:ascii="宋体" w:hAnsi="宋体"/>
                <w:b/>
                <w:bCs w:val="0"/>
                <w:color w:val="auto"/>
                <w:sz w:val="20"/>
                <w:szCs w:val="20"/>
                <w:lang w:val="en-US" w:eastAsia="zh-CN"/>
              </w:rPr>
            </w:pPr>
            <w:r>
              <w:rPr>
                <w:rFonts w:hint="eastAsia" w:ascii="宋体" w:hAnsi="宋体" w:cs="宋体"/>
                <w:b/>
                <w:color w:val="auto"/>
                <w:szCs w:val="21"/>
              </w:rPr>
              <w:t>6</w:t>
            </w:r>
          </w:p>
        </w:tc>
        <w:tc>
          <w:tcPr>
            <w:tcW w:w="1457" w:type="dxa"/>
            <w:noWrap w:val="0"/>
            <w:vAlign w:val="center"/>
          </w:tcPr>
          <w:p>
            <w:pPr>
              <w:spacing w:after="78" w:afterLines="25" w:line="300" w:lineRule="auto"/>
              <w:jc w:val="center"/>
              <w:rPr>
                <w:rStyle w:val="21"/>
                <w:rFonts w:hint="eastAsia" w:ascii="宋体" w:hAnsi="宋体" w:cs="宋体"/>
                <w:b/>
                <w:bCs w:val="0"/>
                <w:color w:val="auto"/>
                <w:sz w:val="20"/>
                <w:szCs w:val="20"/>
              </w:rPr>
            </w:pPr>
            <w:r>
              <w:rPr>
                <w:rFonts w:hint="eastAsia" w:ascii="宋体" w:hAnsi="宋体" w:cs="宋体"/>
                <w:b/>
                <w:color w:val="auto"/>
                <w:szCs w:val="21"/>
              </w:rPr>
              <w:t>验收条件</w:t>
            </w:r>
          </w:p>
        </w:tc>
        <w:tc>
          <w:tcPr>
            <w:tcW w:w="6523" w:type="dxa"/>
            <w:noWrap w:val="0"/>
            <w:vAlign w:val="top"/>
          </w:tcPr>
          <w:p>
            <w:pPr>
              <w:spacing w:after="78" w:afterLines="25" w:line="300" w:lineRule="auto"/>
              <w:rPr>
                <w:rFonts w:hint="eastAsia" w:ascii="宋体" w:hAnsi="宋体" w:cs="宋体"/>
                <w:color w:val="auto"/>
                <w:sz w:val="20"/>
                <w:szCs w:val="20"/>
                <w:lang w:val="en-US" w:eastAsia="zh-CN"/>
              </w:rPr>
            </w:pPr>
            <w:r>
              <w:rPr>
                <w:rFonts w:hint="eastAsia" w:ascii="宋体" w:hAnsi="宋体" w:cs="宋体"/>
                <w:color w:val="auto"/>
                <w:szCs w:val="21"/>
              </w:rPr>
              <w:t>（1）</w:t>
            </w:r>
            <w:r>
              <w:rPr>
                <w:rFonts w:hint="eastAsia" w:ascii="宋体" w:hAnsi="宋体" w:cs="宋体"/>
                <w:color w:val="auto"/>
                <w:kern w:val="0"/>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after="78" w:afterLines="25" w:line="300" w:lineRule="auto"/>
              <w:jc w:val="center"/>
              <w:rPr>
                <w:rFonts w:hint="default" w:ascii="宋体" w:hAnsi="宋体"/>
                <w:b/>
                <w:bCs w:val="0"/>
                <w:color w:val="auto"/>
                <w:sz w:val="20"/>
                <w:szCs w:val="20"/>
                <w:lang w:val="en-US" w:eastAsia="zh-CN"/>
              </w:rPr>
            </w:pPr>
            <w:r>
              <w:rPr>
                <w:rFonts w:hint="eastAsia" w:ascii="宋体" w:hAnsi="宋体" w:cs="宋体"/>
                <w:b/>
                <w:color w:val="auto"/>
                <w:szCs w:val="21"/>
              </w:rPr>
              <w:t>7</w:t>
            </w:r>
          </w:p>
        </w:tc>
        <w:tc>
          <w:tcPr>
            <w:tcW w:w="1457" w:type="dxa"/>
            <w:noWrap w:val="0"/>
            <w:vAlign w:val="center"/>
          </w:tcPr>
          <w:p>
            <w:pPr>
              <w:spacing w:after="78" w:afterLines="25" w:line="300" w:lineRule="auto"/>
              <w:jc w:val="center"/>
              <w:rPr>
                <w:rStyle w:val="21"/>
                <w:rFonts w:hint="eastAsia" w:ascii="宋体" w:hAnsi="宋体" w:cs="宋体"/>
                <w:b/>
                <w:bCs w:val="0"/>
                <w:color w:val="auto"/>
                <w:sz w:val="20"/>
                <w:szCs w:val="20"/>
              </w:rPr>
            </w:pPr>
            <w:r>
              <w:rPr>
                <w:rFonts w:hint="eastAsia" w:ascii="宋体" w:hAnsi="宋体" w:cs="宋体"/>
                <w:b/>
                <w:color w:val="auto"/>
                <w:szCs w:val="21"/>
              </w:rPr>
              <w:t>包装及运输要求</w:t>
            </w:r>
          </w:p>
        </w:tc>
        <w:tc>
          <w:tcPr>
            <w:tcW w:w="6523" w:type="dxa"/>
            <w:noWrap w:val="0"/>
            <w:vAlign w:val="top"/>
          </w:tcPr>
          <w:p>
            <w:pPr>
              <w:spacing w:after="78" w:afterLines="25" w:line="300" w:lineRule="auto"/>
              <w:rPr>
                <w:rFonts w:hint="eastAsia" w:ascii="宋体" w:hAnsi="宋体" w:cs="宋体"/>
                <w:color w:val="auto"/>
                <w:sz w:val="20"/>
                <w:szCs w:val="20"/>
                <w:lang w:val="en-US" w:eastAsia="zh-CN"/>
              </w:rPr>
            </w:pPr>
            <w:r>
              <w:rPr>
                <w:rFonts w:hint="eastAsia" w:ascii="宋体" w:hAnsi="宋体" w:cs="宋体"/>
                <w:color w:val="auto"/>
                <w:kern w:val="0"/>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line="360" w:lineRule="exact"/>
              <w:jc w:val="center"/>
              <w:rPr>
                <w:rFonts w:hint="eastAsia" w:ascii="宋体" w:hAnsi="宋体" w:eastAsia="宋体"/>
                <w:b/>
                <w:color w:val="auto"/>
                <w:sz w:val="20"/>
                <w:szCs w:val="20"/>
                <w:lang w:eastAsia="zh-CN"/>
              </w:rPr>
            </w:pPr>
            <w:r>
              <w:rPr>
                <w:rFonts w:hint="eastAsia" w:ascii="宋体" w:hAnsi="宋体" w:cs="宋体"/>
                <w:b/>
                <w:color w:val="auto"/>
                <w:szCs w:val="21"/>
              </w:rPr>
              <w:t>8</w:t>
            </w:r>
          </w:p>
        </w:tc>
        <w:tc>
          <w:tcPr>
            <w:tcW w:w="1457" w:type="dxa"/>
            <w:noWrap w:val="0"/>
            <w:vAlign w:val="center"/>
          </w:tcPr>
          <w:p>
            <w:pPr>
              <w:spacing w:line="360" w:lineRule="exact"/>
              <w:jc w:val="center"/>
              <w:rPr>
                <w:rFonts w:ascii="宋体" w:hAnsi="宋体"/>
                <w:color w:val="auto"/>
                <w:sz w:val="20"/>
                <w:szCs w:val="20"/>
              </w:rPr>
            </w:pPr>
            <w:r>
              <w:rPr>
                <w:rFonts w:hint="eastAsia" w:ascii="宋体" w:hAnsi="宋体" w:cs="宋体"/>
                <w:b/>
                <w:color w:val="auto"/>
                <w:szCs w:val="21"/>
              </w:rPr>
              <w:t>争议解决方法</w:t>
            </w:r>
          </w:p>
        </w:tc>
        <w:tc>
          <w:tcPr>
            <w:tcW w:w="6523" w:type="dxa"/>
            <w:noWrap w:val="0"/>
            <w:vAlign w:val="center"/>
          </w:tcPr>
          <w:p>
            <w:pPr>
              <w:spacing w:line="360" w:lineRule="exact"/>
              <w:rPr>
                <w:rFonts w:ascii="宋体" w:hAnsi="宋体"/>
                <w:bCs/>
                <w:color w:val="auto"/>
                <w:szCs w:val="21"/>
              </w:rPr>
            </w:pPr>
            <w:r>
              <w:rPr>
                <w:rFonts w:hint="eastAsia" w:ascii="宋体" w:hAnsi="宋体" w:cs="宋体"/>
                <w:color w:val="auto"/>
                <w:szCs w:val="21"/>
              </w:rPr>
              <w:t>因货物的质量问题发生争议的，应当邀请国家认可的质量检测机构对货物质量进行鉴定。货物符合标准的，鉴定费由甲方承担；货物不符合质量标准的，鉴定费由乙方承担。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40" w:type="dxa"/>
            <w:noWrap w:val="0"/>
            <w:vAlign w:val="center"/>
          </w:tcPr>
          <w:p>
            <w:pPr>
              <w:spacing w:after="78" w:afterLines="25" w:line="300" w:lineRule="auto"/>
              <w:jc w:val="center"/>
              <w:rPr>
                <w:rFonts w:hint="eastAsia" w:ascii="宋体" w:hAnsi="宋体" w:eastAsia="宋体"/>
                <w:b/>
                <w:color w:val="auto"/>
                <w:lang w:eastAsia="zh-CN"/>
              </w:rPr>
            </w:pPr>
            <w:r>
              <w:rPr>
                <w:rFonts w:hint="eastAsia" w:ascii="宋体" w:hAnsi="宋体" w:cs="宋体"/>
                <w:b/>
                <w:color w:val="auto"/>
                <w:szCs w:val="21"/>
              </w:rPr>
              <w:t>9</w:t>
            </w:r>
          </w:p>
        </w:tc>
        <w:tc>
          <w:tcPr>
            <w:tcW w:w="1457" w:type="dxa"/>
            <w:noWrap w:val="0"/>
            <w:vAlign w:val="center"/>
          </w:tcPr>
          <w:p>
            <w:pPr>
              <w:spacing w:after="78" w:afterLines="25" w:line="300" w:lineRule="auto"/>
              <w:jc w:val="center"/>
              <w:rPr>
                <w:rFonts w:ascii="宋体" w:hAnsi="宋体"/>
                <w:b/>
                <w:color w:val="auto"/>
              </w:rPr>
            </w:pPr>
            <w:r>
              <w:rPr>
                <w:rFonts w:hint="eastAsia" w:ascii="宋体" w:hAnsi="宋体" w:cs="宋体"/>
                <w:b/>
                <w:color w:val="auto"/>
                <w:szCs w:val="21"/>
              </w:rPr>
              <w:t>其他要求</w:t>
            </w:r>
          </w:p>
        </w:tc>
        <w:tc>
          <w:tcPr>
            <w:tcW w:w="6523" w:type="dxa"/>
            <w:noWrap w:val="0"/>
            <w:vAlign w:val="top"/>
          </w:tcPr>
          <w:p>
            <w:pPr>
              <w:spacing w:after="78" w:afterLines="25" w:line="300" w:lineRule="exact"/>
              <w:rPr>
                <w:rFonts w:ascii="宋体" w:hAnsi="宋体" w:cs="宋体"/>
                <w:color w:val="auto"/>
                <w:szCs w:val="21"/>
              </w:rPr>
            </w:pPr>
            <w:r>
              <w:rPr>
                <w:rFonts w:hint="eastAsia" w:ascii="宋体" w:hAnsi="宋体" w:cs="宋体"/>
                <w:color w:val="auto"/>
                <w:szCs w:val="21"/>
              </w:rPr>
              <w:t>（1）中标供应商在签订合同时应提供投标文件打印稿贰份，并加盖公章（一份交给监理公司，一份交给学校），同时提供投标文件的OFFICE文档。</w:t>
            </w:r>
          </w:p>
          <w:p>
            <w:pPr>
              <w:spacing w:after="78" w:afterLines="25" w:line="300" w:lineRule="exact"/>
              <w:rPr>
                <w:rFonts w:ascii="宋体" w:hAnsi="宋体" w:cs="宋体"/>
                <w:color w:val="auto"/>
                <w:szCs w:val="21"/>
              </w:rPr>
            </w:pPr>
            <w:r>
              <w:rPr>
                <w:rFonts w:hint="eastAsia" w:ascii="宋体" w:hAnsi="宋体" w:cs="宋体"/>
                <w:color w:val="auto"/>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pPr>
              <w:spacing w:after="78" w:afterLines="25" w:line="300" w:lineRule="exact"/>
              <w:rPr>
                <w:rFonts w:hint="eastAsia" w:ascii="宋体" w:hAnsi="宋体" w:cs="宋体"/>
                <w:color w:val="auto"/>
                <w:szCs w:val="21"/>
              </w:rPr>
            </w:pPr>
            <w:r>
              <w:rPr>
                <w:rFonts w:hint="eastAsia" w:ascii="宋体" w:hAnsi="宋体" w:cs="宋体"/>
                <w:color w:val="auto"/>
                <w:szCs w:val="21"/>
              </w:rPr>
              <w:t>（3）技术参数要求表中每项清单内容所描述的各种配件组成部分的数量为不可负偏离，若有数量有负偏离将导致投标无效，若在验收阶段发现的，将导致项目不能通过验收，相关后果由中标公司承担。</w:t>
            </w:r>
          </w:p>
          <w:p>
            <w:pPr>
              <w:spacing w:after="78" w:afterLines="25" w:line="300" w:lineRule="exact"/>
              <w:rPr>
                <w:rFonts w:ascii="宋体" w:hAnsi="宋体" w:cs="宋体"/>
                <w:color w:val="auto"/>
                <w:szCs w:val="21"/>
              </w:rPr>
            </w:pPr>
            <w:r>
              <w:rPr>
                <w:rFonts w:hint="eastAsia" w:ascii="宋体" w:hAnsi="宋体" w:cs="宋体"/>
                <w:color w:val="auto"/>
                <w:szCs w:val="21"/>
              </w:rPr>
              <w:t>（4）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pPr>
              <w:spacing w:after="78" w:afterLines="25" w:line="300" w:lineRule="exact"/>
              <w:rPr>
                <w:rFonts w:hint="eastAsia" w:ascii="宋体" w:hAnsi="宋体" w:cs="宋体"/>
                <w:color w:val="auto"/>
                <w:szCs w:val="21"/>
              </w:rPr>
            </w:pPr>
            <w:r>
              <w:rPr>
                <w:rFonts w:hint="eastAsia" w:ascii="宋体" w:hAnsi="宋体" w:cs="宋体"/>
                <w:color w:val="auto"/>
                <w:szCs w:val="21"/>
              </w:rPr>
              <w:t>（5）投标商必须确保中标后提供的货物为正规渠道供货，不存在违反国家法律、法规的情况。</w:t>
            </w:r>
          </w:p>
          <w:p>
            <w:pPr>
              <w:spacing w:after="78" w:afterLines="25" w:line="300" w:lineRule="exact"/>
              <w:rPr>
                <w:rFonts w:hint="eastAsia" w:ascii="宋体" w:hAnsi="宋体" w:cs="宋体"/>
                <w:color w:val="auto"/>
                <w:szCs w:val="21"/>
                <w:lang w:eastAsia="zh-CN"/>
              </w:rPr>
            </w:pPr>
            <w:r>
              <w:rPr>
                <w:rFonts w:hint="eastAsia" w:ascii="宋体" w:hAnsi="宋体" w:cs="宋体"/>
                <w:color w:val="auto"/>
                <w:szCs w:val="21"/>
                <w:lang w:eastAsia="zh-CN"/>
              </w:rPr>
              <w:t>（</w:t>
            </w:r>
            <w:r>
              <w:rPr>
                <w:rFonts w:hint="eastAsia" w:ascii="宋体" w:hAnsi="宋体" w:cs="宋体"/>
                <w:color w:val="auto"/>
                <w:szCs w:val="21"/>
                <w:lang w:val="en-US" w:eastAsia="zh-CN"/>
              </w:rPr>
              <w:t>6</w:t>
            </w:r>
            <w:r>
              <w:rPr>
                <w:rFonts w:hint="eastAsia" w:ascii="宋体" w:hAnsi="宋体" w:cs="宋体"/>
                <w:color w:val="auto"/>
                <w:szCs w:val="21"/>
                <w:lang w:eastAsia="zh-CN"/>
              </w:rPr>
              <w:t>）</w:t>
            </w:r>
            <w:r>
              <w:rPr>
                <w:rFonts w:hint="eastAsia" w:ascii="宋体" w:hAnsi="宋体" w:cs="宋体"/>
                <w:color w:val="000000"/>
                <w:sz w:val="20"/>
                <w:szCs w:val="20"/>
                <w:highlight w:val="yellow"/>
                <w:lang w:val="en-US" w:eastAsia="zh-CN"/>
              </w:rPr>
              <w:t>涉及到消毒类产品中标后需提供《消毒产品生产企业卫生许可证》。</w:t>
            </w:r>
          </w:p>
          <w:p>
            <w:pPr>
              <w:spacing w:after="78" w:afterLines="25" w:line="300" w:lineRule="exact"/>
              <w:rPr>
                <w:rFonts w:ascii="宋体" w:hAnsi="宋体" w:cs="宋体"/>
                <w:color w:val="auto"/>
                <w:szCs w:val="21"/>
              </w:rPr>
            </w:pPr>
            <w:r>
              <w:rPr>
                <w:rFonts w:hint="eastAsia" w:ascii="宋体" w:hAnsi="宋体" w:cs="宋体"/>
                <w:color w:val="auto"/>
                <w:szCs w:val="21"/>
              </w:rPr>
              <w:t>（</w:t>
            </w:r>
            <w:r>
              <w:rPr>
                <w:rFonts w:hint="eastAsia" w:ascii="宋体" w:hAnsi="宋体" w:cs="宋体"/>
                <w:color w:val="auto"/>
                <w:szCs w:val="21"/>
                <w:lang w:val="en-US" w:eastAsia="zh-CN"/>
              </w:rPr>
              <w:t>7</w:t>
            </w:r>
            <w:r>
              <w:rPr>
                <w:rFonts w:hint="eastAsia" w:ascii="宋体" w:hAnsi="宋体" w:cs="宋体"/>
                <w:color w:val="auto"/>
                <w:szCs w:val="21"/>
              </w:rPr>
              <w:t>）特别条款：对于单纯家具（含课桌椅）项目、含家具或装修的功能室项目及教室照明设备在验收时还需提供以下材料：</w:t>
            </w:r>
          </w:p>
          <w:p>
            <w:pPr>
              <w:spacing w:after="78" w:afterLines="25" w:line="300" w:lineRule="exact"/>
              <w:rPr>
                <w:rFonts w:ascii="宋体" w:hAnsi="宋体" w:cs="宋体"/>
                <w:color w:val="auto"/>
                <w:szCs w:val="21"/>
              </w:rPr>
            </w:pPr>
            <w:r>
              <w:rPr>
                <w:rFonts w:hint="eastAsia" w:ascii="宋体" w:hAnsi="宋体" w:cs="宋体"/>
                <w:color w:val="auto"/>
                <w:szCs w:val="21"/>
              </w:rPr>
              <w:t>①家具（含课桌椅）类货物应提供有害物质检测报告。根据深圳经济特区技术规范《家具成品及原辅材料中有害物质限量》（SZJG52-2016）的规定，需根据现场抽样并对以下项目进行检验且合格：</w:t>
            </w:r>
          </w:p>
          <w:tbl>
            <w:tblPr>
              <w:tblStyle w:val="18"/>
              <w:tblpPr w:leftFromText="180" w:rightFromText="180" w:vertAnchor="text" w:horzAnchor="page" w:tblpXSpec="center" w:tblpY="216"/>
              <w:tblOverlap w:val="never"/>
              <w:tblW w:w="62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80"/>
              <w:gridCol w:w="1568"/>
              <w:gridCol w:w="1120"/>
              <w:gridCol w:w="1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blHeader/>
                <w:jc w:val="center"/>
              </w:trPr>
              <w:tc>
                <w:tcPr>
                  <w:tcW w:w="437"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序号</w:t>
                  </w:r>
                </w:p>
              </w:tc>
              <w:tc>
                <w:tcPr>
                  <w:tcW w:w="1280"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检验项目</w:t>
                  </w:r>
                </w:p>
              </w:tc>
              <w:tc>
                <w:tcPr>
                  <w:tcW w:w="1568"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依据法律法规或标准条款</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强制性/推荐性</w:t>
                  </w:r>
                </w:p>
              </w:tc>
              <w:tc>
                <w:tcPr>
                  <w:tcW w:w="1832"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检测方法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437" w:type="dxa"/>
                  <w:tcBorders>
                    <w:top w:val="single" w:color="auto" w:sz="4" w:space="0"/>
                    <w:left w:val="single" w:color="auto" w:sz="4" w:space="0"/>
                    <w:bottom w:val="single" w:color="auto" w:sz="4" w:space="0"/>
                    <w:right w:val="single" w:color="auto" w:sz="4" w:space="0"/>
                    <w:tl2br w:val="nil"/>
                    <w:tr2bl w:val="nil"/>
                  </w:tcBorders>
                </w:tcPr>
                <w:p>
                  <w:pPr>
                    <w:spacing w:after="78" w:afterLines="25"/>
                    <w:rPr>
                      <w:rFonts w:ascii="宋体" w:hAnsi="宋体" w:cs="宋体"/>
                      <w:color w:val="auto"/>
                      <w:szCs w:val="21"/>
                    </w:rPr>
                  </w:pPr>
                  <w:r>
                    <w:rPr>
                      <w:rFonts w:hint="eastAsia" w:ascii="宋体" w:hAnsi="宋体" w:cs="宋体"/>
                      <w:color w:val="auto"/>
                      <w:szCs w:val="21"/>
                    </w:rPr>
                    <w:t>1</w:t>
                  </w:r>
                </w:p>
              </w:tc>
              <w:tc>
                <w:tcPr>
                  <w:tcW w:w="1280"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甲醛释放量</w:t>
                  </w:r>
                </w:p>
              </w:tc>
              <w:tc>
                <w:tcPr>
                  <w:tcW w:w="1568"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SZJG52-2016</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强制性</w:t>
                  </w:r>
                </w:p>
              </w:tc>
              <w:tc>
                <w:tcPr>
                  <w:tcW w:w="1832"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437" w:type="dxa"/>
                  <w:tcBorders>
                    <w:top w:val="single" w:color="auto" w:sz="4" w:space="0"/>
                    <w:left w:val="single" w:color="auto" w:sz="4" w:space="0"/>
                    <w:bottom w:val="single" w:color="auto" w:sz="4" w:space="0"/>
                    <w:right w:val="single" w:color="auto" w:sz="4" w:space="0"/>
                    <w:tl2br w:val="nil"/>
                    <w:tr2bl w:val="nil"/>
                  </w:tcBorders>
                </w:tcPr>
                <w:p>
                  <w:pPr>
                    <w:spacing w:after="78" w:afterLines="25"/>
                    <w:rPr>
                      <w:rFonts w:ascii="宋体" w:hAnsi="宋体" w:cs="宋体"/>
                      <w:color w:val="auto"/>
                      <w:szCs w:val="21"/>
                    </w:rPr>
                  </w:pPr>
                  <w:r>
                    <w:rPr>
                      <w:rFonts w:hint="eastAsia" w:ascii="宋体" w:hAnsi="宋体" w:cs="宋体"/>
                      <w:color w:val="auto"/>
                      <w:szCs w:val="21"/>
                    </w:rPr>
                    <w:t>2</w:t>
                  </w:r>
                </w:p>
              </w:tc>
              <w:tc>
                <w:tcPr>
                  <w:tcW w:w="1280"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苯释放量</w:t>
                  </w:r>
                </w:p>
              </w:tc>
              <w:tc>
                <w:tcPr>
                  <w:tcW w:w="1568"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SZJG52-2016</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强制性</w:t>
                  </w:r>
                </w:p>
              </w:tc>
              <w:tc>
                <w:tcPr>
                  <w:tcW w:w="1832"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437" w:type="dxa"/>
                  <w:tcBorders>
                    <w:top w:val="single" w:color="auto" w:sz="4" w:space="0"/>
                    <w:left w:val="single" w:color="auto" w:sz="4" w:space="0"/>
                    <w:bottom w:val="single" w:color="auto" w:sz="4" w:space="0"/>
                    <w:right w:val="single" w:color="auto" w:sz="4" w:space="0"/>
                    <w:tl2br w:val="nil"/>
                    <w:tr2bl w:val="nil"/>
                  </w:tcBorders>
                </w:tcPr>
                <w:p>
                  <w:pPr>
                    <w:spacing w:after="78" w:afterLines="25"/>
                    <w:rPr>
                      <w:rFonts w:ascii="宋体" w:hAnsi="宋体" w:cs="宋体"/>
                      <w:color w:val="auto"/>
                      <w:szCs w:val="21"/>
                    </w:rPr>
                  </w:pPr>
                  <w:r>
                    <w:rPr>
                      <w:rFonts w:hint="eastAsia" w:ascii="宋体" w:hAnsi="宋体" w:cs="宋体"/>
                      <w:color w:val="auto"/>
                      <w:szCs w:val="21"/>
                    </w:rPr>
                    <w:t>3</w:t>
                  </w:r>
                </w:p>
              </w:tc>
              <w:tc>
                <w:tcPr>
                  <w:tcW w:w="1280"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甲苯释放量</w:t>
                  </w:r>
                </w:p>
              </w:tc>
              <w:tc>
                <w:tcPr>
                  <w:tcW w:w="1568"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SZJG52-2016</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强制性</w:t>
                  </w:r>
                </w:p>
              </w:tc>
              <w:tc>
                <w:tcPr>
                  <w:tcW w:w="1832"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jc w:val="center"/>
              </w:trPr>
              <w:tc>
                <w:tcPr>
                  <w:tcW w:w="437" w:type="dxa"/>
                  <w:tcBorders>
                    <w:top w:val="single" w:color="auto" w:sz="4" w:space="0"/>
                    <w:left w:val="single" w:color="auto" w:sz="4" w:space="0"/>
                    <w:bottom w:val="single" w:color="auto" w:sz="4" w:space="0"/>
                    <w:right w:val="single" w:color="auto" w:sz="4" w:space="0"/>
                    <w:tl2br w:val="nil"/>
                    <w:tr2bl w:val="nil"/>
                  </w:tcBorders>
                </w:tcPr>
                <w:p>
                  <w:pPr>
                    <w:spacing w:after="78" w:afterLines="25"/>
                    <w:rPr>
                      <w:rFonts w:ascii="宋体" w:hAnsi="宋体" w:cs="宋体"/>
                      <w:color w:val="auto"/>
                      <w:szCs w:val="21"/>
                    </w:rPr>
                  </w:pPr>
                  <w:r>
                    <w:rPr>
                      <w:rFonts w:hint="eastAsia" w:ascii="宋体" w:hAnsi="宋体" w:cs="宋体"/>
                      <w:color w:val="auto"/>
                      <w:szCs w:val="21"/>
                    </w:rPr>
                    <w:t>4</w:t>
                  </w:r>
                </w:p>
              </w:tc>
              <w:tc>
                <w:tcPr>
                  <w:tcW w:w="1280"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二甲苯释放量</w:t>
                  </w:r>
                </w:p>
              </w:tc>
              <w:tc>
                <w:tcPr>
                  <w:tcW w:w="1568"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SZJG52-2016</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强制性</w:t>
                  </w:r>
                </w:p>
              </w:tc>
              <w:tc>
                <w:tcPr>
                  <w:tcW w:w="1832"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SZJG52-2016 GB/T31106-2014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jc w:val="center"/>
              </w:trPr>
              <w:tc>
                <w:tcPr>
                  <w:tcW w:w="437" w:type="dxa"/>
                  <w:tcBorders>
                    <w:top w:val="single" w:color="auto" w:sz="4" w:space="0"/>
                    <w:left w:val="single" w:color="auto" w:sz="4" w:space="0"/>
                    <w:bottom w:val="single" w:color="auto" w:sz="4" w:space="0"/>
                    <w:right w:val="single" w:color="auto" w:sz="4" w:space="0"/>
                    <w:tl2br w:val="nil"/>
                    <w:tr2bl w:val="nil"/>
                  </w:tcBorders>
                </w:tcPr>
                <w:p>
                  <w:pPr>
                    <w:spacing w:after="78" w:afterLines="25"/>
                    <w:rPr>
                      <w:rFonts w:ascii="宋体" w:hAnsi="宋体" w:cs="宋体"/>
                      <w:color w:val="auto"/>
                      <w:szCs w:val="21"/>
                    </w:rPr>
                  </w:pPr>
                  <w:r>
                    <w:rPr>
                      <w:rFonts w:hint="eastAsia" w:ascii="宋体" w:hAnsi="宋体" w:cs="宋体"/>
                      <w:color w:val="auto"/>
                      <w:szCs w:val="21"/>
                    </w:rPr>
                    <w:t>5</w:t>
                  </w:r>
                </w:p>
              </w:tc>
              <w:tc>
                <w:tcPr>
                  <w:tcW w:w="1280"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总挥发性有机化合物（TVOC）释放量</w:t>
                  </w:r>
                </w:p>
              </w:tc>
              <w:tc>
                <w:tcPr>
                  <w:tcW w:w="1568"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SZJG52-2016</w:t>
                  </w:r>
                </w:p>
              </w:tc>
              <w:tc>
                <w:tcPr>
                  <w:tcW w:w="1120"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强制性</w:t>
                  </w:r>
                </w:p>
              </w:tc>
              <w:tc>
                <w:tcPr>
                  <w:tcW w:w="1832"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rPr>
                      <w:rFonts w:ascii="宋体" w:hAnsi="宋体" w:cs="宋体"/>
                      <w:color w:val="auto"/>
                      <w:szCs w:val="21"/>
                    </w:rPr>
                  </w:pPr>
                  <w:r>
                    <w:rPr>
                      <w:rFonts w:hint="eastAsia" w:ascii="宋体" w:hAnsi="宋体" w:cs="宋体"/>
                      <w:color w:val="auto"/>
                      <w:szCs w:val="21"/>
                    </w:rPr>
                    <w:t>SZJG52-2016 GB/T31106-2014</w:t>
                  </w:r>
                </w:p>
              </w:tc>
            </w:tr>
          </w:tbl>
          <w:p>
            <w:pPr>
              <w:spacing w:after="78" w:afterLines="25" w:line="300" w:lineRule="exact"/>
              <w:rPr>
                <w:rFonts w:ascii="宋体" w:hAnsi="宋体" w:cs="宋体"/>
                <w:color w:val="auto"/>
                <w:szCs w:val="21"/>
              </w:rPr>
            </w:pPr>
            <w:r>
              <w:rPr>
                <w:rFonts w:hint="eastAsia" w:ascii="宋体" w:hAnsi="宋体" w:cs="宋体"/>
                <w:color w:val="auto"/>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8"/>
              <w:tblW w:w="68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1"/>
              <w:gridCol w:w="2828"/>
              <w:gridCol w:w="2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blHeader/>
                <w:jc w:val="center"/>
              </w:trPr>
              <w:tc>
                <w:tcPr>
                  <w:tcW w:w="1071"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line="300" w:lineRule="exact"/>
                    <w:jc w:val="center"/>
                    <w:rPr>
                      <w:rFonts w:ascii="宋体" w:hAnsi="宋体" w:cs="宋体"/>
                      <w:color w:val="auto"/>
                      <w:szCs w:val="21"/>
                    </w:rPr>
                  </w:pPr>
                  <w:r>
                    <w:rPr>
                      <w:rFonts w:hint="eastAsia" w:ascii="宋体" w:hAnsi="宋体" w:cs="宋体"/>
                      <w:color w:val="auto"/>
                      <w:szCs w:val="21"/>
                    </w:rPr>
                    <w:t>序号</w:t>
                  </w:r>
                </w:p>
              </w:tc>
              <w:tc>
                <w:tcPr>
                  <w:tcW w:w="2828"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line="300" w:lineRule="exact"/>
                    <w:rPr>
                      <w:rFonts w:ascii="宋体" w:hAnsi="宋体" w:cs="宋体"/>
                      <w:color w:val="auto"/>
                      <w:szCs w:val="21"/>
                    </w:rPr>
                  </w:pPr>
                  <w:r>
                    <w:rPr>
                      <w:rFonts w:hint="eastAsia" w:ascii="宋体" w:hAnsi="宋体" w:cs="宋体"/>
                      <w:color w:val="auto"/>
                      <w:szCs w:val="21"/>
                    </w:rPr>
                    <w:t>检验项目</w:t>
                  </w:r>
                </w:p>
              </w:tc>
              <w:tc>
                <w:tcPr>
                  <w:tcW w:w="2915"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line="300" w:lineRule="exact"/>
                    <w:rPr>
                      <w:rFonts w:ascii="宋体" w:hAnsi="宋体" w:cs="宋体"/>
                      <w:color w:val="auto"/>
                      <w:szCs w:val="21"/>
                    </w:rPr>
                  </w:pPr>
                  <w:r>
                    <w:rPr>
                      <w:rFonts w:hint="eastAsia" w:ascii="宋体" w:hAnsi="宋体" w:cs="宋体"/>
                      <w:color w:val="auto"/>
                      <w:szCs w:val="21"/>
                    </w:rPr>
                    <w:t>依据法律法规或标准条款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71" w:type="dxa"/>
                  <w:tcBorders>
                    <w:top w:val="single" w:color="auto" w:sz="4" w:space="0"/>
                    <w:left w:val="single" w:color="auto" w:sz="4" w:space="0"/>
                    <w:bottom w:val="single" w:color="auto" w:sz="4" w:space="0"/>
                    <w:right w:val="single" w:color="auto" w:sz="4" w:space="0"/>
                    <w:tl2br w:val="nil"/>
                    <w:tr2bl w:val="nil"/>
                  </w:tcBorders>
                </w:tcPr>
                <w:p>
                  <w:pPr>
                    <w:spacing w:after="78" w:afterLines="25" w:line="300" w:lineRule="exact"/>
                    <w:jc w:val="center"/>
                    <w:rPr>
                      <w:rFonts w:ascii="宋体" w:hAnsi="宋体" w:cs="宋体"/>
                      <w:color w:val="auto"/>
                      <w:szCs w:val="21"/>
                    </w:rPr>
                  </w:pPr>
                  <w:r>
                    <w:rPr>
                      <w:rFonts w:hint="eastAsia" w:ascii="宋体" w:hAnsi="宋体" w:cs="宋体"/>
                      <w:color w:val="auto"/>
                      <w:szCs w:val="21"/>
                    </w:rPr>
                    <w:t>1</w:t>
                  </w:r>
                </w:p>
              </w:tc>
              <w:tc>
                <w:tcPr>
                  <w:tcW w:w="2828"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line="300" w:lineRule="exact"/>
                    <w:rPr>
                      <w:rFonts w:ascii="宋体" w:hAnsi="宋体" w:cs="宋体"/>
                      <w:color w:val="auto"/>
                      <w:szCs w:val="21"/>
                    </w:rPr>
                  </w:pPr>
                  <w:r>
                    <w:rPr>
                      <w:rFonts w:hint="eastAsia" w:ascii="宋体" w:hAnsi="宋体" w:cs="宋体"/>
                      <w:color w:val="auto"/>
                      <w:szCs w:val="21"/>
                    </w:rPr>
                    <w:t>甲醛</w:t>
                  </w:r>
                </w:p>
              </w:tc>
              <w:tc>
                <w:tcPr>
                  <w:tcW w:w="2915"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line="300" w:lineRule="exact"/>
                    <w:rPr>
                      <w:rFonts w:ascii="宋体" w:hAnsi="宋体" w:cs="宋体"/>
                      <w:color w:val="auto"/>
                      <w:szCs w:val="21"/>
                    </w:rPr>
                  </w:pPr>
                  <w:r>
                    <w:rPr>
                      <w:rFonts w:hint="eastAsia" w:ascii="宋体" w:hAnsi="宋体" w:cs="宋体"/>
                      <w:color w:val="auto"/>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71" w:type="dxa"/>
                  <w:tcBorders>
                    <w:top w:val="single" w:color="auto" w:sz="4" w:space="0"/>
                    <w:left w:val="single" w:color="auto" w:sz="4" w:space="0"/>
                    <w:bottom w:val="single" w:color="auto" w:sz="4" w:space="0"/>
                    <w:right w:val="single" w:color="auto" w:sz="4" w:space="0"/>
                    <w:tl2br w:val="nil"/>
                    <w:tr2bl w:val="nil"/>
                  </w:tcBorders>
                </w:tcPr>
                <w:p>
                  <w:pPr>
                    <w:spacing w:after="78" w:afterLines="25" w:line="300" w:lineRule="exact"/>
                    <w:jc w:val="center"/>
                    <w:rPr>
                      <w:rFonts w:ascii="宋体" w:hAnsi="宋体" w:cs="宋体"/>
                      <w:color w:val="auto"/>
                      <w:szCs w:val="21"/>
                    </w:rPr>
                  </w:pPr>
                  <w:r>
                    <w:rPr>
                      <w:rFonts w:hint="eastAsia" w:ascii="宋体" w:hAnsi="宋体" w:cs="宋体"/>
                      <w:color w:val="auto"/>
                      <w:szCs w:val="21"/>
                    </w:rPr>
                    <w:t>2</w:t>
                  </w:r>
                </w:p>
              </w:tc>
              <w:tc>
                <w:tcPr>
                  <w:tcW w:w="2828"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line="300" w:lineRule="exact"/>
                    <w:rPr>
                      <w:rFonts w:ascii="宋体" w:hAnsi="宋体" w:cs="宋体"/>
                      <w:color w:val="auto"/>
                      <w:szCs w:val="21"/>
                    </w:rPr>
                  </w:pPr>
                  <w:r>
                    <w:rPr>
                      <w:rFonts w:hint="eastAsia" w:ascii="宋体" w:hAnsi="宋体" w:cs="宋体"/>
                      <w:color w:val="auto"/>
                      <w:szCs w:val="21"/>
                    </w:rPr>
                    <w:t>苯</w:t>
                  </w:r>
                </w:p>
              </w:tc>
              <w:tc>
                <w:tcPr>
                  <w:tcW w:w="2915"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line="300" w:lineRule="exact"/>
                    <w:rPr>
                      <w:rFonts w:ascii="宋体" w:hAnsi="宋体" w:cs="宋体"/>
                      <w:color w:val="auto"/>
                      <w:szCs w:val="21"/>
                    </w:rPr>
                  </w:pPr>
                  <w:r>
                    <w:rPr>
                      <w:rFonts w:hint="eastAsia" w:ascii="宋体" w:hAnsi="宋体" w:cs="宋体"/>
                      <w:color w:val="auto"/>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71" w:type="dxa"/>
                  <w:tcBorders>
                    <w:top w:val="single" w:color="auto" w:sz="4" w:space="0"/>
                    <w:left w:val="single" w:color="auto" w:sz="4" w:space="0"/>
                    <w:bottom w:val="single" w:color="auto" w:sz="4" w:space="0"/>
                    <w:right w:val="single" w:color="auto" w:sz="4" w:space="0"/>
                    <w:tl2br w:val="nil"/>
                    <w:tr2bl w:val="nil"/>
                  </w:tcBorders>
                </w:tcPr>
                <w:p>
                  <w:pPr>
                    <w:spacing w:after="78" w:afterLines="25" w:line="300" w:lineRule="exact"/>
                    <w:jc w:val="center"/>
                    <w:rPr>
                      <w:rFonts w:ascii="宋体" w:hAnsi="宋体" w:cs="宋体"/>
                      <w:color w:val="auto"/>
                      <w:szCs w:val="21"/>
                    </w:rPr>
                  </w:pPr>
                  <w:r>
                    <w:rPr>
                      <w:rFonts w:hint="eastAsia" w:ascii="宋体" w:hAnsi="宋体" w:cs="宋体"/>
                      <w:color w:val="auto"/>
                      <w:szCs w:val="21"/>
                    </w:rPr>
                    <w:t>3</w:t>
                  </w:r>
                </w:p>
              </w:tc>
              <w:tc>
                <w:tcPr>
                  <w:tcW w:w="2828"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line="300" w:lineRule="exact"/>
                    <w:rPr>
                      <w:rFonts w:ascii="宋体" w:hAnsi="宋体" w:cs="宋体"/>
                      <w:color w:val="auto"/>
                      <w:szCs w:val="21"/>
                    </w:rPr>
                  </w:pPr>
                  <w:r>
                    <w:rPr>
                      <w:rFonts w:hint="eastAsia" w:ascii="宋体" w:hAnsi="宋体" w:cs="宋体"/>
                      <w:color w:val="auto"/>
                      <w:szCs w:val="21"/>
                    </w:rPr>
                    <w:t>甲苯</w:t>
                  </w:r>
                </w:p>
              </w:tc>
              <w:tc>
                <w:tcPr>
                  <w:tcW w:w="2915"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line="300" w:lineRule="exact"/>
                    <w:rPr>
                      <w:rFonts w:ascii="宋体" w:hAnsi="宋体" w:cs="宋体"/>
                      <w:color w:val="auto"/>
                      <w:szCs w:val="21"/>
                    </w:rPr>
                  </w:pPr>
                  <w:r>
                    <w:rPr>
                      <w:rFonts w:hint="eastAsia" w:ascii="宋体" w:hAnsi="宋体" w:cs="宋体"/>
                      <w:color w:val="auto"/>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71" w:type="dxa"/>
                  <w:tcBorders>
                    <w:top w:val="single" w:color="auto" w:sz="4" w:space="0"/>
                    <w:left w:val="single" w:color="auto" w:sz="4" w:space="0"/>
                    <w:bottom w:val="single" w:color="auto" w:sz="4" w:space="0"/>
                    <w:right w:val="single" w:color="auto" w:sz="4" w:space="0"/>
                    <w:tl2br w:val="nil"/>
                    <w:tr2bl w:val="nil"/>
                  </w:tcBorders>
                </w:tcPr>
                <w:p>
                  <w:pPr>
                    <w:spacing w:after="78" w:afterLines="25" w:line="300" w:lineRule="exact"/>
                    <w:jc w:val="center"/>
                    <w:rPr>
                      <w:rFonts w:ascii="宋体" w:hAnsi="宋体" w:cs="宋体"/>
                      <w:color w:val="auto"/>
                      <w:szCs w:val="21"/>
                    </w:rPr>
                  </w:pPr>
                  <w:r>
                    <w:rPr>
                      <w:rFonts w:hint="eastAsia" w:ascii="宋体" w:hAnsi="宋体" w:cs="宋体"/>
                      <w:color w:val="auto"/>
                      <w:szCs w:val="21"/>
                    </w:rPr>
                    <w:t>4</w:t>
                  </w:r>
                </w:p>
              </w:tc>
              <w:tc>
                <w:tcPr>
                  <w:tcW w:w="2828"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line="300" w:lineRule="exact"/>
                    <w:rPr>
                      <w:rFonts w:ascii="宋体" w:hAnsi="宋体" w:cs="宋体"/>
                      <w:color w:val="auto"/>
                      <w:szCs w:val="21"/>
                    </w:rPr>
                  </w:pPr>
                  <w:r>
                    <w:rPr>
                      <w:rFonts w:hint="eastAsia" w:ascii="宋体" w:hAnsi="宋体" w:cs="宋体"/>
                      <w:color w:val="auto"/>
                      <w:szCs w:val="21"/>
                    </w:rPr>
                    <w:t>二甲苯</w:t>
                  </w:r>
                </w:p>
              </w:tc>
              <w:tc>
                <w:tcPr>
                  <w:tcW w:w="2915"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line="300" w:lineRule="exact"/>
                    <w:rPr>
                      <w:rFonts w:ascii="宋体" w:hAnsi="宋体" w:cs="宋体"/>
                      <w:color w:val="auto"/>
                      <w:szCs w:val="21"/>
                    </w:rPr>
                  </w:pPr>
                  <w:r>
                    <w:rPr>
                      <w:rFonts w:hint="eastAsia" w:ascii="宋体" w:hAnsi="宋体" w:cs="宋体"/>
                      <w:color w:val="auto"/>
                      <w:szCs w:val="21"/>
                    </w:rPr>
                    <w:t>GB/T 18883-2022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1071" w:type="dxa"/>
                  <w:tcBorders>
                    <w:top w:val="single" w:color="auto" w:sz="4" w:space="0"/>
                    <w:left w:val="single" w:color="auto" w:sz="4" w:space="0"/>
                    <w:bottom w:val="single" w:color="auto" w:sz="4" w:space="0"/>
                    <w:right w:val="single" w:color="auto" w:sz="4" w:space="0"/>
                    <w:tl2br w:val="nil"/>
                    <w:tr2bl w:val="nil"/>
                  </w:tcBorders>
                </w:tcPr>
                <w:p>
                  <w:pPr>
                    <w:spacing w:after="78" w:afterLines="25" w:line="300" w:lineRule="exact"/>
                    <w:jc w:val="center"/>
                    <w:rPr>
                      <w:rFonts w:ascii="宋体" w:hAnsi="宋体" w:cs="宋体"/>
                      <w:color w:val="auto"/>
                      <w:szCs w:val="21"/>
                    </w:rPr>
                  </w:pPr>
                  <w:r>
                    <w:rPr>
                      <w:rFonts w:hint="eastAsia" w:ascii="宋体" w:hAnsi="宋体" w:cs="宋体"/>
                      <w:color w:val="auto"/>
                      <w:szCs w:val="21"/>
                    </w:rPr>
                    <w:t>5</w:t>
                  </w:r>
                </w:p>
              </w:tc>
              <w:tc>
                <w:tcPr>
                  <w:tcW w:w="2828"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line="300" w:lineRule="exact"/>
                    <w:rPr>
                      <w:rFonts w:ascii="宋体" w:hAnsi="宋体" w:cs="宋体"/>
                      <w:color w:val="auto"/>
                      <w:szCs w:val="21"/>
                    </w:rPr>
                  </w:pPr>
                  <w:r>
                    <w:rPr>
                      <w:rFonts w:hint="eastAsia" w:ascii="宋体" w:hAnsi="宋体" w:cs="宋体"/>
                      <w:color w:val="auto"/>
                      <w:szCs w:val="21"/>
                    </w:rPr>
                    <w:t>总挥发性有机化合物（TVOC）</w:t>
                  </w:r>
                </w:p>
              </w:tc>
              <w:tc>
                <w:tcPr>
                  <w:tcW w:w="2915" w:type="dxa"/>
                  <w:tcBorders>
                    <w:top w:val="single" w:color="auto" w:sz="4" w:space="0"/>
                    <w:left w:val="single" w:color="auto" w:sz="4" w:space="0"/>
                    <w:bottom w:val="single" w:color="auto" w:sz="4" w:space="0"/>
                    <w:right w:val="single" w:color="auto" w:sz="4" w:space="0"/>
                    <w:tl2br w:val="nil"/>
                    <w:tr2bl w:val="nil"/>
                  </w:tcBorders>
                  <w:vAlign w:val="center"/>
                </w:tcPr>
                <w:p>
                  <w:pPr>
                    <w:spacing w:after="78" w:afterLines="25" w:line="300" w:lineRule="exact"/>
                    <w:rPr>
                      <w:rFonts w:ascii="宋体" w:hAnsi="宋体" w:cs="宋体"/>
                      <w:color w:val="auto"/>
                      <w:szCs w:val="21"/>
                    </w:rPr>
                  </w:pPr>
                  <w:r>
                    <w:rPr>
                      <w:rFonts w:hint="eastAsia" w:ascii="宋体" w:hAnsi="宋体" w:cs="宋体"/>
                      <w:color w:val="auto"/>
                      <w:szCs w:val="21"/>
                    </w:rPr>
                    <w:t>GB/T 18883-2022</w:t>
                  </w:r>
                </w:p>
              </w:tc>
            </w:tr>
          </w:tbl>
          <w:p>
            <w:pPr>
              <w:widowControl/>
              <w:jc w:val="left"/>
              <w:rPr>
                <w:rFonts w:hint="eastAsia" w:ascii="宋体" w:hAnsi="宋体" w:cs="宋体"/>
                <w:color w:val="auto"/>
                <w:sz w:val="20"/>
                <w:szCs w:val="20"/>
              </w:rPr>
            </w:pPr>
          </w:p>
        </w:tc>
      </w:tr>
    </w:tbl>
    <w:p>
      <w:pPr>
        <w:rPr>
          <w:b/>
        </w:rPr>
      </w:pPr>
    </w:p>
    <w:p>
      <w:pPr>
        <w:pStyle w:val="7"/>
        <w:spacing w:before="60" w:beforeLines="25" w:after="60" w:afterLines="25"/>
        <w:ind w:firstLine="0" w:firstLineChars="0"/>
        <w:rPr>
          <w:rFonts w:ascii="宋体" w:hAnsi="宋体"/>
          <w:szCs w:val="21"/>
        </w:rPr>
      </w:pPr>
    </w:p>
    <w:p>
      <w:pPr>
        <w:pStyle w:val="7"/>
        <w:spacing w:before="60" w:beforeLines="25" w:after="60" w:afterLines="25"/>
        <w:ind w:firstLine="0" w:firstLineChars="0"/>
        <w:rPr>
          <w:rFonts w:ascii="宋体" w:hAnsi="宋体"/>
          <w:szCs w:val="21"/>
        </w:rPr>
      </w:pPr>
    </w:p>
    <w:p>
      <w:pPr>
        <w:pStyle w:val="7"/>
        <w:spacing w:before="60" w:beforeLines="25" w:after="60" w:afterLines="25"/>
        <w:ind w:firstLine="0" w:firstLineChars="0"/>
        <w:rPr>
          <w:rFonts w:ascii="宋体" w:hAnsi="宋体"/>
          <w:szCs w:val="21"/>
        </w:rPr>
      </w:pPr>
    </w:p>
    <w:p>
      <w:pPr>
        <w:pStyle w:val="6"/>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pPr>
        <w:pStyle w:val="7"/>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pPr>
        <w:rPr>
          <w:rFonts w:ascii="宋体" w:hAnsi="宋体"/>
        </w:rPr>
      </w:pPr>
    </w:p>
    <w:p>
      <w:pPr>
        <w:pStyle w:val="8"/>
        <w:rPr>
          <w:rFonts w:ascii="宋体" w:hAnsi="宋体"/>
        </w:rPr>
      </w:pPr>
    </w:p>
    <w:p>
      <w:pPr>
        <w:pStyle w:val="15"/>
      </w:pPr>
    </w:p>
    <w:p>
      <w:pPr>
        <w:pStyle w:val="8"/>
        <w:rPr>
          <w:rFonts w:ascii="宋体" w:hAnsi="宋体"/>
        </w:rPr>
        <w:sectPr>
          <w:pgSz w:w="11907" w:h="16840"/>
          <w:pgMar w:top="1440" w:right="1797" w:bottom="1440" w:left="1797" w:header="851" w:footer="992" w:gutter="0"/>
          <w:cols w:space="425" w:num="1"/>
          <w:titlePg/>
          <w:docGrid w:linePitch="462" w:charSpace="0"/>
        </w:sectPr>
      </w:pPr>
    </w:p>
    <w:p>
      <w:pPr>
        <w:pStyle w:val="6"/>
        <w:jc w:val="center"/>
        <w:rPr>
          <w:kern w:val="2"/>
        </w:rPr>
      </w:pPr>
      <w:r>
        <w:rPr>
          <w:rFonts w:hint="eastAsia"/>
          <w:kern w:val="2"/>
        </w:rPr>
        <w:t>第四章</w:t>
      </w:r>
      <w:r>
        <w:rPr>
          <w:kern w:val="2"/>
        </w:rPr>
        <w:t xml:space="preserve"> </w:t>
      </w:r>
      <w:r>
        <w:rPr>
          <w:rFonts w:hint="eastAsia"/>
          <w:kern w:val="2"/>
        </w:rPr>
        <w:t xml:space="preserve"> 投标文件组成要求及格式</w:t>
      </w:r>
    </w:p>
    <w:p>
      <w:pPr>
        <w:rPr>
          <w:rStyle w:val="36"/>
          <w:sz w:val="24"/>
        </w:rPr>
      </w:pPr>
      <w:r>
        <w:rPr>
          <w:rStyle w:val="36"/>
          <w:rFonts w:hint="eastAsia"/>
          <w:sz w:val="24"/>
        </w:rPr>
        <w:t>特别提醒：</w:t>
      </w:r>
    </w:p>
    <w:p>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5"/>
                    <a:stretch>
                      <a:fillRect/>
                    </a:stretch>
                  </pic:blipFill>
                  <pic:spPr>
                    <a:xfrm>
                      <a:off x="0" y="0"/>
                      <a:ext cx="5162550" cy="4011295"/>
                    </a:xfrm>
                    <a:prstGeom prst="rect">
                      <a:avLst/>
                    </a:prstGeom>
                  </pic:spPr>
                </pic:pic>
              </a:graphicData>
            </a:graphic>
          </wp:inline>
        </w:drawing>
      </w:r>
    </w:p>
    <w:p>
      <w:pPr>
        <w:ind w:firstLine="480" w:firstLineChars="200"/>
        <w:rPr>
          <w:rFonts w:ascii="仿宋_GB2312" w:eastAsia="仿宋_GB2312"/>
          <w:sz w:val="24"/>
        </w:rPr>
      </w:pPr>
      <w:bookmarkStart w:id="44"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4"/>
    <w:p>
      <w:pPr>
        <w:ind w:firstLine="420" w:firstLineChars="200"/>
        <w:rPr>
          <w:rFonts w:ascii="宋体" w:hAnsi="宋体"/>
          <w:szCs w:val="21"/>
        </w:rPr>
      </w:pPr>
    </w:p>
    <w:p>
      <w:pPr>
        <w:ind w:firstLine="480" w:firstLineChars="200"/>
        <w:rPr>
          <w:rFonts w:ascii="仿宋_GB2312" w:eastAsia="仿宋_GB2312"/>
          <w:sz w:val="24"/>
        </w:rPr>
      </w:pPr>
    </w:p>
    <w:p>
      <w:pPr>
        <w:rPr>
          <w:rFonts w:ascii="仿宋_GB2312" w:eastAsia="仿宋_GB2312"/>
          <w:sz w:val="24"/>
        </w:rPr>
      </w:pPr>
    </w:p>
    <w:p>
      <w:pPr>
        <w:rPr>
          <w:rFonts w:ascii="宋体" w:hAnsi="宋体"/>
          <w:sz w:val="24"/>
        </w:rPr>
      </w:pPr>
      <w:bookmarkStart w:id="45" w:name="_Hlk72263559"/>
      <w:bookmarkStart w:id="46" w:name="_Hlk72257771"/>
      <w:r>
        <w:rPr>
          <w:rFonts w:hint="eastAsia" w:ascii="宋体" w:hAnsi="宋体"/>
          <w:sz w:val="24"/>
        </w:rPr>
        <w:t>投标文件组成：</w:t>
      </w:r>
    </w:p>
    <w:p>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pPr>
        <w:ind w:left="718" w:leftChars="342" w:firstLine="1417" w:firstLineChars="675"/>
        <w:rPr>
          <w:rFonts w:hint="eastAsia" w:eastAsia="宋体"/>
          <w:szCs w:val="21"/>
          <w:lang w:eastAsia="zh-CN"/>
        </w:rPr>
      </w:pPr>
      <w:r>
        <w:rPr>
          <w:rFonts w:hint="eastAsia"/>
          <w:szCs w:val="21"/>
        </w:rPr>
        <w:t>（1）</w:t>
      </w:r>
      <w:bookmarkStart w:id="47" w:name="_Hlk72070784"/>
      <w:r>
        <w:rPr>
          <w:rFonts w:hint="eastAsia"/>
          <w:szCs w:val="21"/>
        </w:rPr>
        <w:t>投标函</w:t>
      </w:r>
      <w:bookmarkEnd w:id="47"/>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rPr>
        <w:t>（2）</w:t>
      </w:r>
      <w:r>
        <w:rPr>
          <w:rFonts w:hint="eastAsia"/>
          <w:szCs w:val="21"/>
          <w:lang w:eastAsia="zh-CN"/>
        </w:rPr>
        <w:t>自行采购投标及履约承诺函；</w:t>
      </w:r>
    </w:p>
    <w:p>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pPr>
        <w:ind w:left="718" w:leftChars="342" w:firstLine="1417" w:firstLineChars="675"/>
        <w:rPr>
          <w:rFonts w:hint="eastAsia"/>
          <w:szCs w:val="21"/>
          <w:lang w:eastAsia="zh-CN"/>
        </w:rPr>
      </w:pPr>
      <w:bookmarkStart w:id="48" w:name="_Hlk72257201"/>
      <w:r>
        <w:rPr>
          <w:rFonts w:hint="eastAsia"/>
          <w:szCs w:val="21"/>
        </w:rPr>
        <w:t>（</w:t>
      </w:r>
      <w:r>
        <w:rPr>
          <w:szCs w:val="21"/>
        </w:rPr>
        <w:t>4</w:t>
      </w:r>
      <w:r>
        <w:rPr>
          <w:rFonts w:hint="eastAsia"/>
          <w:szCs w:val="21"/>
        </w:rPr>
        <w:t>）</w:t>
      </w:r>
      <w:bookmarkEnd w:id="48"/>
      <w:r>
        <w:rPr>
          <w:rFonts w:hint="eastAsia"/>
          <w:szCs w:val="21"/>
        </w:rPr>
        <w:t>项目详细报价</w:t>
      </w:r>
      <w:r>
        <w:rPr>
          <w:rFonts w:hint="eastAsia"/>
          <w:szCs w:val="21"/>
          <w:lang w:eastAsia="zh-CN"/>
        </w:rPr>
        <w:t>；</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）经验评价</w:t>
      </w:r>
      <w:r>
        <w:rPr>
          <w:rFonts w:hint="eastAsia"/>
          <w:szCs w:val="21"/>
          <w:lang w:eastAsia="zh-CN"/>
        </w:rPr>
        <w:t>；</w:t>
      </w:r>
    </w:p>
    <w:p>
      <w:pPr>
        <w:ind w:left="718" w:leftChars="342" w:firstLine="1627" w:firstLineChars="775"/>
        <w:rPr>
          <w:szCs w:val="21"/>
        </w:rPr>
      </w:pPr>
    </w:p>
    <w:p>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）政府采购节能环保产品</w:t>
      </w:r>
      <w:r>
        <w:rPr>
          <w:rFonts w:hint="eastAsia"/>
          <w:szCs w:val="21"/>
          <w:lang w:eastAsia="zh-CN"/>
        </w:rPr>
        <w:t>；</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7</w:t>
      </w:r>
      <w:r>
        <w:rPr>
          <w:rFonts w:hint="eastAsia"/>
          <w:szCs w:val="21"/>
          <w:lang w:eastAsia="zh-CN"/>
        </w:rPr>
        <w:t>）绿色采购情况；</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）项目组织实施方案的评价；</w:t>
      </w:r>
    </w:p>
    <w:p>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）设计图评价；</w:t>
      </w:r>
    </w:p>
    <w:p>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10</w:t>
      </w:r>
      <w:r>
        <w:rPr>
          <w:rFonts w:hint="eastAsia"/>
          <w:szCs w:val="21"/>
          <w:lang w:eastAsia="zh-CN"/>
        </w:rPr>
        <w:t>）售后服务评价；</w:t>
      </w:r>
    </w:p>
    <w:p>
      <w:pPr>
        <w:ind w:left="718" w:leftChars="342" w:firstLine="1417" w:firstLineChars="675"/>
        <w:rPr>
          <w:rFonts w:hint="eastAsia" w:eastAsia="宋体"/>
          <w:szCs w:val="21"/>
          <w:lang w:eastAsia="zh-CN"/>
        </w:rPr>
      </w:pPr>
      <w:r>
        <w:rPr>
          <w:rFonts w:hint="eastAsia" w:ascii="宋体" w:hAnsi="宋体"/>
          <w:szCs w:val="21"/>
          <w:lang w:eastAsia="zh-CN"/>
        </w:rPr>
        <w:t>（</w:t>
      </w:r>
      <w:r>
        <w:rPr>
          <w:rFonts w:hint="eastAsia" w:ascii="宋体" w:hAnsi="宋体"/>
          <w:szCs w:val="21"/>
          <w:lang w:val="en-US" w:eastAsia="zh-CN"/>
        </w:rPr>
        <w:t>11</w:t>
      </w:r>
      <w:r>
        <w:rPr>
          <w:rFonts w:hint="eastAsia" w:ascii="宋体" w:hAnsi="宋体"/>
          <w:szCs w:val="21"/>
          <w:lang w:eastAsia="zh-CN"/>
        </w:rPr>
        <w:t>）</w:t>
      </w:r>
      <w:r>
        <w:rPr>
          <w:rFonts w:hint="eastAsia"/>
          <w:szCs w:val="21"/>
        </w:rPr>
        <w:t>投标人认为需要加以说明的其他内容</w:t>
      </w:r>
      <w:r>
        <w:rPr>
          <w:rFonts w:hint="eastAsia"/>
          <w:szCs w:val="21"/>
          <w:lang w:eastAsia="zh-CN"/>
        </w:rPr>
        <w:t>；</w:t>
      </w:r>
    </w:p>
    <w:p>
      <w:pPr>
        <w:pStyle w:val="8"/>
      </w:pPr>
    </w:p>
    <w:p>
      <w:pPr>
        <w:pStyle w:val="7"/>
        <w:ind w:left="210" w:leftChars="100" w:firstLine="781" w:firstLineChars="372"/>
        <w:rPr>
          <w:rFonts w:ascii="宋体" w:hAnsi="宋体"/>
          <w:szCs w:val="21"/>
        </w:rPr>
      </w:pPr>
    </w:p>
    <w:p>
      <w:pPr>
        <w:rPr>
          <w:rFonts w:ascii="仿宋_GB2312" w:eastAsia="仿宋_GB2312"/>
          <w:sz w:val="24"/>
        </w:rPr>
      </w:pPr>
    </w:p>
    <w:p>
      <w:pPr>
        <w:ind w:firstLine="426" w:firstLineChars="202"/>
        <w:rPr>
          <w:rFonts w:ascii="宋体" w:hAnsi="宋体"/>
          <w:b/>
          <w:szCs w:val="21"/>
        </w:rPr>
      </w:pPr>
      <w:r>
        <w:rPr>
          <w:rFonts w:hint="eastAsia" w:ascii="宋体" w:hAnsi="宋体"/>
          <w:b/>
          <w:szCs w:val="21"/>
        </w:rPr>
        <w:t>备注：</w:t>
      </w:r>
    </w:p>
    <w:p>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5"/>
      <w:bookmarkEnd w:id="46"/>
    </w:p>
    <w:p>
      <w:pPr>
        <w:rPr>
          <w:rFonts w:ascii="宋体" w:hAnsi="宋体"/>
          <w:color w:val="FF0000"/>
          <w:sz w:val="24"/>
        </w:rPr>
      </w:pPr>
    </w:p>
    <w:p>
      <w:pPr>
        <w:rPr>
          <w:rFonts w:ascii="宋体" w:hAnsi="宋体"/>
          <w:color w:val="FF0000"/>
          <w:sz w:val="24"/>
        </w:rPr>
      </w:pPr>
    </w:p>
    <w:p>
      <w:pPr>
        <w:rPr>
          <w:rFonts w:ascii="宋体" w:hAnsi="宋体"/>
          <w:color w:val="FF0000"/>
          <w:sz w:val="24"/>
        </w:rPr>
      </w:pPr>
    </w:p>
    <w:p>
      <w:pPr>
        <w:rPr>
          <w:rFonts w:ascii="宋体" w:hAnsi="宋体"/>
          <w:color w:val="FF0000"/>
          <w:sz w:val="24"/>
        </w:rPr>
        <w:sectPr>
          <w:pgSz w:w="11907" w:h="16840"/>
          <w:pgMar w:top="1440" w:right="1797" w:bottom="1440" w:left="1797" w:header="851" w:footer="992" w:gutter="0"/>
          <w:cols w:space="425" w:num="1"/>
          <w:titlePg/>
          <w:docGrid w:linePitch="462" w:charSpace="0"/>
        </w:sectPr>
      </w:pPr>
    </w:p>
    <w:p>
      <w:pPr>
        <w:outlineLvl w:val="1"/>
        <w:rPr>
          <w:rFonts w:ascii="宋体" w:hAnsi="宋体"/>
          <w:b/>
          <w:color w:val="FF0000"/>
          <w:sz w:val="28"/>
          <w:szCs w:val="28"/>
        </w:rPr>
      </w:pPr>
      <w:r>
        <w:rPr>
          <w:rFonts w:hint="eastAsia" w:ascii="宋体" w:hAnsi="宋体"/>
          <w:b/>
          <w:color w:val="FF0000"/>
          <w:sz w:val="28"/>
          <w:szCs w:val="28"/>
        </w:rPr>
        <w:t>投标文件正文（信息公开部分）</w:t>
      </w:r>
    </w:p>
    <w:p>
      <w:pPr>
        <w:pStyle w:val="4"/>
        <w:jc w:val="center"/>
        <w:rPr>
          <w:rFonts w:ascii="黑体" w:eastAsia="黑体"/>
          <w:b w:val="0"/>
          <w:sz w:val="24"/>
        </w:rPr>
      </w:pPr>
      <w:r>
        <w:rPr>
          <w:rFonts w:hint="eastAsia" w:ascii="黑体" w:eastAsia="黑体"/>
          <w:b w:val="0"/>
          <w:sz w:val="24"/>
        </w:rPr>
        <w:t>一、投标函</w:t>
      </w:r>
    </w:p>
    <w:p>
      <w:pPr>
        <w:spacing w:line="360" w:lineRule="auto"/>
        <w:rPr>
          <w:rFonts w:ascii="宋体" w:hAnsi="宋体"/>
          <w:szCs w:val="21"/>
        </w:rPr>
      </w:pPr>
      <w:bookmarkStart w:id="49"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pPr>
        <w:ind w:firstLine="420" w:firstLineChars="200"/>
        <w:rPr>
          <w:rFonts w:ascii="宋体" w:hAnsi="宋体"/>
          <w:szCs w:val="21"/>
        </w:rPr>
      </w:pPr>
      <w:bookmarkStart w:id="50" w:name="_Hlk73818812"/>
      <w:r>
        <w:rPr>
          <w:rFonts w:hint="eastAsia"/>
          <w:szCs w:val="21"/>
        </w:rPr>
        <w:t>1、根据已收到贵单位的项目编号为</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 xxx（项目编号）xxx</w:t>
      </w:r>
      <w:r>
        <w:rPr>
          <w:rFonts w:hint="eastAsia"/>
          <w:sz w:val="21"/>
          <w:szCs w:val="21"/>
          <w:u w:val="thick"/>
          <w:lang w:val="en-US" w:eastAsia="zh-CN"/>
        </w:rPr>
        <w:t xml:space="preserve"> </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w:t>
      </w:r>
      <w:r>
        <w:rPr>
          <w:rFonts w:hint="eastAsia"/>
          <w:szCs w:val="21"/>
          <w:u w:val="thick"/>
          <w:lang w:val="en-US" w:eastAsia="zh-CN"/>
        </w:rPr>
        <w:t xml:space="preserve"> </w:t>
      </w:r>
      <w:r>
        <w:rPr>
          <w:rFonts w:hint="eastAsia"/>
          <w:sz w:val="21"/>
          <w:szCs w:val="21"/>
          <w:u w:val="thick"/>
        </w:rPr>
        <w:t xml:space="preserve">xxx（项目名称）xxx </w:t>
      </w:r>
      <w:r>
        <w:rPr>
          <w:rFonts w:hint="eastAsia"/>
          <w:szCs w:val="21"/>
          <w:u w:val="thick"/>
        </w:rPr>
        <w:t xml:space="preserve">          </w:t>
      </w:r>
      <w:r>
        <w:rPr>
          <w:rFonts w:hint="eastAsia"/>
          <w:szCs w:val="21"/>
        </w:rPr>
        <w:t>项目的招标文件，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1" w:name="_Hlk72263588"/>
      <w:r>
        <w:rPr>
          <w:rFonts w:hint="eastAsia"/>
          <w:szCs w:val="21"/>
        </w:rPr>
        <w:t>愿意按照招标文件要求承包上述项目并修补其任何缺陷。</w:t>
      </w:r>
      <w:bookmarkEnd w:id="51"/>
    </w:p>
    <w:p>
      <w:pPr>
        <w:ind w:firstLine="420" w:firstLineChars="200"/>
        <w:rPr>
          <w:rFonts w:ascii="宋体" w:hAnsi="宋体"/>
          <w:szCs w:val="21"/>
        </w:rPr>
      </w:pPr>
      <w:r>
        <w:rPr>
          <w:rFonts w:ascii="宋体" w:hAnsi="宋体"/>
          <w:szCs w:val="21"/>
        </w:rPr>
        <w:t>2</w:t>
      </w:r>
      <w:r>
        <w:rPr>
          <w:rFonts w:hint="eastAsia" w:ascii="宋体" w:hAnsi="宋体"/>
          <w:szCs w:val="21"/>
        </w:rPr>
        <w:t>、</w:t>
      </w:r>
      <w:bookmarkStart w:id="52" w:name="_Hlk73819847"/>
      <w:r>
        <w:rPr>
          <w:rFonts w:hint="eastAsia" w:ascii="宋体" w:hAnsi="宋体"/>
          <w:szCs w:val="21"/>
        </w:rPr>
        <w:t>投标价格见</w:t>
      </w:r>
      <w:r>
        <w:rPr>
          <w:rFonts w:hint="eastAsia"/>
          <w:szCs w:val="21"/>
        </w:rPr>
        <w:t>投标书编制软件中《开标一览表》中填写的投标总价。</w:t>
      </w:r>
      <w:bookmarkEnd w:id="52"/>
    </w:p>
    <w:p>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50"/>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pPr>
        <w:ind w:left="420" w:leftChars="200" w:firstLine="210" w:firstLineChars="100"/>
        <w:rPr>
          <w:rFonts w:hint="eastAsia"/>
          <w:szCs w:val="21"/>
        </w:rPr>
      </w:pPr>
    </w:p>
    <w:p>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pPr>
        <w:ind w:left="420" w:leftChars="200"/>
        <w:rPr>
          <w:sz w:val="24"/>
        </w:rPr>
      </w:pPr>
      <w:r>
        <w:rPr>
          <w:rFonts w:hint="eastAsia"/>
          <w:sz w:val="24"/>
        </w:rPr>
        <w:t xml:space="preserve">                       </w:t>
      </w:r>
    </w:p>
    <w:p>
      <w:pPr>
        <w:rPr>
          <w:rFonts w:ascii="黑体" w:hAnsi="宋体" w:eastAsia="黑体"/>
        </w:rPr>
      </w:pPr>
    </w:p>
    <w:p>
      <w:pPr>
        <w:rPr>
          <w:rFonts w:ascii="黑体" w:hAnsi="宋体" w:eastAsia="黑体"/>
        </w:rPr>
      </w:pPr>
    </w:p>
    <w:bookmarkEnd w:id="49"/>
    <w:p>
      <w:pPr>
        <w:pStyle w:val="4"/>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pPr>
        <w:rPr>
          <w:rFonts w:ascii="宋体" w:hAnsi="宋体"/>
          <w:color w:val="FF0000"/>
          <w:szCs w:val="21"/>
        </w:rPr>
      </w:pPr>
      <w:bookmarkStart w:id="53" w:name="_Hlk72257530"/>
      <w:r>
        <w:rPr>
          <w:rFonts w:hint="eastAsia" w:ascii="宋体" w:hAnsi="宋体"/>
          <w:color w:val="FF0000"/>
          <w:szCs w:val="21"/>
        </w:rPr>
        <w:t>致：</w:t>
      </w:r>
      <w:r>
        <w:rPr>
          <w:rFonts w:hint="eastAsia" w:ascii="宋体" w:hAnsi="宋体"/>
          <w:color w:val="FF0000"/>
          <w:szCs w:val="21"/>
          <w:u w:val="single"/>
        </w:rPr>
        <w:t>深圳公共资源交易中心</w:t>
      </w:r>
    </w:p>
    <w:p>
      <w:pPr>
        <w:ind w:right="-815" w:firstLine="420" w:firstLineChars="200"/>
        <w:rPr>
          <w:rFonts w:ascii="宋体" w:hAnsi="宋体"/>
          <w:szCs w:val="21"/>
        </w:rPr>
      </w:pPr>
      <w:r>
        <w:rPr>
          <w:rFonts w:hint="eastAsia" w:ascii="宋体" w:hAnsi="宋体"/>
          <w:szCs w:val="21"/>
        </w:rPr>
        <w:t>我单位承诺：</w:t>
      </w:r>
    </w:p>
    <w:p>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54" w:name="_Hlk72587269"/>
      <w:bookmarkStart w:id="55"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54"/>
      <w:r>
        <w:rPr>
          <w:rFonts w:hint="eastAsia" w:ascii="宋体" w:hAnsi="宋体"/>
          <w:szCs w:val="21"/>
        </w:rPr>
        <w:t>。</w:t>
      </w:r>
    </w:p>
    <w:bookmarkEnd w:id="55"/>
    <w:p>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pPr>
        <w:ind w:firstLine="420" w:firstLineChars="200"/>
        <w:rPr>
          <w:rFonts w:ascii="宋体" w:hAnsi="宋体"/>
        </w:rPr>
      </w:pPr>
    </w:p>
    <w:p>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53"/>
    <w:p>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pPr>
        <w:ind w:firstLine="645"/>
        <w:rPr>
          <w:rFonts w:ascii="宋体" w:hAnsi="宋体"/>
          <w:szCs w:val="21"/>
        </w:rPr>
      </w:pPr>
    </w:p>
    <w:p>
      <w:pPr>
        <w:rPr>
          <w:rFonts w:ascii="宋体"/>
          <w:b/>
          <w:szCs w:val="21"/>
        </w:rPr>
      </w:pPr>
    </w:p>
    <w:p>
      <w:pPr>
        <w:ind w:firstLine="482" w:firstLineChars="200"/>
        <w:jc w:val="center"/>
        <w:rPr>
          <w:rFonts w:hAnsi="宋体"/>
          <w:b/>
          <w:bCs/>
          <w:sz w:val="24"/>
        </w:rPr>
      </w:pPr>
    </w:p>
    <w:p>
      <w:pPr>
        <w:pStyle w:val="4"/>
        <w:jc w:val="center"/>
        <w:rPr>
          <w:rFonts w:ascii="黑体" w:eastAsia="黑体"/>
          <w:b w:val="0"/>
          <w:sz w:val="24"/>
          <w:szCs w:val="24"/>
        </w:rPr>
      </w:pPr>
      <w:r>
        <w:rPr>
          <w:rFonts w:hint="eastAsia" w:ascii="黑体" w:eastAsia="黑体"/>
          <w:b w:val="0"/>
          <w:sz w:val="24"/>
          <w:szCs w:val="24"/>
        </w:rPr>
        <w:t>三、投标人情况及资格证明文件</w:t>
      </w:r>
    </w:p>
    <w:p>
      <w:pPr>
        <w:rPr>
          <w:b/>
          <w:bCs/>
          <w:sz w:val="24"/>
        </w:rPr>
      </w:pPr>
    </w:p>
    <w:p>
      <w:pPr>
        <w:ind w:firstLine="2640" w:firstLineChars="1100"/>
        <w:outlineLvl w:val="3"/>
        <w:rPr>
          <w:rFonts w:ascii="黑体" w:hAnsi="宋体" w:eastAsia="黑体"/>
          <w:bCs/>
          <w:kern w:val="0"/>
          <w:sz w:val="24"/>
          <w:szCs w:val="32"/>
        </w:rPr>
      </w:pPr>
      <w:bookmarkStart w:id="56" w:name="_Hlk72257590"/>
      <w:r>
        <w:rPr>
          <w:rFonts w:hint="eastAsia" w:ascii="黑体" w:hAnsi="宋体" w:eastAsia="黑体"/>
          <w:bCs/>
          <w:kern w:val="0"/>
          <w:sz w:val="24"/>
          <w:szCs w:val="32"/>
        </w:rPr>
        <w:t>（一）投标人资格证明文件</w:t>
      </w:r>
    </w:p>
    <w:p>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pPr>
        <w:rPr>
          <w:b/>
          <w:bCs/>
          <w:sz w:val="24"/>
        </w:rPr>
      </w:pPr>
    </w:p>
    <w:p>
      <w:pPr>
        <w:ind w:firstLine="480" w:firstLineChars="200"/>
        <w:outlineLvl w:val="3"/>
        <w:rPr>
          <w:rFonts w:ascii="黑体" w:hAnsi="宋体" w:eastAsia="黑体"/>
          <w:bCs/>
          <w:kern w:val="0"/>
          <w:sz w:val="24"/>
          <w:szCs w:val="32"/>
        </w:rPr>
      </w:pPr>
      <w:bookmarkStart w:id="57" w:name="_Hlk72257908"/>
      <w:r>
        <w:rPr>
          <w:rFonts w:hint="eastAsia" w:ascii="黑体" w:hAnsi="宋体" w:eastAsia="黑体"/>
          <w:bCs/>
          <w:kern w:val="0"/>
          <w:sz w:val="24"/>
          <w:szCs w:val="32"/>
        </w:rPr>
        <w:t>（二）中小企业声明函、残疾人福利性单位声明函及监狱企业声明函</w:t>
      </w:r>
    </w:p>
    <w:bookmarkEnd w:id="56"/>
    <w:p>
      <w:pPr>
        <w:jc w:val="left"/>
        <w:outlineLvl w:val="9"/>
        <w:rPr>
          <w:rFonts w:ascii="黑体" w:hAnsi="宋体" w:eastAsia="黑体"/>
          <w:bCs/>
          <w:kern w:val="0"/>
          <w:sz w:val="24"/>
          <w:szCs w:val="32"/>
        </w:rPr>
      </w:pP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pPr>
        <w:ind w:firstLine="420" w:firstLineChars="200"/>
      </w:pPr>
    </w:p>
    <w:p>
      <w:pPr>
        <w:numPr>
          <w:ilvl w:val="0"/>
          <w:numId w:val="2"/>
        </w:numPr>
        <w:jc w:val="center"/>
        <w:outlineLvl w:val="9"/>
        <w:rPr>
          <w:b/>
          <w:sz w:val="24"/>
        </w:rPr>
      </w:pPr>
      <w:r>
        <w:rPr>
          <w:b/>
          <w:sz w:val="24"/>
        </w:rPr>
        <w:t>中小企业声明函（货物）</w:t>
      </w:r>
    </w:p>
    <w:p>
      <w:pPr>
        <w:pStyle w:val="8"/>
        <w:widowControl w:val="0"/>
        <w:numPr>
          <w:ilvl w:val="0"/>
          <w:numId w:val="0"/>
        </w:numPr>
        <w:spacing w:line="360" w:lineRule="auto"/>
        <w:jc w:val="both"/>
      </w:pP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5"/>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pPr>
        <w:pStyle w:val="15"/>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pPr>
        <w:pStyle w:val="15"/>
        <w:ind w:firstLine="420" w:firstLineChars="200"/>
        <w:rPr>
          <w:rFonts w:hint="eastAsia" w:asciiTheme="minorEastAsia" w:hAnsiTheme="minorEastAsia" w:eastAsiaTheme="minorEastAsia" w:cstheme="minorEastAsia"/>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8"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58"/>
    </w:p>
    <w:p>
      <w:pPr>
        <w:ind w:firstLine="420" w:firstLineChars="200"/>
        <w:outlineLvl w:val="9"/>
        <w:rPr>
          <w:rFonts w:ascii="宋体" w:hAnsi="宋体"/>
          <w:bCs/>
          <w:color w:val="FF0000"/>
          <w:kern w:val="0"/>
          <w:szCs w:val="21"/>
        </w:rPr>
      </w:pPr>
    </w:p>
    <w:p/>
    <w:p>
      <w:pPr>
        <w:ind w:firstLine="420" w:firstLineChars="200"/>
      </w:pPr>
    </w:p>
    <w:p>
      <w:pPr>
        <w:jc w:val="center"/>
        <w:outlineLvl w:val="9"/>
        <w:rPr>
          <w:b/>
          <w:sz w:val="24"/>
        </w:rPr>
      </w:pPr>
      <w:r>
        <w:rPr>
          <w:rFonts w:hint="eastAsia"/>
          <w:b/>
          <w:sz w:val="24"/>
        </w:rPr>
        <w:t>2、残疾人福利性单位声明函（货物类）</w:t>
      </w:r>
    </w:p>
    <w:p>
      <w:pPr>
        <w:rPr>
          <w:b/>
          <w:bCs/>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59" w:name="_Hlk73562331"/>
      <w:bookmarkStart w:id="60"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59"/>
    </w:p>
    <w:bookmarkEnd w:id="60"/>
    <w:p>
      <w:pPr>
        <w:ind w:firstLine="420" w:firstLineChars="200"/>
        <w:rPr>
          <w:rFonts w:ascii="宋体" w:hAnsi="宋体"/>
          <w:szCs w:val="21"/>
        </w:rPr>
      </w:pPr>
    </w:p>
    <w:p>
      <w:pPr>
        <w:ind w:firstLine="420" w:firstLineChars="200"/>
        <w:rPr>
          <w:rFonts w:ascii="宋体" w:hAnsi="宋体"/>
          <w:szCs w:val="21"/>
        </w:rPr>
      </w:pPr>
    </w:p>
    <w:p>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57"/>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p>
    <w:p>
      <w:pPr>
        <w:pStyle w:val="4"/>
        <w:jc w:val="center"/>
        <w:rPr>
          <w:rFonts w:ascii="黑体" w:eastAsia="黑体"/>
          <w:b w:val="0"/>
          <w:sz w:val="24"/>
          <w:szCs w:val="24"/>
        </w:rPr>
      </w:pPr>
      <w:bookmarkStart w:id="61" w:name="_Hlk72259976"/>
      <w:r>
        <w:rPr>
          <w:rFonts w:hint="eastAsia" w:ascii="黑体" w:eastAsia="黑体"/>
          <w:b w:val="0"/>
          <w:sz w:val="24"/>
          <w:szCs w:val="24"/>
        </w:rPr>
        <w:t>四、项目详细报价</w:t>
      </w:r>
    </w:p>
    <w:p>
      <w:pPr>
        <w:tabs>
          <w:tab w:val="left" w:pos="720"/>
        </w:tabs>
        <w:ind w:firstLine="3132" w:firstLineChars="1300"/>
        <w:rPr>
          <w:b/>
          <w:sz w:val="24"/>
        </w:rPr>
      </w:pPr>
      <w:r>
        <w:rPr>
          <w:rFonts w:hint="eastAsia"/>
          <w:b/>
          <w:sz w:val="24"/>
        </w:rPr>
        <w:t>（一）分项报价表</w:t>
      </w:r>
    </w:p>
    <w:tbl>
      <w:tblPr>
        <w:tblStyle w:val="18"/>
        <w:tblW w:w="88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485"/>
        <w:gridCol w:w="1147"/>
        <w:gridCol w:w="703"/>
        <w:gridCol w:w="703"/>
        <w:gridCol w:w="612"/>
        <w:gridCol w:w="726"/>
        <w:gridCol w:w="462"/>
        <w:gridCol w:w="427"/>
        <w:gridCol w:w="571"/>
        <w:gridCol w:w="563"/>
        <w:gridCol w:w="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485"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采购计划编号</w:t>
            </w:r>
          </w:p>
        </w:tc>
        <w:tc>
          <w:tcPr>
            <w:tcW w:w="114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703" w:type="dxa"/>
            <w:vAlign w:val="center"/>
          </w:tcPr>
          <w:p>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70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61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726"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462"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427"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571"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63" w:type="dxa"/>
            <w:vAlign w:val="center"/>
          </w:tcPr>
          <w:p>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703" w:type="dxa"/>
            <w:vAlign w:val="center"/>
          </w:tcPr>
          <w:p>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1</w:t>
            </w:r>
          </w:p>
        </w:tc>
        <w:tc>
          <w:tcPr>
            <w:tcW w:w="1485" w:type="dxa"/>
            <w:vMerge w:val="restart"/>
            <w:vAlign w:val="center"/>
          </w:tcPr>
          <w:p>
            <w:pPr>
              <w:jc w:val="center"/>
              <w:rPr>
                <w:rFonts w:ascii="Times New Roman" w:hAnsi="Times New Roman" w:eastAsia="宋体" w:cs="Times New Roman"/>
                <w:bCs/>
                <w:szCs w:val="21"/>
              </w:rPr>
            </w:pPr>
            <w:r>
              <w:rPr>
                <w:rFonts w:hint="eastAsia" w:ascii="Times New Roman" w:hAnsi="Times New Roman" w:eastAsia="宋体" w:cs="Times New Roman"/>
                <w:bCs/>
                <w:szCs w:val="21"/>
              </w:rPr>
              <w:t>JYCG-DECL-2025-29365</w:t>
            </w: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四人桌1</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7</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restart"/>
            <w:vAlign w:val="center"/>
          </w:tcPr>
          <w:p>
            <w:pPr>
              <w:jc w:val="center"/>
              <w:rPr>
                <w:rFonts w:ascii="Times New Roman" w:hAnsi="Times New Roman" w:eastAsia="宋体" w:cs="Times New Roman"/>
                <w:b/>
                <w:bCs/>
                <w:szCs w:val="21"/>
              </w:rPr>
            </w:pPr>
            <w:r>
              <w:rPr>
                <w:rFonts w:hint="eastAsia" w:ascii="Times New Roman" w:hAnsi="Times New Roman" w:eastAsia="宋体" w:cs="Times New Roman"/>
                <w:bCs/>
                <w:szCs w:val="21"/>
              </w:rPr>
              <w:t>360000.00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2</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四人桌2</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3</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六人桌</w:t>
            </w:r>
            <w:r>
              <w:rPr>
                <w:rFonts w:hint="eastAsia" w:ascii="宋体" w:hAnsi="宋体" w:cs="宋体"/>
                <w:i w:val="0"/>
                <w:iCs w:val="0"/>
                <w:color w:val="000000"/>
                <w:kern w:val="0"/>
                <w:sz w:val="21"/>
                <w:szCs w:val="21"/>
                <w:u w:val="none"/>
                <w:lang w:val="en-US" w:eastAsia="zh-CN" w:bidi="ar"/>
              </w:rPr>
              <w:t>1</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cs="宋体"/>
                <w:i w:val="0"/>
                <w:iCs w:val="0"/>
                <w:color w:val="000000"/>
                <w:kern w:val="0"/>
                <w:sz w:val="21"/>
                <w:szCs w:val="21"/>
                <w:u w:val="none"/>
                <w:lang w:val="en-US" w:eastAsia="zh-CN" w:bidi="ar"/>
              </w:rPr>
              <w:t>4</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4</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六人桌</w:t>
            </w:r>
            <w:r>
              <w:rPr>
                <w:rFonts w:hint="eastAsia" w:ascii="宋体" w:hAnsi="宋体" w:cs="宋体"/>
                <w:i w:val="0"/>
                <w:iCs w:val="0"/>
                <w:color w:val="000000"/>
                <w:kern w:val="0"/>
                <w:sz w:val="21"/>
                <w:szCs w:val="21"/>
                <w:u w:val="none"/>
                <w:lang w:val="en-US" w:eastAsia="zh-CN" w:bidi="ar"/>
              </w:rPr>
              <w:t>2</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cs="宋体"/>
                <w:i w:val="0"/>
                <w:iCs w:val="0"/>
                <w:color w:val="000000"/>
                <w:kern w:val="0"/>
                <w:sz w:val="21"/>
                <w:szCs w:val="21"/>
                <w:u w:val="none"/>
                <w:lang w:val="en-US" w:eastAsia="zh-CN" w:bidi="ar"/>
              </w:rPr>
              <w:t>9</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5</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四人圆桌</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6</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六人圆桌</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7</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小方桌</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8</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吧台桌1</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9</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吧台桌2</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10</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卡座</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11</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花箱</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12</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椅子1</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54</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13</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椅子2</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30</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14</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椅子3</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9</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15</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柜子</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16</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三人沙发</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17</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茶几</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18</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单人沙发</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19</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茶水柜</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20</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边柜</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2</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21</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10人圆桌</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22</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餐椅</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10</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23</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餐边柜</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个</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24</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空气消毒机</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台</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25</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屏风1</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425" w:leftChars="0" w:hanging="425" w:firstLineChars="0"/>
              <w:jc w:val="center"/>
              <w:rPr>
                <w:rFonts w:ascii="Times New Roman" w:hAnsi="Times New Roman" w:eastAsia="宋体" w:cs="Times New Roman"/>
                <w:bCs/>
                <w:szCs w:val="21"/>
              </w:rPr>
            </w:pPr>
            <w:r>
              <w:rPr>
                <w:rFonts w:hint="eastAsia"/>
                <w:bCs/>
                <w:szCs w:val="21"/>
                <w:lang w:val="en-US" w:eastAsia="zh-CN"/>
              </w:rPr>
              <w:t>26</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屏风2</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1</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套</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06" w:type="dxa"/>
            <w:vAlign w:val="center"/>
          </w:tcPr>
          <w:p>
            <w:pPr>
              <w:numPr>
                <w:ilvl w:val="0"/>
                <w:numId w:val="0"/>
              </w:numPr>
              <w:ind w:left="0" w:leftChars="0" w:firstLine="0" w:firstLineChars="0"/>
              <w:jc w:val="center"/>
              <w:rPr>
                <w:rFonts w:ascii="Times New Roman" w:hAnsi="Times New Roman" w:eastAsia="宋体" w:cs="Times New Roman"/>
                <w:bCs/>
                <w:szCs w:val="21"/>
              </w:rPr>
            </w:pPr>
            <w:r>
              <w:rPr>
                <w:rFonts w:hint="eastAsia"/>
                <w:bCs/>
                <w:szCs w:val="21"/>
                <w:lang w:val="en-US" w:eastAsia="zh-CN"/>
              </w:rPr>
              <w:t>27</w:t>
            </w:r>
          </w:p>
        </w:tc>
        <w:tc>
          <w:tcPr>
            <w:tcW w:w="1485" w:type="dxa"/>
            <w:vMerge w:val="continue"/>
            <w:tcBorders/>
            <w:vAlign w:val="center"/>
          </w:tcPr>
          <w:p>
            <w:pPr>
              <w:jc w:val="center"/>
              <w:rPr>
                <w:rFonts w:ascii="Times New Roman" w:hAnsi="Times New Roman" w:eastAsia="宋体" w:cs="Times New Roman"/>
                <w:bCs/>
                <w:szCs w:val="21"/>
              </w:rPr>
            </w:pPr>
          </w:p>
        </w:tc>
        <w:tc>
          <w:tcPr>
            <w:tcW w:w="114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r>
              <w:rPr>
                <w:rFonts w:hint="eastAsia" w:ascii="宋体" w:hAnsi="宋体" w:eastAsia="宋体" w:cs="宋体"/>
                <w:i w:val="0"/>
                <w:iCs w:val="0"/>
                <w:color w:val="000000"/>
                <w:kern w:val="0"/>
                <w:sz w:val="21"/>
                <w:szCs w:val="21"/>
                <w:u w:val="none"/>
                <w:lang w:val="en-US" w:eastAsia="zh-CN" w:bidi="ar"/>
              </w:rPr>
              <w:t>实木方凳</w:t>
            </w: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宋体" w:hAnsi="宋体" w:eastAsia="宋体" w:cs="Times New Roman"/>
                <w:bCs/>
                <w:szCs w:val="21"/>
              </w:rPr>
            </w:pPr>
          </w:p>
        </w:tc>
        <w:tc>
          <w:tcPr>
            <w:tcW w:w="703"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ascii="Times New Roman" w:hAnsi="Times New Roman" w:eastAsia="宋体" w:cs="Times New Roman"/>
                <w:bCs/>
                <w:szCs w:val="21"/>
              </w:rPr>
            </w:pPr>
          </w:p>
        </w:tc>
        <w:tc>
          <w:tcPr>
            <w:tcW w:w="612" w:type="dxa"/>
            <w:vAlign w:val="center"/>
          </w:tcPr>
          <w:p>
            <w:pPr>
              <w:jc w:val="center"/>
              <w:rPr>
                <w:rFonts w:ascii="Times New Roman" w:hAnsi="Times New Roman" w:eastAsia="宋体" w:cs="Times New Roman"/>
                <w:bCs/>
                <w:szCs w:val="21"/>
              </w:rPr>
            </w:pPr>
          </w:p>
        </w:tc>
        <w:tc>
          <w:tcPr>
            <w:tcW w:w="726" w:type="dxa"/>
            <w:vAlign w:val="center"/>
          </w:tcPr>
          <w:p>
            <w:pPr>
              <w:jc w:val="center"/>
              <w:rPr>
                <w:rFonts w:ascii="Times New Roman" w:hAnsi="Times New Roman" w:eastAsia="宋体" w:cs="Times New Roman"/>
                <w:bCs/>
                <w:szCs w:val="21"/>
              </w:rPr>
            </w:pPr>
          </w:p>
        </w:tc>
        <w:tc>
          <w:tcPr>
            <w:tcW w:w="462"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54</w:t>
            </w:r>
          </w:p>
        </w:tc>
        <w:tc>
          <w:tcPr>
            <w:tcW w:w="427" w:type="dxa"/>
            <w:vAlign w:val="center"/>
          </w:tcPr>
          <w:p>
            <w:pPr>
              <w:keepNext w:val="0"/>
              <w:keepLines w:val="0"/>
              <w:widowControl/>
              <w:suppressLineNumbers w:val="0"/>
              <w:spacing w:before="0" w:beforeAutospacing="0" w:after="0" w:afterAutospacing="0"/>
              <w:ind w:left="0" w:leftChars="0" w:right="0" w:rightChars="0"/>
              <w:jc w:val="center"/>
              <w:textAlignment w:val="center"/>
              <w:rPr>
                <w:rFonts w:hint="eastAsia" w:ascii="Times New Roman" w:hAnsi="Times New Roman" w:eastAsia="宋体" w:cs="Times New Roman"/>
                <w:bCs/>
                <w:szCs w:val="21"/>
              </w:rPr>
            </w:pPr>
            <w:r>
              <w:rPr>
                <w:rFonts w:hint="eastAsia" w:ascii="宋体" w:hAnsi="宋体" w:eastAsia="宋体" w:cs="宋体"/>
                <w:i w:val="0"/>
                <w:iCs w:val="0"/>
                <w:color w:val="000000"/>
                <w:kern w:val="0"/>
                <w:sz w:val="21"/>
                <w:szCs w:val="21"/>
                <w:u w:val="none"/>
                <w:lang w:val="en-US" w:eastAsia="zh-CN" w:bidi="ar"/>
              </w:rPr>
              <w:t>张</w:t>
            </w:r>
          </w:p>
        </w:tc>
        <w:tc>
          <w:tcPr>
            <w:tcW w:w="571" w:type="dxa"/>
            <w:vAlign w:val="center"/>
          </w:tcPr>
          <w:p>
            <w:pPr>
              <w:jc w:val="center"/>
              <w:rPr>
                <w:rFonts w:ascii="Times New Roman" w:hAnsi="Times New Roman" w:eastAsia="宋体" w:cs="Times New Roman"/>
                <w:bCs/>
                <w:szCs w:val="21"/>
              </w:rPr>
            </w:pPr>
          </w:p>
        </w:tc>
        <w:tc>
          <w:tcPr>
            <w:tcW w:w="563" w:type="dxa"/>
            <w:vAlign w:val="center"/>
          </w:tcPr>
          <w:p>
            <w:pPr>
              <w:jc w:val="center"/>
              <w:rPr>
                <w:rFonts w:ascii="Times New Roman" w:hAnsi="Times New Roman" w:eastAsia="宋体" w:cs="Times New Roman"/>
                <w:bCs/>
                <w:szCs w:val="21"/>
              </w:rPr>
            </w:pPr>
          </w:p>
        </w:tc>
        <w:tc>
          <w:tcPr>
            <w:tcW w:w="703" w:type="dxa"/>
            <w:vMerge w:val="continue"/>
            <w:tcBorders/>
            <w:vAlign w:val="center"/>
          </w:tcPr>
          <w:p>
            <w:pPr>
              <w:jc w:val="center"/>
              <w:rPr>
                <w:rFonts w:ascii="Times New Roman" w:hAnsi="Times New Roman" w:eastAsia="宋体" w:cs="Times New Roman"/>
                <w:b/>
                <w:bCs/>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8808" w:type="dxa"/>
            <w:gridSpan w:val="12"/>
            <w:vAlign w:val="center"/>
          </w:tcPr>
          <w:p>
            <w:pPr>
              <w:jc w:val="left"/>
              <w:rPr>
                <w:rFonts w:hint="eastAsia" w:ascii="Times New Roman" w:hAnsi="Times New Roman" w:eastAsia="宋体" w:cs="Times New Roman"/>
                <w:bCs/>
                <w:szCs w:val="21"/>
              </w:rPr>
            </w:pPr>
            <w:r>
              <w:rPr>
                <w:rFonts w:hint="eastAsia" w:ascii="Times New Roman" w:hAnsi="Times New Roman" w:eastAsia="宋体" w:cs="Times New Roman"/>
                <w:bCs/>
                <w:szCs w:val="21"/>
              </w:rPr>
              <w:t>合计（即投标总价；币种：人民币；单位：元） 小写：            大写：</w:t>
            </w:r>
          </w:p>
        </w:tc>
      </w:tr>
    </w:tbl>
    <w:p>
      <w:pPr>
        <w:ind w:firstLine="482" w:firstLineChars="200"/>
        <w:rPr>
          <w:rFonts w:hint="eastAsia" w:ascii="宋体" w:hAnsi="宋体"/>
          <w:b/>
          <w:sz w:val="24"/>
        </w:rPr>
      </w:pPr>
    </w:p>
    <w:p>
      <w:pPr>
        <w:ind w:firstLine="482" w:firstLineChars="200"/>
        <w:rPr>
          <w:rFonts w:ascii="宋体" w:hAnsi="宋体"/>
          <w:b/>
          <w:sz w:val="24"/>
        </w:rPr>
      </w:pPr>
      <w:r>
        <w:rPr>
          <w:rFonts w:hint="eastAsia" w:ascii="宋体" w:hAnsi="宋体"/>
          <w:b/>
          <w:sz w:val="24"/>
        </w:rPr>
        <w:t>注：1.本表可按同样格式扩展。</w:t>
      </w:r>
    </w:p>
    <w:p>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62"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62"/>
    </w:p>
    <w:p>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pPr>
        <w:ind w:firstLine="482" w:firstLineChars="200"/>
        <w:rPr>
          <w:rFonts w:ascii="宋体" w:hAnsi="宋体"/>
          <w:b/>
          <w:color w:val="FF0000"/>
          <w:sz w:val="24"/>
        </w:rPr>
      </w:pPr>
    </w:p>
    <w:p>
      <w:pPr>
        <w:ind w:firstLine="482" w:firstLineChars="200"/>
        <w:rPr>
          <w:rFonts w:ascii="宋体" w:hAnsi="宋体"/>
          <w:b/>
          <w:color w:val="FF0000"/>
          <w:sz w:val="24"/>
        </w:rPr>
      </w:pPr>
    </w:p>
    <w:p>
      <w:pPr>
        <w:tabs>
          <w:tab w:val="left" w:pos="720"/>
        </w:tabs>
        <w:jc w:val="center"/>
        <w:rPr>
          <w:b/>
          <w:sz w:val="24"/>
        </w:rPr>
      </w:pPr>
      <w:r>
        <w:rPr>
          <w:rFonts w:hint="eastAsia"/>
          <w:b/>
          <w:sz w:val="24"/>
        </w:rPr>
        <w:t>（二）核心产品品牌</w:t>
      </w:r>
    </w:p>
    <w:p>
      <w:pPr>
        <w:ind w:firstLine="482" w:firstLineChars="200"/>
        <w:rPr>
          <w:rFonts w:ascii="宋体" w:hAnsi="宋体"/>
          <w:b/>
          <w:color w:val="FF0000"/>
          <w:sz w:val="24"/>
        </w:rPr>
      </w:pPr>
    </w:p>
    <w:p>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pPr>
        <w:ind w:firstLine="482" w:firstLineChars="200"/>
        <w:rPr>
          <w:rFonts w:ascii="宋体" w:hAnsi="宋体"/>
          <w:b/>
          <w:color w:val="FF0000"/>
          <w:sz w:val="24"/>
        </w:rPr>
      </w:pPr>
    </w:p>
    <w:p>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pPr>
        <w:ind w:firstLine="482" w:firstLineChars="200"/>
        <w:rPr>
          <w:rFonts w:ascii="宋体" w:hAnsi="宋体"/>
          <w:b/>
          <w:color w:val="FF0000"/>
          <w:sz w:val="24"/>
        </w:rPr>
      </w:pPr>
    </w:p>
    <w:p>
      <w:pPr>
        <w:ind w:firstLine="482" w:firstLineChars="200"/>
        <w:rPr>
          <w:rFonts w:ascii="宋体" w:hAnsi="宋体"/>
          <w:b/>
          <w:color w:val="FF0000"/>
          <w:sz w:val="24"/>
        </w:rPr>
      </w:pPr>
    </w:p>
    <w:p>
      <w:pPr>
        <w:rPr>
          <w:b/>
          <w:sz w:val="24"/>
        </w:rPr>
      </w:pPr>
    </w:p>
    <w:p>
      <w:pPr>
        <w:tabs>
          <w:tab w:val="left" w:pos="720"/>
        </w:tabs>
        <w:ind w:firstLine="1928" w:firstLineChars="800"/>
        <w:rPr>
          <w:b/>
          <w:sz w:val="24"/>
        </w:rPr>
      </w:pPr>
      <w:r>
        <w:rPr>
          <w:rFonts w:hint="eastAsia"/>
          <w:b/>
          <w:sz w:val="24"/>
        </w:rPr>
        <w:t>（三）可选配件报价清单（不包括在总报价内）</w:t>
      </w:r>
    </w:p>
    <w:p>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pPr>
        <w:ind w:firstLine="482" w:firstLineChars="200"/>
        <w:rPr>
          <w:rFonts w:hAnsi="宋体"/>
          <w:b/>
          <w:bCs/>
          <w:sz w:val="24"/>
        </w:rPr>
      </w:pPr>
    </w:p>
    <w:p>
      <w:pPr>
        <w:ind w:firstLine="482" w:firstLineChars="200"/>
        <w:rPr>
          <w:rFonts w:hAnsi="宋体"/>
          <w:b/>
          <w:bCs/>
          <w:sz w:val="24"/>
        </w:rPr>
      </w:pPr>
    </w:p>
    <w:p>
      <w:pPr>
        <w:tabs>
          <w:tab w:val="left" w:pos="720"/>
        </w:tabs>
        <w:jc w:val="center"/>
        <w:rPr>
          <w:b/>
          <w:sz w:val="24"/>
        </w:rPr>
      </w:pPr>
      <w:r>
        <w:rPr>
          <w:rFonts w:hint="eastAsia"/>
          <w:b/>
          <w:sz w:val="24"/>
        </w:rPr>
        <w:t>（四）</w:t>
      </w:r>
      <w:bookmarkStart w:id="63" w:name="_Hlk72073235"/>
      <w:r>
        <w:rPr>
          <w:rFonts w:hint="eastAsia"/>
          <w:b/>
          <w:sz w:val="24"/>
        </w:rPr>
        <w:t>投标人认为需要涉及的其他内容报价清单</w:t>
      </w:r>
      <w:bookmarkEnd w:id="63"/>
    </w:p>
    <w:p>
      <w:pPr>
        <w:rPr>
          <w:b/>
          <w:bCs/>
        </w:rPr>
      </w:pPr>
    </w:p>
    <w:p>
      <w:pPr>
        <w:jc w:val="center"/>
        <w:outlineLvl w:val="2"/>
        <w:rPr>
          <w:rFonts w:hint="eastAsia" w:ascii="黑体" w:hAnsi="宋体" w:eastAsia="黑体" w:cstheme="minorBidi"/>
          <w:b w:val="0"/>
          <w:bCs/>
          <w:kern w:val="2"/>
          <w:sz w:val="24"/>
          <w:szCs w:val="32"/>
          <w:lang w:val="en-US" w:eastAsia="zh-CN" w:bidi="ar-SA"/>
        </w:rPr>
      </w:pPr>
      <w:r>
        <w:rPr>
          <w:rFonts w:hint="eastAsia" w:ascii="黑体" w:hAnsi="宋体" w:eastAsia="黑体" w:cstheme="minorBidi"/>
          <w:b w:val="0"/>
          <w:bCs/>
          <w:kern w:val="2"/>
          <w:sz w:val="24"/>
          <w:szCs w:val="32"/>
          <w:lang w:val="en-US" w:eastAsia="zh-CN" w:bidi="ar-SA"/>
        </w:rPr>
        <w:t>五、经验评价</w:t>
      </w:r>
    </w:p>
    <w:p>
      <w:pPr>
        <w:pStyle w:val="2"/>
      </w:pPr>
      <w:r>
        <w:rPr>
          <w:rFonts w:hint="eastAsia"/>
        </w:rPr>
        <w:t>（特别提示：投标人须按本招标文件评标信息中这一评审因素要求，提供证明资料）</w:t>
      </w:r>
    </w:p>
    <w:p>
      <w:r>
        <w:rPr>
          <w:rFonts w:hint="eastAsia"/>
        </w:rPr>
        <w:t xml:space="preserve"> </w:t>
      </w:r>
      <w:r>
        <w:t xml:space="preserve">     </w:t>
      </w:r>
    </w:p>
    <w:p>
      <w:pPr>
        <w:ind w:firstLine="723" w:firstLineChars="300"/>
        <w:rPr>
          <w:b/>
          <w:color w:val="FF0000"/>
          <w:sz w:val="24"/>
        </w:rPr>
      </w:pPr>
      <w:r>
        <w:rPr>
          <w:rFonts w:hint="eastAsia"/>
          <w:b/>
          <w:color w:val="FF0000"/>
          <w:sz w:val="24"/>
        </w:rPr>
        <w:t>（信息公开部分的内容到此为止！以下为信息不公开部分。）</w:t>
      </w:r>
    </w:p>
    <w:bookmarkEnd w:id="61"/>
    <w:p>
      <w:r>
        <w:br w:type="page"/>
      </w:r>
    </w:p>
    <w:p>
      <w:pPr>
        <w:outlineLvl w:val="1"/>
        <w:rPr>
          <w:rFonts w:ascii="宋体" w:hAnsi="宋体"/>
          <w:b/>
          <w:color w:val="FF0000"/>
          <w:sz w:val="28"/>
          <w:szCs w:val="28"/>
        </w:rPr>
      </w:pPr>
      <w:bookmarkStart w:id="64" w:name="_Hlk72260530"/>
      <w:r>
        <w:rPr>
          <w:rFonts w:hint="eastAsia" w:ascii="宋体" w:hAnsi="宋体"/>
          <w:b/>
          <w:color w:val="FF0000"/>
          <w:sz w:val="28"/>
          <w:szCs w:val="28"/>
        </w:rPr>
        <w:t>投标文件附件（信息不公开部分）</w:t>
      </w:r>
    </w:p>
    <w:p>
      <w:pPr>
        <w:pStyle w:val="4"/>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9"/>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pPr>
        <w:rPr>
          <w:rFonts w:hint="eastAsia" w:ascii="黑体" w:eastAsia="黑体"/>
          <w:b w:val="0"/>
          <w:sz w:val="24"/>
        </w:rPr>
      </w:pPr>
      <w:r>
        <w:rPr>
          <w:rFonts w:hint="eastAsia" w:ascii="黑体" w:eastAsia="黑体"/>
          <w:b w:val="0"/>
          <w:sz w:val="24"/>
        </w:rPr>
        <w:br w:type="page"/>
      </w:r>
    </w:p>
    <w:p>
      <w:pPr>
        <w:pStyle w:val="4"/>
        <w:spacing w:before="120" w:after="120"/>
        <w:jc w:val="center"/>
        <w:rPr>
          <w:rFonts w:ascii="黑体" w:eastAsia="黑体"/>
          <w:b w:val="0"/>
          <w:sz w:val="24"/>
        </w:rPr>
      </w:pPr>
      <w:r>
        <w:rPr>
          <w:rFonts w:hint="eastAsia" w:ascii="黑体" w:eastAsia="黑体"/>
          <w:b w:val="0"/>
          <w:sz w:val="24"/>
        </w:rPr>
        <w:t>二、</w:t>
      </w:r>
      <w:bookmarkStart w:id="65" w:name="_Hlk72092499"/>
      <w:r>
        <w:rPr>
          <w:rFonts w:hint="eastAsia" w:ascii="黑体" w:eastAsia="黑体"/>
          <w:b w:val="0"/>
          <w:sz w:val="24"/>
        </w:rPr>
        <w:t>法定代表人（负责人）证明书</w:t>
      </w:r>
      <w:bookmarkEnd w:id="65"/>
    </w:p>
    <w:p>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pPr>
        <w:spacing w:line="360" w:lineRule="auto"/>
        <w:ind w:firstLine="420" w:firstLineChars="200"/>
        <w:rPr>
          <w:szCs w:val="21"/>
        </w:rPr>
      </w:pPr>
      <w:r>
        <w:rPr>
          <w:rFonts w:hint="eastAsia"/>
          <w:szCs w:val="21"/>
        </w:rPr>
        <w:t>特此证明。</w:t>
      </w:r>
    </w:p>
    <w:p>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pPr>
        <w:numPr>
          <w:ilvl w:val="0"/>
          <w:numId w:val="3"/>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pPr>
        <w:numPr>
          <w:ilvl w:val="0"/>
          <w:numId w:val="3"/>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pPr>
        <w:numPr>
          <w:ilvl w:val="0"/>
          <w:numId w:val="3"/>
        </w:numPr>
        <w:spacing w:line="360" w:lineRule="auto"/>
        <w:ind w:firstLine="420" w:firstLineChars="200"/>
        <w:rPr>
          <w:szCs w:val="21"/>
        </w:rPr>
      </w:pPr>
      <w:r>
        <w:rPr>
          <w:rFonts w:hint="eastAsia"/>
          <w:szCs w:val="21"/>
        </w:rPr>
        <w:t>内容必须填写真实、清楚，涂改无效，不得转让、买卖。</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lang w:val="en-US" w:eastAsia="zh-CN"/>
              </w:rPr>
              <w:t>证件扫描件正面</w:t>
            </w:r>
          </w:p>
          <w:p>
            <w:pPr>
              <w:pStyle w:val="8"/>
              <w:jc w:val="center"/>
              <w:rPr>
                <w:rFonts w:hint="eastAsia"/>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tc>
        <w:tc>
          <w:tcPr>
            <w:tcW w:w="4265" w:type="dxa"/>
            <w:vAlign w:val="top"/>
          </w:tcPr>
          <w:p>
            <w:pPr>
              <w:jc w:val="center"/>
              <w:rPr>
                <w:rFonts w:hint="eastAsia"/>
                <w:lang w:val="en-US" w:eastAsia="zh-CN"/>
              </w:rPr>
            </w:pPr>
            <w:r>
              <w:rPr>
                <w:rFonts w:hint="eastAsia"/>
                <w:lang w:val="en-US" w:eastAsia="zh-CN"/>
              </w:rPr>
              <w:t>证件扫描件反面</w:t>
            </w:r>
          </w:p>
          <w:p>
            <w:pPr>
              <w:pStyle w:val="8"/>
              <w:jc w:val="center"/>
              <w:rPr>
                <w:rFonts w:hint="eastAsia"/>
                <w:lang w:val="en-US" w:eastAsia="zh-CN"/>
              </w:rPr>
            </w:pPr>
          </w:p>
          <w:p>
            <w:pPr>
              <w:pStyle w:val="15"/>
              <w:jc w:val="center"/>
              <w:rPr>
                <w:rFonts w:hint="eastAsia"/>
                <w:sz w:val="24"/>
                <w:vertAlign w:val="baseline"/>
                <w:lang w:val="en-US" w:eastAsia="zh-CN"/>
              </w:rPr>
            </w:pPr>
          </w:p>
        </w:tc>
      </w:tr>
    </w:tbl>
    <w:p>
      <w:pPr>
        <w:rPr>
          <w:sz w:val="24"/>
        </w:rPr>
      </w:pPr>
    </w:p>
    <w:p>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Pr>
        <w:rPr>
          <w:rFonts w:hint="eastAsia" w:ascii="黑体" w:eastAsia="黑体"/>
          <w:b w:val="0"/>
          <w:kern w:val="0"/>
          <w:sz w:val="24"/>
          <w:szCs w:val="24"/>
        </w:rPr>
      </w:pPr>
      <w:r>
        <w:rPr>
          <w:rFonts w:hint="eastAsia" w:ascii="黑体" w:eastAsia="黑体"/>
          <w:b w:val="0"/>
          <w:kern w:val="0"/>
          <w:sz w:val="24"/>
          <w:szCs w:val="24"/>
        </w:rPr>
        <w:br w:type="page"/>
      </w:r>
    </w:p>
    <w:p>
      <w:pPr>
        <w:pStyle w:val="4"/>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pPr>
        <w:ind w:firstLine="482" w:firstLineChars="200"/>
        <w:rPr>
          <w:b/>
          <w:sz w:val="24"/>
          <w:szCs w:val="22"/>
        </w:rPr>
      </w:pPr>
    </w:p>
    <w:bookmarkEnd w:id="64"/>
    <w:p>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pPr>
        <w:spacing w:line="360" w:lineRule="auto"/>
        <w:ind w:firstLine="420" w:firstLineChars="200"/>
        <w:rPr>
          <w:rFonts w:hint="eastAsia"/>
          <w:szCs w:val="21"/>
        </w:rPr>
      </w:pPr>
      <w:r>
        <w:rPr>
          <w:rFonts w:hint="eastAsia"/>
          <w:szCs w:val="21"/>
        </w:rPr>
        <w:t>代理人无转委托权，特此委托。</w:t>
      </w:r>
    </w:p>
    <w:p>
      <w:pPr>
        <w:spacing w:line="360" w:lineRule="auto"/>
        <w:ind w:firstLine="420" w:firstLineChars="200"/>
        <w:rPr>
          <w:rFonts w:hint="eastAsia"/>
          <w:szCs w:val="21"/>
        </w:rPr>
      </w:pPr>
    </w:p>
    <w:p>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9"/>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pPr>
              <w:jc w:val="center"/>
              <w:rPr>
                <w:rFonts w:hint="eastAsia"/>
                <w:lang w:val="en-US" w:eastAsia="zh-CN"/>
              </w:rPr>
            </w:pPr>
            <w:r>
              <w:rPr>
                <w:rFonts w:hint="eastAsia" w:ascii="Times New Roman" w:eastAsia="宋体"/>
                <w:lang w:val="en-US" w:eastAsia="zh-CN"/>
              </w:rPr>
              <w:t>证件扫描件正面</w:t>
            </w:r>
          </w:p>
          <w:p>
            <w:pPr>
              <w:pStyle w:val="8"/>
              <w:jc w:val="center"/>
              <w:rPr>
                <w:rFonts w:hint="eastAsia"/>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p>
            <w:pPr>
              <w:pStyle w:val="15"/>
              <w:jc w:val="center"/>
              <w:rPr>
                <w:rFonts w:hint="default"/>
                <w:lang w:val="en-US" w:eastAsia="zh-CN"/>
              </w:rPr>
            </w:pPr>
          </w:p>
        </w:tc>
        <w:tc>
          <w:tcPr>
            <w:tcW w:w="4265" w:type="dxa"/>
            <w:vAlign w:val="top"/>
          </w:tcPr>
          <w:p>
            <w:pPr>
              <w:jc w:val="center"/>
              <w:rPr>
                <w:rFonts w:hint="eastAsia"/>
                <w:lang w:val="en-US" w:eastAsia="zh-CN"/>
              </w:rPr>
            </w:pPr>
            <w:r>
              <w:rPr>
                <w:rFonts w:hint="eastAsia" w:ascii="Times New Roman" w:eastAsia="宋体"/>
                <w:lang w:val="en-US" w:eastAsia="zh-CN"/>
              </w:rPr>
              <w:t>证件扫描件反面</w:t>
            </w:r>
          </w:p>
          <w:p>
            <w:pPr>
              <w:pStyle w:val="8"/>
              <w:jc w:val="center"/>
              <w:rPr>
                <w:rFonts w:hint="eastAsia"/>
                <w:lang w:val="en-US" w:eastAsia="zh-CN"/>
              </w:rPr>
            </w:pPr>
          </w:p>
          <w:p>
            <w:pPr>
              <w:pStyle w:val="15"/>
              <w:jc w:val="center"/>
              <w:rPr>
                <w:rFonts w:hint="eastAsia"/>
                <w:sz w:val="24"/>
                <w:vertAlign w:val="baseline"/>
                <w:lang w:val="en-US" w:eastAsia="zh-CN"/>
              </w:rPr>
            </w:pPr>
          </w:p>
        </w:tc>
      </w:tr>
    </w:tbl>
    <w:p>
      <w:pPr>
        <w:widowControl w:val="0"/>
        <w:jc w:val="both"/>
        <w:rPr>
          <w:rFonts w:hint="eastAsia" w:ascii="黑体" w:hAnsi="黑体" w:eastAsia="黑体" w:cs="黑体"/>
          <w:b/>
          <w:bCs/>
          <w:color w:val="auto"/>
          <w:kern w:val="2"/>
          <w:sz w:val="24"/>
          <w:szCs w:val="24"/>
          <w:u w:val="none"/>
          <w:lang w:val="en-US" w:eastAsia="zh-CN" w:bidi="ar-SA"/>
        </w:rPr>
      </w:pPr>
    </w:p>
    <w:p>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p>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pPr>
        <w:pStyle w:val="9"/>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8"/>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pPr>
              <w:adjustRightInd w:val="0"/>
              <w:snapToGrid w:val="0"/>
              <w:spacing w:line="360" w:lineRule="auto"/>
              <w:jc w:val="center"/>
              <w:rPr>
                <w:rFonts w:ascii="宋体" w:hAnsi="宋体"/>
                <w:kern w:val="0"/>
                <w:szCs w:val="21"/>
              </w:rPr>
            </w:pPr>
            <w:bookmarkStart w:id="66" w:name="_Hlk72092651"/>
            <w:r>
              <w:rPr>
                <w:rFonts w:hint="eastAsia" w:ascii="宋体" w:hAnsi="宋体"/>
                <w:kern w:val="0"/>
                <w:szCs w:val="21"/>
              </w:rPr>
              <w:t>序号</w:t>
            </w:r>
          </w:p>
        </w:tc>
        <w:tc>
          <w:tcPr>
            <w:tcW w:w="2664" w:type="dxa"/>
            <w:vAlign w:val="center"/>
          </w:tcPr>
          <w:p>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pPr>
              <w:adjustRightInd w:val="0"/>
              <w:snapToGrid w:val="0"/>
              <w:spacing w:line="360" w:lineRule="auto"/>
              <w:jc w:val="center"/>
              <w:rPr>
                <w:rFonts w:ascii="宋体" w:hAnsi="宋体"/>
                <w:kern w:val="0"/>
                <w:szCs w:val="21"/>
              </w:rPr>
            </w:pPr>
            <w:r>
              <w:rPr>
                <w:rFonts w:hint="eastAsia"/>
              </w:rPr>
              <w:t>说明</w:t>
            </w:r>
          </w:p>
        </w:tc>
      </w:tr>
      <w:bookmarkEnd w:id="66"/>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pPr>
              <w:adjustRightInd w:val="0"/>
              <w:snapToGrid w:val="0"/>
              <w:spacing w:line="360" w:lineRule="auto"/>
              <w:rPr>
                <w:rFonts w:ascii="宋体" w:hAnsi="宋体"/>
                <w:kern w:val="0"/>
                <w:szCs w:val="21"/>
              </w:rPr>
            </w:pPr>
          </w:p>
        </w:tc>
        <w:tc>
          <w:tcPr>
            <w:tcW w:w="1842" w:type="dxa"/>
          </w:tcPr>
          <w:p>
            <w:pPr>
              <w:adjustRightInd w:val="0"/>
              <w:snapToGrid w:val="0"/>
              <w:spacing w:line="360" w:lineRule="auto"/>
              <w:rPr>
                <w:rFonts w:ascii="宋体" w:hAnsi="宋体"/>
                <w:kern w:val="0"/>
                <w:szCs w:val="21"/>
              </w:rPr>
            </w:pPr>
          </w:p>
        </w:tc>
        <w:tc>
          <w:tcPr>
            <w:tcW w:w="1418" w:type="dxa"/>
          </w:tcPr>
          <w:p>
            <w:pPr>
              <w:adjustRightInd w:val="0"/>
              <w:snapToGrid w:val="0"/>
              <w:spacing w:line="360" w:lineRule="auto"/>
              <w:rPr>
                <w:rFonts w:ascii="宋体" w:hAnsi="宋体"/>
                <w:kern w:val="0"/>
                <w:szCs w:val="21"/>
              </w:rPr>
            </w:pPr>
          </w:p>
        </w:tc>
      </w:tr>
    </w:tbl>
    <w:p>
      <w:pPr>
        <w:ind w:firstLine="482" w:firstLineChars="200"/>
        <w:rPr>
          <w:b/>
          <w:sz w:val="24"/>
          <w:szCs w:val="22"/>
        </w:rPr>
      </w:pPr>
    </w:p>
    <w:p>
      <w:pPr>
        <w:ind w:firstLine="482" w:firstLineChars="200"/>
        <w:rPr>
          <w:b/>
          <w:sz w:val="24"/>
          <w:szCs w:val="22"/>
        </w:rPr>
      </w:pPr>
      <w:r>
        <w:rPr>
          <w:rFonts w:hint="eastAsia"/>
          <w:b/>
          <w:sz w:val="24"/>
          <w:szCs w:val="22"/>
        </w:rPr>
        <w:t>注：1.上表所列各项均为不可负偏离条款。</w:t>
      </w:r>
    </w:p>
    <w:p>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pPr>
        <w:ind w:firstLine="482" w:firstLineChars="200"/>
        <w:rPr>
          <w:b/>
          <w:sz w:val="24"/>
        </w:rPr>
      </w:pPr>
      <w:r>
        <w:rPr>
          <w:b/>
          <w:sz w:val="24"/>
        </w:rPr>
        <w:t>4.</w:t>
      </w:r>
      <w:r>
        <w:rPr>
          <w:rFonts w:hint="eastAsia"/>
          <w:b/>
          <w:sz w:val="24"/>
        </w:rPr>
        <w:t>评审委员会有权对投标响应情况作出判断（作出评审结论）。</w:t>
      </w:r>
    </w:p>
    <w:p>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pPr>
        <w:pStyle w:val="4"/>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8"/>
        <w:tblW w:w="9256" w:type="dxa"/>
        <w:tblInd w:w="-3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4"/>
        <w:gridCol w:w="829"/>
        <w:gridCol w:w="5513"/>
        <w:gridCol w:w="1051"/>
        <w:gridCol w:w="701"/>
        <w:gridCol w:w="5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624" w:type="dxa"/>
            <w:vAlign w:val="center"/>
          </w:tcPr>
          <w:p>
            <w:pPr>
              <w:keepNext w:val="0"/>
              <w:keepLines w:val="0"/>
              <w:widowControl/>
              <w:suppressLineNumbers w:val="0"/>
              <w:jc w:val="center"/>
              <w:textAlignment w:val="center"/>
              <w:rPr>
                <w:rStyle w:val="40"/>
                <w:lang w:val="en-US" w:eastAsia="zh-CN" w:bidi="ar"/>
              </w:rPr>
            </w:pPr>
            <w:r>
              <w:rPr>
                <w:rStyle w:val="40"/>
                <w:lang w:val="en-US" w:eastAsia="zh-CN" w:bidi="ar"/>
              </w:rPr>
              <w:t>序号</w:t>
            </w:r>
          </w:p>
        </w:tc>
        <w:tc>
          <w:tcPr>
            <w:tcW w:w="829" w:type="dxa"/>
            <w:vAlign w:val="center"/>
          </w:tcPr>
          <w:p>
            <w:pPr>
              <w:keepNext w:val="0"/>
              <w:keepLines w:val="0"/>
              <w:widowControl/>
              <w:suppressLineNumbers w:val="0"/>
              <w:jc w:val="center"/>
              <w:textAlignment w:val="center"/>
              <w:rPr>
                <w:rStyle w:val="40"/>
                <w:lang w:val="en-US" w:eastAsia="zh-CN" w:bidi="ar"/>
              </w:rPr>
            </w:pPr>
            <w:r>
              <w:rPr>
                <w:rStyle w:val="40"/>
                <w:lang w:val="en-US" w:eastAsia="zh-CN" w:bidi="ar"/>
              </w:rPr>
              <w:t>货物名称</w:t>
            </w:r>
          </w:p>
        </w:tc>
        <w:tc>
          <w:tcPr>
            <w:tcW w:w="5513" w:type="dxa"/>
            <w:vAlign w:val="center"/>
          </w:tcPr>
          <w:p>
            <w:pPr>
              <w:keepNext w:val="0"/>
              <w:keepLines w:val="0"/>
              <w:widowControl/>
              <w:suppressLineNumbers w:val="0"/>
              <w:jc w:val="center"/>
              <w:textAlignment w:val="center"/>
              <w:rPr>
                <w:rStyle w:val="40"/>
                <w:lang w:val="en-US" w:eastAsia="zh-CN" w:bidi="ar"/>
              </w:rPr>
            </w:pPr>
            <w:r>
              <w:rPr>
                <w:rStyle w:val="40"/>
                <w:rFonts w:hint="eastAsia"/>
                <w:lang w:val="en-US" w:eastAsia="zh-CN" w:bidi="ar"/>
              </w:rPr>
              <w:t>招标</w:t>
            </w:r>
            <w:r>
              <w:rPr>
                <w:rStyle w:val="40"/>
                <w:lang w:val="en-US" w:eastAsia="zh-CN" w:bidi="ar"/>
              </w:rPr>
              <w:t>技术要求</w:t>
            </w:r>
          </w:p>
        </w:tc>
        <w:tc>
          <w:tcPr>
            <w:tcW w:w="1051" w:type="dxa"/>
            <w:vAlign w:val="center"/>
          </w:tcPr>
          <w:p>
            <w:pPr>
              <w:jc w:val="center"/>
              <w:rPr>
                <w:rStyle w:val="40"/>
                <w:rFonts w:hint="eastAsia"/>
                <w:lang w:val="en-US" w:eastAsia="zh-CN" w:bidi="ar"/>
              </w:rPr>
            </w:pPr>
            <w:r>
              <w:rPr>
                <w:rFonts w:hint="eastAsia"/>
                <w:sz w:val="24"/>
              </w:rPr>
              <w:t>投标技术响应</w:t>
            </w:r>
          </w:p>
        </w:tc>
        <w:tc>
          <w:tcPr>
            <w:tcW w:w="701" w:type="dxa"/>
            <w:vAlign w:val="center"/>
          </w:tcPr>
          <w:p>
            <w:pPr>
              <w:jc w:val="center"/>
              <w:rPr>
                <w:rStyle w:val="40"/>
                <w:rFonts w:hint="eastAsia"/>
                <w:lang w:val="en-US" w:eastAsia="zh-CN" w:bidi="ar"/>
              </w:rPr>
            </w:pPr>
            <w:r>
              <w:rPr>
                <w:rFonts w:hint="eastAsia"/>
                <w:sz w:val="24"/>
              </w:rPr>
              <w:t>偏离情况</w:t>
            </w:r>
          </w:p>
        </w:tc>
        <w:tc>
          <w:tcPr>
            <w:tcW w:w="538" w:type="dxa"/>
            <w:vAlign w:val="center"/>
          </w:tcPr>
          <w:p>
            <w:pPr>
              <w:jc w:val="center"/>
              <w:rPr>
                <w:rStyle w:val="40"/>
                <w:rFonts w:hint="eastAsia"/>
                <w:lang w:val="en-US" w:eastAsia="zh-CN" w:bidi="ar"/>
              </w:rPr>
            </w:pPr>
            <w:r>
              <w:rPr>
                <w:rFonts w:hint="eastAsia"/>
                <w:sz w:val="24"/>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四人桌1</w:t>
            </w:r>
          </w:p>
        </w:tc>
        <w:tc>
          <w:tcPr>
            <w:tcW w:w="5513" w:type="dxa"/>
            <w:vAlign w:val="center"/>
          </w:tcPr>
          <w:p>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 xml:space="preserve">1. </w:t>
            </w:r>
            <w:r>
              <w:rPr>
                <w:rStyle w:val="39"/>
                <w:lang w:val="en-US" w:eastAsia="zh-CN" w:bidi="ar"/>
              </w:rPr>
              <w:t>（尺寸允许±10%偏离）尺寸：长1500mm*宽800mm*高750mm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 xml:space="preserve">2. </w:t>
            </w:r>
            <w:r>
              <w:rPr>
                <w:rStyle w:val="40"/>
                <w:lang w:val="en-US" w:eastAsia="zh-CN" w:bidi="ar"/>
              </w:rPr>
              <w:t>材质：采用红榉木，桌面板采用≧40mm厚榉木木实木，漆面采用水性漆，整张桌子采用榫卯结构组装，桌腿采用长≧80mm*宽≧80mm</w:t>
            </w:r>
            <w:r>
              <w:rPr>
                <w:rStyle w:val="40"/>
                <w:highlight w:val="none"/>
                <w:lang w:val="en-US" w:eastAsia="zh-CN" w:bidi="ar"/>
              </w:rPr>
              <w:t>榉木实木。</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四人桌2</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 </w:t>
            </w:r>
            <w:r>
              <w:rPr>
                <w:rStyle w:val="39"/>
                <w:lang w:val="en-US" w:eastAsia="zh-CN" w:bidi="ar"/>
              </w:rPr>
              <w:t>（尺寸允许±10%偏离）尺寸：长1500mm*宽1000mm*高750mm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 </w:t>
            </w:r>
            <w:r>
              <w:rPr>
                <w:rStyle w:val="40"/>
                <w:lang w:val="en-US" w:eastAsia="zh-CN" w:bidi="ar"/>
              </w:rPr>
              <w:t>材质：</w:t>
            </w:r>
            <w:r>
              <w:rPr>
                <w:rStyle w:val="39"/>
                <w:lang w:val="en-US" w:eastAsia="zh-CN" w:bidi="ar"/>
              </w:rPr>
              <w:t>采用</w:t>
            </w:r>
            <w:r>
              <w:rPr>
                <w:rStyle w:val="40"/>
                <w:lang w:val="en-US" w:eastAsia="zh-CN" w:bidi="ar"/>
              </w:rPr>
              <w:t>红榉木，桌面板采用≧40mm厚榉木木实木，漆面采用水性漆，整张桌子采用榫卯结构组装，桌腿采用长≧80mm*宽≧80mm榉木木实木。</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3</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六人桌1</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 </w:t>
            </w:r>
            <w:r>
              <w:rPr>
                <w:rStyle w:val="39"/>
                <w:lang w:val="en-US" w:eastAsia="zh-CN" w:bidi="ar"/>
              </w:rPr>
              <w:t>（尺寸允许±10%偏离）尺寸：长2200mm*宽1000mm*高750mm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6. </w:t>
            </w:r>
            <w:r>
              <w:rPr>
                <w:rStyle w:val="40"/>
                <w:lang w:val="en-US" w:eastAsia="zh-CN" w:bidi="ar"/>
              </w:rPr>
              <w:t>材质：采用红榉木，桌面板采用≧40mm厚榉木木实木，漆面采用水性漆，整张桌子</w:t>
            </w:r>
            <w:r>
              <w:rPr>
                <w:rStyle w:val="39"/>
                <w:lang w:val="en-US" w:eastAsia="zh-CN" w:bidi="ar"/>
              </w:rPr>
              <w:t>采用</w:t>
            </w:r>
            <w:r>
              <w:rPr>
                <w:rStyle w:val="40"/>
                <w:lang w:val="en-US" w:eastAsia="zh-CN" w:bidi="ar"/>
              </w:rPr>
              <w:t>榫卯结构组装，桌腿采用长≧80mm*宽≧80mm榉木木实木。</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4</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六人桌2</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7. </w:t>
            </w:r>
            <w:r>
              <w:rPr>
                <w:rStyle w:val="39"/>
                <w:lang w:val="en-US" w:eastAsia="zh-CN" w:bidi="ar"/>
              </w:rPr>
              <w:t>（尺寸允许±10%偏离）尺寸：长2200mm*宽1200mm*高750mm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8. </w:t>
            </w:r>
            <w:r>
              <w:rPr>
                <w:rStyle w:val="40"/>
                <w:lang w:val="en-US" w:eastAsia="zh-CN" w:bidi="ar"/>
              </w:rPr>
              <w:t>材质：采用红榉木，桌面板采用≧40mm厚榉木木实木，漆面采用水性漆，整张桌子</w:t>
            </w:r>
            <w:r>
              <w:rPr>
                <w:rStyle w:val="39"/>
                <w:lang w:val="en-US" w:eastAsia="zh-CN" w:bidi="ar"/>
              </w:rPr>
              <w:t>采用</w:t>
            </w:r>
            <w:r>
              <w:rPr>
                <w:rStyle w:val="40"/>
                <w:lang w:val="en-US" w:eastAsia="zh-CN" w:bidi="ar"/>
              </w:rPr>
              <w:t>榫卯结构组装，桌腿采用长≧80mm*宽≧80mm榉木木实木。</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5</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四人圆桌</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9. </w:t>
            </w:r>
            <w:r>
              <w:rPr>
                <w:rStyle w:val="39"/>
                <w:lang w:val="en-US" w:eastAsia="zh-CN" w:bidi="ar"/>
              </w:rPr>
              <w:t>（尺寸允许±10%偏离）尺寸：直径1000mm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10. </w:t>
            </w:r>
            <w:r>
              <w:rPr>
                <w:rStyle w:val="40"/>
                <w:lang w:val="en-US" w:eastAsia="zh-CN" w:bidi="ar"/>
              </w:rPr>
              <w:t>材质：采用红榉木，桌面板采用≧40mm厚榉木木实木，漆面采用水性漆，桌腿上横截面（80mm*40mm）±10%,桌腿下横截面（40mm*40mm）±10%</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6</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六人圆桌</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11. </w:t>
            </w:r>
            <w:r>
              <w:rPr>
                <w:rStyle w:val="39"/>
                <w:lang w:val="en-US" w:eastAsia="zh-CN" w:bidi="ar"/>
              </w:rPr>
              <w:t>（尺寸允许±10%偏离）尺寸：直径1400mm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12. </w:t>
            </w:r>
            <w:r>
              <w:rPr>
                <w:rStyle w:val="40"/>
                <w:lang w:val="en-US" w:eastAsia="zh-CN" w:bidi="ar"/>
              </w:rPr>
              <w:t>材质：采用红榉木，桌面板采用≧40mm厚榉木木实木，漆面采用水性漆，桌腿上横截面（80mm*40mm）±10%,桌腿下横截面（40mm*40mm）±10%</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13. </w:t>
            </w:r>
            <w:r>
              <w:rPr>
                <w:rStyle w:val="41"/>
                <w:lang w:val="en-US" w:eastAsia="zh-CN" w:bidi="ar"/>
              </w:rPr>
              <w:t>▲红榉木依据LY/T 1985-2011的测定，五氯苯酚含量应≤0.5mg/kg；依据GB/T 1927.4-2021的测定，含水率应在9～12%的范围内；依据GB/T 29894-2013的测定，木材鉴定应符合要求；依据GB/T 1927.19-2021的测定，硬度应≥40N/mm²。</w:t>
            </w:r>
            <w:r>
              <w:rPr>
                <w:rStyle w:val="42"/>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14. </w:t>
            </w:r>
            <w:r>
              <w:rPr>
                <w:rStyle w:val="41"/>
                <w:lang w:val="en-US" w:eastAsia="zh-CN" w:bidi="ar"/>
              </w:rPr>
              <w:t>▲水性漆依据GB/T 36488-2018的测定，多环芳烃总和含量（限萘、蒽）应≤200mg/kg；依据GB/T 37884-2019的测定，挥发性有机化合物（VOC）释放量应≤50μg/m³；依据GB/T 23991-2009的测定，可溶性重金属镉应≤75mg/kg、可溶性重金属汞、可溶性重金属铬均应≤60mg/kg；依据GB/T 23990-2009的测定，苯系物总和含量[限苯、甲苯、二甲苯（含乙苯）]应≤100mg/kg。</w:t>
            </w:r>
            <w:r>
              <w:rPr>
                <w:rStyle w:val="42"/>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7</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小方桌</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15. </w:t>
            </w:r>
            <w:r>
              <w:rPr>
                <w:rStyle w:val="39"/>
                <w:lang w:val="en-US" w:eastAsia="zh-CN" w:bidi="ar"/>
              </w:rPr>
              <w:t>（尺寸允许±10%偏离）尺寸：长800mm*宽600mm*高750mm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16. </w:t>
            </w:r>
            <w:r>
              <w:rPr>
                <w:rStyle w:val="40"/>
                <w:lang w:val="en-US" w:eastAsia="zh-CN" w:bidi="ar"/>
              </w:rPr>
              <w:t>材质：采用红榉木，桌面板采用≧40mm厚榉木木实木，漆面采用水性漆，桌腿采用钢铁圆管，桌腿直径76mm±6mm；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8</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吧台桌1</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17. </w:t>
            </w:r>
            <w:r>
              <w:rPr>
                <w:rStyle w:val="39"/>
                <w:lang w:val="en-US" w:eastAsia="zh-CN" w:bidi="ar"/>
              </w:rPr>
              <w:t>（尺寸允许±10%偏离）尺寸：长2200mm*宽600mm*高1050mm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18. </w:t>
            </w:r>
            <w:r>
              <w:rPr>
                <w:rStyle w:val="40"/>
                <w:lang w:val="en-US" w:eastAsia="zh-CN" w:bidi="ar"/>
              </w:rPr>
              <w:t>材质：采用红榉木，桌面板采用≧40mm厚榉木木实木，漆面采用水性漆，整张桌子采用榫卯结构组装，桌腿采用长≧80mm*宽≧80mm榉木木实木。</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9</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吧台桌2</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19. </w:t>
            </w:r>
            <w:r>
              <w:rPr>
                <w:rStyle w:val="39"/>
                <w:lang w:val="en-US" w:eastAsia="zh-CN" w:bidi="ar"/>
              </w:rPr>
              <w:t>（尺寸允许±10%偏离）尺寸：长2000mm*宽600mm*高1050mm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20. </w:t>
            </w:r>
            <w:r>
              <w:rPr>
                <w:rStyle w:val="40"/>
                <w:lang w:val="en-US" w:eastAsia="zh-CN" w:bidi="ar"/>
              </w:rPr>
              <w:t>材质：采用红榉木，桌面板采用≧40mm厚榉木木实木，漆面采用水性漆，整张桌子采用榫卯结构组装，桌腿采用长≧80mm*宽≧80mm榉木木实木。</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10</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卡座</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21. </w:t>
            </w:r>
            <w:r>
              <w:rPr>
                <w:rStyle w:val="39"/>
                <w:lang w:val="en-US" w:eastAsia="zh-CN" w:bidi="ar"/>
              </w:rPr>
              <w:t>（尺寸</w:t>
            </w:r>
            <w:r>
              <w:rPr>
                <w:rStyle w:val="40"/>
                <w:lang w:val="en-US" w:eastAsia="zh-CN" w:bidi="ar"/>
              </w:rPr>
              <w:t>允许</w:t>
            </w:r>
            <w:r>
              <w:rPr>
                <w:rStyle w:val="39"/>
                <w:lang w:val="en-US" w:eastAsia="zh-CN" w:bidi="ar"/>
              </w:rPr>
              <w:t>±10%偏离）尺寸：长6000mm*宽670mm*高900mm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22. </w:t>
            </w:r>
            <w:r>
              <w:rPr>
                <w:rStyle w:val="40"/>
                <w:lang w:val="en-US" w:eastAsia="zh-CN" w:bidi="ar"/>
              </w:rPr>
              <w:t>材质：座椅木架采用18mm±1mm浸渍胶膜纸饰面胶合板，座垫和靠背采用阻燃海绵软包，软包表层采用西皮合成革，软包内填充50mm±5mm厚海绵，海绵密度：40%</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23. </w:t>
            </w:r>
            <w:r>
              <w:rPr>
                <w:rStyle w:val="41"/>
                <w:lang w:val="en-US" w:eastAsia="zh-CN" w:bidi="ar"/>
              </w:rPr>
              <w:t>▲合成革依据QB/T 5067-2017的测定，颜色迁移性应在4~5级范围内、耐光性（变褪色）应≥4级；依据GB/T 7573-2009的测定，pH值应在4.0~7.5范围内；依据GB/T 19942-2019的测定，可裂解出致癌芳香胺的偶氮染料应≤30mg/kg；依据GB/T 3920-2008的测定，耐干摩擦应≥4级。</w:t>
            </w:r>
            <w:r>
              <w:rPr>
                <w:rStyle w:val="42"/>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24. </w:t>
            </w:r>
            <w:r>
              <w:rPr>
                <w:rStyle w:val="41"/>
                <w:lang w:val="en-US" w:eastAsia="zh-CN" w:bidi="ar"/>
              </w:rPr>
              <w:t>▲海绵依据GB/T 6343-2009的测定，海绵表面密度应≧40kg/m³；依据GB/T 6670-2008的测定，海绵回弹率应≥80%；依据GB/T 6344-2008的测定，拉伸强度应≧130Kpa，伸长率应≥140%。</w:t>
            </w:r>
            <w:r>
              <w:rPr>
                <w:rStyle w:val="42"/>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11</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花箱</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25. </w:t>
            </w:r>
            <w:r>
              <w:rPr>
                <w:rStyle w:val="39"/>
                <w:lang w:val="en-US" w:eastAsia="zh-CN" w:bidi="ar"/>
              </w:rPr>
              <w:t>（尺寸允许±10%偏离）尺寸：长2000mm*宽350mm*高900mm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26. </w:t>
            </w:r>
            <w:r>
              <w:rPr>
                <w:rStyle w:val="39"/>
                <w:lang w:val="en-US" w:eastAsia="zh-CN" w:bidi="ar"/>
              </w:rPr>
              <w:t>采用</w:t>
            </w:r>
            <w:r>
              <w:rPr>
                <w:rStyle w:val="40"/>
                <w:lang w:val="en-US" w:eastAsia="zh-CN" w:bidi="ar"/>
              </w:rPr>
              <w:t>18mm±1mm浸渍胶膜纸饰面胶合板,板件四周采用厚度1mm±0.1mmPVC封边条</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27. </w:t>
            </w:r>
            <w:r>
              <w:rPr>
                <w:rStyle w:val="41"/>
                <w:lang w:val="en-US" w:eastAsia="zh-CN" w:bidi="ar"/>
              </w:rPr>
              <w:t>▲浸渍胶膜纸饰面胶合板依据GB/T 34722-2017的测定，外观应符合合格要求；依据LY/T 1985-2011的测定，五氯苯酚含量应为未检出；依据GB/T 1927.8-2021的测定，弦向湿胀率≤6%，径向湿胀率≤3%。</w:t>
            </w:r>
            <w:r>
              <w:rPr>
                <w:rStyle w:val="42"/>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12</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椅子1</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28. </w:t>
            </w:r>
            <w:r>
              <w:rPr>
                <w:rStyle w:val="39"/>
                <w:lang w:val="en-US" w:eastAsia="zh-CN" w:bidi="ar"/>
              </w:rPr>
              <w:t>（尺寸</w:t>
            </w:r>
            <w:r>
              <w:rPr>
                <w:rStyle w:val="40"/>
                <w:lang w:val="en-US" w:eastAsia="zh-CN" w:bidi="ar"/>
              </w:rPr>
              <w:t>允许</w:t>
            </w:r>
            <w:r>
              <w:rPr>
                <w:rStyle w:val="39"/>
                <w:lang w:val="en-US" w:eastAsia="zh-CN" w:bidi="ar"/>
              </w:rPr>
              <w:t>±10%偏离）尺寸：长565mm*宽545mm*高830mm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29. </w:t>
            </w:r>
            <w:r>
              <w:rPr>
                <w:rStyle w:val="40"/>
                <w:lang w:val="en-US" w:eastAsia="zh-CN" w:bidi="ar"/>
              </w:rPr>
              <w:t>材质：椅腿采用钢管，椅背采用PP塑料</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13</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椅子2</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30. </w:t>
            </w:r>
            <w:r>
              <w:rPr>
                <w:rStyle w:val="39"/>
                <w:lang w:val="en-US" w:eastAsia="zh-CN" w:bidi="ar"/>
              </w:rPr>
              <w:t>（尺寸</w:t>
            </w:r>
            <w:r>
              <w:rPr>
                <w:rStyle w:val="40"/>
                <w:lang w:val="en-US" w:eastAsia="zh-CN" w:bidi="ar"/>
              </w:rPr>
              <w:t>允许</w:t>
            </w:r>
            <w:r>
              <w:rPr>
                <w:rStyle w:val="39"/>
                <w:lang w:val="en-US" w:eastAsia="zh-CN" w:bidi="ar"/>
              </w:rPr>
              <w:t>±10%偏离）尺寸：总高830mm*宽度520mm*座深460mm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31. </w:t>
            </w:r>
            <w:r>
              <w:rPr>
                <w:rStyle w:val="40"/>
                <w:lang w:val="en-US" w:eastAsia="zh-CN" w:bidi="ar"/>
              </w:rPr>
              <w:t>材质</w:t>
            </w:r>
            <w:r>
              <w:rPr>
                <w:rStyle w:val="39"/>
                <w:lang w:val="en-US" w:eastAsia="zh-CN" w:bidi="ar"/>
              </w:rPr>
              <w:t>：</w:t>
            </w:r>
            <w:r>
              <w:rPr>
                <w:rStyle w:val="40"/>
                <w:lang w:val="en-US" w:eastAsia="zh-CN" w:bidi="ar"/>
              </w:rPr>
              <w:t>椅腿采用钢管，椅背采用合成皮革，座垫填充海绵。</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14</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椅子3</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32. </w:t>
            </w:r>
            <w:r>
              <w:rPr>
                <w:rStyle w:val="39"/>
                <w:lang w:val="en-US" w:eastAsia="zh-CN" w:bidi="ar"/>
              </w:rPr>
              <w:t>（尺寸允许±10%偏离）尺寸：长400mm*座椅宽360mm*高800mm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33. </w:t>
            </w:r>
            <w:r>
              <w:rPr>
                <w:rStyle w:val="40"/>
                <w:lang w:val="en-US" w:eastAsia="zh-CN" w:bidi="ar"/>
              </w:rPr>
              <w:t>材质：桌腿采用木质，座垫和靠背采用海绵软包，软包表层采用合成革</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15</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柜子</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34. </w:t>
            </w:r>
            <w:r>
              <w:rPr>
                <w:rStyle w:val="39"/>
                <w:lang w:val="en-US" w:eastAsia="zh-CN" w:bidi="ar"/>
              </w:rPr>
              <w:t>（尺寸允许±10%偏离）尺寸：长4190mm*宽300mm*高2200mm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35. </w:t>
            </w:r>
            <w:r>
              <w:rPr>
                <w:rStyle w:val="40"/>
                <w:lang w:val="en-US" w:eastAsia="zh-CN" w:bidi="ar"/>
              </w:rPr>
              <w:t>材质：主柜架采用18mm±1mm浸渍胶膜纸饰面胶合板，背板采用9mm±1mm浸渍胶膜纸饰面胶合板,板件四周采用厚度1mmPVC封边条</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36. </w:t>
            </w:r>
            <w:r>
              <w:rPr>
                <w:rStyle w:val="41"/>
                <w:lang w:val="en-US" w:eastAsia="zh-CN" w:bidi="ar"/>
              </w:rPr>
              <w:t>▲PVC封边条依据GB/T 16422.2-2022的测定，氙灯老化120h后样品表面无明显变化；依据QB/T 4463-2013的测定，耐老化性应无开裂、耐干热性应无龟裂、无鼓泡、耐冷热循环性应无龟裂、无鼓泡、无变色、无起皱；依据GB/T 12000-2017的测定，盐雾试验24h后应符合合格要求、UV老化120h后应表面无裂纹。</w:t>
            </w:r>
            <w:r>
              <w:rPr>
                <w:rStyle w:val="42"/>
                <w:lang w:val="en-US" w:eastAsia="zh-CN" w:bidi="ar"/>
              </w:rPr>
              <w:t>（投标时同时提供：①由第三方检验检测机构出具并加盖（或带有）CMA及CNAS标志的检验检测报告扫描件，原件备查；②上述检验检测报告在全国认证认可信息公共服务平台（认e云）（http://cx.cnca.cn/）的信息查询记录截图。注：对应参数（检验检测项）在检验检测报告中进行标注；检验检测报告出具的时间应在本项目投标截止日前1年内；如检验检测报告中明确备注说明相关检验检测项不在检验检测机构CMA及CNAS资质许可（认定）范围内的，不符合招标文件要求。）</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16</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三人沙发</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37. </w:t>
            </w:r>
            <w:r>
              <w:rPr>
                <w:rStyle w:val="39"/>
                <w:lang w:val="en-US" w:eastAsia="zh-CN" w:bidi="ar"/>
              </w:rPr>
              <w:t>（尺寸允许±10%偏离）尺寸：长2655mm*宽1080mm*高850mm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38. </w:t>
            </w:r>
            <w:r>
              <w:rPr>
                <w:rStyle w:val="40"/>
                <w:lang w:val="en-US" w:eastAsia="zh-CN" w:bidi="ar"/>
              </w:rPr>
              <w:t>材质：内架采用夹板及刨方木装订而成，坐包采用蛇形弹簧支撑加钢丝绳及高弹力橡筋和网布支撑加高密度海绵填充。外采用布艺饰面，框架采用白蜡木，水性漆处理。</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17</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茶几</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39. </w:t>
            </w:r>
            <w:r>
              <w:rPr>
                <w:rStyle w:val="39"/>
                <w:lang w:val="en-US" w:eastAsia="zh-CN" w:bidi="ar"/>
              </w:rPr>
              <w:t>（尺寸允许±10%偏离）尺寸：长1200mm*宽556mm*高430mm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40. </w:t>
            </w:r>
            <w:r>
              <w:rPr>
                <w:rStyle w:val="40"/>
                <w:lang w:val="en-US" w:eastAsia="zh-CN" w:bidi="ar"/>
              </w:rPr>
              <w:t>材质：主体板材采用白蜡木，水性漆处理。</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18</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单人沙发</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41. </w:t>
            </w:r>
            <w:r>
              <w:rPr>
                <w:rStyle w:val="39"/>
                <w:lang w:val="en-US" w:eastAsia="zh-CN" w:bidi="ar"/>
              </w:rPr>
              <w:t>（尺寸允许±10%偏离）尺寸：长710mm*宽850mm*高845mm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42. </w:t>
            </w:r>
            <w:r>
              <w:rPr>
                <w:rStyle w:val="40"/>
                <w:lang w:val="en-US" w:eastAsia="zh-CN" w:bidi="ar"/>
              </w:rPr>
              <w:t>材质：框架采用木质，水性漆处理。外采用布艺饰面，坐包采用海绵填充。</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19</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茶水柜</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43. </w:t>
            </w:r>
            <w:r>
              <w:rPr>
                <w:rStyle w:val="39"/>
                <w:lang w:val="en-US" w:eastAsia="zh-CN" w:bidi="ar"/>
              </w:rPr>
              <w:t>（尺寸允许±10%偏离）尺寸：长784mm*宽393mm*高628mm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44. </w:t>
            </w:r>
            <w:r>
              <w:rPr>
                <w:rStyle w:val="40"/>
                <w:lang w:val="en-US" w:eastAsia="zh-CN" w:bidi="ar"/>
              </w:rPr>
              <w:t>材质：主体板材采用白蜡木，水性漆处理。</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20</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边柜</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45. </w:t>
            </w:r>
            <w:r>
              <w:rPr>
                <w:rStyle w:val="39"/>
                <w:lang w:val="en-US" w:eastAsia="zh-CN" w:bidi="ar"/>
              </w:rPr>
              <w:t>（尺寸允许±10%偏离）尺寸：长380mm*宽500mm*高578mm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46. </w:t>
            </w:r>
            <w:r>
              <w:rPr>
                <w:rStyle w:val="40"/>
                <w:lang w:val="en-US" w:eastAsia="zh-CN" w:bidi="ar"/>
              </w:rPr>
              <w:t>材质：主体板材采用白蜡木，水性漆处理。</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21</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10人圆桌</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47. </w:t>
            </w:r>
            <w:r>
              <w:rPr>
                <w:rStyle w:val="39"/>
                <w:lang w:val="en-US" w:eastAsia="zh-CN" w:bidi="ar"/>
              </w:rPr>
              <w:t>（尺寸允许±10%偏离）尺寸：直径2100mm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48. </w:t>
            </w:r>
            <w:r>
              <w:rPr>
                <w:rStyle w:val="40"/>
                <w:lang w:val="en-US" w:eastAsia="zh-CN" w:bidi="ar"/>
              </w:rPr>
              <w:t>材质：桌面采用岩板材质，桌盘带电动摇控装置。</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22</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餐椅</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49. </w:t>
            </w:r>
            <w:r>
              <w:rPr>
                <w:rStyle w:val="39"/>
                <w:lang w:val="en-US" w:eastAsia="zh-CN" w:bidi="ar"/>
              </w:rPr>
              <w:t>（尺寸允许±10%偏离）尺寸：长550mm*宽480mm*高820mm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50. </w:t>
            </w:r>
            <w:r>
              <w:rPr>
                <w:rStyle w:val="40"/>
                <w:lang w:val="en-US" w:eastAsia="zh-CN" w:bidi="ar"/>
              </w:rPr>
              <w:t>材质：坐垫及靠背采用皮质或布面，内板+高密度定型海绵，白腊木木脚，</w:t>
            </w:r>
            <w:r>
              <w:rPr>
                <w:rStyle w:val="39"/>
                <w:lang w:val="en-US" w:eastAsia="zh-CN" w:bidi="ar"/>
              </w:rPr>
              <w:t>水性</w:t>
            </w:r>
            <w:r>
              <w:rPr>
                <w:rStyle w:val="40"/>
                <w:lang w:val="en-US" w:eastAsia="zh-CN" w:bidi="ar"/>
              </w:rPr>
              <w:t>漆处理。</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23</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餐边柜</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51. </w:t>
            </w:r>
            <w:r>
              <w:rPr>
                <w:rStyle w:val="39"/>
                <w:lang w:val="en-US" w:eastAsia="zh-CN" w:bidi="ar"/>
              </w:rPr>
              <w:t>（尺寸允许±</w:t>
            </w:r>
            <w:r>
              <w:rPr>
                <w:rStyle w:val="40"/>
                <w:lang w:val="en-US" w:eastAsia="zh-CN" w:bidi="ar"/>
              </w:rPr>
              <w:t>10</w:t>
            </w:r>
            <w:r>
              <w:rPr>
                <w:rStyle w:val="39"/>
                <w:lang w:val="en-US" w:eastAsia="zh-CN" w:bidi="ar"/>
              </w:rPr>
              <w:t>%偏离）尺寸：长1200mm*宽400mm*高810mm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52. </w:t>
            </w:r>
            <w:r>
              <w:rPr>
                <w:rStyle w:val="40"/>
                <w:lang w:val="en-US" w:eastAsia="zh-CN" w:bidi="ar"/>
              </w:rPr>
              <w:t>材质：</w:t>
            </w:r>
            <w:r>
              <w:rPr>
                <w:rStyle w:val="39"/>
                <w:lang w:val="en-US" w:eastAsia="zh-CN" w:bidi="ar"/>
              </w:rPr>
              <w:t>主体</w:t>
            </w:r>
            <w:r>
              <w:rPr>
                <w:rStyle w:val="40"/>
                <w:lang w:val="en-US" w:eastAsia="zh-CN" w:bidi="ar"/>
              </w:rPr>
              <w:t>板材采用白蜡木，水性漆处理。</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24</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空气消毒机</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53. </w:t>
            </w:r>
            <w:r>
              <w:rPr>
                <w:rStyle w:val="39"/>
                <w:lang w:val="en-US" w:eastAsia="zh-CN" w:bidi="ar"/>
              </w:rPr>
              <w:t>（尺寸允许±10%偏离）</w:t>
            </w:r>
            <w:r>
              <w:rPr>
                <w:rStyle w:val="40"/>
                <w:lang w:val="en-US" w:eastAsia="zh-CN" w:bidi="ar"/>
              </w:rPr>
              <w:t>规格：高1273mm*长635mm*宽338mm，</w:t>
            </w:r>
            <w:r>
              <w:rPr>
                <w:rStyle w:val="40"/>
                <w:rFonts w:hint="eastAsia" w:ascii="宋体" w:hAnsi="宋体" w:eastAsia="宋体" w:cs="宋体"/>
                <w:lang w:val="en-US" w:eastAsia="zh-CN" w:bidi="ar"/>
              </w:rPr>
              <w:t>4.3英寸触控彩屏，实时检测及显示PM2.5指标。</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54. </w:t>
            </w:r>
            <w:r>
              <w:rPr>
                <w:rStyle w:val="40"/>
                <w:lang w:val="en-US" w:eastAsia="zh-CN" w:bidi="ar"/>
              </w:rPr>
              <w:t>技术要求：产品具有消毒杀菌、净化功能，配有万向轮；双重毒、杀菌技术，有效杀灭细菌、流感病毒；双重净化技术，有效去除国空气中异味、甲醛、颗粒物污染物；风道</w:t>
            </w:r>
            <w:r>
              <w:rPr>
                <w:rStyle w:val="39"/>
                <w:lang w:val="en-US" w:eastAsia="zh-CN" w:bidi="ar"/>
              </w:rPr>
              <w:t>设计</w:t>
            </w:r>
            <w:r>
              <w:rPr>
                <w:rStyle w:val="40"/>
                <w:lang w:val="en-US" w:eastAsia="zh-CN" w:bidi="ar"/>
              </w:rPr>
              <w:t>先消毒再净化，避免细菌、病毒在滤网上滋生，再次传染；净化先吸附再过滤，避免碳粉脱落，</w:t>
            </w:r>
            <w:r>
              <w:rPr>
                <w:rStyle w:val="40"/>
                <w:rFonts w:ascii="宋体" w:hAnsi="宋体" w:eastAsia="宋体" w:cs="宋体"/>
                <w:lang w:val="en-US" w:eastAsia="zh-CN" w:bidi="ar"/>
              </w:rPr>
              <w:t>二次污染；内置PM2.5传感器，实施监测空气中PM2.5数值。</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55.</w:t>
            </w:r>
            <w:r>
              <w:rPr>
                <w:rFonts w:hint="eastAsia" w:ascii="宋体" w:hAnsi="宋体" w:eastAsia="宋体" w:cs="宋体"/>
                <w:i w:val="0"/>
                <w:iCs w:val="0"/>
                <w:color w:val="000000"/>
                <w:kern w:val="0"/>
                <w:sz w:val="24"/>
                <w:szCs w:val="24"/>
                <w:highlight w:val="none"/>
                <w:u w:val="none"/>
                <w:lang w:val="en-US" w:eastAsia="zh-CN" w:bidi="ar"/>
              </w:rPr>
              <w:t xml:space="preserve"> </w:t>
            </w:r>
            <w:r>
              <w:rPr>
                <w:rStyle w:val="41"/>
                <w:highlight w:val="none"/>
                <w:lang w:val="en-US" w:eastAsia="zh-CN" w:bidi="ar"/>
              </w:rPr>
              <w:t>▲空气消毒效果现场试验：在20M</w:t>
            </w:r>
            <w:r>
              <w:rPr>
                <w:rStyle w:val="41"/>
                <w:sz w:val="24"/>
                <w:highlight w:val="none"/>
                <w:vertAlign w:val="superscript"/>
                <w:lang w:val="en-US" w:eastAsia="zh-CN" w:bidi="ar"/>
              </w:rPr>
              <w:t>3</w:t>
            </w:r>
            <w:r>
              <w:rPr>
                <w:rStyle w:val="41"/>
                <w:highlight w:val="none"/>
                <w:lang w:val="en-US" w:eastAsia="zh-CN" w:bidi="ar"/>
              </w:rPr>
              <w:t>试空间内，开启样机杀菌功能和量大风速作用2h，试验重复3次，空气中自然茵消亡率应大于90%，空气消毒效果模拟现场试验，在10m</w:t>
            </w:r>
            <w:r>
              <w:rPr>
                <w:rStyle w:val="41"/>
                <w:sz w:val="24"/>
                <w:highlight w:val="none"/>
                <w:vertAlign w:val="superscript"/>
                <w:lang w:val="en-US" w:eastAsia="zh-CN" w:bidi="ar"/>
              </w:rPr>
              <w:t>3</w:t>
            </w:r>
            <w:r>
              <w:rPr>
                <w:rStyle w:val="41"/>
                <w:highlight w:val="none"/>
                <w:lang w:val="en-US" w:eastAsia="zh-CN" w:bidi="ar"/>
              </w:rPr>
              <w:t>试验空间内，开启样机杀菌功能和量大风速作用2h，试验重复3次，空气中白色葡萄球菌杀灭率应≧99.9%；紫外线泄漏量强度测试，在装置周边30cm处紫外线泄漏量强度应≤5μW/cm</w:t>
            </w:r>
            <w:r>
              <w:rPr>
                <w:rStyle w:val="41"/>
                <w:sz w:val="24"/>
                <w:highlight w:val="none"/>
                <w:vertAlign w:val="superscript"/>
                <w:lang w:val="en-US" w:eastAsia="zh-CN" w:bidi="ar"/>
              </w:rPr>
              <w:t>2</w:t>
            </w:r>
            <w:r>
              <w:rPr>
                <w:rStyle w:val="41"/>
                <w:highlight w:val="none"/>
                <w:lang w:val="en-US" w:eastAsia="zh-CN" w:bidi="ar"/>
              </w:rPr>
              <w:t>。</w:t>
            </w:r>
            <w:r>
              <w:rPr>
                <w:rStyle w:val="42"/>
                <w:highlight w:val="none"/>
                <w:lang w:val="en-US" w:eastAsia="zh-CN" w:bidi="ar"/>
              </w:rPr>
              <w:t>（投标时同时提供：①由第三方检验检测机构出具并加盖（或带有）CMA</w:t>
            </w:r>
            <w:r>
              <w:rPr>
                <w:rStyle w:val="42"/>
                <w:rFonts w:hint="eastAsia"/>
                <w:highlight w:val="none"/>
                <w:lang w:val="en-US" w:eastAsia="zh-CN" w:bidi="ar"/>
              </w:rPr>
              <w:t>及CNAS</w:t>
            </w:r>
            <w:r>
              <w:rPr>
                <w:rStyle w:val="42"/>
                <w:highlight w:val="none"/>
                <w:lang w:val="en-US" w:eastAsia="zh-CN" w:bidi="ar"/>
              </w:rPr>
              <w:t>标志的检验检测报告扫描件，原件备查；②上述检验检测报告在全国认证认可</w:t>
            </w:r>
            <w:r>
              <w:rPr>
                <w:rStyle w:val="42"/>
                <w:lang w:val="en-US" w:eastAsia="zh-CN" w:bidi="ar"/>
              </w:rPr>
              <w:t>信息公共服务平台（认e云）（http://cx.cnca.cn/）的信息查询记录截图。注：对应参数（检验检测项）在检验检测报告中进行标注。如检验检测报告中明确备注说明相关检验检测项不在检验检测机构</w:t>
            </w:r>
            <w:r>
              <w:rPr>
                <w:rStyle w:val="42"/>
                <w:highlight w:val="none"/>
                <w:lang w:val="en-US" w:eastAsia="zh-CN" w:bidi="ar"/>
              </w:rPr>
              <w:t>CMA</w:t>
            </w:r>
            <w:r>
              <w:rPr>
                <w:rStyle w:val="42"/>
                <w:rFonts w:hint="eastAsia"/>
                <w:highlight w:val="none"/>
                <w:lang w:val="en-US" w:eastAsia="zh-CN" w:bidi="ar"/>
              </w:rPr>
              <w:t>及CNAS</w:t>
            </w:r>
            <w:r>
              <w:rPr>
                <w:rStyle w:val="42"/>
                <w:lang w:val="en-US" w:eastAsia="zh-CN" w:bidi="ar"/>
              </w:rPr>
              <w:t>资质许可（认定）范围内的，不符合招标文件要求。）</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25</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屏风1</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56. </w:t>
            </w:r>
            <w:r>
              <w:rPr>
                <w:rStyle w:val="39"/>
                <w:lang w:val="en-US" w:eastAsia="zh-CN" w:bidi="ar"/>
              </w:rPr>
              <w:t>（尺寸允许±</w:t>
            </w:r>
            <w:r>
              <w:rPr>
                <w:rStyle w:val="40"/>
                <w:lang w:val="en-US" w:eastAsia="zh-CN" w:bidi="ar"/>
              </w:rPr>
              <w:t>10</w:t>
            </w:r>
            <w:r>
              <w:rPr>
                <w:rStyle w:val="39"/>
                <w:lang w:val="en-US" w:eastAsia="zh-CN" w:bidi="ar"/>
              </w:rPr>
              <w:t>%偏离）尺寸：</w:t>
            </w:r>
            <w:r>
              <w:rPr>
                <w:rStyle w:val="40"/>
                <w:lang w:val="en-US" w:eastAsia="zh-CN" w:bidi="ar"/>
              </w:rPr>
              <w:t>长4800mm*高2600mm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57.材质：铝型材边框、木饰面板内夹隔音材料</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restart"/>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26</w:t>
            </w:r>
          </w:p>
        </w:tc>
        <w:tc>
          <w:tcPr>
            <w:tcW w:w="829" w:type="dxa"/>
            <w:vMerge w:val="restart"/>
            <w:vAlign w:val="center"/>
          </w:tcPr>
          <w:p>
            <w:pPr>
              <w:keepNext w:val="0"/>
              <w:keepLines w:val="0"/>
              <w:widowControl/>
              <w:suppressLineNumbers w:val="0"/>
              <w:jc w:val="center"/>
              <w:textAlignment w:val="center"/>
              <w:rPr>
                <w:color w:val="000000" w:themeColor="text1"/>
                <w:szCs w:val="21"/>
              </w:rPr>
            </w:pPr>
            <w:r>
              <w:rPr>
                <w:rFonts w:hint="eastAsia" w:ascii="宋体" w:hAnsi="宋体" w:eastAsia="宋体" w:cs="宋体"/>
                <w:i w:val="0"/>
                <w:iCs w:val="0"/>
                <w:color w:val="000000"/>
                <w:kern w:val="0"/>
                <w:sz w:val="24"/>
                <w:szCs w:val="24"/>
                <w:u w:val="none"/>
                <w:lang w:val="en-US" w:eastAsia="zh-CN" w:bidi="ar"/>
              </w:rPr>
              <w:t>屏风2</w:t>
            </w: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 xml:space="preserve">58. </w:t>
            </w:r>
            <w:r>
              <w:rPr>
                <w:rStyle w:val="39"/>
                <w:lang w:val="en-US" w:eastAsia="zh-CN" w:bidi="ar"/>
              </w:rPr>
              <w:t>（尺寸允许±</w:t>
            </w:r>
            <w:r>
              <w:rPr>
                <w:rStyle w:val="40"/>
                <w:lang w:val="en-US" w:eastAsia="zh-CN" w:bidi="ar"/>
              </w:rPr>
              <w:t>10</w:t>
            </w:r>
            <w:r>
              <w:rPr>
                <w:rStyle w:val="39"/>
                <w:lang w:val="en-US" w:eastAsia="zh-CN" w:bidi="ar"/>
              </w:rPr>
              <w:t>%偏离）尺寸：</w:t>
            </w:r>
            <w:r>
              <w:rPr>
                <w:rStyle w:val="40"/>
                <w:lang w:val="en-US" w:eastAsia="zh-CN" w:bidi="ar"/>
              </w:rPr>
              <w:t>长8800mm*高2600mm</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624" w:type="dxa"/>
            <w:vMerge w:val="continue"/>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p>
        </w:tc>
        <w:tc>
          <w:tcPr>
            <w:tcW w:w="829" w:type="dxa"/>
            <w:vMerge w:val="continue"/>
            <w:vAlign w:val="center"/>
          </w:tcPr>
          <w:p>
            <w:pPr>
              <w:jc w:val="center"/>
              <w:rPr>
                <w:color w:val="000000" w:themeColor="text1"/>
                <w:szCs w:val="21"/>
              </w:rPr>
            </w:pPr>
          </w:p>
        </w:tc>
        <w:tc>
          <w:tcPr>
            <w:tcW w:w="5513" w:type="dxa"/>
            <w:vAlign w:val="center"/>
          </w:tcPr>
          <w:p>
            <w:pPr>
              <w:keepNext w:val="0"/>
              <w:keepLines w:val="0"/>
              <w:widowControl/>
              <w:suppressLineNumbers w:val="0"/>
              <w:jc w:val="left"/>
              <w:textAlignment w:val="center"/>
              <w:rPr>
                <w:rFonts w:hint="eastAsia" w:eastAsia="宋体"/>
                <w:lang w:val="en-US" w:eastAsia="zh-CN"/>
              </w:rPr>
            </w:pPr>
            <w:r>
              <w:rPr>
                <w:rFonts w:hint="eastAsia" w:ascii="宋体" w:hAnsi="宋体" w:eastAsia="宋体" w:cs="宋体"/>
                <w:i w:val="0"/>
                <w:iCs w:val="0"/>
                <w:color w:val="000000"/>
                <w:kern w:val="0"/>
                <w:sz w:val="24"/>
                <w:szCs w:val="24"/>
                <w:u w:val="none"/>
                <w:lang w:val="en-US" w:eastAsia="zh-CN" w:bidi="ar"/>
              </w:rPr>
              <w:t>59.材质：铝型材边框、木饰面板内夹隔音材料</w:t>
            </w:r>
          </w:p>
        </w:tc>
        <w:tc>
          <w:tcPr>
            <w:tcW w:w="105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701"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c>
          <w:tcPr>
            <w:tcW w:w="538" w:type="dxa"/>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u w:val="none"/>
                <w:lang w:val="en-US" w:eastAsia="zh-CN" w:bidi="ar"/>
              </w:rPr>
            </w:pPr>
          </w:p>
        </w:tc>
      </w:tr>
    </w:tbl>
    <w:p>
      <w:pPr>
        <w:pStyle w:val="2"/>
        <w:rPr>
          <w:sz w:val="24"/>
        </w:rPr>
      </w:pPr>
    </w:p>
    <w:p>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67" w:name="_Hlk72095977"/>
      <w:r>
        <w:rPr>
          <w:rFonts w:hint="eastAsia"/>
          <w:sz w:val="21"/>
          <w:szCs w:val="21"/>
        </w:rPr>
        <w:t>证明资料【如有的话，提供的证明资料应统一编号（排序），格式自定】</w:t>
      </w:r>
      <w:bookmarkEnd w:id="67"/>
      <w:r>
        <w:rPr>
          <w:rFonts w:hint="eastAsia"/>
          <w:sz w:val="21"/>
          <w:szCs w:val="21"/>
        </w:rPr>
        <w:t>：</w:t>
      </w: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68" w:name="_Hlk72094407"/>
      <w:r>
        <w:rPr>
          <w:rFonts w:hint="eastAsia"/>
          <w:b w:val="0"/>
          <w:bCs/>
          <w:sz w:val="21"/>
          <w:szCs w:val="21"/>
        </w:rPr>
        <w:t>对应“用户需求书”中的“技术要求”章节</w:t>
      </w:r>
      <w:bookmarkEnd w:id="68"/>
      <w:r>
        <w:rPr>
          <w:rFonts w:hint="eastAsia"/>
          <w:b w:val="0"/>
          <w:bCs/>
          <w:sz w:val="21"/>
          <w:szCs w:val="21"/>
        </w:rPr>
        <w:t>相关内容。</w:t>
      </w:r>
    </w:p>
    <w:p>
      <w:pPr>
        <w:pStyle w:val="16"/>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69" w:name="_Hlk72158270"/>
      <w:r>
        <w:rPr>
          <w:rFonts w:hint="eastAsia"/>
          <w:b w:val="0"/>
          <w:bCs/>
          <w:sz w:val="21"/>
          <w:szCs w:val="21"/>
        </w:rPr>
        <w:t>“偏离情况”</w:t>
      </w:r>
      <w:bookmarkEnd w:id="69"/>
      <w:r>
        <w:rPr>
          <w:rFonts w:hint="eastAsia"/>
          <w:b w:val="0"/>
          <w:bCs/>
          <w:sz w:val="21"/>
          <w:szCs w:val="21"/>
        </w:rPr>
        <w:t>一栏填写如实填写“正偏离”、“负偏离”或“无偏离”，其中：</w:t>
      </w:r>
      <w:bookmarkStart w:id="70" w:name="_Hlk72093866"/>
      <w:r>
        <w:rPr>
          <w:rFonts w:hint="eastAsia"/>
          <w:b w:val="0"/>
          <w:bCs/>
          <w:sz w:val="21"/>
          <w:szCs w:val="21"/>
        </w:rPr>
        <w:t>“正偏离”表示“投标响应优于招标技术要求”，“负偏离”表示“投标响应不满足招标技术要求”，“无偏离”表示“投标响应与招标技术要求一致”</w:t>
      </w:r>
      <w:bookmarkEnd w:id="70"/>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pPr>
        <w:ind w:firstLine="420" w:firstLineChars="200"/>
        <w:rPr>
          <w:b w:val="0"/>
          <w:bCs/>
          <w:sz w:val="21"/>
          <w:szCs w:val="21"/>
        </w:rPr>
      </w:pPr>
      <w:r>
        <w:rPr>
          <w:rFonts w:hint="eastAsia"/>
          <w:b w:val="0"/>
          <w:bCs/>
          <w:sz w:val="21"/>
          <w:szCs w:val="21"/>
        </w:rPr>
        <w:t>5、</w:t>
      </w:r>
      <w:bookmarkStart w:id="71" w:name="_Hlk72096106"/>
      <w:r>
        <w:rPr>
          <w:rFonts w:hint="eastAsia"/>
          <w:b w:val="0"/>
          <w:bCs/>
          <w:sz w:val="21"/>
          <w:szCs w:val="21"/>
        </w:rPr>
        <w:t>证明资料条款响应要求</w:t>
      </w:r>
      <w:bookmarkEnd w:id="71"/>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72"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73" w:name="_Hlk73558164"/>
      <w:r>
        <w:rPr>
          <w:rFonts w:hint="eastAsia"/>
          <w:b w:val="0"/>
          <w:bCs/>
          <w:sz w:val="21"/>
          <w:szCs w:val="21"/>
        </w:rPr>
        <w:t>且投标人在“偏离情况”一栏响应为“正偏离”或“无偏离”的，经评审委员会认定，将判定为负偏离。</w:t>
      </w:r>
      <w:bookmarkEnd w:id="72"/>
      <w:bookmarkEnd w:id="73"/>
    </w:p>
    <w:p>
      <w:pPr>
        <w:ind w:firstLine="420" w:firstLineChars="200"/>
        <w:rPr>
          <w:b w:val="0"/>
          <w:bCs/>
          <w:sz w:val="21"/>
          <w:szCs w:val="21"/>
        </w:rPr>
      </w:pPr>
      <w:r>
        <w:rPr>
          <w:rFonts w:hint="eastAsia"/>
          <w:b w:val="0"/>
          <w:bCs/>
          <w:sz w:val="21"/>
          <w:szCs w:val="21"/>
        </w:rPr>
        <w:t>6、</w:t>
      </w:r>
      <w:bookmarkStart w:id="74" w:name="_Hlk72096137"/>
      <w:r>
        <w:rPr>
          <w:rFonts w:hint="eastAsia"/>
          <w:b w:val="0"/>
          <w:bCs/>
          <w:sz w:val="21"/>
          <w:szCs w:val="21"/>
        </w:rPr>
        <w:t>表后“证明资料”部分内容的编制</w:t>
      </w:r>
      <w:bookmarkEnd w:id="74"/>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75" w:name="_Hlk73558180"/>
      <w:r>
        <w:rPr>
          <w:rFonts w:hint="eastAsia"/>
          <w:b w:val="0"/>
          <w:bCs/>
          <w:sz w:val="21"/>
          <w:szCs w:val="21"/>
        </w:rPr>
        <w:t>未按照招标文件要求在表后放置证明材料的供应商将承担不利后果，经评审委员会认定，相关技术要求将判定为负偏离。</w:t>
      </w:r>
      <w:bookmarkEnd w:id="75"/>
    </w:p>
    <w:p>
      <w:pPr>
        <w:ind w:firstLine="420" w:firstLineChars="200"/>
        <w:rPr>
          <w:b w:val="0"/>
          <w:bCs/>
          <w:sz w:val="21"/>
          <w:szCs w:val="21"/>
        </w:rPr>
      </w:pPr>
      <w:r>
        <w:rPr>
          <w:rFonts w:hint="eastAsia"/>
          <w:b w:val="0"/>
          <w:bCs/>
          <w:sz w:val="21"/>
          <w:szCs w:val="21"/>
        </w:rPr>
        <w:t>7、</w:t>
      </w:r>
      <w:bookmarkStart w:id="76" w:name="_Hlk72096176"/>
      <w:r>
        <w:rPr>
          <w:rFonts w:hint="eastAsia"/>
          <w:b w:val="0"/>
          <w:bCs/>
          <w:sz w:val="21"/>
          <w:szCs w:val="21"/>
        </w:rPr>
        <w:t>证明资料的形式及其它具体要求</w:t>
      </w:r>
      <w:bookmarkEnd w:id="76"/>
      <w:r>
        <w:rPr>
          <w:rFonts w:hint="eastAsia"/>
          <w:b w:val="0"/>
          <w:bCs/>
          <w:sz w:val="21"/>
          <w:szCs w:val="21"/>
        </w:rPr>
        <w:t>：</w:t>
      </w:r>
    </w:p>
    <w:p>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pPr>
        <w:ind w:firstLine="420" w:firstLineChars="200"/>
        <w:rPr>
          <w:b w:val="0"/>
          <w:bCs/>
          <w:sz w:val="21"/>
          <w:szCs w:val="21"/>
        </w:rPr>
      </w:pPr>
      <w:r>
        <w:rPr>
          <w:rFonts w:hint="eastAsia"/>
          <w:b w:val="0"/>
          <w:bCs/>
          <w:sz w:val="21"/>
          <w:szCs w:val="21"/>
        </w:rPr>
        <w:t>其它证明资料的形式要求参照以上要求执行；</w:t>
      </w:r>
    </w:p>
    <w:p>
      <w:pPr>
        <w:ind w:firstLine="420" w:firstLineChars="200"/>
        <w:rPr>
          <w:b w:val="0"/>
          <w:bCs/>
          <w:sz w:val="21"/>
          <w:szCs w:val="21"/>
        </w:rPr>
      </w:pPr>
      <w:r>
        <w:rPr>
          <w:rFonts w:hint="eastAsia"/>
          <w:b w:val="0"/>
          <w:bCs/>
          <w:sz w:val="21"/>
          <w:szCs w:val="21"/>
        </w:rPr>
        <w:t>（4）证明资料均要求原件备查。</w:t>
      </w:r>
    </w:p>
    <w:p>
      <w:pPr>
        <w:ind w:firstLine="420" w:firstLineChars="200"/>
        <w:rPr>
          <w:b w:val="0"/>
          <w:bCs/>
          <w:sz w:val="21"/>
          <w:szCs w:val="21"/>
        </w:rPr>
      </w:pPr>
      <w:r>
        <w:rPr>
          <w:rFonts w:hint="eastAsia"/>
          <w:b w:val="0"/>
          <w:bCs/>
          <w:sz w:val="21"/>
          <w:szCs w:val="21"/>
        </w:rPr>
        <w:t>8、其它注意事项：</w:t>
      </w:r>
    </w:p>
    <w:p>
      <w:pPr>
        <w:ind w:firstLine="420" w:firstLineChars="200"/>
        <w:rPr>
          <w:b w:val="0"/>
          <w:bCs/>
          <w:sz w:val="21"/>
          <w:szCs w:val="21"/>
        </w:rPr>
      </w:pPr>
      <w:r>
        <w:rPr>
          <w:rFonts w:hint="eastAsia"/>
          <w:b w:val="0"/>
          <w:bCs/>
          <w:sz w:val="21"/>
          <w:szCs w:val="21"/>
        </w:rPr>
        <w:t>（1）评审委员会有权对投标人的响应情况作出判断（评审结论）；</w:t>
      </w:r>
    </w:p>
    <w:p>
      <w:pPr>
        <w:ind w:firstLine="420" w:firstLineChars="200"/>
        <w:rPr>
          <w:b w:val="0"/>
          <w:bCs/>
          <w:sz w:val="21"/>
          <w:szCs w:val="21"/>
        </w:rPr>
      </w:pPr>
      <w:r>
        <w:rPr>
          <w:rFonts w:hint="eastAsia"/>
          <w:b w:val="0"/>
          <w:bCs/>
          <w:sz w:val="21"/>
          <w:szCs w:val="21"/>
        </w:rPr>
        <w:t>（2）</w:t>
      </w:r>
      <w:bookmarkStart w:id="77"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77"/>
    </w:p>
    <w:p>
      <w:pPr>
        <w:ind w:firstLine="482" w:firstLineChars="200"/>
        <w:rPr>
          <w:b/>
          <w:sz w:val="24"/>
        </w:rPr>
      </w:pPr>
    </w:p>
    <w:p>
      <w:pPr>
        <w:rPr>
          <w:sz w:val="24"/>
        </w:rPr>
      </w:pPr>
    </w:p>
    <w:p>
      <w:pPr>
        <w:pStyle w:val="4"/>
        <w:jc w:val="center"/>
        <w:rPr>
          <w:rFonts w:hint="eastAsia" w:ascii="黑体" w:hAnsi="宋体" w:eastAsia="黑体"/>
          <w:b w:val="0"/>
          <w:bCs w:val="0"/>
          <w:sz w:val="24"/>
          <w:szCs w:val="20"/>
          <w:lang w:val="en-US" w:eastAsia="zh-CN"/>
        </w:rPr>
      </w:pPr>
      <w:r>
        <w:rPr>
          <w:rFonts w:hint="eastAsia" w:ascii="黑体" w:hAnsi="宋体" w:eastAsia="黑体"/>
          <w:b w:val="0"/>
          <w:bCs w:val="0"/>
          <w:sz w:val="24"/>
          <w:szCs w:val="20"/>
          <w:lang w:val="en-US" w:eastAsia="zh-CN"/>
        </w:rPr>
        <w:t>六、政府采购节能环保产品</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4"/>
        <w:jc w:val="center"/>
        <w:rPr>
          <w:rFonts w:hint="eastAsia" w:ascii="黑体" w:hAnsi="宋体" w:eastAsia="黑体"/>
          <w:b w:val="0"/>
          <w:bCs w:val="0"/>
          <w:sz w:val="24"/>
          <w:szCs w:val="20"/>
          <w:lang w:val="en-US" w:eastAsia="zh-CN"/>
        </w:rPr>
      </w:pPr>
      <w:r>
        <w:rPr>
          <w:rFonts w:hint="eastAsia" w:ascii="黑体" w:hAnsi="宋体" w:eastAsia="黑体"/>
          <w:b w:val="0"/>
          <w:bCs w:val="0"/>
          <w:sz w:val="24"/>
          <w:szCs w:val="20"/>
          <w:lang w:val="en-US" w:eastAsia="zh-CN"/>
        </w:rPr>
        <w:t>七、绿色采购情况</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4"/>
        <w:jc w:val="center"/>
        <w:rPr>
          <w:rFonts w:hint="eastAsia" w:ascii="黑体" w:hAnsi="宋体" w:eastAsia="黑体"/>
          <w:b w:val="0"/>
          <w:bCs w:val="0"/>
          <w:sz w:val="24"/>
          <w:szCs w:val="20"/>
          <w:lang w:val="en-US" w:eastAsia="zh-CN"/>
        </w:rPr>
      </w:pPr>
      <w:r>
        <w:rPr>
          <w:rFonts w:hint="eastAsia" w:ascii="黑体" w:hAnsi="宋体" w:eastAsia="黑体"/>
          <w:b w:val="0"/>
          <w:bCs w:val="0"/>
          <w:sz w:val="24"/>
          <w:szCs w:val="20"/>
          <w:lang w:val="en-US" w:eastAsia="zh-CN"/>
        </w:rPr>
        <w:t>八、项目组织实施方案的评价</w:t>
      </w:r>
    </w:p>
    <w:p>
      <w:pPr>
        <w:pStyle w:val="7"/>
        <w:ind w:firstLine="0"/>
        <w:rPr>
          <w:rFonts w:hint="eastAsia" w:ascii="黑体" w:hAnsi="宋体" w:eastAsia="黑体"/>
          <w:b w:val="0"/>
          <w:bCs w:val="0"/>
          <w:sz w:val="24"/>
          <w:szCs w:val="20"/>
          <w:lang w:val="en-US" w:eastAsia="zh-CN"/>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4"/>
        <w:jc w:val="center"/>
        <w:rPr>
          <w:rFonts w:hint="eastAsia" w:ascii="黑体" w:hAnsi="宋体" w:eastAsia="黑体"/>
          <w:b w:val="0"/>
          <w:bCs w:val="0"/>
          <w:sz w:val="24"/>
          <w:szCs w:val="20"/>
          <w:lang w:val="en-US" w:eastAsia="zh-CN"/>
        </w:rPr>
      </w:pPr>
      <w:r>
        <w:rPr>
          <w:rFonts w:hint="eastAsia" w:ascii="黑体" w:hAnsi="宋体" w:eastAsia="黑体"/>
          <w:b w:val="0"/>
          <w:bCs w:val="0"/>
          <w:sz w:val="24"/>
          <w:szCs w:val="20"/>
          <w:lang w:val="en-US" w:eastAsia="zh-CN"/>
        </w:rPr>
        <w:t>九、设计图评价</w:t>
      </w:r>
    </w:p>
    <w:p>
      <w:pPr>
        <w:pStyle w:val="7"/>
        <w:ind w:firstLine="0"/>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pStyle w:val="4"/>
        <w:jc w:val="center"/>
        <w:rPr>
          <w:rFonts w:hint="eastAsia" w:ascii="黑体" w:hAnsi="宋体" w:eastAsia="黑体"/>
          <w:b w:val="0"/>
          <w:bCs w:val="0"/>
          <w:sz w:val="24"/>
          <w:szCs w:val="20"/>
          <w:lang w:val="en-US" w:eastAsia="zh-CN"/>
        </w:rPr>
      </w:pPr>
      <w:r>
        <w:rPr>
          <w:rFonts w:hint="eastAsia" w:ascii="黑体" w:hAnsi="宋体" w:eastAsia="黑体"/>
          <w:b w:val="0"/>
          <w:bCs w:val="0"/>
          <w:sz w:val="24"/>
          <w:szCs w:val="20"/>
          <w:lang w:val="en-US" w:eastAsia="zh-CN"/>
        </w:rPr>
        <w:t>十、售后服务评价</w:t>
      </w:r>
    </w:p>
    <w:p>
      <w:pPr>
        <w:pStyle w:val="7"/>
        <w:ind w:firstLine="0"/>
        <w:rPr>
          <w:rFonts w:asciiTheme="minorEastAsia" w:hAnsiTheme="minorEastAsia" w:eastAsiaTheme="minorEastAsia" w:cstheme="minorEastAsia"/>
          <w:color w:val="FF0000"/>
          <w:sz w:val="24"/>
        </w:rPr>
      </w:pPr>
      <w:bookmarkStart w:id="78" w:name="_Hlk72260576"/>
      <w:r>
        <w:rPr>
          <w:rFonts w:hint="eastAsia" w:asciiTheme="minorEastAsia" w:hAnsiTheme="minorEastAsia" w:eastAsiaTheme="minorEastAsia" w:cstheme="minorEastAsia"/>
          <w:color w:val="FF0000"/>
          <w:sz w:val="24"/>
        </w:rPr>
        <w:t>（特别提示：投标人须按本招标文件评标信息中这一评审因素要求，提供证明资料）</w:t>
      </w:r>
    </w:p>
    <w:p>
      <w:pPr>
        <w:ind w:left="420" w:leftChars="200" w:firstLine="210" w:firstLineChars="100"/>
        <w:rPr>
          <w:rFonts w:hint="default"/>
          <w:lang w:val="en-US" w:eastAsia="zh-CN"/>
        </w:rPr>
      </w:pPr>
    </w:p>
    <w:p>
      <w:pPr>
        <w:jc w:val="center"/>
        <w:rPr>
          <w:b/>
          <w:bCs/>
          <w:sz w:val="24"/>
        </w:rPr>
      </w:pPr>
    </w:p>
    <w:p>
      <w:pPr>
        <w:pStyle w:val="4"/>
        <w:jc w:val="center"/>
        <w:rPr>
          <w:rFonts w:ascii="黑体" w:eastAsia="黑体"/>
          <w:b w:val="0"/>
          <w:bCs w:val="0"/>
          <w:sz w:val="24"/>
          <w:szCs w:val="20"/>
        </w:rPr>
      </w:pPr>
      <w:r>
        <w:rPr>
          <w:rFonts w:hint="eastAsia" w:ascii="黑体" w:eastAsia="黑体"/>
          <w:b w:val="0"/>
          <w:bCs w:val="0"/>
          <w:sz w:val="24"/>
          <w:szCs w:val="20"/>
          <w:lang w:val="en-US" w:eastAsia="zh-CN"/>
        </w:rPr>
        <w:t>十一</w:t>
      </w:r>
      <w:r>
        <w:rPr>
          <w:rFonts w:hint="eastAsia" w:ascii="黑体" w:eastAsia="黑体"/>
          <w:b w:val="0"/>
          <w:bCs w:val="0"/>
          <w:sz w:val="24"/>
          <w:szCs w:val="20"/>
        </w:rPr>
        <w:t>、</w:t>
      </w:r>
      <w:bookmarkStart w:id="79" w:name="_Hlk72062872"/>
      <w:r>
        <w:rPr>
          <w:rFonts w:hint="eastAsia" w:ascii="黑体" w:eastAsia="黑体"/>
          <w:b w:val="0"/>
          <w:bCs w:val="0"/>
          <w:sz w:val="24"/>
          <w:szCs w:val="20"/>
        </w:rPr>
        <w:t>投标人认为需要加以说明的其他内容</w:t>
      </w:r>
      <w:bookmarkEnd w:id="79"/>
    </w:p>
    <w:bookmarkEnd w:id="78"/>
    <w:p>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pPr>
        <w:widowControl/>
        <w:jc w:val="center"/>
        <w:rPr>
          <w:rFonts w:ascii="黑体" w:hAnsi="宋体" w:eastAsia="黑体"/>
          <w:kern w:val="0"/>
          <w:sz w:val="24"/>
          <w:szCs w:val="20"/>
        </w:rPr>
      </w:pPr>
    </w:p>
    <w:p>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pPr>
        <w:spacing w:beforeLines="0" w:line="380" w:lineRule="exact"/>
        <w:ind w:firstLine="420" w:firstLineChars="200"/>
        <w:rPr>
          <w:color w:val="auto"/>
        </w:rPr>
      </w:pPr>
      <w:r>
        <w:rPr>
          <w:rFonts w:hint="eastAsia"/>
          <w:color w:val="auto"/>
        </w:rPr>
        <w:t>（三）项目负责人或者主要技术人员不是本单位人员的。</w:t>
      </w:r>
    </w:p>
    <w:p>
      <w:pPr>
        <w:spacing w:beforeLines="0" w:line="380" w:lineRule="exact"/>
        <w:ind w:firstLine="420" w:firstLineChars="200"/>
        <w:rPr>
          <w:color w:val="auto"/>
        </w:rPr>
      </w:pPr>
      <w:r>
        <w:rPr>
          <w:rFonts w:hint="eastAsia"/>
          <w:color w:val="auto"/>
        </w:rPr>
        <w:t>（四）投标保证金不是从投标供应商基本账户转出的。</w:t>
      </w:r>
    </w:p>
    <w:p>
      <w:pPr>
        <w:spacing w:beforeLines="0" w:line="380" w:lineRule="exact"/>
        <w:ind w:firstLine="420" w:firstLineChars="200"/>
        <w:rPr>
          <w:color w:val="auto"/>
        </w:rPr>
      </w:pPr>
      <w:r>
        <w:rPr>
          <w:rFonts w:hint="eastAsia"/>
          <w:color w:val="auto"/>
        </w:rPr>
        <w:t>（五）其他隐瞒真实情况、提供虚假资料的行为。</w:t>
      </w:r>
    </w:p>
    <w:p>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pPr>
        <w:spacing w:beforeLines="0" w:line="380" w:lineRule="exact"/>
        <w:ind w:firstLine="420" w:firstLineChars="200"/>
        <w:rPr>
          <w:color w:val="auto"/>
        </w:rPr>
      </w:pPr>
      <w:r>
        <w:rPr>
          <w:rFonts w:hint="eastAsia"/>
          <w:color w:val="auto"/>
        </w:rPr>
        <w:t>（一）投标供应商之间相互约定给予未中标的供应商利益补偿。</w:t>
      </w:r>
    </w:p>
    <w:p>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pPr>
        <w:spacing w:beforeLines="0" w:line="340" w:lineRule="exact"/>
        <w:ind w:firstLine="420" w:firstLineChars="200"/>
        <w:rPr>
          <w:color w:val="auto"/>
        </w:rPr>
      </w:pPr>
      <w:r>
        <w:rPr>
          <w:rFonts w:hint="eastAsia"/>
          <w:color w:val="auto"/>
        </w:rPr>
        <w:t>（四）不同投标供应商的投标文件或部分投标文件相互混装。</w:t>
      </w:r>
    </w:p>
    <w:p>
      <w:pPr>
        <w:spacing w:beforeLines="0" w:line="340" w:lineRule="exact"/>
        <w:ind w:firstLine="420" w:firstLineChars="200"/>
        <w:rPr>
          <w:color w:val="auto"/>
        </w:rPr>
      </w:pPr>
      <w:r>
        <w:rPr>
          <w:rFonts w:hint="eastAsia"/>
          <w:color w:val="auto"/>
        </w:rPr>
        <w:t>（五）不同投标供应商的投标文件内容存在非正常一致。</w:t>
      </w:r>
    </w:p>
    <w:p>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pPr>
        <w:spacing w:beforeLines="0" w:line="340" w:lineRule="exact"/>
        <w:ind w:firstLine="420" w:firstLineChars="200"/>
        <w:rPr>
          <w:color w:val="auto"/>
        </w:rPr>
      </w:pPr>
      <w:r>
        <w:rPr>
          <w:rFonts w:hint="eastAsia"/>
          <w:color w:val="auto"/>
        </w:rPr>
        <w:t>（七）不同投标人的投标报价呈规律性差异。</w:t>
      </w:r>
    </w:p>
    <w:p>
      <w:pPr>
        <w:spacing w:beforeLines="0" w:line="340" w:lineRule="exact"/>
        <w:ind w:firstLine="420" w:firstLineChars="200"/>
        <w:rPr>
          <w:color w:val="auto"/>
        </w:rPr>
      </w:pPr>
      <w:r>
        <w:rPr>
          <w:rFonts w:hint="eastAsia"/>
          <w:color w:val="auto"/>
        </w:rPr>
        <w:t>（八）不同投标人的投标保证金从同一单位或者个人的账户转出。</w:t>
      </w:r>
    </w:p>
    <w:p>
      <w:pPr>
        <w:spacing w:beforeLines="0" w:line="340" w:lineRule="exact"/>
        <w:ind w:firstLine="420" w:firstLineChars="200"/>
        <w:rPr>
          <w:color w:val="auto"/>
        </w:rPr>
      </w:pPr>
      <w:r>
        <w:rPr>
          <w:rFonts w:hint="eastAsia"/>
          <w:color w:val="auto"/>
        </w:rPr>
        <w:t>（九）主管部门依照法律、法规认定的其他情形。</w:t>
      </w:r>
    </w:p>
    <w:p>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8"/>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pPr>
              <w:autoSpaceDE w:val="0"/>
              <w:autoSpaceDN w:val="0"/>
              <w:spacing w:line="400" w:lineRule="exact"/>
              <w:ind w:firstLine="1866"/>
              <w:rPr>
                <w:rFonts w:ascii="宋体" w:hAnsi="宋体" w:eastAsiaTheme="minorEastAsia"/>
                <w:spacing w:val="-4"/>
                <w:kern w:val="0"/>
                <w:szCs w:val="21"/>
              </w:rPr>
            </w:pPr>
          </w:p>
        </w:tc>
      </w:tr>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pPr>
              <w:autoSpaceDE w:val="0"/>
              <w:autoSpaceDN w:val="0"/>
              <w:spacing w:line="400" w:lineRule="exact"/>
              <w:ind w:firstLine="1866"/>
              <w:rPr>
                <w:rFonts w:ascii="宋体" w:hAnsi="宋体" w:eastAsiaTheme="minorEastAsia"/>
                <w:spacing w:val="-4"/>
                <w:kern w:val="0"/>
                <w:szCs w:val="21"/>
              </w:rPr>
            </w:pPr>
          </w:p>
        </w:tc>
      </w:tr>
    </w:tbl>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pPr>
        <w:widowControl/>
        <w:wordWrap/>
        <w:autoSpaceDE w:val="0"/>
        <w:autoSpaceDN w:val="0"/>
        <w:spacing w:line="400" w:lineRule="exact"/>
        <w:ind w:right="1414" w:firstLine="480" w:firstLineChars="200"/>
        <w:jc w:val="right"/>
        <w:rPr>
          <w:rFonts w:eastAsiaTheme="minorEastAsia"/>
          <w:kern w:val="0"/>
          <w:sz w:val="24"/>
        </w:rPr>
      </w:pPr>
    </w:p>
    <w:p>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pPr>
        <w:pStyle w:val="8"/>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pPr>
        <w:ind w:left="420" w:leftChars="200" w:firstLine="210" w:firstLineChars="100"/>
        <w:rPr>
          <w:rFonts w:hint="eastAsia"/>
          <w:szCs w:val="21"/>
          <w:u w:val="none"/>
          <w:lang w:eastAsia="zh-CN"/>
        </w:rPr>
      </w:pPr>
    </w:p>
    <w:p>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pPr>
        <w:widowControl/>
        <w:wordWrap/>
        <w:autoSpaceDE w:val="0"/>
        <w:autoSpaceDN w:val="0"/>
        <w:spacing w:line="400" w:lineRule="exact"/>
        <w:ind w:right="1414" w:firstLine="480" w:firstLineChars="200"/>
        <w:jc w:val="right"/>
        <w:rPr>
          <w:rFonts w:eastAsiaTheme="minorEastAsia"/>
          <w:kern w:val="0"/>
          <w:sz w:val="24"/>
        </w:rPr>
      </w:pPr>
    </w:p>
    <w:p>
      <w:pPr>
        <w:ind w:firstLine="720" w:firstLineChars="300"/>
        <w:rPr>
          <w:sz w:val="24"/>
        </w:rPr>
      </w:pPr>
    </w:p>
    <w:p>
      <w:pPr>
        <w:widowControl/>
        <w:spacing w:line="360" w:lineRule="auto"/>
        <w:jc w:val="left"/>
        <w:rPr>
          <w:rFonts w:eastAsiaTheme="minorEastAsia"/>
          <w:b/>
          <w:bCs/>
          <w:kern w:val="0"/>
          <w:sz w:val="24"/>
        </w:rPr>
      </w:pPr>
    </w:p>
    <w:p>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pPr>
        <w:jc w:val="center"/>
        <w:rPr>
          <w:b/>
          <w:sz w:val="32"/>
          <w:szCs w:val="32"/>
        </w:rPr>
      </w:pPr>
    </w:p>
    <w:p>
      <w:pPr>
        <w:ind w:firstLine="424" w:firstLineChars="202"/>
        <w:rPr>
          <w:rFonts w:ascii="宋体" w:hAnsi="宋体"/>
          <w:szCs w:val="21"/>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pPr>
    </w:p>
    <w:p>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pPr>
        <w:pStyle w:val="6"/>
        <w:jc w:val="center"/>
      </w:pPr>
      <w:r>
        <w:rPr>
          <w:rFonts w:hint="eastAsia"/>
        </w:rPr>
        <w:t>第五章  合同条款及格式</w:t>
      </w:r>
    </w:p>
    <w:p/>
    <w:p>
      <w:pPr>
        <w:jc w:val="center"/>
        <w:outlineLvl w:val="9"/>
      </w:pPr>
      <w:bookmarkStart w:id="80" w:name="_Toc3995"/>
      <w:r>
        <w:rPr>
          <w:rFonts w:hint="eastAsia"/>
          <w:b/>
          <w:sz w:val="24"/>
        </w:rPr>
        <w:t>（仅供参考，具体以项目需求及采购结果为准）</w:t>
      </w:r>
    </w:p>
    <w:p>
      <w:pPr>
        <w:widowControl w:val="0"/>
        <w:spacing w:after="0"/>
        <w:jc w:val="center"/>
        <w:rPr>
          <w:rFonts w:ascii="宋体" w:hAnsi="宋体" w:eastAsia="宋体" w:cs="宋体"/>
          <w:b/>
          <w:bCs/>
          <w:spacing w:val="-20"/>
          <w:kern w:val="44"/>
          <w:sz w:val="48"/>
          <w:szCs w:val="48"/>
          <w:lang w:val="en-US" w:eastAsia="zh-CN" w:bidi="ar-SA"/>
        </w:rPr>
      </w:pPr>
    </w:p>
    <w:p>
      <w:pPr>
        <w:widowControl w:val="0"/>
        <w:spacing w:after="0"/>
        <w:jc w:val="center"/>
        <w:rPr>
          <w:rFonts w:ascii="宋体" w:hAnsi="宋体" w:eastAsia="宋体" w:cs="宋体"/>
          <w:b/>
          <w:bCs/>
          <w:spacing w:val="-20"/>
          <w:kern w:val="44"/>
          <w:sz w:val="48"/>
          <w:szCs w:val="48"/>
          <w:lang w:val="en-US" w:eastAsia="zh-CN" w:bidi="ar-SA"/>
        </w:rPr>
      </w:pPr>
    </w:p>
    <w:p>
      <w:pPr>
        <w:pStyle w:val="8"/>
        <w:rPr>
          <w:lang w:val="en-US" w:eastAsia="zh-CN"/>
        </w:rPr>
      </w:pP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rPr>
          <w:rFonts w:ascii="宋体" w:hAnsi="宋体" w:eastAsia="宋体" w:cs="宋体"/>
          <w:b/>
          <w:bCs/>
          <w:spacing w:val="-20"/>
          <w:kern w:val="44"/>
          <w:sz w:val="40"/>
          <w:szCs w:val="40"/>
        </w:rPr>
      </w:pPr>
    </w:p>
    <w:p>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pPr>
        <w:rPr>
          <w:rFonts w:eastAsia="宋体"/>
        </w:rPr>
      </w:pPr>
    </w:p>
    <w:p>
      <w:pPr>
        <w:rPr>
          <w:rFonts w:eastAsia="黑体"/>
          <w:sz w:val="44"/>
          <w:szCs w:val="44"/>
        </w:rPr>
      </w:pPr>
      <w:r>
        <w:rPr>
          <w:rFonts w:eastAsia="黑体"/>
          <w:sz w:val="44"/>
          <w:szCs w:val="44"/>
        </w:rPr>
        <w:br w:type="page"/>
      </w:r>
    </w:p>
    <w:p>
      <w:pPr>
        <w:rPr>
          <w:rFonts w:eastAsia="黑体"/>
          <w:sz w:val="44"/>
          <w:szCs w:val="44"/>
        </w:rPr>
      </w:pPr>
    </w:p>
    <w:p>
      <w:pPr>
        <w:rPr>
          <w:rFonts w:eastAsia="黑体"/>
          <w:sz w:val="44"/>
          <w:szCs w:val="44"/>
        </w:rPr>
      </w:pPr>
    </w:p>
    <w:p>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pPr>
        <w:ind w:firstLine="640" w:firstLineChars="200"/>
        <w:rPr>
          <w:rFonts w:hint="eastAsia" w:ascii="仿宋_GB2312" w:hAnsi="仿宋_GB2312" w:eastAsia="仿宋_GB2312" w:cs="仿宋_GB2312"/>
          <w:sz w:val="32"/>
          <w:szCs w:val="32"/>
          <w:lang w:val="en-US" w:eastAsia="zh-CN"/>
        </w:rPr>
      </w:pPr>
    </w:p>
    <w:p>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0"/>
    <w:p>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1" w:name="_Toc22209"/>
    </w:p>
    <w:p>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1"/>
    </w:p>
    <w:p>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pPr>
        <w:spacing w:beforeLines="0" w:line="400" w:lineRule="exact"/>
        <w:rPr>
          <w:rFonts w:hint="default" w:eastAsia="宋体"/>
          <w:lang w:val="en-US" w:eastAsia="zh-CN"/>
        </w:rPr>
      </w:pP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pPr>
        <w:numPr>
          <w:ilvl w:val="0"/>
          <w:numId w:val="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pPr>
        <w:widowControl w:val="0"/>
        <w:numPr>
          <w:ilvl w:val="0"/>
          <w:numId w:val="5"/>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pPr>
        <w:numPr>
          <w:ilvl w:val="0"/>
          <w:numId w:val="4"/>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pPr>
        <w:numPr>
          <w:ilvl w:val="0"/>
          <w:numId w:val="4"/>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pPr>
        <w:numPr>
          <w:ilvl w:val="0"/>
          <w:numId w:val="4"/>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pPr>
        <w:numPr>
          <w:ilvl w:val="0"/>
          <w:numId w:val="6"/>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pPr>
        <w:numPr>
          <w:ilvl w:val="0"/>
          <w:numId w:val="4"/>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pPr>
        <w:rPr>
          <w:rFonts w:hint="eastAsia" w:eastAsia="宋体"/>
        </w:rPr>
      </w:pPr>
      <w:r>
        <w:rPr>
          <w:rFonts w:hint="eastAsia" w:eastAsia="宋体"/>
        </w:rPr>
        <w:br w:type="page"/>
      </w:r>
    </w:p>
    <w:p>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8"/>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法定代表人</w:t>
            </w:r>
          </w:p>
          <w:p>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pPr>
              <w:adjustRightInd w:val="0"/>
              <w:snapToGrid w:val="0"/>
              <w:spacing w:line="300" w:lineRule="exact"/>
              <w:jc w:val="center"/>
              <w:rPr>
                <w:rFonts w:eastAsia="宋体"/>
                <w:spacing w:val="20"/>
                <w:szCs w:val="21"/>
              </w:rPr>
            </w:pP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2" w:name="_Toc27624"/>
      <w:r>
        <w:rPr>
          <w:rFonts w:hint="eastAsia" w:ascii="黑体" w:hAnsi="黑体" w:eastAsia="黑体" w:cs="Times New Roman"/>
          <w:b w:val="0"/>
          <w:bCs w:val="0"/>
          <w:kern w:val="2"/>
          <w:sz w:val="28"/>
          <w:szCs w:val="28"/>
          <w:lang w:val="en-US" w:eastAsia="zh-CN" w:bidi="ar-SA"/>
        </w:rPr>
        <w:t>第二节 政府采购合同通用条款</w:t>
      </w:r>
      <w:bookmarkEnd w:id="82"/>
    </w:p>
    <w:p>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pPr>
        <w:numPr>
          <w:ilvl w:val="0"/>
          <w:numId w:val="7"/>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pPr>
        <w:numPr>
          <w:ilvl w:val="0"/>
          <w:numId w:val="8"/>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83"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83"/>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pPr>
        <w:numPr>
          <w:ilvl w:val="0"/>
          <w:numId w:val="9"/>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pPr>
        <w:numPr>
          <w:ilvl w:val="0"/>
          <w:numId w:val="10"/>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84" w:name="_Toc20313"/>
    </w:p>
    <w:p>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84"/>
    </w:p>
    <w:tbl>
      <w:tblPr>
        <w:tblStyle w:val="18"/>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pPr>
              <w:adjustRightInd w:val="0"/>
              <w:snapToGrid w:val="0"/>
              <w:jc w:val="left"/>
              <w:rPr>
                <w:rFonts w:ascii="宋体" w:hAnsi="宋体" w:eastAsia="宋体" w:cs="Times New Roman"/>
                <w:kern w:val="2"/>
                <w:sz w:val="21"/>
                <w:szCs w:val="21"/>
                <w:lang w:val="en-US" w:eastAsia="zh-CN" w:bidi="ar-SA"/>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pPr>
              <w:rPr>
                <w:rFonts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pPr>
              <w:adjustRightInd w:val="0"/>
              <w:snapToGrid w:val="0"/>
              <w:jc w:val="center"/>
              <w:rPr>
                <w:rFonts w:hint="eastAsia" w:ascii="宋体" w:hAnsi="宋体" w:eastAsia="宋体"/>
                <w:szCs w:val="21"/>
              </w:rPr>
            </w:pP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pPr>
              <w:rPr>
                <w:rFonts w:hint="eastAsia" w:eastAsia="宋体"/>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pPr>
              <w:autoSpaceDE w:val="0"/>
              <w:autoSpaceDN w:val="0"/>
              <w:adjustRightInd w:val="0"/>
              <w:snapToGrid w:val="0"/>
              <w:ind w:firstLine="420" w:firstLineChars="20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hint="eastAsia"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pPr>
              <w:adjustRightInd w:val="0"/>
              <w:snapToGrid w:val="0"/>
              <w:jc w:val="left"/>
              <w:rPr>
                <w:rFonts w:ascii="宋体" w:hAnsi="宋体" w:eastAsia="宋体"/>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pPr>
              <w:adjustRightInd w:val="0"/>
              <w:snapToGrid w:val="0"/>
              <w:jc w:val="left"/>
              <w:rPr>
                <w:rFonts w:ascii="宋体" w:hAnsi="宋体" w:eastAsia="宋体"/>
                <w:szCs w:val="21"/>
                <w:u w:val="singl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pPr>
              <w:adjustRightInd w:val="0"/>
              <w:snapToGrid w:val="0"/>
              <w:jc w:val="center"/>
              <w:rPr>
                <w:rFonts w:ascii="宋体" w:hAnsi="宋体" w:eastAsia="宋体"/>
                <w:szCs w:val="21"/>
              </w:rPr>
            </w:pPr>
            <w:r>
              <w:rPr>
                <w:rFonts w:hint="eastAsia" w:ascii="宋体" w:hAnsi="宋体" w:eastAsia="宋体"/>
                <w:szCs w:val="21"/>
              </w:rPr>
              <w:t>第二节</w:t>
            </w:r>
          </w:p>
          <w:p>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pPr>
              <w:adjustRightInd w:val="0"/>
              <w:snapToGrid w:val="0"/>
              <w:jc w:val="left"/>
              <w:rPr>
                <w:rFonts w:hint="default" w:ascii="宋体" w:hAnsi="宋体" w:eastAsia="宋体"/>
                <w:szCs w:val="21"/>
                <w:lang w:val="en-US" w:eastAsia="zh-CN"/>
              </w:rPr>
            </w:pPr>
          </w:p>
        </w:tc>
      </w:tr>
    </w:tbl>
    <w:p>
      <w:pPr>
        <w:rPr>
          <w:rFonts w:eastAsia="宋体"/>
        </w:rPr>
      </w:pPr>
    </w:p>
    <w:p>
      <w:pPr>
        <w:rPr>
          <w:rFonts w:eastAsia="宋体"/>
        </w:rPr>
      </w:pPr>
    </w:p>
    <w:p>
      <w:pPr>
        <w:widowControl/>
        <w:jc w:val="left"/>
        <w:rPr>
          <w:rFonts w:ascii="宋体" w:hAnsi="宋体"/>
          <w:szCs w:val="21"/>
        </w:rPr>
      </w:pPr>
      <w:r>
        <w:rPr>
          <w:rFonts w:ascii="宋体" w:hAnsi="宋体"/>
          <w:szCs w:val="21"/>
        </w:rPr>
        <w:br w:type="page"/>
      </w:r>
    </w:p>
    <w:p>
      <w:pPr>
        <w:widowControl/>
        <w:jc w:val="left"/>
        <w:rPr>
          <w:rFonts w:ascii="宋体" w:hAnsi="宋体"/>
          <w:szCs w:val="21"/>
        </w:rPr>
      </w:pPr>
    </w:p>
    <w:p>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85" w:name="_Hlk72399513"/>
      <w:bookmarkStart w:id="86" w:name="_Hlk72439706"/>
      <w:r>
        <w:rPr>
          <w:rFonts w:hint="eastAsia" w:asciiTheme="majorHAnsi" w:hAnsiTheme="majorHAnsi" w:eastAsiaTheme="majorEastAsia" w:cstheme="majorBidi"/>
          <w:b/>
          <w:bCs/>
          <w:sz w:val="28"/>
          <w:szCs w:val="28"/>
        </w:rPr>
        <w:t>总则</w:t>
      </w:r>
    </w:p>
    <w:bookmarkEnd w:id="85"/>
    <w:p>
      <w:pPr>
        <w:ind w:firstLine="420" w:firstLineChars="200"/>
        <w:rPr>
          <w:rFonts w:ascii="黑体" w:hAnsi="宋体" w:eastAsia="黑体"/>
          <w:szCs w:val="21"/>
        </w:rPr>
      </w:pPr>
      <w:r>
        <w:rPr>
          <w:rFonts w:hint="eastAsia" w:ascii="黑体" w:hAnsi="宋体" w:eastAsia="黑体"/>
          <w:szCs w:val="21"/>
        </w:rPr>
        <w:t>1. 通用条款说明</w:t>
      </w:r>
    </w:p>
    <w:p>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87" w:name="_Hlk72399729"/>
      <w:r>
        <w:rPr>
          <w:rFonts w:hint="eastAsia" w:ascii="宋体" w:hAnsi="宋体"/>
          <w:szCs w:val="21"/>
        </w:rPr>
        <w:t>如有需要，政府集中采购机构可以对通用条款的内容进行补充。</w:t>
      </w:r>
      <w:bookmarkEnd w:id="87"/>
    </w:p>
    <w:p>
      <w:pPr>
        <w:ind w:firstLine="420" w:firstLineChars="200"/>
        <w:rPr>
          <w:rFonts w:ascii="宋体" w:hAnsi="宋体"/>
          <w:szCs w:val="21"/>
        </w:rPr>
      </w:pPr>
      <w:r>
        <w:rPr>
          <w:rFonts w:hint="eastAsia" w:ascii="宋体" w:hAnsi="宋体"/>
          <w:szCs w:val="21"/>
        </w:rPr>
        <w:t>1.2招标文件分为第一册“专用条款”和第二册“通用条款”。</w:t>
      </w:r>
    </w:p>
    <w:p>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pPr>
        <w:ind w:firstLine="420" w:firstLineChars="200"/>
        <w:rPr>
          <w:rFonts w:ascii="宋体" w:hAnsi="宋体"/>
          <w:szCs w:val="21"/>
        </w:rPr>
      </w:pPr>
      <w:r>
        <w:rPr>
          <w:rFonts w:hint="eastAsia" w:ascii="宋体" w:hAnsi="宋体"/>
          <w:szCs w:val="21"/>
        </w:rPr>
        <w:t>1.5 “专用条款”和“通用条款”表述不一致或有冲突时，以“专用条款”为准。</w:t>
      </w:r>
    </w:p>
    <w:p>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pPr>
        <w:ind w:firstLine="420" w:firstLineChars="200"/>
        <w:rPr>
          <w:rFonts w:ascii="黑体" w:hAnsi="宋体" w:eastAsia="黑体"/>
          <w:szCs w:val="21"/>
        </w:rPr>
      </w:pPr>
      <w:r>
        <w:rPr>
          <w:rFonts w:hint="eastAsia" w:ascii="黑体" w:hAnsi="宋体" w:eastAsia="黑体"/>
          <w:szCs w:val="21"/>
        </w:rPr>
        <w:t>3．定义</w:t>
      </w:r>
    </w:p>
    <w:p>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pPr>
        <w:ind w:firstLine="420" w:firstLineChars="200"/>
        <w:rPr>
          <w:rFonts w:ascii="宋体" w:hAnsi="宋体"/>
          <w:szCs w:val="21"/>
        </w:rPr>
      </w:pPr>
      <w:r>
        <w:rPr>
          <w:rFonts w:hint="eastAsia" w:ascii="宋体" w:hAnsi="宋体"/>
          <w:szCs w:val="21"/>
        </w:rPr>
        <w:t>3.6“合同”指由本次招标所产生的合同或合约文件；</w:t>
      </w:r>
    </w:p>
    <w:p>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pPr>
        <w:ind w:firstLine="420" w:firstLineChars="200"/>
        <w:rPr>
          <w:rFonts w:ascii="黑体" w:hAnsi="宋体" w:eastAsia="黑体"/>
          <w:szCs w:val="21"/>
        </w:rPr>
      </w:pPr>
      <w:r>
        <w:rPr>
          <w:rFonts w:hint="eastAsia" w:ascii="黑体" w:hAnsi="宋体" w:eastAsia="黑体"/>
          <w:szCs w:val="21"/>
        </w:rPr>
        <w:t xml:space="preserve">4. </w:t>
      </w:r>
      <w:bookmarkStart w:id="88" w:name="_Hlk72398643"/>
      <w:r>
        <w:rPr>
          <w:rFonts w:hint="eastAsia" w:ascii="黑体" w:hAnsi="宋体" w:eastAsia="黑体"/>
          <w:szCs w:val="21"/>
        </w:rPr>
        <w:t>自行采购供应商责任</w:t>
      </w:r>
    </w:p>
    <w:p>
      <w:pPr>
        <w:ind w:firstLine="420" w:firstLineChars="200"/>
        <w:rPr>
          <w:rFonts w:ascii="宋体" w:hAnsi="宋体"/>
          <w:szCs w:val="21"/>
        </w:rPr>
      </w:pPr>
      <w:r>
        <w:rPr>
          <w:rFonts w:hint="eastAsia" w:ascii="宋体" w:hAnsi="宋体"/>
          <w:szCs w:val="21"/>
        </w:rPr>
        <w:t>4.1欢迎诚信、有实力和有社会责任心的供应商参与自行采购事业。</w:t>
      </w:r>
    </w:p>
    <w:p>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pPr>
        <w:ind w:firstLine="420" w:firstLineChars="200"/>
        <w:rPr>
          <w:rFonts w:ascii="黑体" w:hAnsi="宋体" w:eastAsia="黑体"/>
          <w:szCs w:val="21"/>
        </w:rPr>
      </w:pPr>
      <w:r>
        <w:rPr>
          <w:rFonts w:hint="eastAsia" w:ascii="黑体" w:hAnsi="宋体" w:eastAsia="黑体"/>
          <w:szCs w:val="21"/>
        </w:rPr>
        <w:t>5．投标人参加自行采购的条件</w:t>
      </w:r>
    </w:p>
    <w:p>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pPr>
        <w:ind w:firstLine="420" w:firstLineChars="200"/>
        <w:rPr>
          <w:rFonts w:ascii="宋体" w:hAnsi="宋体"/>
          <w:szCs w:val="21"/>
        </w:rPr>
      </w:pPr>
      <w:r>
        <w:rPr>
          <w:rFonts w:hint="eastAsia" w:ascii="宋体" w:hAnsi="宋体"/>
          <w:szCs w:val="21"/>
        </w:rPr>
        <w:t>5.2投标人资格要求</w:t>
      </w:r>
    </w:p>
    <w:p>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pPr>
        <w:ind w:firstLine="420" w:firstLineChars="200"/>
        <w:rPr>
          <w:rFonts w:ascii="宋体" w:hAnsi="宋体"/>
          <w:szCs w:val="21"/>
        </w:rPr>
      </w:pPr>
      <w:r>
        <w:rPr>
          <w:rFonts w:hint="eastAsia" w:ascii="宋体" w:hAnsi="宋体"/>
          <w:szCs w:val="21"/>
        </w:rPr>
        <w:t>5.3联合体投标</w:t>
      </w:r>
    </w:p>
    <w:p>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pPr>
        <w:ind w:firstLine="420" w:firstLineChars="200"/>
        <w:rPr>
          <w:rFonts w:ascii="黑体" w:hAnsi="宋体" w:eastAsia="黑体"/>
          <w:szCs w:val="21"/>
        </w:rPr>
      </w:pPr>
      <w:r>
        <w:rPr>
          <w:rFonts w:hint="eastAsia" w:ascii="黑体" w:hAnsi="宋体" w:eastAsia="黑体"/>
          <w:szCs w:val="21"/>
        </w:rPr>
        <w:t>6．政策导向</w:t>
      </w:r>
    </w:p>
    <w:p>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89"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89"/>
    </w:p>
    <w:p>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pPr>
        <w:ind w:firstLine="420" w:firstLineChars="200"/>
        <w:rPr>
          <w:rFonts w:ascii="黑体" w:hAnsi="宋体" w:eastAsia="黑体"/>
          <w:szCs w:val="21"/>
        </w:rPr>
      </w:pPr>
      <w:r>
        <w:rPr>
          <w:rFonts w:hint="eastAsia" w:ascii="黑体" w:hAnsi="宋体" w:eastAsia="黑体"/>
          <w:szCs w:val="21"/>
        </w:rPr>
        <w:t>8．投标费用</w:t>
      </w:r>
    </w:p>
    <w:p>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pPr>
        <w:ind w:firstLine="420" w:firstLineChars="200"/>
        <w:rPr>
          <w:rFonts w:ascii="黑体" w:hAnsi="宋体" w:eastAsia="黑体"/>
          <w:szCs w:val="21"/>
        </w:rPr>
      </w:pPr>
      <w:r>
        <w:rPr>
          <w:rFonts w:hint="eastAsia" w:ascii="黑体" w:hAnsi="宋体" w:eastAsia="黑体"/>
          <w:szCs w:val="21"/>
        </w:rPr>
        <w:t>9．踏勘现场</w:t>
      </w:r>
    </w:p>
    <w:p>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88"/>
    <w:p>
      <w:pPr>
        <w:ind w:firstLine="411" w:firstLineChars="196"/>
        <w:rPr>
          <w:rFonts w:ascii="宋体" w:hAnsi="宋体"/>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0" w:name="_Hlk72399819"/>
      <w:r>
        <w:rPr>
          <w:rFonts w:hint="eastAsia" w:ascii="黑体" w:hAnsi="宋体" w:eastAsia="黑体"/>
          <w:szCs w:val="21"/>
        </w:rPr>
        <w:t>招标文件的编制与组成</w:t>
      </w:r>
    </w:p>
    <w:p>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pPr>
        <w:ind w:firstLine="420" w:firstLineChars="200"/>
        <w:rPr>
          <w:rFonts w:ascii="宋体" w:hAnsi="宋体"/>
          <w:szCs w:val="21"/>
        </w:rPr>
      </w:pPr>
      <w:r>
        <w:rPr>
          <w:rFonts w:hint="eastAsia" w:ascii="宋体" w:hAnsi="宋体"/>
          <w:szCs w:val="21"/>
        </w:rPr>
        <w:t>招标文件包括下列内容：</w:t>
      </w:r>
    </w:p>
    <w:p>
      <w:pPr>
        <w:ind w:firstLine="422" w:firstLineChars="200"/>
        <w:rPr>
          <w:rFonts w:ascii="宋体" w:hAnsi="宋体"/>
          <w:b/>
          <w:szCs w:val="21"/>
        </w:rPr>
      </w:pPr>
      <w:r>
        <w:rPr>
          <w:rFonts w:hint="eastAsia" w:ascii="宋体" w:hAnsi="宋体"/>
          <w:b/>
          <w:szCs w:val="21"/>
        </w:rPr>
        <w:t>第一册  专用条款</w:t>
      </w:r>
    </w:p>
    <w:p>
      <w:pPr>
        <w:ind w:firstLine="422" w:firstLineChars="200"/>
        <w:rPr>
          <w:rFonts w:ascii="宋体" w:hAnsi="宋体"/>
          <w:b/>
          <w:szCs w:val="21"/>
        </w:rPr>
      </w:pPr>
      <w:r>
        <w:rPr>
          <w:rFonts w:hint="eastAsia" w:ascii="宋体" w:hAnsi="宋体"/>
          <w:b/>
          <w:szCs w:val="21"/>
        </w:rPr>
        <w:t>关键信息</w:t>
      </w:r>
    </w:p>
    <w:p>
      <w:pPr>
        <w:ind w:firstLine="420" w:firstLineChars="200"/>
        <w:rPr>
          <w:rFonts w:ascii="宋体" w:hAnsi="宋体"/>
          <w:szCs w:val="21"/>
        </w:rPr>
      </w:pPr>
      <w:r>
        <w:rPr>
          <w:rFonts w:hint="eastAsia" w:ascii="宋体" w:hAnsi="宋体"/>
          <w:szCs w:val="21"/>
        </w:rPr>
        <w:t>第一章  招标公告</w:t>
      </w:r>
    </w:p>
    <w:p>
      <w:pPr>
        <w:ind w:firstLine="420" w:firstLineChars="200"/>
        <w:rPr>
          <w:rFonts w:ascii="宋体" w:hAnsi="宋体"/>
          <w:szCs w:val="21"/>
        </w:rPr>
      </w:pPr>
      <w:r>
        <w:rPr>
          <w:rFonts w:hint="eastAsia" w:ascii="宋体" w:hAnsi="宋体"/>
          <w:szCs w:val="21"/>
        </w:rPr>
        <w:t>第二章  对通用条款的补充内容及其他关键信息</w:t>
      </w:r>
    </w:p>
    <w:p>
      <w:pPr>
        <w:ind w:firstLine="420" w:firstLineChars="200"/>
        <w:rPr>
          <w:rFonts w:ascii="宋体" w:hAnsi="宋体"/>
          <w:szCs w:val="21"/>
        </w:rPr>
      </w:pPr>
      <w:r>
        <w:rPr>
          <w:rFonts w:hint="eastAsia" w:ascii="宋体" w:hAnsi="宋体"/>
          <w:szCs w:val="21"/>
        </w:rPr>
        <w:t>第三章  用户需求书</w:t>
      </w:r>
    </w:p>
    <w:p>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pPr>
        <w:ind w:firstLine="420" w:firstLineChars="200"/>
        <w:rPr>
          <w:rFonts w:ascii="宋体" w:hAnsi="宋体"/>
          <w:szCs w:val="21"/>
        </w:rPr>
      </w:pPr>
      <w:r>
        <w:rPr>
          <w:rFonts w:hint="eastAsia" w:ascii="宋体" w:hAnsi="宋体"/>
          <w:szCs w:val="21"/>
        </w:rPr>
        <w:t>第五章  合同条款及格式</w:t>
      </w:r>
    </w:p>
    <w:p>
      <w:pPr>
        <w:ind w:firstLine="422" w:firstLineChars="200"/>
        <w:rPr>
          <w:rFonts w:ascii="宋体" w:hAnsi="宋体"/>
          <w:b/>
          <w:szCs w:val="21"/>
        </w:rPr>
      </w:pPr>
      <w:r>
        <w:rPr>
          <w:rFonts w:hint="eastAsia" w:ascii="宋体" w:hAnsi="宋体"/>
          <w:b/>
          <w:szCs w:val="21"/>
        </w:rPr>
        <w:t>第二册  通用条款</w:t>
      </w:r>
    </w:p>
    <w:p>
      <w:pPr>
        <w:ind w:firstLine="420" w:firstLineChars="200"/>
        <w:rPr>
          <w:rFonts w:ascii="宋体" w:hAnsi="宋体"/>
          <w:szCs w:val="21"/>
        </w:rPr>
      </w:pPr>
      <w:r>
        <w:rPr>
          <w:rFonts w:hint="eastAsia" w:ascii="宋体" w:hAnsi="宋体"/>
          <w:szCs w:val="21"/>
        </w:rPr>
        <w:t>第一章  总则</w:t>
      </w:r>
    </w:p>
    <w:p>
      <w:pPr>
        <w:ind w:firstLine="420" w:firstLineChars="200"/>
        <w:rPr>
          <w:rFonts w:ascii="宋体" w:hAnsi="宋体"/>
          <w:szCs w:val="21"/>
        </w:rPr>
      </w:pPr>
      <w:r>
        <w:rPr>
          <w:rFonts w:hint="eastAsia" w:ascii="宋体" w:hAnsi="宋体"/>
          <w:szCs w:val="21"/>
        </w:rPr>
        <w:t>第二章  招标文件</w:t>
      </w:r>
    </w:p>
    <w:p>
      <w:pPr>
        <w:ind w:firstLine="420" w:firstLineChars="200"/>
        <w:rPr>
          <w:rFonts w:ascii="宋体" w:hAnsi="宋体"/>
          <w:szCs w:val="21"/>
        </w:rPr>
      </w:pPr>
      <w:r>
        <w:rPr>
          <w:rFonts w:hint="eastAsia" w:ascii="宋体" w:hAnsi="宋体"/>
          <w:szCs w:val="21"/>
        </w:rPr>
        <w:t>第三章  投标文件的编制</w:t>
      </w:r>
    </w:p>
    <w:p>
      <w:pPr>
        <w:ind w:firstLine="420" w:firstLineChars="200"/>
        <w:rPr>
          <w:rFonts w:ascii="宋体" w:hAnsi="宋体"/>
          <w:szCs w:val="21"/>
        </w:rPr>
      </w:pPr>
      <w:r>
        <w:rPr>
          <w:rFonts w:hint="eastAsia" w:ascii="宋体" w:hAnsi="宋体"/>
          <w:szCs w:val="21"/>
        </w:rPr>
        <w:t>第四章  投标文件的递交</w:t>
      </w:r>
    </w:p>
    <w:p>
      <w:pPr>
        <w:ind w:firstLine="420" w:firstLineChars="200"/>
        <w:rPr>
          <w:rFonts w:ascii="宋体" w:hAnsi="宋体"/>
          <w:szCs w:val="21"/>
        </w:rPr>
      </w:pPr>
      <w:r>
        <w:rPr>
          <w:rFonts w:hint="eastAsia" w:ascii="宋体" w:hAnsi="宋体"/>
          <w:szCs w:val="21"/>
        </w:rPr>
        <w:t>第五章  开标</w:t>
      </w:r>
    </w:p>
    <w:p>
      <w:pPr>
        <w:ind w:firstLine="420" w:firstLineChars="200"/>
        <w:rPr>
          <w:rFonts w:ascii="宋体" w:hAnsi="宋体"/>
          <w:szCs w:val="21"/>
        </w:rPr>
      </w:pPr>
      <w:r>
        <w:rPr>
          <w:rFonts w:hint="eastAsia" w:ascii="宋体" w:hAnsi="宋体"/>
          <w:szCs w:val="21"/>
        </w:rPr>
        <w:t>第六章  评审要求</w:t>
      </w:r>
    </w:p>
    <w:p>
      <w:pPr>
        <w:ind w:firstLine="420" w:firstLineChars="200"/>
        <w:rPr>
          <w:rFonts w:ascii="宋体" w:hAnsi="宋体"/>
          <w:szCs w:val="21"/>
        </w:rPr>
      </w:pPr>
      <w:r>
        <w:rPr>
          <w:rFonts w:hint="eastAsia" w:ascii="宋体" w:hAnsi="宋体"/>
          <w:szCs w:val="21"/>
        </w:rPr>
        <w:t>第七章  评审程序及评审方法</w:t>
      </w:r>
    </w:p>
    <w:p>
      <w:pPr>
        <w:ind w:firstLine="420" w:firstLineChars="200"/>
        <w:rPr>
          <w:rFonts w:ascii="宋体" w:hAnsi="宋体"/>
          <w:szCs w:val="21"/>
        </w:rPr>
      </w:pPr>
      <w:r>
        <w:rPr>
          <w:rFonts w:hint="eastAsia" w:ascii="宋体" w:hAnsi="宋体"/>
          <w:szCs w:val="21"/>
        </w:rPr>
        <w:t>第八章  定标及公示</w:t>
      </w:r>
    </w:p>
    <w:p>
      <w:pPr>
        <w:ind w:firstLine="420" w:firstLineChars="200"/>
        <w:rPr>
          <w:rFonts w:ascii="宋体" w:hAnsi="宋体"/>
          <w:szCs w:val="21"/>
        </w:rPr>
      </w:pPr>
      <w:r>
        <w:rPr>
          <w:rFonts w:hint="eastAsia" w:ascii="宋体" w:hAnsi="宋体"/>
          <w:szCs w:val="21"/>
        </w:rPr>
        <w:t>第九章  公开招标失败的后续处理</w:t>
      </w:r>
    </w:p>
    <w:p>
      <w:pPr>
        <w:ind w:firstLine="420" w:firstLineChars="200"/>
        <w:rPr>
          <w:rFonts w:ascii="宋体" w:hAnsi="宋体"/>
          <w:szCs w:val="21"/>
        </w:rPr>
      </w:pPr>
      <w:r>
        <w:rPr>
          <w:rFonts w:hint="eastAsia" w:ascii="宋体" w:hAnsi="宋体"/>
          <w:szCs w:val="21"/>
        </w:rPr>
        <w:t>第十章  合同的授予与备案</w:t>
      </w:r>
    </w:p>
    <w:p>
      <w:pPr>
        <w:ind w:firstLine="420" w:firstLineChars="200"/>
        <w:rPr>
          <w:rFonts w:ascii="宋体" w:hAnsi="宋体"/>
          <w:szCs w:val="21"/>
        </w:rPr>
      </w:pPr>
      <w:r>
        <w:rPr>
          <w:rFonts w:hint="eastAsia" w:ascii="宋体" w:hAnsi="宋体"/>
          <w:szCs w:val="21"/>
        </w:rPr>
        <w:t>第十一章  质疑处理</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0"/>
    </w:p>
    <w:p>
      <w:pPr>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pPr>
        <w:ind w:firstLine="420" w:firstLineChars="200"/>
        <w:rPr>
          <w:rFonts w:ascii="黑体" w:hAnsi="宋体" w:eastAsia="黑体"/>
          <w:szCs w:val="21"/>
        </w:rPr>
      </w:pPr>
      <w:r>
        <w:rPr>
          <w:rFonts w:hint="eastAsia" w:ascii="黑体" w:hAnsi="宋体" w:eastAsia="黑体"/>
          <w:szCs w:val="21"/>
        </w:rPr>
        <w:t>14．</w:t>
      </w:r>
      <w:bookmarkStart w:id="91" w:name="_Hlk72400236"/>
      <w:r>
        <w:rPr>
          <w:rFonts w:hint="eastAsia" w:ascii="黑体" w:hAnsi="宋体" w:eastAsia="黑体"/>
          <w:szCs w:val="21"/>
        </w:rPr>
        <w:t>投标文件的语言及度量单位</w:t>
      </w:r>
    </w:p>
    <w:p>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1"/>
    <w:p>
      <w:pPr>
        <w:ind w:firstLine="420" w:firstLineChars="200"/>
        <w:rPr>
          <w:rFonts w:ascii="黑体" w:hAnsi="宋体" w:eastAsia="黑体"/>
          <w:szCs w:val="21"/>
        </w:rPr>
      </w:pPr>
      <w:r>
        <w:rPr>
          <w:rFonts w:hint="eastAsia" w:ascii="黑体" w:hAnsi="宋体" w:eastAsia="黑体"/>
          <w:szCs w:val="21"/>
        </w:rPr>
        <w:t>15．</w:t>
      </w:r>
      <w:bookmarkStart w:id="92" w:name="_Hlk72401567"/>
      <w:r>
        <w:rPr>
          <w:rFonts w:hint="eastAsia" w:ascii="黑体" w:hAnsi="宋体" w:eastAsia="黑体"/>
          <w:szCs w:val="21"/>
        </w:rPr>
        <w:t>投标文件的组成</w:t>
      </w:r>
    </w:p>
    <w:p>
      <w:pPr>
        <w:ind w:firstLine="420" w:firstLineChars="200"/>
        <w:rPr>
          <w:rFonts w:ascii="宋体" w:hAnsi="宋体"/>
          <w:szCs w:val="21"/>
        </w:rPr>
      </w:pPr>
      <w:r>
        <w:rPr>
          <w:rFonts w:hint="eastAsia" w:ascii="宋体" w:hAnsi="宋体"/>
          <w:szCs w:val="21"/>
        </w:rPr>
        <w:t>具体内容在招标文件专用条款中进行规定。</w:t>
      </w:r>
    </w:p>
    <w:p>
      <w:pPr>
        <w:ind w:firstLine="420" w:firstLineChars="200"/>
        <w:rPr>
          <w:rFonts w:ascii="黑体" w:hAnsi="宋体" w:eastAsia="黑体"/>
          <w:szCs w:val="21"/>
        </w:rPr>
      </w:pPr>
      <w:r>
        <w:rPr>
          <w:rFonts w:ascii="黑体" w:hAnsi="宋体" w:eastAsia="黑体"/>
          <w:szCs w:val="21"/>
        </w:rPr>
        <w:t>16．投标文件格式</w:t>
      </w:r>
    </w:p>
    <w:p>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pPr>
        <w:ind w:firstLine="420" w:firstLineChars="200"/>
        <w:rPr>
          <w:rFonts w:ascii="黑体" w:hAnsi="宋体" w:eastAsia="黑体"/>
          <w:szCs w:val="21"/>
        </w:rPr>
      </w:pPr>
      <w:r>
        <w:rPr>
          <w:rFonts w:hint="eastAsia" w:ascii="黑体" w:hAnsi="宋体" w:eastAsia="黑体"/>
          <w:szCs w:val="21"/>
        </w:rPr>
        <w:t>17．投标货币</w:t>
      </w:r>
    </w:p>
    <w:p>
      <w:pPr>
        <w:ind w:firstLine="420" w:firstLineChars="200"/>
        <w:rPr>
          <w:rFonts w:ascii="宋体" w:hAnsi="宋体"/>
          <w:szCs w:val="21"/>
        </w:rPr>
      </w:pPr>
      <w:r>
        <w:rPr>
          <w:rFonts w:hint="eastAsia" w:ascii="宋体" w:hAnsi="宋体"/>
          <w:szCs w:val="21"/>
        </w:rPr>
        <w:t>本项目的投标报价应以人民币计。</w:t>
      </w:r>
    </w:p>
    <w:bookmarkEnd w:id="92"/>
    <w:p>
      <w:pPr>
        <w:ind w:firstLine="420" w:firstLineChars="200"/>
        <w:rPr>
          <w:rFonts w:ascii="黑体" w:hAnsi="宋体" w:eastAsia="黑体"/>
          <w:szCs w:val="21"/>
        </w:rPr>
      </w:pPr>
      <w:r>
        <w:rPr>
          <w:rFonts w:hint="eastAsia" w:ascii="黑体" w:hAnsi="宋体" w:eastAsia="黑体"/>
          <w:szCs w:val="21"/>
        </w:rPr>
        <w:t>18．</w:t>
      </w:r>
      <w:bookmarkStart w:id="93" w:name="_Hlk72401735"/>
      <w:r>
        <w:rPr>
          <w:rFonts w:hint="eastAsia" w:ascii="黑体" w:hAnsi="宋体" w:eastAsia="黑体"/>
          <w:szCs w:val="21"/>
        </w:rPr>
        <w:t>证明投标文件投标技术方案的合格性和符合招标文件规定的文件要求</w:t>
      </w:r>
    </w:p>
    <w:p>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pPr>
        <w:ind w:firstLine="420" w:firstLineChars="200"/>
        <w:rPr>
          <w:rFonts w:ascii="宋体" w:hAnsi="宋体"/>
          <w:szCs w:val="21"/>
        </w:rPr>
      </w:pPr>
      <w:r>
        <w:rPr>
          <w:rFonts w:hint="eastAsia" w:ascii="宋体" w:hAnsi="宋体"/>
          <w:szCs w:val="21"/>
        </w:rPr>
        <w:t>18.2.1主要技术指标和性能的详细说明。</w:t>
      </w:r>
    </w:p>
    <w:p>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93"/>
    <w:p>
      <w:pPr>
        <w:ind w:firstLine="420" w:firstLineChars="200"/>
        <w:rPr>
          <w:rFonts w:ascii="黑体" w:hAnsi="宋体" w:eastAsia="黑体"/>
          <w:szCs w:val="21"/>
        </w:rPr>
      </w:pPr>
      <w:r>
        <w:rPr>
          <w:rFonts w:hint="eastAsia" w:ascii="黑体" w:hAnsi="宋体" w:eastAsia="黑体"/>
          <w:szCs w:val="21"/>
        </w:rPr>
        <w:t>19．</w:t>
      </w:r>
      <w:bookmarkStart w:id="94" w:name="_Hlk72402034"/>
      <w:r>
        <w:rPr>
          <w:rFonts w:hint="eastAsia" w:ascii="黑体" w:hAnsi="宋体" w:eastAsia="黑体"/>
          <w:szCs w:val="21"/>
        </w:rPr>
        <w:t>投标文件其他证明文件的要求</w:t>
      </w:r>
    </w:p>
    <w:p>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95" w:name="_Hlk71407299"/>
    </w:p>
    <w:bookmarkEnd w:id="95"/>
    <w:p>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pPr>
        <w:ind w:firstLine="420" w:firstLineChars="200"/>
        <w:rPr>
          <w:rFonts w:ascii="黑体" w:hAnsi="宋体" w:eastAsia="黑体"/>
          <w:szCs w:val="21"/>
        </w:rPr>
      </w:pPr>
      <w:r>
        <w:rPr>
          <w:rFonts w:hint="eastAsia" w:ascii="黑体" w:hAnsi="宋体" w:eastAsia="黑体"/>
          <w:szCs w:val="21"/>
        </w:rPr>
        <w:t>20．投标有效期</w:t>
      </w:r>
    </w:p>
    <w:bookmarkEnd w:id="94"/>
    <w:p>
      <w:pPr>
        <w:ind w:firstLine="420" w:firstLineChars="200"/>
        <w:rPr>
          <w:rFonts w:ascii="宋体" w:hAnsi="宋体"/>
          <w:szCs w:val="21"/>
        </w:rPr>
      </w:pPr>
      <w:bookmarkStart w:id="96"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96"/>
    <w:p>
      <w:pPr>
        <w:ind w:firstLine="420" w:firstLineChars="200"/>
        <w:rPr>
          <w:rFonts w:ascii="黑体" w:hAnsi="宋体" w:eastAsia="黑体"/>
          <w:szCs w:val="21"/>
        </w:rPr>
      </w:pPr>
      <w:r>
        <w:rPr>
          <w:rFonts w:hint="eastAsia" w:ascii="黑体" w:hAnsi="宋体" w:eastAsia="黑体"/>
          <w:szCs w:val="21"/>
        </w:rPr>
        <w:t>21．</w:t>
      </w:r>
      <w:bookmarkStart w:id="97" w:name="_Hlk72402325"/>
      <w:r>
        <w:rPr>
          <w:rFonts w:hint="eastAsia" w:ascii="黑体" w:hAnsi="宋体" w:eastAsia="黑体"/>
          <w:szCs w:val="21"/>
        </w:rPr>
        <w:t xml:space="preserve">关于投标保证金 </w:t>
      </w:r>
    </w:p>
    <w:p>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pPr>
        <w:ind w:firstLine="420" w:firstLineChars="200"/>
        <w:rPr>
          <w:rFonts w:ascii="黑体" w:hAnsi="宋体" w:eastAsia="黑体"/>
          <w:szCs w:val="21"/>
        </w:rPr>
      </w:pPr>
      <w:r>
        <w:rPr>
          <w:rFonts w:hint="eastAsia" w:ascii="黑体" w:hAnsi="宋体" w:eastAsia="黑体"/>
          <w:szCs w:val="21"/>
        </w:rPr>
        <w:t>22．投标人的替代方案</w:t>
      </w:r>
    </w:p>
    <w:p>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97"/>
    <w:p>
      <w:pPr>
        <w:ind w:firstLine="420" w:firstLineChars="200"/>
        <w:rPr>
          <w:rFonts w:ascii="黑体" w:hAnsi="宋体" w:eastAsia="黑体"/>
          <w:szCs w:val="21"/>
        </w:rPr>
      </w:pPr>
      <w:r>
        <w:rPr>
          <w:rFonts w:hint="eastAsia" w:ascii="黑体" w:hAnsi="宋体" w:eastAsia="黑体"/>
          <w:szCs w:val="21"/>
        </w:rPr>
        <w:t>23．</w:t>
      </w:r>
      <w:bookmarkStart w:id="98"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pPr>
        <w:ind w:firstLine="420" w:firstLineChars="200"/>
        <w:rPr>
          <w:rFonts w:ascii="宋体" w:hAnsi="宋体"/>
          <w:szCs w:val="21"/>
        </w:rPr>
      </w:pPr>
      <w:r>
        <w:rPr>
          <w:rFonts w:hint="eastAsia" w:ascii="宋体" w:hAnsi="宋体"/>
          <w:szCs w:val="21"/>
        </w:rPr>
        <w:t>23.1投标人应准备所投项目的电子投标文件一份。</w:t>
      </w:r>
    </w:p>
    <w:p>
      <w:pPr>
        <w:ind w:firstLine="420" w:firstLineChars="200"/>
        <w:rPr>
          <w:rFonts w:ascii="宋体" w:hAnsi="宋体"/>
          <w:szCs w:val="21"/>
        </w:rPr>
      </w:pPr>
      <w:r>
        <w:rPr>
          <w:rFonts w:hint="eastAsia" w:ascii="宋体" w:hAnsi="宋体"/>
          <w:szCs w:val="21"/>
        </w:rPr>
        <w:t>23.2投标人在使用《投标书编制软件》编制投标书时须注意：</w:t>
      </w:r>
    </w:p>
    <w:p>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pPr>
        <w:ind w:firstLine="420" w:firstLineChars="200"/>
        <w:rPr>
          <w:rFonts w:ascii="宋体" w:hAnsi="宋体"/>
          <w:szCs w:val="21"/>
        </w:rPr>
      </w:pPr>
      <w:r>
        <w:rPr>
          <w:rFonts w:hint="eastAsia" w:ascii="宋体" w:hAnsi="宋体"/>
          <w:szCs w:val="21"/>
        </w:rPr>
        <w:t>23.3电报、电话、传真形式的投标概不接受。</w:t>
      </w:r>
    </w:p>
    <w:p>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98"/>
    </w:p>
    <w:p>
      <w:pPr>
        <w:ind w:firstLine="411" w:firstLineChars="196"/>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pPr>
        <w:ind w:firstLine="420" w:firstLineChars="200"/>
        <w:rPr>
          <w:rFonts w:ascii="黑体" w:hAnsi="宋体" w:eastAsia="黑体"/>
          <w:szCs w:val="21"/>
        </w:rPr>
      </w:pPr>
      <w:bookmarkStart w:id="99" w:name="_Hlk72405459"/>
      <w:r>
        <w:rPr>
          <w:rFonts w:hint="eastAsia" w:ascii="黑体" w:hAnsi="宋体" w:eastAsia="黑体"/>
          <w:szCs w:val="21"/>
        </w:rPr>
        <w:t>24．投标文件的保密</w:t>
      </w:r>
    </w:p>
    <w:p>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pPr>
        <w:ind w:firstLine="422" w:firstLineChars="200"/>
        <w:rPr>
          <w:rFonts w:ascii="宋体" w:hAnsi="宋体"/>
          <w:b/>
          <w:szCs w:val="21"/>
        </w:rPr>
      </w:pPr>
      <w:r>
        <w:rPr>
          <w:rFonts w:hint="eastAsia" w:ascii="宋体" w:hAnsi="宋体"/>
          <w:b/>
          <w:szCs w:val="21"/>
        </w:rPr>
        <w:t>24.2若采购项目出现延期情况：</w:t>
      </w:r>
    </w:p>
    <w:p>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pPr>
        <w:ind w:firstLine="420" w:firstLineChars="200"/>
        <w:rPr>
          <w:rFonts w:ascii="黑体" w:hAnsi="宋体" w:eastAsia="黑体"/>
          <w:szCs w:val="21"/>
        </w:rPr>
      </w:pPr>
      <w:r>
        <w:rPr>
          <w:rFonts w:hint="eastAsia" w:ascii="黑体" w:hAnsi="宋体" w:eastAsia="黑体"/>
          <w:szCs w:val="21"/>
        </w:rPr>
        <w:t>25．上传投标文件及投标截止日期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99"/>
    <w:p>
      <w:pPr>
        <w:ind w:firstLine="420" w:firstLineChars="200"/>
        <w:rPr>
          <w:rFonts w:ascii="黑体" w:hAnsi="宋体" w:eastAsia="黑体"/>
          <w:szCs w:val="21"/>
        </w:rPr>
      </w:pPr>
      <w:r>
        <w:rPr>
          <w:rFonts w:hint="eastAsia" w:ascii="黑体" w:hAnsi="宋体" w:eastAsia="黑体"/>
          <w:szCs w:val="21"/>
        </w:rPr>
        <w:t>26. 样品、现场演示、方案讲解</w:t>
      </w:r>
    </w:p>
    <w:p>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pPr>
        <w:ind w:firstLine="420" w:firstLineChars="200"/>
        <w:rPr>
          <w:rFonts w:ascii="黑体" w:hAnsi="宋体" w:eastAsia="黑体"/>
          <w:szCs w:val="21"/>
        </w:rPr>
      </w:pPr>
      <w:bookmarkStart w:id="100"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100"/>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pPr>
        <w:ind w:firstLine="420" w:firstLineChars="200"/>
        <w:rPr>
          <w:rFonts w:ascii="黑体" w:hAnsi="宋体" w:eastAsia="黑体"/>
          <w:szCs w:val="21"/>
        </w:rPr>
      </w:pPr>
      <w:r>
        <w:rPr>
          <w:rFonts w:hint="eastAsia" w:ascii="黑体" w:hAnsi="宋体" w:eastAsia="黑体"/>
          <w:szCs w:val="21"/>
        </w:rPr>
        <w:t>28．开标</w:t>
      </w:r>
    </w:p>
    <w:p>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pPr>
        <w:ind w:firstLine="315" w:firstLineChars="150"/>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pPr>
        <w:ind w:firstLine="420" w:firstLineChars="200"/>
        <w:rPr>
          <w:rFonts w:ascii="黑体" w:hAnsi="宋体" w:eastAsia="黑体"/>
          <w:szCs w:val="21"/>
        </w:rPr>
      </w:pPr>
      <w:r>
        <w:rPr>
          <w:rFonts w:hint="eastAsia" w:ascii="黑体" w:hAnsi="宋体" w:eastAsia="黑体"/>
          <w:szCs w:val="21"/>
        </w:rPr>
        <w:t>29．评审委员会组成</w:t>
      </w:r>
    </w:p>
    <w:p>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pPr>
        <w:ind w:firstLine="420" w:firstLineChars="200"/>
        <w:rPr>
          <w:rFonts w:ascii="宋体" w:hAnsi="宋体"/>
          <w:szCs w:val="21"/>
        </w:rPr>
      </w:pPr>
      <w:bookmarkStart w:id="101"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1"/>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pPr>
        <w:ind w:firstLine="420" w:firstLineChars="200"/>
        <w:rPr>
          <w:rFonts w:ascii="宋体" w:hAnsi="宋体"/>
          <w:szCs w:val="21"/>
        </w:rPr>
      </w:pPr>
      <w:r>
        <w:rPr>
          <w:rFonts w:hint="eastAsia" w:ascii="宋体" w:hAnsi="宋体"/>
          <w:szCs w:val="21"/>
        </w:rPr>
        <w:t>29.2评审定标应当遵循公平、公正、科学、择优的原则。</w:t>
      </w:r>
    </w:p>
    <w:p>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pPr>
        <w:ind w:firstLine="420" w:firstLineChars="200"/>
        <w:rPr>
          <w:rFonts w:ascii="黑体" w:hAnsi="宋体" w:eastAsia="黑体"/>
          <w:szCs w:val="21"/>
        </w:rPr>
      </w:pPr>
      <w:r>
        <w:rPr>
          <w:rFonts w:hint="eastAsia" w:ascii="黑体" w:hAnsi="宋体" w:eastAsia="黑体"/>
          <w:szCs w:val="21"/>
        </w:rPr>
        <w:t>30．向评审委员会提供的资料</w:t>
      </w:r>
    </w:p>
    <w:p>
      <w:pPr>
        <w:ind w:firstLine="420" w:firstLineChars="200"/>
        <w:rPr>
          <w:rFonts w:ascii="宋体" w:hAnsi="宋体"/>
          <w:szCs w:val="21"/>
        </w:rPr>
      </w:pPr>
      <w:r>
        <w:rPr>
          <w:rFonts w:hint="eastAsia" w:ascii="宋体" w:hAnsi="宋体"/>
          <w:szCs w:val="21"/>
        </w:rPr>
        <w:t>30.1公开发布的招标文件，包括图纸、服务清单、答疑文件等；</w:t>
      </w:r>
    </w:p>
    <w:p>
      <w:pPr>
        <w:ind w:firstLine="420" w:firstLineChars="200"/>
        <w:rPr>
          <w:rFonts w:ascii="宋体" w:hAnsi="宋体"/>
          <w:szCs w:val="21"/>
        </w:rPr>
      </w:pPr>
      <w:r>
        <w:rPr>
          <w:rFonts w:hint="eastAsia" w:ascii="宋体" w:hAnsi="宋体"/>
          <w:szCs w:val="21"/>
        </w:rPr>
        <w:t>30.2其他评标必须的资料。</w:t>
      </w:r>
    </w:p>
    <w:p>
      <w:pPr>
        <w:ind w:firstLine="420" w:firstLineChars="200"/>
        <w:rPr>
          <w:rFonts w:ascii="宋体" w:hAnsi="宋体"/>
          <w:szCs w:val="21"/>
        </w:rPr>
      </w:pPr>
      <w:r>
        <w:rPr>
          <w:rFonts w:hint="eastAsia" w:ascii="宋体" w:hAnsi="宋体"/>
          <w:szCs w:val="21"/>
        </w:rPr>
        <w:t>30.3评审委员会应当认真研究招标文件，至少应了解熟悉以下内容：</w:t>
      </w:r>
    </w:p>
    <w:p>
      <w:pPr>
        <w:ind w:firstLine="420" w:firstLineChars="200"/>
        <w:rPr>
          <w:rFonts w:ascii="宋体" w:hAnsi="宋体"/>
          <w:szCs w:val="21"/>
        </w:rPr>
      </w:pPr>
      <w:r>
        <w:rPr>
          <w:rFonts w:hint="eastAsia" w:ascii="宋体" w:hAnsi="宋体"/>
          <w:szCs w:val="21"/>
        </w:rPr>
        <w:t>（1）招标的目的；</w:t>
      </w:r>
    </w:p>
    <w:p>
      <w:pPr>
        <w:ind w:firstLine="420" w:firstLineChars="200"/>
        <w:rPr>
          <w:rFonts w:ascii="宋体" w:hAnsi="宋体"/>
          <w:szCs w:val="21"/>
        </w:rPr>
      </w:pPr>
      <w:r>
        <w:rPr>
          <w:rFonts w:hint="eastAsia" w:ascii="宋体" w:hAnsi="宋体"/>
          <w:szCs w:val="21"/>
        </w:rPr>
        <w:t>（2）招标项目需求的范围和性质；</w:t>
      </w:r>
    </w:p>
    <w:p>
      <w:pPr>
        <w:ind w:firstLine="420" w:firstLineChars="200"/>
        <w:rPr>
          <w:rFonts w:ascii="宋体" w:hAnsi="宋体"/>
          <w:szCs w:val="21"/>
        </w:rPr>
      </w:pPr>
      <w:r>
        <w:rPr>
          <w:rFonts w:hint="eastAsia" w:ascii="宋体" w:hAnsi="宋体"/>
          <w:szCs w:val="21"/>
        </w:rPr>
        <w:t>（3）招标文件规定的投标人的资格、财政预算限额、商务条款；</w:t>
      </w:r>
    </w:p>
    <w:p>
      <w:pPr>
        <w:ind w:firstLine="420" w:firstLineChars="200"/>
        <w:rPr>
          <w:rFonts w:ascii="宋体" w:hAnsi="宋体"/>
          <w:szCs w:val="21"/>
        </w:rPr>
      </w:pPr>
      <w:r>
        <w:rPr>
          <w:rFonts w:hint="eastAsia" w:ascii="宋体" w:hAnsi="宋体"/>
          <w:szCs w:val="21"/>
        </w:rPr>
        <w:t>（4）招标文件规定的评标程序、评标方法和评标因素；</w:t>
      </w:r>
    </w:p>
    <w:p>
      <w:pPr>
        <w:ind w:firstLine="420" w:firstLineChars="200"/>
        <w:rPr>
          <w:rFonts w:ascii="宋体" w:hAnsi="宋体"/>
          <w:szCs w:val="21"/>
        </w:rPr>
      </w:pPr>
      <w:r>
        <w:rPr>
          <w:rFonts w:hint="eastAsia" w:ascii="宋体" w:hAnsi="宋体"/>
          <w:szCs w:val="21"/>
        </w:rPr>
        <w:t>（5）招标文件所列示的资格性审查表及符合性审查表。</w:t>
      </w:r>
    </w:p>
    <w:p>
      <w:pPr>
        <w:ind w:firstLine="420" w:firstLineChars="200"/>
        <w:rPr>
          <w:rFonts w:ascii="黑体" w:hAnsi="宋体" w:eastAsia="黑体"/>
          <w:szCs w:val="21"/>
        </w:rPr>
      </w:pPr>
      <w:r>
        <w:rPr>
          <w:rFonts w:hint="eastAsia" w:ascii="黑体" w:hAnsi="宋体" w:eastAsia="黑体"/>
          <w:szCs w:val="21"/>
        </w:rPr>
        <w:t>31．独立评审</w:t>
      </w:r>
    </w:p>
    <w:p>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pPr>
        <w:ind w:firstLine="411" w:firstLineChars="196"/>
        <w:rPr>
          <w:rFonts w:ascii="宋体" w:hAnsi="宋体"/>
          <w:bCs/>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pPr>
        <w:ind w:firstLine="420" w:firstLineChars="200"/>
        <w:rPr>
          <w:rFonts w:ascii="黑体" w:hAnsi="宋体" w:eastAsia="黑体"/>
          <w:szCs w:val="21"/>
        </w:rPr>
      </w:pPr>
      <w:r>
        <w:rPr>
          <w:rFonts w:hint="eastAsia" w:ascii="黑体" w:hAnsi="宋体" w:eastAsia="黑体"/>
          <w:szCs w:val="21"/>
        </w:rPr>
        <w:t>32．投标文件初审</w:t>
      </w:r>
    </w:p>
    <w:p>
      <w:pPr>
        <w:ind w:firstLine="420" w:firstLineChars="200"/>
        <w:rPr>
          <w:rFonts w:ascii="宋体" w:hAnsi="宋体"/>
          <w:szCs w:val="21"/>
        </w:rPr>
      </w:pPr>
      <w:r>
        <w:rPr>
          <w:rFonts w:hint="eastAsia" w:ascii="宋体" w:hAnsi="宋体"/>
          <w:szCs w:val="21"/>
        </w:rPr>
        <w:t>32.1投标文件初审包括资格性审查和符合性审查。</w:t>
      </w:r>
    </w:p>
    <w:p>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pPr>
        <w:ind w:firstLine="420" w:firstLineChars="200"/>
        <w:rPr>
          <w:rFonts w:ascii="宋体" w:hAnsi="宋体"/>
          <w:bCs/>
          <w:szCs w:val="21"/>
        </w:rPr>
      </w:pPr>
      <w:r>
        <w:rPr>
          <w:rFonts w:hint="eastAsia" w:ascii="宋体" w:hAnsi="宋体"/>
          <w:bCs/>
          <w:szCs w:val="21"/>
        </w:rPr>
        <w:t>32.3 投标文件初审中关于供应商家数的计算:</w:t>
      </w:r>
    </w:p>
    <w:p>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pPr>
        <w:ind w:firstLine="420" w:firstLineChars="200"/>
        <w:rPr>
          <w:rFonts w:ascii="宋体" w:hAnsi="宋体"/>
          <w:szCs w:val="21"/>
        </w:rPr>
      </w:pPr>
      <w:r>
        <w:rPr>
          <w:rFonts w:hint="eastAsia" w:ascii="宋体" w:hAnsi="宋体"/>
          <w:szCs w:val="21"/>
        </w:rPr>
        <w:t>32.4投标人投标文件作无效处理的情形，具体包括但不限于以下：</w:t>
      </w:r>
    </w:p>
    <w:p>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pPr>
        <w:ind w:firstLine="420" w:firstLineChars="200"/>
        <w:rPr>
          <w:rFonts w:ascii="宋体" w:hAnsi="宋体"/>
          <w:szCs w:val="21"/>
        </w:rPr>
      </w:pPr>
      <w:r>
        <w:rPr>
          <w:rFonts w:hint="eastAsia" w:ascii="宋体" w:hAnsi="宋体"/>
          <w:szCs w:val="21"/>
        </w:rPr>
        <w:t>32.4.4不同投标人的投标文件异常一致或者投标报价呈规律性差异；</w:t>
      </w:r>
    </w:p>
    <w:p>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pPr>
        <w:ind w:firstLine="420" w:firstLineChars="200"/>
        <w:rPr>
          <w:rFonts w:ascii="宋体" w:hAnsi="宋体"/>
          <w:szCs w:val="21"/>
        </w:rPr>
      </w:pPr>
      <w:r>
        <w:rPr>
          <w:rFonts w:hint="eastAsia" w:ascii="宋体" w:hAnsi="宋体"/>
          <w:szCs w:val="21"/>
        </w:rPr>
        <w:t>32.4.6投标供应商之间相互约定给予未中标的供应商利益补偿；</w:t>
      </w:r>
    </w:p>
    <w:p>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pPr>
        <w:ind w:firstLine="420" w:firstLineChars="200"/>
        <w:rPr>
          <w:rFonts w:ascii="宋体" w:hAnsi="宋体"/>
          <w:szCs w:val="21"/>
        </w:rPr>
      </w:pPr>
      <w:r>
        <w:rPr>
          <w:rFonts w:hint="eastAsia" w:ascii="宋体" w:hAnsi="宋体"/>
          <w:szCs w:val="21"/>
        </w:rPr>
        <w:t>32.4.8不同投标供应商的投标文件内容存在非正常一致；</w:t>
      </w:r>
    </w:p>
    <w:p>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pPr>
        <w:ind w:firstLine="420" w:firstLineChars="200"/>
        <w:rPr>
          <w:rFonts w:ascii="宋体" w:hAnsi="宋体"/>
          <w:szCs w:val="21"/>
        </w:rPr>
      </w:pPr>
      <w:r>
        <w:rPr>
          <w:rFonts w:hint="eastAsia" w:ascii="宋体" w:hAnsi="宋体"/>
          <w:szCs w:val="21"/>
        </w:rPr>
        <w:t>32.4.10主管部门依照法律、法规认定的其他情形。</w:t>
      </w:r>
    </w:p>
    <w:p>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pPr>
        <w:ind w:firstLine="420" w:firstLineChars="200"/>
        <w:rPr>
          <w:rFonts w:ascii="黑体" w:hAnsi="宋体" w:eastAsia="黑体"/>
          <w:szCs w:val="21"/>
        </w:rPr>
      </w:pPr>
      <w:r>
        <w:rPr>
          <w:rFonts w:hint="eastAsia" w:ascii="黑体" w:hAnsi="宋体" w:eastAsia="黑体"/>
          <w:szCs w:val="21"/>
        </w:rPr>
        <w:t>33．澄清有关问题</w:t>
      </w:r>
    </w:p>
    <w:p>
      <w:pPr>
        <w:ind w:firstLine="420" w:firstLineChars="200"/>
        <w:rPr>
          <w:rFonts w:ascii="宋体" w:hAnsi="宋体"/>
          <w:szCs w:val="21"/>
        </w:rPr>
      </w:pPr>
      <w:bookmarkStart w:id="102"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2"/>
    </w:p>
    <w:p>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pPr>
        <w:ind w:firstLine="420" w:firstLineChars="200"/>
        <w:rPr>
          <w:rFonts w:ascii="黑体" w:hAnsi="宋体" w:eastAsia="黑体"/>
          <w:szCs w:val="21"/>
        </w:rPr>
      </w:pPr>
      <w:bookmarkStart w:id="103" w:name="_Toc100052400"/>
      <w:bookmarkStart w:id="104" w:name="_Toc73518151"/>
      <w:bookmarkStart w:id="105" w:name="_Toc73521581"/>
      <w:bookmarkStart w:id="106" w:name="_Toc73521669"/>
      <w:bookmarkStart w:id="107" w:name="_Toc73517673"/>
      <w:r>
        <w:rPr>
          <w:rFonts w:hint="eastAsia" w:ascii="黑体" w:hAnsi="宋体" w:eastAsia="黑体"/>
          <w:szCs w:val="21"/>
        </w:rPr>
        <w:t>34．错误的修正</w:t>
      </w:r>
      <w:bookmarkEnd w:id="103"/>
      <w:bookmarkEnd w:id="104"/>
      <w:bookmarkEnd w:id="105"/>
      <w:bookmarkEnd w:id="106"/>
      <w:bookmarkEnd w:id="107"/>
    </w:p>
    <w:p>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pPr>
        <w:ind w:firstLine="420" w:firstLineChars="200"/>
        <w:rPr>
          <w:rFonts w:ascii="宋体" w:hAnsi="宋体"/>
          <w:szCs w:val="21"/>
        </w:rPr>
      </w:pPr>
      <w:r>
        <w:rPr>
          <w:rFonts w:hint="eastAsia" w:ascii="宋体" w:hAnsi="宋体"/>
          <w:szCs w:val="21"/>
        </w:rPr>
        <w:t>34.2大写金额和小写金额不一致的，以大写金额为准；</w:t>
      </w:r>
    </w:p>
    <w:p>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pPr>
        <w:ind w:firstLine="420" w:firstLineChars="200"/>
        <w:rPr>
          <w:rFonts w:ascii="宋体" w:hAnsi="宋体"/>
          <w:szCs w:val="21"/>
        </w:rPr>
      </w:pPr>
      <w:r>
        <w:rPr>
          <w:rFonts w:hint="eastAsia" w:ascii="宋体" w:hAnsi="宋体"/>
          <w:szCs w:val="21"/>
        </w:rPr>
        <w:t>34.4总价金额与按单价汇总金额不一致的，以单价金额计算结果为准。</w:t>
      </w:r>
    </w:p>
    <w:p>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pPr>
        <w:ind w:firstLine="420" w:firstLineChars="200"/>
        <w:rPr>
          <w:rFonts w:ascii="黑体" w:hAnsi="宋体" w:eastAsia="黑体"/>
          <w:szCs w:val="21"/>
        </w:rPr>
      </w:pPr>
      <w:r>
        <w:rPr>
          <w:rFonts w:hint="eastAsia" w:ascii="黑体" w:hAnsi="宋体" w:eastAsia="黑体"/>
          <w:szCs w:val="21"/>
        </w:rPr>
        <w:t>35．投标文件的比较与评价</w:t>
      </w:r>
    </w:p>
    <w:p>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pPr>
        <w:ind w:firstLine="420" w:firstLineChars="200"/>
        <w:rPr>
          <w:rFonts w:ascii="黑体" w:hAnsi="宋体" w:eastAsia="黑体"/>
          <w:szCs w:val="21"/>
        </w:rPr>
      </w:pPr>
      <w:r>
        <w:rPr>
          <w:rFonts w:hint="eastAsia" w:ascii="黑体" w:hAnsi="宋体" w:eastAsia="黑体"/>
          <w:szCs w:val="21"/>
        </w:rPr>
        <w:t>36. 实地考察或资料查验</w:t>
      </w:r>
    </w:p>
    <w:p>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pPr>
        <w:ind w:firstLine="420" w:firstLineChars="200"/>
        <w:rPr>
          <w:rFonts w:ascii="黑体" w:hAnsi="宋体" w:eastAsia="黑体"/>
          <w:szCs w:val="21"/>
        </w:rPr>
      </w:pPr>
      <w:r>
        <w:rPr>
          <w:rFonts w:hint="eastAsia" w:ascii="黑体" w:hAnsi="宋体" w:eastAsia="黑体"/>
          <w:szCs w:val="21"/>
        </w:rPr>
        <w:t>37．评审方法</w:t>
      </w:r>
    </w:p>
    <w:p>
      <w:pPr>
        <w:ind w:firstLine="422" w:firstLineChars="200"/>
        <w:rPr>
          <w:rFonts w:ascii="宋体" w:hAnsi="宋体"/>
          <w:b/>
          <w:bCs/>
          <w:szCs w:val="21"/>
        </w:rPr>
      </w:pPr>
      <w:r>
        <w:rPr>
          <w:rFonts w:hint="eastAsia" w:ascii="宋体" w:hAnsi="宋体"/>
          <w:b/>
          <w:bCs/>
          <w:szCs w:val="21"/>
        </w:rPr>
        <w:t>37.1.1最低价法</w:t>
      </w:r>
    </w:p>
    <w:p>
      <w:pPr>
        <w:ind w:firstLine="420" w:firstLineChars="200"/>
        <w:rPr>
          <w:rFonts w:ascii="ˎ̥" w:hAnsi="ˎ̥"/>
          <w:szCs w:val="21"/>
        </w:rPr>
      </w:pPr>
      <w:bookmarkStart w:id="108"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pPr>
        <w:ind w:firstLine="422" w:firstLineChars="200"/>
        <w:rPr>
          <w:rFonts w:ascii="宋体" w:hAnsi="宋体"/>
          <w:b/>
          <w:bCs/>
          <w:szCs w:val="21"/>
        </w:rPr>
      </w:pPr>
      <w:r>
        <w:rPr>
          <w:rFonts w:hint="eastAsia" w:ascii="宋体" w:hAnsi="宋体"/>
          <w:b/>
          <w:bCs/>
          <w:szCs w:val="21"/>
        </w:rPr>
        <w:t>37.1.2综合评分法</w:t>
      </w:r>
    </w:p>
    <w:p>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08"/>
      <w:r>
        <w:rPr>
          <w:rFonts w:hint="eastAsia" w:ascii="宋体" w:hAnsi="宋体"/>
          <w:bCs/>
          <w:color w:val="FF0000"/>
          <w:szCs w:val="21"/>
        </w:rPr>
        <w:t xml:space="preserve">  </w:t>
      </w:r>
      <w:r>
        <w:rPr>
          <w:rFonts w:hint="eastAsia" w:ascii="宋体" w:hAnsi="宋体"/>
          <w:bCs/>
          <w:szCs w:val="21"/>
        </w:rPr>
        <w:t xml:space="preserve">                                                                                                                                                                                                                                                                                                                                                                                                                                                                                                                                                                                                                                                                                                                                                                                                                                                                                                                                                                                                                                                                                                                                                                                                                                                                                                                                                                                                                                                                                                                                                                                                                                                                                                                                                                                                                                                                                                                                                                                                                                                                                                                                                                                                                                                                                                                                                                                                                                                                                                                                                                                                                                                                                                                                                                                                                                                                                                                                                                                                                           </w:t>
      </w:r>
    </w:p>
    <w:p>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pPr>
        <w:ind w:firstLine="422" w:firstLineChars="200"/>
        <w:rPr>
          <w:rFonts w:ascii="宋体" w:hAnsi="宋体"/>
          <w:b/>
          <w:bCs/>
          <w:szCs w:val="21"/>
        </w:rPr>
      </w:pPr>
      <w:r>
        <w:rPr>
          <w:rFonts w:hint="eastAsia" w:ascii="宋体" w:hAnsi="宋体"/>
          <w:b/>
          <w:bCs/>
          <w:szCs w:val="21"/>
        </w:rPr>
        <w:t>37.3重新评审的情形</w:t>
      </w:r>
    </w:p>
    <w:p>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pPr>
        <w:ind w:firstLine="420" w:firstLineChars="200"/>
        <w:rPr>
          <w:rFonts w:ascii="宋体" w:hAnsi="宋体" w:cs="宋体"/>
          <w:kern w:val="0"/>
          <w:szCs w:val="21"/>
        </w:rPr>
      </w:pPr>
      <w:r>
        <w:rPr>
          <w:rFonts w:hint="eastAsia" w:ascii="宋体" w:hAnsi="宋体" w:cs="宋体"/>
          <w:kern w:val="0"/>
          <w:szCs w:val="21"/>
        </w:rPr>
        <w:t>37.3.1分值汇总计算错误的；</w:t>
      </w:r>
    </w:p>
    <w:p>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pPr>
        <w:ind w:firstLine="422" w:firstLineChars="200"/>
        <w:rPr>
          <w:rFonts w:ascii="宋体" w:hAnsi="宋体"/>
          <w:b/>
          <w:bCs/>
          <w:szCs w:val="21"/>
        </w:rPr>
      </w:pPr>
      <w:r>
        <w:rPr>
          <w:rFonts w:hint="eastAsia" w:ascii="宋体" w:hAnsi="宋体"/>
          <w:b/>
          <w:bCs/>
          <w:szCs w:val="21"/>
        </w:rPr>
        <w:t xml:space="preserve"> 37.4重新组建评审委员会的情形</w:t>
      </w:r>
    </w:p>
    <w:p>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pPr>
        <w:ind w:firstLine="411" w:firstLineChars="196"/>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pPr>
        <w:ind w:firstLine="420" w:firstLineChars="200"/>
        <w:rPr>
          <w:rFonts w:ascii="黑体" w:hAnsi="宋体" w:eastAsia="黑体"/>
          <w:szCs w:val="21"/>
        </w:rPr>
      </w:pPr>
      <w:r>
        <w:rPr>
          <w:rFonts w:hint="eastAsia" w:ascii="黑体" w:hAnsi="宋体" w:eastAsia="黑体"/>
          <w:szCs w:val="21"/>
        </w:rPr>
        <w:t>38．定标方法</w:t>
      </w:r>
    </w:p>
    <w:p>
      <w:pPr>
        <w:ind w:firstLine="420" w:firstLineChars="200"/>
        <w:rPr>
          <w:rFonts w:ascii="宋体" w:hAnsi="宋体"/>
          <w:szCs w:val="21"/>
        </w:rPr>
      </w:pPr>
      <w:bookmarkStart w:id="109" w:name="_Hlk73782795"/>
      <w:r>
        <w:rPr>
          <w:rFonts w:hint="eastAsia" w:ascii="宋体" w:hAnsi="宋体"/>
          <w:szCs w:val="21"/>
        </w:rPr>
        <w:t>38.1非评定分离项目定标方法</w:t>
      </w:r>
    </w:p>
    <w:p>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0" w:name="_Hlk73821177"/>
      <w:r>
        <w:rPr>
          <w:rFonts w:hint="eastAsia" w:ascii="ˎ̥" w:hAnsi="ˎ̥"/>
          <w:szCs w:val="21"/>
        </w:rPr>
        <w:t>唯一候选中标供应商</w:t>
      </w:r>
      <w:bookmarkEnd w:id="110"/>
      <w:r>
        <w:rPr>
          <w:rFonts w:ascii="ˎ̥" w:hAnsi="ˎ̥"/>
          <w:szCs w:val="21"/>
        </w:rPr>
        <w:t>。</w:t>
      </w:r>
    </w:p>
    <w:p>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pPr>
        <w:ind w:firstLine="420" w:firstLineChars="200"/>
        <w:rPr>
          <w:rFonts w:ascii="宋体" w:hAnsi="宋体"/>
          <w:szCs w:val="21"/>
        </w:rPr>
      </w:pPr>
      <w:r>
        <w:rPr>
          <w:rFonts w:hint="eastAsia" w:ascii="宋体" w:hAnsi="宋体"/>
          <w:szCs w:val="21"/>
        </w:rPr>
        <w:t>38.2评定分离项目定标方法</w:t>
      </w:r>
    </w:p>
    <w:p>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pPr>
        <w:ind w:firstLine="420" w:firstLineChars="200"/>
        <w:rPr>
          <w:szCs w:val="21"/>
        </w:rPr>
      </w:pPr>
      <w:r>
        <w:rPr>
          <w:rFonts w:ascii="宋体" w:hAnsi="宋体"/>
          <w:szCs w:val="21"/>
        </w:rPr>
        <w:t xml:space="preserve">38.2.2 </w:t>
      </w:r>
      <w:bookmarkStart w:id="111"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pPr>
        <w:ind w:firstLine="420" w:firstLineChars="200"/>
        <w:rPr>
          <w:rFonts w:ascii="宋体" w:hAnsi="宋体"/>
          <w:szCs w:val="21"/>
        </w:rPr>
      </w:pPr>
      <w:r>
        <w:rPr>
          <w:rFonts w:hint="eastAsia" w:ascii="宋体" w:hAnsi="宋体"/>
          <w:szCs w:val="21"/>
        </w:rPr>
        <w:t>38.2.3</w:t>
      </w:r>
      <w:bookmarkStart w:id="112"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1"/>
      <w:bookmarkEnd w:id="112"/>
    </w:p>
    <w:p>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pPr>
        <w:ind w:firstLine="420" w:firstLineChars="200"/>
        <w:rPr>
          <w:rFonts w:ascii="宋体" w:hAnsi="宋体"/>
          <w:szCs w:val="21"/>
        </w:rPr>
      </w:pPr>
      <w:r>
        <w:rPr>
          <w:rFonts w:hint="eastAsia" w:ascii="宋体" w:hAnsi="宋体"/>
          <w:szCs w:val="21"/>
        </w:rPr>
        <w:t>说明：采购人及投标供应商应按照上述方法提前做好相关准备。</w:t>
      </w:r>
    </w:p>
    <w:p>
      <w:pPr>
        <w:ind w:firstLine="420" w:firstLineChars="200"/>
        <w:rPr>
          <w:rFonts w:ascii="宋体" w:hAnsi="宋体"/>
          <w:szCs w:val="21"/>
        </w:rPr>
      </w:pPr>
      <w:r>
        <w:rPr>
          <w:rFonts w:hint="eastAsia" w:ascii="宋体" w:hAnsi="宋体"/>
          <w:szCs w:val="21"/>
        </w:rPr>
        <w:t>38.3专用条款另有规定的，按专用条款相关要求定标。</w:t>
      </w:r>
      <w:bookmarkEnd w:id="109"/>
    </w:p>
    <w:p>
      <w:pPr>
        <w:ind w:firstLine="420" w:firstLineChars="200"/>
        <w:rPr>
          <w:rFonts w:ascii="黑体" w:hAnsi="宋体" w:eastAsia="黑体"/>
          <w:szCs w:val="21"/>
        </w:rPr>
      </w:pPr>
      <w:r>
        <w:rPr>
          <w:rFonts w:hint="eastAsia" w:ascii="黑体" w:hAnsi="宋体" w:eastAsia="黑体"/>
          <w:szCs w:val="21"/>
        </w:rPr>
        <w:t>39．编写评审报告</w:t>
      </w:r>
    </w:p>
    <w:p>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pPr>
        <w:ind w:firstLine="420" w:firstLineChars="200"/>
        <w:rPr>
          <w:rFonts w:ascii="黑体" w:hAnsi="宋体" w:eastAsia="黑体"/>
          <w:szCs w:val="21"/>
        </w:rPr>
      </w:pPr>
      <w:r>
        <w:rPr>
          <w:rFonts w:hint="eastAsia" w:ascii="黑体" w:hAnsi="宋体" w:eastAsia="黑体"/>
          <w:szCs w:val="21"/>
        </w:rPr>
        <w:t>40．中标（成交）公告</w:t>
      </w:r>
    </w:p>
    <w:p>
      <w:pPr>
        <w:ind w:firstLine="420" w:firstLineChars="200"/>
        <w:rPr>
          <w:rFonts w:ascii="宋体" w:hAnsi="宋体"/>
          <w:szCs w:val="21"/>
        </w:rPr>
      </w:pPr>
      <w:r>
        <w:rPr>
          <w:rFonts w:hint="eastAsia" w:ascii="宋体" w:hAnsi="宋体"/>
          <w:szCs w:val="21"/>
        </w:rPr>
        <w:t>40.1</w:t>
      </w:r>
      <w:bookmarkStart w:id="113"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13"/>
      <w:bookmarkStart w:id="114"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14"/>
    <w:p>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pPr>
        <w:ind w:firstLine="420" w:firstLineChars="200"/>
        <w:rPr>
          <w:rFonts w:ascii="黑体" w:hAnsi="宋体" w:eastAsia="黑体"/>
          <w:szCs w:val="21"/>
        </w:rPr>
      </w:pPr>
      <w:r>
        <w:rPr>
          <w:rFonts w:hint="eastAsia" w:ascii="黑体" w:hAnsi="宋体" w:eastAsia="黑体"/>
          <w:szCs w:val="21"/>
        </w:rPr>
        <w:t>41．中标通知书</w:t>
      </w:r>
    </w:p>
    <w:p>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15"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15"/>
    </w:p>
    <w:p>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pPr>
        <w:ind w:firstLine="420" w:firstLineChars="200"/>
        <w:rPr>
          <w:rFonts w:ascii="宋体" w:hAnsi="宋体"/>
          <w:szCs w:val="21"/>
        </w:rPr>
      </w:pPr>
      <w:bookmarkStart w:id="116" w:name="_Hlk71407340"/>
      <w:r>
        <w:rPr>
          <w:rFonts w:hint="eastAsia" w:ascii="宋体" w:hAnsi="宋体"/>
          <w:szCs w:val="21"/>
        </w:rPr>
        <w:t>41.3因质疑投诉或其他原因导致项目结果变更或采购终止的，政府集中采购机构有权吊销中标通知书。</w:t>
      </w:r>
    </w:p>
    <w:bookmarkEnd w:id="116"/>
    <w:p>
      <w:pPr>
        <w:ind w:firstLine="411" w:firstLineChars="196"/>
        <w:rPr>
          <w:rFonts w:ascii="宋体" w:hAnsi="宋体"/>
          <w:szCs w:val="21"/>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pPr>
        <w:ind w:firstLine="420" w:firstLineChars="200"/>
        <w:rPr>
          <w:rFonts w:ascii="黑体" w:hAnsi="宋体" w:eastAsia="黑体"/>
          <w:szCs w:val="21"/>
        </w:rPr>
      </w:pPr>
      <w:r>
        <w:rPr>
          <w:rFonts w:hint="eastAsia" w:ascii="黑体" w:hAnsi="宋体" w:eastAsia="黑体"/>
          <w:szCs w:val="21"/>
        </w:rPr>
        <w:t>42．公开招标失败的处理</w:t>
      </w:r>
    </w:p>
    <w:p>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pPr>
        <w:ind w:firstLine="411" w:firstLineChars="196"/>
        <w:rPr>
          <w:rFonts w:ascii="宋体" w:hAnsi="宋体"/>
          <w:szCs w:val="21"/>
        </w:rPr>
      </w:pPr>
      <w:r>
        <w:rPr>
          <w:rFonts w:hint="eastAsia" w:ascii="宋体" w:hAnsi="宋体"/>
          <w:szCs w:val="21"/>
        </w:rPr>
        <w:t>42.3重新组织采购有以下两种组织形式：</w:t>
      </w:r>
    </w:p>
    <w:p>
      <w:pPr>
        <w:ind w:firstLine="411" w:firstLineChars="196"/>
        <w:rPr>
          <w:rFonts w:ascii="宋体" w:hAnsi="宋体"/>
        </w:rPr>
      </w:pPr>
      <w:r>
        <w:rPr>
          <w:rFonts w:hint="eastAsia" w:ascii="宋体" w:hAnsi="宋体"/>
        </w:rPr>
        <w:t>（1）由政府集中采购机构重新组织公开招标；</w:t>
      </w:r>
    </w:p>
    <w:p>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pPr>
        <w:ind w:firstLine="420" w:firstLineChars="200"/>
        <w:rPr>
          <w:rFonts w:ascii="宋体" w:hAnsi="宋体"/>
          <w:szCs w:val="21"/>
        </w:rPr>
      </w:pPr>
    </w:p>
    <w:p>
      <w:pPr>
        <w:rPr>
          <w:rFonts w:ascii="黑体" w:hAnsi="宋体" w:eastAsia="黑体"/>
          <w:sz w:val="24"/>
        </w:rPr>
      </w:pPr>
    </w:p>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17" w:name="_Hlk72439043"/>
      <w:r>
        <w:rPr>
          <w:rFonts w:hint="eastAsia" w:asciiTheme="majorHAnsi" w:hAnsiTheme="majorHAnsi" w:eastAsiaTheme="majorEastAsia" w:cstheme="majorBidi"/>
          <w:b/>
          <w:bCs/>
          <w:sz w:val="28"/>
          <w:szCs w:val="28"/>
        </w:rPr>
        <w:t>合同的授予与备案</w:t>
      </w:r>
      <w:bookmarkEnd w:id="117"/>
    </w:p>
    <w:p>
      <w:pPr>
        <w:ind w:firstLine="420" w:firstLineChars="200"/>
        <w:rPr>
          <w:rFonts w:ascii="黑体" w:hAnsi="宋体" w:eastAsia="黑体"/>
          <w:szCs w:val="21"/>
        </w:rPr>
      </w:pPr>
      <w:bookmarkStart w:id="118" w:name="_Toc73518157"/>
      <w:bookmarkStart w:id="119" w:name="_Toc100052408"/>
      <w:bookmarkStart w:id="120" w:name="_Toc73521674"/>
      <w:bookmarkStart w:id="121" w:name="_Toc73521586"/>
      <w:bookmarkStart w:id="122" w:name="_Toc73517679"/>
      <w:bookmarkStart w:id="123" w:name="_Hlk72439088"/>
      <w:r>
        <w:rPr>
          <w:rFonts w:hint="eastAsia" w:ascii="黑体" w:hAnsi="宋体" w:eastAsia="黑体"/>
          <w:szCs w:val="21"/>
        </w:rPr>
        <w:t>43．合同授予标准</w:t>
      </w:r>
      <w:bookmarkEnd w:id="118"/>
      <w:bookmarkEnd w:id="119"/>
      <w:bookmarkEnd w:id="120"/>
      <w:bookmarkEnd w:id="121"/>
      <w:bookmarkEnd w:id="122"/>
    </w:p>
    <w:p>
      <w:pPr>
        <w:ind w:firstLine="420" w:firstLineChars="200"/>
        <w:rPr>
          <w:rFonts w:ascii="宋体" w:hAnsi="宋体"/>
          <w:szCs w:val="21"/>
        </w:rPr>
      </w:pPr>
      <w:r>
        <w:rPr>
          <w:rFonts w:hint="eastAsia" w:ascii="宋体" w:hAnsi="宋体"/>
          <w:szCs w:val="21"/>
        </w:rPr>
        <w:t>本项目的合同将授予经本招标文件规定评审确定的中标供应商。</w:t>
      </w:r>
    </w:p>
    <w:p>
      <w:pPr>
        <w:ind w:firstLine="420" w:firstLineChars="200"/>
        <w:rPr>
          <w:rFonts w:ascii="黑体" w:hAnsi="宋体" w:eastAsia="黑体"/>
          <w:szCs w:val="21"/>
        </w:rPr>
      </w:pPr>
      <w:bookmarkStart w:id="124" w:name="_Toc73517680"/>
      <w:bookmarkStart w:id="125" w:name="_Toc73518158"/>
      <w:bookmarkStart w:id="126" w:name="_Toc73521587"/>
      <w:bookmarkStart w:id="127" w:name="_Toc100052409"/>
      <w:bookmarkStart w:id="128" w:name="_Toc73521675"/>
      <w:r>
        <w:rPr>
          <w:rFonts w:hint="eastAsia" w:ascii="黑体" w:hAnsi="宋体" w:eastAsia="黑体"/>
          <w:szCs w:val="21"/>
        </w:rPr>
        <w:t>44．</w:t>
      </w:r>
      <w:bookmarkEnd w:id="124"/>
      <w:bookmarkEnd w:id="125"/>
      <w:bookmarkEnd w:id="126"/>
      <w:bookmarkEnd w:id="127"/>
      <w:bookmarkEnd w:id="128"/>
      <w:r>
        <w:rPr>
          <w:rFonts w:hint="eastAsia" w:ascii="黑体" w:hAnsi="宋体" w:eastAsia="黑体"/>
          <w:szCs w:val="21"/>
        </w:rPr>
        <w:t>接受和拒绝任何或所有投标的权力</w:t>
      </w:r>
    </w:p>
    <w:p>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pPr>
        <w:ind w:firstLine="420" w:firstLineChars="200"/>
        <w:rPr>
          <w:rFonts w:ascii="黑体" w:hAnsi="宋体" w:eastAsia="黑体"/>
          <w:szCs w:val="21"/>
        </w:rPr>
      </w:pPr>
      <w:bookmarkStart w:id="129" w:name="_Toc73521589"/>
      <w:bookmarkStart w:id="130" w:name="_Toc73521677"/>
      <w:bookmarkStart w:id="131" w:name="_Toc73518160"/>
      <w:bookmarkStart w:id="132" w:name="_Toc100052410"/>
      <w:bookmarkStart w:id="133" w:name="_Toc73517682"/>
      <w:r>
        <w:rPr>
          <w:rFonts w:hint="eastAsia" w:ascii="黑体" w:hAnsi="宋体" w:eastAsia="黑体"/>
          <w:szCs w:val="21"/>
        </w:rPr>
        <w:t>45．合同的签订</w:t>
      </w:r>
      <w:bookmarkEnd w:id="129"/>
      <w:bookmarkEnd w:id="130"/>
      <w:bookmarkEnd w:id="131"/>
      <w:bookmarkEnd w:id="132"/>
      <w:bookmarkEnd w:id="133"/>
    </w:p>
    <w:p>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pPr>
        <w:ind w:firstLine="420" w:firstLineChars="200"/>
        <w:rPr>
          <w:rFonts w:ascii="黑体" w:hAnsi="宋体" w:eastAsia="黑体"/>
          <w:szCs w:val="21"/>
        </w:rPr>
      </w:pPr>
      <w:bookmarkStart w:id="134" w:name="_Toc73521678"/>
      <w:bookmarkStart w:id="135" w:name="_Toc100052411"/>
      <w:bookmarkStart w:id="136" w:name="_Toc73517683"/>
      <w:bookmarkStart w:id="137" w:name="_Toc73521590"/>
      <w:bookmarkStart w:id="138" w:name="_Toc73518161"/>
      <w:r>
        <w:rPr>
          <w:rFonts w:hint="eastAsia" w:ascii="黑体" w:hAnsi="宋体" w:eastAsia="黑体"/>
          <w:szCs w:val="21"/>
        </w:rPr>
        <w:t>46．履约担保</w:t>
      </w:r>
      <w:bookmarkEnd w:id="134"/>
      <w:bookmarkEnd w:id="135"/>
      <w:bookmarkEnd w:id="136"/>
      <w:bookmarkEnd w:id="137"/>
      <w:bookmarkEnd w:id="138"/>
    </w:p>
    <w:p>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pPr>
        <w:ind w:firstLine="420" w:firstLineChars="200"/>
        <w:rPr>
          <w:rFonts w:ascii="黑体" w:hAnsi="宋体" w:eastAsia="黑体"/>
          <w:szCs w:val="21"/>
        </w:rPr>
      </w:pPr>
      <w:r>
        <w:rPr>
          <w:rFonts w:hint="eastAsia" w:ascii="黑体" w:hAnsi="宋体" w:eastAsia="黑体"/>
          <w:szCs w:val="21"/>
        </w:rPr>
        <w:t>47. 合同备案</w:t>
      </w:r>
    </w:p>
    <w:p>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pPr>
        <w:ind w:firstLine="420" w:firstLineChars="200"/>
        <w:rPr>
          <w:rFonts w:ascii="黑体" w:hAnsi="宋体" w:eastAsia="黑体"/>
          <w:szCs w:val="21"/>
        </w:rPr>
      </w:pPr>
      <w:r>
        <w:rPr>
          <w:rFonts w:hint="eastAsia" w:ascii="黑体" w:hAnsi="宋体" w:eastAsia="黑体"/>
          <w:szCs w:val="21"/>
        </w:rPr>
        <w:t>48. 合同变更</w:t>
      </w:r>
    </w:p>
    <w:p>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pPr>
        <w:ind w:firstLine="420" w:firstLineChars="200"/>
        <w:rPr>
          <w:rFonts w:ascii="黑体" w:hAnsi="宋体" w:eastAsia="黑体"/>
          <w:szCs w:val="21"/>
        </w:rPr>
      </w:pPr>
      <w:r>
        <w:rPr>
          <w:rFonts w:hint="eastAsia" w:ascii="黑体" w:hAnsi="宋体" w:eastAsia="黑体"/>
          <w:szCs w:val="21"/>
        </w:rPr>
        <w:t>49. 项目验收</w:t>
      </w:r>
    </w:p>
    <w:p>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pPr>
        <w:ind w:firstLine="420" w:firstLineChars="200"/>
        <w:rPr>
          <w:rFonts w:ascii="黑体" w:hAnsi="宋体" w:eastAsia="黑体"/>
          <w:szCs w:val="21"/>
        </w:rPr>
      </w:pPr>
      <w:r>
        <w:rPr>
          <w:rFonts w:hint="eastAsia" w:ascii="黑体" w:hAnsi="宋体" w:eastAsia="黑体"/>
          <w:szCs w:val="21"/>
        </w:rPr>
        <w:t>50. 宣传</w:t>
      </w:r>
    </w:p>
    <w:p>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pPr>
        <w:ind w:firstLine="420" w:firstLineChars="200"/>
        <w:rPr>
          <w:rFonts w:ascii="宋体" w:hAnsi="宋体"/>
          <w:szCs w:val="21"/>
        </w:rPr>
      </w:pPr>
      <w:r>
        <w:rPr>
          <w:rFonts w:hint="eastAsia" w:ascii="宋体" w:hAnsi="宋体"/>
          <w:szCs w:val="21"/>
        </w:rPr>
        <w:t>a.名片、宣传册、广告标语等；</w:t>
      </w:r>
    </w:p>
    <w:p>
      <w:pPr>
        <w:ind w:firstLine="420" w:firstLineChars="200"/>
        <w:rPr>
          <w:rFonts w:ascii="宋体" w:hAnsi="宋体"/>
          <w:szCs w:val="21"/>
        </w:rPr>
      </w:pPr>
      <w:r>
        <w:rPr>
          <w:rFonts w:hint="eastAsia" w:ascii="宋体" w:hAnsi="宋体"/>
          <w:szCs w:val="21"/>
        </w:rPr>
        <w:t>b.案例介绍、推广等；</w:t>
      </w:r>
    </w:p>
    <w:p>
      <w:pPr>
        <w:ind w:firstLine="420" w:firstLineChars="200"/>
        <w:rPr>
          <w:rFonts w:ascii="宋体" w:hAnsi="宋体"/>
          <w:szCs w:val="21"/>
        </w:rPr>
      </w:pPr>
      <w:r>
        <w:rPr>
          <w:rFonts w:hint="eastAsia" w:ascii="宋体" w:hAnsi="宋体"/>
          <w:szCs w:val="21"/>
        </w:rPr>
        <w:t>c.工作人员向其他消费群体宣传。</w:t>
      </w:r>
    </w:p>
    <w:p>
      <w:pPr>
        <w:ind w:firstLine="420" w:firstLineChars="200"/>
        <w:rPr>
          <w:rFonts w:ascii="黑体" w:hAnsi="宋体" w:eastAsia="黑体"/>
          <w:szCs w:val="21"/>
        </w:rPr>
      </w:pPr>
      <w:r>
        <w:rPr>
          <w:rFonts w:hint="eastAsia" w:ascii="黑体" w:hAnsi="宋体" w:eastAsia="黑体"/>
          <w:szCs w:val="21"/>
        </w:rPr>
        <w:t>51. 供应商违法责任</w:t>
      </w:r>
    </w:p>
    <w:p>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pPr>
        <w:ind w:firstLine="420" w:firstLineChars="200"/>
        <w:rPr>
          <w:rFonts w:ascii="宋体" w:hAnsi="宋体"/>
          <w:szCs w:val="21"/>
        </w:rPr>
      </w:pPr>
      <w:r>
        <w:rPr>
          <w:rFonts w:hint="eastAsia" w:ascii="宋体" w:hAnsi="宋体"/>
          <w:szCs w:val="21"/>
        </w:rPr>
        <w:t>（1）在采购活动中应当回避而未回避的；</w:t>
      </w:r>
    </w:p>
    <w:p>
      <w:pPr>
        <w:ind w:firstLine="420" w:firstLineChars="200"/>
        <w:rPr>
          <w:rFonts w:ascii="宋体" w:hAnsi="宋体"/>
          <w:szCs w:val="21"/>
        </w:rPr>
      </w:pPr>
      <w:r>
        <w:rPr>
          <w:rFonts w:hint="eastAsia" w:ascii="宋体" w:hAnsi="宋体"/>
          <w:szCs w:val="21"/>
        </w:rPr>
        <w:t>（2）未按本条例规定签订、履行采购合同，造成严重后果的；</w:t>
      </w:r>
    </w:p>
    <w:p>
      <w:pPr>
        <w:ind w:firstLine="420" w:firstLineChars="200"/>
        <w:rPr>
          <w:rFonts w:ascii="宋体" w:hAnsi="宋体"/>
          <w:szCs w:val="21"/>
        </w:rPr>
      </w:pPr>
      <w:r>
        <w:rPr>
          <w:rFonts w:hint="eastAsia" w:ascii="宋体" w:hAnsi="宋体"/>
          <w:szCs w:val="21"/>
        </w:rPr>
        <w:t>（3）隐瞒真实情况，提供虚假资料的；</w:t>
      </w:r>
    </w:p>
    <w:p>
      <w:pPr>
        <w:ind w:firstLine="420" w:firstLineChars="200"/>
        <w:rPr>
          <w:rFonts w:ascii="宋体" w:hAnsi="宋体"/>
          <w:szCs w:val="21"/>
        </w:rPr>
      </w:pPr>
      <w:r>
        <w:rPr>
          <w:rFonts w:hint="eastAsia" w:ascii="宋体" w:hAnsi="宋体"/>
          <w:szCs w:val="21"/>
        </w:rPr>
        <w:t>（4）以非法手段排斥其他供应商参与竞争的；</w:t>
      </w:r>
    </w:p>
    <w:p>
      <w:pPr>
        <w:ind w:firstLine="420" w:firstLineChars="200"/>
        <w:rPr>
          <w:rFonts w:ascii="宋体" w:hAnsi="宋体"/>
          <w:szCs w:val="21"/>
        </w:rPr>
      </w:pPr>
      <w:r>
        <w:rPr>
          <w:rFonts w:hint="eastAsia" w:ascii="宋体" w:hAnsi="宋体"/>
          <w:szCs w:val="21"/>
        </w:rPr>
        <w:t>（5）与其他采购参加人串通投标的；</w:t>
      </w:r>
    </w:p>
    <w:p>
      <w:pPr>
        <w:ind w:firstLine="420" w:firstLineChars="200"/>
        <w:rPr>
          <w:rFonts w:ascii="宋体" w:hAnsi="宋体"/>
          <w:szCs w:val="21"/>
        </w:rPr>
      </w:pPr>
      <w:r>
        <w:rPr>
          <w:rFonts w:hint="eastAsia" w:ascii="宋体" w:hAnsi="宋体"/>
          <w:szCs w:val="21"/>
        </w:rPr>
        <w:t>（6）恶意投诉的；</w:t>
      </w:r>
    </w:p>
    <w:p>
      <w:pPr>
        <w:ind w:firstLine="420" w:firstLineChars="200"/>
        <w:rPr>
          <w:rFonts w:ascii="宋体" w:hAnsi="宋体"/>
          <w:szCs w:val="21"/>
        </w:rPr>
      </w:pPr>
      <w:r>
        <w:rPr>
          <w:rFonts w:hint="eastAsia" w:ascii="宋体" w:hAnsi="宋体"/>
          <w:szCs w:val="21"/>
        </w:rPr>
        <w:t>（7）向采购项目相关人行贿或者提供其他不当利益的；</w:t>
      </w:r>
    </w:p>
    <w:p>
      <w:pPr>
        <w:ind w:firstLine="420" w:firstLineChars="200"/>
        <w:rPr>
          <w:rFonts w:ascii="宋体" w:hAnsi="宋体"/>
          <w:szCs w:val="21"/>
        </w:rPr>
      </w:pPr>
      <w:r>
        <w:rPr>
          <w:rFonts w:hint="eastAsia" w:ascii="宋体" w:hAnsi="宋体"/>
          <w:szCs w:val="21"/>
        </w:rPr>
        <w:t>（8）阻碍、抗拒主管部门监督检查的；</w:t>
      </w:r>
    </w:p>
    <w:p>
      <w:pPr>
        <w:ind w:firstLine="420" w:firstLineChars="200"/>
        <w:rPr>
          <w:rFonts w:ascii="宋体" w:hAnsi="宋体"/>
          <w:szCs w:val="21"/>
        </w:rPr>
      </w:pPr>
      <w:r>
        <w:rPr>
          <w:rFonts w:hint="eastAsia" w:ascii="宋体" w:hAnsi="宋体"/>
          <w:szCs w:val="21"/>
        </w:rPr>
        <w:t>（9）其他违反本条例规定的行为。</w:t>
      </w:r>
    </w:p>
    <w:p>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39" w:name="_Hlk72440769"/>
      <w:r>
        <w:rPr>
          <w:rFonts w:hint="eastAsia" w:ascii="宋体" w:hAnsi="宋体"/>
          <w:szCs w:val="21"/>
        </w:rPr>
        <w:t>政府集中采购机构或采购人不予退还其交纳的谈判保证金，情节严重的，并由主管部门</w:t>
      </w:r>
      <w:bookmarkEnd w:id="139"/>
      <w:r>
        <w:rPr>
          <w:rFonts w:hint="eastAsia" w:ascii="宋体" w:hAnsi="宋体"/>
          <w:szCs w:val="21"/>
        </w:rPr>
        <w:t>记入供应商诚信档案，予以通报：</w:t>
      </w:r>
    </w:p>
    <w:p>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pPr>
        <w:pStyle w:val="8"/>
      </w:pPr>
    </w:p>
    <w:bookmarkEnd w:id="123"/>
    <w:p>
      <w:pPr>
        <w:pStyle w:val="32"/>
        <w:keepNext/>
        <w:keepLines/>
        <w:numPr>
          <w:ilvl w:val="0"/>
          <w:numId w:val="11"/>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pPr>
        <w:ind w:firstLine="420" w:firstLineChars="200"/>
        <w:rPr>
          <w:rFonts w:ascii="黑体" w:hAnsi="宋体" w:eastAsia="黑体"/>
          <w:szCs w:val="21"/>
        </w:rPr>
      </w:pPr>
      <w:r>
        <w:rPr>
          <w:rFonts w:hint="eastAsia" w:ascii="黑体" w:hAnsi="宋体" w:eastAsia="黑体"/>
          <w:szCs w:val="21"/>
        </w:rPr>
        <w:t>52.质疑提出与答复</w:t>
      </w:r>
    </w:p>
    <w:p>
      <w:pPr>
        <w:ind w:firstLine="420" w:firstLineChars="200"/>
        <w:rPr>
          <w:rFonts w:ascii="宋体" w:hAnsi="宋体"/>
          <w:szCs w:val="21"/>
        </w:rPr>
      </w:pPr>
      <w:r>
        <w:rPr>
          <w:rFonts w:hint="eastAsia" w:ascii="宋体" w:hAnsi="宋体"/>
          <w:szCs w:val="21"/>
        </w:rPr>
        <w:t>52.1提出质疑</w:t>
      </w:r>
    </w:p>
    <w:p>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pPr>
        <w:ind w:firstLine="420" w:firstLineChars="200"/>
        <w:rPr>
          <w:rFonts w:ascii="宋体" w:hAnsi="宋体"/>
          <w:szCs w:val="21"/>
        </w:rPr>
      </w:pPr>
      <w:r>
        <w:rPr>
          <w:rFonts w:hint="eastAsia" w:ascii="宋体" w:hAnsi="宋体"/>
          <w:szCs w:val="21"/>
        </w:rPr>
        <w:t>52.2</w:t>
      </w:r>
      <w:r>
        <w:rPr>
          <w:rFonts w:ascii="宋体" w:hAnsi="宋体"/>
          <w:szCs w:val="21"/>
        </w:rPr>
        <w:t>法律依据</w:t>
      </w:r>
    </w:p>
    <w:p>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pPr>
        <w:ind w:firstLine="420" w:firstLineChars="200"/>
        <w:rPr>
          <w:rFonts w:ascii="宋体" w:hAnsi="宋体"/>
          <w:szCs w:val="21"/>
        </w:rPr>
      </w:pPr>
      <w:r>
        <w:rPr>
          <w:rFonts w:hint="eastAsia" w:ascii="宋体" w:hAnsi="宋体"/>
          <w:szCs w:val="21"/>
        </w:rPr>
        <w:t>52.3质疑条件</w:t>
      </w:r>
    </w:p>
    <w:p>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40" w:name="_Hlk75374941"/>
      <w:r>
        <w:rPr>
          <w:rFonts w:hint="eastAsia" w:ascii="宋体" w:hAnsi="宋体"/>
          <w:szCs w:val="21"/>
        </w:rPr>
        <w:t>以联合体形式参与的，质疑应当由组成联合体的所有成员共同提出</w:t>
      </w:r>
      <w:bookmarkEnd w:id="140"/>
      <w:r>
        <w:rPr>
          <w:rFonts w:hint="eastAsia" w:ascii="宋体" w:hAnsi="宋体"/>
          <w:szCs w:val="21"/>
        </w:rPr>
        <w:t>；</w:t>
      </w:r>
    </w:p>
    <w:p>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pPr>
        <w:ind w:firstLine="420" w:firstLineChars="200"/>
        <w:rPr>
          <w:rFonts w:ascii="宋体" w:hAnsi="宋体"/>
          <w:szCs w:val="21"/>
        </w:rPr>
      </w:pPr>
      <w:r>
        <w:rPr>
          <w:rFonts w:hint="eastAsia" w:ascii="宋体" w:hAnsi="宋体"/>
          <w:szCs w:val="21"/>
        </w:rPr>
        <w:t>（1）供应商的名称（或者姓名）、地址、邮编、邮箱、联系人及联系电话；</w:t>
      </w:r>
    </w:p>
    <w:p>
      <w:pPr>
        <w:ind w:firstLine="420" w:firstLineChars="200"/>
        <w:rPr>
          <w:rFonts w:ascii="宋体" w:hAnsi="宋体"/>
          <w:szCs w:val="21"/>
        </w:rPr>
      </w:pPr>
      <w:r>
        <w:rPr>
          <w:rFonts w:hint="eastAsia" w:ascii="宋体" w:hAnsi="宋体"/>
          <w:szCs w:val="21"/>
        </w:rPr>
        <w:t>（2）质疑项目的名称、编号；</w:t>
      </w:r>
    </w:p>
    <w:p>
      <w:pPr>
        <w:ind w:firstLine="420" w:firstLineChars="200"/>
        <w:rPr>
          <w:rFonts w:ascii="宋体" w:hAnsi="宋体"/>
          <w:szCs w:val="21"/>
        </w:rPr>
      </w:pPr>
      <w:r>
        <w:rPr>
          <w:rFonts w:hint="eastAsia" w:ascii="宋体" w:hAnsi="宋体"/>
          <w:szCs w:val="21"/>
        </w:rPr>
        <w:t>（3）具体、明确的质疑对象、质疑事项和质疑请求；</w:t>
      </w:r>
    </w:p>
    <w:p>
      <w:pPr>
        <w:ind w:firstLine="420" w:firstLineChars="200"/>
        <w:rPr>
          <w:rFonts w:ascii="宋体" w:hAnsi="宋体"/>
          <w:szCs w:val="21"/>
        </w:rPr>
      </w:pPr>
      <w:r>
        <w:rPr>
          <w:rFonts w:hint="eastAsia" w:ascii="宋体" w:hAnsi="宋体"/>
          <w:szCs w:val="21"/>
        </w:rPr>
        <w:t>（4）因质疑事项而受损害的权益；</w:t>
      </w:r>
    </w:p>
    <w:p>
      <w:pPr>
        <w:ind w:firstLine="420" w:firstLineChars="200"/>
        <w:rPr>
          <w:rFonts w:ascii="宋体" w:hAnsi="宋体"/>
          <w:szCs w:val="21"/>
        </w:rPr>
      </w:pPr>
      <w:r>
        <w:rPr>
          <w:rFonts w:hint="eastAsia" w:ascii="宋体" w:hAnsi="宋体"/>
          <w:szCs w:val="21"/>
        </w:rPr>
        <w:t>（5）事实依据；</w:t>
      </w:r>
    </w:p>
    <w:p>
      <w:pPr>
        <w:ind w:firstLine="420" w:firstLineChars="200"/>
        <w:rPr>
          <w:rFonts w:ascii="宋体" w:hAnsi="宋体"/>
          <w:szCs w:val="21"/>
        </w:rPr>
      </w:pPr>
      <w:r>
        <w:rPr>
          <w:rFonts w:hint="eastAsia" w:ascii="宋体" w:hAnsi="宋体"/>
          <w:szCs w:val="21"/>
        </w:rPr>
        <w:t>（6）必要的法律依据；</w:t>
      </w:r>
    </w:p>
    <w:p>
      <w:pPr>
        <w:ind w:firstLine="420" w:firstLineChars="200"/>
        <w:rPr>
          <w:rFonts w:ascii="宋体" w:hAnsi="宋体"/>
          <w:szCs w:val="21"/>
        </w:rPr>
      </w:pPr>
      <w:r>
        <w:rPr>
          <w:rFonts w:hint="eastAsia" w:ascii="宋体" w:hAnsi="宋体"/>
          <w:szCs w:val="21"/>
        </w:rPr>
        <w:t>（7）提出质疑的日期。</w:t>
      </w:r>
    </w:p>
    <w:p>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pPr>
        <w:ind w:firstLine="420" w:firstLineChars="200"/>
        <w:rPr>
          <w:rFonts w:ascii="宋体" w:hAnsi="宋体"/>
          <w:szCs w:val="21"/>
        </w:rPr>
      </w:pPr>
      <w:r>
        <w:rPr>
          <w:rFonts w:hint="eastAsia" w:ascii="宋体" w:hAnsi="宋体"/>
          <w:szCs w:val="21"/>
        </w:rPr>
        <w:t>52.4提交</w:t>
      </w:r>
      <w:r>
        <w:rPr>
          <w:rFonts w:ascii="宋体" w:hAnsi="宋体"/>
          <w:szCs w:val="21"/>
        </w:rPr>
        <w:t>材料</w:t>
      </w:r>
    </w:p>
    <w:p>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pPr>
        <w:ind w:firstLine="420" w:firstLineChars="200"/>
        <w:rPr>
          <w:rFonts w:ascii="宋体" w:hAnsi="宋体"/>
          <w:szCs w:val="21"/>
        </w:rPr>
      </w:pPr>
      <w:r>
        <w:rPr>
          <w:rFonts w:hint="eastAsia" w:ascii="宋体" w:hAnsi="宋体"/>
          <w:szCs w:val="21"/>
        </w:rPr>
        <w:t>52.5收文地点</w:t>
      </w:r>
    </w:p>
    <w:p>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pPr>
        <w:ind w:firstLine="420" w:firstLineChars="200"/>
        <w:rPr>
          <w:rFonts w:ascii="宋体" w:hAnsi="宋体"/>
          <w:szCs w:val="21"/>
        </w:rPr>
      </w:pPr>
      <w:r>
        <w:rPr>
          <w:rFonts w:hint="eastAsia" w:ascii="宋体" w:hAnsi="宋体"/>
          <w:szCs w:val="21"/>
        </w:rPr>
        <w:t>供应商提交的质疑存在下列情形之一的，不予受理：</w:t>
      </w:r>
    </w:p>
    <w:p>
      <w:pPr>
        <w:ind w:firstLine="420" w:firstLineChars="200"/>
        <w:rPr>
          <w:rFonts w:ascii="宋体" w:hAnsi="宋体"/>
          <w:szCs w:val="21"/>
        </w:rPr>
      </w:pPr>
      <w:r>
        <w:rPr>
          <w:rFonts w:hint="eastAsia" w:ascii="宋体" w:hAnsi="宋体"/>
          <w:szCs w:val="21"/>
        </w:rPr>
        <w:t>（1）质疑主体不满足要求的；</w:t>
      </w:r>
    </w:p>
    <w:p>
      <w:pPr>
        <w:ind w:firstLine="420" w:firstLineChars="200"/>
        <w:rPr>
          <w:rFonts w:ascii="宋体" w:hAnsi="宋体"/>
          <w:szCs w:val="21"/>
        </w:rPr>
      </w:pPr>
      <w:r>
        <w:rPr>
          <w:rFonts w:hint="eastAsia" w:ascii="宋体" w:hAnsi="宋体"/>
          <w:szCs w:val="21"/>
        </w:rPr>
        <w:t>（2）供应商自身权益未受到损害的；</w:t>
      </w:r>
    </w:p>
    <w:p>
      <w:pPr>
        <w:ind w:firstLine="420" w:firstLineChars="200"/>
        <w:rPr>
          <w:rFonts w:ascii="宋体" w:hAnsi="宋体"/>
          <w:szCs w:val="21"/>
        </w:rPr>
      </w:pPr>
      <w:r>
        <w:rPr>
          <w:rFonts w:hint="eastAsia" w:ascii="宋体" w:hAnsi="宋体"/>
          <w:szCs w:val="21"/>
        </w:rPr>
        <w:t>（3）供应商未在法定质疑期限内提出质疑的；</w:t>
      </w:r>
    </w:p>
    <w:p>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pPr>
        <w:ind w:firstLine="420" w:firstLineChars="200"/>
        <w:rPr>
          <w:rFonts w:ascii="宋体" w:hAnsi="宋体"/>
          <w:szCs w:val="21"/>
        </w:rPr>
      </w:pPr>
      <w:r>
        <w:rPr>
          <w:rFonts w:hint="eastAsia" w:ascii="宋体" w:hAnsi="宋体"/>
          <w:szCs w:val="21"/>
        </w:rPr>
        <w:t>（5）其他不符合受理条件情形的。</w:t>
      </w:r>
    </w:p>
    <w:p>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pPr>
        <w:ind w:firstLine="420" w:firstLineChars="200"/>
        <w:rPr>
          <w:rFonts w:ascii="宋体" w:hAnsi="宋体"/>
          <w:szCs w:val="21"/>
        </w:rPr>
      </w:pPr>
      <w:r>
        <w:rPr>
          <w:rFonts w:hint="eastAsia" w:ascii="宋体" w:hAnsi="宋体"/>
          <w:szCs w:val="21"/>
        </w:rPr>
        <w:t>52.7质疑答复时限</w:t>
      </w:r>
    </w:p>
    <w:p>
      <w:pPr>
        <w:ind w:firstLine="420" w:firstLineChars="200"/>
        <w:rPr>
          <w:rFonts w:ascii="宋体" w:hAnsi="宋体"/>
          <w:szCs w:val="21"/>
        </w:rPr>
      </w:pPr>
      <w:r>
        <w:rPr>
          <w:rFonts w:hint="eastAsia" w:ascii="宋体" w:hAnsi="宋体"/>
          <w:szCs w:val="21"/>
        </w:rPr>
        <w:t>自收文之日起七个工作日内。</w:t>
      </w:r>
    </w:p>
    <w:p>
      <w:pPr>
        <w:ind w:firstLine="420" w:firstLineChars="200"/>
        <w:rPr>
          <w:rFonts w:ascii="宋体" w:hAnsi="宋体"/>
          <w:szCs w:val="21"/>
        </w:rPr>
      </w:pPr>
      <w:r>
        <w:rPr>
          <w:rFonts w:hint="eastAsia" w:ascii="宋体" w:hAnsi="宋体"/>
          <w:szCs w:val="21"/>
        </w:rPr>
        <w:t>52.8争议（投诉）</w:t>
      </w:r>
    </w:p>
    <w:p>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pPr>
        <w:ind w:firstLine="420" w:firstLineChars="200"/>
        <w:rPr>
          <w:rFonts w:ascii="黑体" w:hAnsi="宋体" w:eastAsia="黑体"/>
          <w:szCs w:val="21"/>
        </w:rPr>
      </w:pPr>
      <w:r>
        <w:rPr>
          <w:rFonts w:hint="eastAsia" w:ascii="黑体" w:hAnsi="宋体" w:eastAsia="黑体"/>
          <w:szCs w:val="21"/>
        </w:rPr>
        <w:t>53. 质疑后续处理</w:t>
      </w:r>
    </w:p>
    <w:p>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pPr>
        <w:jc w:val="center"/>
      </w:pPr>
      <w:r>
        <w:t>---- END ----</w:t>
      </w:r>
      <w:bookmarkEnd w:id="86"/>
    </w:p>
    <w:p/>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DA7F74C-1D0B-4E3C-9936-75ABD60170E8}"/>
  </w:font>
  <w:font w:name="Arial">
    <w:panose1 w:val="020B0604020202020204"/>
    <w:charset w:val="01"/>
    <w:family w:val="swiss"/>
    <w:pitch w:val="default"/>
    <w:sig w:usb0="E0002EFF" w:usb1="C000785B" w:usb2="00000009" w:usb3="00000000" w:csb0="400001FF" w:csb1="FFFF0000"/>
    <w:embedRegular r:id="rId2" w:fontKey="{51987F89-51A3-4BC3-838A-3A13BCD28650}"/>
  </w:font>
  <w:font w:name="黑体">
    <w:panose1 w:val="02010609060101010101"/>
    <w:charset w:val="86"/>
    <w:family w:val="auto"/>
    <w:pitch w:val="default"/>
    <w:sig w:usb0="800002BF" w:usb1="38CF7CFA" w:usb2="00000016" w:usb3="00000000" w:csb0="00040001" w:csb1="00000000"/>
    <w:embedRegular r:id="rId3" w:fontKey="{35FDD80E-2CD3-4A78-9BA8-9C2016D08A3D}"/>
  </w:font>
  <w:font w:name="Courier New">
    <w:panose1 w:val="02070309020205020404"/>
    <w:charset w:val="01"/>
    <w:family w:val="modern"/>
    <w:pitch w:val="default"/>
    <w:sig w:usb0="E0002EFF" w:usb1="C0007843" w:usb2="00000009" w:usb3="00000000" w:csb0="400001FF" w:csb1="FFFF0000"/>
    <w:embedRegular r:id="rId4" w:fontKey="{091E3A74-6442-49B4-9FF0-9E5D563C6D1C}"/>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5AAADF4D-E2EC-49EA-98B9-0E9A6DC6CC9B}"/>
  </w:font>
  <w:font w:name="Cambria">
    <w:panose1 w:val="02040503050406030204"/>
    <w:charset w:val="00"/>
    <w:family w:val="roman"/>
    <w:pitch w:val="default"/>
    <w:sig w:usb0="E00006FF" w:usb1="420024FF" w:usb2="02000000" w:usb3="00000000" w:csb0="2000019F" w:csb1="00000000"/>
    <w:embedRegular r:id="rId6" w:fontKey="{6668AA77-556D-42DD-922D-A8D8AAF64D05}"/>
  </w:font>
  <w:font w:name="Arial Narrow">
    <w:panose1 w:val="020B0606020202030204"/>
    <w:charset w:val="00"/>
    <w:family w:val="swiss"/>
    <w:pitch w:val="default"/>
    <w:sig w:usb0="00000287" w:usb1="00000800" w:usb2="00000000" w:usb3="00000000" w:csb0="2000009F" w:csb1="DFD70000"/>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CC968646-5CD2-4851-B7E1-296912E20E3B}"/>
  </w:font>
  <w:font w:name="方正仿宋_GBK">
    <w:panose1 w:val="03000509000000000000"/>
    <w:charset w:val="86"/>
    <w:family w:val="auto"/>
    <w:pitch w:val="default"/>
    <w:sig w:usb0="00000001" w:usb1="080E0000" w:usb2="00000000" w:usb3="00000000" w:csb0="00040000" w:csb1="00000000"/>
    <w:embedRegular r:id="rId8" w:fontKey="{FBDB2F3A-BFC9-48D9-B9FC-43D238737360}"/>
  </w:font>
  <w:font w:name="华文中宋">
    <w:panose1 w:val="02010600040101010101"/>
    <w:charset w:val="86"/>
    <w:family w:val="auto"/>
    <w:pitch w:val="default"/>
    <w:sig w:usb0="00000287" w:usb1="080F0000" w:usb2="00000000" w:usb3="00000000" w:csb0="0004009F" w:csb1="DFD70000"/>
    <w:embedRegular r:id="rId9" w:fontKey="{9D8F4B51-0148-43FC-8404-C9073A844FA2}"/>
  </w:font>
  <w:font w:name="汉仪书宋二S">
    <w:panose1 w:val="00020600040101010101"/>
    <w:charset w:val="86"/>
    <w:family w:val="auto"/>
    <w:pitch w:val="default"/>
    <w:sig w:usb0="A00002BF" w:usb1="18EF7CFA" w:usb2="00000016" w:usb3="00000000" w:csb0="00040000" w:csb1="00000000"/>
    <w:embedRegular r:id="rId10" w:fontKey="{2CCCC88A-62EA-4224-AA82-55D2A4E83644}"/>
  </w:font>
  <w:font w:name="华文楷体">
    <w:panose1 w:val="02010600040101010101"/>
    <w:charset w:val="86"/>
    <w:family w:val="auto"/>
    <w:pitch w:val="default"/>
    <w:sig w:usb0="00000287" w:usb1="080F0000" w:usb2="00000000" w:usb3="00000000" w:csb0="0004009F" w:csb1="DFD70000"/>
    <w:embedRegular r:id="rId11" w:fontKey="{80F88518-024D-49C9-95B5-663117C52722}"/>
  </w:font>
  <w:font w:name="ˎ̥">
    <w:altName w:val="Times New Roman"/>
    <w:panose1 w:val="00000000000000000000"/>
    <w:charset w:val="00"/>
    <w:family w:val="auto"/>
    <w:pitch w:val="default"/>
    <w:sig w:usb0="00000000" w:usb1="00000000" w:usb2="00000000" w:usb3="00000000" w:csb0="00040001" w:csb1="00000000"/>
    <w:embedRegular r:id="rId12" w:fontKey="{BE6DCBA3-A7B3-4FD0-95E3-56EB0855F211}"/>
  </w:font>
  <w:font w:name="仿宋">
    <w:panose1 w:val="02010609060101010101"/>
    <w:charset w:val="86"/>
    <w:family w:val="modern"/>
    <w:pitch w:val="default"/>
    <w:sig w:usb0="800002BF" w:usb1="38CF7CFA" w:usb2="00000016" w:usb3="00000000" w:csb0="00040001" w:csb1="00000000"/>
    <w:embedRegular r:id="rId13" w:fontKey="{B4A0C218-AF5F-4DB8-8E32-F5D0622D6C6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t xml:space="preserve">- </w:t>
    </w:r>
    <w:r>
      <w:fldChar w:fldCharType="begin"/>
    </w:r>
    <w:r>
      <w:instrText xml:space="preserve"> PAGE </w:instrText>
    </w:r>
    <w:r>
      <w:fldChar w:fldCharType="separate"/>
    </w:r>
    <w:r>
      <w:t>32</w:t>
    </w:r>
    <w:r>
      <w:fldChar w:fldCharType="end"/>
    </w:r>
    <w:r>
      <w:t xml:space="preserve"> -</w:t>
    </w:r>
  </w:p>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2"/>
      </w:rPr>
    </w:pPr>
    <w:r>
      <w:rPr>
        <w:rStyle w:val="22"/>
      </w:rPr>
      <w:fldChar w:fldCharType="begin"/>
    </w:r>
    <w:r>
      <w:rPr>
        <w:rStyle w:val="22"/>
      </w:rPr>
      <w:instrText xml:space="preserve">PAGE  </w:instrText>
    </w:r>
    <w:r>
      <w:rPr>
        <w:rStyle w:val="22"/>
      </w:rPr>
      <w:fldChar w:fldCharType="end"/>
    </w:r>
  </w:p>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pPr>
          <w:pStyle w:val="13"/>
          <w:jc w:val="center"/>
        </w:pPr>
        <w:r>
          <w:fldChar w:fldCharType="begin"/>
        </w:r>
        <w:r>
          <w:instrText xml:space="preserve"> PAGE   \* MERGEFORMAT </w:instrText>
        </w:r>
        <w:r>
          <w:fldChar w:fldCharType="separate"/>
        </w:r>
        <w:r>
          <w:rPr>
            <w:lang w:val="zh-CN"/>
          </w:rPr>
          <w:t>6</w:t>
        </w:r>
        <w:r>
          <w:rPr>
            <w:lang w:val="zh-CN"/>
          </w:rPr>
          <w:fldChar w:fldCharType="end"/>
        </w:r>
      </w:p>
    </w:sdtContent>
  </w:sdt>
  <w:p>
    <w:pPr>
      <w:pStyle w:val="13"/>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7A0F6431"/>
    <w:multiLevelType w:val="singleLevel"/>
    <w:tmpl w:val="7A0F6431"/>
    <w:lvl w:ilvl="0" w:tentative="0">
      <w:start w:val="1"/>
      <w:numFmt w:val="decimal"/>
      <w:suff w:val="space"/>
      <w:lvlText w:val="%1."/>
      <w:lvlJc w:val="left"/>
    </w:lvl>
  </w:abstractNum>
  <w:num w:numId="1">
    <w:abstractNumId w:val="7"/>
  </w:num>
  <w:num w:numId="2">
    <w:abstractNumId w:val="0"/>
  </w:num>
  <w:num w:numId="3">
    <w:abstractNumId w:val="1"/>
  </w:num>
  <w:num w:numId="4">
    <w:abstractNumId w:val="10"/>
  </w:num>
  <w:num w:numId="5">
    <w:abstractNumId w:val="3"/>
  </w:num>
  <w:num w:numId="6">
    <w:abstractNumId w:val="8"/>
  </w:num>
  <w:num w:numId="7">
    <w:abstractNumId w:val="5"/>
  </w:num>
  <w:num w:numId="8">
    <w:abstractNumId w:val="4"/>
  </w:num>
  <w:num w:numId="9">
    <w:abstractNumId w:val="2"/>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doNotDisplayPageBoundaries w:val="1"/>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OGI0ZDhmOTgzNWU2NGM4YzU2NjlhMmU2ZTI3MWU4NmU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4063FE"/>
    <w:rsid w:val="01721FEB"/>
    <w:rsid w:val="01722330"/>
    <w:rsid w:val="01CA5CC8"/>
    <w:rsid w:val="02226211"/>
    <w:rsid w:val="0293255D"/>
    <w:rsid w:val="02E25F12"/>
    <w:rsid w:val="02FC0E89"/>
    <w:rsid w:val="030516AD"/>
    <w:rsid w:val="038A3F97"/>
    <w:rsid w:val="03993BA4"/>
    <w:rsid w:val="03A66B69"/>
    <w:rsid w:val="03E017D2"/>
    <w:rsid w:val="042C4F6C"/>
    <w:rsid w:val="04446205"/>
    <w:rsid w:val="047255F5"/>
    <w:rsid w:val="048C54B6"/>
    <w:rsid w:val="049A4077"/>
    <w:rsid w:val="04F853C7"/>
    <w:rsid w:val="05130EC4"/>
    <w:rsid w:val="05452235"/>
    <w:rsid w:val="05A21435"/>
    <w:rsid w:val="06127C3D"/>
    <w:rsid w:val="06215480"/>
    <w:rsid w:val="062E1176"/>
    <w:rsid w:val="063E255E"/>
    <w:rsid w:val="06527580"/>
    <w:rsid w:val="065D710A"/>
    <w:rsid w:val="069468A4"/>
    <w:rsid w:val="06C83B51"/>
    <w:rsid w:val="06D86E6E"/>
    <w:rsid w:val="06E710CA"/>
    <w:rsid w:val="06E94E42"/>
    <w:rsid w:val="07101435"/>
    <w:rsid w:val="072B0FB7"/>
    <w:rsid w:val="07724E37"/>
    <w:rsid w:val="07B37245"/>
    <w:rsid w:val="07EC1177"/>
    <w:rsid w:val="0823691D"/>
    <w:rsid w:val="08A54D99"/>
    <w:rsid w:val="08E33B14"/>
    <w:rsid w:val="097A64AA"/>
    <w:rsid w:val="09B4074E"/>
    <w:rsid w:val="09B47989"/>
    <w:rsid w:val="09CB6A81"/>
    <w:rsid w:val="0A0106F5"/>
    <w:rsid w:val="0A38715B"/>
    <w:rsid w:val="0A4426BD"/>
    <w:rsid w:val="0A522CFE"/>
    <w:rsid w:val="0A537E82"/>
    <w:rsid w:val="0A670558"/>
    <w:rsid w:val="0A87085A"/>
    <w:rsid w:val="0B065EB6"/>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EE34CD"/>
    <w:rsid w:val="0E0B7D94"/>
    <w:rsid w:val="0E230C39"/>
    <w:rsid w:val="0E607F86"/>
    <w:rsid w:val="0E655E68"/>
    <w:rsid w:val="0E8A0CB9"/>
    <w:rsid w:val="0E9C279A"/>
    <w:rsid w:val="0EB421D9"/>
    <w:rsid w:val="0F142273"/>
    <w:rsid w:val="0F5357D7"/>
    <w:rsid w:val="0F5B4403"/>
    <w:rsid w:val="0F5D008C"/>
    <w:rsid w:val="0FD3114F"/>
    <w:rsid w:val="0FEE5EBF"/>
    <w:rsid w:val="103F6608"/>
    <w:rsid w:val="108300B5"/>
    <w:rsid w:val="108654B0"/>
    <w:rsid w:val="108C64EF"/>
    <w:rsid w:val="10BE733F"/>
    <w:rsid w:val="10CA1840"/>
    <w:rsid w:val="10D97CD5"/>
    <w:rsid w:val="10FC5772"/>
    <w:rsid w:val="11093651"/>
    <w:rsid w:val="11662604"/>
    <w:rsid w:val="11796EDC"/>
    <w:rsid w:val="119D5A3B"/>
    <w:rsid w:val="11F12DFD"/>
    <w:rsid w:val="12635AA8"/>
    <w:rsid w:val="127840D2"/>
    <w:rsid w:val="12900790"/>
    <w:rsid w:val="12900868"/>
    <w:rsid w:val="134F24D1"/>
    <w:rsid w:val="13AA7707"/>
    <w:rsid w:val="13FF3EF7"/>
    <w:rsid w:val="144E2788"/>
    <w:rsid w:val="14806439"/>
    <w:rsid w:val="149C1746"/>
    <w:rsid w:val="14E4477F"/>
    <w:rsid w:val="15BD1BCA"/>
    <w:rsid w:val="16105DC5"/>
    <w:rsid w:val="16730284"/>
    <w:rsid w:val="16753FFC"/>
    <w:rsid w:val="169A5359"/>
    <w:rsid w:val="16B965DF"/>
    <w:rsid w:val="1741793A"/>
    <w:rsid w:val="1743234C"/>
    <w:rsid w:val="176B62DB"/>
    <w:rsid w:val="17933E49"/>
    <w:rsid w:val="17966F3F"/>
    <w:rsid w:val="179901BE"/>
    <w:rsid w:val="17C24EE1"/>
    <w:rsid w:val="17C27715"/>
    <w:rsid w:val="17C57205"/>
    <w:rsid w:val="17E4768B"/>
    <w:rsid w:val="17FC3BA5"/>
    <w:rsid w:val="182513C0"/>
    <w:rsid w:val="18397E11"/>
    <w:rsid w:val="184B6C59"/>
    <w:rsid w:val="194505FE"/>
    <w:rsid w:val="19635BBC"/>
    <w:rsid w:val="19687E48"/>
    <w:rsid w:val="196B1CEA"/>
    <w:rsid w:val="198E1EAE"/>
    <w:rsid w:val="1A24288D"/>
    <w:rsid w:val="1A620D3B"/>
    <w:rsid w:val="1B1B5294"/>
    <w:rsid w:val="1B356450"/>
    <w:rsid w:val="1B434F04"/>
    <w:rsid w:val="1B9C14FB"/>
    <w:rsid w:val="1BEB4F4B"/>
    <w:rsid w:val="1BEF4851"/>
    <w:rsid w:val="1BFE3C79"/>
    <w:rsid w:val="1C2C01A7"/>
    <w:rsid w:val="1C4F3541"/>
    <w:rsid w:val="1C584649"/>
    <w:rsid w:val="1C792E22"/>
    <w:rsid w:val="1CB57848"/>
    <w:rsid w:val="1CBF2475"/>
    <w:rsid w:val="1D2D5631"/>
    <w:rsid w:val="1D345E0F"/>
    <w:rsid w:val="1D880AB9"/>
    <w:rsid w:val="1DB9452C"/>
    <w:rsid w:val="1DE33F41"/>
    <w:rsid w:val="1DE71C83"/>
    <w:rsid w:val="1E206809"/>
    <w:rsid w:val="1E5A29B0"/>
    <w:rsid w:val="1E71779F"/>
    <w:rsid w:val="1E8A6AB3"/>
    <w:rsid w:val="1EFB3211"/>
    <w:rsid w:val="1F103EA9"/>
    <w:rsid w:val="1F1D7927"/>
    <w:rsid w:val="1F784B5D"/>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9537A4"/>
    <w:rsid w:val="21C36564"/>
    <w:rsid w:val="21DF0EC4"/>
    <w:rsid w:val="225A4837"/>
    <w:rsid w:val="228D0920"/>
    <w:rsid w:val="23290736"/>
    <w:rsid w:val="23362D65"/>
    <w:rsid w:val="236E5E5F"/>
    <w:rsid w:val="2378337E"/>
    <w:rsid w:val="239A32F4"/>
    <w:rsid w:val="23A61C99"/>
    <w:rsid w:val="23C5440E"/>
    <w:rsid w:val="23F30C56"/>
    <w:rsid w:val="24266C7C"/>
    <w:rsid w:val="244A2F6C"/>
    <w:rsid w:val="246A64EC"/>
    <w:rsid w:val="248E0882"/>
    <w:rsid w:val="24AB04CD"/>
    <w:rsid w:val="24B85FE4"/>
    <w:rsid w:val="24D67678"/>
    <w:rsid w:val="252E63EA"/>
    <w:rsid w:val="25493224"/>
    <w:rsid w:val="256533FF"/>
    <w:rsid w:val="25E847EB"/>
    <w:rsid w:val="25F413E1"/>
    <w:rsid w:val="25FB7426"/>
    <w:rsid w:val="267047E0"/>
    <w:rsid w:val="270F7B55"/>
    <w:rsid w:val="273B6B9C"/>
    <w:rsid w:val="27427F2B"/>
    <w:rsid w:val="27857F9B"/>
    <w:rsid w:val="2795721C"/>
    <w:rsid w:val="27A641C3"/>
    <w:rsid w:val="27A6670B"/>
    <w:rsid w:val="27C546B8"/>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D417E1"/>
    <w:rsid w:val="2B065713"/>
    <w:rsid w:val="2B2871E7"/>
    <w:rsid w:val="2BA9299F"/>
    <w:rsid w:val="2BF832AE"/>
    <w:rsid w:val="2BFE65C2"/>
    <w:rsid w:val="2C02412C"/>
    <w:rsid w:val="2C1665B8"/>
    <w:rsid w:val="2C295297"/>
    <w:rsid w:val="2C6E17C2"/>
    <w:rsid w:val="2D1905BE"/>
    <w:rsid w:val="2D493E26"/>
    <w:rsid w:val="2D537B97"/>
    <w:rsid w:val="2D7F69DE"/>
    <w:rsid w:val="2DB16F26"/>
    <w:rsid w:val="2DB3388B"/>
    <w:rsid w:val="2DCA6ECC"/>
    <w:rsid w:val="2E815E80"/>
    <w:rsid w:val="2E954277"/>
    <w:rsid w:val="2EDF69A7"/>
    <w:rsid w:val="2F1A79DF"/>
    <w:rsid w:val="2F2A413F"/>
    <w:rsid w:val="2F363171"/>
    <w:rsid w:val="30311375"/>
    <w:rsid w:val="30473F91"/>
    <w:rsid w:val="306058C5"/>
    <w:rsid w:val="30610607"/>
    <w:rsid w:val="306927ED"/>
    <w:rsid w:val="30B023A9"/>
    <w:rsid w:val="30C714A1"/>
    <w:rsid w:val="31124E12"/>
    <w:rsid w:val="311772A4"/>
    <w:rsid w:val="31B92B8B"/>
    <w:rsid w:val="324D032D"/>
    <w:rsid w:val="3257574A"/>
    <w:rsid w:val="32FB3683"/>
    <w:rsid w:val="32FD564D"/>
    <w:rsid w:val="3328091C"/>
    <w:rsid w:val="338F3097"/>
    <w:rsid w:val="33A51F6D"/>
    <w:rsid w:val="33C06DA7"/>
    <w:rsid w:val="342509B8"/>
    <w:rsid w:val="34297F29"/>
    <w:rsid w:val="34AE6BFF"/>
    <w:rsid w:val="34CA3E45"/>
    <w:rsid w:val="34D34153"/>
    <w:rsid w:val="359758E5"/>
    <w:rsid w:val="359D5EEA"/>
    <w:rsid w:val="35BA1D81"/>
    <w:rsid w:val="35D02BA5"/>
    <w:rsid w:val="35E8637E"/>
    <w:rsid w:val="35FC7E3E"/>
    <w:rsid w:val="363C3B17"/>
    <w:rsid w:val="36474247"/>
    <w:rsid w:val="365612FD"/>
    <w:rsid w:val="3677309A"/>
    <w:rsid w:val="36F40B16"/>
    <w:rsid w:val="370C52DF"/>
    <w:rsid w:val="370C5E5F"/>
    <w:rsid w:val="374B6987"/>
    <w:rsid w:val="374D6BA3"/>
    <w:rsid w:val="375A306E"/>
    <w:rsid w:val="37CE1367"/>
    <w:rsid w:val="37D746BF"/>
    <w:rsid w:val="38AC059A"/>
    <w:rsid w:val="38C84008"/>
    <w:rsid w:val="38CA5FD2"/>
    <w:rsid w:val="38EB0F04"/>
    <w:rsid w:val="38F81D3E"/>
    <w:rsid w:val="39411452"/>
    <w:rsid w:val="39452648"/>
    <w:rsid w:val="395F5626"/>
    <w:rsid w:val="397B72CC"/>
    <w:rsid w:val="397C49C3"/>
    <w:rsid w:val="39B22FFA"/>
    <w:rsid w:val="39C15930"/>
    <w:rsid w:val="3A173499"/>
    <w:rsid w:val="3A30022F"/>
    <w:rsid w:val="3A371445"/>
    <w:rsid w:val="3A886145"/>
    <w:rsid w:val="3A8D72B7"/>
    <w:rsid w:val="3AB900AC"/>
    <w:rsid w:val="3AC52EF5"/>
    <w:rsid w:val="3B007A89"/>
    <w:rsid w:val="3B027CA5"/>
    <w:rsid w:val="3B2E2848"/>
    <w:rsid w:val="3B5D4EDB"/>
    <w:rsid w:val="3B7170FB"/>
    <w:rsid w:val="3B81506E"/>
    <w:rsid w:val="3BA6272A"/>
    <w:rsid w:val="3BB22833"/>
    <w:rsid w:val="3BE27C97"/>
    <w:rsid w:val="3BE473AB"/>
    <w:rsid w:val="3C9A513B"/>
    <w:rsid w:val="3CCD2793"/>
    <w:rsid w:val="3CFA57E4"/>
    <w:rsid w:val="3D0221DE"/>
    <w:rsid w:val="3D1E60DF"/>
    <w:rsid w:val="3DE2791A"/>
    <w:rsid w:val="3E151A9D"/>
    <w:rsid w:val="3E375EB7"/>
    <w:rsid w:val="3E38205E"/>
    <w:rsid w:val="3EA47C68"/>
    <w:rsid w:val="3ED03C16"/>
    <w:rsid w:val="3EEB27FE"/>
    <w:rsid w:val="3F3423F7"/>
    <w:rsid w:val="3F8E1B07"/>
    <w:rsid w:val="40161AFD"/>
    <w:rsid w:val="403326AF"/>
    <w:rsid w:val="40712158"/>
    <w:rsid w:val="40731FC3"/>
    <w:rsid w:val="408B6047"/>
    <w:rsid w:val="40AF442B"/>
    <w:rsid w:val="40E165AE"/>
    <w:rsid w:val="411C75E7"/>
    <w:rsid w:val="41540B2E"/>
    <w:rsid w:val="415E333C"/>
    <w:rsid w:val="418436DD"/>
    <w:rsid w:val="418F600A"/>
    <w:rsid w:val="419B5FD1"/>
    <w:rsid w:val="419E1DAA"/>
    <w:rsid w:val="420D5851"/>
    <w:rsid w:val="424B3CDF"/>
    <w:rsid w:val="426D19F0"/>
    <w:rsid w:val="42D31F27"/>
    <w:rsid w:val="42D33CD5"/>
    <w:rsid w:val="42F41CBF"/>
    <w:rsid w:val="42FC5208"/>
    <w:rsid w:val="4320516C"/>
    <w:rsid w:val="43341596"/>
    <w:rsid w:val="434479EF"/>
    <w:rsid w:val="436F7EA2"/>
    <w:rsid w:val="43860D47"/>
    <w:rsid w:val="43A55671"/>
    <w:rsid w:val="43ED0DC6"/>
    <w:rsid w:val="43FB4652"/>
    <w:rsid w:val="43FF1225"/>
    <w:rsid w:val="444B6045"/>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51A75"/>
    <w:rsid w:val="47762C36"/>
    <w:rsid w:val="477C0DDF"/>
    <w:rsid w:val="47D17F22"/>
    <w:rsid w:val="47E71B04"/>
    <w:rsid w:val="480212E4"/>
    <w:rsid w:val="482B73A4"/>
    <w:rsid w:val="48C04CFB"/>
    <w:rsid w:val="48FF5824"/>
    <w:rsid w:val="49266FC3"/>
    <w:rsid w:val="492B03C7"/>
    <w:rsid w:val="493C6A78"/>
    <w:rsid w:val="49425710"/>
    <w:rsid w:val="494E2C0F"/>
    <w:rsid w:val="498E5824"/>
    <w:rsid w:val="49DE053E"/>
    <w:rsid w:val="4A625D30"/>
    <w:rsid w:val="4A767D68"/>
    <w:rsid w:val="4B475260"/>
    <w:rsid w:val="4B4C2876"/>
    <w:rsid w:val="4B9E1324"/>
    <w:rsid w:val="4BBF201F"/>
    <w:rsid w:val="4BE17463"/>
    <w:rsid w:val="4CA26BF2"/>
    <w:rsid w:val="4CEE1E37"/>
    <w:rsid w:val="4CF64AB0"/>
    <w:rsid w:val="4D145F92"/>
    <w:rsid w:val="4D330192"/>
    <w:rsid w:val="4D461C73"/>
    <w:rsid w:val="4E092CA1"/>
    <w:rsid w:val="4E4156DB"/>
    <w:rsid w:val="4E93713A"/>
    <w:rsid w:val="4F093912"/>
    <w:rsid w:val="4F1456D4"/>
    <w:rsid w:val="4F9905AE"/>
    <w:rsid w:val="4FC33F25"/>
    <w:rsid w:val="4FD001C7"/>
    <w:rsid w:val="4FFF6109"/>
    <w:rsid w:val="500B71A4"/>
    <w:rsid w:val="502E60F8"/>
    <w:rsid w:val="50334005"/>
    <w:rsid w:val="505E4B9C"/>
    <w:rsid w:val="50A30487"/>
    <w:rsid w:val="50DD1804"/>
    <w:rsid w:val="50FB1449"/>
    <w:rsid w:val="51A52CE0"/>
    <w:rsid w:val="52085A22"/>
    <w:rsid w:val="52195EFA"/>
    <w:rsid w:val="529674E9"/>
    <w:rsid w:val="535D3873"/>
    <w:rsid w:val="536228E9"/>
    <w:rsid w:val="53876B42"/>
    <w:rsid w:val="54153BAB"/>
    <w:rsid w:val="543E18F6"/>
    <w:rsid w:val="546B1FBF"/>
    <w:rsid w:val="54996B2C"/>
    <w:rsid w:val="54F5352B"/>
    <w:rsid w:val="550A7A2A"/>
    <w:rsid w:val="55265207"/>
    <w:rsid w:val="554A7E27"/>
    <w:rsid w:val="555E1B24"/>
    <w:rsid w:val="556A04C9"/>
    <w:rsid w:val="559E5653"/>
    <w:rsid w:val="55AB3C2F"/>
    <w:rsid w:val="55EC35D4"/>
    <w:rsid w:val="56383CF3"/>
    <w:rsid w:val="56455CD4"/>
    <w:rsid w:val="565C42B5"/>
    <w:rsid w:val="56AE76A6"/>
    <w:rsid w:val="56AF2613"/>
    <w:rsid w:val="56D4209E"/>
    <w:rsid w:val="56DB2C2D"/>
    <w:rsid w:val="56E4418B"/>
    <w:rsid w:val="57064221"/>
    <w:rsid w:val="57470BA7"/>
    <w:rsid w:val="5773022F"/>
    <w:rsid w:val="57770C7B"/>
    <w:rsid w:val="580A1AEF"/>
    <w:rsid w:val="58776655"/>
    <w:rsid w:val="58B74216"/>
    <w:rsid w:val="58C16652"/>
    <w:rsid w:val="590752B6"/>
    <w:rsid w:val="591F15CA"/>
    <w:rsid w:val="596D67DA"/>
    <w:rsid w:val="59760D08"/>
    <w:rsid w:val="599E6993"/>
    <w:rsid w:val="59AC5554"/>
    <w:rsid w:val="5A564466"/>
    <w:rsid w:val="5A902780"/>
    <w:rsid w:val="5A9F4737"/>
    <w:rsid w:val="5AAE2C06"/>
    <w:rsid w:val="5AE8436A"/>
    <w:rsid w:val="5AF80325"/>
    <w:rsid w:val="5B6339F0"/>
    <w:rsid w:val="5BF6561B"/>
    <w:rsid w:val="5BFA4C14"/>
    <w:rsid w:val="5C2A6C04"/>
    <w:rsid w:val="5C3543D2"/>
    <w:rsid w:val="5CE36031"/>
    <w:rsid w:val="5D9C1AF9"/>
    <w:rsid w:val="5DB26EB1"/>
    <w:rsid w:val="5DBA559D"/>
    <w:rsid w:val="5DFE3EA4"/>
    <w:rsid w:val="5E465887"/>
    <w:rsid w:val="5E473A9D"/>
    <w:rsid w:val="5E5E5C0A"/>
    <w:rsid w:val="5E6737F7"/>
    <w:rsid w:val="5E8425FB"/>
    <w:rsid w:val="5EE50BC0"/>
    <w:rsid w:val="5F181B76"/>
    <w:rsid w:val="5F463D55"/>
    <w:rsid w:val="5FD4389C"/>
    <w:rsid w:val="5FEC48FC"/>
    <w:rsid w:val="6013374F"/>
    <w:rsid w:val="60545FFD"/>
    <w:rsid w:val="60B116A2"/>
    <w:rsid w:val="60B42F40"/>
    <w:rsid w:val="60B7767B"/>
    <w:rsid w:val="61696F59"/>
    <w:rsid w:val="61D672CA"/>
    <w:rsid w:val="61E63AF5"/>
    <w:rsid w:val="626A2DAC"/>
    <w:rsid w:val="62784498"/>
    <w:rsid w:val="63293771"/>
    <w:rsid w:val="637C7D45"/>
    <w:rsid w:val="639808F7"/>
    <w:rsid w:val="645F2960"/>
    <w:rsid w:val="64654C7D"/>
    <w:rsid w:val="64BD496D"/>
    <w:rsid w:val="64BE25DF"/>
    <w:rsid w:val="64DB5DF9"/>
    <w:rsid w:val="64F93617"/>
    <w:rsid w:val="655D3BA6"/>
    <w:rsid w:val="65655387"/>
    <w:rsid w:val="659A6BA8"/>
    <w:rsid w:val="65FE7BFD"/>
    <w:rsid w:val="66EC6F90"/>
    <w:rsid w:val="66F2031E"/>
    <w:rsid w:val="67AA7E58"/>
    <w:rsid w:val="67AB0BF9"/>
    <w:rsid w:val="67EA0511"/>
    <w:rsid w:val="68077DF9"/>
    <w:rsid w:val="68382663"/>
    <w:rsid w:val="686314D3"/>
    <w:rsid w:val="6888718C"/>
    <w:rsid w:val="68A629A9"/>
    <w:rsid w:val="68C01DC3"/>
    <w:rsid w:val="68D66492"/>
    <w:rsid w:val="68E5527F"/>
    <w:rsid w:val="69A578CA"/>
    <w:rsid w:val="69EA0620"/>
    <w:rsid w:val="6A204BF3"/>
    <w:rsid w:val="6A691ED2"/>
    <w:rsid w:val="6A7343B6"/>
    <w:rsid w:val="6AB029CA"/>
    <w:rsid w:val="6AB40090"/>
    <w:rsid w:val="6ADE7537"/>
    <w:rsid w:val="6AE34B4E"/>
    <w:rsid w:val="6AF208ED"/>
    <w:rsid w:val="6B1F6200"/>
    <w:rsid w:val="6B4A3375"/>
    <w:rsid w:val="6B825FC3"/>
    <w:rsid w:val="6B8359E9"/>
    <w:rsid w:val="6BBB3287"/>
    <w:rsid w:val="6C174E18"/>
    <w:rsid w:val="6C613F7C"/>
    <w:rsid w:val="6C806253"/>
    <w:rsid w:val="6CCB5899"/>
    <w:rsid w:val="6CF748E0"/>
    <w:rsid w:val="6D15191A"/>
    <w:rsid w:val="6D7D3037"/>
    <w:rsid w:val="6D934609"/>
    <w:rsid w:val="6DAE50AD"/>
    <w:rsid w:val="6DDA2238"/>
    <w:rsid w:val="6E0E1EE1"/>
    <w:rsid w:val="6E5A21EA"/>
    <w:rsid w:val="6EB8009F"/>
    <w:rsid w:val="6EC72090"/>
    <w:rsid w:val="6F834B73"/>
    <w:rsid w:val="6F857F81"/>
    <w:rsid w:val="6FC62348"/>
    <w:rsid w:val="6FE10E18"/>
    <w:rsid w:val="6FEC14A9"/>
    <w:rsid w:val="6FEC6252"/>
    <w:rsid w:val="702E23C7"/>
    <w:rsid w:val="706B487A"/>
    <w:rsid w:val="70A15EF2"/>
    <w:rsid w:val="70CB230C"/>
    <w:rsid w:val="70F213E1"/>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F33BDF"/>
    <w:rsid w:val="752B5D11"/>
    <w:rsid w:val="752C70F1"/>
    <w:rsid w:val="75387844"/>
    <w:rsid w:val="753903C8"/>
    <w:rsid w:val="75A24103"/>
    <w:rsid w:val="75CC2E8E"/>
    <w:rsid w:val="75DC4AB5"/>
    <w:rsid w:val="75EF406B"/>
    <w:rsid w:val="76391AC6"/>
    <w:rsid w:val="765B7C8E"/>
    <w:rsid w:val="76707B96"/>
    <w:rsid w:val="76726D86"/>
    <w:rsid w:val="768D36C7"/>
    <w:rsid w:val="76C3504D"/>
    <w:rsid w:val="770422FE"/>
    <w:rsid w:val="7746449A"/>
    <w:rsid w:val="775546DD"/>
    <w:rsid w:val="778C3E77"/>
    <w:rsid w:val="77E31CE9"/>
    <w:rsid w:val="78376C25"/>
    <w:rsid w:val="78746DE5"/>
    <w:rsid w:val="78A72AF0"/>
    <w:rsid w:val="790F6B0E"/>
    <w:rsid w:val="79134850"/>
    <w:rsid w:val="79200163"/>
    <w:rsid w:val="79261AEA"/>
    <w:rsid w:val="7956473D"/>
    <w:rsid w:val="798661F3"/>
    <w:rsid w:val="799314ED"/>
    <w:rsid w:val="79EE2C15"/>
    <w:rsid w:val="7A141937"/>
    <w:rsid w:val="7AA46F38"/>
    <w:rsid w:val="7AB041E9"/>
    <w:rsid w:val="7ACA0DEF"/>
    <w:rsid w:val="7B467F1D"/>
    <w:rsid w:val="7B5E43AD"/>
    <w:rsid w:val="7BA7772C"/>
    <w:rsid w:val="7C0924C9"/>
    <w:rsid w:val="7C507B69"/>
    <w:rsid w:val="7C711A95"/>
    <w:rsid w:val="7C8D4919"/>
    <w:rsid w:val="7CBA4FE2"/>
    <w:rsid w:val="7CD24A22"/>
    <w:rsid w:val="7D2F777E"/>
    <w:rsid w:val="7D5F0561"/>
    <w:rsid w:val="7D60202E"/>
    <w:rsid w:val="7D6458CE"/>
    <w:rsid w:val="7D8555F0"/>
    <w:rsid w:val="7D916095"/>
    <w:rsid w:val="7DB14637"/>
    <w:rsid w:val="7DC51E91"/>
    <w:rsid w:val="7E141A72"/>
    <w:rsid w:val="7E703977"/>
    <w:rsid w:val="7E963DC6"/>
    <w:rsid w:val="7EF02F3D"/>
    <w:rsid w:val="7F1B1599"/>
    <w:rsid w:val="7F5F65D1"/>
    <w:rsid w:val="7F606315"/>
    <w:rsid w:val="7F6210EB"/>
    <w:rsid w:val="7F8B73C1"/>
    <w:rsid w:val="7F961D37"/>
    <w:rsid w:val="7FAC3308"/>
    <w:rsid w:val="7FCF6E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31"/>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6">
    <w:name w:val="heading 2"/>
    <w:basedOn w:val="4"/>
    <w:next w:val="5"/>
    <w:link w:val="34"/>
    <w:semiHidden/>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4">
    <w:name w:val="heading 3"/>
    <w:basedOn w:val="5"/>
    <w:next w:val="1"/>
    <w:qFormat/>
    <w:uiPriority w:val="9"/>
    <w:pPr>
      <w:spacing w:before="260" w:after="260" w:line="240" w:lineRule="auto"/>
      <w:outlineLvl w:val="2"/>
    </w:pPr>
    <w:rPr>
      <w:rFonts w:ascii="宋体" w:hAnsi="宋体" w:eastAsia="宋体"/>
      <w:szCs w:val="32"/>
    </w:rPr>
  </w:style>
  <w:style w:type="paragraph" w:styleId="5">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Arial Narrow" w:hAnsi="Arial Narrow" w:eastAsia="宋体" w:cs="Times New Roman"/>
      <w:color w:val="000000"/>
      <w:sz w:val="24"/>
      <w:szCs w:val="24"/>
      <w:lang w:val="en-US" w:eastAsia="zh-CN" w:bidi="ar-SA"/>
    </w:rPr>
  </w:style>
  <w:style w:type="paragraph" w:styleId="7">
    <w:name w:val="Normal Indent"/>
    <w:basedOn w:val="1"/>
    <w:next w:val="8"/>
    <w:qFormat/>
    <w:uiPriority w:val="0"/>
    <w:pPr>
      <w:ind w:firstLine="420"/>
    </w:pPr>
    <w:rPr>
      <w:szCs w:val="20"/>
    </w:rPr>
  </w:style>
  <w:style w:type="paragraph" w:styleId="8">
    <w:name w:val="Body Text"/>
    <w:basedOn w:val="1"/>
    <w:next w:val="9"/>
    <w:qFormat/>
    <w:uiPriority w:val="0"/>
    <w:pPr>
      <w:spacing w:line="360" w:lineRule="auto"/>
    </w:pPr>
    <w:rPr>
      <w:b/>
      <w:bCs/>
      <w:sz w:val="24"/>
    </w:rPr>
  </w:style>
  <w:style w:type="paragraph" w:styleId="9">
    <w:name w:val="Title"/>
    <w:basedOn w:val="1"/>
    <w:qFormat/>
    <w:uiPriority w:val="0"/>
    <w:pPr>
      <w:spacing w:before="240" w:after="60"/>
      <w:jc w:val="center"/>
      <w:outlineLvl w:val="0"/>
    </w:pPr>
    <w:rPr>
      <w:rFonts w:ascii="Arial" w:hAnsi="Arial" w:eastAsia="隶书" w:cs="Arial"/>
      <w:b/>
      <w:bCs/>
      <w:sz w:val="32"/>
      <w:szCs w:val="32"/>
    </w:rPr>
  </w:style>
  <w:style w:type="paragraph" w:styleId="10">
    <w:name w:val="Document Map"/>
    <w:basedOn w:val="1"/>
    <w:link w:val="33"/>
    <w:semiHidden/>
    <w:unhideWhenUsed/>
    <w:qFormat/>
    <w:uiPriority w:val="99"/>
    <w:rPr>
      <w:rFonts w:ascii="宋体" w:eastAsia="宋体"/>
      <w:sz w:val="18"/>
      <w:szCs w:val="18"/>
    </w:rPr>
  </w:style>
  <w:style w:type="paragraph" w:styleId="11">
    <w:name w:val="annotation text"/>
    <w:basedOn w:val="1"/>
    <w:link w:val="35"/>
    <w:unhideWhenUsed/>
    <w:qFormat/>
    <w:uiPriority w:val="99"/>
    <w:pPr>
      <w:jc w:val="left"/>
    </w:pPr>
  </w:style>
  <w:style w:type="paragraph" w:styleId="12">
    <w:name w:val="Balloon Text"/>
    <w:basedOn w:val="1"/>
    <w:link w:val="29"/>
    <w:semiHidden/>
    <w:unhideWhenUsed/>
    <w:qFormat/>
    <w:uiPriority w:val="99"/>
    <w:rPr>
      <w:sz w:val="18"/>
      <w:szCs w:val="18"/>
    </w:rPr>
  </w:style>
  <w:style w:type="paragraph" w:styleId="13">
    <w:name w:val="footer"/>
    <w:basedOn w:val="1"/>
    <w:link w:val="28"/>
    <w:unhideWhenUsed/>
    <w:qFormat/>
    <w:uiPriority w:val="99"/>
    <w:pPr>
      <w:tabs>
        <w:tab w:val="center" w:pos="4153"/>
        <w:tab w:val="right" w:pos="8306"/>
      </w:tabs>
      <w:snapToGrid w:val="0"/>
      <w:jc w:val="left"/>
    </w:pPr>
    <w:rPr>
      <w:sz w:val="18"/>
      <w:szCs w:val="18"/>
    </w:rPr>
  </w:style>
  <w:style w:type="paragraph" w:styleId="14">
    <w:name w:val="header"/>
    <w:basedOn w:val="1"/>
    <w:link w:val="27"/>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5">
    <w:name w:val="Body Text 2"/>
    <w:basedOn w:val="1"/>
    <w:qFormat/>
    <w:uiPriority w:val="0"/>
    <w:pPr>
      <w:spacing w:line="360" w:lineRule="auto"/>
    </w:pPr>
    <w:rPr>
      <w:sz w:val="24"/>
    </w:rPr>
  </w:style>
  <w:style w:type="paragraph" w:styleId="16">
    <w:name w:val="Normal (Web)"/>
    <w:basedOn w:val="1"/>
    <w:link w:val="30"/>
    <w:qFormat/>
    <w:uiPriority w:val="99"/>
    <w:pPr>
      <w:widowControl/>
      <w:spacing w:before="100" w:beforeAutospacing="1" w:afterAutospacing="1"/>
      <w:jc w:val="left"/>
    </w:pPr>
    <w:rPr>
      <w:rFonts w:ascii="宋体" w:hAnsi="宋体"/>
      <w:sz w:val="24"/>
      <w:szCs w:val="24"/>
    </w:rPr>
  </w:style>
  <w:style w:type="paragraph" w:styleId="17">
    <w:name w:val="annotation subject"/>
    <w:basedOn w:val="11"/>
    <w:next w:val="11"/>
    <w:link w:val="37"/>
    <w:semiHidden/>
    <w:unhideWhenUsed/>
    <w:qFormat/>
    <w:uiPriority w:val="99"/>
    <w:rPr>
      <w:b/>
      <w:bCs/>
    </w:r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1">
    <w:name w:val="Strong"/>
    <w:qFormat/>
    <w:uiPriority w:val="0"/>
    <w:rPr>
      <w:b/>
      <w:bCs/>
    </w:rPr>
  </w:style>
  <w:style w:type="character" w:styleId="22">
    <w:name w:val="page number"/>
    <w:basedOn w:val="20"/>
    <w:qFormat/>
    <w:uiPriority w:val="0"/>
  </w:style>
  <w:style w:type="character" w:styleId="23">
    <w:name w:val="FollowedHyperlink"/>
    <w:basedOn w:val="20"/>
    <w:semiHidden/>
    <w:unhideWhenUsed/>
    <w:qFormat/>
    <w:uiPriority w:val="99"/>
    <w:rPr>
      <w:color w:val="800080" w:themeColor="followedHyperlink"/>
      <w:u w:val="single"/>
    </w:rPr>
  </w:style>
  <w:style w:type="character" w:styleId="24">
    <w:name w:val="Hyperlink"/>
    <w:basedOn w:val="20"/>
    <w:unhideWhenUsed/>
    <w:qFormat/>
    <w:uiPriority w:val="99"/>
    <w:rPr>
      <w:color w:val="0000FF" w:themeColor="hyperlink"/>
      <w:u w:val="single"/>
    </w:rPr>
  </w:style>
  <w:style w:type="character" w:styleId="25">
    <w:name w:val="annotation reference"/>
    <w:basedOn w:val="20"/>
    <w:semiHidden/>
    <w:unhideWhenUsed/>
    <w:qFormat/>
    <w:uiPriority w:val="99"/>
    <w:rPr>
      <w:sz w:val="21"/>
      <w:szCs w:val="21"/>
    </w:rPr>
  </w:style>
  <w:style w:type="paragraph" w:styleId="26">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7">
    <w:name w:val="页眉 Char"/>
    <w:basedOn w:val="20"/>
    <w:link w:val="14"/>
    <w:semiHidden/>
    <w:qFormat/>
    <w:uiPriority w:val="99"/>
    <w:rPr>
      <w:sz w:val="18"/>
      <w:szCs w:val="18"/>
    </w:rPr>
  </w:style>
  <w:style w:type="character" w:customStyle="1" w:styleId="28">
    <w:name w:val="页脚 Char"/>
    <w:basedOn w:val="20"/>
    <w:link w:val="13"/>
    <w:qFormat/>
    <w:uiPriority w:val="99"/>
    <w:rPr>
      <w:sz w:val="18"/>
      <w:szCs w:val="18"/>
    </w:rPr>
  </w:style>
  <w:style w:type="character" w:customStyle="1" w:styleId="29">
    <w:name w:val="批注框文本 Char"/>
    <w:basedOn w:val="20"/>
    <w:link w:val="12"/>
    <w:semiHidden/>
    <w:qFormat/>
    <w:uiPriority w:val="99"/>
    <w:rPr>
      <w:sz w:val="18"/>
      <w:szCs w:val="18"/>
    </w:rPr>
  </w:style>
  <w:style w:type="character" w:customStyle="1" w:styleId="30">
    <w:name w:val="普通(网站) Char"/>
    <w:link w:val="16"/>
    <w:qFormat/>
    <w:uiPriority w:val="99"/>
    <w:rPr>
      <w:rFonts w:ascii="宋体" w:hAnsi="宋体"/>
      <w:sz w:val="24"/>
      <w:szCs w:val="24"/>
    </w:rPr>
  </w:style>
  <w:style w:type="character" w:customStyle="1" w:styleId="31">
    <w:name w:val="标题 1 Char"/>
    <w:basedOn w:val="20"/>
    <w:link w:val="3"/>
    <w:qFormat/>
    <w:uiPriority w:val="0"/>
    <w:rPr>
      <w:rFonts w:ascii="Arial" w:hAnsi="Arial" w:eastAsia="宋体" w:cs="Times New Roman"/>
      <w:b/>
      <w:bCs/>
      <w:kern w:val="44"/>
      <w:sz w:val="44"/>
      <w:szCs w:val="44"/>
    </w:rPr>
  </w:style>
  <w:style w:type="paragraph" w:styleId="32">
    <w:name w:val="List Paragraph"/>
    <w:basedOn w:val="1"/>
    <w:qFormat/>
    <w:uiPriority w:val="34"/>
    <w:pPr>
      <w:ind w:firstLine="420" w:firstLineChars="200"/>
    </w:pPr>
  </w:style>
  <w:style w:type="character" w:customStyle="1" w:styleId="33">
    <w:name w:val="文档结构图 Char"/>
    <w:basedOn w:val="20"/>
    <w:link w:val="10"/>
    <w:semiHidden/>
    <w:qFormat/>
    <w:uiPriority w:val="99"/>
    <w:rPr>
      <w:rFonts w:ascii="宋体" w:eastAsia="宋体"/>
      <w:sz w:val="18"/>
      <w:szCs w:val="18"/>
    </w:rPr>
  </w:style>
  <w:style w:type="character" w:customStyle="1" w:styleId="34">
    <w:name w:val="标题 2 Char"/>
    <w:basedOn w:val="20"/>
    <w:link w:val="6"/>
    <w:semiHidden/>
    <w:qFormat/>
    <w:uiPriority w:val="9"/>
    <w:rPr>
      <w:rFonts w:asciiTheme="majorHAnsi" w:hAnsiTheme="majorHAnsi" w:eastAsiaTheme="majorEastAsia" w:cstheme="majorBidi"/>
      <w:b/>
      <w:bCs/>
      <w:sz w:val="32"/>
      <w:szCs w:val="32"/>
    </w:rPr>
  </w:style>
  <w:style w:type="character" w:customStyle="1" w:styleId="35">
    <w:name w:val="批注文字 Char"/>
    <w:basedOn w:val="20"/>
    <w:link w:val="11"/>
    <w:qFormat/>
    <w:uiPriority w:val="99"/>
  </w:style>
  <w:style w:type="character" w:customStyle="1" w:styleId="36">
    <w:name w:val="标题 3 Char"/>
    <w:qFormat/>
    <w:uiPriority w:val="0"/>
    <w:rPr>
      <w:rFonts w:ascii="黑体" w:eastAsia="黑体"/>
      <w:bCs/>
      <w:sz w:val="30"/>
    </w:rPr>
  </w:style>
  <w:style w:type="character" w:customStyle="1" w:styleId="37">
    <w:name w:val="批注主题 Char"/>
    <w:basedOn w:val="35"/>
    <w:link w:val="17"/>
    <w:semiHidden/>
    <w:qFormat/>
    <w:uiPriority w:val="99"/>
    <w:rPr>
      <w:b/>
      <w:bCs/>
    </w:rPr>
  </w:style>
  <w:style w:type="table" w:customStyle="1" w:styleId="38">
    <w:name w:val="网格型1"/>
    <w:basedOn w:val="18"/>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9">
    <w:name w:val="font21"/>
    <w:basedOn w:val="20"/>
    <w:qFormat/>
    <w:uiPriority w:val="0"/>
    <w:rPr>
      <w:rFonts w:hint="eastAsia" w:ascii="宋体" w:hAnsi="宋体" w:eastAsia="宋体" w:cs="宋体"/>
      <w:color w:val="000000"/>
      <w:sz w:val="24"/>
      <w:szCs w:val="24"/>
      <w:u w:val="none"/>
    </w:rPr>
  </w:style>
  <w:style w:type="character" w:customStyle="1" w:styleId="40">
    <w:name w:val="font31"/>
    <w:basedOn w:val="20"/>
    <w:qFormat/>
    <w:uiPriority w:val="0"/>
    <w:rPr>
      <w:rFonts w:hint="eastAsia" w:ascii="宋体" w:hAnsi="宋体" w:eastAsia="宋体" w:cs="宋体"/>
      <w:color w:val="000000"/>
      <w:sz w:val="24"/>
      <w:szCs w:val="24"/>
      <w:u w:val="none"/>
    </w:rPr>
  </w:style>
  <w:style w:type="character" w:customStyle="1" w:styleId="41">
    <w:name w:val="font11"/>
    <w:basedOn w:val="20"/>
    <w:qFormat/>
    <w:uiPriority w:val="0"/>
    <w:rPr>
      <w:rFonts w:hint="eastAsia" w:ascii="宋体" w:hAnsi="宋体" w:eastAsia="宋体" w:cs="宋体"/>
      <w:color w:val="0000CC"/>
      <w:sz w:val="24"/>
      <w:szCs w:val="24"/>
      <w:u w:val="none"/>
    </w:rPr>
  </w:style>
  <w:style w:type="character" w:customStyle="1" w:styleId="42">
    <w:name w:val="font41"/>
    <w:basedOn w:val="20"/>
    <w:qFormat/>
    <w:uiPriority w:val="0"/>
    <w:rPr>
      <w:rFonts w:hint="eastAsia" w:ascii="宋体" w:hAnsi="宋体" w:eastAsia="宋体" w:cs="宋体"/>
      <w:color w:val="FF0000"/>
      <w:sz w:val="24"/>
      <w:szCs w:val="24"/>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72</Pages>
  <Words>9963</Words>
  <Characters>10577</Characters>
  <Lines>316</Lines>
  <Paragraphs>88</Paragraphs>
  <TotalTime>1</TotalTime>
  <ScaleCrop>false</ScaleCrop>
  <LinksUpToDate>false</LinksUpToDate>
  <CharactersWithSpaces>10693</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41442</dc:creator>
  <cp:lastModifiedBy>青山绿水</cp:lastModifiedBy>
  <cp:lastPrinted>2021-01-15T01:17:00Z</cp:lastPrinted>
  <dcterms:modified xsi:type="dcterms:W3CDTF">2025-07-19T05:51:51Z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1D35441E0ED44CDAA276D758760C3890_12</vt:lpwstr>
  </property>
  <property fmtid="{D5CDD505-2E9C-101B-9397-08002B2CF9AE}" pid="4" name="KSOTemplateDocerSaveRecord">
    <vt:lpwstr>eyJoZGlkIjoiNGE3ZjU2M2NjZmFlYmQwYTc0ZDZkMjFmM2ExNmI5ZTQiLCJ1c2VySWQiOiIyMjQxNTg5MDcifQ==</vt:lpwstr>
  </property>
</Properties>
</file>