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widowControl/>
        <w:jc w:val="center"/>
        <w:outlineLvl w:val="1"/>
        <w:rPr>
          <w:rFonts w:ascii="黑体" w:hAnsi="宋体" w:eastAsia="黑体" w:cs="黑体"/>
          <w:sz w:val="40"/>
          <w:szCs w:val="40"/>
        </w:rPr>
      </w:pPr>
      <w:bookmarkStart w:id="139" w:name="_GoBack"/>
      <w:bookmarkEnd w:id="139"/>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BAZXCG-2025-00300</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ascii="宋体" w:hAnsi="宋体"/>
                <w:sz w:val="30"/>
                <w:szCs w:val="30"/>
              </w:rPr>
              <w:t>深圳市宝安中学（集团）第二实验学校考场防作弊系统设备采购项目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w:t>
            </w:r>
            <w:r>
              <w:rPr>
                <w:rFonts w:hint="eastAsia" w:ascii="Times New Roman" w:eastAsia="宋体"/>
                <w:b/>
                <w:bCs/>
                <w:lang w:val="en-US" w:eastAsia="zh-CN"/>
              </w:rPr>
              <w:t>：</w:t>
            </w:r>
            <w:r>
              <w:rPr>
                <w:b/>
                <w:bCs/>
              </w:rPr>
              <w:t>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pStyle w:val="7"/>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28</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14.29</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1.5</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HAnsi" w:hAnsiTheme="minorHAnsi" w:eastAsiaTheme="minorEastAsia" w:cstheme="minorBidi"/>
                <w:kern w:val="2"/>
                <w:sz w:val="21"/>
                <w:szCs w:val="21"/>
                <w:lang w:val="en-US" w:eastAsia="zh-CN" w:bidi="ar-SA"/>
              </w:rPr>
            </w:pPr>
            <w:r>
              <w:rPr>
                <w:rFonts w:hint="eastAsia"/>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 w:val="21"/>
                <w:szCs w:val="21"/>
                <w:lang w:val="en-US" w:eastAsia="zh-CN"/>
              </w:rPr>
            </w:pPr>
            <w:r>
              <w:rPr>
                <w:rFonts w:hint="eastAsia" w:ascii="宋体" w:hAnsi="宋体" w:eastAsia="宋体" w:cs="宋体"/>
                <w:kern w:val="0"/>
                <w:sz w:val="21"/>
                <w:szCs w:val="21"/>
                <w:lang w:bidi="ar"/>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0"/>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（一）</w:t>
            </w:r>
            <w:r>
              <w:rPr>
                <w:rFonts w:hint="eastAsia" w:ascii="宋体" w:hAnsi="宋体" w:eastAsia="宋体" w:cs="宋体"/>
                <w:kern w:val="0"/>
                <w:sz w:val="21"/>
                <w:szCs w:val="21"/>
                <w:lang w:bidi="ar"/>
              </w:rPr>
              <w:t>评审内容：</w:t>
            </w:r>
          </w:p>
          <w:p>
            <w:pPr>
              <w:widowControl/>
              <w:numPr>
                <w:ilvl w:val="0"/>
                <w:numId w:val="0"/>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投标人提供本项目的组织实施方案，方案中应包含 </w:t>
            </w:r>
          </w:p>
          <w:p>
            <w:pPr>
              <w:widowControl/>
              <w:numPr>
                <w:ilvl w:val="0"/>
                <w:numId w:val="0"/>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lang w:bidi="ar"/>
              </w:rPr>
              <w:t xml:space="preserve">项目进度计划安排 </w:t>
            </w:r>
          </w:p>
          <w:p>
            <w:pPr>
              <w:widowControl/>
              <w:numPr>
                <w:ilvl w:val="0"/>
                <w:numId w:val="0"/>
              </w:numPr>
              <w:ind w:left="0" w:leftChars="0" w:firstLine="0" w:firstLine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 xml:space="preserve">施工组织计划 </w:t>
            </w:r>
          </w:p>
          <w:p>
            <w:pPr>
              <w:widowControl/>
              <w:numPr>
                <w:ilvl w:val="0"/>
                <w:numId w:val="0"/>
              </w:numPr>
              <w:ind w:left="0" w:leftChars="0" w:firstLine="0" w:firstLine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3、</w:t>
            </w:r>
            <w:r>
              <w:rPr>
                <w:rFonts w:hint="eastAsia" w:ascii="宋体" w:hAnsi="宋体" w:eastAsia="宋体" w:cs="宋体"/>
                <w:kern w:val="0"/>
                <w:sz w:val="21"/>
                <w:szCs w:val="21"/>
                <w:lang w:bidi="ar"/>
              </w:rPr>
              <w:t xml:space="preserve">验收组织计划 </w:t>
            </w:r>
          </w:p>
          <w:p>
            <w:pPr>
              <w:widowControl/>
              <w:numPr>
                <w:ilvl w:val="0"/>
                <w:numId w:val="0"/>
              </w:numPr>
              <w:ind w:left="0" w:leftChars="0" w:firstLine="0" w:firstLine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4、</w:t>
            </w:r>
            <w:r>
              <w:rPr>
                <w:rFonts w:hint="eastAsia" w:ascii="宋体" w:hAnsi="宋体" w:eastAsia="宋体" w:cs="宋体"/>
                <w:kern w:val="0"/>
                <w:sz w:val="21"/>
                <w:szCs w:val="21"/>
                <w:lang w:bidi="ar"/>
              </w:rPr>
              <w:t xml:space="preserve">产品培训方案 </w:t>
            </w:r>
          </w:p>
          <w:p>
            <w:pPr>
              <w:widowControl/>
              <w:numPr>
                <w:ilvl w:val="0"/>
                <w:numId w:val="0"/>
              </w:numPr>
              <w:snapToGrid w:val="0"/>
              <w:spacing w:line="320" w:lineRule="exact"/>
              <w:ind w:left="0" w:leftChars="0" w:firstLine="0" w:firstLineChars="0"/>
              <w:jc w:val="left"/>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（二）</w:t>
            </w:r>
            <w:r>
              <w:rPr>
                <w:rFonts w:hint="eastAsia" w:ascii="宋体" w:hAnsi="宋体" w:eastAsia="宋体" w:cs="宋体"/>
                <w:kern w:val="0"/>
                <w:sz w:val="21"/>
                <w:szCs w:val="21"/>
                <w:lang w:bidi="ar"/>
              </w:rPr>
              <w:t>评审标准：</w:t>
            </w:r>
          </w:p>
          <w:p>
            <w:pPr>
              <w:widowControl/>
              <w:numPr>
                <w:ilvl w:val="0"/>
                <w:numId w:val="0"/>
              </w:numPr>
              <w:snapToGrid w:val="0"/>
              <w:spacing w:line="320" w:lineRule="exact"/>
              <w:ind w:leftChars="0"/>
              <w:jc w:val="left"/>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方案中含有上述一个内容得</w:t>
            </w:r>
            <w:r>
              <w:rPr>
                <w:rFonts w:hint="eastAsia" w:asciiTheme="minorEastAsia" w:hAnsiTheme="minorEastAsia" w:cstheme="minorEastAsia"/>
                <w:kern w:val="0"/>
                <w:sz w:val="21"/>
                <w:szCs w:val="21"/>
                <w:lang w:val="en-US" w:eastAsia="zh-CN" w:bidi="ar"/>
              </w:rPr>
              <w:t>15</w:t>
            </w:r>
            <w:r>
              <w:rPr>
                <w:rFonts w:hint="eastAsia" w:asciiTheme="minorEastAsia" w:hAnsiTheme="minorEastAsia" w:eastAsiaTheme="minorEastAsia" w:cstheme="minorEastAsia"/>
                <w:kern w:val="0"/>
                <w:sz w:val="21"/>
                <w:szCs w:val="21"/>
                <w:lang w:val="en-US" w:eastAsia="zh-CN" w:bidi="ar"/>
              </w:rPr>
              <w:t>分</w:t>
            </w:r>
            <w:r>
              <w:rPr>
                <w:rFonts w:hint="eastAsia" w:asciiTheme="minorEastAsia" w:hAnsiTheme="minorEastAsia" w:cstheme="minorEastAsia"/>
                <w:kern w:val="0"/>
                <w:sz w:val="21"/>
                <w:szCs w:val="21"/>
                <w:lang w:val="en-US" w:eastAsia="zh-CN" w:bidi="ar"/>
              </w:rPr>
              <w:t>，本项最高得60分</w:t>
            </w:r>
            <w:r>
              <w:rPr>
                <w:rFonts w:hint="eastAsia" w:asciiTheme="minorEastAsia" w:hAnsiTheme="minorEastAsia" w:eastAsiaTheme="minorEastAsia" w:cstheme="minorEastAsia"/>
                <w:kern w:val="0"/>
                <w:sz w:val="21"/>
                <w:szCs w:val="21"/>
                <w:lang w:val="en-US" w:eastAsia="zh-CN" w:bidi="ar"/>
              </w:rPr>
              <w:t>。</w:t>
            </w:r>
          </w:p>
          <w:p>
            <w:pPr>
              <w:widowControl/>
              <w:numPr>
                <w:ilvl w:val="0"/>
                <w:numId w:val="0"/>
              </w:numPr>
              <w:snapToGrid w:val="0"/>
              <w:spacing w:line="320" w:lineRule="exact"/>
              <w:ind w:leftChars="0"/>
              <w:jc w:val="left"/>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 xml:space="preserve">在此基础上，对方案的合理性、可行性进行打分。 </w:t>
            </w:r>
          </w:p>
          <w:p>
            <w:pPr>
              <w:widowControl/>
              <w:numPr>
                <w:ilvl w:val="0"/>
                <w:numId w:val="0"/>
              </w:numPr>
              <w:snapToGrid w:val="0"/>
              <w:spacing w:line="320" w:lineRule="exact"/>
              <w:jc w:val="left"/>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 xml:space="preserve">(1) 技术保障方案非常详细，保障措施完善可行，得40分； </w:t>
            </w:r>
          </w:p>
          <w:p>
            <w:pPr>
              <w:widowControl/>
              <w:numPr>
                <w:ilvl w:val="0"/>
                <w:numId w:val="0"/>
              </w:numPr>
              <w:snapToGrid w:val="0"/>
              <w:spacing w:line="320" w:lineRule="exact"/>
              <w:jc w:val="left"/>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 xml:space="preserve">(2) 技术保障方案比较具体，保障措施比较完善可行，能够满足招标文件要求的得20分； </w:t>
            </w:r>
          </w:p>
          <w:p>
            <w:pPr>
              <w:widowControl/>
              <w:numPr>
                <w:ilvl w:val="0"/>
                <w:numId w:val="0"/>
              </w:numPr>
              <w:ind w:leftChars="0"/>
              <w:jc w:val="left"/>
              <w:textAlignment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kern w:val="0"/>
                <w:sz w:val="21"/>
                <w:szCs w:val="21"/>
                <w:lang w:val="en-US" w:eastAsia="zh-CN" w:bidi="ar"/>
              </w:rPr>
              <w:t xml:space="preserve">(3)未提供技术保障方案和措施或方案不详细、可行性较差，无法满足招标文件要求的得0分。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30405"/>
                <w:kern w:val="0"/>
                <w:sz w:val="21"/>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 w:val="21"/>
                <w:szCs w:val="21"/>
                <w:lang w:val="en-US" w:eastAsia="zh-CN"/>
              </w:rPr>
            </w:pPr>
            <w:r>
              <w:rPr>
                <w:rFonts w:hint="eastAsia" w:ascii="宋体" w:hAnsi="宋体" w:eastAsia="宋体" w:cs="宋体"/>
                <w:color w:val="030405"/>
                <w:sz w:val="21"/>
                <w:szCs w:val="21"/>
              </w:rPr>
              <w:t>9</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0"/>
              </w:numPr>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val="en-US" w:eastAsia="zh-CN" w:bidi="ar"/>
              </w:rPr>
              <w:t>（一）</w:t>
            </w:r>
            <w:r>
              <w:rPr>
                <w:rFonts w:hint="eastAsia" w:ascii="宋体" w:hAnsi="宋体" w:eastAsia="宋体" w:cs="宋体"/>
                <w:color w:val="030405"/>
                <w:kern w:val="0"/>
                <w:sz w:val="21"/>
                <w:szCs w:val="21"/>
                <w:lang w:bidi="ar"/>
              </w:rPr>
              <w:t xml:space="preserve">评审内容：投标人提供本项目的售后服务方案，方案中应包含 </w:t>
            </w:r>
          </w:p>
          <w:p>
            <w:pPr>
              <w:widowControl/>
              <w:numPr>
                <w:ilvl w:val="0"/>
                <w:numId w:val="0"/>
              </w:numPr>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1、服务内容 </w:t>
            </w:r>
          </w:p>
          <w:p>
            <w:pPr>
              <w:widowControl/>
              <w:numPr>
                <w:ilvl w:val="0"/>
                <w:numId w:val="0"/>
              </w:numPr>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2、维修应急方案 </w:t>
            </w:r>
          </w:p>
          <w:p>
            <w:pPr>
              <w:widowControl/>
              <w:numPr>
                <w:ilvl w:val="0"/>
                <w:numId w:val="0"/>
              </w:numPr>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3、培训计划 </w:t>
            </w:r>
          </w:p>
          <w:p>
            <w:pPr>
              <w:widowControl/>
              <w:numPr>
                <w:ilvl w:val="0"/>
                <w:numId w:val="0"/>
              </w:numPr>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4、其他特色服务等 </w:t>
            </w:r>
          </w:p>
          <w:p>
            <w:pPr>
              <w:widowControl/>
              <w:numPr>
                <w:ilvl w:val="0"/>
                <w:numId w:val="0"/>
              </w:numPr>
              <w:ind w:left="0" w:leftChars="0" w:firstLine="0" w:firstLine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val="en-US" w:eastAsia="zh-CN" w:bidi="ar"/>
              </w:rPr>
              <w:t>（二）</w:t>
            </w:r>
            <w:r>
              <w:rPr>
                <w:rFonts w:hint="eastAsia" w:ascii="宋体" w:hAnsi="宋体" w:eastAsia="宋体" w:cs="宋体"/>
                <w:color w:val="030405"/>
                <w:kern w:val="0"/>
                <w:sz w:val="21"/>
                <w:szCs w:val="21"/>
                <w:lang w:bidi="ar"/>
              </w:rPr>
              <w:t>评审标准：方案中含有上述一个内容得15分</w:t>
            </w:r>
            <w:r>
              <w:rPr>
                <w:rFonts w:hint="eastAsia" w:asciiTheme="minorEastAsia" w:hAnsiTheme="minorEastAsia" w:cstheme="minorEastAsia"/>
                <w:kern w:val="0"/>
                <w:sz w:val="21"/>
                <w:szCs w:val="21"/>
                <w:lang w:val="en-US" w:eastAsia="zh-CN" w:bidi="ar"/>
              </w:rPr>
              <w:t>，本项最高得60分</w:t>
            </w:r>
            <w:r>
              <w:rPr>
                <w:rFonts w:hint="eastAsia" w:ascii="宋体" w:hAnsi="宋体" w:eastAsia="宋体" w:cs="宋体"/>
                <w:color w:val="030405"/>
                <w:kern w:val="0"/>
                <w:sz w:val="21"/>
                <w:szCs w:val="21"/>
                <w:lang w:bidi="ar"/>
              </w:rPr>
              <w:t xml:space="preserve">。在此基础上，对方案的合理性、可行性进行打分。 </w:t>
            </w:r>
          </w:p>
          <w:p>
            <w:pPr>
              <w:widowControl/>
              <w:numPr>
                <w:ilvl w:val="0"/>
                <w:numId w:val="0"/>
              </w:numPr>
              <w:ind w:left="0" w:lef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val="en-US" w:eastAsia="zh-CN" w:bidi="ar"/>
              </w:rPr>
              <w:t>(1)</w:t>
            </w:r>
            <w:r>
              <w:rPr>
                <w:rFonts w:hint="eastAsia" w:ascii="宋体" w:hAnsi="宋体" w:eastAsia="宋体" w:cs="宋体"/>
                <w:color w:val="030405"/>
                <w:kern w:val="0"/>
                <w:sz w:val="21"/>
                <w:szCs w:val="21"/>
                <w:lang w:bidi="ar"/>
              </w:rPr>
              <w:t xml:space="preserve">售后服务方案非常详细，保障措施完善可行，得40分； </w:t>
            </w:r>
          </w:p>
          <w:p>
            <w:pPr>
              <w:widowControl/>
              <w:numPr>
                <w:ilvl w:val="0"/>
                <w:numId w:val="0"/>
              </w:numPr>
              <w:ind w:left="0" w:leftChars="0" w:firstLine="0" w:firstLineChars="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(2)</w:t>
            </w:r>
            <w:r>
              <w:rPr>
                <w:rFonts w:hint="eastAsia" w:ascii="宋体" w:hAnsi="宋体" w:eastAsia="宋体" w:cs="宋体"/>
                <w:color w:val="030405"/>
                <w:kern w:val="0"/>
                <w:sz w:val="21"/>
                <w:szCs w:val="21"/>
                <w:lang w:bidi="ar"/>
              </w:rPr>
              <w:t xml:space="preserve">售后服务方案比较具体，保障措施比较完善可行，能够满足招标文件要求的得20分； </w:t>
            </w:r>
          </w:p>
          <w:p>
            <w:pPr>
              <w:widowControl/>
              <w:numPr>
                <w:ilvl w:val="0"/>
                <w:numId w:val="0"/>
              </w:numPr>
              <w:ind w:leftChars="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030405"/>
                <w:kern w:val="0"/>
                <w:sz w:val="21"/>
                <w:szCs w:val="21"/>
                <w:lang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b/>
                <w:bCs/>
                <w:sz w:val="21"/>
                <w:szCs w:val="21"/>
              </w:rPr>
            </w:pPr>
            <w:r>
              <w:rPr>
                <w:rFonts w:hint="eastAsia" w:ascii="宋体" w:hAnsi="宋体" w:eastAsia="宋体" w:cs="宋体"/>
                <w:b/>
                <w:bCs/>
                <w:sz w:val="21"/>
                <w:szCs w:val="21"/>
              </w:rPr>
              <w:t>（一）评审内容</w:t>
            </w:r>
          </w:p>
          <w:p>
            <w:pPr>
              <w:widowControl/>
              <w:jc w:val="left"/>
              <w:textAlignment w:val="center"/>
              <w:rPr>
                <w:rFonts w:hint="eastAsia" w:ascii="宋体" w:hAnsi="宋体" w:eastAsia="宋体" w:cs="宋体"/>
                <w:sz w:val="21"/>
                <w:szCs w:val="21"/>
              </w:rPr>
            </w:pPr>
            <w:r>
              <w:rPr>
                <w:rFonts w:hint="eastAsia" w:ascii="宋体" w:hAnsi="宋体" w:eastAsia="宋体" w:cs="宋体"/>
                <w:sz w:val="21"/>
                <w:szCs w:val="21"/>
              </w:rPr>
              <w:t>自2022年1月1日起至投标截止之日止（以合同签订时间为准），投标人具有考场防作弊系统设备项目经验的，每1个项目得20分，最高得100分。同一项目包含多项内容的不重复得分。</w:t>
            </w:r>
          </w:p>
          <w:p>
            <w:pPr>
              <w:widowControl/>
              <w:jc w:val="left"/>
              <w:textAlignment w:val="center"/>
              <w:rPr>
                <w:rFonts w:hint="eastAsia" w:ascii="宋体" w:hAnsi="宋体" w:eastAsia="宋体" w:cs="宋体"/>
                <w:b/>
                <w:bCs/>
                <w:sz w:val="21"/>
                <w:szCs w:val="21"/>
              </w:rPr>
            </w:pPr>
            <w:r>
              <w:rPr>
                <w:rFonts w:hint="eastAsia" w:ascii="宋体" w:hAnsi="宋体" w:eastAsia="宋体" w:cs="宋体"/>
                <w:b/>
                <w:bCs/>
                <w:sz w:val="21"/>
                <w:szCs w:val="21"/>
              </w:rPr>
              <w:t>（二）评审依据</w:t>
            </w:r>
          </w:p>
          <w:p>
            <w:pPr>
              <w:widowControl/>
              <w:jc w:val="left"/>
              <w:textAlignment w:val="center"/>
              <w:rPr>
                <w:rFonts w:hint="eastAsia" w:ascii="宋体" w:hAnsi="宋体" w:eastAsia="宋体" w:cs="宋体"/>
                <w:sz w:val="21"/>
                <w:szCs w:val="21"/>
              </w:rPr>
            </w:pPr>
            <w:r>
              <w:rPr>
                <w:rFonts w:hint="eastAsia" w:ascii="宋体" w:hAnsi="宋体" w:eastAsia="宋体" w:cs="宋体"/>
                <w:sz w:val="21"/>
                <w:szCs w:val="21"/>
              </w:rPr>
              <w:t>1、需同时提供：①经验项目合同关键页扫描件（体现合同签约双方名称、服务内容、签订时间及双方盖章）；②合同甲方（合同相对方）出具并盖章（公章或业务章）的服务评价证明材料扫描件。未按要求提供证明材料（或证明材料无法判断是否符合评分要求）的不得分，原件备查。</w:t>
            </w:r>
          </w:p>
          <w:p>
            <w:pPr>
              <w:pStyle w:val="9"/>
              <w:rPr>
                <w:rFonts w:hint="eastAsia" w:ascii="宋体" w:hAnsi="宋体" w:eastAsia="宋体" w:cs="宋体"/>
                <w:sz w:val="21"/>
                <w:szCs w:val="21"/>
              </w:rPr>
            </w:pPr>
            <w:r>
              <w:rPr>
                <w:rFonts w:hint="eastAsia" w:ascii="宋体" w:hAnsi="宋体" w:eastAsia="宋体" w:cs="宋体"/>
                <w:sz w:val="21"/>
                <w:szCs w:val="21"/>
              </w:rPr>
              <w:t>2、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评标委员会有权对投标人作出不利判断。项目名称相同、出具服务评价证明单位相同，但是经过重新组织招标、招标编号不同的，不属同一项目续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3"/>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3"/>
        <w:rPr>
          <w:rFonts w:hint="eastAsia"/>
        </w:rPr>
      </w:pPr>
    </w:p>
    <w:p>
      <w:pPr>
        <w:pStyle w:val="13"/>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合同格式"/>
      <w:bookmarkEnd w:id="6"/>
      <w:bookmarkStart w:id="7" w:name="bt商务标投标文件格式"/>
      <w:bookmarkEnd w:id="7"/>
      <w:bookmarkStart w:id="8" w:name="bt投标函"/>
      <w:bookmarkEnd w:id="8"/>
      <w:bookmarkStart w:id="9" w:name="bt投标报价汇总表"/>
      <w:bookmarkEnd w:id="9"/>
      <w:bookmarkStart w:id="10" w:name="bt合同条款"/>
      <w:bookmarkEnd w:id="10"/>
      <w:bookmarkStart w:id="11" w:name="bt投标文件签署授权委托书"/>
      <w:bookmarkEnd w:id="11"/>
      <w:bookmarkStart w:id="12" w:name="bt开标一览表"/>
      <w:bookmarkEnd w:id="12"/>
      <w:bookmarkStart w:id="13" w:name="bt技术标投标文件格式"/>
      <w:bookmarkEnd w:id="13"/>
      <w:bookmarkStart w:id="14" w:name="bt其他资料2"/>
      <w:bookmarkEnd w:id="14"/>
      <w:bookmarkStart w:id="15" w:name="bt投标人须知"/>
      <w:bookmarkEnd w:id="15"/>
      <w:bookmarkStart w:id="16" w:name="合同格式"/>
      <w:bookmarkEnd w:id="16"/>
      <w:bookmarkStart w:id="17" w:name="bt投标人情况介绍"/>
      <w:bookmarkEnd w:id="17"/>
      <w:bookmarkStart w:id="18" w:name="bt说明"/>
      <w:bookmarkEnd w:id="18"/>
      <w:bookmarkStart w:id="19" w:name="bt本工程承诺书"/>
      <w:bookmarkEnd w:id="19"/>
      <w:bookmarkStart w:id="20" w:name="bt其他资料由投标人自定"/>
      <w:bookmarkEnd w:id="20"/>
      <w:bookmarkStart w:id="21" w:name="bt项目管理班子配备情况"/>
      <w:bookmarkEnd w:id="21"/>
      <w:bookmarkStart w:id="22" w:name="bt合同条款及格式"/>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9"/>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60560625"/>
      <w:bookmarkStart w:id="25" w:name="_Toc73521635"/>
      <w:bookmarkStart w:id="26" w:name="_Toc100052364"/>
      <w:bookmarkStart w:id="27" w:name="_Toc60631620"/>
      <w:bookmarkStart w:id="28" w:name="_Toc73518117"/>
      <w:bookmarkStart w:id="29" w:name="_Toc73517639"/>
      <w:bookmarkStart w:id="30" w:name="_Toc73521547"/>
      <w:bookmarkStart w:id="31" w:name="_Toc101074876"/>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val="0"/>
                <w:bCs/>
                <w:szCs w:val="21"/>
              </w:rPr>
              <w:t>深圳市宝安中学（集团）第二实验学校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3"/>
      </w:pPr>
    </w:p>
    <w:p>
      <w:pPr>
        <w:numPr>
          <w:ilvl w:val="0"/>
          <w:numId w:val="0"/>
        </w:numPr>
        <w:tabs>
          <w:tab w:val="left" w:pos="720"/>
        </w:tabs>
        <w:ind w:firstLine="643" w:firstLineChars="200"/>
        <w:rPr>
          <w:rFonts w:ascii="Arial" w:hAnsi="Arial" w:eastAsia="宋体" w:cs="Arial"/>
          <w:b/>
          <w:color w:val="000000"/>
          <w:sz w:val="32"/>
          <w:szCs w:val="32"/>
          <w:highlight w:val="yellow"/>
        </w:rPr>
      </w:pP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0" w:firstLineChars="200"/>
        <w:rPr>
          <w:rFonts w:hint="eastAsia"/>
        </w:rPr>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3"/>
        <w:rPr>
          <w:b/>
        </w:rPr>
      </w:pPr>
    </w:p>
    <w:p>
      <w:pPr>
        <w:pStyle w:val="13"/>
        <w:rPr>
          <w:b/>
        </w:rPr>
      </w:pPr>
    </w:p>
    <w:p>
      <w:pPr>
        <w:pStyle w:val="13"/>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JYCG-DECL-2025-29363</w:t>
            </w:r>
          </w:p>
        </w:tc>
        <w:tc>
          <w:tcPr>
            <w:tcW w:w="3158" w:type="dxa"/>
            <w:vAlign w:val="center"/>
          </w:tcPr>
          <w:p>
            <w:pPr>
              <w:jc w:val="center"/>
              <w:rPr>
                <w:b/>
                <w:bCs/>
                <w:color w:val="FF0000"/>
                <w:szCs w:val="21"/>
              </w:rPr>
            </w:pPr>
            <w:r>
              <w:rPr>
                <w:rFonts w:hint="eastAsia"/>
                <w:b/>
                <w:bCs/>
                <w:color w:val="FF0000"/>
                <w:szCs w:val="21"/>
              </w:rPr>
              <w:t>深圳市宝安中学（集团）第二实验学校考场防作弊系统设备采购项目</w:t>
            </w:r>
          </w:p>
        </w:tc>
        <w:tc>
          <w:tcPr>
            <w:tcW w:w="2355" w:type="dxa"/>
            <w:vAlign w:val="center"/>
          </w:tcPr>
          <w:p>
            <w:pPr>
              <w:jc w:val="center"/>
              <w:rPr>
                <w:bCs/>
                <w:color w:val="FF0000"/>
                <w:szCs w:val="21"/>
              </w:rPr>
            </w:pPr>
            <w:r>
              <w:rPr>
                <w:rFonts w:hint="eastAsia"/>
                <w:bCs/>
                <w:color w:val="FF0000"/>
                <w:szCs w:val="21"/>
              </w:rPr>
              <w:t>468000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468000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3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2112"/>
        <w:gridCol w:w="636"/>
        <w:gridCol w:w="646"/>
        <w:gridCol w:w="1147"/>
        <w:gridCol w:w="132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jc w:val="center"/>
              <w:rPr>
                <w:bCs/>
                <w:szCs w:val="21"/>
              </w:rPr>
            </w:pPr>
            <w:r>
              <w:rPr>
                <w:rFonts w:hint="eastAsia"/>
                <w:bCs/>
                <w:szCs w:val="21"/>
              </w:rPr>
              <w:t>序号</w:t>
            </w:r>
          </w:p>
        </w:tc>
        <w:tc>
          <w:tcPr>
            <w:tcW w:w="1420" w:type="pct"/>
            <w:vAlign w:val="center"/>
          </w:tcPr>
          <w:p>
            <w:pPr>
              <w:jc w:val="center"/>
              <w:rPr>
                <w:bCs/>
                <w:szCs w:val="21"/>
              </w:rPr>
            </w:pPr>
            <w:r>
              <w:rPr>
                <w:rFonts w:hint="eastAsia"/>
                <w:bCs/>
                <w:szCs w:val="21"/>
              </w:rPr>
              <w:t>货物名称（标的名称）</w:t>
            </w:r>
          </w:p>
        </w:tc>
        <w:tc>
          <w:tcPr>
            <w:tcW w:w="427" w:type="pct"/>
            <w:vAlign w:val="center"/>
          </w:tcPr>
          <w:p>
            <w:pPr>
              <w:jc w:val="center"/>
              <w:rPr>
                <w:bCs/>
                <w:szCs w:val="21"/>
              </w:rPr>
            </w:pPr>
            <w:r>
              <w:rPr>
                <w:rFonts w:hint="eastAsia"/>
                <w:bCs/>
                <w:szCs w:val="21"/>
              </w:rPr>
              <w:t>数量</w:t>
            </w:r>
          </w:p>
        </w:tc>
        <w:tc>
          <w:tcPr>
            <w:tcW w:w="434" w:type="pct"/>
            <w:vAlign w:val="center"/>
          </w:tcPr>
          <w:p>
            <w:pPr>
              <w:jc w:val="center"/>
              <w:rPr>
                <w:bCs/>
                <w:szCs w:val="21"/>
              </w:rPr>
            </w:pPr>
            <w:r>
              <w:rPr>
                <w:rFonts w:hint="eastAsia"/>
                <w:bCs/>
                <w:szCs w:val="21"/>
              </w:rPr>
              <w:t>单位</w:t>
            </w:r>
          </w:p>
        </w:tc>
        <w:tc>
          <w:tcPr>
            <w:tcW w:w="771"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87"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585"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1420" w:type="pct"/>
            <w:vAlign w:val="center"/>
          </w:tcPr>
          <w:p>
            <w:pPr>
              <w:widowControl/>
              <w:jc w:val="center"/>
              <w:textAlignment w:val="center"/>
              <w:rPr>
                <w:bCs/>
                <w:szCs w:val="21"/>
              </w:rPr>
            </w:pPr>
            <w:r>
              <w:rPr>
                <w:rFonts w:hint="eastAsia" w:ascii="宋体" w:hAnsi="宋体" w:cs="宋体"/>
                <w:color w:val="000000"/>
                <w:szCs w:val="21"/>
              </w:rPr>
              <w:t>作弊防控管理平台</w:t>
            </w:r>
          </w:p>
        </w:tc>
        <w:tc>
          <w:tcPr>
            <w:tcW w:w="427" w:type="pct"/>
            <w:vAlign w:val="center"/>
          </w:tcPr>
          <w:p>
            <w:pPr>
              <w:widowControl/>
              <w:jc w:val="center"/>
              <w:textAlignment w:val="center"/>
              <w:rPr>
                <w:bCs/>
                <w:szCs w:val="21"/>
              </w:rPr>
            </w:pPr>
            <w:r>
              <w:rPr>
                <w:rFonts w:hint="eastAsia" w:ascii="宋体" w:hAnsi="宋体" w:cs="宋体"/>
                <w:color w:val="000000"/>
                <w:szCs w:val="21"/>
              </w:rPr>
              <w:t>1</w:t>
            </w:r>
          </w:p>
        </w:tc>
        <w:tc>
          <w:tcPr>
            <w:tcW w:w="434" w:type="pct"/>
            <w:vAlign w:val="center"/>
          </w:tcPr>
          <w:p>
            <w:pPr>
              <w:widowControl/>
              <w:jc w:val="center"/>
              <w:textAlignment w:val="center"/>
              <w:rPr>
                <w:bCs/>
                <w:szCs w:val="21"/>
              </w:rPr>
            </w:pPr>
            <w:r>
              <w:rPr>
                <w:rFonts w:hint="eastAsia" w:ascii="宋体" w:hAnsi="宋体" w:cs="宋体"/>
                <w:color w:val="000000"/>
                <w:szCs w:val="21"/>
              </w:rPr>
              <w:t>台</w:t>
            </w:r>
          </w:p>
        </w:tc>
        <w:tc>
          <w:tcPr>
            <w:tcW w:w="771" w:type="pct"/>
            <w:vAlign w:val="center"/>
          </w:tcPr>
          <w:p>
            <w:pPr>
              <w:jc w:val="center"/>
              <w:rPr>
                <w:b/>
                <w:bCs/>
                <w:color w:val="FF0000"/>
                <w:szCs w:val="21"/>
              </w:rPr>
            </w:pPr>
            <w:r>
              <w:rPr>
                <w:rFonts w:hint="eastAsia"/>
                <w:b/>
                <w:bCs/>
                <w:szCs w:val="21"/>
              </w:rPr>
              <w:t>拒绝进口</w:t>
            </w:r>
          </w:p>
        </w:tc>
        <w:tc>
          <w:tcPr>
            <w:tcW w:w="887" w:type="pct"/>
            <w:vAlign w:val="center"/>
          </w:tcPr>
          <w:p>
            <w:pPr>
              <w:jc w:val="center"/>
              <w:rPr>
                <w:rFonts w:hint="default" w:eastAsiaTheme="minorEastAsia"/>
                <w:b/>
                <w:bCs/>
                <w:color w:val="FF0000"/>
                <w:szCs w:val="21"/>
                <w:lang w:val="en-US" w:eastAsia="zh-CN"/>
              </w:rPr>
            </w:pPr>
            <w:r>
              <w:rPr>
                <w:rFonts w:hint="eastAsia"/>
                <w:b/>
                <w:bCs/>
                <w:szCs w:val="21"/>
                <w:lang w:val="en-US" w:eastAsia="zh-CN"/>
              </w:rPr>
              <w:t>否</w:t>
            </w:r>
          </w:p>
        </w:tc>
        <w:tc>
          <w:tcPr>
            <w:tcW w:w="585" w:type="pct"/>
            <w:vAlign w:val="center"/>
          </w:tcPr>
          <w:p>
            <w:pPr>
              <w:jc w:val="center"/>
              <w:rPr>
                <w:b/>
                <w:bCs/>
                <w:color w:val="FF0000"/>
                <w:szCs w:val="21"/>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1420" w:type="pct"/>
            <w:vAlign w:val="center"/>
          </w:tcPr>
          <w:p>
            <w:pPr>
              <w:widowControl/>
              <w:jc w:val="center"/>
              <w:textAlignment w:val="center"/>
              <w:rPr>
                <w:bCs/>
                <w:szCs w:val="21"/>
              </w:rPr>
            </w:pPr>
            <w:r>
              <w:rPr>
                <w:rFonts w:hint="eastAsia" w:ascii="宋体" w:hAnsi="宋体" w:cs="宋体"/>
                <w:color w:val="000000"/>
                <w:szCs w:val="21"/>
              </w:rPr>
              <w:t>高科技屏蔽终端</w:t>
            </w:r>
            <w:r>
              <w:rPr>
                <w:rFonts w:hint="eastAsia"/>
              </w:rPr>
              <w:t>（含信号屏蔽器）</w:t>
            </w:r>
          </w:p>
        </w:tc>
        <w:tc>
          <w:tcPr>
            <w:tcW w:w="427" w:type="pct"/>
            <w:vAlign w:val="center"/>
          </w:tcPr>
          <w:p>
            <w:pPr>
              <w:widowControl/>
              <w:jc w:val="center"/>
              <w:textAlignment w:val="center"/>
              <w:rPr>
                <w:bCs/>
                <w:szCs w:val="21"/>
              </w:rPr>
            </w:pPr>
            <w:r>
              <w:rPr>
                <w:rFonts w:hint="eastAsia" w:ascii="宋体" w:hAnsi="宋体" w:cs="宋体"/>
                <w:color w:val="000000"/>
                <w:szCs w:val="21"/>
              </w:rPr>
              <w:t>4</w:t>
            </w:r>
            <w:r>
              <w:rPr>
                <w:rFonts w:ascii="宋体" w:hAnsi="宋体" w:cs="宋体"/>
                <w:color w:val="000000"/>
                <w:szCs w:val="21"/>
              </w:rPr>
              <w:t>2</w:t>
            </w:r>
          </w:p>
        </w:tc>
        <w:tc>
          <w:tcPr>
            <w:tcW w:w="434" w:type="pct"/>
            <w:vAlign w:val="center"/>
          </w:tcPr>
          <w:p>
            <w:pPr>
              <w:widowControl/>
              <w:jc w:val="center"/>
              <w:textAlignment w:val="center"/>
              <w:rPr>
                <w:bCs/>
                <w:szCs w:val="21"/>
              </w:rPr>
            </w:pPr>
            <w:r>
              <w:rPr>
                <w:rFonts w:hint="eastAsia" w:ascii="宋体" w:hAnsi="宋体" w:cs="宋体"/>
                <w:color w:val="000000"/>
                <w:szCs w:val="21"/>
              </w:rPr>
              <w:t>套</w:t>
            </w:r>
          </w:p>
        </w:tc>
        <w:tc>
          <w:tcPr>
            <w:tcW w:w="771" w:type="pct"/>
            <w:vAlign w:val="center"/>
          </w:tcPr>
          <w:p>
            <w:pPr>
              <w:jc w:val="center"/>
              <w:rPr>
                <w:b/>
                <w:bCs/>
                <w:color w:val="FF0000"/>
                <w:szCs w:val="21"/>
              </w:rPr>
            </w:pPr>
            <w:r>
              <w:rPr>
                <w:rFonts w:hint="eastAsia"/>
                <w:b/>
                <w:bCs/>
                <w:szCs w:val="21"/>
              </w:rPr>
              <w:t>拒绝进口</w:t>
            </w:r>
          </w:p>
        </w:tc>
        <w:tc>
          <w:tcPr>
            <w:tcW w:w="887" w:type="pct"/>
            <w:vAlign w:val="center"/>
          </w:tcPr>
          <w:p>
            <w:pPr>
              <w:jc w:val="center"/>
              <w:rPr>
                <w:rFonts w:hint="eastAsia"/>
                <w:b/>
                <w:bCs/>
                <w:color w:val="FF0000"/>
                <w:szCs w:val="21"/>
              </w:rPr>
            </w:pPr>
            <w:r>
              <w:rPr>
                <w:rFonts w:hint="eastAsia"/>
                <w:b/>
                <w:bCs/>
                <w:szCs w:val="21"/>
                <w:lang w:val="en-US" w:eastAsia="zh-CN"/>
              </w:rPr>
              <w:t>否</w:t>
            </w:r>
          </w:p>
        </w:tc>
        <w:tc>
          <w:tcPr>
            <w:tcW w:w="585" w:type="pct"/>
            <w:vAlign w:val="center"/>
          </w:tcPr>
          <w:p>
            <w:pPr>
              <w:jc w:val="center"/>
              <w:rPr>
                <w:rFonts w:hint="eastAsia"/>
                <w:b/>
                <w:bCs/>
                <w:color w:val="FF0000"/>
                <w:szCs w:val="21"/>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3</w:t>
            </w:r>
          </w:p>
        </w:tc>
        <w:tc>
          <w:tcPr>
            <w:tcW w:w="1420" w:type="pct"/>
            <w:vAlign w:val="center"/>
          </w:tcPr>
          <w:p>
            <w:pPr>
              <w:widowControl/>
              <w:jc w:val="center"/>
              <w:textAlignment w:val="center"/>
              <w:rPr>
                <w:bCs/>
                <w:szCs w:val="21"/>
              </w:rPr>
            </w:pPr>
            <w:r>
              <w:rPr>
                <w:rFonts w:hint="eastAsia" w:ascii="宋体" w:hAnsi="宋体" w:cs="宋体"/>
                <w:color w:val="000000"/>
                <w:sz w:val="22"/>
              </w:rPr>
              <w:t>身份验证终端</w:t>
            </w:r>
          </w:p>
        </w:tc>
        <w:tc>
          <w:tcPr>
            <w:tcW w:w="427" w:type="pct"/>
            <w:vAlign w:val="center"/>
          </w:tcPr>
          <w:p>
            <w:pPr>
              <w:widowControl/>
              <w:jc w:val="center"/>
              <w:textAlignment w:val="center"/>
              <w:rPr>
                <w:bCs/>
                <w:szCs w:val="21"/>
              </w:rPr>
            </w:pPr>
            <w:r>
              <w:rPr>
                <w:rFonts w:hint="eastAsia" w:ascii="宋体" w:hAnsi="宋体" w:cs="宋体"/>
                <w:color w:val="000000"/>
                <w:szCs w:val="21"/>
              </w:rPr>
              <w:t>2</w:t>
            </w:r>
            <w:r>
              <w:rPr>
                <w:rFonts w:ascii="宋体" w:hAnsi="宋体" w:cs="宋体"/>
                <w:color w:val="000000"/>
                <w:szCs w:val="21"/>
              </w:rPr>
              <w:t>7</w:t>
            </w:r>
          </w:p>
        </w:tc>
        <w:tc>
          <w:tcPr>
            <w:tcW w:w="434" w:type="pct"/>
            <w:vAlign w:val="center"/>
          </w:tcPr>
          <w:p>
            <w:pPr>
              <w:widowControl/>
              <w:jc w:val="center"/>
              <w:textAlignment w:val="center"/>
              <w:rPr>
                <w:bCs/>
                <w:szCs w:val="21"/>
              </w:rPr>
            </w:pPr>
            <w:r>
              <w:rPr>
                <w:rFonts w:hint="eastAsia" w:ascii="宋体" w:hAnsi="宋体" w:cs="宋体"/>
                <w:color w:val="000000"/>
                <w:szCs w:val="21"/>
              </w:rPr>
              <w:t>台</w:t>
            </w:r>
          </w:p>
        </w:tc>
        <w:tc>
          <w:tcPr>
            <w:tcW w:w="771" w:type="pct"/>
            <w:vAlign w:val="center"/>
          </w:tcPr>
          <w:p>
            <w:pPr>
              <w:jc w:val="center"/>
              <w:rPr>
                <w:b/>
                <w:bCs/>
                <w:szCs w:val="21"/>
              </w:rPr>
            </w:pPr>
            <w:r>
              <w:rPr>
                <w:rFonts w:hint="eastAsia"/>
                <w:b/>
                <w:bCs/>
                <w:szCs w:val="21"/>
              </w:rPr>
              <w:t>拒绝进口</w:t>
            </w:r>
          </w:p>
        </w:tc>
        <w:tc>
          <w:tcPr>
            <w:tcW w:w="887" w:type="pct"/>
            <w:vAlign w:val="center"/>
          </w:tcPr>
          <w:p>
            <w:pPr>
              <w:jc w:val="center"/>
              <w:rPr>
                <w:rFonts w:hint="default" w:eastAsiaTheme="minorEastAsia"/>
                <w:b/>
                <w:bCs/>
                <w:szCs w:val="21"/>
                <w:lang w:val="en-US" w:eastAsia="zh-CN"/>
              </w:rPr>
            </w:pPr>
            <w:r>
              <w:rPr>
                <w:rFonts w:hint="eastAsia"/>
                <w:b/>
                <w:bCs/>
                <w:szCs w:val="21"/>
                <w:lang w:val="en-US" w:eastAsia="zh-CN"/>
              </w:rPr>
              <w:t>否</w:t>
            </w:r>
          </w:p>
        </w:tc>
        <w:tc>
          <w:tcPr>
            <w:tcW w:w="585" w:type="pct"/>
            <w:vAlign w:val="center"/>
          </w:tcPr>
          <w:p>
            <w:pPr>
              <w:jc w:val="center"/>
              <w:rPr>
                <w:rFonts w:hint="eastAsia" w:eastAsiaTheme="minorEastAsia"/>
                <w:b/>
                <w:bCs/>
                <w:szCs w:val="21"/>
                <w:lang w:val="en-US" w:eastAsia="zh-CN"/>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4</w:t>
            </w:r>
          </w:p>
        </w:tc>
        <w:tc>
          <w:tcPr>
            <w:tcW w:w="1420" w:type="pct"/>
            <w:vAlign w:val="center"/>
          </w:tcPr>
          <w:p>
            <w:pPr>
              <w:widowControl/>
              <w:jc w:val="center"/>
              <w:textAlignment w:val="center"/>
              <w:rPr>
                <w:bCs/>
                <w:szCs w:val="21"/>
              </w:rPr>
            </w:pPr>
            <w:r>
              <w:rPr>
                <w:rFonts w:hint="eastAsia" w:ascii="宋体" w:hAnsi="宋体" w:cs="宋体"/>
                <w:color w:val="000000"/>
                <w:szCs w:val="21"/>
              </w:rPr>
              <w:t>身份验证终端支架</w:t>
            </w:r>
          </w:p>
        </w:tc>
        <w:tc>
          <w:tcPr>
            <w:tcW w:w="427" w:type="pct"/>
            <w:vAlign w:val="center"/>
          </w:tcPr>
          <w:p>
            <w:pPr>
              <w:widowControl/>
              <w:jc w:val="center"/>
              <w:textAlignment w:val="center"/>
              <w:rPr>
                <w:bCs/>
                <w:szCs w:val="21"/>
              </w:rPr>
            </w:pPr>
            <w:r>
              <w:rPr>
                <w:rFonts w:hint="eastAsia" w:ascii="宋体" w:hAnsi="宋体" w:cs="宋体"/>
                <w:color w:val="000000"/>
                <w:szCs w:val="21"/>
              </w:rPr>
              <w:t>2</w:t>
            </w:r>
            <w:r>
              <w:rPr>
                <w:rFonts w:ascii="宋体" w:hAnsi="宋体" w:cs="宋体"/>
                <w:color w:val="000000"/>
                <w:szCs w:val="21"/>
              </w:rPr>
              <w:t>7</w:t>
            </w:r>
          </w:p>
        </w:tc>
        <w:tc>
          <w:tcPr>
            <w:tcW w:w="434" w:type="pct"/>
            <w:vAlign w:val="center"/>
          </w:tcPr>
          <w:p>
            <w:pPr>
              <w:widowControl/>
              <w:jc w:val="center"/>
              <w:textAlignment w:val="center"/>
              <w:rPr>
                <w:bCs/>
                <w:szCs w:val="21"/>
              </w:rPr>
            </w:pPr>
            <w:r>
              <w:rPr>
                <w:rFonts w:hint="eastAsia" w:ascii="宋体" w:hAnsi="宋体" w:cs="宋体"/>
                <w:color w:val="000000"/>
                <w:szCs w:val="21"/>
              </w:rPr>
              <w:t>套</w:t>
            </w:r>
          </w:p>
        </w:tc>
        <w:tc>
          <w:tcPr>
            <w:tcW w:w="771" w:type="pct"/>
            <w:vAlign w:val="center"/>
          </w:tcPr>
          <w:p>
            <w:pPr>
              <w:jc w:val="center"/>
              <w:rPr>
                <w:b/>
                <w:bCs/>
                <w:color w:val="FF0000"/>
                <w:szCs w:val="21"/>
              </w:rPr>
            </w:pPr>
            <w:r>
              <w:rPr>
                <w:rFonts w:hint="eastAsia"/>
                <w:b/>
                <w:bCs/>
                <w:szCs w:val="21"/>
              </w:rPr>
              <w:t>拒绝进口</w:t>
            </w:r>
          </w:p>
        </w:tc>
        <w:tc>
          <w:tcPr>
            <w:tcW w:w="887" w:type="pct"/>
            <w:vAlign w:val="center"/>
          </w:tcPr>
          <w:p>
            <w:pPr>
              <w:jc w:val="center"/>
              <w:rPr>
                <w:rFonts w:hint="eastAsia"/>
                <w:b/>
                <w:bCs/>
                <w:szCs w:val="21"/>
              </w:rPr>
            </w:pPr>
            <w:r>
              <w:rPr>
                <w:rFonts w:hint="eastAsia"/>
                <w:b/>
                <w:bCs/>
                <w:szCs w:val="21"/>
                <w:lang w:val="en-US" w:eastAsia="zh-CN"/>
              </w:rPr>
              <w:t>否</w:t>
            </w:r>
          </w:p>
        </w:tc>
        <w:tc>
          <w:tcPr>
            <w:tcW w:w="585" w:type="pct"/>
            <w:vAlign w:val="center"/>
          </w:tcPr>
          <w:p>
            <w:pPr>
              <w:jc w:val="center"/>
              <w:rPr>
                <w:rFonts w:hint="eastAsia"/>
                <w:b/>
                <w:bCs/>
                <w:szCs w:val="21"/>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5</w:t>
            </w:r>
          </w:p>
        </w:tc>
        <w:tc>
          <w:tcPr>
            <w:tcW w:w="1420" w:type="pct"/>
            <w:vAlign w:val="center"/>
          </w:tcPr>
          <w:p>
            <w:pPr>
              <w:widowControl/>
              <w:jc w:val="center"/>
              <w:textAlignment w:val="center"/>
              <w:rPr>
                <w:bCs/>
                <w:szCs w:val="21"/>
              </w:rPr>
            </w:pPr>
            <w:r>
              <w:rPr>
                <w:rFonts w:hint="eastAsia" w:ascii="宋体" w:hAnsi="宋体" w:cs="宋体"/>
                <w:color w:val="000000"/>
                <w:szCs w:val="21"/>
              </w:rPr>
              <w:t>金属探测仪</w:t>
            </w:r>
          </w:p>
        </w:tc>
        <w:tc>
          <w:tcPr>
            <w:tcW w:w="427" w:type="pct"/>
            <w:vAlign w:val="center"/>
          </w:tcPr>
          <w:p>
            <w:pPr>
              <w:widowControl/>
              <w:jc w:val="center"/>
              <w:textAlignment w:val="center"/>
              <w:rPr>
                <w:bCs/>
                <w:szCs w:val="21"/>
              </w:rPr>
            </w:pPr>
            <w:r>
              <w:rPr>
                <w:rFonts w:hint="eastAsia" w:ascii="宋体" w:hAnsi="宋体" w:cs="宋体"/>
                <w:color w:val="000000"/>
                <w:szCs w:val="21"/>
              </w:rPr>
              <w:t>3</w:t>
            </w:r>
            <w:r>
              <w:rPr>
                <w:rFonts w:ascii="宋体" w:hAnsi="宋体" w:cs="宋体"/>
                <w:color w:val="000000"/>
                <w:szCs w:val="21"/>
              </w:rPr>
              <w:t>0</w:t>
            </w:r>
          </w:p>
        </w:tc>
        <w:tc>
          <w:tcPr>
            <w:tcW w:w="434" w:type="pct"/>
            <w:vAlign w:val="center"/>
          </w:tcPr>
          <w:p>
            <w:pPr>
              <w:widowControl/>
              <w:jc w:val="center"/>
              <w:textAlignment w:val="center"/>
              <w:rPr>
                <w:bCs/>
                <w:szCs w:val="21"/>
              </w:rPr>
            </w:pPr>
            <w:r>
              <w:rPr>
                <w:rFonts w:hint="eastAsia" w:ascii="宋体" w:hAnsi="宋体" w:cs="宋体"/>
                <w:color w:val="000000"/>
                <w:szCs w:val="21"/>
              </w:rPr>
              <w:t>套</w:t>
            </w:r>
          </w:p>
        </w:tc>
        <w:tc>
          <w:tcPr>
            <w:tcW w:w="771" w:type="pct"/>
            <w:vAlign w:val="center"/>
          </w:tcPr>
          <w:p>
            <w:pPr>
              <w:jc w:val="center"/>
              <w:rPr>
                <w:b/>
                <w:bCs/>
                <w:color w:val="FF0000"/>
                <w:szCs w:val="21"/>
                <w:highlight w:val="yellow"/>
              </w:rPr>
            </w:pPr>
            <w:r>
              <w:rPr>
                <w:rFonts w:hint="eastAsia"/>
                <w:b/>
                <w:bCs/>
                <w:szCs w:val="21"/>
              </w:rPr>
              <w:t>拒绝进口</w:t>
            </w:r>
          </w:p>
        </w:tc>
        <w:tc>
          <w:tcPr>
            <w:tcW w:w="887" w:type="pct"/>
            <w:vAlign w:val="center"/>
          </w:tcPr>
          <w:p>
            <w:pPr>
              <w:jc w:val="center"/>
              <w:rPr>
                <w:b/>
                <w:bCs/>
                <w:color w:val="FF0000"/>
                <w:szCs w:val="21"/>
                <w:highlight w:val="yellow"/>
              </w:rPr>
            </w:pPr>
            <w:r>
              <w:rPr>
                <w:rFonts w:hint="eastAsia"/>
                <w:b/>
                <w:bCs/>
                <w:szCs w:val="21"/>
                <w:lang w:val="en-US" w:eastAsia="zh-CN"/>
              </w:rPr>
              <w:t>否</w:t>
            </w:r>
          </w:p>
        </w:tc>
        <w:tc>
          <w:tcPr>
            <w:tcW w:w="585" w:type="pct"/>
            <w:vAlign w:val="center"/>
          </w:tcPr>
          <w:p>
            <w:pPr>
              <w:jc w:val="center"/>
              <w:rPr>
                <w:b/>
                <w:bCs/>
                <w:color w:val="FF0000"/>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6</w:t>
            </w:r>
          </w:p>
        </w:tc>
        <w:tc>
          <w:tcPr>
            <w:tcW w:w="1420" w:type="pct"/>
            <w:vAlign w:val="center"/>
          </w:tcPr>
          <w:p>
            <w:pPr>
              <w:widowControl/>
              <w:jc w:val="center"/>
              <w:textAlignment w:val="center"/>
              <w:rPr>
                <w:bCs/>
                <w:szCs w:val="21"/>
              </w:rPr>
            </w:pPr>
            <w:r>
              <w:rPr>
                <w:rFonts w:hint="eastAsia" w:ascii="宋体" w:hAnsi="宋体" w:cs="宋体"/>
                <w:color w:val="000000"/>
                <w:szCs w:val="21"/>
              </w:rPr>
              <w:t>充电柜</w:t>
            </w:r>
          </w:p>
        </w:tc>
        <w:tc>
          <w:tcPr>
            <w:tcW w:w="427" w:type="pct"/>
            <w:vAlign w:val="center"/>
          </w:tcPr>
          <w:p>
            <w:pPr>
              <w:widowControl/>
              <w:jc w:val="center"/>
              <w:textAlignment w:val="center"/>
              <w:rPr>
                <w:bCs/>
                <w:szCs w:val="21"/>
              </w:rPr>
            </w:pPr>
            <w:r>
              <w:rPr>
                <w:rFonts w:hint="eastAsia" w:ascii="宋体" w:hAnsi="宋体" w:cs="宋体"/>
                <w:color w:val="000000"/>
                <w:szCs w:val="21"/>
              </w:rPr>
              <w:t>1</w:t>
            </w:r>
          </w:p>
        </w:tc>
        <w:tc>
          <w:tcPr>
            <w:tcW w:w="434" w:type="pct"/>
            <w:vAlign w:val="center"/>
          </w:tcPr>
          <w:p>
            <w:pPr>
              <w:widowControl/>
              <w:jc w:val="center"/>
              <w:textAlignment w:val="center"/>
              <w:rPr>
                <w:bCs/>
                <w:szCs w:val="21"/>
              </w:rPr>
            </w:pPr>
            <w:r>
              <w:rPr>
                <w:rFonts w:hint="eastAsia" w:ascii="宋体" w:hAnsi="宋体" w:cs="宋体"/>
                <w:color w:val="000000"/>
                <w:szCs w:val="21"/>
              </w:rPr>
              <w:t>台</w:t>
            </w:r>
          </w:p>
        </w:tc>
        <w:tc>
          <w:tcPr>
            <w:tcW w:w="771" w:type="pct"/>
            <w:vAlign w:val="center"/>
          </w:tcPr>
          <w:p>
            <w:pPr>
              <w:jc w:val="center"/>
              <w:rPr>
                <w:b/>
                <w:bCs/>
                <w:szCs w:val="21"/>
                <w:highlight w:val="yellow"/>
              </w:rPr>
            </w:pPr>
            <w:r>
              <w:rPr>
                <w:rFonts w:hint="eastAsia"/>
                <w:b/>
                <w:bCs/>
                <w:szCs w:val="21"/>
              </w:rPr>
              <w:t>拒绝进口</w:t>
            </w:r>
          </w:p>
        </w:tc>
        <w:tc>
          <w:tcPr>
            <w:tcW w:w="887" w:type="pct"/>
            <w:vAlign w:val="center"/>
          </w:tcPr>
          <w:p>
            <w:pPr>
              <w:jc w:val="center"/>
              <w:rPr>
                <w:b/>
                <w:bCs/>
                <w:szCs w:val="21"/>
                <w:highlight w:val="yellow"/>
              </w:rPr>
            </w:pPr>
            <w:r>
              <w:rPr>
                <w:rFonts w:hint="eastAsia"/>
                <w:b/>
                <w:bCs/>
                <w:szCs w:val="21"/>
                <w:lang w:val="en-US" w:eastAsia="zh-CN"/>
              </w:rPr>
              <w:t>否</w:t>
            </w:r>
          </w:p>
        </w:tc>
        <w:tc>
          <w:tcPr>
            <w:tcW w:w="585"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7</w:t>
            </w:r>
          </w:p>
        </w:tc>
        <w:tc>
          <w:tcPr>
            <w:tcW w:w="1420" w:type="pct"/>
            <w:vAlign w:val="center"/>
          </w:tcPr>
          <w:p>
            <w:pPr>
              <w:widowControl/>
              <w:jc w:val="center"/>
              <w:textAlignment w:val="center"/>
              <w:rPr>
                <w:bCs/>
                <w:szCs w:val="21"/>
              </w:rPr>
            </w:pPr>
            <w:r>
              <w:rPr>
                <w:rFonts w:hint="eastAsia" w:ascii="宋体" w:hAnsi="宋体" w:cs="宋体"/>
                <w:color w:val="000000"/>
                <w:szCs w:val="21"/>
              </w:rPr>
              <w:t>网线</w:t>
            </w:r>
          </w:p>
        </w:tc>
        <w:tc>
          <w:tcPr>
            <w:tcW w:w="427" w:type="pct"/>
            <w:vAlign w:val="center"/>
          </w:tcPr>
          <w:p>
            <w:pPr>
              <w:widowControl/>
              <w:jc w:val="center"/>
              <w:textAlignment w:val="center"/>
              <w:rPr>
                <w:bCs/>
                <w:szCs w:val="21"/>
              </w:rPr>
            </w:pPr>
            <w:r>
              <w:rPr>
                <w:rFonts w:ascii="宋体" w:hAnsi="宋体" w:cs="宋体"/>
                <w:color w:val="000000"/>
                <w:szCs w:val="21"/>
              </w:rPr>
              <w:t>17</w:t>
            </w:r>
          </w:p>
        </w:tc>
        <w:tc>
          <w:tcPr>
            <w:tcW w:w="434" w:type="pct"/>
            <w:vAlign w:val="center"/>
          </w:tcPr>
          <w:p>
            <w:pPr>
              <w:widowControl/>
              <w:jc w:val="center"/>
              <w:textAlignment w:val="center"/>
              <w:rPr>
                <w:bCs/>
                <w:szCs w:val="21"/>
              </w:rPr>
            </w:pPr>
            <w:r>
              <w:rPr>
                <w:rFonts w:hint="eastAsia" w:ascii="宋体" w:hAnsi="宋体" w:cs="宋体"/>
                <w:color w:val="000000"/>
                <w:szCs w:val="21"/>
              </w:rPr>
              <w:t>箱</w:t>
            </w:r>
          </w:p>
        </w:tc>
        <w:tc>
          <w:tcPr>
            <w:tcW w:w="771" w:type="pct"/>
            <w:vAlign w:val="center"/>
          </w:tcPr>
          <w:p>
            <w:pPr>
              <w:jc w:val="center"/>
              <w:rPr>
                <w:b/>
                <w:bCs/>
                <w:szCs w:val="21"/>
                <w:highlight w:val="yellow"/>
              </w:rPr>
            </w:pPr>
            <w:r>
              <w:rPr>
                <w:rFonts w:hint="eastAsia"/>
                <w:b/>
                <w:bCs/>
                <w:szCs w:val="21"/>
              </w:rPr>
              <w:t>拒绝进口</w:t>
            </w:r>
          </w:p>
        </w:tc>
        <w:tc>
          <w:tcPr>
            <w:tcW w:w="887" w:type="pct"/>
            <w:vAlign w:val="center"/>
          </w:tcPr>
          <w:p>
            <w:pPr>
              <w:jc w:val="center"/>
              <w:rPr>
                <w:b/>
                <w:bCs/>
                <w:szCs w:val="21"/>
                <w:highlight w:val="yellow"/>
              </w:rPr>
            </w:pPr>
            <w:r>
              <w:rPr>
                <w:rFonts w:hint="eastAsia"/>
                <w:b/>
                <w:bCs/>
                <w:szCs w:val="21"/>
                <w:lang w:val="en-US" w:eastAsia="zh-CN"/>
              </w:rPr>
              <w:t>否</w:t>
            </w:r>
          </w:p>
        </w:tc>
        <w:tc>
          <w:tcPr>
            <w:tcW w:w="585"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8</w:t>
            </w:r>
          </w:p>
        </w:tc>
        <w:tc>
          <w:tcPr>
            <w:tcW w:w="1420" w:type="pct"/>
            <w:vAlign w:val="center"/>
          </w:tcPr>
          <w:p>
            <w:pPr>
              <w:widowControl/>
              <w:jc w:val="center"/>
              <w:textAlignment w:val="center"/>
              <w:rPr>
                <w:bCs/>
                <w:szCs w:val="21"/>
              </w:rPr>
            </w:pPr>
            <w:r>
              <w:rPr>
                <w:rFonts w:hint="eastAsia" w:ascii="宋体" w:hAnsi="宋体" w:cs="宋体"/>
                <w:color w:val="000000"/>
                <w:szCs w:val="21"/>
              </w:rPr>
              <w:t>电源线</w:t>
            </w:r>
          </w:p>
        </w:tc>
        <w:tc>
          <w:tcPr>
            <w:tcW w:w="427" w:type="pct"/>
            <w:vAlign w:val="center"/>
          </w:tcPr>
          <w:p>
            <w:pPr>
              <w:widowControl/>
              <w:jc w:val="center"/>
              <w:textAlignment w:val="center"/>
              <w:rPr>
                <w:bCs/>
                <w:szCs w:val="21"/>
              </w:rPr>
            </w:pPr>
            <w:r>
              <w:rPr>
                <w:rFonts w:hint="eastAsia" w:ascii="宋体" w:hAnsi="宋体" w:cs="宋体"/>
                <w:color w:val="000000"/>
                <w:szCs w:val="21"/>
              </w:rPr>
              <w:t>1</w:t>
            </w:r>
            <w:r>
              <w:rPr>
                <w:rFonts w:ascii="宋体" w:hAnsi="宋体" w:cs="宋体"/>
                <w:color w:val="000000"/>
                <w:szCs w:val="21"/>
              </w:rPr>
              <w:t>200</w:t>
            </w:r>
          </w:p>
        </w:tc>
        <w:tc>
          <w:tcPr>
            <w:tcW w:w="434" w:type="pct"/>
            <w:vAlign w:val="center"/>
          </w:tcPr>
          <w:p>
            <w:pPr>
              <w:widowControl/>
              <w:jc w:val="center"/>
              <w:textAlignment w:val="center"/>
              <w:rPr>
                <w:bCs/>
                <w:szCs w:val="21"/>
              </w:rPr>
            </w:pPr>
            <w:r>
              <w:rPr>
                <w:rFonts w:hint="eastAsia" w:ascii="宋体" w:hAnsi="宋体" w:cs="宋体"/>
                <w:color w:val="000000"/>
                <w:szCs w:val="21"/>
              </w:rPr>
              <w:t>米</w:t>
            </w:r>
          </w:p>
        </w:tc>
        <w:tc>
          <w:tcPr>
            <w:tcW w:w="771" w:type="pct"/>
            <w:vAlign w:val="center"/>
          </w:tcPr>
          <w:p>
            <w:pPr>
              <w:jc w:val="center"/>
              <w:rPr>
                <w:b/>
                <w:bCs/>
                <w:szCs w:val="21"/>
                <w:highlight w:val="yellow"/>
              </w:rPr>
            </w:pPr>
            <w:r>
              <w:rPr>
                <w:rFonts w:hint="eastAsia"/>
                <w:b/>
                <w:bCs/>
                <w:szCs w:val="21"/>
              </w:rPr>
              <w:t>拒绝进口</w:t>
            </w:r>
          </w:p>
        </w:tc>
        <w:tc>
          <w:tcPr>
            <w:tcW w:w="887" w:type="pct"/>
            <w:vAlign w:val="center"/>
          </w:tcPr>
          <w:p>
            <w:pPr>
              <w:jc w:val="center"/>
              <w:rPr>
                <w:b/>
                <w:bCs/>
                <w:szCs w:val="21"/>
                <w:highlight w:val="yellow"/>
              </w:rPr>
            </w:pPr>
            <w:r>
              <w:rPr>
                <w:rFonts w:hint="eastAsia"/>
                <w:b/>
                <w:bCs/>
                <w:szCs w:val="21"/>
                <w:lang w:val="en-US" w:eastAsia="zh-CN"/>
              </w:rPr>
              <w:t>否</w:t>
            </w:r>
          </w:p>
        </w:tc>
        <w:tc>
          <w:tcPr>
            <w:tcW w:w="585"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9</w:t>
            </w:r>
          </w:p>
        </w:tc>
        <w:tc>
          <w:tcPr>
            <w:tcW w:w="1420" w:type="pct"/>
            <w:vAlign w:val="center"/>
          </w:tcPr>
          <w:p>
            <w:pPr>
              <w:keepNext w:val="0"/>
              <w:keepLines w:val="0"/>
              <w:widowControl/>
              <w:suppressLineNumbers w:val="0"/>
              <w:spacing w:line="240" w:lineRule="auto"/>
              <w:jc w:val="center"/>
              <w:textAlignment w:val="center"/>
              <w:rPr>
                <w:bCs/>
                <w:szCs w:val="21"/>
              </w:rPr>
            </w:pPr>
            <w:r>
              <w:rPr>
                <w:rStyle w:val="38"/>
                <w:sz w:val="21"/>
                <w:szCs w:val="21"/>
                <w:lang w:val="en-US" w:eastAsia="zh-CN" w:bidi="ar"/>
              </w:rPr>
              <w:t>线槽</w:t>
            </w:r>
            <w:r>
              <w:rPr>
                <w:rStyle w:val="38"/>
                <w:rFonts w:hint="eastAsia"/>
                <w:sz w:val="21"/>
                <w:szCs w:val="21"/>
                <w:lang w:val="en-US" w:eastAsia="zh-CN" w:bidi="ar"/>
              </w:rPr>
              <w:t>1</w:t>
            </w:r>
          </w:p>
        </w:tc>
        <w:tc>
          <w:tcPr>
            <w:tcW w:w="427" w:type="pct"/>
            <w:vAlign w:val="center"/>
          </w:tcPr>
          <w:p>
            <w:pPr>
              <w:widowControl/>
              <w:jc w:val="center"/>
              <w:textAlignment w:val="center"/>
              <w:rPr>
                <w:bCs/>
                <w:szCs w:val="21"/>
              </w:rPr>
            </w:pPr>
            <w:r>
              <w:rPr>
                <w:rFonts w:ascii="宋体" w:hAnsi="宋体" w:cs="宋体"/>
                <w:color w:val="000000"/>
                <w:szCs w:val="21"/>
              </w:rPr>
              <w:t>400</w:t>
            </w:r>
          </w:p>
        </w:tc>
        <w:tc>
          <w:tcPr>
            <w:tcW w:w="434" w:type="pct"/>
            <w:vAlign w:val="center"/>
          </w:tcPr>
          <w:p>
            <w:pPr>
              <w:widowControl/>
              <w:jc w:val="center"/>
              <w:textAlignment w:val="center"/>
              <w:rPr>
                <w:bCs/>
                <w:szCs w:val="21"/>
              </w:rPr>
            </w:pPr>
            <w:r>
              <w:rPr>
                <w:rFonts w:hint="eastAsia" w:ascii="宋体" w:hAnsi="宋体" w:cs="宋体"/>
                <w:color w:val="000000"/>
                <w:szCs w:val="21"/>
              </w:rPr>
              <w:t>米</w:t>
            </w:r>
          </w:p>
        </w:tc>
        <w:tc>
          <w:tcPr>
            <w:tcW w:w="771" w:type="pct"/>
            <w:vAlign w:val="center"/>
          </w:tcPr>
          <w:p>
            <w:pPr>
              <w:jc w:val="center"/>
              <w:rPr>
                <w:b/>
                <w:bCs/>
                <w:szCs w:val="21"/>
                <w:highlight w:val="yellow"/>
              </w:rPr>
            </w:pPr>
            <w:r>
              <w:rPr>
                <w:rFonts w:hint="eastAsia"/>
                <w:b/>
                <w:bCs/>
                <w:szCs w:val="21"/>
              </w:rPr>
              <w:t>拒绝进口</w:t>
            </w:r>
          </w:p>
        </w:tc>
        <w:tc>
          <w:tcPr>
            <w:tcW w:w="887" w:type="pct"/>
            <w:vAlign w:val="center"/>
          </w:tcPr>
          <w:p>
            <w:pPr>
              <w:jc w:val="center"/>
              <w:rPr>
                <w:b/>
                <w:bCs/>
                <w:szCs w:val="21"/>
                <w:highlight w:val="yellow"/>
              </w:rPr>
            </w:pPr>
            <w:r>
              <w:rPr>
                <w:rFonts w:hint="eastAsia"/>
                <w:b/>
                <w:bCs/>
                <w:szCs w:val="21"/>
                <w:lang w:val="en-US" w:eastAsia="zh-CN"/>
              </w:rPr>
              <w:t>否</w:t>
            </w:r>
          </w:p>
        </w:tc>
        <w:tc>
          <w:tcPr>
            <w:tcW w:w="585"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1420" w:type="pct"/>
            <w:vAlign w:val="center"/>
          </w:tcPr>
          <w:p>
            <w:pPr>
              <w:keepNext w:val="0"/>
              <w:keepLines w:val="0"/>
              <w:widowControl/>
              <w:suppressLineNumbers w:val="0"/>
              <w:spacing w:line="240" w:lineRule="auto"/>
              <w:jc w:val="center"/>
              <w:textAlignment w:val="center"/>
              <w:rPr>
                <w:bCs/>
                <w:szCs w:val="21"/>
              </w:rPr>
            </w:pPr>
            <w:r>
              <w:rPr>
                <w:rStyle w:val="38"/>
                <w:sz w:val="21"/>
                <w:szCs w:val="21"/>
                <w:lang w:val="en-US" w:eastAsia="zh-CN" w:bidi="ar"/>
              </w:rPr>
              <w:t>线槽</w:t>
            </w:r>
            <w:r>
              <w:rPr>
                <w:rStyle w:val="38"/>
                <w:rFonts w:hint="eastAsia"/>
                <w:sz w:val="21"/>
                <w:szCs w:val="21"/>
                <w:lang w:val="en-US" w:eastAsia="zh-CN" w:bidi="ar"/>
              </w:rPr>
              <w:t>2</w:t>
            </w:r>
          </w:p>
        </w:tc>
        <w:tc>
          <w:tcPr>
            <w:tcW w:w="427" w:type="pct"/>
            <w:vAlign w:val="center"/>
          </w:tcPr>
          <w:p>
            <w:pPr>
              <w:widowControl/>
              <w:jc w:val="center"/>
              <w:textAlignment w:val="center"/>
              <w:rPr>
                <w:bCs/>
                <w:szCs w:val="21"/>
              </w:rPr>
            </w:pPr>
            <w:r>
              <w:rPr>
                <w:rFonts w:ascii="宋体" w:hAnsi="宋体" w:cs="宋体"/>
                <w:color w:val="000000"/>
                <w:szCs w:val="21"/>
              </w:rPr>
              <w:t>350</w:t>
            </w:r>
          </w:p>
        </w:tc>
        <w:tc>
          <w:tcPr>
            <w:tcW w:w="434" w:type="pct"/>
            <w:vAlign w:val="center"/>
          </w:tcPr>
          <w:p>
            <w:pPr>
              <w:widowControl/>
              <w:jc w:val="center"/>
              <w:textAlignment w:val="center"/>
              <w:rPr>
                <w:bCs/>
                <w:szCs w:val="21"/>
              </w:rPr>
            </w:pPr>
            <w:r>
              <w:rPr>
                <w:rFonts w:hint="eastAsia" w:ascii="宋体" w:hAnsi="宋体" w:cs="宋体"/>
                <w:color w:val="000000"/>
                <w:szCs w:val="21"/>
              </w:rPr>
              <w:t>米</w:t>
            </w:r>
          </w:p>
        </w:tc>
        <w:tc>
          <w:tcPr>
            <w:tcW w:w="771" w:type="pct"/>
            <w:vAlign w:val="center"/>
          </w:tcPr>
          <w:p>
            <w:pPr>
              <w:jc w:val="center"/>
              <w:rPr>
                <w:b/>
                <w:bCs/>
                <w:szCs w:val="21"/>
                <w:highlight w:val="yellow"/>
              </w:rPr>
            </w:pPr>
            <w:r>
              <w:rPr>
                <w:rFonts w:hint="eastAsia"/>
                <w:b/>
                <w:bCs/>
                <w:szCs w:val="21"/>
              </w:rPr>
              <w:t>拒绝进口</w:t>
            </w:r>
          </w:p>
        </w:tc>
        <w:tc>
          <w:tcPr>
            <w:tcW w:w="887" w:type="pct"/>
            <w:vAlign w:val="center"/>
          </w:tcPr>
          <w:p>
            <w:pPr>
              <w:jc w:val="center"/>
              <w:rPr>
                <w:b/>
                <w:bCs/>
                <w:szCs w:val="21"/>
                <w:highlight w:val="yellow"/>
              </w:rPr>
            </w:pPr>
            <w:r>
              <w:rPr>
                <w:rFonts w:hint="eastAsia"/>
                <w:b/>
                <w:bCs/>
                <w:szCs w:val="21"/>
                <w:lang w:val="en-US" w:eastAsia="zh-CN"/>
              </w:rPr>
              <w:t>否</w:t>
            </w:r>
          </w:p>
        </w:tc>
        <w:tc>
          <w:tcPr>
            <w:tcW w:w="585"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11</w:t>
            </w:r>
          </w:p>
        </w:tc>
        <w:tc>
          <w:tcPr>
            <w:tcW w:w="1420" w:type="pct"/>
            <w:vAlign w:val="center"/>
          </w:tcPr>
          <w:p>
            <w:pPr>
              <w:keepNext w:val="0"/>
              <w:keepLines w:val="0"/>
              <w:widowControl/>
              <w:suppressLineNumbers w:val="0"/>
              <w:spacing w:line="240" w:lineRule="auto"/>
              <w:jc w:val="center"/>
              <w:textAlignment w:val="center"/>
              <w:rPr>
                <w:rFonts w:hint="eastAsia"/>
              </w:rPr>
            </w:pPr>
            <w:r>
              <w:rPr>
                <w:rStyle w:val="38"/>
                <w:sz w:val="21"/>
                <w:szCs w:val="21"/>
                <w:lang w:val="en-US" w:eastAsia="zh-CN" w:bidi="ar"/>
              </w:rPr>
              <w:t>线管</w:t>
            </w:r>
          </w:p>
        </w:tc>
        <w:tc>
          <w:tcPr>
            <w:tcW w:w="427" w:type="pct"/>
            <w:vAlign w:val="center"/>
          </w:tcPr>
          <w:p>
            <w:pPr>
              <w:widowControl/>
              <w:jc w:val="center"/>
              <w:textAlignment w:val="center"/>
              <w:rPr>
                <w:bCs/>
                <w:szCs w:val="21"/>
              </w:rPr>
            </w:pPr>
            <w:r>
              <w:rPr>
                <w:rFonts w:ascii="宋体" w:hAnsi="宋体" w:cs="宋体"/>
                <w:color w:val="000000"/>
                <w:szCs w:val="21"/>
              </w:rPr>
              <w:t>350</w:t>
            </w:r>
          </w:p>
        </w:tc>
        <w:tc>
          <w:tcPr>
            <w:tcW w:w="434" w:type="pct"/>
            <w:vAlign w:val="center"/>
          </w:tcPr>
          <w:p>
            <w:pPr>
              <w:widowControl/>
              <w:jc w:val="center"/>
              <w:textAlignment w:val="center"/>
              <w:rPr>
                <w:bCs/>
                <w:szCs w:val="21"/>
              </w:rPr>
            </w:pPr>
            <w:r>
              <w:rPr>
                <w:rFonts w:hint="eastAsia" w:ascii="宋体" w:hAnsi="宋体" w:cs="宋体"/>
                <w:color w:val="000000"/>
                <w:szCs w:val="21"/>
              </w:rPr>
              <w:t>米</w:t>
            </w:r>
          </w:p>
        </w:tc>
        <w:tc>
          <w:tcPr>
            <w:tcW w:w="771" w:type="pct"/>
            <w:vAlign w:val="center"/>
          </w:tcPr>
          <w:p>
            <w:pPr>
              <w:jc w:val="center"/>
              <w:rPr>
                <w:b/>
                <w:bCs/>
                <w:szCs w:val="21"/>
                <w:highlight w:val="yellow"/>
              </w:rPr>
            </w:pPr>
            <w:r>
              <w:rPr>
                <w:rFonts w:hint="eastAsia"/>
                <w:b/>
                <w:bCs/>
                <w:szCs w:val="21"/>
              </w:rPr>
              <w:t>拒绝进口</w:t>
            </w:r>
          </w:p>
        </w:tc>
        <w:tc>
          <w:tcPr>
            <w:tcW w:w="887" w:type="pct"/>
            <w:vAlign w:val="center"/>
          </w:tcPr>
          <w:p>
            <w:pPr>
              <w:jc w:val="center"/>
              <w:rPr>
                <w:b/>
                <w:bCs/>
                <w:szCs w:val="21"/>
                <w:highlight w:val="yellow"/>
              </w:rPr>
            </w:pPr>
            <w:r>
              <w:rPr>
                <w:rFonts w:hint="eastAsia"/>
                <w:b/>
                <w:bCs/>
                <w:szCs w:val="21"/>
                <w:lang w:val="en-US" w:eastAsia="zh-CN"/>
              </w:rPr>
              <w:t>否</w:t>
            </w:r>
          </w:p>
        </w:tc>
        <w:tc>
          <w:tcPr>
            <w:tcW w:w="585"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12</w:t>
            </w:r>
          </w:p>
        </w:tc>
        <w:tc>
          <w:tcPr>
            <w:tcW w:w="1420" w:type="pct"/>
            <w:vAlign w:val="center"/>
          </w:tcPr>
          <w:p>
            <w:pPr>
              <w:jc w:val="center"/>
              <w:rPr>
                <w:rFonts w:hint="eastAsia"/>
              </w:rPr>
            </w:pPr>
            <w:r>
              <w:rPr>
                <w:rFonts w:hint="eastAsia" w:ascii="宋体" w:hAnsi="宋体" w:cs="宋体"/>
                <w:color w:val="000000"/>
                <w:szCs w:val="21"/>
              </w:rPr>
              <w:t>插排</w:t>
            </w:r>
          </w:p>
        </w:tc>
        <w:tc>
          <w:tcPr>
            <w:tcW w:w="427" w:type="pct"/>
            <w:vAlign w:val="center"/>
          </w:tcPr>
          <w:p>
            <w:pPr>
              <w:widowControl/>
              <w:jc w:val="center"/>
              <w:textAlignment w:val="center"/>
              <w:rPr>
                <w:bCs/>
                <w:szCs w:val="21"/>
              </w:rPr>
            </w:pPr>
            <w:r>
              <w:rPr>
                <w:rFonts w:hint="eastAsia" w:ascii="宋体" w:hAnsi="宋体" w:cs="宋体"/>
                <w:color w:val="000000"/>
                <w:szCs w:val="21"/>
              </w:rPr>
              <w:t>2</w:t>
            </w:r>
            <w:r>
              <w:rPr>
                <w:rFonts w:ascii="宋体" w:hAnsi="宋体" w:cs="宋体"/>
                <w:color w:val="000000"/>
                <w:szCs w:val="21"/>
              </w:rPr>
              <w:t>7</w:t>
            </w:r>
          </w:p>
        </w:tc>
        <w:tc>
          <w:tcPr>
            <w:tcW w:w="434" w:type="pct"/>
            <w:vAlign w:val="center"/>
          </w:tcPr>
          <w:p>
            <w:pPr>
              <w:widowControl/>
              <w:jc w:val="center"/>
              <w:textAlignment w:val="center"/>
              <w:rPr>
                <w:bCs/>
                <w:szCs w:val="21"/>
              </w:rPr>
            </w:pPr>
            <w:r>
              <w:rPr>
                <w:rFonts w:hint="eastAsia" w:ascii="宋体" w:hAnsi="宋体" w:cs="宋体"/>
                <w:color w:val="000000"/>
                <w:szCs w:val="21"/>
              </w:rPr>
              <w:t>套</w:t>
            </w:r>
          </w:p>
        </w:tc>
        <w:tc>
          <w:tcPr>
            <w:tcW w:w="771" w:type="pct"/>
            <w:vAlign w:val="center"/>
          </w:tcPr>
          <w:p>
            <w:pPr>
              <w:jc w:val="center"/>
              <w:rPr>
                <w:b/>
                <w:bCs/>
                <w:szCs w:val="21"/>
                <w:highlight w:val="yellow"/>
              </w:rPr>
            </w:pPr>
            <w:r>
              <w:rPr>
                <w:rFonts w:hint="eastAsia"/>
                <w:b/>
                <w:bCs/>
                <w:szCs w:val="21"/>
              </w:rPr>
              <w:t>拒绝进口</w:t>
            </w:r>
          </w:p>
        </w:tc>
        <w:tc>
          <w:tcPr>
            <w:tcW w:w="887" w:type="pct"/>
            <w:vAlign w:val="center"/>
          </w:tcPr>
          <w:p>
            <w:pPr>
              <w:jc w:val="center"/>
              <w:rPr>
                <w:b/>
                <w:bCs/>
                <w:szCs w:val="21"/>
                <w:highlight w:val="yellow"/>
              </w:rPr>
            </w:pPr>
            <w:r>
              <w:rPr>
                <w:rFonts w:hint="eastAsia"/>
                <w:b/>
                <w:bCs/>
                <w:szCs w:val="21"/>
                <w:lang w:val="en-US" w:eastAsia="zh-CN"/>
              </w:rPr>
              <w:t>否</w:t>
            </w:r>
          </w:p>
        </w:tc>
        <w:tc>
          <w:tcPr>
            <w:tcW w:w="585"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pPr>
              <w:widowControl/>
              <w:jc w:val="center"/>
              <w:textAlignment w:val="center"/>
              <w:rPr>
                <w:bCs/>
                <w:szCs w:val="21"/>
              </w:rPr>
            </w:pPr>
            <w:r>
              <w:rPr>
                <w:rFonts w:hint="eastAsia" w:ascii="宋体" w:hAnsi="宋体" w:cs="宋体"/>
                <w:color w:val="000000"/>
                <w:kern w:val="0"/>
                <w:szCs w:val="21"/>
                <w:lang w:bidi="ar"/>
              </w:rPr>
              <w:t>13</w:t>
            </w:r>
          </w:p>
        </w:tc>
        <w:tc>
          <w:tcPr>
            <w:tcW w:w="1420" w:type="pct"/>
            <w:vAlign w:val="center"/>
          </w:tcPr>
          <w:p>
            <w:pPr>
              <w:jc w:val="center"/>
              <w:rPr>
                <w:rFonts w:hint="eastAsia"/>
              </w:rPr>
            </w:pPr>
            <w:r>
              <w:rPr>
                <w:rFonts w:hint="eastAsia" w:ascii="宋体" w:hAnsi="宋体" w:cs="宋体"/>
                <w:color w:val="000000"/>
                <w:szCs w:val="21"/>
              </w:rPr>
              <w:t>辅材辅料</w:t>
            </w:r>
          </w:p>
        </w:tc>
        <w:tc>
          <w:tcPr>
            <w:tcW w:w="427" w:type="pct"/>
            <w:vAlign w:val="center"/>
          </w:tcPr>
          <w:p>
            <w:pPr>
              <w:widowControl/>
              <w:jc w:val="center"/>
              <w:textAlignment w:val="center"/>
              <w:rPr>
                <w:bCs/>
                <w:szCs w:val="21"/>
              </w:rPr>
            </w:pPr>
            <w:r>
              <w:rPr>
                <w:rFonts w:hint="eastAsia" w:ascii="宋体" w:hAnsi="宋体" w:cs="宋体"/>
                <w:color w:val="000000"/>
                <w:szCs w:val="21"/>
              </w:rPr>
              <w:t>1</w:t>
            </w:r>
          </w:p>
        </w:tc>
        <w:tc>
          <w:tcPr>
            <w:tcW w:w="434" w:type="pct"/>
            <w:vAlign w:val="center"/>
          </w:tcPr>
          <w:p>
            <w:pPr>
              <w:widowControl/>
              <w:jc w:val="center"/>
              <w:textAlignment w:val="center"/>
              <w:rPr>
                <w:bCs/>
                <w:szCs w:val="21"/>
              </w:rPr>
            </w:pPr>
            <w:r>
              <w:rPr>
                <w:rFonts w:hint="eastAsia" w:ascii="宋体" w:hAnsi="宋体" w:cs="宋体"/>
                <w:color w:val="000000"/>
                <w:szCs w:val="21"/>
              </w:rPr>
              <w:t>批</w:t>
            </w:r>
          </w:p>
        </w:tc>
        <w:tc>
          <w:tcPr>
            <w:tcW w:w="771" w:type="pct"/>
            <w:vAlign w:val="center"/>
          </w:tcPr>
          <w:p>
            <w:pPr>
              <w:jc w:val="center"/>
              <w:rPr>
                <w:b/>
                <w:bCs/>
                <w:szCs w:val="21"/>
                <w:highlight w:val="yellow"/>
              </w:rPr>
            </w:pPr>
            <w:r>
              <w:rPr>
                <w:rFonts w:hint="eastAsia"/>
                <w:b/>
                <w:bCs/>
                <w:szCs w:val="21"/>
              </w:rPr>
              <w:t>拒绝进口</w:t>
            </w:r>
          </w:p>
        </w:tc>
        <w:tc>
          <w:tcPr>
            <w:tcW w:w="887" w:type="pct"/>
            <w:vAlign w:val="center"/>
          </w:tcPr>
          <w:p>
            <w:pPr>
              <w:jc w:val="center"/>
              <w:rPr>
                <w:b/>
                <w:bCs/>
                <w:szCs w:val="21"/>
                <w:highlight w:val="yellow"/>
              </w:rPr>
            </w:pPr>
            <w:r>
              <w:rPr>
                <w:rFonts w:hint="eastAsia"/>
                <w:b/>
                <w:bCs/>
                <w:szCs w:val="21"/>
                <w:lang w:val="en-US" w:eastAsia="zh-CN"/>
              </w:rPr>
              <w:t>否</w:t>
            </w:r>
          </w:p>
        </w:tc>
        <w:tc>
          <w:tcPr>
            <w:tcW w:w="585" w:type="pct"/>
            <w:vAlign w:val="center"/>
          </w:tcPr>
          <w:p>
            <w:pPr>
              <w:jc w:val="center"/>
              <w:rPr>
                <w:b/>
                <w:bCs/>
                <w:szCs w:val="21"/>
                <w:highlight w:val="yellow"/>
              </w:rPr>
            </w:pPr>
            <w:r>
              <w:rPr>
                <w:rFonts w:hint="eastAsia"/>
                <w:b/>
                <w:bCs/>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0"/>
        </w:numPr>
        <w:ind w:firstLine="422" w:firstLineChars="200"/>
        <w:rPr>
          <w:rFonts w:hint="eastAsia" w:ascii="宋体" w:hAnsi="宋体"/>
          <w:b/>
          <w:color w:val="FF0000"/>
          <w:szCs w:val="21"/>
        </w:rPr>
      </w:pPr>
      <w:r>
        <w:rPr>
          <w:rFonts w:hint="eastAsia" w:ascii="宋体" w:hAnsi="宋体" w:eastAsiaTheme="minorEastAsia" w:cstheme="minorBidi"/>
          <w:b/>
          <w:color w:val="FF0000"/>
          <w:kern w:val="2"/>
          <w:sz w:val="21"/>
          <w:szCs w:val="21"/>
          <w:lang w:val="en-US" w:eastAsia="zh-CN" w:bidi="ar-SA"/>
        </w:rPr>
        <w:t>2、</w:t>
      </w: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3、</w:t>
      </w: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4、</w:t>
      </w: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eastAsia="宋体" w:cs="Times New Roman"/>
          <w:b/>
          <w:color w:val="FF0000"/>
          <w:kern w:val="2"/>
          <w:sz w:val="21"/>
          <w:szCs w:val="21"/>
          <w:lang w:val="en-US" w:eastAsia="zh-CN" w:bidi="ar-SA"/>
        </w:rPr>
        <w:t>5、</w:t>
      </w:r>
      <w:r>
        <w:rPr>
          <w:rFonts w:hint="eastAsia" w:ascii="宋体" w:hAnsi="宋体"/>
          <w:b/>
          <w:color w:val="FF0000"/>
          <w:szCs w:val="21"/>
        </w:rPr>
        <w:t>本项目核心产品为：</w:t>
      </w:r>
      <w:r>
        <w:rPr>
          <w:rFonts w:hint="eastAsia" w:ascii="宋体" w:hAnsi="宋体"/>
          <w:b/>
          <w:color w:val="FF0000"/>
          <w:szCs w:val="21"/>
          <w:u w:val="single"/>
        </w:rPr>
        <w:t xml:space="preserve">   高科技屏蔽终端（含信号屏蔽器）   </w:t>
      </w:r>
      <w:r>
        <w:rPr>
          <w:rFonts w:hint="eastAsia" w:ascii="宋体" w:hAnsi="宋体"/>
          <w:b/>
          <w:color w:val="FF0000"/>
          <w:szCs w:val="21"/>
        </w:rPr>
        <w:t>。</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pPr w:leftFromText="180" w:rightFromText="180" w:vertAnchor="text" w:horzAnchor="page" w:tblpX="2091" w:tblpY="254"/>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spacing w:line="240" w:lineRule="auto"/>
              <w:jc w:val="center"/>
              <w:rPr>
                <w:color w:val="000000" w:themeColor="text1"/>
                <w:sz w:val="21"/>
                <w:szCs w:val="21"/>
              </w:rPr>
            </w:pPr>
            <w:bookmarkStart w:id="41" w:name="_Hlk70236148"/>
            <w:r>
              <w:rPr>
                <w:color w:val="000000" w:themeColor="text1"/>
                <w:sz w:val="21"/>
                <w:szCs w:val="21"/>
              </w:rPr>
              <w:t>序号</w:t>
            </w:r>
          </w:p>
        </w:tc>
        <w:tc>
          <w:tcPr>
            <w:tcW w:w="1134" w:type="dxa"/>
            <w:vAlign w:val="center"/>
          </w:tcPr>
          <w:p>
            <w:pPr>
              <w:widowControl/>
              <w:spacing w:line="240" w:lineRule="auto"/>
              <w:jc w:val="center"/>
              <w:rPr>
                <w:color w:val="000000" w:themeColor="text1"/>
                <w:sz w:val="21"/>
                <w:szCs w:val="21"/>
              </w:rPr>
            </w:pPr>
            <w:r>
              <w:rPr>
                <w:color w:val="000000" w:themeColor="text1"/>
                <w:sz w:val="21"/>
                <w:szCs w:val="21"/>
              </w:rPr>
              <w:t>货物名称</w:t>
            </w:r>
          </w:p>
        </w:tc>
        <w:tc>
          <w:tcPr>
            <w:tcW w:w="6485" w:type="dxa"/>
            <w:vAlign w:val="center"/>
          </w:tcPr>
          <w:p>
            <w:pPr>
              <w:spacing w:line="240" w:lineRule="auto"/>
              <w:jc w:val="center"/>
              <w:rPr>
                <w:color w:val="000000" w:themeColor="text1"/>
                <w:sz w:val="21"/>
                <w:szCs w:val="21"/>
              </w:rPr>
            </w:pPr>
            <w:r>
              <w:rPr>
                <w:rFonts w:hint="eastAsia"/>
                <w:color w:val="000000" w:themeColor="text1"/>
                <w:sz w:val="21"/>
                <w:szCs w:val="21"/>
              </w:rPr>
              <w:t>招标</w:t>
            </w:r>
            <w:r>
              <w:rPr>
                <w:color w:val="000000" w:themeColor="text1"/>
                <w:sz w:val="2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w:t>
            </w:r>
          </w:p>
        </w:tc>
        <w:tc>
          <w:tcPr>
            <w:tcW w:w="1134" w:type="dxa"/>
            <w:vMerge w:val="restart"/>
            <w:vAlign w:val="center"/>
          </w:tcPr>
          <w:p>
            <w:pPr>
              <w:keepNext w:val="0"/>
              <w:keepLines w:val="0"/>
              <w:widowControl/>
              <w:suppressLineNumbers w:val="0"/>
              <w:spacing w:line="240" w:lineRule="auto"/>
              <w:jc w:val="center"/>
              <w:textAlignment w:val="center"/>
              <w:rPr>
                <w:rFonts w:hint="eastAsia" w:eastAsiaTheme="minorEastAsia"/>
                <w:color w:val="000000" w:themeColor="text1"/>
                <w:sz w:val="21"/>
                <w:szCs w:val="21"/>
                <w:lang w:eastAsia="zh-CN"/>
              </w:rPr>
            </w:pPr>
            <w:r>
              <w:rPr>
                <w:rStyle w:val="38"/>
                <w:sz w:val="21"/>
                <w:szCs w:val="21"/>
                <w:lang w:val="en-US" w:eastAsia="zh-CN" w:bidi="ar"/>
              </w:rPr>
              <w:t>作弊防控管理平台</w:t>
            </w: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hint="eastAsia" w:ascii="宋体" w:hAnsi="宋体" w:cs="宋体"/>
                <w:bCs/>
                <w:color w:val="auto"/>
                <w:sz w:val="21"/>
                <w:szCs w:val="21"/>
              </w:rPr>
              <w:t>▲</w:t>
            </w:r>
            <w:r>
              <w:rPr>
                <w:rFonts w:ascii="宋体" w:hAnsi="宋体" w:eastAsia="宋体" w:cs="宋体"/>
                <w:bCs/>
                <w:color w:val="000000"/>
                <w:kern w:val="2"/>
                <w:sz w:val="21"/>
                <w:szCs w:val="21"/>
                <w:lang w:val="en-US" w:eastAsia="zh-CN" w:bidi="ar-SA"/>
              </w:rPr>
              <w:t>1.</w:t>
            </w:r>
            <w:r>
              <w:rPr>
                <w:rFonts w:hint="eastAsia" w:ascii="宋体" w:hAnsi="宋体" w:eastAsia="宋体" w:cs="宋体"/>
                <w:bCs/>
                <w:color w:val="000000"/>
                <w:sz w:val="21"/>
                <w:szCs w:val="21"/>
              </w:rPr>
              <w:t>登录安全机制：</w:t>
            </w:r>
            <w:r>
              <w:rPr>
                <w:rFonts w:ascii="宋体" w:hAnsi="宋体" w:eastAsia="宋体" w:cs="宋体"/>
                <w:bCs/>
                <w:color w:val="000000"/>
                <w:sz w:val="21"/>
                <w:szCs w:val="21"/>
              </w:rPr>
              <w:t>设置密码输入错误次数上限，达到上限后将短时间内禁止登录。</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ascii="宋体" w:hAnsi="宋体" w:eastAsia="宋体" w:cs="宋体"/>
                <w:bCs/>
                <w:color w:val="000000"/>
                <w:kern w:val="2"/>
                <w:sz w:val="21"/>
                <w:szCs w:val="21"/>
                <w:lang w:val="en-US" w:eastAsia="zh-CN" w:bidi="ar-SA"/>
              </w:rPr>
              <w:t>2.</w:t>
            </w:r>
            <w:r>
              <w:rPr>
                <w:rFonts w:hint="eastAsia" w:ascii="宋体" w:hAnsi="宋体" w:eastAsia="宋体" w:cs="宋体"/>
                <w:bCs/>
                <w:color w:val="000000"/>
                <w:sz w:val="21"/>
                <w:szCs w:val="21"/>
              </w:rPr>
              <w:t>作弊信号查看：</w:t>
            </w:r>
            <w:r>
              <w:rPr>
                <w:rFonts w:ascii="宋体" w:hAnsi="宋体" w:eastAsia="宋体" w:cs="宋体"/>
                <w:bCs/>
                <w:color w:val="000000"/>
                <w:sz w:val="21"/>
                <w:szCs w:val="21"/>
              </w:rPr>
              <w:t>可对考点作弊信号信息进行查看和回放。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eastAsia="宋体"/>
                <w:sz w:val="21"/>
                <w:szCs w:val="21"/>
                <w:lang w:val="en-US" w:eastAsia="zh-CN"/>
              </w:rPr>
            </w:pPr>
            <w:r>
              <w:rPr>
                <w:rFonts w:ascii="宋体" w:hAnsi="宋体" w:eastAsia="宋体" w:cs="宋体"/>
                <w:bCs/>
                <w:color w:val="000000"/>
                <w:kern w:val="2"/>
                <w:sz w:val="21"/>
                <w:szCs w:val="21"/>
                <w:lang w:val="en-US" w:eastAsia="zh-CN" w:bidi="ar-SA"/>
              </w:rPr>
              <w:t>3.</w:t>
            </w:r>
            <w:r>
              <w:rPr>
                <w:rFonts w:hint="eastAsia" w:ascii="宋体" w:hAnsi="宋体" w:eastAsia="宋体" w:cs="宋体"/>
                <w:bCs/>
                <w:color w:val="000000"/>
                <w:sz w:val="21"/>
                <w:szCs w:val="21"/>
              </w:rPr>
              <w:t>作弊信号展示：</w:t>
            </w:r>
            <w:r>
              <w:rPr>
                <w:rFonts w:ascii="宋体" w:hAnsi="宋体" w:eastAsia="宋体" w:cs="宋体"/>
                <w:bCs/>
                <w:color w:val="000000"/>
                <w:sz w:val="21"/>
                <w:szCs w:val="21"/>
              </w:rPr>
              <w:t>可统计本次考试作弊信号频点分布情况并进行展示。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rPr>
              <w:t>设备状态查看：</w:t>
            </w:r>
            <w:r>
              <w:rPr>
                <w:rFonts w:ascii="宋体" w:hAnsi="宋体" w:eastAsia="宋体" w:cs="宋体"/>
                <w:bCs/>
                <w:color w:val="000000"/>
                <w:sz w:val="21"/>
                <w:szCs w:val="21"/>
              </w:rPr>
              <w:t>可对系统设备的运行状态、开关状态、网络情况等信息进行查看。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ascii="宋体" w:hAnsi="宋体" w:eastAsia="宋体" w:cs="宋体"/>
                <w:bCs/>
                <w:color w:val="000000"/>
                <w:kern w:val="2"/>
                <w:sz w:val="21"/>
                <w:szCs w:val="21"/>
                <w:lang w:val="en-US" w:eastAsia="zh-CN" w:bidi="ar-SA"/>
              </w:rPr>
              <w:t>5.</w:t>
            </w:r>
            <w:r>
              <w:rPr>
                <w:rFonts w:hint="eastAsia" w:ascii="宋体" w:hAnsi="宋体" w:eastAsia="宋体" w:cs="宋体"/>
                <w:bCs/>
                <w:color w:val="000000"/>
                <w:sz w:val="21"/>
                <w:szCs w:val="21"/>
              </w:rPr>
              <w:t>日志管理：</w:t>
            </w:r>
            <w:r>
              <w:rPr>
                <w:rFonts w:ascii="宋体" w:hAnsi="宋体" w:eastAsia="宋体" w:cs="宋体"/>
                <w:bCs/>
                <w:color w:val="000000"/>
                <w:sz w:val="21"/>
                <w:szCs w:val="21"/>
              </w:rPr>
              <w:t>可记录和管理关键日志，提供日志查询、浏览等管理功能。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ascii="宋体" w:hAnsi="宋体" w:eastAsia="宋体" w:cs="宋体"/>
                <w:bCs/>
                <w:color w:val="000000"/>
                <w:kern w:val="2"/>
                <w:sz w:val="21"/>
                <w:szCs w:val="21"/>
                <w:lang w:val="en-US" w:eastAsia="zh-CN" w:bidi="ar-SA"/>
              </w:rPr>
              <w:t>6.</w:t>
            </w:r>
            <w:r>
              <w:rPr>
                <w:rFonts w:hint="eastAsia" w:ascii="宋体" w:hAnsi="宋体" w:eastAsia="宋体" w:cs="宋体"/>
                <w:bCs/>
                <w:color w:val="000000"/>
                <w:sz w:val="21"/>
                <w:szCs w:val="21"/>
              </w:rPr>
              <w:t>黑白名单：</w:t>
            </w:r>
            <w:r>
              <w:rPr>
                <w:rFonts w:ascii="宋体" w:hAnsi="宋体" w:eastAsia="宋体" w:cs="宋体"/>
                <w:bCs/>
                <w:color w:val="000000"/>
                <w:sz w:val="21"/>
                <w:szCs w:val="21"/>
              </w:rPr>
              <w:t>在专业作弊信号频段内，可任意设置黑白名单频点/频段。在黑名单频点/频段上作弊信号出现时优先发射阻断信号。在白名单频点/频段上不主动发射阻断信号，不干扰其正常通信。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b/>
                <w:bCs/>
                <w:color w:val="000000" w:themeColor="text1"/>
                <w:sz w:val="21"/>
                <w:szCs w:val="21"/>
              </w:rPr>
            </w:pPr>
            <w:r>
              <w:rPr>
                <w:rFonts w:ascii="宋体" w:hAnsi="宋体" w:eastAsia="宋体" w:cs="宋体"/>
                <w:bCs/>
                <w:color w:val="000000"/>
                <w:kern w:val="2"/>
                <w:sz w:val="21"/>
                <w:szCs w:val="21"/>
                <w:lang w:val="en-US" w:eastAsia="zh-CN" w:bidi="ar-SA"/>
              </w:rPr>
              <w:t>7.</w:t>
            </w:r>
            <w:r>
              <w:rPr>
                <w:rFonts w:hint="eastAsia" w:ascii="宋体" w:hAnsi="宋体" w:eastAsia="宋体" w:cs="宋体"/>
                <w:bCs/>
                <w:color w:val="000000"/>
                <w:sz w:val="21"/>
                <w:szCs w:val="21"/>
              </w:rPr>
              <w:t>黑白名单同步：</w:t>
            </w:r>
            <w:r>
              <w:rPr>
                <w:rFonts w:ascii="宋体" w:hAnsi="宋体" w:eastAsia="宋体" w:cs="宋体"/>
                <w:bCs/>
                <w:color w:val="000000"/>
                <w:sz w:val="21"/>
                <w:szCs w:val="21"/>
              </w:rPr>
              <w:t>各级管理平台之间和黑白名单能够进行同步。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8.</w:t>
            </w:r>
            <w:r>
              <w:rPr>
                <w:rFonts w:hint="eastAsia" w:ascii="宋体" w:hAnsi="宋体" w:eastAsia="宋体" w:cs="宋体"/>
                <w:bCs/>
                <w:color w:val="000000"/>
                <w:sz w:val="21"/>
                <w:szCs w:val="21"/>
              </w:rPr>
              <w:t>考试计划：</w:t>
            </w:r>
            <w:r>
              <w:rPr>
                <w:rFonts w:ascii="宋体" w:hAnsi="宋体" w:eastAsia="宋体" w:cs="宋体"/>
                <w:bCs/>
                <w:color w:val="000000"/>
                <w:sz w:val="21"/>
                <w:szCs w:val="21"/>
              </w:rPr>
              <w:t>可设置考试计划，在考试计划时间开始时系统自动进入工作状态，考试计划时间结束时系统自动停止工作，提供考前、考中及考后自动工作模式，实现无人值守式管理。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9.</w:t>
            </w:r>
            <w:r>
              <w:rPr>
                <w:rFonts w:hint="eastAsia" w:ascii="宋体" w:hAnsi="宋体" w:eastAsia="宋体" w:cs="宋体"/>
                <w:bCs/>
                <w:color w:val="000000"/>
                <w:sz w:val="21"/>
                <w:szCs w:val="21"/>
              </w:rPr>
              <w:t>考试计划同步：</w:t>
            </w:r>
            <w:r>
              <w:rPr>
                <w:rFonts w:ascii="宋体" w:hAnsi="宋体" w:eastAsia="宋体" w:cs="宋体"/>
                <w:bCs/>
                <w:color w:val="000000"/>
                <w:sz w:val="21"/>
                <w:szCs w:val="21"/>
              </w:rPr>
              <w:t>考试计划能够集中管理，各级管理平台之间考试计划能够进行同步。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10.</w:t>
            </w:r>
            <w:r>
              <w:rPr>
                <w:rFonts w:hint="eastAsia" w:ascii="宋体" w:hAnsi="宋体" w:eastAsia="宋体" w:cs="宋体"/>
                <w:bCs/>
                <w:color w:val="000000"/>
                <w:sz w:val="21"/>
                <w:szCs w:val="21"/>
              </w:rPr>
              <w:t>系统自检：</w:t>
            </w:r>
            <w:r>
              <w:rPr>
                <w:rFonts w:ascii="宋体" w:hAnsi="宋体" w:eastAsia="宋体" w:cs="宋体"/>
                <w:bCs/>
                <w:color w:val="000000"/>
                <w:sz w:val="21"/>
                <w:szCs w:val="21"/>
              </w:rPr>
              <w:t>可检测当前所辖设备的工作状态并输出自检结果信息。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ascii="宋体" w:hAnsi="宋体" w:eastAsia="宋体" w:cs="宋体"/>
                <w:bCs/>
                <w:color w:val="000000"/>
                <w:kern w:val="2"/>
                <w:sz w:val="21"/>
                <w:szCs w:val="21"/>
                <w:lang w:val="en-US" w:eastAsia="zh-CN" w:bidi="ar-SA"/>
              </w:rPr>
              <w:t>11.</w:t>
            </w:r>
            <w:r>
              <w:rPr>
                <w:rFonts w:hint="eastAsia" w:ascii="宋体" w:hAnsi="宋体" w:eastAsia="宋体" w:cs="宋体"/>
                <w:bCs/>
                <w:color w:val="000000"/>
                <w:sz w:val="21"/>
                <w:szCs w:val="21"/>
              </w:rPr>
              <w:t>设备升级：</w:t>
            </w:r>
            <w:r>
              <w:rPr>
                <w:rFonts w:ascii="宋体" w:hAnsi="宋体" w:eastAsia="宋体" w:cs="宋体"/>
                <w:bCs/>
                <w:color w:val="000000"/>
                <w:sz w:val="21"/>
                <w:szCs w:val="21"/>
              </w:rPr>
              <w:t>可通过平台对侦测服务器、高科技屏蔽终端和作弊防控管理平台相关软件进行集中升级。</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12.</w:t>
            </w:r>
            <w:r>
              <w:rPr>
                <w:rFonts w:hint="eastAsia" w:ascii="宋体" w:hAnsi="宋体" w:eastAsia="宋体" w:cs="宋体"/>
                <w:bCs/>
                <w:color w:val="000000"/>
                <w:sz w:val="21"/>
                <w:szCs w:val="21"/>
              </w:rPr>
              <w:t>安全加密：</w:t>
            </w:r>
            <w:r>
              <w:rPr>
                <w:rFonts w:ascii="宋体" w:hAnsi="宋体" w:eastAsia="宋体" w:cs="宋体"/>
                <w:bCs/>
                <w:color w:val="000000"/>
                <w:sz w:val="21"/>
                <w:szCs w:val="21"/>
              </w:rPr>
              <w:t>作弊信号答案文件存储和传输时</w:t>
            </w:r>
            <w:r>
              <w:rPr>
                <w:rFonts w:hint="eastAsia" w:ascii="宋体" w:hAnsi="宋体" w:eastAsia="宋体" w:cs="宋体"/>
                <w:bCs/>
                <w:color w:val="000000"/>
                <w:sz w:val="21"/>
                <w:szCs w:val="21"/>
                <w:lang w:val="en-US" w:eastAsia="zh-CN"/>
              </w:rPr>
              <w:t>进行</w:t>
            </w:r>
            <w:r>
              <w:rPr>
                <w:rFonts w:ascii="宋体" w:hAnsi="宋体" w:eastAsia="宋体" w:cs="宋体"/>
                <w:bCs/>
                <w:color w:val="000000"/>
                <w:sz w:val="21"/>
                <w:szCs w:val="21"/>
              </w:rPr>
              <w:t>加密处理，文件脱离本系统后采用通用播放工具无法正确播放，保证涉密数据安全。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13.</w:t>
            </w:r>
            <w:r>
              <w:rPr>
                <w:rFonts w:hint="eastAsia" w:ascii="宋体" w:hAnsi="宋体" w:eastAsia="宋体" w:cs="宋体"/>
                <w:bCs/>
                <w:color w:val="000000"/>
                <w:sz w:val="21"/>
                <w:szCs w:val="21"/>
              </w:rPr>
              <w:t>集中控制：</w:t>
            </w:r>
            <w:r>
              <w:rPr>
                <w:rFonts w:ascii="宋体" w:hAnsi="宋体" w:eastAsia="宋体" w:cs="宋体"/>
                <w:bCs/>
                <w:color w:val="000000"/>
                <w:sz w:val="21"/>
                <w:szCs w:val="21"/>
              </w:rPr>
              <w:t>支持对系统设备进行集中调试、查看和管理。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14.</w:t>
            </w:r>
            <w:r>
              <w:rPr>
                <w:rFonts w:hint="eastAsia" w:ascii="宋体" w:hAnsi="宋体" w:eastAsia="宋体" w:cs="宋体"/>
                <w:bCs/>
                <w:color w:val="000000"/>
                <w:sz w:val="21"/>
                <w:szCs w:val="21"/>
              </w:rPr>
              <w:t>远程控制：</w:t>
            </w:r>
            <w:r>
              <w:rPr>
                <w:rFonts w:ascii="宋体" w:hAnsi="宋体" w:eastAsia="宋体" w:cs="宋体"/>
                <w:bCs/>
                <w:color w:val="000000"/>
                <w:sz w:val="21"/>
                <w:szCs w:val="21"/>
              </w:rPr>
              <w:t>支持侦测服务器和高科技屏蔽终端进行远程控制。</w:t>
            </w:r>
            <w:r>
              <w:rPr>
                <w:rFonts w:hint="eastAsia" w:ascii="宋体" w:hAnsi="宋体" w:eastAsia="宋体" w:cs="宋体"/>
                <w:bCs/>
                <w:color w:val="000000"/>
                <w:sz w:val="21"/>
                <w:szCs w:val="21"/>
              </w:rPr>
              <w:t>支持集中、分组、单台等多种方式对高科技屏蔽终端进行远程控制。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15.</w:t>
            </w:r>
            <w:r>
              <w:rPr>
                <w:rFonts w:hint="eastAsia" w:ascii="宋体" w:hAnsi="宋体" w:eastAsia="宋体" w:cs="宋体"/>
                <w:bCs/>
                <w:color w:val="000000"/>
                <w:sz w:val="21"/>
                <w:szCs w:val="21"/>
              </w:rPr>
              <w:t>输出报告：</w:t>
            </w:r>
            <w:r>
              <w:rPr>
                <w:rFonts w:ascii="宋体" w:hAnsi="宋体" w:eastAsia="宋体" w:cs="宋体"/>
                <w:bCs/>
                <w:color w:val="000000"/>
                <w:sz w:val="21"/>
                <w:szCs w:val="21"/>
              </w:rPr>
              <w:t xml:space="preserve">支持考试后自动生成系统工作报告。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ascii="宋体" w:hAnsi="宋体" w:eastAsia="宋体" w:cs="宋体"/>
                <w:bCs/>
                <w:color w:val="000000"/>
                <w:kern w:val="2"/>
                <w:sz w:val="21"/>
                <w:szCs w:val="21"/>
                <w:lang w:val="en-US" w:eastAsia="zh-CN" w:bidi="ar-SA"/>
              </w:rPr>
              <w:t>16.</w:t>
            </w:r>
            <w:r>
              <w:rPr>
                <w:rFonts w:hint="eastAsia" w:ascii="宋体" w:hAnsi="宋体" w:eastAsia="宋体" w:cs="宋体"/>
                <w:bCs/>
                <w:color w:val="000000"/>
                <w:sz w:val="21"/>
                <w:szCs w:val="21"/>
              </w:rPr>
              <w:t>系统备份：</w:t>
            </w:r>
            <w:r>
              <w:rPr>
                <w:rFonts w:ascii="宋体" w:hAnsi="宋体" w:eastAsia="宋体" w:cs="宋体"/>
                <w:bCs/>
                <w:color w:val="000000"/>
                <w:sz w:val="21"/>
                <w:szCs w:val="21"/>
              </w:rPr>
              <w:t>支持对系统关键信息进行备份。</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ascii="宋体" w:hAnsi="宋体" w:eastAsia="宋体" w:cs="宋体"/>
                <w:i w:val="0"/>
                <w:iCs w:val="0"/>
                <w:color w:val="FF0000"/>
                <w:kern w:val="0"/>
                <w:sz w:val="21"/>
                <w:szCs w:val="21"/>
                <w:u w:val="none"/>
                <w:lang w:val="en-US" w:eastAsia="zh-CN" w:bidi="ar"/>
              </w:rPr>
            </w:pPr>
            <w:r>
              <w:rPr>
                <w:rFonts w:ascii="宋体" w:hAnsi="宋体" w:eastAsia="宋体" w:cs="宋体"/>
                <w:bCs/>
                <w:color w:val="000000"/>
                <w:kern w:val="2"/>
                <w:sz w:val="21"/>
                <w:szCs w:val="21"/>
                <w:lang w:val="en-US" w:eastAsia="zh-CN" w:bidi="ar-SA"/>
              </w:rPr>
              <w:t>17.</w:t>
            </w:r>
            <w:r>
              <w:rPr>
                <w:rFonts w:hint="eastAsia" w:ascii="宋体" w:hAnsi="宋体" w:eastAsia="宋体" w:cs="宋体"/>
                <w:bCs/>
                <w:color w:val="000000"/>
                <w:sz w:val="21"/>
                <w:szCs w:val="21"/>
                <w:lang w:val="en-US" w:eastAsia="zh-CN"/>
              </w:rPr>
              <w:t>多级级联：平台可按照“省-市-区县-考点”的架构进行多级级联，可跨地市、多单位、远程联网集中统一控制。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shd w:val="clear" w:color="auto" w:fill="auto"/>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bCs/>
                <w:color w:val="000000"/>
                <w:kern w:val="2"/>
                <w:sz w:val="21"/>
                <w:szCs w:val="21"/>
                <w:lang w:val="en-US" w:eastAsia="zh-CN" w:bidi="ar-SA"/>
              </w:rPr>
              <w:t>18</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与上级对接：</w:t>
            </w:r>
            <w:r>
              <w:rPr>
                <w:rFonts w:ascii="宋体" w:hAnsi="宋体" w:eastAsia="宋体" w:cs="宋体"/>
                <w:bCs/>
                <w:color w:val="000000"/>
                <w:sz w:val="21"/>
                <w:szCs w:val="21"/>
              </w:rPr>
              <w:t>可根据上级管理平台（如省级管理平台）的要求，开发数据接口，自动下载考试计划、黑白名单等，并上传作弊信号信息结果。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bCs/>
                <w:color w:val="000000"/>
                <w:sz w:val="21"/>
                <w:szCs w:val="21"/>
                <w:lang w:val="en-US" w:eastAsia="zh-CN"/>
              </w:rPr>
              <w:t>19.</w:t>
            </w:r>
            <w:r>
              <w:rPr>
                <w:rFonts w:hint="eastAsia" w:ascii="宋体" w:hAnsi="宋体" w:eastAsia="宋体" w:cs="宋体"/>
                <w:bCs/>
                <w:color w:val="000000"/>
                <w:sz w:val="21"/>
                <w:szCs w:val="21"/>
              </w:rPr>
              <w:t>数据接口：</w:t>
            </w:r>
            <w:r>
              <w:rPr>
                <w:rFonts w:ascii="宋体" w:hAnsi="宋体" w:eastAsia="宋体" w:cs="宋体"/>
                <w:bCs/>
                <w:color w:val="000000"/>
                <w:sz w:val="21"/>
                <w:szCs w:val="21"/>
              </w:rPr>
              <w:t>RJ-45接口，支持与侦测服务器及高科技屏蔽终端组网。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w:t>
            </w:r>
          </w:p>
        </w:tc>
        <w:tc>
          <w:tcPr>
            <w:tcW w:w="1134"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高科技屏蔽终端</w:t>
            </w:r>
            <w:r>
              <w:rPr>
                <w:rFonts w:hint="eastAsia"/>
              </w:rPr>
              <w:t>（含信号屏蔽器）</w:t>
            </w: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20</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阻断工作频率范围：30MHz-5850MHz；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ascii="宋体" w:hAnsi="宋体" w:eastAsia="宋体" w:cs="宋体"/>
                <w:bCs/>
                <w:color w:val="000000"/>
                <w:kern w:val="2"/>
                <w:sz w:val="21"/>
                <w:szCs w:val="21"/>
                <w:lang w:val="en-US" w:eastAsia="zh-CN" w:bidi="ar-SA"/>
              </w:rPr>
              <w:t>2</w:t>
            </w:r>
            <w:r>
              <w:rPr>
                <w:rFonts w:hint="eastAsia" w:ascii="宋体" w:hAnsi="宋体" w:eastAsia="宋体" w:cs="宋体"/>
                <w:bCs/>
                <w:color w:val="000000"/>
                <w:kern w:val="2"/>
                <w:sz w:val="21"/>
                <w:szCs w:val="21"/>
                <w:lang w:val="en-US" w:eastAsia="zh-CN" w:bidi="ar-SA"/>
              </w:rPr>
              <w:t>1</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侦测引导阻断频率范围：无缝覆盖30MHz-3000MHz（支持扩展）；</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22</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手机信号屏蔽：能够屏蔽电信、移动、联通的2G/3G/4G</w:t>
            </w:r>
            <w:r>
              <w:rPr>
                <w:rFonts w:ascii="宋体" w:hAnsi="宋体" w:eastAsia="宋体" w:cs="宋体"/>
                <w:bCs/>
                <w:color w:val="000000"/>
                <w:sz w:val="21"/>
                <w:szCs w:val="21"/>
              </w:rPr>
              <w:t>/5G</w:t>
            </w:r>
            <w:r>
              <w:rPr>
                <w:rFonts w:hint="eastAsia" w:ascii="宋体" w:hAnsi="宋体" w:eastAsia="宋体" w:cs="宋体"/>
                <w:bCs/>
                <w:color w:val="000000"/>
                <w:sz w:val="21"/>
                <w:szCs w:val="21"/>
              </w:rPr>
              <w:t>手机信号</w:t>
            </w:r>
            <w:r>
              <w:rPr>
                <w:rFonts w:hint="eastAsia"/>
                <w:color w:val="171717"/>
                <w:sz w:val="21"/>
                <w:szCs w:val="21"/>
              </w:rPr>
              <w:t>（*当地环境手机</w:t>
            </w:r>
            <w:r>
              <w:rPr>
                <w:color w:val="171717"/>
                <w:sz w:val="21"/>
                <w:szCs w:val="21"/>
              </w:rPr>
              <w:t>基站＞</w:t>
            </w:r>
            <w:r>
              <w:rPr>
                <w:rFonts w:hint="eastAsia"/>
                <w:color w:val="171717"/>
                <w:sz w:val="21"/>
                <w:szCs w:val="21"/>
              </w:rPr>
              <w:t>300米时，通过频谱仪测量的信号强度2</w:t>
            </w:r>
            <w:r>
              <w:rPr>
                <w:color w:val="171717"/>
                <w:sz w:val="21"/>
                <w:szCs w:val="21"/>
              </w:rPr>
              <w:t>G</w:t>
            </w:r>
            <w:r>
              <w:rPr>
                <w:rFonts w:hint="eastAsia"/>
                <w:color w:val="171717"/>
                <w:sz w:val="21"/>
                <w:szCs w:val="21"/>
              </w:rPr>
              <w:t>/</w:t>
            </w:r>
            <w:r>
              <w:rPr>
                <w:color w:val="171717"/>
                <w:sz w:val="21"/>
                <w:szCs w:val="21"/>
              </w:rPr>
              <w:t>3G</w:t>
            </w:r>
            <w:r>
              <w:rPr>
                <w:rFonts w:hint="eastAsia"/>
                <w:color w:val="171717"/>
                <w:sz w:val="21"/>
                <w:szCs w:val="21"/>
              </w:rPr>
              <w:t>/</w:t>
            </w:r>
            <w:r>
              <w:rPr>
                <w:color w:val="171717"/>
                <w:sz w:val="21"/>
                <w:szCs w:val="21"/>
              </w:rPr>
              <w:t>4G并保持在两分钟以上的</w:t>
            </w:r>
            <w:r>
              <w:rPr>
                <w:rFonts w:hint="eastAsia"/>
                <w:color w:val="171717"/>
                <w:sz w:val="21"/>
                <w:szCs w:val="21"/>
              </w:rPr>
              <w:t>最大值≤-65dBm，5</w:t>
            </w:r>
            <w:r>
              <w:rPr>
                <w:color w:val="171717"/>
                <w:sz w:val="21"/>
                <w:szCs w:val="21"/>
              </w:rPr>
              <w:t>G最大值≤-75dBm</w:t>
            </w:r>
            <w:r>
              <w:rPr>
                <w:rFonts w:hint="eastAsia"/>
                <w:color w:val="171717"/>
                <w:sz w:val="21"/>
                <w:szCs w:val="21"/>
              </w:rPr>
              <w:t>，</w:t>
            </w:r>
            <w:r>
              <w:rPr>
                <w:color w:val="171717"/>
                <w:sz w:val="21"/>
                <w:szCs w:val="21"/>
              </w:rPr>
              <w:t>可有效屏蔽</w:t>
            </w:r>
            <w:r>
              <w:rPr>
                <w:rFonts w:hint="eastAsia"/>
                <w:color w:val="171717"/>
                <w:sz w:val="21"/>
                <w:szCs w:val="21"/>
              </w:rPr>
              <w:t>）</w:t>
            </w:r>
            <w:r>
              <w:rPr>
                <w:rFonts w:hint="eastAsia" w:ascii="宋体" w:hAnsi="宋体" w:eastAsia="宋体" w:cs="宋体"/>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23</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蓝牙/WIFI信号屏蔽：能够屏蔽2400MHz-2483.5MHz（2.4G）蓝牙信号以及2400MHz-2483.5MHz（2.4G）、5725MHz-5850MHz（5.8G）WIFI信号；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24</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阻断方式：对侦测引导阻断频率范围内的专业作弊信号，采用侦测引导阻断方式，对专业作弊信号实现点对点的精准阻断；对2G/3G/4G各种制式的手机信号和蓝牙/WIFI信号采用直接阻断方式；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25</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智能绿色阻断控制：根据专业作弊信号的带宽、调制方式及功率等特征自动调整阻断信号带宽和功率，确保对作弊信号的有效阻断。根据作弊信号持续时间，自动调整屏蔽时长，减少非必要辐射，符合节能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hint="eastAsia" w:ascii="宋体" w:hAnsi="宋体" w:eastAsia="宋体" w:cs="宋体"/>
                <w:bCs/>
                <w:color w:val="000000"/>
                <w:kern w:val="2"/>
                <w:sz w:val="21"/>
                <w:szCs w:val="21"/>
                <w:lang w:val="en-US" w:eastAsia="zh-CN" w:bidi="ar-SA"/>
              </w:rPr>
              <w:t>26</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并发阻断：专业作弊信号（手机信号/WIFI/蓝牙信号通道除外）支持不少于22路并发阻断；</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auto"/>
                <w:kern w:val="2"/>
                <w:sz w:val="21"/>
                <w:szCs w:val="21"/>
                <w:lang w:val="en-US" w:eastAsia="zh-CN" w:bidi="ar-SA"/>
              </w:rPr>
              <w:t>27</w:t>
            </w:r>
            <w:r>
              <w:rPr>
                <w:rFonts w:ascii="宋体" w:hAnsi="宋体" w:eastAsia="宋体" w:cs="宋体"/>
                <w:bCs/>
                <w:color w:val="auto"/>
                <w:kern w:val="2"/>
                <w:sz w:val="21"/>
                <w:szCs w:val="21"/>
                <w:lang w:val="en-US" w:eastAsia="zh-CN" w:bidi="ar-SA"/>
              </w:rPr>
              <w:t>.</w:t>
            </w:r>
            <w:r>
              <w:rPr>
                <w:rFonts w:hint="eastAsia" w:ascii="宋体" w:hAnsi="宋体" w:eastAsia="宋体" w:cs="宋体"/>
                <w:bCs/>
                <w:color w:val="000000"/>
                <w:sz w:val="21"/>
                <w:szCs w:val="21"/>
              </w:rPr>
              <w:t>点频阻断：支持对专业作弊信号采用瞄准式点频精准阻断方式，阻断信号3dB带宽≤200KHz；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hint="eastAsia" w:ascii="宋体" w:hAnsi="宋体" w:eastAsia="宋体" w:cs="宋体"/>
                <w:bCs/>
                <w:color w:val="000000"/>
                <w:kern w:val="2"/>
                <w:sz w:val="21"/>
                <w:szCs w:val="21"/>
                <w:lang w:val="en-US" w:eastAsia="zh-CN" w:bidi="ar-SA"/>
              </w:rPr>
              <w:t>28</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预设频点模式：无需侦测引导，可预置22路专业作弊干扰频点（手机信号/WIFI/蓝牙信号除外）进行</w:t>
            </w:r>
            <w:r>
              <w:rPr>
                <w:rFonts w:hint="eastAsia" w:ascii="宋体" w:hAnsi="宋体" w:eastAsia="宋体" w:cs="宋体"/>
                <w:bCs/>
                <w:color w:val="000000"/>
                <w:sz w:val="21"/>
                <w:szCs w:val="21"/>
                <w:lang w:val="en-US" w:eastAsia="zh-CN"/>
              </w:rPr>
              <w:t>持续</w:t>
            </w:r>
            <w:r>
              <w:rPr>
                <w:rFonts w:hint="eastAsia" w:ascii="宋体" w:hAnsi="宋体" w:eastAsia="宋体" w:cs="宋体"/>
                <w:bCs/>
                <w:color w:val="000000"/>
                <w:sz w:val="21"/>
                <w:szCs w:val="21"/>
              </w:rPr>
              <w:t>阻断；</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29</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专业作弊</w:t>
            </w:r>
            <w:r>
              <w:rPr>
                <w:rFonts w:ascii="宋体" w:hAnsi="宋体" w:eastAsia="宋体" w:cs="宋体"/>
                <w:bCs/>
                <w:color w:val="000000"/>
                <w:sz w:val="21"/>
                <w:szCs w:val="21"/>
              </w:rPr>
              <w:t>阻断效果</w:t>
            </w:r>
            <w:r>
              <w:rPr>
                <w:rFonts w:hint="eastAsia" w:ascii="宋体" w:hAnsi="宋体" w:eastAsia="宋体" w:cs="宋体"/>
                <w:bCs/>
                <w:color w:val="000000"/>
                <w:sz w:val="21"/>
                <w:szCs w:val="21"/>
              </w:rPr>
              <w:t>：具备数传作弊设备接收答案的远程清除功能；</w:t>
            </w:r>
            <w:r>
              <w:rPr>
                <w:rFonts w:ascii="宋体" w:hAnsi="宋体" w:eastAsia="宋体" w:cs="宋体"/>
                <w:bCs/>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30</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批量升级：支持通过考点级管理平台对高科技屏蔽终端软件进行一键式集中批量升级；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31</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考试计划：可根据考点级管理平台的考试计划，在考试计划时间开始时系统自动进入工作状态，考试计划时间结束时系统自动停止工作，提供考前、考中及考后自动工作模式，实现无人值守式管理；也可支持手动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hint="eastAsia" w:ascii="宋体" w:hAnsi="宋体" w:eastAsia="宋体" w:cs="宋体"/>
                <w:bCs/>
                <w:color w:val="000000"/>
                <w:kern w:val="2"/>
                <w:sz w:val="21"/>
                <w:szCs w:val="21"/>
                <w:lang w:val="en-US" w:eastAsia="zh-CN" w:bidi="ar-SA"/>
              </w:rPr>
              <w:t>32</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温度监控：支持远程对设备的工作温度进行监控；</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33</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远程管理：支持通过考点级管理平台实现远程集中控制，可根据需要实现分组、单台设备的远程开关控制；可远程对工作模块进行开关控制；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34</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状态上报：可向考点级管理平台上报设备工作状态、故障状态等信息；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35</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扩展机制：设备具备扩展模块插槽，通过扩展模块可对系统功能和性能进行扩展升级；</w:t>
            </w:r>
            <w:r>
              <w:rPr>
                <w:rFonts w:ascii="宋体" w:hAnsi="宋体" w:eastAsia="宋体" w:cs="宋体"/>
                <w:bCs/>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r>
              <w:rPr>
                <w:rFonts w:hint="eastAsia" w:ascii="宋体" w:hAnsi="宋体" w:eastAsia="宋体" w:cs="宋体"/>
                <w:bCs/>
                <w:color w:val="000000"/>
                <w:kern w:val="2"/>
                <w:sz w:val="21"/>
                <w:szCs w:val="21"/>
                <w:lang w:val="en-US" w:eastAsia="zh-CN" w:bidi="ar-SA"/>
              </w:rPr>
              <w:t>36</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一体化设计：天线和电源内置，避免触电、烫伤等风险；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r>
              <w:rPr>
                <w:rFonts w:hint="eastAsia" w:ascii="宋体" w:hAnsi="宋体" w:eastAsia="宋体" w:cs="宋体"/>
                <w:bCs/>
                <w:color w:val="000000"/>
                <w:kern w:val="2"/>
                <w:sz w:val="21"/>
                <w:szCs w:val="21"/>
                <w:lang w:val="en-US" w:eastAsia="zh-CN" w:bidi="ar-SA"/>
              </w:rPr>
              <w:t>37</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状态显示：前面板有工作指示灯，可直观指示设备上电、模块开关、网络连通等状态；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r>
              <w:rPr>
                <w:rFonts w:hint="eastAsia" w:ascii="宋体" w:hAnsi="宋体" w:eastAsia="宋体" w:cs="宋体"/>
                <w:bCs/>
                <w:color w:val="000000"/>
                <w:kern w:val="2"/>
                <w:sz w:val="21"/>
                <w:szCs w:val="21"/>
                <w:lang w:val="en-US" w:eastAsia="zh-CN" w:bidi="ar-SA"/>
              </w:rPr>
              <w:t>38</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隐藏式接口设计：设备开关、电源接口、网络接口均采用隐蔽式设计，设备安装完成后可视表面无任何接口、开关，避免学生误动设备对系统造成影响；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39</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数据接口：RJ-45接口，支持与考点级管理平台及侦测服务器组网；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r>
              <w:rPr>
                <w:rFonts w:hint="eastAsia" w:ascii="宋体" w:hAnsi="宋体" w:eastAsia="宋体" w:cs="宋体"/>
                <w:bCs/>
                <w:color w:val="000000"/>
                <w:kern w:val="2"/>
                <w:sz w:val="21"/>
                <w:szCs w:val="21"/>
                <w:lang w:val="en-US" w:eastAsia="zh-CN" w:bidi="ar-SA"/>
              </w:rPr>
              <w:t>40</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可靠性：MTBF≥3000小时；</w:t>
            </w:r>
            <w:r>
              <w:rPr>
                <w:rFonts w:ascii="宋体" w:hAnsi="宋体" w:eastAsia="宋体" w:cs="宋体"/>
                <w:bCs/>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w:t>
            </w:r>
          </w:p>
        </w:tc>
        <w:tc>
          <w:tcPr>
            <w:tcW w:w="1134"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Style w:val="39"/>
                <w:sz w:val="21"/>
                <w:szCs w:val="21"/>
                <w:lang w:val="en-US" w:eastAsia="zh-CN" w:bidi="ar"/>
              </w:rPr>
              <w:t>身份验证终端</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1</w:t>
            </w:r>
            <w:r>
              <w:rPr>
                <w:rFonts w:hint="eastAsia" w:ascii="宋体" w:hAnsi="宋体" w:cs="宋体"/>
                <w:bCs/>
                <w:color w:val="000000"/>
                <w:sz w:val="21"/>
                <w:szCs w:val="21"/>
              </w:rPr>
              <w:t>.设备应具有良好的操作性，整个操作流程具有语音操作提示，内置声光语音提示刷卡、拍照以及是否通过验证；设备即支持正面刷卡，也支持背面刷卡；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2</w:t>
            </w:r>
            <w:r>
              <w:rPr>
                <w:rFonts w:hint="eastAsia" w:ascii="宋体" w:hAnsi="宋体" w:cs="宋体"/>
                <w:bCs/>
                <w:color w:val="000000"/>
                <w:sz w:val="21"/>
                <w:szCs w:val="21"/>
              </w:rPr>
              <w:t>.电池容量≥6000毫安；处理器4核，2G</w:t>
            </w:r>
            <w:r>
              <w:rPr>
                <w:rFonts w:hint="eastAsia" w:ascii="宋体" w:hAnsi="宋体" w:cs="宋体"/>
                <w:bCs/>
                <w:color w:val="000000"/>
                <w:sz w:val="21"/>
                <w:szCs w:val="21"/>
                <w:lang w:val="en-US" w:eastAsia="zh-CN"/>
              </w:rPr>
              <w:t>B</w:t>
            </w:r>
            <w:r>
              <w:rPr>
                <w:rFonts w:hint="eastAsia" w:ascii="宋体" w:hAnsi="宋体" w:cs="宋体"/>
                <w:bCs/>
                <w:color w:val="000000"/>
                <w:sz w:val="21"/>
                <w:szCs w:val="21"/>
              </w:rPr>
              <w:t>内存,8G</w:t>
            </w:r>
            <w:r>
              <w:rPr>
                <w:rFonts w:hint="eastAsia" w:ascii="宋体" w:hAnsi="宋体" w:cs="宋体"/>
                <w:bCs/>
                <w:color w:val="000000"/>
                <w:sz w:val="21"/>
                <w:szCs w:val="21"/>
                <w:lang w:val="en-US" w:eastAsia="zh-CN"/>
              </w:rPr>
              <w:t>B</w:t>
            </w:r>
            <w:r>
              <w:rPr>
                <w:rFonts w:hint="eastAsia" w:ascii="宋体" w:hAnsi="宋体" w:cs="宋体"/>
                <w:bCs/>
                <w:color w:val="000000"/>
                <w:sz w:val="21"/>
                <w:szCs w:val="21"/>
              </w:rPr>
              <w:t>存储空间，可通过TF卡扩展；≥8英寸IPS硬屏，屏幕分辨率≥1280x720；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3</w:t>
            </w:r>
            <w:r>
              <w:rPr>
                <w:rFonts w:hint="eastAsia" w:ascii="宋体" w:hAnsi="宋体" w:cs="宋体"/>
                <w:bCs/>
                <w:color w:val="000000"/>
                <w:sz w:val="21"/>
                <w:szCs w:val="21"/>
              </w:rPr>
              <w:t>.内置≥1个USB接口，具备RJ45网口、具备TF扩充卡槽，具备Micro HDMI接口。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44</w:t>
            </w:r>
            <w:r>
              <w:rPr>
                <w:rFonts w:hint="eastAsia" w:ascii="宋体" w:hAnsi="宋体" w:cs="宋体"/>
                <w:bCs/>
                <w:color w:val="000000"/>
                <w:sz w:val="21"/>
                <w:szCs w:val="21"/>
              </w:rPr>
              <w:t>.由居民身份证阅读模块、人脸识别模块，一体化封装、无需外接任何设备即可独立完成验证工作。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5</w:t>
            </w:r>
            <w:r>
              <w:rPr>
                <w:rFonts w:hint="eastAsia" w:ascii="宋体" w:hAnsi="宋体" w:cs="宋体"/>
                <w:bCs/>
                <w:color w:val="000000"/>
                <w:sz w:val="21"/>
                <w:szCs w:val="21"/>
              </w:rPr>
              <w:t>.支持身份证效验，可同时显示考生报名照片和现场照片，由系统或者监考老师进行比对，语音提示比对结果。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6</w:t>
            </w:r>
            <w:r>
              <w:rPr>
                <w:rFonts w:hint="eastAsia" w:ascii="宋体" w:hAnsi="宋体" w:cs="宋体"/>
                <w:bCs/>
                <w:color w:val="000000"/>
                <w:sz w:val="21"/>
                <w:szCs w:val="21"/>
              </w:rPr>
              <w:t>.身份证读取区均采用正面前置设计，身份证读卡区有显著图文标识。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7</w:t>
            </w:r>
            <w:r>
              <w:rPr>
                <w:rFonts w:hint="eastAsia" w:ascii="宋体" w:hAnsi="宋体" w:cs="宋体"/>
                <w:bCs/>
                <w:color w:val="000000"/>
                <w:sz w:val="21"/>
                <w:szCs w:val="21"/>
              </w:rPr>
              <w:t>. 支持考生和验证数据通过介质和网络（有线和WIFI）导入、导出和实时上传；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48</w:t>
            </w:r>
            <w:r>
              <w:rPr>
                <w:rFonts w:hint="eastAsia" w:ascii="宋体" w:hAnsi="宋体" w:cs="宋体"/>
                <w:bCs/>
                <w:color w:val="000000"/>
                <w:sz w:val="21"/>
                <w:szCs w:val="21"/>
              </w:rPr>
              <w:t>.身份验证终端验证过程中，应具有语音或文字的指导性提示。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pStyle w:val="9"/>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49</w:t>
            </w:r>
            <w:r>
              <w:rPr>
                <w:rFonts w:hint="eastAsia" w:ascii="宋体" w:hAnsi="宋体" w:cs="宋体"/>
                <w:bCs/>
                <w:color w:val="000000"/>
                <w:sz w:val="21"/>
                <w:szCs w:val="21"/>
              </w:rPr>
              <w:t>.支持TTS技术，可实现对考生的精准确认。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50</w:t>
            </w:r>
            <w:r>
              <w:rPr>
                <w:rFonts w:hint="eastAsia" w:ascii="宋体" w:hAnsi="宋体" w:cs="宋体"/>
                <w:bCs/>
                <w:color w:val="000000"/>
                <w:sz w:val="21"/>
                <w:szCs w:val="21"/>
              </w:rPr>
              <w:t>.设备具有数据查询功能，通过授权帐号，可进入系统查询界面，查询考生的验证情况（通过、未通过、缺考等），整个考生数据在设备断电下，不会丢失。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51</w:t>
            </w:r>
            <w:r>
              <w:rPr>
                <w:rFonts w:hint="eastAsia" w:ascii="宋体" w:hAnsi="宋体" w:cs="宋体"/>
                <w:bCs/>
                <w:color w:val="000000"/>
                <w:sz w:val="21"/>
                <w:szCs w:val="21"/>
              </w:rPr>
              <w:t>.前、后置500万像素摄像头，可切换，便于多种情景下由监考老师拍照或考生自拍。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52</w:t>
            </w:r>
            <w:r>
              <w:rPr>
                <w:rFonts w:hint="eastAsia" w:ascii="宋体" w:hAnsi="宋体" w:cs="宋体"/>
                <w:bCs/>
                <w:color w:val="000000"/>
                <w:sz w:val="21"/>
                <w:szCs w:val="21"/>
              </w:rPr>
              <w:t>.对考生人脸图像进行质量判断，对不合格的图像自动提示，自动重采。包括人脸数量、模糊情况、正脸情况、头部情况、高光、眼睛睁闭、眼睛注视镜头等。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53</w:t>
            </w:r>
            <w:r>
              <w:rPr>
                <w:rFonts w:hint="eastAsia" w:ascii="宋体" w:hAnsi="宋体" w:cs="宋体"/>
                <w:bCs/>
                <w:color w:val="000000"/>
                <w:sz w:val="21"/>
                <w:szCs w:val="21"/>
              </w:rPr>
              <w:t>.支持系统平台统一设置验证设备验证流程，验证设备可按照预设的流程自动工作，不需额外操作。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54</w:t>
            </w:r>
            <w:r>
              <w:rPr>
                <w:rFonts w:hint="eastAsia" w:ascii="宋体" w:hAnsi="宋体" w:cs="宋体"/>
                <w:bCs/>
                <w:color w:val="000000"/>
                <w:sz w:val="21"/>
                <w:szCs w:val="21"/>
              </w:rPr>
              <w:t>.身份验证终端具备时间同步功能，可以实现与网络时间同步或者与上级服务器时间同步。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55</w:t>
            </w:r>
            <w:r>
              <w:rPr>
                <w:rFonts w:hint="eastAsia" w:ascii="宋体" w:hAnsi="宋体" w:cs="宋体"/>
                <w:bCs/>
                <w:color w:val="000000"/>
                <w:sz w:val="21"/>
                <w:szCs w:val="21"/>
              </w:rPr>
              <w:t>.可通过刷身份证调取考生信息进行验证，在没有身份证或身份证消磁的情况下，应可通过输入身份证号、考号或点击界面座次图上的座位号快速获取到考生信息进入验证。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56</w:t>
            </w:r>
            <w:r>
              <w:rPr>
                <w:rFonts w:hint="eastAsia" w:ascii="宋体" w:hAnsi="宋体" w:cs="宋体"/>
                <w:bCs/>
                <w:color w:val="000000"/>
                <w:sz w:val="21"/>
                <w:szCs w:val="21"/>
              </w:rPr>
              <w:t>.内置多种验证流程，可根据不同考试组织形式自动选用适合的验证流程，无需人工操作。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57</w:t>
            </w:r>
            <w:r>
              <w:rPr>
                <w:rFonts w:hint="eastAsia" w:ascii="宋体" w:hAnsi="宋体" w:cs="宋体"/>
                <w:bCs/>
                <w:color w:val="000000"/>
                <w:sz w:val="21"/>
                <w:szCs w:val="21"/>
              </w:rPr>
              <w:t>.具备节能策略，延长设备使用时间。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58</w:t>
            </w:r>
            <w:r>
              <w:rPr>
                <w:rFonts w:hint="eastAsia" w:ascii="宋体" w:hAnsi="宋体" w:cs="宋体"/>
                <w:bCs/>
                <w:color w:val="000000"/>
                <w:sz w:val="21"/>
                <w:szCs w:val="21"/>
              </w:rPr>
              <w:t>.考场验证：支持验证的对象仅仅是具体考场的考生。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59</w:t>
            </w:r>
            <w:r>
              <w:rPr>
                <w:rFonts w:hint="eastAsia" w:ascii="宋体" w:hAnsi="宋体" w:cs="宋体"/>
                <w:bCs/>
                <w:color w:val="000000"/>
                <w:sz w:val="21"/>
                <w:szCs w:val="21"/>
              </w:rPr>
              <w:t>.考点验证：支持验证的对象为整个考点的考生。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rPr>
            </w:pPr>
            <w:r>
              <w:rPr>
                <w:rFonts w:hint="eastAsia" w:ascii="宋体" w:hAnsi="宋体" w:cs="宋体"/>
                <w:bCs/>
                <w:color w:val="000000"/>
                <w:sz w:val="21"/>
                <w:szCs w:val="21"/>
                <w:lang w:val="en-US" w:eastAsia="zh-CN"/>
              </w:rPr>
              <w:t>60</w:t>
            </w:r>
            <w:r>
              <w:rPr>
                <w:rFonts w:hint="eastAsia" w:ascii="宋体" w:hAnsi="宋体" w:cs="宋体"/>
                <w:bCs/>
                <w:color w:val="000000"/>
                <w:sz w:val="21"/>
                <w:szCs w:val="21"/>
              </w:rPr>
              <w:t>.验证进度查看：支持查看当前机器已验证的考生、未验证的考生、缺考考生、 违纪考生。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w:t>
            </w:r>
          </w:p>
        </w:tc>
        <w:tc>
          <w:tcPr>
            <w:tcW w:w="1134"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身份验证终端支架</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61.</w:t>
            </w:r>
            <w:r>
              <w:rPr>
                <w:rStyle w:val="39"/>
                <w:sz w:val="21"/>
                <w:szCs w:val="21"/>
                <w:lang w:val="en-US" w:eastAsia="zh-CN" w:bidi="ar"/>
              </w:rPr>
              <w:t>提供与身份验证终端匹配的身份验证终端支架，稳定可靠，操作简单方便。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5</w:t>
            </w:r>
          </w:p>
        </w:tc>
        <w:tc>
          <w:tcPr>
            <w:tcW w:w="1134"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金属探测仪</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62.</w:t>
            </w:r>
            <w:r>
              <w:rPr>
                <w:rStyle w:val="39"/>
                <w:sz w:val="21"/>
                <w:szCs w:val="21"/>
                <w:lang w:val="en-US" w:eastAsia="zh-CN" w:bidi="ar"/>
              </w:rPr>
              <w:t>手持</w:t>
            </w:r>
            <w:r>
              <w:rPr>
                <w:rStyle w:val="39"/>
                <w:rFonts w:hint="eastAsia"/>
                <w:sz w:val="21"/>
                <w:szCs w:val="21"/>
                <w:lang w:val="en-US" w:eastAsia="zh-CN" w:bidi="ar"/>
              </w:rPr>
              <w:t>式</w:t>
            </w:r>
            <w:r>
              <w:rPr>
                <w:rStyle w:val="39"/>
                <w:sz w:val="21"/>
                <w:szCs w:val="21"/>
                <w:lang w:val="en-US" w:eastAsia="zh-CN" w:bidi="ar"/>
              </w:rPr>
              <w:t>金属探测仪；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63.</w:t>
            </w:r>
            <w:r>
              <w:rPr>
                <w:rStyle w:val="39"/>
                <w:sz w:val="21"/>
                <w:szCs w:val="21"/>
                <w:lang w:val="en-US" w:eastAsia="zh-CN" w:bidi="ar"/>
              </w:rPr>
              <w:t>电源:标配充电电池；报警方式：声光同步报警，支持振动报警；电压：充电电池；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64.工作频率：25kHz；通用电流：小于50mA；使用温度: -20℃</w:t>
            </w:r>
            <w:r>
              <w:rPr>
                <w:rFonts w:ascii="宋体" w:hAnsi="宋体" w:eastAsia="宋体" w:cs="宋体"/>
                <w:color w:val="000000"/>
                <w:kern w:val="2"/>
                <w:sz w:val="21"/>
                <w:szCs w:val="21"/>
                <w:lang w:eastAsia="zh-CN" w:bidi="ar"/>
              </w:rPr>
              <w:t>~+</w:t>
            </w:r>
            <w:r>
              <w:rPr>
                <w:rStyle w:val="39"/>
                <w:rFonts w:hint="eastAsia"/>
                <w:sz w:val="21"/>
                <w:szCs w:val="21"/>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w:t>
            </w:r>
          </w:p>
        </w:tc>
        <w:tc>
          <w:tcPr>
            <w:tcW w:w="1134"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充电柜</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42"/>
                <w:rFonts w:hint="eastAsia"/>
                <w:sz w:val="21"/>
                <w:szCs w:val="21"/>
                <w:lang w:val="en-US" w:eastAsia="zh-CN" w:bidi="ar"/>
              </w:rPr>
              <w:t>65.</w:t>
            </w:r>
            <w:r>
              <w:rPr>
                <w:rStyle w:val="42"/>
                <w:sz w:val="21"/>
                <w:szCs w:val="21"/>
                <w:lang w:val="en-US" w:eastAsia="zh-CN" w:bidi="ar"/>
              </w:rPr>
              <w:t>≥40位的平板充电柜，4个静音万向脚轮，带刹车；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42"/>
                <w:rFonts w:hint="eastAsia"/>
                <w:sz w:val="21"/>
                <w:szCs w:val="21"/>
                <w:lang w:val="en-US" w:eastAsia="zh-CN" w:bidi="ar"/>
              </w:rPr>
              <w:t>66.</w:t>
            </w:r>
            <w:r>
              <w:rPr>
                <w:rStyle w:val="42"/>
                <w:sz w:val="21"/>
                <w:szCs w:val="21"/>
                <w:lang w:val="en-US" w:eastAsia="zh-CN" w:bidi="ar"/>
              </w:rPr>
              <w:t>集中充电，管理方便，分格存放。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spacing w:line="240" w:lineRule="auto"/>
              <w:jc w:val="center"/>
              <w:rPr>
                <w:color w:val="000000" w:themeColor="text1"/>
                <w:sz w:val="21"/>
                <w:szCs w:val="21"/>
              </w:rPr>
            </w:pPr>
          </w:p>
        </w:tc>
        <w:tc>
          <w:tcPr>
            <w:tcW w:w="1134" w:type="dxa"/>
            <w:vMerge w:val="continue"/>
            <w:vAlign w:val="center"/>
          </w:tcPr>
          <w:p>
            <w:pPr>
              <w:spacing w:line="240" w:lineRule="auto"/>
              <w:jc w:val="center"/>
              <w:rPr>
                <w:color w:val="000000" w:themeColor="text1"/>
                <w:sz w:val="21"/>
                <w:szCs w:val="21"/>
              </w:rPr>
            </w:pP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42"/>
                <w:rFonts w:hint="eastAsia"/>
                <w:sz w:val="21"/>
                <w:szCs w:val="21"/>
                <w:lang w:val="en-US" w:eastAsia="zh-CN" w:bidi="ar"/>
              </w:rPr>
              <w:t>67.</w:t>
            </w:r>
            <w:r>
              <w:rPr>
                <w:rStyle w:val="42"/>
                <w:sz w:val="21"/>
                <w:szCs w:val="21"/>
                <w:lang w:val="en-US" w:eastAsia="zh-CN" w:bidi="ar"/>
              </w:rPr>
              <w:t>USB供电，≥5V/2A直接输出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7</w:t>
            </w:r>
          </w:p>
        </w:tc>
        <w:tc>
          <w:tcPr>
            <w:tcW w:w="1134"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网线</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68.</w:t>
            </w:r>
            <w:r>
              <w:rPr>
                <w:rStyle w:val="38"/>
                <w:sz w:val="21"/>
                <w:szCs w:val="21"/>
                <w:highlight w:val="none"/>
                <w:lang w:val="en-US" w:eastAsia="zh-CN" w:bidi="ar"/>
              </w:rPr>
              <w:t>六类网线。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8</w:t>
            </w:r>
          </w:p>
        </w:tc>
        <w:tc>
          <w:tcPr>
            <w:tcW w:w="1134"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电源线</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69.</w:t>
            </w:r>
            <w:r>
              <w:rPr>
                <w:rStyle w:val="38"/>
                <w:sz w:val="21"/>
                <w:szCs w:val="21"/>
                <w:highlight w:val="none"/>
                <w:lang w:val="en-US" w:eastAsia="zh-CN" w:bidi="ar"/>
              </w:rPr>
              <w:t>ZC-RVV3*2.5电源线。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9</w:t>
            </w:r>
          </w:p>
        </w:tc>
        <w:tc>
          <w:tcPr>
            <w:tcW w:w="1134" w:type="dxa"/>
            <w:vAlign w:val="center"/>
          </w:tcPr>
          <w:p>
            <w:pPr>
              <w:keepNext w:val="0"/>
              <w:keepLines w:val="0"/>
              <w:widowControl/>
              <w:suppressLineNumbers w:val="0"/>
              <w:spacing w:line="240" w:lineRule="auto"/>
              <w:jc w:val="center"/>
              <w:textAlignment w:val="center"/>
              <w:rPr>
                <w:rFonts w:hint="default"/>
                <w:color w:val="000000" w:themeColor="text1"/>
                <w:sz w:val="21"/>
                <w:szCs w:val="21"/>
                <w:lang w:val="en-US"/>
              </w:rPr>
            </w:pPr>
            <w:r>
              <w:rPr>
                <w:rStyle w:val="38"/>
                <w:sz w:val="21"/>
                <w:szCs w:val="21"/>
                <w:lang w:val="en-US" w:eastAsia="zh-CN" w:bidi="ar"/>
              </w:rPr>
              <w:t>线槽</w:t>
            </w:r>
            <w:r>
              <w:rPr>
                <w:rStyle w:val="38"/>
                <w:rFonts w:hint="eastAsia"/>
                <w:sz w:val="21"/>
                <w:szCs w:val="21"/>
                <w:lang w:val="en-US" w:eastAsia="zh-CN" w:bidi="ar"/>
              </w:rPr>
              <w:t>1</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70.</w:t>
            </w:r>
            <w:r>
              <w:rPr>
                <w:rStyle w:val="38"/>
                <w:sz w:val="21"/>
                <w:szCs w:val="21"/>
                <w:highlight w:val="none"/>
                <w:lang w:val="en-US" w:eastAsia="zh-CN" w:bidi="ar"/>
              </w:rPr>
              <w:t>PVC4线槽。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10</w:t>
            </w:r>
          </w:p>
        </w:tc>
        <w:tc>
          <w:tcPr>
            <w:tcW w:w="1134" w:type="dxa"/>
            <w:vAlign w:val="center"/>
          </w:tcPr>
          <w:p>
            <w:pPr>
              <w:keepNext w:val="0"/>
              <w:keepLines w:val="0"/>
              <w:widowControl/>
              <w:suppressLineNumbers w:val="0"/>
              <w:spacing w:line="240" w:lineRule="auto"/>
              <w:jc w:val="center"/>
              <w:textAlignment w:val="center"/>
              <w:rPr>
                <w:rFonts w:hint="default"/>
                <w:color w:val="000000" w:themeColor="text1"/>
                <w:sz w:val="21"/>
                <w:szCs w:val="21"/>
                <w:lang w:val="en-US"/>
              </w:rPr>
            </w:pPr>
            <w:r>
              <w:rPr>
                <w:rStyle w:val="38"/>
                <w:sz w:val="21"/>
                <w:szCs w:val="21"/>
                <w:lang w:val="en-US" w:eastAsia="zh-CN" w:bidi="ar"/>
              </w:rPr>
              <w:t>线槽</w:t>
            </w:r>
            <w:r>
              <w:rPr>
                <w:rStyle w:val="38"/>
                <w:rFonts w:hint="eastAsia"/>
                <w:sz w:val="21"/>
                <w:szCs w:val="21"/>
                <w:lang w:val="en-US" w:eastAsia="zh-CN" w:bidi="ar"/>
              </w:rPr>
              <w:t>2</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71.</w:t>
            </w:r>
            <w:r>
              <w:rPr>
                <w:rStyle w:val="38"/>
                <w:sz w:val="21"/>
                <w:szCs w:val="21"/>
                <w:highlight w:val="none"/>
                <w:lang w:val="en-US" w:eastAsia="zh-CN" w:bidi="ar"/>
              </w:rPr>
              <w:t>PVC6线槽。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11</w:t>
            </w:r>
          </w:p>
        </w:tc>
        <w:tc>
          <w:tcPr>
            <w:tcW w:w="1134"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线管</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72.</w:t>
            </w:r>
            <w:r>
              <w:rPr>
                <w:rStyle w:val="38"/>
                <w:sz w:val="21"/>
                <w:szCs w:val="21"/>
                <w:highlight w:val="none"/>
                <w:lang w:val="en-US" w:eastAsia="zh-CN" w:bidi="ar"/>
              </w:rPr>
              <w:t>PVC20线管。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12</w:t>
            </w:r>
          </w:p>
        </w:tc>
        <w:tc>
          <w:tcPr>
            <w:tcW w:w="1134"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插排</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42"/>
                <w:rFonts w:hint="eastAsia"/>
                <w:sz w:val="21"/>
                <w:szCs w:val="21"/>
                <w:lang w:val="en-US" w:eastAsia="zh-CN" w:bidi="ar"/>
              </w:rPr>
              <w:t>73.</w:t>
            </w:r>
            <w:r>
              <w:rPr>
                <w:rStyle w:val="43"/>
                <w:sz w:val="21"/>
                <w:szCs w:val="21"/>
                <w:lang w:val="en-US" w:eastAsia="zh-CN" w:bidi="ar"/>
              </w:rPr>
              <w:t>4位、分控、线全长5米。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13</w:t>
            </w:r>
          </w:p>
        </w:tc>
        <w:tc>
          <w:tcPr>
            <w:tcW w:w="1134"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辅材辅料</w:t>
            </w:r>
          </w:p>
        </w:tc>
        <w:tc>
          <w:tcPr>
            <w:tcW w:w="6485"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74.</w:t>
            </w:r>
            <w:r>
              <w:rPr>
                <w:rStyle w:val="38"/>
                <w:sz w:val="21"/>
                <w:szCs w:val="21"/>
                <w:lang w:val="en-US" w:eastAsia="zh-CN" w:bidi="ar"/>
              </w:rPr>
              <w:t>布线施工所需其他辅材辅料（钉、胶带、五金件、加固件、过线盒、底盒、连接线、延长线等）。</w:t>
            </w:r>
          </w:p>
        </w:tc>
      </w:tr>
      <w:bookmarkEnd w:id="41"/>
    </w:tbl>
    <w:p>
      <w:pPr>
        <w:ind w:firstLine="422" w:firstLineChars="200"/>
        <w:rPr>
          <w:rFonts w:hint="eastAsia"/>
          <w:b/>
          <w:szCs w:val="21"/>
        </w:rPr>
      </w:pPr>
    </w:p>
    <w:bookmarkEnd w:id="40"/>
    <w:p>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sz w:val="21"/>
                <w:szCs w:val="21"/>
              </w:rPr>
            </w:pPr>
            <w:r>
              <w:rPr>
                <w:rFonts w:hint="eastAsia"/>
                <w:b/>
                <w:sz w:val="21"/>
                <w:szCs w:val="21"/>
              </w:rPr>
              <w:t>序号</w:t>
            </w:r>
          </w:p>
        </w:tc>
        <w:tc>
          <w:tcPr>
            <w:tcW w:w="1457" w:type="dxa"/>
            <w:noWrap w:val="0"/>
            <w:vAlign w:val="center"/>
          </w:tcPr>
          <w:p>
            <w:pPr>
              <w:jc w:val="center"/>
              <w:rPr>
                <w:b/>
                <w:sz w:val="21"/>
                <w:szCs w:val="21"/>
              </w:rPr>
            </w:pPr>
            <w:r>
              <w:rPr>
                <w:rFonts w:hint="eastAsia"/>
                <w:b/>
                <w:sz w:val="21"/>
                <w:szCs w:val="21"/>
              </w:rPr>
              <w:t>商务需求项</w:t>
            </w:r>
          </w:p>
        </w:tc>
        <w:tc>
          <w:tcPr>
            <w:tcW w:w="6523" w:type="dxa"/>
            <w:noWrap w:val="0"/>
            <w:vAlign w:val="center"/>
          </w:tcPr>
          <w:p>
            <w:pPr>
              <w:jc w:val="center"/>
              <w:rPr>
                <w:b/>
                <w:sz w:val="21"/>
                <w:szCs w:val="21"/>
              </w:rPr>
            </w:pPr>
            <w:r>
              <w:rPr>
                <w:rFonts w:hint="eastAsia"/>
                <w:b/>
                <w:sz w:val="21"/>
                <w:szCs w:val="21"/>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sz w:val="21"/>
                <w:szCs w:val="21"/>
              </w:rPr>
            </w:pPr>
            <w:r>
              <w:rPr>
                <w:rFonts w:hint="eastAsia"/>
                <w:b/>
                <w:sz w:val="21"/>
                <w:szCs w:val="21"/>
              </w:rPr>
              <w:t>（一）免费保修期内售后服务要求</w:t>
            </w:r>
          </w:p>
        </w:tc>
      </w:tr>
      <w:tr>
        <w:tblPrEx>
          <w:tblCellMar>
            <w:top w:w="0" w:type="dxa"/>
            <w:left w:w="108" w:type="dxa"/>
            <w:bottom w:w="0" w:type="dxa"/>
            <w:right w:w="108" w:type="dxa"/>
          </w:tblCellMar>
        </w:tblPrEx>
        <w:trPr>
          <w:trHeight w:val="320" w:hRule="atLeast"/>
        </w:trPr>
        <w:tc>
          <w:tcPr>
            <w:tcW w:w="840" w:type="dxa"/>
            <w:noWrap w:val="0"/>
            <w:vAlign w:val="center"/>
          </w:tcPr>
          <w:p>
            <w:pPr>
              <w:jc w:val="center"/>
              <w:rPr>
                <w:bCs/>
                <w:sz w:val="21"/>
                <w:szCs w:val="21"/>
              </w:rPr>
            </w:pPr>
            <w:r>
              <w:rPr>
                <w:rFonts w:hint="eastAsia"/>
                <w:bCs/>
                <w:sz w:val="21"/>
                <w:szCs w:val="21"/>
              </w:rPr>
              <w:t>1</w:t>
            </w:r>
          </w:p>
        </w:tc>
        <w:tc>
          <w:tcPr>
            <w:tcW w:w="1457" w:type="dxa"/>
            <w:noWrap w:val="0"/>
            <w:vAlign w:val="top"/>
          </w:tcPr>
          <w:p>
            <w:pPr>
              <w:jc w:val="center"/>
              <w:rPr>
                <w:sz w:val="21"/>
                <w:szCs w:val="21"/>
              </w:rPr>
            </w:pPr>
            <w:r>
              <w:rPr>
                <w:rFonts w:hint="eastAsia"/>
                <w:sz w:val="21"/>
                <w:szCs w:val="21"/>
              </w:rPr>
              <w:t>维修响应及故障解决时间</w:t>
            </w:r>
          </w:p>
        </w:tc>
        <w:tc>
          <w:tcPr>
            <w:tcW w:w="6523" w:type="dxa"/>
            <w:noWrap w:val="0"/>
            <w:vAlign w:val="top"/>
          </w:tcPr>
          <w:p>
            <w:pPr>
              <w:rPr>
                <w:b/>
                <w:sz w:val="21"/>
                <w:szCs w:val="21"/>
              </w:rPr>
            </w:pPr>
            <w:r>
              <w:rPr>
                <w:rFonts w:hint="eastAsia"/>
                <w:bCs/>
                <w:sz w:val="21"/>
                <w:szCs w:val="21"/>
              </w:rPr>
              <w:t>在免费保修期内，一旦发生质量问题，中标人保证在接到通知</w:t>
            </w:r>
            <w:r>
              <w:rPr>
                <w:rFonts w:hint="eastAsia"/>
                <w:bCs/>
                <w:sz w:val="21"/>
                <w:szCs w:val="21"/>
                <w:lang w:val="en-US" w:eastAsia="zh-CN"/>
              </w:rPr>
              <w:t>24</w:t>
            </w:r>
            <w:r>
              <w:rPr>
                <w:rFonts w:hint="eastAsia"/>
                <w:bCs/>
                <w:sz w:val="21"/>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 w:val="21"/>
                <w:szCs w:val="21"/>
              </w:rPr>
            </w:pPr>
            <w:r>
              <w:rPr>
                <w:rFonts w:hint="eastAsia"/>
                <w:sz w:val="21"/>
                <w:szCs w:val="21"/>
              </w:rPr>
              <w:t>2</w:t>
            </w:r>
          </w:p>
        </w:tc>
        <w:tc>
          <w:tcPr>
            <w:tcW w:w="1457" w:type="dxa"/>
            <w:vMerge w:val="restart"/>
            <w:noWrap w:val="0"/>
            <w:vAlign w:val="center"/>
          </w:tcPr>
          <w:p>
            <w:pPr>
              <w:jc w:val="center"/>
              <w:rPr>
                <w:sz w:val="21"/>
                <w:szCs w:val="21"/>
              </w:rPr>
            </w:pPr>
            <w:r>
              <w:rPr>
                <w:rFonts w:hint="eastAsia"/>
                <w:sz w:val="21"/>
                <w:szCs w:val="21"/>
              </w:rPr>
              <w:t>免费保修期</w:t>
            </w:r>
          </w:p>
        </w:tc>
        <w:tc>
          <w:tcPr>
            <w:tcW w:w="6523" w:type="dxa"/>
            <w:noWrap w:val="0"/>
            <w:vAlign w:val="top"/>
          </w:tcPr>
          <w:p>
            <w:pPr>
              <w:rPr>
                <w:b/>
                <w:sz w:val="21"/>
                <w:szCs w:val="21"/>
              </w:rPr>
            </w:pPr>
            <w:r>
              <w:rPr>
                <w:rFonts w:hint="eastAsia"/>
                <w:bCs/>
                <w:sz w:val="21"/>
                <w:szCs w:val="21"/>
              </w:rPr>
              <w:t>1</w:t>
            </w:r>
            <w:r>
              <w:rPr>
                <w:bCs/>
                <w:sz w:val="21"/>
                <w:szCs w:val="21"/>
              </w:rPr>
              <w:t>.</w:t>
            </w:r>
            <w:r>
              <w:rPr>
                <w:rFonts w:hint="eastAsia"/>
                <w:bCs/>
                <w:sz w:val="21"/>
                <w:szCs w:val="21"/>
              </w:rPr>
              <w:t>货物免费保修期</w:t>
            </w:r>
            <w:r>
              <w:rPr>
                <w:rFonts w:hint="eastAsia"/>
                <w:bCs/>
                <w:color w:val="auto"/>
                <w:sz w:val="21"/>
                <w:szCs w:val="21"/>
                <w:u w:val="single"/>
              </w:rPr>
              <w:t xml:space="preserve">  1  </w:t>
            </w:r>
            <w:r>
              <w:rPr>
                <w:rFonts w:hint="eastAsia"/>
                <w:bCs/>
                <w:color w:val="auto"/>
                <w:sz w:val="21"/>
                <w:szCs w:val="21"/>
              </w:rPr>
              <w:t>年，</w:t>
            </w:r>
            <w:r>
              <w:rPr>
                <w:rFonts w:hint="eastAsia"/>
                <w:bCs/>
                <w:sz w:val="21"/>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sz w:val="21"/>
                <w:szCs w:val="21"/>
              </w:rPr>
            </w:pPr>
          </w:p>
        </w:tc>
        <w:tc>
          <w:tcPr>
            <w:tcW w:w="1457" w:type="dxa"/>
            <w:vMerge w:val="continue"/>
            <w:noWrap w:val="0"/>
            <w:vAlign w:val="center"/>
          </w:tcPr>
          <w:p>
            <w:pPr>
              <w:rPr>
                <w:sz w:val="21"/>
                <w:szCs w:val="21"/>
              </w:rPr>
            </w:pPr>
          </w:p>
        </w:tc>
        <w:tc>
          <w:tcPr>
            <w:tcW w:w="6523" w:type="dxa"/>
            <w:noWrap w:val="0"/>
            <w:vAlign w:val="center"/>
          </w:tcPr>
          <w:p>
            <w:pPr>
              <w:rPr>
                <w:bCs/>
                <w:sz w:val="21"/>
                <w:szCs w:val="21"/>
              </w:rPr>
            </w:pPr>
            <w:r>
              <w:rPr>
                <w:rFonts w:hint="eastAsia"/>
                <w:bCs/>
                <w:sz w:val="21"/>
                <w:szCs w:val="21"/>
              </w:rPr>
              <w:t>2</w:t>
            </w:r>
            <w:r>
              <w:rPr>
                <w:bCs/>
                <w:sz w:val="21"/>
                <w:szCs w:val="21"/>
              </w:rPr>
              <w:t>.</w:t>
            </w:r>
            <w:r>
              <w:rPr>
                <w:rFonts w:hint="eastAsia"/>
                <w:bCs/>
                <w:sz w:val="21"/>
                <w:szCs w:val="21"/>
              </w:rPr>
              <w:t>免费保修期内，</w:t>
            </w:r>
            <w:r>
              <w:rPr>
                <w:rFonts w:hint="eastAsia"/>
                <w:color w:val="000000"/>
                <w:sz w:val="21"/>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sz w:val="21"/>
                <w:szCs w:val="21"/>
              </w:rPr>
            </w:pPr>
            <w:r>
              <w:rPr>
                <w:rFonts w:hint="eastAsia"/>
                <w:sz w:val="21"/>
                <w:szCs w:val="21"/>
              </w:rPr>
              <w:t>3</w:t>
            </w:r>
          </w:p>
        </w:tc>
        <w:tc>
          <w:tcPr>
            <w:tcW w:w="1457" w:type="dxa"/>
            <w:noWrap w:val="0"/>
            <w:vAlign w:val="center"/>
          </w:tcPr>
          <w:p>
            <w:pPr>
              <w:jc w:val="center"/>
              <w:rPr>
                <w:b/>
                <w:sz w:val="21"/>
                <w:szCs w:val="21"/>
              </w:rPr>
            </w:pPr>
            <w:r>
              <w:rPr>
                <w:rFonts w:hint="eastAsia"/>
                <w:sz w:val="21"/>
                <w:szCs w:val="21"/>
              </w:rPr>
              <w:t>技术文件</w:t>
            </w:r>
          </w:p>
        </w:tc>
        <w:tc>
          <w:tcPr>
            <w:tcW w:w="6523" w:type="dxa"/>
            <w:noWrap w:val="0"/>
            <w:vAlign w:val="center"/>
          </w:tcPr>
          <w:p>
            <w:pPr>
              <w:rPr>
                <w:bCs/>
                <w:sz w:val="21"/>
                <w:szCs w:val="21"/>
              </w:rPr>
            </w:pPr>
            <w:r>
              <w:rPr>
                <w:rFonts w:hint="eastAsia"/>
                <w:bCs/>
                <w:sz w:val="21"/>
                <w:szCs w:val="21"/>
              </w:rPr>
              <w:t>供应商应提供全套、完整的书面技术资料，包括仪器说明书、操作手册、简单维修说明、图纸等。</w:t>
            </w:r>
          </w:p>
        </w:tc>
      </w:tr>
      <w:tr>
        <w:tblPrEx>
          <w:tblCellMar>
            <w:top w:w="0" w:type="dxa"/>
            <w:left w:w="108" w:type="dxa"/>
            <w:bottom w:w="0" w:type="dxa"/>
            <w:right w:w="108" w:type="dxa"/>
          </w:tblCellMar>
        </w:tblPrEx>
        <w:trPr>
          <w:trHeight w:val="523" w:hRule="atLeast"/>
        </w:trPr>
        <w:tc>
          <w:tcPr>
            <w:tcW w:w="840" w:type="dxa"/>
            <w:noWrap w:val="0"/>
            <w:vAlign w:val="center"/>
          </w:tcPr>
          <w:p>
            <w:pPr>
              <w:jc w:val="center"/>
              <w:rPr>
                <w:bCs/>
                <w:sz w:val="21"/>
                <w:szCs w:val="21"/>
              </w:rPr>
            </w:pPr>
            <w:r>
              <w:rPr>
                <w:rFonts w:hint="eastAsia"/>
                <w:bCs/>
                <w:sz w:val="21"/>
                <w:szCs w:val="21"/>
              </w:rPr>
              <w:t>4</w:t>
            </w:r>
          </w:p>
        </w:tc>
        <w:tc>
          <w:tcPr>
            <w:tcW w:w="1457" w:type="dxa"/>
            <w:noWrap w:val="0"/>
            <w:vAlign w:val="center"/>
          </w:tcPr>
          <w:p>
            <w:pPr>
              <w:jc w:val="center"/>
              <w:rPr>
                <w:bCs/>
                <w:sz w:val="21"/>
                <w:szCs w:val="21"/>
              </w:rPr>
            </w:pPr>
            <w:r>
              <w:rPr>
                <w:rFonts w:hint="eastAsia"/>
                <w:sz w:val="21"/>
                <w:szCs w:val="21"/>
              </w:rPr>
              <w:t>安装调试</w:t>
            </w:r>
          </w:p>
        </w:tc>
        <w:tc>
          <w:tcPr>
            <w:tcW w:w="6523" w:type="dxa"/>
            <w:noWrap w:val="0"/>
            <w:vAlign w:val="center"/>
          </w:tcPr>
          <w:p>
            <w:pPr>
              <w:rPr>
                <w:bCs/>
                <w:sz w:val="21"/>
                <w:szCs w:val="21"/>
              </w:rPr>
            </w:pPr>
            <w:r>
              <w:rPr>
                <w:rFonts w:ascii="宋体" w:hAnsi="宋体" w:cs="宋体"/>
                <w:color w:val="000000" w:themeColor="text1"/>
                <w:sz w:val="21"/>
                <w:szCs w:val="21"/>
              </w:rPr>
              <w:t>完成项目所需设备的安装、调试与测试。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sz w:val="21"/>
                <w:szCs w:val="21"/>
              </w:rPr>
            </w:pPr>
            <w:r>
              <w:rPr>
                <w:rFonts w:hint="eastAsia" w:ascii="宋体" w:hAnsi="宋体"/>
                <w:b/>
                <w:sz w:val="21"/>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ascii="宋体" w:hAnsi="宋体"/>
                <w:b/>
                <w:sz w:val="21"/>
                <w:szCs w:val="21"/>
              </w:rPr>
            </w:pPr>
            <w:r>
              <w:rPr>
                <w:rFonts w:hint="eastAsia" w:ascii="宋体" w:hAnsi="宋体"/>
                <w:b/>
                <w:sz w:val="21"/>
                <w:szCs w:val="21"/>
              </w:rPr>
              <w:t>1</w:t>
            </w:r>
          </w:p>
        </w:tc>
        <w:tc>
          <w:tcPr>
            <w:tcW w:w="1457" w:type="dxa"/>
            <w:noWrap w:val="0"/>
            <w:vAlign w:val="center"/>
          </w:tcPr>
          <w:p>
            <w:pPr>
              <w:spacing w:line="360" w:lineRule="exact"/>
              <w:jc w:val="center"/>
              <w:rPr>
                <w:rFonts w:ascii="宋体" w:hAnsi="宋体"/>
                <w:b/>
                <w:color w:val="000000"/>
                <w:sz w:val="21"/>
                <w:szCs w:val="21"/>
              </w:rPr>
            </w:pPr>
            <w:r>
              <w:rPr>
                <w:rStyle w:val="20"/>
                <w:rFonts w:hint="eastAsia" w:ascii="宋体" w:hAnsi="宋体" w:cs="宋体"/>
                <w:color w:val="000000"/>
                <w:sz w:val="21"/>
                <w:szCs w:val="21"/>
              </w:rPr>
              <w:t>维修零配件、消耗品和延续保修合同的报价</w:t>
            </w:r>
          </w:p>
        </w:tc>
        <w:tc>
          <w:tcPr>
            <w:tcW w:w="6523" w:type="dxa"/>
            <w:noWrap w:val="0"/>
            <w:vAlign w:val="center"/>
          </w:tcPr>
          <w:p>
            <w:pPr>
              <w:spacing w:line="360" w:lineRule="exact"/>
              <w:rPr>
                <w:rFonts w:ascii="宋体" w:hAnsi="宋体"/>
                <w:b/>
                <w:color w:val="000000"/>
                <w:sz w:val="21"/>
                <w:szCs w:val="21"/>
              </w:rPr>
            </w:pPr>
            <w:r>
              <w:rPr>
                <w:rFonts w:hint="eastAsia" w:ascii="宋体" w:hAnsi="宋体" w:cs="宋体"/>
                <w:color w:val="000000"/>
                <w:sz w:val="21"/>
                <w:szCs w:val="21"/>
              </w:rPr>
              <w:t>1.1由设备制造商提供售后服务，</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 xml:space="preserve">1 </w:t>
            </w:r>
            <w:r>
              <w:rPr>
                <w:rFonts w:hint="eastAsia" w:ascii="宋体" w:hAnsi="宋体" w:cs="宋体"/>
                <w:color w:val="000000"/>
                <w:sz w:val="21"/>
                <w:szCs w:val="21"/>
              </w:rPr>
              <w:t>小时内响应，</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24</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sz w:val="21"/>
                <w:szCs w:val="21"/>
              </w:rPr>
            </w:pPr>
            <w:r>
              <w:rPr>
                <w:rFonts w:hint="eastAsia" w:ascii="宋体" w:hAnsi="宋体"/>
                <w:b/>
                <w:sz w:val="21"/>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eastAsia="zh-CN"/>
              </w:rPr>
              <w:t>1</w:t>
            </w:r>
          </w:p>
        </w:tc>
        <w:tc>
          <w:tcPr>
            <w:tcW w:w="1457" w:type="dxa"/>
            <w:vMerge w:val="restart"/>
            <w:noWrap w:val="0"/>
            <w:vAlign w:val="center"/>
          </w:tcPr>
          <w:p>
            <w:pPr>
              <w:spacing w:line="360" w:lineRule="exact"/>
              <w:jc w:val="center"/>
              <w:rPr>
                <w:rFonts w:hint="eastAsia" w:ascii="宋体" w:hAnsi="宋体"/>
                <w:b/>
                <w:sz w:val="21"/>
                <w:szCs w:val="21"/>
              </w:rPr>
            </w:pPr>
            <w:r>
              <w:rPr>
                <w:rFonts w:hint="eastAsia" w:ascii="宋体" w:hAnsi="宋体"/>
                <w:b/>
                <w:sz w:val="21"/>
                <w:szCs w:val="21"/>
              </w:rPr>
              <w:t>违约责任</w:t>
            </w:r>
          </w:p>
        </w:tc>
        <w:tc>
          <w:tcPr>
            <w:tcW w:w="6523" w:type="dxa"/>
            <w:noWrap w:val="0"/>
            <w:vAlign w:val="top"/>
          </w:tcPr>
          <w:p>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.1中标人不能交货的，需偿付不能交货部分货款的</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10</w:t>
            </w:r>
            <w:r>
              <w:rPr>
                <w:rFonts w:hint="eastAsia" w:ascii="宋体" w:hAnsi="宋体" w:cs="宋体"/>
                <w:color w:val="000000"/>
                <w:sz w:val="21"/>
                <w:szCs w:val="21"/>
                <w:u w:val="single"/>
              </w:rPr>
              <w:t xml:space="preserve">  </w:t>
            </w:r>
            <w:r>
              <w:rPr>
                <w:rFonts w:hint="eastAsia" w:ascii="宋体" w:hAnsi="宋体" w:cs="宋体"/>
                <w:color w:val="000000"/>
                <w:sz w:val="21"/>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1"/>
                <w:szCs w:val="21"/>
              </w:rPr>
            </w:pPr>
          </w:p>
        </w:tc>
        <w:tc>
          <w:tcPr>
            <w:tcW w:w="1457" w:type="dxa"/>
            <w:vMerge w:val="continue"/>
            <w:noWrap w:val="0"/>
            <w:vAlign w:val="center"/>
          </w:tcPr>
          <w:p>
            <w:pPr>
              <w:spacing w:line="360" w:lineRule="exact"/>
              <w:jc w:val="center"/>
              <w:rPr>
                <w:rFonts w:hint="eastAsia" w:ascii="宋体" w:hAnsi="宋体"/>
                <w:b/>
                <w:sz w:val="21"/>
                <w:szCs w:val="21"/>
              </w:rPr>
            </w:pPr>
          </w:p>
        </w:tc>
        <w:tc>
          <w:tcPr>
            <w:tcW w:w="6523" w:type="dxa"/>
            <w:noWrap w:val="0"/>
            <w:vAlign w:val="top"/>
          </w:tcPr>
          <w:p>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1"/>
                <w:szCs w:val="21"/>
              </w:rPr>
            </w:pPr>
          </w:p>
        </w:tc>
        <w:tc>
          <w:tcPr>
            <w:tcW w:w="1457" w:type="dxa"/>
            <w:vMerge w:val="continue"/>
            <w:noWrap w:val="0"/>
            <w:vAlign w:val="center"/>
          </w:tcPr>
          <w:p>
            <w:pPr>
              <w:spacing w:line="360" w:lineRule="exact"/>
              <w:jc w:val="center"/>
              <w:rPr>
                <w:rFonts w:hint="eastAsia" w:ascii="宋体" w:hAnsi="宋体"/>
                <w:b/>
                <w:sz w:val="21"/>
                <w:szCs w:val="21"/>
              </w:rPr>
            </w:pPr>
          </w:p>
        </w:tc>
        <w:tc>
          <w:tcPr>
            <w:tcW w:w="6523" w:type="dxa"/>
            <w:noWrap w:val="0"/>
            <w:vAlign w:val="top"/>
          </w:tcPr>
          <w:p>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1"/>
                <w:szCs w:val="21"/>
                <w:lang w:val="en-US" w:eastAsia="zh-CN"/>
              </w:rPr>
              <w:t>采购人</w:t>
            </w:r>
            <w:r>
              <w:rPr>
                <w:rFonts w:hint="eastAsia" w:ascii="宋体" w:hAnsi="宋体" w:cs="宋体"/>
                <w:color w:val="000000"/>
                <w:sz w:val="21"/>
                <w:szCs w:val="21"/>
              </w:rPr>
              <w:t>将根据标的的性质以及损失的大小，可以合理选择要求</w:t>
            </w:r>
            <w:r>
              <w:rPr>
                <w:rFonts w:hint="eastAsia" w:ascii="宋体" w:hAnsi="宋体" w:cs="宋体"/>
                <w:color w:val="000000"/>
                <w:sz w:val="21"/>
                <w:szCs w:val="21"/>
                <w:lang w:val="en-US" w:eastAsia="zh-CN"/>
              </w:rPr>
              <w:t>中标人</w:t>
            </w:r>
            <w:r>
              <w:rPr>
                <w:rFonts w:hint="eastAsia" w:ascii="宋体" w:hAnsi="宋体" w:cs="宋体"/>
                <w:color w:val="000000"/>
                <w:sz w:val="21"/>
                <w:szCs w:val="21"/>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1"/>
                <w:szCs w:val="21"/>
                <w:lang w:eastAsia="zh-CN"/>
              </w:rPr>
            </w:pPr>
            <w:r>
              <w:rPr>
                <w:rFonts w:hint="eastAsia" w:ascii="宋体" w:hAnsi="宋体"/>
                <w:b/>
                <w:bCs w:val="0"/>
                <w:sz w:val="21"/>
                <w:szCs w:val="21"/>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1"/>
                <w:szCs w:val="21"/>
                <w:lang w:val="en-US" w:eastAsia="zh-CN"/>
              </w:rPr>
            </w:pPr>
            <w:r>
              <w:rPr>
                <w:rFonts w:hint="eastAsia" w:ascii="宋体" w:hAnsi="宋体"/>
                <w:b/>
                <w:bCs w:val="0"/>
                <w:sz w:val="21"/>
                <w:szCs w:val="21"/>
              </w:rPr>
              <w:t>交货</w:t>
            </w:r>
            <w:r>
              <w:rPr>
                <w:rFonts w:hint="eastAsia" w:ascii="宋体" w:hAnsi="宋体"/>
                <w:b/>
                <w:bCs w:val="0"/>
                <w:sz w:val="21"/>
                <w:szCs w:val="21"/>
                <w:lang w:val="en-US" w:eastAsia="zh-CN"/>
              </w:rPr>
              <w:t>及付款要求</w:t>
            </w:r>
          </w:p>
        </w:tc>
        <w:tc>
          <w:tcPr>
            <w:tcW w:w="6523" w:type="dxa"/>
            <w:noWrap w:val="0"/>
            <w:vAlign w:val="center"/>
          </w:tcPr>
          <w:p>
            <w:pPr>
              <w:spacing w:line="360" w:lineRule="exact"/>
              <w:rPr>
                <w:rFonts w:hint="default" w:eastAsia="宋体"/>
                <w:sz w:val="21"/>
                <w:szCs w:val="21"/>
                <w:lang w:val="en-US" w:eastAsia="zh-CN"/>
              </w:rPr>
            </w:pPr>
            <w:r>
              <w:rPr>
                <w:rFonts w:hint="eastAsia"/>
                <w:sz w:val="21"/>
                <w:szCs w:val="21"/>
                <w:lang w:val="en-US" w:eastAsia="zh-CN"/>
              </w:rPr>
              <w:t>2</w:t>
            </w:r>
            <w:r>
              <w:rPr>
                <w:rFonts w:hint="eastAsia"/>
                <w:sz w:val="21"/>
                <w:szCs w:val="21"/>
              </w:rPr>
              <w:t>.1履约时间和地点：投标供应商在签订合同之日起</w:t>
            </w:r>
            <w:r>
              <w:rPr>
                <w:sz w:val="21"/>
                <w:szCs w:val="21"/>
              </w:rPr>
              <w:t>30</w:t>
            </w:r>
            <w:r>
              <w:rPr>
                <w:rFonts w:hint="eastAsia"/>
                <w:sz w:val="21"/>
                <w:szCs w:val="21"/>
              </w:rPr>
              <w:t>天内交货，交货地点为深圳市宝安中学（集团）第二实验学校。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1"/>
                <w:szCs w:val="21"/>
              </w:rPr>
            </w:pPr>
          </w:p>
        </w:tc>
        <w:tc>
          <w:tcPr>
            <w:tcW w:w="1457" w:type="dxa"/>
            <w:vMerge w:val="continue"/>
            <w:noWrap w:val="0"/>
            <w:vAlign w:val="center"/>
          </w:tcPr>
          <w:p>
            <w:pPr>
              <w:spacing w:line="360" w:lineRule="exact"/>
              <w:jc w:val="center"/>
              <w:rPr>
                <w:rFonts w:ascii="宋体" w:hAnsi="宋体"/>
                <w:b/>
                <w:bCs w:val="0"/>
                <w:sz w:val="21"/>
                <w:szCs w:val="21"/>
              </w:rPr>
            </w:pPr>
          </w:p>
        </w:tc>
        <w:tc>
          <w:tcPr>
            <w:tcW w:w="6523" w:type="dxa"/>
            <w:noWrap w:val="0"/>
            <w:vAlign w:val="center"/>
          </w:tcPr>
          <w:p>
            <w:pPr>
              <w:widowControl w:val="0"/>
              <w:spacing w:line="360" w:lineRule="exact"/>
              <w:jc w:val="both"/>
              <w:rPr>
                <w:sz w:val="21"/>
                <w:szCs w:val="21"/>
              </w:rPr>
            </w:pPr>
            <w:r>
              <w:rPr>
                <w:rFonts w:hint="eastAsia"/>
                <w:sz w:val="21"/>
                <w:szCs w:val="21"/>
                <w:lang w:val="en-US" w:eastAsia="zh-CN"/>
              </w:rPr>
              <w:t>2</w:t>
            </w:r>
            <w:r>
              <w:rPr>
                <w:sz w:val="21"/>
                <w:szCs w:val="21"/>
              </w:rPr>
              <w:t>.2</w:t>
            </w:r>
            <w:r>
              <w:rPr>
                <w:rFonts w:hint="eastAsia"/>
                <w:sz w:val="21"/>
                <w:szCs w:val="21"/>
              </w:rPr>
              <w:t>付款期限和方式：</w:t>
            </w:r>
            <w:r>
              <w:rPr>
                <w:rFonts w:hint="eastAsia" w:ascii="新宋体" w:hAnsi="新宋体" w:eastAsia="新宋体" w:cstheme="minorBidi"/>
                <w:color w:val="auto"/>
                <w:sz w:val="21"/>
                <w:szCs w:val="21"/>
                <w:lang w:eastAsia="zh-CN"/>
              </w:rPr>
              <w:t>合同签订后10个工作日内，投标供应商提供合法发票采购人支付50%的预付款。本项目完成并经验收合格后，对于满足合同约定支付条件的，采购人应当自收到发票后10个工作日内将资金支付到合同约定的中标（成交）供应商账户。</w:t>
            </w:r>
          </w:p>
          <w:p>
            <w:pPr>
              <w:pStyle w:val="7"/>
              <w:rPr>
                <w:rFonts w:hint="default" w:eastAsia="宋体"/>
                <w:sz w:val="21"/>
                <w:szCs w:val="21"/>
                <w:lang w:val="en-US" w:eastAsia="zh-CN"/>
              </w:rPr>
            </w:pPr>
            <w:r>
              <w:rPr>
                <w:rFonts w:hint="eastAsia" w:ascii="Times New Roman" w:hAnsi="Times New Roman" w:eastAsia="宋体" w:cs="Times New Roman"/>
                <w:b w:val="0"/>
                <w:bCs w:val="0"/>
                <w:kern w:val="2"/>
                <w:sz w:val="21"/>
                <w:szCs w:val="21"/>
                <w:lang w:val="en-US" w:eastAsia="zh-CN" w:bidi="ar-SA"/>
              </w:rPr>
              <w:t>注：根据《深圳市落实采购人主体责任实施办法》</w:t>
            </w:r>
            <w:r>
              <w:rPr>
                <w:rFonts w:hint="eastAsia" w:cs="Times New Roman"/>
                <w:b w:val="0"/>
                <w:bCs w:val="0"/>
                <w:kern w:val="2"/>
                <w:sz w:val="21"/>
                <w:szCs w:val="21"/>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40" w:type="dxa"/>
            <w:vMerge w:val="restart"/>
            <w:noWrap w:val="0"/>
            <w:vAlign w:val="center"/>
          </w:tcPr>
          <w:p>
            <w:pPr>
              <w:spacing w:line="360" w:lineRule="exact"/>
              <w:jc w:val="center"/>
              <w:rPr>
                <w:rFonts w:hint="default" w:ascii="宋体" w:hAnsi="宋体"/>
                <w:b/>
                <w:bCs w:val="0"/>
                <w:sz w:val="21"/>
                <w:szCs w:val="21"/>
                <w:lang w:val="en-US" w:eastAsia="zh-CN"/>
              </w:rPr>
            </w:pPr>
            <w:r>
              <w:rPr>
                <w:rFonts w:hint="eastAsia" w:ascii="宋体" w:hAnsi="宋体"/>
                <w:b/>
                <w:bCs w:val="0"/>
                <w:sz w:val="21"/>
                <w:szCs w:val="21"/>
                <w:lang w:val="en-US" w:eastAsia="zh-CN"/>
              </w:rPr>
              <w:t>3</w:t>
            </w:r>
          </w:p>
        </w:tc>
        <w:tc>
          <w:tcPr>
            <w:tcW w:w="1457" w:type="dxa"/>
            <w:vMerge w:val="restart"/>
            <w:noWrap w:val="0"/>
            <w:vAlign w:val="center"/>
          </w:tcPr>
          <w:p>
            <w:pPr>
              <w:spacing w:line="360" w:lineRule="exact"/>
              <w:jc w:val="center"/>
              <w:rPr>
                <w:rStyle w:val="20"/>
                <w:rFonts w:hint="eastAsia" w:ascii="宋体" w:hAnsi="宋体" w:cs="宋体"/>
                <w:b/>
                <w:bCs w:val="0"/>
                <w:color w:val="000000"/>
                <w:sz w:val="21"/>
                <w:szCs w:val="21"/>
              </w:rPr>
            </w:pPr>
            <w:r>
              <w:rPr>
                <w:rFonts w:hint="eastAsia" w:ascii="宋体" w:hAnsi="宋体" w:cs="宋体"/>
                <w:b/>
                <w:bCs w:val="0"/>
                <w:color w:val="000000"/>
                <w:sz w:val="21"/>
                <w:szCs w:val="21"/>
              </w:rPr>
              <w:t>验收条件</w:t>
            </w:r>
          </w:p>
        </w:tc>
        <w:tc>
          <w:tcPr>
            <w:tcW w:w="6523" w:type="dxa"/>
            <w:shd w:val="clear" w:color="auto" w:fill="auto"/>
            <w:noWrap w:val="0"/>
            <w:vAlign w:val="center"/>
          </w:tcPr>
          <w:p>
            <w:pPr>
              <w:widowControl w:val="0"/>
              <w:spacing w:line="360" w:lineRule="exact"/>
              <w:jc w:val="left"/>
              <w:rPr>
                <w:rFonts w:hint="eastAsia" w:ascii="宋体" w:hAnsi="宋体" w:eastAsia="宋体" w:cs="宋体"/>
                <w:color w:val="000000"/>
                <w:kern w:val="2"/>
                <w:sz w:val="21"/>
                <w:szCs w:val="21"/>
                <w:lang w:val="en-US" w:eastAsia="zh-CN" w:bidi="ar-SA"/>
              </w:rPr>
            </w:pPr>
            <w:r>
              <w:rPr>
                <w:rFonts w:hint="eastAsia" w:ascii="Calibri" w:hAnsi="Calibri" w:eastAsia="宋体" w:cstheme="minorBidi"/>
                <w:kern w:val="2"/>
                <w:sz w:val="21"/>
                <w:szCs w:val="21"/>
                <w:lang w:eastAsia="zh-CN"/>
              </w:rPr>
              <w:t>3</w:t>
            </w:r>
            <w:r>
              <w:rPr>
                <w:rFonts w:ascii="Calibri" w:hAnsi="Calibri" w:eastAsia="宋体" w:cstheme="minorBidi"/>
                <w:kern w:val="2"/>
                <w:sz w:val="21"/>
                <w:szCs w:val="21"/>
                <w:lang w:eastAsia="zh-CN"/>
              </w:rPr>
              <w:t>.1.投标人货物经过双方检验认可后，签署验收报告，产品保修期自验收合格之日起算，由投标人提供产品保修文件。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840" w:type="dxa"/>
            <w:vMerge w:val="continue"/>
            <w:noWrap w:val="0"/>
            <w:vAlign w:val="center"/>
          </w:tcPr>
          <w:p>
            <w:pPr>
              <w:widowControl w:val="0"/>
              <w:spacing w:line="360" w:lineRule="exact"/>
              <w:jc w:val="left"/>
            </w:pPr>
          </w:p>
        </w:tc>
        <w:tc>
          <w:tcPr>
            <w:tcW w:w="1457" w:type="dxa"/>
            <w:vMerge w:val="continue"/>
            <w:noWrap w:val="0"/>
            <w:vAlign w:val="center"/>
          </w:tcPr>
          <w:p>
            <w:pPr>
              <w:widowControl w:val="0"/>
              <w:spacing w:line="360" w:lineRule="exact"/>
              <w:jc w:val="left"/>
            </w:pPr>
          </w:p>
        </w:tc>
        <w:tc>
          <w:tcPr>
            <w:tcW w:w="6523" w:type="dxa"/>
            <w:shd w:val="clear" w:color="auto" w:fill="auto"/>
            <w:noWrap w:val="0"/>
            <w:vAlign w:val="center"/>
          </w:tcPr>
          <w:p>
            <w:pPr>
              <w:widowControl w:val="0"/>
              <w:spacing w:line="360" w:lineRule="exact"/>
              <w:jc w:val="left"/>
              <w:rPr>
                <w:rFonts w:hint="eastAsia" w:ascii="Calibri" w:hAnsi="Calibri" w:eastAsia="宋体" w:cstheme="minorBidi"/>
                <w:kern w:val="2"/>
                <w:sz w:val="21"/>
                <w:szCs w:val="21"/>
                <w:lang w:eastAsia="zh-CN"/>
              </w:rPr>
            </w:pPr>
            <w:r>
              <w:rPr>
                <w:rFonts w:hint="eastAsia" w:ascii="Calibri" w:hAnsi="Calibri" w:eastAsia="宋体" w:cstheme="minorBidi"/>
                <w:kern w:val="2"/>
                <w:sz w:val="21"/>
                <w:szCs w:val="21"/>
                <w:lang w:eastAsia="zh-CN"/>
              </w:rPr>
              <w:t>3</w:t>
            </w:r>
            <w:r>
              <w:rPr>
                <w:rFonts w:ascii="Calibri" w:hAnsi="Calibri" w:eastAsia="宋体" w:cstheme="minorBidi"/>
                <w:kern w:val="2"/>
                <w:sz w:val="21"/>
                <w:szCs w:val="21"/>
                <w:lang w:eastAsia="zh-CN"/>
              </w:rPr>
              <w:t>.2.当满足以下条件时，采购人才向</w:t>
            </w:r>
            <w:r>
              <w:rPr>
                <w:rFonts w:hint="eastAsia" w:ascii="Calibri" w:hAnsi="Calibri" w:eastAsia="宋体" w:cstheme="minorBidi"/>
                <w:kern w:val="2"/>
                <w:sz w:val="21"/>
                <w:szCs w:val="21"/>
                <w:lang w:eastAsia="zh-CN"/>
              </w:rPr>
              <w:t>中标（成交）</w:t>
            </w:r>
            <w:r>
              <w:rPr>
                <w:rFonts w:ascii="Calibri" w:hAnsi="Calibri" w:eastAsia="宋体" w:cstheme="minorBidi"/>
                <w:kern w:val="2"/>
                <w:sz w:val="21"/>
                <w:szCs w:val="21"/>
                <w:lang w:eastAsia="zh-CN"/>
              </w:rPr>
              <w:t>人签发货物验收报告：</w:t>
            </w:r>
            <w:r>
              <w:rPr>
                <w:rFonts w:ascii="Calibri" w:hAnsi="Calibri" w:eastAsia="宋体" w:cstheme="minorBidi"/>
                <w:kern w:val="2"/>
                <w:sz w:val="21"/>
                <w:szCs w:val="21"/>
                <w:lang w:eastAsia="zh-CN"/>
              </w:rPr>
              <w:br w:type="textWrapping"/>
            </w:r>
            <w:r>
              <w:rPr>
                <w:rFonts w:hint="eastAsia" w:ascii="Calibri" w:hAnsi="Calibri" w:eastAsia="宋体" w:cstheme="minorBidi"/>
                <w:kern w:val="2"/>
                <w:sz w:val="21"/>
                <w:szCs w:val="21"/>
                <w:lang w:eastAsia="zh-CN"/>
              </w:rPr>
              <w:t>3.</w:t>
            </w:r>
            <w:r>
              <w:rPr>
                <w:rFonts w:ascii="Calibri" w:hAnsi="Calibri" w:eastAsia="宋体" w:cstheme="minorBidi"/>
                <w:kern w:val="2"/>
                <w:sz w:val="21"/>
                <w:szCs w:val="21"/>
                <w:lang w:eastAsia="zh-CN"/>
              </w:rPr>
              <w:t>2.1.</w:t>
            </w:r>
            <w:r>
              <w:rPr>
                <w:rFonts w:hint="eastAsia" w:ascii="Calibri" w:hAnsi="Calibri" w:eastAsia="宋体" w:cstheme="minorBidi"/>
                <w:kern w:val="2"/>
                <w:sz w:val="21"/>
                <w:szCs w:val="21"/>
                <w:lang w:eastAsia="zh-CN"/>
              </w:rPr>
              <w:t>中标（成交）</w:t>
            </w:r>
            <w:r>
              <w:rPr>
                <w:rFonts w:ascii="Calibri" w:hAnsi="Calibri" w:eastAsia="宋体" w:cstheme="minorBidi"/>
                <w:kern w:val="2"/>
                <w:sz w:val="21"/>
                <w:szCs w:val="21"/>
                <w:lang w:eastAsia="zh-CN"/>
              </w:rPr>
              <w:t>人已按照合同规定提供了全部产品及完整的技术资料。</w:t>
            </w:r>
            <w:r>
              <w:rPr>
                <w:rFonts w:ascii="Calibri" w:hAnsi="Calibri" w:eastAsia="宋体" w:cstheme="minorBidi"/>
                <w:kern w:val="2"/>
                <w:sz w:val="21"/>
                <w:szCs w:val="21"/>
                <w:lang w:eastAsia="zh-CN"/>
              </w:rPr>
              <w:br w:type="textWrapping"/>
            </w:r>
            <w:r>
              <w:rPr>
                <w:rFonts w:hint="eastAsia" w:ascii="Calibri" w:hAnsi="Calibri" w:eastAsia="宋体" w:cstheme="minorBidi"/>
                <w:kern w:val="2"/>
                <w:sz w:val="21"/>
                <w:szCs w:val="21"/>
                <w:lang w:eastAsia="zh-CN"/>
              </w:rPr>
              <w:t>3</w:t>
            </w:r>
            <w:r>
              <w:rPr>
                <w:rFonts w:ascii="Calibri" w:hAnsi="Calibri" w:eastAsia="宋体" w:cstheme="minorBidi"/>
                <w:kern w:val="2"/>
                <w:sz w:val="21"/>
                <w:szCs w:val="21"/>
                <w:lang w:eastAsia="zh-CN"/>
              </w:rPr>
              <w:t>.2.2.货物符合招标文件技术规格书的要求，性能满足要求。</w:t>
            </w:r>
            <w:r>
              <w:rPr>
                <w:rFonts w:ascii="Calibri" w:hAnsi="Calibri" w:eastAsia="宋体" w:cstheme="minorBidi"/>
                <w:kern w:val="2"/>
                <w:sz w:val="21"/>
                <w:szCs w:val="21"/>
                <w:lang w:eastAsia="zh-CN"/>
              </w:rPr>
              <w:br w:type="textWrapping"/>
            </w:r>
            <w:r>
              <w:rPr>
                <w:rFonts w:hint="eastAsia" w:ascii="Calibri" w:hAnsi="Calibri" w:eastAsia="宋体" w:cstheme="minorBidi"/>
                <w:kern w:val="2"/>
                <w:sz w:val="21"/>
                <w:szCs w:val="21"/>
                <w:lang w:eastAsia="zh-CN"/>
              </w:rPr>
              <w:t>3</w:t>
            </w:r>
            <w:r>
              <w:rPr>
                <w:rFonts w:ascii="Calibri" w:hAnsi="Calibri" w:eastAsia="宋体" w:cstheme="minorBidi"/>
                <w:kern w:val="2"/>
                <w:sz w:val="21"/>
                <w:szCs w:val="21"/>
                <w:lang w:eastAsia="zh-CN"/>
              </w:rP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1"/>
                <w:szCs w:val="21"/>
                <w:lang w:val="en-US" w:eastAsia="zh-CN"/>
              </w:rPr>
            </w:pPr>
            <w:r>
              <w:rPr>
                <w:rFonts w:hint="eastAsia" w:ascii="宋体" w:hAnsi="宋体"/>
                <w:b/>
                <w:bCs w:val="0"/>
                <w:sz w:val="21"/>
                <w:szCs w:val="21"/>
                <w:lang w:val="en-US" w:eastAsia="zh-CN"/>
              </w:rPr>
              <w:t>4</w:t>
            </w:r>
          </w:p>
        </w:tc>
        <w:tc>
          <w:tcPr>
            <w:tcW w:w="1457" w:type="dxa"/>
            <w:noWrap w:val="0"/>
            <w:vAlign w:val="center"/>
          </w:tcPr>
          <w:p>
            <w:pPr>
              <w:spacing w:line="360" w:lineRule="exact"/>
              <w:jc w:val="center"/>
              <w:rPr>
                <w:rStyle w:val="20"/>
                <w:rFonts w:hint="eastAsia" w:ascii="宋体" w:hAnsi="宋体" w:cs="宋体"/>
                <w:b/>
                <w:bCs w:val="0"/>
                <w:color w:val="000000"/>
                <w:sz w:val="21"/>
                <w:szCs w:val="21"/>
              </w:rPr>
            </w:pPr>
            <w:r>
              <w:rPr>
                <w:rFonts w:hint="eastAsia" w:ascii="宋体" w:hAnsi="宋体" w:cs="宋体"/>
                <w:b/>
                <w:bCs w:val="0"/>
                <w:color w:val="000000"/>
                <w:sz w:val="21"/>
                <w:szCs w:val="21"/>
              </w:rPr>
              <w:t>争议解决方法</w:t>
            </w:r>
          </w:p>
        </w:tc>
        <w:tc>
          <w:tcPr>
            <w:tcW w:w="6523" w:type="dxa"/>
            <w:noWrap w:val="0"/>
            <w:vAlign w:val="center"/>
          </w:tcPr>
          <w:p>
            <w:pPr>
              <w:widowControl w:val="0"/>
              <w:jc w:val="left"/>
              <w:rPr>
                <w:rFonts w:ascii="宋体" w:hAnsi="宋体" w:eastAsia="宋体" w:cs="宋体"/>
                <w:color w:val="FFFFFF"/>
                <w:kern w:val="2"/>
                <w:sz w:val="21"/>
                <w:szCs w:val="21"/>
                <w:lang w:eastAsia="zh-CN"/>
              </w:rPr>
            </w:pPr>
            <w:r>
              <w:rPr>
                <w:rFonts w:hint="eastAsia" w:ascii="宋体" w:hAnsi="宋体" w:eastAsia="宋体" w:cs="宋体"/>
                <w:kern w:val="2"/>
                <w:sz w:val="21"/>
                <w:szCs w:val="21"/>
                <w:lang w:eastAsia="zh-CN"/>
              </w:rPr>
              <w:t>4.1.凡因执行项目合同所发生的或与本合同有关的一切争议，双方应通过友好协商解决。</w:t>
            </w:r>
          </w:p>
          <w:p>
            <w:pPr>
              <w:spacing w:line="360" w:lineRule="exact"/>
              <w:rPr>
                <w:rFonts w:hint="eastAsia" w:ascii="宋体" w:hAnsi="宋体" w:cs="宋体"/>
                <w:color w:val="000000"/>
                <w:sz w:val="21"/>
                <w:szCs w:val="21"/>
                <w:lang w:val="en-US" w:eastAsia="zh-CN"/>
              </w:rPr>
            </w:pPr>
            <w:r>
              <w:rPr>
                <w:rFonts w:hint="eastAsia" w:ascii="宋体" w:hAnsi="宋体" w:eastAsia="宋体" w:cs="宋体"/>
                <w:kern w:val="2"/>
                <w:sz w:val="21"/>
                <w:szCs w:val="21"/>
                <w:lang w:eastAsia="zh-CN"/>
              </w:rPr>
              <w:t>如果协商还不能解决，应提交深圳仲裁委员会，按其仲裁规则和程序在深圳进行仲裁。仲裁裁决应为最终裁决，对双方均具有约束力。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5</w:t>
            </w:r>
          </w:p>
        </w:tc>
        <w:tc>
          <w:tcPr>
            <w:tcW w:w="1457" w:type="dxa"/>
            <w:noWrap w:val="0"/>
            <w:vAlign w:val="center"/>
          </w:tcPr>
          <w:p>
            <w:pPr>
              <w:spacing w:line="360" w:lineRule="exact"/>
              <w:jc w:val="center"/>
              <w:rPr>
                <w:rFonts w:ascii="宋体" w:hAnsi="宋体"/>
                <w:color w:val="000000"/>
                <w:sz w:val="21"/>
                <w:szCs w:val="21"/>
              </w:rPr>
            </w:pPr>
            <w:r>
              <w:rPr>
                <w:rStyle w:val="20"/>
                <w:rFonts w:hint="eastAsia" w:ascii="宋体" w:hAnsi="宋体" w:cs="宋体"/>
                <w:color w:val="000000"/>
                <w:sz w:val="21"/>
                <w:szCs w:val="21"/>
              </w:rPr>
              <w:t>运输、安装条件</w:t>
            </w:r>
          </w:p>
        </w:tc>
        <w:tc>
          <w:tcPr>
            <w:tcW w:w="6523" w:type="dxa"/>
            <w:noWrap w:val="0"/>
            <w:vAlign w:val="center"/>
          </w:tcPr>
          <w:p>
            <w:pPr>
              <w:spacing w:line="360" w:lineRule="exact"/>
              <w:rPr>
                <w:rFonts w:ascii="宋体" w:hAnsi="宋体"/>
                <w:bCs/>
                <w:color w:val="000000"/>
                <w:sz w:val="21"/>
                <w:szCs w:val="21"/>
              </w:rPr>
            </w:pPr>
            <w:r>
              <w:rPr>
                <w:rFonts w:hint="eastAsia" w:ascii="宋体" w:hAnsi="宋体" w:cs="宋体"/>
                <w:color w:val="000000"/>
                <w:sz w:val="21"/>
                <w:szCs w:val="21"/>
                <w:lang w:val="en-US" w:eastAsia="zh-CN"/>
              </w:rPr>
              <w:t>5</w:t>
            </w:r>
            <w:r>
              <w:rPr>
                <w:rFonts w:hint="eastAsia" w:ascii="宋体" w:hAnsi="宋体" w:cs="宋体"/>
                <w:color w:val="000000"/>
                <w:sz w:val="21"/>
                <w:szCs w:val="21"/>
              </w:rPr>
              <w:t>.1 投标供应商须在签订合同之日起 3</w:t>
            </w:r>
            <w:r>
              <w:rPr>
                <w:rFonts w:hint="eastAsia" w:ascii="宋体" w:hAnsi="宋体" w:cs="宋体"/>
                <w:color w:val="000000"/>
                <w:sz w:val="21"/>
                <w:szCs w:val="21"/>
                <w:lang w:val="en-US" w:eastAsia="zh-CN"/>
              </w:rPr>
              <w:t>0</w:t>
            </w:r>
            <w:r>
              <w:rPr>
                <w:rFonts w:hint="eastAsia" w:ascii="宋体" w:hAnsi="宋体" w:cs="宋体"/>
                <w:color w:val="000000"/>
                <w:sz w:val="21"/>
                <w:szCs w:val="21"/>
              </w:rPr>
              <w:t>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6</w:t>
            </w:r>
          </w:p>
        </w:tc>
        <w:tc>
          <w:tcPr>
            <w:tcW w:w="1457" w:type="dxa"/>
            <w:vMerge w:val="restart"/>
            <w:noWrap w:val="0"/>
            <w:vAlign w:val="center"/>
          </w:tcPr>
          <w:p>
            <w:pPr>
              <w:spacing w:line="360" w:lineRule="exact"/>
              <w:jc w:val="center"/>
              <w:rPr>
                <w:rFonts w:ascii="宋体" w:hAnsi="宋体"/>
                <w:b/>
                <w:sz w:val="21"/>
                <w:szCs w:val="21"/>
              </w:rPr>
            </w:pPr>
            <w:r>
              <w:rPr>
                <w:rFonts w:ascii="宋体" w:hAnsi="宋体"/>
                <w:b/>
                <w:sz w:val="21"/>
                <w:szCs w:val="21"/>
              </w:rPr>
              <w:t>培训</w:t>
            </w:r>
          </w:p>
        </w:tc>
        <w:tc>
          <w:tcPr>
            <w:tcW w:w="6523" w:type="dxa"/>
            <w:noWrap w:val="0"/>
            <w:vAlign w:val="top"/>
          </w:tcPr>
          <w:p>
            <w:pPr>
              <w:widowControl/>
              <w:jc w:val="left"/>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1"/>
                <w:szCs w:val="21"/>
              </w:rPr>
            </w:pPr>
          </w:p>
        </w:tc>
        <w:tc>
          <w:tcPr>
            <w:tcW w:w="1457" w:type="dxa"/>
            <w:vMerge w:val="continue"/>
            <w:noWrap w:val="0"/>
            <w:vAlign w:val="center"/>
          </w:tcPr>
          <w:p>
            <w:pPr>
              <w:spacing w:line="360" w:lineRule="exact"/>
              <w:rPr>
                <w:rFonts w:ascii="宋体" w:hAnsi="宋体"/>
                <w:b/>
                <w:sz w:val="21"/>
                <w:szCs w:val="21"/>
              </w:rPr>
            </w:pPr>
          </w:p>
        </w:tc>
        <w:tc>
          <w:tcPr>
            <w:tcW w:w="6523" w:type="dxa"/>
            <w:noWrap w:val="0"/>
            <w:vAlign w:val="top"/>
          </w:tcPr>
          <w:p>
            <w:pPr>
              <w:widowControl/>
              <w:jc w:val="left"/>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7</w:t>
            </w:r>
          </w:p>
        </w:tc>
        <w:tc>
          <w:tcPr>
            <w:tcW w:w="1457" w:type="dxa"/>
            <w:vMerge w:val="restart"/>
            <w:noWrap w:val="0"/>
            <w:vAlign w:val="center"/>
          </w:tcPr>
          <w:p>
            <w:pPr>
              <w:spacing w:line="360" w:lineRule="exact"/>
              <w:jc w:val="center"/>
              <w:rPr>
                <w:rFonts w:ascii="宋体" w:hAnsi="宋体"/>
                <w:b/>
                <w:sz w:val="21"/>
                <w:szCs w:val="21"/>
              </w:rPr>
            </w:pPr>
            <w:r>
              <w:rPr>
                <w:rFonts w:ascii="宋体" w:hAnsi="宋体"/>
                <w:b/>
                <w:sz w:val="21"/>
                <w:szCs w:val="21"/>
              </w:rPr>
              <w:t>知识产权</w:t>
            </w:r>
          </w:p>
        </w:tc>
        <w:tc>
          <w:tcPr>
            <w:tcW w:w="6523" w:type="dxa"/>
            <w:noWrap w:val="0"/>
            <w:vAlign w:val="top"/>
          </w:tcPr>
          <w:p>
            <w:pPr>
              <w:rPr>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.1涉及采购标的的知识产权归属、处理的，</w:t>
            </w:r>
            <w:r>
              <w:rPr>
                <w:rFonts w:hint="eastAsia" w:ascii="宋体" w:hAnsi="宋体" w:cs="宋体"/>
                <w:color w:val="000000"/>
                <w:sz w:val="21"/>
                <w:szCs w:val="21"/>
                <w:lang w:val="en-US" w:eastAsia="zh-CN"/>
              </w:rPr>
              <w:t>应</w:t>
            </w:r>
            <w:r>
              <w:rPr>
                <w:rFonts w:hint="eastAsia" w:ascii="宋体" w:hAnsi="宋体" w:cs="宋体"/>
                <w:color w:val="000000"/>
                <w:sz w:val="21"/>
                <w:szCs w:val="21"/>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1"/>
                <w:szCs w:val="21"/>
              </w:rPr>
            </w:pPr>
          </w:p>
        </w:tc>
        <w:tc>
          <w:tcPr>
            <w:tcW w:w="1457" w:type="dxa"/>
            <w:vMerge w:val="continue"/>
            <w:noWrap w:val="0"/>
            <w:vAlign w:val="center"/>
          </w:tcPr>
          <w:p>
            <w:pPr>
              <w:spacing w:line="360" w:lineRule="exact"/>
              <w:rPr>
                <w:rFonts w:ascii="宋体" w:hAnsi="宋体"/>
                <w:b/>
                <w:sz w:val="21"/>
                <w:szCs w:val="21"/>
              </w:rPr>
            </w:pPr>
          </w:p>
        </w:tc>
        <w:tc>
          <w:tcPr>
            <w:tcW w:w="6523" w:type="dxa"/>
            <w:noWrap w:val="0"/>
            <w:vAlign w:val="top"/>
          </w:tcPr>
          <w:p>
            <w:pPr>
              <w:widowControl/>
              <w:jc w:val="left"/>
              <w:rPr>
                <w:rFonts w:ascii="宋体" w:hAnsi="宋体" w:cs="宋体"/>
                <w:color w:val="000000"/>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1"/>
                <w:szCs w:val="21"/>
                <w:lang w:eastAsia="zh-CN"/>
              </w:rPr>
            </w:pPr>
            <w:r>
              <w:rPr>
                <w:rFonts w:hint="eastAsia"/>
                <w:b/>
                <w:sz w:val="21"/>
                <w:szCs w:val="21"/>
                <w:lang w:val="en-US" w:eastAsia="zh-CN"/>
              </w:rPr>
              <w:t>8</w:t>
            </w:r>
          </w:p>
        </w:tc>
        <w:tc>
          <w:tcPr>
            <w:tcW w:w="1457" w:type="dxa"/>
            <w:noWrap w:val="0"/>
            <w:vAlign w:val="center"/>
          </w:tcPr>
          <w:p>
            <w:pPr>
              <w:spacing w:line="360" w:lineRule="exact"/>
              <w:jc w:val="center"/>
              <w:rPr>
                <w:rFonts w:ascii="宋体" w:hAnsi="宋体"/>
                <w:b/>
                <w:color w:val="auto"/>
                <w:sz w:val="21"/>
                <w:szCs w:val="21"/>
              </w:rPr>
            </w:pPr>
            <w:r>
              <w:rPr>
                <w:rFonts w:ascii="宋体" w:hAnsi="宋体"/>
                <w:b/>
                <w:color w:val="auto"/>
                <w:sz w:val="21"/>
                <w:szCs w:val="21"/>
              </w:rPr>
              <w:t>其他</w:t>
            </w:r>
          </w:p>
        </w:tc>
        <w:tc>
          <w:tcPr>
            <w:tcW w:w="6523" w:type="dxa"/>
            <w:noWrap w:val="0"/>
            <w:vAlign w:val="center"/>
          </w:tcPr>
          <w:p>
            <w:pPr>
              <w:widowControl/>
              <w:jc w:val="both"/>
              <w:rPr>
                <w:rFonts w:hint="eastAsia" w:ascii="宋体" w:hAnsi="宋体" w:cs="宋体"/>
                <w:color w:val="auto"/>
                <w:sz w:val="21"/>
                <w:szCs w:val="21"/>
              </w:rPr>
            </w:pPr>
            <w:r>
              <w:rPr>
                <w:rFonts w:hint="eastAsia" w:ascii="宋体" w:hAnsi="宋体" w:cs="宋体"/>
                <w:color w:val="auto"/>
                <w:sz w:val="21"/>
                <w:szCs w:val="21"/>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vMerge w:val="restart"/>
            <w:noWrap w:val="0"/>
            <w:vAlign w:val="center"/>
          </w:tcPr>
          <w:p>
            <w:pPr>
              <w:spacing w:line="360" w:lineRule="exact"/>
              <w:jc w:val="center"/>
              <w:rPr>
                <w:rFonts w:hint="default"/>
                <w:b/>
                <w:sz w:val="21"/>
                <w:szCs w:val="21"/>
                <w:lang w:val="en-US" w:eastAsia="zh-CN"/>
              </w:rPr>
            </w:pPr>
            <w:r>
              <w:rPr>
                <w:rFonts w:hint="eastAsia"/>
                <w:b/>
                <w:sz w:val="21"/>
                <w:szCs w:val="21"/>
                <w:lang w:val="en-US" w:eastAsia="zh-CN"/>
              </w:rPr>
              <w:t>9</w:t>
            </w:r>
          </w:p>
        </w:tc>
        <w:tc>
          <w:tcPr>
            <w:tcW w:w="1457" w:type="dxa"/>
            <w:vMerge w:val="restart"/>
            <w:noWrap w:val="0"/>
            <w:vAlign w:val="center"/>
          </w:tcPr>
          <w:p>
            <w:pPr>
              <w:spacing w:line="360" w:lineRule="exact"/>
              <w:jc w:val="center"/>
              <w:rPr>
                <w:rFonts w:ascii="宋体" w:hAnsi="宋体" w:eastAsia="宋体" w:cs="Times New Roman"/>
                <w:b/>
                <w:color w:val="auto"/>
                <w:kern w:val="2"/>
                <w:sz w:val="21"/>
                <w:szCs w:val="21"/>
                <w:lang w:val="en-US" w:eastAsia="zh-CN" w:bidi="ar-SA"/>
              </w:rPr>
            </w:pPr>
            <w:r>
              <w:rPr>
                <w:rFonts w:hint="eastAsia" w:ascii="宋体" w:hAnsi="宋体" w:eastAsia="宋体" w:cs="宋体"/>
                <w:b/>
                <w:bCs w:val="0"/>
                <w:color w:val="auto"/>
                <w:sz w:val="21"/>
                <w:szCs w:val="21"/>
              </w:rPr>
              <w:t>项目要求</w:t>
            </w:r>
          </w:p>
        </w:tc>
        <w:tc>
          <w:tcPr>
            <w:tcW w:w="6523" w:type="dxa"/>
            <w:noWrap w:val="0"/>
            <w:vAlign w:val="top"/>
          </w:tcPr>
          <w:p>
            <w:pPr>
              <w:widowControl/>
              <w:jc w:val="left"/>
              <w:rPr>
                <w:rFonts w:hint="eastAsia" w:ascii="宋体" w:hAnsi="宋体" w:eastAsia="宋体" w:cs="Arial"/>
                <w:bCs w:val="0"/>
                <w:color w:val="auto"/>
                <w:kern w:val="2"/>
                <w:sz w:val="21"/>
                <w:szCs w:val="21"/>
                <w:lang w:val="en-US" w:eastAsia="zh-CN" w:bidi="ar-SA"/>
              </w:rPr>
            </w:pPr>
            <w:r>
              <w:rPr>
                <w:rFonts w:hint="eastAsia" w:ascii="宋体" w:hAnsi="宋体" w:eastAsia="宋体" w:cs="Arial"/>
                <w:color w:val="auto"/>
                <w:kern w:val="2"/>
                <w:sz w:val="21"/>
                <w:szCs w:val="21"/>
                <w:lang w:eastAsia="zh-CN"/>
              </w:rPr>
              <w:t>8.1中标（成交）供应商在签订合同时应提供投标文件打印稿贰份，并加盖公章（一份交给监理公司，一份交给学校），同时提供投标文件的OFFICE文档。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vMerge w:val="continue"/>
            <w:noWrap w:val="0"/>
            <w:vAlign w:val="center"/>
          </w:tcPr>
          <w:p>
            <w:pPr>
              <w:spacing w:line="360" w:lineRule="exact"/>
              <w:jc w:val="center"/>
              <w:rPr>
                <w:rFonts w:hint="eastAsia"/>
                <w:b/>
                <w:sz w:val="21"/>
                <w:szCs w:val="21"/>
                <w:u w:val="single"/>
                <w:lang w:val="en-US" w:eastAsia="zh-CN"/>
              </w:rPr>
            </w:pPr>
          </w:p>
        </w:tc>
        <w:tc>
          <w:tcPr>
            <w:tcW w:w="1457" w:type="dxa"/>
            <w:vMerge w:val="continue"/>
            <w:noWrap w:val="0"/>
            <w:vAlign w:val="center"/>
          </w:tcPr>
          <w:p>
            <w:pPr>
              <w:spacing w:line="360" w:lineRule="exact"/>
              <w:jc w:val="center"/>
              <w:rPr>
                <w:rFonts w:hint="eastAsia" w:ascii="宋体" w:hAnsi="宋体" w:eastAsia="宋体" w:cs="宋体"/>
                <w:b/>
                <w:color w:val="auto"/>
                <w:sz w:val="21"/>
                <w:szCs w:val="21"/>
                <w:u w:val="single"/>
              </w:rPr>
            </w:pPr>
          </w:p>
        </w:tc>
        <w:tc>
          <w:tcPr>
            <w:tcW w:w="6523" w:type="dxa"/>
            <w:noWrap w:val="0"/>
            <w:vAlign w:val="top"/>
          </w:tcPr>
          <w:p>
            <w:pPr>
              <w:widowControl/>
              <w:jc w:val="left"/>
              <w:rPr>
                <w:rFonts w:hint="eastAsia" w:ascii="宋体" w:hAnsi="宋体" w:eastAsia="宋体" w:cs="宋体"/>
                <w:b/>
                <w:color w:val="auto"/>
                <w:sz w:val="21"/>
                <w:szCs w:val="21"/>
                <w:highlight w:val="yellow"/>
                <w:u w:val="single"/>
              </w:rPr>
            </w:pPr>
            <w:r>
              <w:rPr>
                <w:rFonts w:hint="eastAsia" w:ascii="宋体" w:hAnsi="宋体" w:eastAsia="宋体" w:cs="Arial"/>
                <w:color w:val="auto"/>
                <w:kern w:val="2"/>
                <w:sz w:val="21"/>
                <w:szCs w:val="21"/>
                <w:lang w:eastAsia="zh-CN"/>
              </w:rPr>
              <w:t>8.2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vMerge w:val="continue"/>
            <w:noWrap w:val="0"/>
            <w:vAlign w:val="center"/>
          </w:tcPr>
          <w:p>
            <w:pPr>
              <w:spacing w:line="360" w:lineRule="exact"/>
              <w:jc w:val="center"/>
              <w:rPr>
                <w:rFonts w:hint="eastAsia"/>
                <w:b/>
                <w:sz w:val="21"/>
                <w:szCs w:val="21"/>
                <w:lang w:val="en-US" w:eastAsia="zh-CN"/>
              </w:rPr>
            </w:pPr>
          </w:p>
        </w:tc>
        <w:tc>
          <w:tcPr>
            <w:tcW w:w="1457" w:type="dxa"/>
            <w:vMerge w:val="continue"/>
            <w:noWrap w:val="0"/>
            <w:vAlign w:val="center"/>
          </w:tcPr>
          <w:p>
            <w:pPr>
              <w:spacing w:line="360" w:lineRule="exact"/>
              <w:jc w:val="center"/>
              <w:rPr>
                <w:rFonts w:hint="eastAsia" w:ascii="宋体" w:hAnsi="宋体" w:eastAsia="宋体" w:cs="宋体"/>
                <w:b/>
                <w:color w:val="auto"/>
                <w:sz w:val="21"/>
                <w:szCs w:val="21"/>
              </w:rPr>
            </w:pPr>
          </w:p>
        </w:tc>
        <w:tc>
          <w:tcPr>
            <w:tcW w:w="6523" w:type="dxa"/>
            <w:noWrap w:val="0"/>
            <w:vAlign w:val="top"/>
          </w:tcPr>
          <w:p>
            <w:pPr>
              <w:widowControl/>
              <w:jc w:val="left"/>
              <w:rPr>
                <w:rFonts w:hint="eastAsia" w:ascii="宋体" w:hAnsi="宋体" w:eastAsia="宋体" w:cs="宋体"/>
                <w:b/>
                <w:color w:val="auto"/>
                <w:sz w:val="21"/>
                <w:szCs w:val="21"/>
                <w:highlight w:val="yellow"/>
              </w:rPr>
            </w:pPr>
            <w:r>
              <w:rPr>
                <w:rFonts w:hint="eastAsia" w:ascii="宋体" w:hAnsi="宋体" w:eastAsia="宋体" w:cs="Arial"/>
                <w:color w:val="auto"/>
                <w:kern w:val="2"/>
                <w:sz w:val="21"/>
                <w:szCs w:val="21"/>
                <w:lang w:eastAsia="zh-CN"/>
              </w:rPr>
              <w:t>8.3投标商必须确保中标（成交）后提供的货物为正规渠道供货，不存在违反国家法律、法规的情况。</w:t>
            </w:r>
          </w:p>
        </w:tc>
      </w:tr>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七</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3"/>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26"/>
          <w:sz w:val="24"/>
        </w:rPr>
      </w:pPr>
      <w:r>
        <w:rPr>
          <w:rStyle w:val="2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）绿色采购情况</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）项目组织实施方案的评价；</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宋体" w:hAnsi="宋体" w:eastAsia="宋体" w:cs="宋体"/>
          <w:color w:val="030405"/>
          <w:kern w:val="0"/>
          <w:sz w:val="21"/>
          <w:szCs w:val="21"/>
          <w:lang w:bidi="ar"/>
        </w:rPr>
        <w:t>售后服务评价</w:t>
      </w:r>
      <w:r>
        <w:rPr>
          <w:rFonts w:hint="eastAsia" w:ascii="宋体" w:hAnsi="宋体" w:eastAsia="宋体" w:cs="宋体"/>
          <w:color w:val="030405"/>
          <w:kern w:val="0"/>
          <w:sz w:val="21"/>
          <w:szCs w:val="21"/>
          <w:lang w:eastAsia="zh-CN" w:bidi="ar"/>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投标人认为需要加以说明的其他内容</w:t>
      </w:r>
      <w:r>
        <w:rPr>
          <w:rFonts w:hint="eastAsia"/>
          <w:szCs w:val="21"/>
          <w:lang w:eastAsia="zh-CN"/>
        </w:rPr>
        <w:t>；</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JYCG-DECL-2025-29363</w:t>
            </w: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作弊防控管理平台</w:t>
            </w:r>
          </w:p>
        </w:tc>
        <w:tc>
          <w:tcPr>
            <w:tcW w:w="703" w:type="dxa"/>
            <w:vAlign w:val="center"/>
          </w:tcPr>
          <w:p>
            <w:pPr>
              <w:widowControl/>
              <w:jc w:val="center"/>
              <w:textAlignment w:val="center"/>
              <w:rPr>
                <w:rFonts w:hint="eastAsia"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468000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高科技屏蔽终端</w:t>
            </w:r>
            <w:r>
              <w:rPr>
                <w:rFonts w:hint="eastAsia"/>
              </w:rPr>
              <w:t>（含信号屏蔽器）</w:t>
            </w:r>
          </w:p>
        </w:tc>
        <w:tc>
          <w:tcPr>
            <w:tcW w:w="703" w:type="dxa"/>
            <w:vAlign w:val="center"/>
          </w:tcPr>
          <w:p>
            <w:pPr>
              <w:widowControl/>
              <w:jc w:val="center"/>
              <w:textAlignment w:val="center"/>
              <w:rPr>
                <w:rFonts w:hint="eastAsia"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4</w:t>
            </w:r>
            <w:r>
              <w:rPr>
                <w:rFonts w:ascii="宋体" w:hAnsi="宋体" w:cs="宋体"/>
                <w:color w:val="000000"/>
                <w:szCs w:val="21"/>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 w:val="22"/>
              </w:rPr>
              <w:t>身份验证终端</w:t>
            </w:r>
          </w:p>
        </w:tc>
        <w:tc>
          <w:tcPr>
            <w:tcW w:w="703" w:type="dxa"/>
            <w:vAlign w:val="center"/>
          </w:tcPr>
          <w:p>
            <w:pPr>
              <w:widowControl/>
              <w:jc w:val="center"/>
              <w:textAlignment w:val="center"/>
              <w:rPr>
                <w:rFonts w:hint="eastAsia"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2</w:t>
            </w:r>
            <w:r>
              <w:rPr>
                <w:rFonts w:ascii="宋体" w:hAnsi="宋体" w:cs="宋体"/>
                <w:color w:val="000000"/>
                <w:szCs w:val="21"/>
              </w:rPr>
              <w:t>7</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身份验证终端支架</w:t>
            </w:r>
          </w:p>
        </w:tc>
        <w:tc>
          <w:tcPr>
            <w:tcW w:w="703" w:type="dxa"/>
            <w:vAlign w:val="center"/>
          </w:tcPr>
          <w:p>
            <w:pPr>
              <w:widowControl/>
              <w:jc w:val="center"/>
              <w:textAlignment w:val="center"/>
              <w:rPr>
                <w:rFonts w:hint="eastAsia"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2</w:t>
            </w:r>
            <w:r>
              <w:rPr>
                <w:rFonts w:ascii="宋体" w:hAnsi="宋体" w:cs="宋体"/>
                <w:color w:val="000000"/>
                <w:szCs w:val="21"/>
              </w:rPr>
              <w:t>7</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金属探测仪</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3</w:t>
            </w:r>
            <w:r>
              <w:rPr>
                <w:rFonts w:ascii="宋体" w:hAnsi="宋体" w:cs="宋体"/>
                <w:color w:val="000000"/>
                <w:szCs w:val="21"/>
              </w:rPr>
              <w:t>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szCs w:val="21"/>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szCs w:val="21"/>
              </w:rPr>
              <w:t>充电柜</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1</w:t>
            </w:r>
          </w:p>
        </w:tc>
        <w:tc>
          <w:tcPr>
            <w:tcW w:w="427"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szCs w:val="21"/>
              </w:rPr>
              <w:t>网线</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Times New Roman" w:hAnsi="Times New Roman" w:eastAsia="宋体" w:cs="Times New Roman"/>
                <w:bCs/>
                <w:szCs w:val="21"/>
              </w:rPr>
            </w:pPr>
            <w:r>
              <w:rPr>
                <w:rFonts w:ascii="宋体" w:hAnsi="宋体" w:cs="宋体"/>
                <w:color w:val="000000"/>
                <w:szCs w:val="21"/>
              </w:rPr>
              <w:t>17</w:t>
            </w:r>
          </w:p>
        </w:tc>
        <w:tc>
          <w:tcPr>
            <w:tcW w:w="427"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箱</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szCs w:val="21"/>
              </w:rPr>
              <w:t>电源线</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1</w:t>
            </w:r>
            <w:r>
              <w:rPr>
                <w:rFonts w:ascii="宋体" w:hAnsi="宋体" w:cs="宋体"/>
                <w:color w:val="000000"/>
                <w:szCs w:val="21"/>
              </w:rPr>
              <w:t>200</w:t>
            </w:r>
          </w:p>
        </w:tc>
        <w:tc>
          <w:tcPr>
            <w:tcW w:w="427"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line="240" w:lineRule="auto"/>
              <w:jc w:val="center"/>
              <w:textAlignment w:val="center"/>
              <w:rPr>
                <w:rFonts w:hint="eastAsia" w:ascii="宋体" w:hAnsi="宋体" w:eastAsia="宋体" w:cs="Times New Roman"/>
                <w:bCs/>
                <w:szCs w:val="21"/>
              </w:rPr>
            </w:pPr>
            <w:r>
              <w:rPr>
                <w:rStyle w:val="38"/>
                <w:sz w:val="21"/>
                <w:szCs w:val="21"/>
                <w:lang w:val="en-US" w:eastAsia="zh-CN" w:bidi="ar"/>
              </w:rPr>
              <w:t>线槽</w:t>
            </w:r>
            <w:r>
              <w:rPr>
                <w:rStyle w:val="38"/>
                <w:rFonts w:hint="eastAsia"/>
                <w:sz w:val="21"/>
                <w:szCs w:val="21"/>
                <w:lang w:val="en-US" w:eastAsia="zh-CN" w:bidi="ar"/>
              </w:rPr>
              <w:t>1</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Times New Roman" w:hAnsi="Times New Roman" w:eastAsia="宋体" w:cs="Times New Roman"/>
                <w:bCs/>
                <w:szCs w:val="21"/>
              </w:rPr>
            </w:pPr>
            <w:r>
              <w:rPr>
                <w:rFonts w:ascii="宋体" w:hAnsi="宋体" w:cs="宋体"/>
                <w:color w:val="000000"/>
                <w:szCs w:val="21"/>
              </w:rPr>
              <w:t>400</w:t>
            </w:r>
          </w:p>
        </w:tc>
        <w:tc>
          <w:tcPr>
            <w:tcW w:w="427"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line="240" w:lineRule="auto"/>
              <w:jc w:val="center"/>
              <w:textAlignment w:val="center"/>
              <w:rPr>
                <w:rFonts w:hint="eastAsia" w:ascii="宋体" w:hAnsi="宋体" w:eastAsia="宋体" w:cs="Times New Roman"/>
                <w:bCs/>
                <w:szCs w:val="21"/>
              </w:rPr>
            </w:pPr>
            <w:r>
              <w:rPr>
                <w:rStyle w:val="38"/>
                <w:sz w:val="21"/>
                <w:szCs w:val="21"/>
                <w:lang w:val="en-US" w:eastAsia="zh-CN" w:bidi="ar"/>
              </w:rPr>
              <w:t>线槽</w:t>
            </w:r>
            <w:r>
              <w:rPr>
                <w:rStyle w:val="38"/>
                <w:rFonts w:hint="eastAsia"/>
                <w:sz w:val="21"/>
                <w:szCs w:val="21"/>
                <w:lang w:val="en-US" w:eastAsia="zh-CN" w:bidi="ar"/>
              </w:rPr>
              <w:t>2</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Times New Roman" w:hAnsi="Times New Roman" w:eastAsia="宋体" w:cs="Times New Roman"/>
                <w:bCs/>
                <w:szCs w:val="21"/>
              </w:rPr>
            </w:pPr>
            <w:r>
              <w:rPr>
                <w:rFonts w:ascii="宋体" w:hAnsi="宋体" w:cs="宋体"/>
                <w:color w:val="000000"/>
                <w:szCs w:val="21"/>
              </w:rPr>
              <w:t>350</w:t>
            </w:r>
          </w:p>
        </w:tc>
        <w:tc>
          <w:tcPr>
            <w:tcW w:w="427"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line="240" w:lineRule="auto"/>
              <w:jc w:val="center"/>
              <w:textAlignment w:val="center"/>
              <w:rPr>
                <w:rFonts w:hint="eastAsia" w:ascii="宋体" w:hAnsi="宋体" w:eastAsia="宋体" w:cs="Times New Roman"/>
                <w:bCs/>
                <w:szCs w:val="21"/>
              </w:rPr>
            </w:pPr>
            <w:r>
              <w:rPr>
                <w:rStyle w:val="38"/>
                <w:sz w:val="21"/>
                <w:szCs w:val="21"/>
                <w:lang w:val="en-US" w:eastAsia="zh-CN" w:bidi="ar"/>
              </w:rPr>
              <w:t>线管</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Times New Roman" w:hAnsi="Times New Roman" w:eastAsia="宋体" w:cs="Times New Roman"/>
                <w:bCs/>
                <w:szCs w:val="21"/>
              </w:rPr>
            </w:pPr>
            <w:r>
              <w:rPr>
                <w:rFonts w:ascii="宋体" w:hAnsi="宋体" w:cs="宋体"/>
                <w:color w:val="000000"/>
                <w:szCs w:val="21"/>
              </w:rPr>
              <w:t>350</w:t>
            </w:r>
          </w:p>
        </w:tc>
        <w:tc>
          <w:tcPr>
            <w:tcW w:w="427"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hint="eastAsia" w:ascii="宋体" w:hAnsi="宋体" w:eastAsia="宋体" w:cs="Times New Roman"/>
                <w:bCs/>
                <w:szCs w:val="21"/>
              </w:rPr>
            </w:pPr>
            <w:r>
              <w:rPr>
                <w:rFonts w:hint="eastAsia" w:ascii="宋体" w:hAnsi="宋体" w:cs="宋体"/>
                <w:color w:val="000000"/>
                <w:szCs w:val="21"/>
              </w:rPr>
              <w:t>插排</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2</w:t>
            </w:r>
            <w:r>
              <w:rPr>
                <w:rFonts w:ascii="宋体" w:hAnsi="宋体" w:cs="宋体"/>
                <w:color w:val="000000"/>
                <w:szCs w:val="21"/>
              </w:rPr>
              <w:t>7</w:t>
            </w:r>
          </w:p>
        </w:tc>
        <w:tc>
          <w:tcPr>
            <w:tcW w:w="427"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numPr>
                <w:ilvl w:val="0"/>
                <w:numId w:val="2"/>
              </w:numPr>
              <w:ind w:left="425" w:leftChars="0" w:hanging="425" w:firstLineChars="0"/>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hint="eastAsia" w:ascii="宋体" w:hAnsi="宋体" w:eastAsia="宋体" w:cs="Times New Roman"/>
                <w:bCs/>
                <w:szCs w:val="21"/>
              </w:rPr>
            </w:pPr>
            <w:r>
              <w:rPr>
                <w:rFonts w:hint="eastAsia" w:ascii="宋体" w:hAnsi="宋体" w:cs="宋体"/>
                <w:color w:val="000000"/>
                <w:szCs w:val="21"/>
              </w:rPr>
              <w:t>辅材辅料</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1</w:t>
            </w:r>
          </w:p>
        </w:tc>
        <w:tc>
          <w:tcPr>
            <w:tcW w:w="427" w:type="dxa"/>
            <w:vAlign w:val="center"/>
          </w:tcPr>
          <w:p>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szCs w:val="21"/>
              </w:rPr>
              <w:t>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numPr>
          <w:ilvl w:val="0"/>
          <w:numId w:val="3"/>
        </w:numPr>
        <w:jc w:val="center"/>
        <w:outlineLvl w:val="2"/>
        <w:rPr>
          <w:rFonts w:hint="eastAsia" w:ascii="黑体" w:hAnsi="宋体" w:eastAsia="黑体" w:cstheme="minorBidi"/>
          <w:b w:val="0"/>
          <w:bCs/>
          <w:kern w:val="2"/>
          <w:sz w:val="24"/>
          <w:szCs w:val="32"/>
          <w:lang w:val="en-US" w:eastAsia="zh-CN" w:bidi="ar-SA"/>
        </w:rPr>
      </w:pPr>
      <w:r>
        <w:rPr>
          <w:rFonts w:hint="eastAsia" w:ascii="黑体" w:hAnsi="宋体" w:eastAsia="黑体" w:cstheme="minorBidi"/>
          <w:b w:val="0"/>
          <w:bCs/>
          <w:kern w:val="2"/>
          <w:sz w:val="24"/>
          <w:szCs w:val="32"/>
          <w:lang w:val="en-US" w:eastAsia="zh-CN" w:bidi="ar-SA"/>
        </w:rPr>
        <w:t>经验评价</w:t>
      </w:r>
    </w:p>
    <w:p>
      <w:pPr>
        <w:numPr>
          <w:ilvl w:val="0"/>
          <w:numId w:val="0"/>
        </w:numPr>
        <w:jc w:val="both"/>
        <w:outlineLvl w:val="9"/>
        <w:rPr>
          <w:rFonts w:hint="eastAsia" w:ascii="黑体" w:hAnsi="宋体" w:eastAsia="黑体" w:cstheme="minorBidi"/>
          <w:b w:val="0"/>
          <w:bCs/>
          <w:kern w:val="2"/>
          <w:sz w:val="24"/>
          <w:szCs w:val="32"/>
          <w:lang w:val="en-US" w:eastAsia="zh-CN" w:bidi="ar-SA"/>
        </w:rPr>
      </w:pP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3"/>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3"/>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pPr w:leftFromText="180" w:rightFromText="180" w:vertAnchor="text" w:horzAnchor="page" w:tblpX="1628" w:tblpY="254"/>
        <w:tblOverlap w:val="never"/>
        <w:tblW w:w="9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785"/>
        <w:gridCol w:w="5683"/>
        <w:gridCol w:w="915"/>
        <w:gridCol w:w="720"/>
        <w:gridCol w:w="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86" w:type="dxa"/>
            <w:vAlign w:val="center"/>
          </w:tcPr>
          <w:p>
            <w:pPr>
              <w:spacing w:line="240" w:lineRule="auto"/>
              <w:jc w:val="center"/>
              <w:rPr>
                <w:color w:val="000000" w:themeColor="text1"/>
                <w:sz w:val="21"/>
                <w:szCs w:val="21"/>
              </w:rPr>
            </w:pPr>
            <w:bookmarkStart w:id="65" w:name="_Hlk72095977"/>
            <w:r>
              <w:rPr>
                <w:color w:val="000000" w:themeColor="text1"/>
                <w:sz w:val="21"/>
                <w:szCs w:val="21"/>
              </w:rPr>
              <w:t>序号</w:t>
            </w:r>
          </w:p>
        </w:tc>
        <w:tc>
          <w:tcPr>
            <w:tcW w:w="785" w:type="dxa"/>
            <w:vAlign w:val="center"/>
          </w:tcPr>
          <w:p>
            <w:pPr>
              <w:widowControl/>
              <w:spacing w:line="240" w:lineRule="auto"/>
              <w:jc w:val="center"/>
              <w:rPr>
                <w:color w:val="000000" w:themeColor="text1"/>
                <w:sz w:val="21"/>
                <w:szCs w:val="21"/>
              </w:rPr>
            </w:pPr>
            <w:r>
              <w:rPr>
                <w:color w:val="000000" w:themeColor="text1"/>
                <w:sz w:val="21"/>
                <w:szCs w:val="21"/>
              </w:rPr>
              <w:t>货物名称</w:t>
            </w:r>
          </w:p>
        </w:tc>
        <w:tc>
          <w:tcPr>
            <w:tcW w:w="5683" w:type="dxa"/>
            <w:vAlign w:val="center"/>
          </w:tcPr>
          <w:p>
            <w:pPr>
              <w:spacing w:line="240" w:lineRule="auto"/>
              <w:jc w:val="center"/>
              <w:rPr>
                <w:color w:val="000000" w:themeColor="text1"/>
                <w:sz w:val="21"/>
                <w:szCs w:val="21"/>
              </w:rPr>
            </w:pPr>
            <w:r>
              <w:rPr>
                <w:rFonts w:hint="eastAsia"/>
                <w:color w:val="000000" w:themeColor="text1"/>
                <w:sz w:val="21"/>
                <w:szCs w:val="21"/>
              </w:rPr>
              <w:t>招标</w:t>
            </w:r>
            <w:r>
              <w:rPr>
                <w:color w:val="000000" w:themeColor="text1"/>
                <w:sz w:val="21"/>
                <w:szCs w:val="21"/>
              </w:rPr>
              <w:t>技术要求</w:t>
            </w:r>
          </w:p>
        </w:tc>
        <w:tc>
          <w:tcPr>
            <w:tcW w:w="915" w:type="dxa"/>
            <w:vAlign w:val="center"/>
          </w:tcPr>
          <w:p>
            <w:pPr>
              <w:jc w:val="center"/>
              <w:rPr>
                <w:rFonts w:hint="eastAsia"/>
                <w:color w:val="000000" w:themeColor="text1"/>
                <w:sz w:val="21"/>
                <w:szCs w:val="21"/>
              </w:rPr>
            </w:pPr>
            <w:r>
              <w:rPr>
                <w:rFonts w:hint="eastAsia"/>
                <w:sz w:val="24"/>
              </w:rPr>
              <w:t>投标技术响应</w:t>
            </w:r>
          </w:p>
        </w:tc>
        <w:tc>
          <w:tcPr>
            <w:tcW w:w="720" w:type="dxa"/>
            <w:vAlign w:val="center"/>
          </w:tcPr>
          <w:p>
            <w:pPr>
              <w:jc w:val="center"/>
              <w:rPr>
                <w:rFonts w:hint="eastAsia"/>
                <w:color w:val="000000" w:themeColor="text1"/>
                <w:sz w:val="21"/>
                <w:szCs w:val="21"/>
              </w:rPr>
            </w:pPr>
            <w:r>
              <w:rPr>
                <w:rFonts w:hint="eastAsia"/>
                <w:sz w:val="24"/>
              </w:rPr>
              <w:t>偏离情况</w:t>
            </w:r>
          </w:p>
        </w:tc>
        <w:tc>
          <w:tcPr>
            <w:tcW w:w="523" w:type="dxa"/>
            <w:vAlign w:val="center"/>
          </w:tcPr>
          <w:p>
            <w:pPr>
              <w:jc w:val="center"/>
              <w:rPr>
                <w:rFonts w:hint="eastAsia"/>
                <w:color w:val="000000" w:themeColor="text1"/>
                <w:sz w:val="2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w:t>
            </w:r>
          </w:p>
        </w:tc>
        <w:tc>
          <w:tcPr>
            <w:tcW w:w="785" w:type="dxa"/>
            <w:vMerge w:val="restart"/>
            <w:vAlign w:val="center"/>
          </w:tcPr>
          <w:p>
            <w:pPr>
              <w:keepNext w:val="0"/>
              <w:keepLines w:val="0"/>
              <w:widowControl/>
              <w:suppressLineNumbers w:val="0"/>
              <w:spacing w:line="240" w:lineRule="auto"/>
              <w:jc w:val="center"/>
              <w:textAlignment w:val="center"/>
              <w:rPr>
                <w:rFonts w:hint="eastAsia" w:eastAsiaTheme="minorEastAsia"/>
                <w:color w:val="000000" w:themeColor="text1"/>
                <w:sz w:val="21"/>
                <w:szCs w:val="21"/>
                <w:lang w:eastAsia="zh-CN"/>
              </w:rPr>
            </w:pPr>
            <w:r>
              <w:rPr>
                <w:rStyle w:val="38"/>
                <w:sz w:val="21"/>
                <w:szCs w:val="21"/>
                <w:lang w:val="en-US" w:eastAsia="zh-CN" w:bidi="ar"/>
              </w:rPr>
              <w:t>作弊防控管理平台</w:t>
            </w: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hint="eastAsia" w:ascii="宋体" w:hAnsi="宋体" w:cs="宋体"/>
                <w:bCs/>
                <w:color w:val="auto"/>
                <w:sz w:val="21"/>
                <w:szCs w:val="21"/>
              </w:rPr>
              <w:t>▲</w:t>
            </w:r>
            <w:r>
              <w:rPr>
                <w:rFonts w:ascii="宋体" w:hAnsi="宋体" w:eastAsia="宋体" w:cs="宋体"/>
                <w:bCs/>
                <w:color w:val="000000"/>
                <w:kern w:val="2"/>
                <w:sz w:val="21"/>
                <w:szCs w:val="21"/>
                <w:lang w:val="en-US" w:eastAsia="zh-CN" w:bidi="ar-SA"/>
              </w:rPr>
              <w:t>1.</w:t>
            </w:r>
            <w:r>
              <w:rPr>
                <w:rFonts w:hint="eastAsia" w:ascii="宋体" w:hAnsi="宋体" w:eastAsia="宋体" w:cs="宋体"/>
                <w:bCs/>
                <w:color w:val="000000"/>
                <w:sz w:val="21"/>
                <w:szCs w:val="21"/>
              </w:rPr>
              <w:t>登录安全机制：</w:t>
            </w:r>
            <w:r>
              <w:rPr>
                <w:rFonts w:ascii="宋体" w:hAnsi="宋体" w:eastAsia="宋体" w:cs="宋体"/>
                <w:bCs/>
                <w:color w:val="000000"/>
                <w:sz w:val="21"/>
                <w:szCs w:val="21"/>
              </w:rPr>
              <w:t>设置密码输入错误次数上限，达到上限后将短时间内禁止登录。</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cs="宋体"/>
                <w:bCs/>
                <w:color w:val="auto"/>
                <w:sz w:val="21"/>
                <w:szCs w:val="21"/>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cs="宋体"/>
                <w:bCs/>
                <w:color w:val="auto"/>
                <w:sz w:val="21"/>
                <w:szCs w:val="21"/>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ascii="宋体" w:hAnsi="宋体" w:eastAsia="宋体" w:cs="宋体"/>
                <w:bCs/>
                <w:color w:val="000000"/>
                <w:kern w:val="2"/>
                <w:sz w:val="21"/>
                <w:szCs w:val="21"/>
                <w:lang w:val="en-US" w:eastAsia="zh-CN" w:bidi="ar-SA"/>
              </w:rPr>
              <w:t>2.</w:t>
            </w:r>
            <w:r>
              <w:rPr>
                <w:rFonts w:hint="eastAsia" w:ascii="宋体" w:hAnsi="宋体" w:eastAsia="宋体" w:cs="宋体"/>
                <w:bCs/>
                <w:color w:val="000000"/>
                <w:sz w:val="21"/>
                <w:szCs w:val="21"/>
              </w:rPr>
              <w:t>作弊信号查看：</w:t>
            </w:r>
            <w:r>
              <w:rPr>
                <w:rFonts w:ascii="宋体" w:hAnsi="宋体" w:eastAsia="宋体" w:cs="宋体"/>
                <w:bCs/>
                <w:color w:val="000000"/>
                <w:sz w:val="21"/>
                <w:szCs w:val="21"/>
              </w:rPr>
              <w:t>可对考点作弊信号信息进行查看和回放。</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eastAsia="宋体"/>
                <w:sz w:val="21"/>
                <w:szCs w:val="21"/>
                <w:lang w:val="en-US" w:eastAsia="zh-CN"/>
              </w:rPr>
            </w:pPr>
            <w:r>
              <w:rPr>
                <w:rFonts w:ascii="宋体" w:hAnsi="宋体" w:eastAsia="宋体" w:cs="宋体"/>
                <w:bCs/>
                <w:color w:val="000000"/>
                <w:kern w:val="2"/>
                <w:sz w:val="21"/>
                <w:szCs w:val="21"/>
                <w:lang w:val="en-US" w:eastAsia="zh-CN" w:bidi="ar-SA"/>
              </w:rPr>
              <w:t>3.</w:t>
            </w:r>
            <w:r>
              <w:rPr>
                <w:rFonts w:hint="eastAsia" w:ascii="宋体" w:hAnsi="宋体" w:eastAsia="宋体" w:cs="宋体"/>
                <w:bCs/>
                <w:color w:val="000000"/>
                <w:sz w:val="21"/>
                <w:szCs w:val="21"/>
              </w:rPr>
              <w:t>作弊信号展示：</w:t>
            </w:r>
            <w:r>
              <w:rPr>
                <w:rFonts w:ascii="宋体" w:hAnsi="宋体" w:eastAsia="宋体" w:cs="宋体"/>
                <w:bCs/>
                <w:color w:val="000000"/>
                <w:sz w:val="21"/>
                <w:szCs w:val="21"/>
              </w:rPr>
              <w:t>可统计本次考试作弊信号频点分布情况并进行展示。</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rPr>
              <w:t>设备状态查看：</w:t>
            </w:r>
            <w:r>
              <w:rPr>
                <w:rFonts w:ascii="宋体" w:hAnsi="宋体" w:eastAsia="宋体" w:cs="宋体"/>
                <w:bCs/>
                <w:color w:val="000000"/>
                <w:sz w:val="21"/>
                <w:szCs w:val="21"/>
              </w:rPr>
              <w:t>可对系统设备的运行状态、开关状态、网络情况等信息进行查看。</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ascii="宋体" w:hAnsi="宋体" w:eastAsia="宋体" w:cs="宋体"/>
                <w:bCs/>
                <w:color w:val="000000"/>
                <w:kern w:val="2"/>
                <w:sz w:val="21"/>
                <w:szCs w:val="21"/>
                <w:lang w:val="en-US" w:eastAsia="zh-CN" w:bidi="ar-SA"/>
              </w:rPr>
              <w:t>5.</w:t>
            </w:r>
            <w:r>
              <w:rPr>
                <w:rFonts w:hint="eastAsia" w:ascii="宋体" w:hAnsi="宋体" w:eastAsia="宋体" w:cs="宋体"/>
                <w:bCs/>
                <w:color w:val="000000"/>
                <w:sz w:val="21"/>
                <w:szCs w:val="21"/>
              </w:rPr>
              <w:t>日志管理：</w:t>
            </w:r>
            <w:r>
              <w:rPr>
                <w:rFonts w:ascii="宋体" w:hAnsi="宋体" w:eastAsia="宋体" w:cs="宋体"/>
                <w:bCs/>
                <w:color w:val="000000"/>
                <w:sz w:val="21"/>
                <w:szCs w:val="21"/>
              </w:rPr>
              <w:t>可记录和管理关键日志，提供日志查询、浏览等管理功能。</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color w:val="000000" w:themeColor="text1"/>
                <w:sz w:val="21"/>
                <w:szCs w:val="21"/>
              </w:rPr>
            </w:pPr>
            <w:r>
              <w:rPr>
                <w:rFonts w:ascii="宋体" w:hAnsi="宋体" w:eastAsia="宋体" w:cs="宋体"/>
                <w:bCs/>
                <w:color w:val="000000"/>
                <w:kern w:val="2"/>
                <w:sz w:val="21"/>
                <w:szCs w:val="21"/>
                <w:lang w:val="en-US" w:eastAsia="zh-CN" w:bidi="ar-SA"/>
              </w:rPr>
              <w:t>6.</w:t>
            </w:r>
            <w:r>
              <w:rPr>
                <w:rFonts w:hint="eastAsia" w:ascii="宋体" w:hAnsi="宋体" w:eastAsia="宋体" w:cs="宋体"/>
                <w:bCs/>
                <w:color w:val="000000"/>
                <w:sz w:val="21"/>
                <w:szCs w:val="21"/>
              </w:rPr>
              <w:t>黑白名单：</w:t>
            </w:r>
            <w:r>
              <w:rPr>
                <w:rFonts w:ascii="宋体" w:hAnsi="宋体" w:eastAsia="宋体" w:cs="宋体"/>
                <w:bCs/>
                <w:color w:val="000000"/>
                <w:sz w:val="21"/>
                <w:szCs w:val="21"/>
              </w:rPr>
              <w:t>在专业作弊信号频段内，可任意设置黑白名单频点/频段。在黑名单频点/频段上作弊信号出现时优先发射阻断信号。在白名单频点/频段上不主动发射阻断信号，不干扰其正常通信。</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b/>
                <w:bCs/>
                <w:color w:val="000000" w:themeColor="text1"/>
                <w:sz w:val="21"/>
                <w:szCs w:val="21"/>
              </w:rPr>
            </w:pPr>
            <w:r>
              <w:rPr>
                <w:rFonts w:ascii="宋体" w:hAnsi="宋体" w:eastAsia="宋体" w:cs="宋体"/>
                <w:bCs/>
                <w:color w:val="000000"/>
                <w:kern w:val="2"/>
                <w:sz w:val="21"/>
                <w:szCs w:val="21"/>
                <w:lang w:val="en-US" w:eastAsia="zh-CN" w:bidi="ar-SA"/>
              </w:rPr>
              <w:t>7.</w:t>
            </w:r>
            <w:r>
              <w:rPr>
                <w:rFonts w:hint="eastAsia" w:ascii="宋体" w:hAnsi="宋体" w:eastAsia="宋体" w:cs="宋体"/>
                <w:bCs/>
                <w:color w:val="000000"/>
                <w:sz w:val="21"/>
                <w:szCs w:val="21"/>
              </w:rPr>
              <w:t>黑白名单同步：</w:t>
            </w:r>
            <w:r>
              <w:rPr>
                <w:rFonts w:ascii="宋体" w:hAnsi="宋体" w:eastAsia="宋体" w:cs="宋体"/>
                <w:bCs/>
                <w:color w:val="000000"/>
                <w:sz w:val="21"/>
                <w:szCs w:val="21"/>
              </w:rPr>
              <w:t>各级管理平台之间和黑白名单能够进行同步。</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8.</w:t>
            </w:r>
            <w:r>
              <w:rPr>
                <w:rFonts w:hint="eastAsia" w:ascii="宋体" w:hAnsi="宋体" w:eastAsia="宋体" w:cs="宋体"/>
                <w:bCs/>
                <w:color w:val="000000"/>
                <w:sz w:val="21"/>
                <w:szCs w:val="21"/>
              </w:rPr>
              <w:t>考试计划：</w:t>
            </w:r>
            <w:r>
              <w:rPr>
                <w:rFonts w:ascii="宋体" w:hAnsi="宋体" w:eastAsia="宋体" w:cs="宋体"/>
                <w:bCs/>
                <w:color w:val="000000"/>
                <w:sz w:val="21"/>
                <w:szCs w:val="21"/>
              </w:rPr>
              <w:t>可设置考试计划，在考试计划时间开始时系统自动进入工作状态，考试计划时间结束时系统自动停止工作，提供考前、考中及考后自动工作模式，实现无人值守式管理。</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9.</w:t>
            </w:r>
            <w:r>
              <w:rPr>
                <w:rFonts w:hint="eastAsia" w:ascii="宋体" w:hAnsi="宋体" w:eastAsia="宋体" w:cs="宋体"/>
                <w:bCs/>
                <w:color w:val="000000"/>
                <w:sz w:val="21"/>
                <w:szCs w:val="21"/>
              </w:rPr>
              <w:t>考试计划同步：</w:t>
            </w:r>
            <w:r>
              <w:rPr>
                <w:rFonts w:ascii="宋体" w:hAnsi="宋体" w:eastAsia="宋体" w:cs="宋体"/>
                <w:bCs/>
                <w:color w:val="000000"/>
                <w:sz w:val="21"/>
                <w:szCs w:val="21"/>
              </w:rPr>
              <w:t>考试计划能够集中管理，各级管理平台之间考试计划能够进行同步。</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10.</w:t>
            </w:r>
            <w:r>
              <w:rPr>
                <w:rFonts w:hint="eastAsia" w:ascii="宋体" w:hAnsi="宋体" w:eastAsia="宋体" w:cs="宋体"/>
                <w:bCs/>
                <w:color w:val="000000"/>
                <w:sz w:val="21"/>
                <w:szCs w:val="21"/>
              </w:rPr>
              <w:t>系统自检：</w:t>
            </w:r>
            <w:r>
              <w:rPr>
                <w:rFonts w:ascii="宋体" w:hAnsi="宋体" w:eastAsia="宋体" w:cs="宋体"/>
                <w:bCs/>
                <w:color w:val="000000"/>
                <w:sz w:val="21"/>
                <w:szCs w:val="21"/>
              </w:rPr>
              <w:t>可检测当前所辖设备的工作状态并输出自检结果信息。</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ascii="宋体" w:hAnsi="宋体" w:eastAsia="宋体" w:cs="宋体"/>
                <w:bCs/>
                <w:color w:val="000000"/>
                <w:kern w:val="2"/>
                <w:sz w:val="21"/>
                <w:szCs w:val="21"/>
                <w:lang w:val="en-US" w:eastAsia="zh-CN" w:bidi="ar-SA"/>
              </w:rPr>
              <w:t>11.</w:t>
            </w:r>
            <w:r>
              <w:rPr>
                <w:rFonts w:hint="eastAsia" w:ascii="宋体" w:hAnsi="宋体" w:eastAsia="宋体" w:cs="宋体"/>
                <w:bCs/>
                <w:color w:val="000000"/>
                <w:sz w:val="21"/>
                <w:szCs w:val="21"/>
              </w:rPr>
              <w:t>设备升级：</w:t>
            </w:r>
            <w:r>
              <w:rPr>
                <w:rFonts w:ascii="宋体" w:hAnsi="宋体" w:eastAsia="宋体" w:cs="宋体"/>
                <w:bCs/>
                <w:color w:val="000000"/>
                <w:sz w:val="21"/>
                <w:szCs w:val="21"/>
              </w:rPr>
              <w:t>可通过平台对侦测服务器、高科技屏蔽终端和作弊防控管理平台相关软件进行集中升级。</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cs="宋体"/>
                <w:bCs/>
                <w:color w:val="auto"/>
                <w:sz w:val="21"/>
                <w:szCs w:val="21"/>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cs="宋体"/>
                <w:bCs/>
                <w:color w:val="auto"/>
                <w:sz w:val="21"/>
                <w:szCs w:val="21"/>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12.</w:t>
            </w:r>
            <w:r>
              <w:rPr>
                <w:rFonts w:hint="eastAsia" w:ascii="宋体" w:hAnsi="宋体" w:eastAsia="宋体" w:cs="宋体"/>
                <w:bCs/>
                <w:color w:val="000000"/>
                <w:sz w:val="21"/>
                <w:szCs w:val="21"/>
              </w:rPr>
              <w:t>安全加密：</w:t>
            </w:r>
            <w:r>
              <w:rPr>
                <w:rFonts w:ascii="宋体" w:hAnsi="宋体" w:eastAsia="宋体" w:cs="宋体"/>
                <w:bCs/>
                <w:color w:val="000000"/>
                <w:sz w:val="21"/>
                <w:szCs w:val="21"/>
              </w:rPr>
              <w:t>作弊信号答案文件存储和传输时</w:t>
            </w:r>
            <w:r>
              <w:rPr>
                <w:rFonts w:hint="eastAsia" w:ascii="宋体" w:hAnsi="宋体" w:eastAsia="宋体" w:cs="宋体"/>
                <w:bCs/>
                <w:color w:val="000000"/>
                <w:sz w:val="21"/>
                <w:szCs w:val="21"/>
                <w:lang w:val="en-US" w:eastAsia="zh-CN"/>
              </w:rPr>
              <w:t>进行</w:t>
            </w:r>
            <w:r>
              <w:rPr>
                <w:rFonts w:ascii="宋体" w:hAnsi="宋体" w:eastAsia="宋体" w:cs="宋体"/>
                <w:bCs/>
                <w:color w:val="000000"/>
                <w:sz w:val="21"/>
                <w:szCs w:val="21"/>
              </w:rPr>
              <w:t>加密处理，文件脱离本系统后采用通用播放工具无法正确播放，保证涉密数据安全。</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13.</w:t>
            </w:r>
            <w:r>
              <w:rPr>
                <w:rFonts w:hint="eastAsia" w:ascii="宋体" w:hAnsi="宋体" w:eastAsia="宋体" w:cs="宋体"/>
                <w:bCs/>
                <w:color w:val="000000"/>
                <w:sz w:val="21"/>
                <w:szCs w:val="21"/>
              </w:rPr>
              <w:t>集中控制：</w:t>
            </w:r>
            <w:r>
              <w:rPr>
                <w:rFonts w:ascii="宋体" w:hAnsi="宋体" w:eastAsia="宋体" w:cs="宋体"/>
                <w:bCs/>
                <w:color w:val="000000"/>
                <w:sz w:val="21"/>
                <w:szCs w:val="21"/>
              </w:rPr>
              <w:t>支持对系统设备进行集中调试、查看和管理。</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14.</w:t>
            </w:r>
            <w:r>
              <w:rPr>
                <w:rFonts w:hint="eastAsia" w:ascii="宋体" w:hAnsi="宋体" w:eastAsia="宋体" w:cs="宋体"/>
                <w:bCs/>
                <w:color w:val="000000"/>
                <w:sz w:val="21"/>
                <w:szCs w:val="21"/>
              </w:rPr>
              <w:t>远程控制：</w:t>
            </w:r>
            <w:r>
              <w:rPr>
                <w:rFonts w:ascii="宋体" w:hAnsi="宋体" w:eastAsia="宋体" w:cs="宋体"/>
                <w:bCs/>
                <w:color w:val="000000"/>
                <w:sz w:val="21"/>
                <w:szCs w:val="21"/>
              </w:rPr>
              <w:t>支持侦测服务器和高科技屏蔽终端进行远程控制。</w:t>
            </w:r>
            <w:r>
              <w:rPr>
                <w:rFonts w:hint="eastAsia" w:ascii="宋体" w:hAnsi="宋体" w:eastAsia="宋体" w:cs="宋体"/>
                <w:bCs/>
                <w:color w:val="000000"/>
                <w:sz w:val="21"/>
                <w:szCs w:val="21"/>
              </w:rPr>
              <w:t>支持集中、分组、单台等多种方式对高科技屏蔽终端进行远程控制。</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ascii="宋体" w:hAnsi="宋体" w:eastAsia="宋体" w:cs="宋体"/>
                <w:bCs/>
                <w:color w:val="000000"/>
                <w:kern w:val="2"/>
                <w:sz w:val="21"/>
                <w:szCs w:val="21"/>
                <w:lang w:val="en-US" w:eastAsia="zh-CN" w:bidi="ar-SA"/>
              </w:rPr>
              <w:t>15.</w:t>
            </w:r>
            <w:r>
              <w:rPr>
                <w:rFonts w:hint="eastAsia" w:ascii="宋体" w:hAnsi="宋体" w:eastAsia="宋体" w:cs="宋体"/>
                <w:bCs/>
                <w:color w:val="000000"/>
                <w:sz w:val="21"/>
                <w:szCs w:val="21"/>
              </w:rPr>
              <w:t>输出报告：</w:t>
            </w:r>
            <w:r>
              <w:rPr>
                <w:rFonts w:ascii="宋体" w:hAnsi="宋体" w:eastAsia="宋体" w:cs="宋体"/>
                <w:bCs/>
                <w:color w:val="000000"/>
                <w:sz w:val="21"/>
                <w:szCs w:val="21"/>
              </w:rPr>
              <w:t xml:space="preserve">支持考试后自动生成系统工作报告。 </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ascii="宋体" w:hAnsi="宋体" w:eastAsia="宋体" w:cs="宋体"/>
                <w:bCs/>
                <w:color w:val="000000"/>
                <w:kern w:val="2"/>
                <w:sz w:val="21"/>
                <w:szCs w:val="21"/>
                <w:lang w:val="en-US" w:eastAsia="zh-CN" w:bidi="ar-SA"/>
              </w:rPr>
              <w:t>16.</w:t>
            </w:r>
            <w:r>
              <w:rPr>
                <w:rFonts w:hint="eastAsia" w:ascii="宋体" w:hAnsi="宋体" w:eastAsia="宋体" w:cs="宋体"/>
                <w:bCs/>
                <w:color w:val="000000"/>
                <w:sz w:val="21"/>
                <w:szCs w:val="21"/>
              </w:rPr>
              <w:t>系统备份：</w:t>
            </w:r>
            <w:r>
              <w:rPr>
                <w:rFonts w:ascii="宋体" w:hAnsi="宋体" w:eastAsia="宋体" w:cs="宋体"/>
                <w:bCs/>
                <w:color w:val="000000"/>
                <w:sz w:val="21"/>
                <w:szCs w:val="21"/>
              </w:rPr>
              <w:t>支持对系统关键信息进行备份。</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cs="宋体"/>
                <w:bCs/>
                <w:color w:val="auto"/>
                <w:sz w:val="21"/>
                <w:szCs w:val="21"/>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cs="宋体"/>
                <w:bCs/>
                <w:color w:val="auto"/>
                <w:sz w:val="21"/>
                <w:szCs w:val="21"/>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default" w:ascii="宋体" w:hAnsi="宋体" w:eastAsia="宋体" w:cs="宋体"/>
                <w:i w:val="0"/>
                <w:iCs w:val="0"/>
                <w:color w:val="FF0000"/>
                <w:kern w:val="0"/>
                <w:sz w:val="21"/>
                <w:szCs w:val="21"/>
                <w:u w:val="none"/>
                <w:lang w:val="en-US" w:eastAsia="zh-CN" w:bidi="ar"/>
              </w:rPr>
            </w:pPr>
            <w:r>
              <w:rPr>
                <w:rFonts w:ascii="宋体" w:hAnsi="宋体" w:eastAsia="宋体" w:cs="宋体"/>
                <w:bCs/>
                <w:color w:val="000000"/>
                <w:kern w:val="2"/>
                <w:sz w:val="21"/>
                <w:szCs w:val="21"/>
                <w:lang w:val="en-US" w:eastAsia="zh-CN" w:bidi="ar-SA"/>
              </w:rPr>
              <w:t>17.</w:t>
            </w:r>
            <w:r>
              <w:rPr>
                <w:rFonts w:hint="eastAsia" w:ascii="宋体" w:hAnsi="宋体" w:eastAsia="宋体" w:cs="宋体"/>
                <w:bCs/>
                <w:color w:val="000000"/>
                <w:sz w:val="21"/>
                <w:szCs w:val="21"/>
                <w:lang w:val="en-US" w:eastAsia="zh-CN"/>
              </w:rPr>
              <w:t>多级级联：平台可按照“省-市-区县-考点”的架构进行多级级联，可跨地市、多单位、远程联网集中统一控制。</w:t>
            </w:r>
          </w:p>
        </w:tc>
        <w:tc>
          <w:tcPr>
            <w:tcW w:w="915"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720"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c>
          <w:tcPr>
            <w:tcW w:w="523" w:type="dxa"/>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shd w:val="clear" w:color="auto" w:fill="auto"/>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bCs/>
                <w:color w:val="000000"/>
                <w:kern w:val="2"/>
                <w:sz w:val="21"/>
                <w:szCs w:val="21"/>
                <w:lang w:val="en-US" w:eastAsia="zh-CN" w:bidi="ar-SA"/>
              </w:rPr>
              <w:t>18</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与上级对接：</w:t>
            </w:r>
            <w:r>
              <w:rPr>
                <w:rFonts w:ascii="宋体" w:hAnsi="宋体" w:eastAsia="宋体" w:cs="宋体"/>
                <w:bCs/>
                <w:color w:val="000000"/>
                <w:sz w:val="21"/>
                <w:szCs w:val="21"/>
              </w:rPr>
              <w:t>可根据上级管理平台（如省级管理平台）的要求，开发数据接口，自动下载考试计划、黑白名单等，并上传作弊信号信息结果。</w:t>
            </w:r>
          </w:p>
        </w:tc>
        <w:tc>
          <w:tcPr>
            <w:tcW w:w="915" w:type="dxa"/>
            <w:shd w:val="clear" w:color="auto" w:fill="auto"/>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shd w:val="clear" w:color="auto" w:fill="auto"/>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shd w:val="clear" w:color="auto" w:fill="auto"/>
            <w:vAlign w:val="center"/>
          </w:tcPr>
          <w:p>
            <w:pPr>
              <w:pStyle w:val="33"/>
              <w:keepNext w:val="0"/>
              <w:keepLines w:val="0"/>
              <w:widowControl w:val="0"/>
              <w:numPr>
                <w:ilvl w:val="0"/>
                <w:numId w:val="0"/>
              </w:numPr>
              <w:suppressLineNumbers w:val="0"/>
              <w:tabs>
                <w:tab w:val="left" w:pos="288"/>
              </w:tabs>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bCs/>
                <w:color w:val="000000"/>
                <w:sz w:val="21"/>
                <w:szCs w:val="21"/>
                <w:lang w:val="en-US" w:eastAsia="zh-CN"/>
              </w:rPr>
              <w:t>19.</w:t>
            </w:r>
            <w:r>
              <w:rPr>
                <w:rFonts w:hint="eastAsia" w:ascii="宋体" w:hAnsi="宋体" w:eastAsia="宋体" w:cs="宋体"/>
                <w:bCs/>
                <w:color w:val="000000"/>
                <w:sz w:val="21"/>
                <w:szCs w:val="21"/>
              </w:rPr>
              <w:t>数据接口：</w:t>
            </w:r>
            <w:r>
              <w:rPr>
                <w:rFonts w:ascii="宋体" w:hAnsi="宋体" w:eastAsia="宋体" w:cs="宋体"/>
                <w:bCs/>
                <w:color w:val="000000"/>
                <w:sz w:val="21"/>
                <w:szCs w:val="21"/>
              </w:rPr>
              <w:t>RJ-45接口，支持与侦测服务器及高科技屏蔽终端组网。</w:t>
            </w:r>
          </w:p>
        </w:tc>
        <w:tc>
          <w:tcPr>
            <w:tcW w:w="915"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sz w:val="21"/>
                <w:szCs w:val="21"/>
                <w:lang w:val="en-US" w:eastAsia="zh-CN"/>
              </w:rPr>
            </w:pPr>
          </w:p>
        </w:tc>
        <w:tc>
          <w:tcPr>
            <w:tcW w:w="720"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sz w:val="21"/>
                <w:szCs w:val="21"/>
                <w:lang w:val="en-US" w:eastAsia="zh-CN"/>
              </w:rPr>
            </w:pPr>
          </w:p>
        </w:tc>
        <w:tc>
          <w:tcPr>
            <w:tcW w:w="523" w:type="dxa"/>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w:t>
            </w:r>
          </w:p>
        </w:tc>
        <w:tc>
          <w:tcPr>
            <w:tcW w:w="785"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高科技屏蔽终端</w:t>
            </w:r>
            <w:r>
              <w:rPr>
                <w:rFonts w:hint="eastAsia"/>
              </w:rPr>
              <w:t>（含信号屏蔽器）</w:t>
            </w: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20</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阻断工作频率范围：30MHz-5850MHz；</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ascii="宋体" w:hAnsi="宋体" w:eastAsia="宋体" w:cs="宋体"/>
                <w:bCs/>
                <w:color w:val="000000"/>
                <w:kern w:val="2"/>
                <w:sz w:val="21"/>
                <w:szCs w:val="21"/>
                <w:lang w:val="en-US" w:eastAsia="zh-CN" w:bidi="ar-SA"/>
              </w:rPr>
              <w:t>2</w:t>
            </w:r>
            <w:r>
              <w:rPr>
                <w:rFonts w:hint="eastAsia" w:ascii="宋体" w:hAnsi="宋体" w:eastAsia="宋体" w:cs="宋体"/>
                <w:bCs/>
                <w:color w:val="000000"/>
                <w:kern w:val="2"/>
                <w:sz w:val="21"/>
                <w:szCs w:val="21"/>
                <w:lang w:val="en-US" w:eastAsia="zh-CN" w:bidi="ar-SA"/>
              </w:rPr>
              <w:t>1</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侦测引导阻断频率范围：无缝覆盖30MHz-3000MHz（支持扩展）；</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22</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手机信号屏蔽：能够屏蔽电信、移动、联通的2G/3G/4G</w:t>
            </w:r>
            <w:r>
              <w:rPr>
                <w:rFonts w:ascii="宋体" w:hAnsi="宋体" w:eastAsia="宋体" w:cs="宋体"/>
                <w:bCs/>
                <w:color w:val="000000"/>
                <w:sz w:val="21"/>
                <w:szCs w:val="21"/>
              </w:rPr>
              <w:t>/5G</w:t>
            </w:r>
            <w:r>
              <w:rPr>
                <w:rFonts w:hint="eastAsia" w:ascii="宋体" w:hAnsi="宋体" w:eastAsia="宋体" w:cs="宋体"/>
                <w:bCs/>
                <w:color w:val="000000"/>
                <w:sz w:val="21"/>
                <w:szCs w:val="21"/>
              </w:rPr>
              <w:t>手机信号</w:t>
            </w:r>
            <w:r>
              <w:rPr>
                <w:rFonts w:hint="eastAsia"/>
                <w:color w:val="171717"/>
                <w:sz w:val="21"/>
                <w:szCs w:val="21"/>
              </w:rPr>
              <w:t>（*当地环境手机</w:t>
            </w:r>
            <w:r>
              <w:rPr>
                <w:color w:val="171717"/>
                <w:sz w:val="21"/>
                <w:szCs w:val="21"/>
              </w:rPr>
              <w:t>基站＞</w:t>
            </w:r>
            <w:r>
              <w:rPr>
                <w:rFonts w:hint="eastAsia"/>
                <w:color w:val="171717"/>
                <w:sz w:val="21"/>
                <w:szCs w:val="21"/>
              </w:rPr>
              <w:t>300米时，通过频谱仪测量的信号强度2</w:t>
            </w:r>
            <w:r>
              <w:rPr>
                <w:color w:val="171717"/>
                <w:sz w:val="21"/>
                <w:szCs w:val="21"/>
              </w:rPr>
              <w:t>G</w:t>
            </w:r>
            <w:r>
              <w:rPr>
                <w:rFonts w:hint="eastAsia"/>
                <w:color w:val="171717"/>
                <w:sz w:val="21"/>
                <w:szCs w:val="21"/>
              </w:rPr>
              <w:t>/</w:t>
            </w:r>
            <w:r>
              <w:rPr>
                <w:color w:val="171717"/>
                <w:sz w:val="21"/>
                <w:szCs w:val="21"/>
              </w:rPr>
              <w:t>3G</w:t>
            </w:r>
            <w:r>
              <w:rPr>
                <w:rFonts w:hint="eastAsia"/>
                <w:color w:val="171717"/>
                <w:sz w:val="21"/>
                <w:szCs w:val="21"/>
              </w:rPr>
              <w:t>/</w:t>
            </w:r>
            <w:r>
              <w:rPr>
                <w:color w:val="171717"/>
                <w:sz w:val="21"/>
                <w:szCs w:val="21"/>
              </w:rPr>
              <w:t>4G并保持在两分钟以上的</w:t>
            </w:r>
            <w:r>
              <w:rPr>
                <w:rFonts w:hint="eastAsia"/>
                <w:color w:val="171717"/>
                <w:sz w:val="21"/>
                <w:szCs w:val="21"/>
              </w:rPr>
              <w:t>最大值≤-65dBm，5</w:t>
            </w:r>
            <w:r>
              <w:rPr>
                <w:color w:val="171717"/>
                <w:sz w:val="21"/>
                <w:szCs w:val="21"/>
              </w:rPr>
              <w:t>G最大值≤-75dBm</w:t>
            </w:r>
            <w:r>
              <w:rPr>
                <w:rFonts w:hint="eastAsia"/>
                <w:color w:val="171717"/>
                <w:sz w:val="21"/>
                <w:szCs w:val="21"/>
              </w:rPr>
              <w:t>，</w:t>
            </w:r>
            <w:r>
              <w:rPr>
                <w:color w:val="171717"/>
                <w:sz w:val="21"/>
                <w:szCs w:val="21"/>
              </w:rPr>
              <w:t>可有效屏蔽</w:t>
            </w:r>
            <w:r>
              <w:rPr>
                <w:rFonts w:hint="eastAsia"/>
                <w:color w:val="171717"/>
                <w:sz w:val="21"/>
                <w:szCs w:val="21"/>
              </w:rPr>
              <w:t>）</w:t>
            </w:r>
            <w:r>
              <w:rPr>
                <w:rFonts w:hint="eastAsia" w:ascii="宋体" w:hAnsi="宋体" w:eastAsia="宋体" w:cs="宋体"/>
                <w:bCs/>
                <w:color w:val="000000"/>
                <w:sz w:val="21"/>
                <w:szCs w:val="21"/>
              </w:rPr>
              <w:t>；</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23</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蓝牙/WIFI信号屏蔽：能够屏蔽2400MHz-2483.5MHz（2.4G）蓝牙信号以及2400MHz-2483.5MHz（2.4G）、5725MHz-5850MHz（5.8G）WIFI信号；</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24</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阻断方式：对侦测引导阻断频率范围内的专业作弊信号，采用侦测引导阻断方式，对专业作弊信号实现点对点的精准阻断；对2G/3G/4G各种制式的手机信号和蓝牙/WIFI信号采用直接阻断方式；</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25</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智能绿色阻断控制：根据专业作弊信号的带宽、调制方式及功率等特征自动调整阻断信号带宽和功率，确保对作弊信号的有效阻断。根据作弊信号持续时间，自动调整屏蔽时长，减少非必要辐射，符合节能环保要求；</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hint="eastAsia" w:ascii="宋体" w:hAnsi="宋体" w:eastAsia="宋体" w:cs="宋体"/>
                <w:bCs/>
                <w:color w:val="000000"/>
                <w:kern w:val="2"/>
                <w:sz w:val="21"/>
                <w:szCs w:val="21"/>
                <w:lang w:val="en-US" w:eastAsia="zh-CN" w:bidi="ar-SA"/>
              </w:rPr>
              <w:t>26</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并发阻断：专业作弊信号（手机信号/WIFI/蓝牙信号通道除外）支持不少于22路并发阻断；</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auto"/>
                <w:kern w:val="2"/>
                <w:sz w:val="21"/>
                <w:szCs w:val="21"/>
                <w:lang w:val="en-US" w:eastAsia="zh-CN" w:bidi="ar-SA"/>
              </w:rPr>
              <w:t>27</w:t>
            </w:r>
            <w:r>
              <w:rPr>
                <w:rFonts w:ascii="宋体" w:hAnsi="宋体" w:eastAsia="宋体" w:cs="宋体"/>
                <w:bCs/>
                <w:color w:val="auto"/>
                <w:kern w:val="2"/>
                <w:sz w:val="21"/>
                <w:szCs w:val="21"/>
                <w:lang w:val="en-US" w:eastAsia="zh-CN" w:bidi="ar-SA"/>
              </w:rPr>
              <w:t>.</w:t>
            </w:r>
            <w:r>
              <w:rPr>
                <w:rFonts w:hint="eastAsia" w:ascii="宋体" w:hAnsi="宋体" w:eastAsia="宋体" w:cs="宋体"/>
                <w:bCs/>
                <w:color w:val="000000"/>
                <w:sz w:val="21"/>
                <w:szCs w:val="21"/>
              </w:rPr>
              <w:t>点频阻断：支持对专业作弊信号采用瞄准式点频精准阻断方式，阻断信号3dB带宽≤200KHz；</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auto"/>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auto"/>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hint="eastAsia" w:ascii="宋体" w:hAnsi="宋体" w:eastAsia="宋体" w:cs="宋体"/>
                <w:bCs/>
                <w:color w:val="000000"/>
                <w:kern w:val="2"/>
                <w:sz w:val="21"/>
                <w:szCs w:val="21"/>
                <w:lang w:val="en-US" w:eastAsia="zh-CN" w:bidi="ar-SA"/>
              </w:rPr>
              <w:t>28</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预设频点模式：无需侦测引导，可预置22路专业作弊干扰频点（手机信号/WIFI/蓝牙信号除外）进行</w:t>
            </w:r>
            <w:r>
              <w:rPr>
                <w:rFonts w:hint="eastAsia" w:ascii="宋体" w:hAnsi="宋体" w:eastAsia="宋体" w:cs="宋体"/>
                <w:bCs/>
                <w:color w:val="000000"/>
                <w:sz w:val="21"/>
                <w:szCs w:val="21"/>
                <w:lang w:val="en-US" w:eastAsia="zh-CN"/>
              </w:rPr>
              <w:t>持续</w:t>
            </w:r>
            <w:r>
              <w:rPr>
                <w:rFonts w:hint="eastAsia" w:ascii="宋体" w:hAnsi="宋体" w:eastAsia="宋体" w:cs="宋体"/>
                <w:bCs/>
                <w:color w:val="000000"/>
                <w:sz w:val="21"/>
                <w:szCs w:val="21"/>
              </w:rPr>
              <w:t>阻断；</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29</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专业作弊</w:t>
            </w:r>
            <w:r>
              <w:rPr>
                <w:rFonts w:ascii="宋体" w:hAnsi="宋体" w:eastAsia="宋体" w:cs="宋体"/>
                <w:bCs/>
                <w:color w:val="000000"/>
                <w:sz w:val="21"/>
                <w:szCs w:val="21"/>
              </w:rPr>
              <w:t>阻断效果</w:t>
            </w:r>
            <w:r>
              <w:rPr>
                <w:rFonts w:hint="eastAsia" w:ascii="宋体" w:hAnsi="宋体" w:eastAsia="宋体" w:cs="宋体"/>
                <w:bCs/>
                <w:color w:val="000000"/>
                <w:sz w:val="21"/>
                <w:szCs w:val="21"/>
              </w:rPr>
              <w:t>：具备数传作弊设备接收答案的远程清除功能；</w:t>
            </w:r>
            <w:r>
              <w:rPr>
                <w:rFonts w:ascii="宋体" w:hAnsi="宋体" w:eastAsia="宋体" w:cs="宋体"/>
                <w:bCs/>
                <w:color w:val="000000"/>
                <w:sz w:val="21"/>
                <w:szCs w:val="21"/>
              </w:rPr>
              <w:t xml:space="preserve"> </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30</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批量升级：支持通过考点级管理平台对高科技屏蔽终端软件进行一键式集中批量升级；</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31</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考试计划：可根据考点级管理平台的考试计划，在考试计划时间开始时系统自动进入工作状态，考试计划时间结束时系统自动停止工作，提供考前、考中及考后自动工作模式，实现无人值守式管理；也可支持手动操作；</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cs="宋体"/>
                <w:bCs/>
                <w:color w:val="auto"/>
                <w:sz w:val="21"/>
                <w:szCs w:val="21"/>
              </w:rPr>
              <w:t>▲</w:t>
            </w:r>
            <w:r>
              <w:rPr>
                <w:rFonts w:hint="eastAsia" w:ascii="宋体" w:hAnsi="宋体" w:eastAsia="宋体" w:cs="宋体"/>
                <w:bCs/>
                <w:color w:val="000000"/>
                <w:kern w:val="2"/>
                <w:sz w:val="21"/>
                <w:szCs w:val="21"/>
                <w:lang w:val="en-US" w:eastAsia="zh-CN" w:bidi="ar-SA"/>
              </w:rPr>
              <w:t>32</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温度监控：支持远程对设备的工作温度进行监控；</w:t>
            </w:r>
            <w:r>
              <w:rPr>
                <w:rStyle w:val="44"/>
                <w:rFonts w:hint="default"/>
                <w:sz w:val="21"/>
                <w:szCs w:val="21"/>
                <w:lang w:bidi="ar"/>
              </w:rPr>
              <w:t>（</w:t>
            </w:r>
            <w:r>
              <w:rPr>
                <w:rStyle w:val="44"/>
                <w:sz w:val="21"/>
                <w:szCs w:val="21"/>
                <w:lang w:bidi="ar"/>
              </w:rPr>
              <w:t>投标时提供：由第三方检验检测机构出具并加盖（或带有）CMA标志的检验检测报告扫描件，原件备查。注：对应参数（检验检测项）在检验检测报告中进行标注。如检验检测报告中明确备注说明相关检验检测项不在检验检测机构CMA资质许可（认定）范围内的，不符合招标文件要求。</w:t>
            </w:r>
            <w:r>
              <w:rPr>
                <w:rStyle w:val="44"/>
                <w:rFonts w:hint="default"/>
                <w:sz w:val="21"/>
                <w:szCs w:val="21"/>
                <w:lang w:bidi="ar"/>
              </w:rPr>
              <w:t>）</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33</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远程管理：支持通过考点级管理平台实现远程集中控制，可根据需要实现分组、单台设备的远程开关控制；可远程对工作模块进行开关控制；</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34</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状态上报：可向考点级管理平台上报设备工作状态、故障状态等信息；</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35</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扩展机制：设备具备扩展模块插槽，通过扩展模块可对系统功能和性能进行扩展升级；</w:t>
            </w:r>
            <w:r>
              <w:rPr>
                <w:rFonts w:ascii="宋体" w:hAnsi="宋体" w:eastAsia="宋体" w:cs="宋体"/>
                <w:bCs/>
                <w:color w:val="000000"/>
                <w:sz w:val="21"/>
                <w:szCs w:val="21"/>
              </w:rPr>
              <w:t xml:space="preserve"> </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r>
              <w:rPr>
                <w:rFonts w:hint="eastAsia" w:ascii="宋体" w:hAnsi="宋体" w:eastAsia="宋体" w:cs="宋体"/>
                <w:bCs/>
                <w:color w:val="000000"/>
                <w:kern w:val="2"/>
                <w:sz w:val="21"/>
                <w:szCs w:val="21"/>
                <w:lang w:val="en-US" w:eastAsia="zh-CN" w:bidi="ar-SA"/>
              </w:rPr>
              <w:t>36</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一体化设计：天线和电源内置，避免触电、烫伤等风险；</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r>
              <w:rPr>
                <w:rFonts w:hint="eastAsia" w:ascii="宋体" w:hAnsi="宋体" w:eastAsia="宋体" w:cs="宋体"/>
                <w:bCs/>
                <w:color w:val="000000"/>
                <w:kern w:val="2"/>
                <w:sz w:val="21"/>
                <w:szCs w:val="21"/>
                <w:lang w:val="en-US" w:eastAsia="zh-CN" w:bidi="ar-SA"/>
              </w:rPr>
              <w:t>37</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状态显示：前面板有工作指示灯，可直观指示设备上电、模块开关、网络连通等状态；</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ascii="宋体" w:hAnsi="宋体" w:eastAsia="宋体" w:cs="宋体"/>
                <w:bCs/>
                <w:color w:val="000000"/>
                <w:kern w:val="2"/>
                <w:sz w:val="21"/>
                <w:szCs w:val="21"/>
                <w:lang w:val="en-US" w:eastAsia="zh-CN" w:bidi="ar-SA"/>
              </w:rPr>
            </w:pPr>
            <w:r>
              <w:rPr>
                <w:rFonts w:hint="eastAsia" w:ascii="宋体" w:hAnsi="宋体" w:eastAsia="宋体" w:cs="宋体"/>
                <w:bCs/>
                <w:color w:val="000000"/>
                <w:kern w:val="2"/>
                <w:sz w:val="21"/>
                <w:szCs w:val="21"/>
                <w:lang w:val="en-US" w:eastAsia="zh-CN" w:bidi="ar-SA"/>
              </w:rPr>
              <w:t>38</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隐藏式接口设计：设备开关、电源接口、网络接口均采用隐蔽式设计，设备安装完成后可视表面无任何接口、开关，避免学生误动设备对系统造成影响；</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39</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数据接口：RJ-45接口，支持与考点级管理平台及侦测服务器组网；</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r>
              <w:rPr>
                <w:rFonts w:hint="eastAsia" w:ascii="宋体" w:hAnsi="宋体" w:eastAsia="宋体" w:cs="宋体"/>
                <w:bCs/>
                <w:color w:val="000000"/>
                <w:kern w:val="2"/>
                <w:sz w:val="21"/>
                <w:szCs w:val="21"/>
                <w:lang w:val="en-US" w:eastAsia="zh-CN" w:bidi="ar-SA"/>
              </w:rPr>
              <w:t>40</w:t>
            </w:r>
            <w:r>
              <w:rPr>
                <w:rFonts w:ascii="宋体" w:hAnsi="宋体" w:eastAsia="宋体" w:cs="宋体"/>
                <w:bCs/>
                <w:color w:val="000000"/>
                <w:kern w:val="2"/>
                <w:sz w:val="21"/>
                <w:szCs w:val="21"/>
                <w:lang w:val="en-US" w:eastAsia="zh-CN" w:bidi="ar-SA"/>
              </w:rPr>
              <w:t>.</w:t>
            </w:r>
            <w:r>
              <w:rPr>
                <w:rFonts w:hint="eastAsia" w:ascii="宋体" w:hAnsi="宋体" w:eastAsia="宋体" w:cs="宋体"/>
                <w:bCs/>
                <w:color w:val="000000"/>
                <w:sz w:val="21"/>
                <w:szCs w:val="21"/>
              </w:rPr>
              <w:t>可靠性：MTBF≥3000小时；</w:t>
            </w:r>
            <w:r>
              <w:rPr>
                <w:rFonts w:ascii="宋体" w:hAnsi="宋体" w:eastAsia="宋体" w:cs="宋体"/>
                <w:bCs/>
                <w:color w:val="000000"/>
                <w:sz w:val="21"/>
                <w:szCs w:val="21"/>
              </w:rPr>
              <w:t xml:space="preserve"> </w:t>
            </w:r>
          </w:p>
        </w:tc>
        <w:tc>
          <w:tcPr>
            <w:tcW w:w="915"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val="0"/>
              <w:numPr>
                <w:ilvl w:val="0"/>
                <w:numId w:val="0"/>
              </w:numPr>
              <w:suppressLineNumbers w:val="0"/>
              <w:tabs>
                <w:tab w:val="left" w:pos="288"/>
              </w:tabs>
              <w:adjustRightInd/>
              <w:spacing w:line="240" w:lineRule="auto"/>
              <w:ind w:left="0" w:leftChars="0" w:firstLine="0" w:firstLineChars="0"/>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w:t>
            </w:r>
          </w:p>
        </w:tc>
        <w:tc>
          <w:tcPr>
            <w:tcW w:w="785"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Style w:val="39"/>
                <w:sz w:val="21"/>
                <w:szCs w:val="21"/>
                <w:lang w:val="en-US" w:eastAsia="zh-CN" w:bidi="ar"/>
              </w:rPr>
              <w:t>身份验证终端</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1</w:t>
            </w:r>
            <w:r>
              <w:rPr>
                <w:rFonts w:hint="eastAsia" w:ascii="宋体" w:hAnsi="宋体" w:cs="宋体"/>
                <w:bCs/>
                <w:color w:val="000000"/>
                <w:sz w:val="21"/>
                <w:szCs w:val="21"/>
              </w:rPr>
              <w:t>.设备应具有良好的操作性，整个操作流程具有语音操作提示，内置声光语音提示刷卡、拍照以及是否通过验证；设备即支持正面刷卡，也支持背面刷卡；</w:t>
            </w:r>
          </w:p>
        </w:tc>
        <w:tc>
          <w:tcPr>
            <w:tcW w:w="915"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2</w:t>
            </w:r>
            <w:r>
              <w:rPr>
                <w:rFonts w:hint="eastAsia" w:ascii="宋体" w:hAnsi="宋体" w:cs="宋体"/>
                <w:bCs/>
                <w:color w:val="000000"/>
                <w:sz w:val="21"/>
                <w:szCs w:val="21"/>
              </w:rPr>
              <w:t>.电池容量≥6000毫安；处理器4核，2G</w:t>
            </w:r>
            <w:r>
              <w:rPr>
                <w:rFonts w:hint="eastAsia" w:ascii="宋体" w:hAnsi="宋体" w:cs="宋体"/>
                <w:bCs/>
                <w:color w:val="000000"/>
                <w:sz w:val="21"/>
                <w:szCs w:val="21"/>
                <w:lang w:val="en-US" w:eastAsia="zh-CN"/>
              </w:rPr>
              <w:t>B</w:t>
            </w:r>
            <w:r>
              <w:rPr>
                <w:rFonts w:hint="eastAsia" w:ascii="宋体" w:hAnsi="宋体" w:cs="宋体"/>
                <w:bCs/>
                <w:color w:val="000000"/>
                <w:sz w:val="21"/>
                <w:szCs w:val="21"/>
              </w:rPr>
              <w:t>内存,8G</w:t>
            </w:r>
            <w:r>
              <w:rPr>
                <w:rFonts w:hint="eastAsia" w:ascii="宋体" w:hAnsi="宋体" w:cs="宋体"/>
                <w:bCs/>
                <w:color w:val="000000"/>
                <w:sz w:val="21"/>
                <w:szCs w:val="21"/>
                <w:lang w:val="en-US" w:eastAsia="zh-CN"/>
              </w:rPr>
              <w:t>B</w:t>
            </w:r>
            <w:r>
              <w:rPr>
                <w:rFonts w:hint="eastAsia" w:ascii="宋体" w:hAnsi="宋体" w:cs="宋体"/>
                <w:bCs/>
                <w:color w:val="000000"/>
                <w:sz w:val="21"/>
                <w:szCs w:val="21"/>
              </w:rPr>
              <w:t>存储空间，可通过TF卡扩展；≥8英寸IPS硬屏，屏幕分辨率≥1280x720；</w:t>
            </w:r>
          </w:p>
        </w:tc>
        <w:tc>
          <w:tcPr>
            <w:tcW w:w="915"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3</w:t>
            </w:r>
            <w:r>
              <w:rPr>
                <w:rFonts w:hint="eastAsia" w:ascii="宋体" w:hAnsi="宋体" w:cs="宋体"/>
                <w:bCs/>
                <w:color w:val="000000"/>
                <w:sz w:val="21"/>
                <w:szCs w:val="21"/>
              </w:rPr>
              <w:t>.内置≥1个USB接口，具备RJ45网口、具备TF扩充卡槽，具备Micro HDMI接口。</w:t>
            </w:r>
          </w:p>
        </w:tc>
        <w:tc>
          <w:tcPr>
            <w:tcW w:w="915"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44</w:t>
            </w:r>
            <w:r>
              <w:rPr>
                <w:rFonts w:hint="eastAsia" w:ascii="宋体" w:hAnsi="宋体" w:cs="宋体"/>
                <w:bCs/>
                <w:color w:val="000000"/>
                <w:sz w:val="21"/>
                <w:szCs w:val="21"/>
              </w:rPr>
              <w:t>.由居民身份证阅读模块、人脸识别模块，一体化封装、无需外接任何设备即可独立完成验证工作。</w:t>
            </w:r>
          </w:p>
        </w:tc>
        <w:tc>
          <w:tcPr>
            <w:tcW w:w="915"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5</w:t>
            </w:r>
            <w:r>
              <w:rPr>
                <w:rFonts w:hint="eastAsia" w:ascii="宋体" w:hAnsi="宋体" w:cs="宋体"/>
                <w:bCs/>
                <w:color w:val="000000"/>
                <w:sz w:val="21"/>
                <w:szCs w:val="21"/>
              </w:rPr>
              <w:t>.支持身份证效验，可同时显示考生报名照片和现场照片，由系统或者监考老师进行比对，语音提示比对结果。</w:t>
            </w:r>
          </w:p>
        </w:tc>
        <w:tc>
          <w:tcPr>
            <w:tcW w:w="915"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6</w:t>
            </w:r>
            <w:r>
              <w:rPr>
                <w:rFonts w:hint="eastAsia" w:ascii="宋体" w:hAnsi="宋体" w:cs="宋体"/>
                <w:bCs/>
                <w:color w:val="000000"/>
                <w:sz w:val="21"/>
                <w:szCs w:val="21"/>
              </w:rPr>
              <w:t>.身份证读取区均采用正面前置设计，身份证读卡区有显著图文标识。</w:t>
            </w:r>
          </w:p>
        </w:tc>
        <w:tc>
          <w:tcPr>
            <w:tcW w:w="915"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w:t>
            </w:r>
            <w:r>
              <w:rPr>
                <w:rFonts w:hint="eastAsia" w:ascii="宋体" w:hAnsi="宋体" w:eastAsia="宋体" w:cs="宋体"/>
                <w:bCs/>
                <w:color w:val="000000"/>
                <w:sz w:val="21"/>
                <w:szCs w:val="21"/>
                <w:lang w:val="en-US" w:eastAsia="zh-CN"/>
              </w:rPr>
              <w:t>7</w:t>
            </w:r>
            <w:r>
              <w:rPr>
                <w:rFonts w:hint="eastAsia" w:ascii="宋体" w:hAnsi="宋体" w:cs="宋体"/>
                <w:bCs/>
                <w:color w:val="000000"/>
                <w:sz w:val="21"/>
                <w:szCs w:val="21"/>
              </w:rPr>
              <w:t>. 支持考生和验证数据通过介质和网络（有线和WIFI）导入、导出和实时上传；</w:t>
            </w:r>
          </w:p>
        </w:tc>
        <w:tc>
          <w:tcPr>
            <w:tcW w:w="915"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eastAsia="宋体" w:cs="宋体"/>
                <w:bCs/>
                <w:color w:val="000000"/>
                <w:kern w:val="2"/>
                <w:sz w:val="21"/>
                <w:szCs w:val="21"/>
                <w:lang w:val="en-US" w:eastAsia="zh-CN" w:bidi="ar-SA"/>
              </w:rPr>
              <w:t>48</w:t>
            </w:r>
            <w:r>
              <w:rPr>
                <w:rFonts w:hint="eastAsia" w:ascii="宋体" w:hAnsi="宋体" w:cs="宋体"/>
                <w:bCs/>
                <w:color w:val="000000"/>
                <w:sz w:val="21"/>
                <w:szCs w:val="21"/>
              </w:rPr>
              <w:t>.身份验证终端验证过程中，应具有语音或文字的指导性提示。</w:t>
            </w:r>
          </w:p>
        </w:tc>
        <w:tc>
          <w:tcPr>
            <w:tcW w:w="915"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eastAsia="宋体" w:cs="宋体"/>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pStyle w:val="9"/>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49</w:t>
            </w:r>
            <w:r>
              <w:rPr>
                <w:rFonts w:hint="eastAsia" w:ascii="宋体" w:hAnsi="宋体" w:cs="宋体"/>
                <w:bCs/>
                <w:color w:val="000000"/>
                <w:sz w:val="21"/>
                <w:szCs w:val="21"/>
              </w:rPr>
              <w:t>.支持TTS技术，可实现对考生的精准确认。</w:t>
            </w:r>
          </w:p>
        </w:tc>
        <w:tc>
          <w:tcPr>
            <w:tcW w:w="915" w:type="dxa"/>
            <w:vAlign w:val="center"/>
          </w:tcPr>
          <w:p>
            <w:pPr>
              <w:pStyle w:val="9"/>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pStyle w:val="9"/>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pStyle w:val="9"/>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50</w:t>
            </w:r>
            <w:r>
              <w:rPr>
                <w:rFonts w:hint="eastAsia" w:ascii="宋体" w:hAnsi="宋体" w:cs="宋体"/>
                <w:bCs/>
                <w:color w:val="000000"/>
                <w:sz w:val="21"/>
                <w:szCs w:val="21"/>
              </w:rPr>
              <w:t>.设备具有数据查询功能，通过授权帐号，可进入系统查询界面，查询考生的验证情况（通过、未通过、缺考等），整个考生数据在设备断电下，不会丢失。</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51</w:t>
            </w:r>
            <w:r>
              <w:rPr>
                <w:rFonts w:hint="eastAsia" w:ascii="宋体" w:hAnsi="宋体" w:cs="宋体"/>
                <w:bCs/>
                <w:color w:val="000000"/>
                <w:sz w:val="21"/>
                <w:szCs w:val="21"/>
              </w:rPr>
              <w:t>.前、后置500万像素摄像头，可切换，便于多种情景下由监考老师拍照或考生自拍。</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52</w:t>
            </w:r>
            <w:r>
              <w:rPr>
                <w:rFonts w:hint="eastAsia" w:ascii="宋体" w:hAnsi="宋体" w:cs="宋体"/>
                <w:bCs/>
                <w:color w:val="000000"/>
                <w:sz w:val="21"/>
                <w:szCs w:val="21"/>
              </w:rPr>
              <w:t>.对考生人脸图像进行质量判断，对不合格的图像自动提示，自动重采。包括人脸数量、模糊情况、正脸情况、头部情况、高光、眼睛睁闭、眼睛注视镜头等。</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53</w:t>
            </w:r>
            <w:r>
              <w:rPr>
                <w:rFonts w:hint="eastAsia" w:ascii="宋体" w:hAnsi="宋体" w:cs="宋体"/>
                <w:bCs/>
                <w:color w:val="000000"/>
                <w:sz w:val="21"/>
                <w:szCs w:val="21"/>
              </w:rPr>
              <w:t>.支持系统平台统一设置验证设备验证流程，验证设备可按照预设的流程自动工作，不需额外操作。</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54</w:t>
            </w:r>
            <w:r>
              <w:rPr>
                <w:rFonts w:hint="eastAsia" w:ascii="宋体" w:hAnsi="宋体" w:cs="宋体"/>
                <w:bCs/>
                <w:color w:val="000000"/>
                <w:sz w:val="21"/>
                <w:szCs w:val="21"/>
              </w:rPr>
              <w:t>.身份验证终端具备时间同步功能，可以实现与网络时间同步或者与上级服务器时间同步。</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55</w:t>
            </w:r>
            <w:r>
              <w:rPr>
                <w:rFonts w:hint="eastAsia" w:ascii="宋体" w:hAnsi="宋体" w:cs="宋体"/>
                <w:bCs/>
                <w:color w:val="000000"/>
                <w:sz w:val="21"/>
                <w:szCs w:val="21"/>
              </w:rPr>
              <w:t>.可通过刷身份证调取考生信息进行验证，在没有身份证或身份证消磁的情况下，应可通过输入身份证号、考号或点击界面座次图上的座位号快速获取到考生信息进入验证。</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56</w:t>
            </w:r>
            <w:r>
              <w:rPr>
                <w:rFonts w:hint="eastAsia" w:ascii="宋体" w:hAnsi="宋体" w:cs="宋体"/>
                <w:bCs/>
                <w:color w:val="000000"/>
                <w:sz w:val="21"/>
                <w:szCs w:val="21"/>
              </w:rPr>
              <w:t>.内置多种验证流程，可根据不同考试组织形式自动选用适合的验证流程，无需人工操作。</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57</w:t>
            </w:r>
            <w:r>
              <w:rPr>
                <w:rFonts w:hint="eastAsia" w:ascii="宋体" w:hAnsi="宋体" w:cs="宋体"/>
                <w:bCs/>
                <w:color w:val="000000"/>
                <w:sz w:val="21"/>
                <w:szCs w:val="21"/>
              </w:rPr>
              <w:t>.具备节能策略，延长设备使用时间。</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58</w:t>
            </w:r>
            <w:r>
              <w:rPr>
                <w:rFonts w:hint="eastAsia" w:ascii="宋体" w:hAnsi="宋体" w:cs="宋体"/>
                <w:bCs/>
                <w:color w:val="000000"/>
                <w:sz w:val="21"/>
                <w:szCs w:val="21"/>
              </w:rPr>
              <w:t>.考场验证：支持验证的对象仅仅是具体考场的考生。</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Fonts w:hint="eastAsia" w:ascii="宋体" w:hAnsi="宋体" w:cs="宋体"/>
                <w:bCs/>
                <w:color w:val="000000"/>
                <w:sz w:val="21"/>
                <w:szCs w:val="21"/>
                <w:lang w:val="en-US" w:eastAsia="zh-CN"/>
              </w:rPr>
              <w:t>59</w:t>
            </w:r>
            <w:r>
              <w:rPr>
                <w:rFonts w:hint="eastAsia" w:ascii="宋体" w:hAnsi="宋体" w:cs="宋体"/>
                <w:bCs/>
                <w:color w:val="000000"/>
                <w:sz w:val="21"/>
                <w:szCs w:val="21"/>
              </w:rPr>
              <w:t>.考点验证：支持验证的对象为整个考点的考生。</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rPr>
            </w:pPr>
            <w:r>
              <w:rPr>
                <w:rFonts w:hint="eastAsia" w:ascii="宋体" w:hAnsi="宋体" w:cs="宋体"/>
                <w:bCs/>
                <w:color w:val="000000"/>
                <w:sz w:val="21"/>
                <w:szCs w:val="21"/>
                <w:lang w:val="en-US" w:eastAsia="zh-CN"/>
              </w:rPr>
              <w:t>60</w:t>
            </w:r>
            <w:r>
              <w:rPr>
                <w:rFonts w:hint="eastAsia" w:ascii="宋体" w:hAnsi="宋体" w:cs="宋体"/>
                <w:bCs/>
                <w:color w:val="000000"/>
                <w:sz w:val="21"/>
                <w:szCs w:val="21"/>
              </w:rPr>
              <w:t>.验证进度查看：支持查看当前机器已验证的考生、未验证的考生、缺考考生、 违纪考生。</w:t>
            </w:r>
          </w:p>
        </w:tc>
        <w:tc>
          <w:tcPr>
            <w:tcW w:w="915"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720"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c>
          <w:tcPr>
            <w:tcW w:w="523" w:type="dxa"/>
            <w:vAlign w:val="center"/>
          </w:tcPr>
          <w:p>
            <w:pPr>
              <w:keepNext w:val="0"/>
              <w:keepLines w:val="0"/>
              <w:widowControl/>
              <w:suppressLineNumbers w:val="0"/>
              <w:spacing w:line="240" w:lineRule="auto"/>
              <w:jc w:val="left"/>
              <w:textAlignment w:val="center"/>
              <w:rPr>
                <w:rFonts w:hint="eastAsia" w:ascii="宋体" w:hAnsi="宋体" w:cs="宋体"/>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w:t>
            </w:r>
          </w:p>
        </w:tc>
        <w:tc>
          <w:tcPr>
            <w:tcW w:w="785"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身份验证终端支架</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61.</w:t>
            </w:r>
            <w:r>
              <w:rPr>
                <w:rStyle w:val="39"/>
                <w:sz w:val="21"/>
                <w:szCs w:val="21"/>
                <w:lang w:val="en-US" w:eastAsia="zh-CN" w:bidi="ar"/>
              </w:rPr>
              <w:t>提供与身份验证终端匹配的身份验证终端支架，稳定可靠，操作简单方便。</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5</w:t>
            </w:r>
          </w:p>
        </w:tc>
        <w:tc>
          <w:tcPr>
            <w:tcW w:w="785"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金属探测仪</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62.</w:t>
            </w:r>
            <w:r>
              <w:rPr>
                <w:rStyle w:val="39"/>
                <w:sz w:val="21"/>
                <w:szCs w:val="21"/>
                <w:lang w:val="en-US" w:eastAsia="zh-CN" w:bidi="ar"/>
              </w:rPr>
              <w:t>手持</w:t>
            </w:r>
            <w:r>
              <w:rPr>
                <w:rStyle w:val="39"/>
                <w:rFonts w:hint="eastAsia"/>
                <w:sz w:val="21"/>
                <w:szCs w:val="21"/>
                <w:lang w:val="en-US" w:eastAsia="zh-CN" w:bidi="ar"/>
              </w:rPr>
              <w:t>式</w:t>
            </w:r>
            <w:r>
              <w:rPr>
                <w:rStyle w:val="39"/>
                <w:sz w:val="21"/>
                <w:szCs w:val="21"/>
                <w:lang w:val="en-US" w:eastAsia="zh-CN" w:bidi="ar"/>
              </w:rPr>
              <w:t>金属探测仪；</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63.</w:t>
            </w:r>
            <w:r>
              <w:rPr>
                <w:rStyle w:val="39"/>
                <w:sz w:val="21"/>
                <w:szCs w:val="21"/>
                <w:lang w:val="en-US" w:eastAsia="zh-CN" w:bidi="ar"/>
              </w:rPr>
              <w:t>电源:标配充电电池；报警方式：声光同步报警，支持振动报警；电压：充电电池；</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64.工作频率：25kHz；通用电流：小于50mA；使用温度: -20℃</w:t>
            </w:r>
            <w:r>
              <w:rPr>
                <w:rFonts w:ascii="宋体" w:hAnsi="宋体" w:eastAsia="宋体" w:cs="宋体"/>
                <w:color w:val="000000"/>
                <w:kern w:val="2"/>
                <w:sz w:val="21"/>
                <w:szCs w:val="21"/>
                <w:lang w:eastAsia="zh-CN" w:bidi="ar"/>
              </w:rPr>
              <w:t>~+</w:t>
            </w:r>
            <w:r>
              <w:rPr>
                <w:rStyle w:val="39"/>
                <w:rFonts w:hint="eastAsia"/>
                <w:sz w:val="21"/>
                <w:szCs w:val="21"/>
                <w:lang w:val="en-US" w:eastAsia="zh-CN" w:bidi="ar"/>
              </w:rPr>
              <w:t>50℃。</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w:t>
            </w:r>
          </w:p>
        </w:tc>
        <w:tc>
          <w:tcPr>
            <w:tcW w:w="785" w:type="dxa"/>
            <w:vMerge w:val="restart"/>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充电柜</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42"/>
                <w:rFonts w:hint="eastAsia"/>
                <w:sz w:val="21"/>
                <w:szCs w:val="21"/>
                <w:lang w:val="en-US" w:eastAsia="zh-CN" w:bidi="ar"/>
              </w:rPr>
              <w:t>65.</w:t>
            </w:r>
            <w:r>
              <w:rPr>
                <w:rStyle w:val="42"/>
                <w:sz w:val="21"/>
                <w:szCs w:val="21"/>
                <w:lang w:val="en-US" w:eastAsia="zh-CN" w:bidi="ar"/>
              </w:rPr>
              <w:t>≥40位的平板充电柜，4个静音万向脚轮，带刹车；</w:t>
            </w:r>
          </w:p>
        </w:tc>
        <w:tc>
          <w:tcPr>
            <w:tcW w:w="915"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42"/>
                <w:rFonts w:hint="eastAsia"/>
                <w:sz w:val="21"/>
                <w:szCs w:val="21"/>
                <w:lang w:val="en-US" w:eastAsia="zh-CN" w:bidi="ar"/>
              </w:rPr>
              <w:t>66.</w:t>
            </w:r>
            <w:r>
              <w:rPr>
                <w:rStyle w:val="42"/>
                <w:sz w:val="21"/>
                <w:szCs w:val="21"/>
                <w:lang w:val="en-US" w:eastAsia="zh-CN" w:bidi="ar"/>
              </w:rPr>
              <w:t>集中充电，管理方便，分格存放。</w:t>
            </w:r>
          </w:p>
        </w:tc>
        <w:tc>
          <w:tcPr>
            <w:tcW w:w="915"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Merge w:val="continue"/>
            <w:vAlign w:val="center"/>
          </w:tcPr>
          <w:p>
            <w:pPr>
              <w:spacing w:line="240" w:lineRule="auto"/>
              <w:jc w:val="center"/>
              <w:rPr>
                <w:color w:val="000000" w:themeColor="text1"/>
                <w:sz w:val="21"/>
                <w:szCs w:val="21"/>
              </w:rPr>
            </w:pPr>
          </w:p>
        </w:tc>
        <w:tc>
          <w:tcPr>
            <w:tcW w:w="785" w:type="dxa"/>
            <w:vMerge w:val="continue"/>
            <w:vAlign w:val="center"/>
          </w:tcPr>
          <w:p>
            <w:pPr>
              <w:spacing w:line="240" w:lineRule="auto"/>
              <w:jc w:val="center"/>
              <w:rPr>
                <w:color w:val="000000" w:themeColor="text1"/>
                <w:sz w:val="21"/>
                <w:szCs w:val="21"/>
              </w:rPr>
            </w:pP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42"/>
                <w:rFonts w:hint="eastAsia"/>
                <w:sz w:val="21"/>
                <w:szCs w:val="21"/>
                <w:lang w:val="en-US" w:eastAsia="zh-CN" w:bidi="ar"/>
              </w:rPr>
              <w:t>67.</w:t>
            </w:r>
            <w:r>
              <w:rPr>
                <w:rStyle w:val="42"/>
                <w:sz w:val="21"/>
                <w:szCs w:val="21"/>
                <w:lang w:val="en-US" w:eastAsia="zh-CN" w:bidi="ar"/>
              </w:rPr>
              <w:t>USB供电，≥5V/2A直接输出</w:t>
            </w:r>
          </w:p>
        </w:tc>
        <w:tc>
          <w:tcPr>
            <w:tcW w:w="915"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7</w:t>
            </w:r>
          </w:p>
        </w:tc>
        <w:tc>
          <w:tcPr>
            <w:tcW w:w="785"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网线</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68.</w:t>
            </w:r>
            <w:r>
              <w:rPr>
                <w:rStyle w:val="38"/>
                <w:sz w:val="21"/>
                <w:szCs w:val="21"/>
                <w:highlight w:val="none"/>
                <w:lang w:val="en-US" w:eastAsia="zh-CN" w:bidi="ar"/>
              </w:rPr>
              <w:t>六类网线。</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8</w:t>
            </w:r>
          </w:p>
        </w:tc>
        <w:tc>
          <w:tcPr>
            <w:tcW w:w="785"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电源线</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69.</w:t>
            </w:r>
            <w:r>
              <w:rPr>
                <w:rStyle w:val="38"/>
                <w:sz w:val="21"/>
                <w:szCs w:val="21"/>
                <w:highlight w:val="none"/>
                <w:lang w:val="en-US" w:eastAsia="zh-CN" w:bidi="ar"/>
              </w:rPr>
              <w:t>ZC-RVV3*2.5电源线。</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9</w:t>
            </w:r>
          </w:p>
        </w:tc>
        <w:tc>
          <w:tcPr>
            <w:tcW w:w="785" w:type="dxa"/>
            <w:vAlign w:val="center"/>
          </w:tcPr>
          <w:p>
            <w:pPr>
              <w:keepNext w:val="0"/>
              <w:keepLines w:val="0"/>
              <w:widowControl/>
              <w:suppressLineNumbers w:val="0"/>
              <w:spacing w:line="240" w:lineRule="auto"/>
              <w:jc w:val="center"/>
              <w:textAlignment w:val="center"/>
              <w:rPr>
                <w:rFonts w:hint="default"/>
                <w:color w:val="000000" w:themeColor="text1"/>
                <w:sz w:val="21"/>
                <w:szCs w:val="21"/>
                <w:lang w:val="en-US"/>
              </w:rPr>
            </w:pPr>
            <w:r>
              <w:rPr>
                <w:rStyle w:val="38"/>
                <w:sz w:val="21"/>
                <w:szCs w:val="21"/>
                <w:lang w:val="en-US" w:eastAsia="zh-CN" w:bidi="ar"/>
              </w:rPr>
              <w:t>线槽</w:t>
            </w:r>
            <w:r>
              <w:rPr>
                <w:rStyle w:val="38"/>
                <w:rFonts w:hint="eastAsia"/>
                <w:sz w:val="21"/>
                <w:szCs w:val="21"/>
                <w:lang w:val="en-US" w:eastAsia="zh-CN" w:bidi="ar"/>
              </w:rPr>
              <w:t>1</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70.</w:t>
            </w:r>
            <w:r>
              <w:rPr>
                <w:rStyle w:val="38"/>
                <w:sz w:val="21"/>
                <w:szCs w:val="21"/>
                <w:highlight w:val="none"/>
                <w:lang w:val="en-US" w:eastAsia="zh-CN" w:bidi="ar"/>
              </w:rPr>
              <w:t>PVC4线槽。</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10</w:t>
            </w:r>
          </w:p>
        </w:tc>
        <w:tc>
          <w:tcPr>
            <w:tcW w:w="785" w:type="dxa"/>
            <w:vAlign w:val="center"/>
          </w:tcPr>
          <w:p>
            <w:pPr>
              <w:keepNext w:val="0"/>
              <w:keepLines w:val="0"/>
              <w:widowControl/>
              <w:suppressLineNumbers w:val="0"/>
              <w:spacing w:line="240" w:lineRule="auto"/>
              <w:jc w:val="center"/>
              <w:textAlignment w:val="center"/>
              <w:rPr>
                <w:rFonts w:hint="default"/>
                <w:color w:val="000000" w:themeColor="text1"/>
                <w:sz w:val="21"/>
                <w:szCs w:val="21"/>
                <w:lang w:val="en-US"/>
              </w:rPr>
            </w:pPr>
            <w:r>
              <w:rPr>
                <w:rStyle w:val="38"/>
                <w:sz w:val="21"/>
                <w:szCs w:val="21"/>
                <w:lang w:val="en-US" w:eastAsia="zh-CN" w:bidi="ar"/>
              </w:rPr>
              <w:t>线槽</w:t>
            </w:r>
            <w:r>
              <w:rPr>
                <w:rStyle w:val="38"/>
                <w:rFonts w:hint="eastAsia"/>
                <w:sz w:val="21"/>
                <w:szCs w:val="21"/>
                <w:lang w:val="en-US" w:eastAsia="zh-CN" w:bidi="ar"/>
              </w:rPr>
              <w:t>2</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71.</w:t>
            </w:r>
            <w:r>
              <w:rPr>
                <w:rStyle w:val="38"/>
                <w:sz w:val="21"/>
                <w:szCs w:val="21"/>
                <w:highlight w:val="none"/>
                <w:lang w:val="en-US" w:eastAsia="zh-CN" w:bidi="ar"/>
              </w:rPr>
              <w:t>PVC6线槽。</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11</w:t>
            </w:r>
          </w:p>
        </w:tc>
        <w:tc>
          <w:tcPr>
            <w:tcW w:w="785"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线管</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highlight w:val="none"/>
                <w:lang w:val="en-US" w:eastAsia="zh-CN"/>
              </w:rPr>
            </w:pPr>
            <w:r>
              <w:rPr>
                <w:rStyle w:val="39"/>
                <w:rFonts w:hint="eastAsia"/>
                <w:sz w:val="21"/>
                <w:szCs w:val="21"/>
                <w:highlight w:val="none"/>
                <w:lang w:val="en-US" w:eastAsia="zh-CN" w:bidi="ar"/>
              </w:rPr>
              <w:t>72.</w:t>
            </w:r>
            <w:r>
              <w:rPr>
                <w:rStyle w:val="38"/>
                <w:sz w:val="21"/>
                <w:szCs w:val="21"/>
                <w:highlight w:val="none"/>
                <w:lang w:val="en-US" w:eastAsia="zh-CN" w:bidi="ar"/>
              </w:rPr>
              <w:t>PVC20线管。</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12</w:t>
            </w:r>
          </w:p>
        </w:tc>
        <w:tc>
          <w:tcPr>
            <w:tcW w:w="785"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插排</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42"/>
                <w:rFonts w:hint="eastAsia"/>
                <w:sz w:val="21"/>
                <w:szCs w:val="21"/>
                <w:lang w:val="en-US" w:eastAsia="zh-CN" w:bidi="ar"/>
              </w:rPr>
              <w:t>73.</w:t>
            </w:r>
            <w:r>
              <w:rPr>
                <w:rStyle w:val="43"/>
                <w:sz w:val="21"/>
                <w:szCs w:val="21"/>
                <w:lang w:val="en-US" w:eastAsia="zh-CN" w:bidi="ar"/>
              </w:rPr>
              <w:t>4位、分控、线全长5米。</w:t>
            </w:r>
          </w:p>
        </w:tc>
        <w:tc>
          <w:tcPr>
            <w:tcW w:w="915"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42"/>
                <w:rFonts w:hint="eastAsia"/>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86" w:type="dxa"/>
            <w:vAlign w:val="center"/>
          </w:tcPr>
          <w:p>
            <w:pPr>
              <w:keepNext w:val="0"/>
              <w:keepLines w:val="0"/>
              <w:widowControl/>
              <w:suppressLineNumbers w:val="0"/>
              <w:spacing w:line="240" w:lineRule="auto"/>
              <w:jc w:val="center"/>
              <w:textAlignment w:val="center"/>
              <w:rPr>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13</w:t>
            </w:r>
          </w:p>
        </w:tc>
        <w:tc>
          <w:tcPr>
            <w:tcW w:w="785" w:type="dxa"/>
            <w:vAlign w:val="center"/>
          </w:tcPr>
          <w:p>
            <w:pPr>
              <w:keepNext w:val="0"/>
              <w:keepLines w:val="0"/>
              <w:widowControl/>
              <w:suppressLineNumbers w:val="0"/>
              <w:spacing w:line="240" w:lineRule="auto"/>
              <w:jc w:val="center"/>
              <w:textAlignment w:val="center"/>
              <w:rPr>
                <w:color w:val="000000" w:themeColor="text1"/>
                <w:sz w:val="21"/>
                <w:szCs w:val="21"/>
              </w:rPr>
            </w:pPr>
            <w:r>
              <w:rPr>
                <w:rStyle w:val="38"/>
                <w:sz w:val="21"/>
                <w:szCs w:val="21"/>
                <w:lang w:val="en-US" w:eastAsia="zh-CN" w:bidi="ar"/>
              </w:rPr>
              <w:t>辅材辅料</w:t>
            </w:r>
          </w:p>
        </w:tc>
        <w:tc>
          <w:tcPr>
            <w:tcW w:w="5683" w:type="dxa"/>
            <w:vAlign w:val="center"/>
          </w:tcPr>
          <w:p>
            <w:pPr>
              <w:keepNext w:val="0"/>
              <w:keepLines w:val="0"/>
              <w:widowControl/>
              <w:suppressLineNumbers w:val="0"/>
              <w:spacing w:line="240" w:lineRule="auto"/>
              <w:jc w:val="left"/>
              <w:textAlignment w:val="center"/>
              <w:rPr>
                <w:rFonts w:hint="default"/>
                <w:color w:val="000000" w:themeColor="text1"/>
                <w:sz w:val="21"/>
                <w:szCs w:val="21"/>
                <w:lang w:val="en-US" w:eastAsia="zh-CN"/>
              </w:rPr>
            </w:pPr>
            <w:r>
              <w:rPr>
                <w:rStyle w:val="39"/>
                <w:rFonts w:hint="eastAsia"/>
                <w:sz w:val="21"/>
                <w:szCs w:val="21"/>
                <w:lang w:val="en-US" w:eastAsia="zh-CN" w:bidi="ar"/>
              </w:rPr>
              <w:t>74.</w:t>
            </w:r>
            <w:r>
              <w:rPr>
                <w:rStyle w:val="38"/>
                <w:sz w:val="21"/>
                <w:szCs w:val="21"/>
                <w:lang w:val="en-US" w:eastAsia="zh-CN" w:bidi="ar"/>
              </w:rPr>
              <w:t>布线施工所需其他辅材辅料（钉、胶带、五金件、加固件、过线盒、底盒、连接线、延长线等）。</w:t>
            </w:r>
          </w:p>
        </w:tc>
        <w:tc>
          <w:tcPr>
            <w:tcW w:w="915"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720"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c>
          <w:tcPr>
            <w:tcW w:w="523" w:type="dxa"/>
            <w:vAlign w:val="center"/>
          </w:tcPr>
          <w:p>
            <w:pPr>
              <w:keepNext w:val="0"/>
              <w:keepLines w:val="0"/>
              <w:widowControl/>
              <w:suppressLineNumbers w:val="0"/>
              <w:spacing w:line="240" w:lineRule="auto"/>
              <w:jc w:val="left"/>
              <w:textAlignment w:val="center"/>
              <w:rPr>
                <w:rStyle w:val="39"/>
                <w:rFonts w:hint="eastAsia"/>
                <w:sz w:val="21"/>
                <w:szCs w:val="21"/>
                <w:lang w:val="en-US" w:eastAsia="zh-CN" w:bidi="ar"/>
              </w:rPr>
            </w:pPr>
          </w:p>
        </w:tc>
      </w:tr>
    </w:tbl>
    <w:p>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sz w:val="21"/>
          <w:szCs w:val="21"/>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jc w:val="center"/>
        <w:outlineLvl w:val="2"/>
        <w:rPr>
          <w:rFonts w:hint="eastAsia" w:ascii="黑体" w:eastAsia="黑体" w:hAnsiTheme="majorHAnsi" w:cstheme="majorBidi"/>
          <w:b w:val="0"/>
          <w:bCs w:val="0"/>
          <w:kern w:val="2"/>
          <w:sz w:val="24"/>
          <w:szCs w:val="20"/>
          <w:lang w:val="en-US" w:eastAsia="zh-CN" w:bidi="ar-SA"/>
        </w:rPr>
      </w:pPr>
      <w:r>
        <w:rPr>
          <w:rFonts w:hint="eastAsia" w:ascii="黑体" w:eastAsia="黑体" w:hAnsiTheme="majorHAnsi" w:cstheme="majorBidi"/>
          <w:b w:val="0"/>
          <w:bCs w:val="0"/>
          <w:kern w:val="2"/>
          <w:sz w:val="24"/>
          <w:szCs w:val="20"/>
          <w:lang w:val="en-US" w:eastAsia="zh-CN" w:bidi="ar-SA"/>
        </w:rPr>
        <w:t>六、绿色采购情况</w:t>
      </w:r>
    </w:p>
    <w:p>
      <w:pPr>
        <w:ind w:left="0" w:leftChars="0" w:firstLine="0" w:firstLineChars="0"/>
        <w:rPr>
          <w:rFonts w:hint="eastAsia"/>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rPr>
          <w:rFonts w:hint="eastAsia" w:ascii="黑体" w:eastAsia="黑体" w:hAnsiTheme="majorHAnsi" w:cstheme="majorBidi"/>
          <w:b w:val="0"/>
          <w:bCs w:val="0"/>
          <w:kern w:val="2"/>
          <w:sz w:val="24"/>
          <w:szCs w:val="20"/>
          <w:lang w:val="en-US" w:eastAsia="zh-CN" w:bidi="ar-SA"/>
        </w:rPr>
      </w:pPr>
    </w:p>
    <w:p>
      <w:pPr>
        <w:jc w:val="center"/>
        <w:outlineLvl w:val="2"/>
        <w:rPr>
          <w:rFonts w:hint="eastAsia" w:ascii="黑体" w:eastAsia="黑体" w:hAnsiTheme="majorHAnsi" w:cstheme="majorBidi"/>
          <w:b w:val="0"/>
          <w:bCs w:val="0"/>
          <w:kern w:val="2"/>
          <w:sz w:val="24"/>
          <w:szCs w:val="20"/>
          <w:lang w:val="en-US" w:eastAsia="zh-CN" w:bidi="ar-SA"/>
        </w:rPr>
      </w:pPr>
      <w:r>
        <w:rPr>
          <w:rFonts w:hint="eastAsia" w:ascii="黑体" w:eastAsia="黑体" w:hAnsiTheme="majorHAnsi" w:cstheme="majorBidi"/>
          <w:b w:val="0"/>
          <w:bCs w:val="0"/>
          <w:kern w:val="2"/>
          <w:sz w:val="24"/>
          <w:szCs w:val="20"/>
          <w:lang w:val="en-US" w:eastAsia="zh-CN" w:bidi="ar-SA"/>
        </w:rPr>
        <w:t>七、项目组织实施方案的评价</w:t>
      </w:r>
    </w:p>
    <w:p>
      <w:pPr>
        <w:ind w:left="0" w:leftChars="0" w:firstLine="0" w:firstLineChars="0"/>
        <w:rPr>
          <w:rFonts w:hint="eastAsia"/>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rPr>
          <w:rFonts w:hint="eastAsia" w:ascii="黑体" w:eastAsia="黑体" w:hAnsiTheme="majorHAnsi" w:cstheme="majorBidi"/>
          <w:b w:val="0"/>
          <w:bCs w:val="0"/>
          <w:kern w:val="2"/>
          <w:sz w:val="24"/>
          <w:szCs w:val="20"/>
          <w:lang w:val="en-US" w:eastAsia="zh-CN" w:bidi="ar-SA"/>
        </w:rPr>
      </w:pPr>
    </w:p>
    <w:p>
      <w:pPr>
        <w:jc w:val="center"/>
        <w:outlineLvl w:val="2"/>
        <w:rPr>
          <w:sz w:val="24"/>
        </w:rPr>
      </w:pPr>
      <w:r>
        <w:rPr>
          <w:rFonts w:hint="eastAsia" w:ascii="黑体" w:eastAsia="黑体" w:hAnsiTheme="majorHAnsi" w:cstheme="majorBidi"/>
          <w:b w:val="0"/>
          <w:bCs w:val="0"/>
          <w:kern w:val="2"/>
          <w:sz w:val="24"/>
          <w:szCs w:val="20"/>
          <w:lang w:val="en-US" w:eastAsia="zh-CN" w:bidi="ar-SA"/>
        </w:rPr>
        <w:t>八、售后服务评价</w:t>
      </w:r>
    </w:p>
    <w:p>
      <w:pPr>
        <w:ind w:left="0" w:leftChars="0" w:firstLine="0" w:firstLineChars="0"/>
        <w:rPr>
          <w:rFonts w:hint="eastAsia"/>
          <w:szCs w:val="21"/>
          <w:lang w:val="en-US" w:eastAsia="zh-CN"/>
        </w:rPr>
      </w:pPr>
      <w:bookmarkStart w:id="76" w:name="_Hlk72260576"/>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rPr>
          <w:rFonts w:hint="eastAsia" w:ascii="黑体" w:eastAsia="黑体"/>
          <w:b w:val="0"/>
          <w:bCs w:val="0"/>
          <w:sz w:val="24"/>
          <w:szCs w:val="20"/>
          <w:lang w:val="en-US" w:eastAsia="zh-CN"/>
        </w:rPr>
      </w:pPr>
    </w:p>
    <w:p>
      <w:pPr>
        <w:ind w:left="420" w:leftChars="200" w:firstLine="210" w:firstLineChars="100"/>
        <w:rPr>
          <w:rFonts w:hint="default"/>
          <w:lang w:val="en-US" w:eastAsia="zh-CN"/>
        </w:rPr>
      </w:pPr>
    </w:p>
    <w:p>
      <w:pPr>
        <w:jc w:val="center"/>
        <w:rPr>
          <w:b/>
          <w:bCs/>
          <w:sz w:val="24"/>
        </w:rPr>
      </w:pPr>
    </w:p>
    <w:p>
      <w:pPr>
        <w:pStyle w:val="5"/>
        <w:jc w:val="center"/>
        <w:rPr>
          <w:rFonts w:ascii="黑体" w:eastAsia="黑体"/>
          <w:b w:val="0"/>
          <w:bCs w:val="0"/>
          <w:sz w:val="24"/>
          <w:szCs w:val="20"/>
        </w:rPr>
      </w:pPr>
      <w:r>
        <w:t xml:space="preserve">  </w:t>
      </w:r>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100052400"/>
      <w:bookmarkStart w:id="102" w:name="_Toc73517673"/>
      <w:bookmarkStart w:id="103" w:name="_Toc73518151"/>
      <w:bookmarkStart w:id="104" w:name="_Toc73521669"/>
      <w:bookmarkStart w:id="105" w:name="_Toc73521581"/>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21674"/>
      <w:bookmarkStart w:id="117" w:name="_Toc73518157"/>
      <w:bookmarkStart w:id="118" w:name="_Toc73521586"/>
      <w:bookmarkStart w:id="119" w:name="_Toc100052408"/>
      <w:bookmarkStart w:id="120" w:name="_Toc73517679"/>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21587"/>
      <w:bookmarkStart w:id="123" w:name="_Toc73517680"/>
      <w:bookmarkStart w:id="124" w:name="_Toc73518158"/>
      <w:bookmarkStart w:id="125" w:name="_Toc73521675"/>
      <w:bookmarkStart w:id="126" w:name="_Toc100052409"/>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100052410"/>
      <w:bookmarkStart w:id="128" w:name="_Toc73521589"/>
      <w:bookmarkStart w:id="129" w:name="_Toc73517682"/>
      <w:bookmarkStart w:id="130" w:name="_Toc73518160"/>
      <w:bookmarkStart w:id="131" w:name="_Toc73521677"/>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21678"/>
      <w:bookmarkStart w:id="133" w:name="_Toc73517683"/>
      <w:bookmarkStart w:id="134" w:name="_Toc73521590"/>
      <w:bookmarkStart w:id="135" w:name="_Toc100052411"/>
      <w:bookmarkStart w:id="136" w:name="_Toc73518161"/>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3"/>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DC9F91C-3B9E-4F49-88A9-B3FE0F66C43E}"/>
  </w:font>
  <w:font w:name="Arial">
    <w:panose1 w:val="020B0604020202020204"/>
    <w:charset w:val="01"/>
    <w:family w:val="swiss"/>
    <w:pitch w:val="default"/>
    <w:sig w:usb0="E0002EFF" w:usb1="C000785B" w:usb2="00000009" w:usb3="00000000" w:csb0="400001FF" w:csb1="FFFF0000"/>
    <w:embedRegular r:id="rId2" w:fontKey="{614AF7F1-82B3-4EB5-BBEF-F54A1C5E8DDB}"/>
  </w:font>
  <w:font w:name="黑体">
    <w:panose1 w:val="02010609060101010101"/>
    <w:charset w:val="86"/>
    <w:family w:val="auto"/>
    <w:pitch w:val="default"/>
    <w:sig w:usb0="800002BF" w:usb1="38CF7CFA" w:usb2="00000016" w:usb3="00000000" w:csb0="00040001" w:csb1="00000000"/>
    <w:embedRegular r:id="rId3" w:fontKey="{936F45FB-5B59-4031-8832-483F7D15AC4C}"/>
  </w:font>
  <w:font w:name="Courier New">
    <w:panose1 w:val="02070309020205020404"/>
    <w:charset w:val="01"/>
    <w:family w:val="modern"/>
    <w:pitch w:val="default"/>
    <w:sig w:usb0="E0002EFF" w:usb1="C0007843" w:usb2="00000009" w:usb3="00000000" w:csb0="400001FF" w:csb1="FFFF0000"/>
    <w:embedRegular r:id="rId4" w:fontKey="{DC51B0A6-4596-4D1E-8AC6-DEFDB41F522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15B146E-2438-41D8-B59F-1846FE98F3B2}"/>
  </w:font>
  <w:font w:name="Cambria">
    <w:panose1 w:val="02040503050406030204"/>
    <w:charset w:val="00"/>
    <w:family w:val="roman"/>
    <w:pitch w:val="default"/>
    <w:sig w:usb0="E00006FF" w:usb1="420024FF" w:usb2="02000000" w:usb3="00000000" w:csb0="2000019F" w:csb1="00000000"/>
    <w:embedRegular r:id="rId6" w:fontKey="{6735A06F-6DB8-4870-B40A-51CC01200081}"/>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embedRegular r:id="rId7" w:fontKey="{13A21C7D-B61A-43FB-9D57-CE543E345A78}"/>
  </w:font>
  <w:font w:name="仿宋_GB2312">
    <w:panose1 w:val="02010609030101010101"/>
    <w:charset w:val="86"/>
    <w:family w:val="auto"/>
    <w:pitch w:val="default"/>
    <w:sig w:usb0="00000001" w:usb1="080E0000" w:usb2="00000000" w:usb3="00000000" w:csb0="00040000" w:csb1="00000000"/>
    <w:embedRegular r:id="rId8" w:fontKey="{F18596AA-8B67-4A8B-8B86-00B4426ECAD5}"/>
  </w:font>
  <w:font w:name="方正仿宋_GBK">
    <w:panose1 w:val="02000000000000000000"/>
    <w:charset w:val="86"/>
    <w:family w:val="auto"/>
    <w:pitch w:val="default"/>
    <w:sig w:usb0="A00002BF" w:usb1="38CF7CFA" w:usb2="00082016" w:usb3="00000000" w:csb0="00040001" w:csb1="00000000"/>
    <w:embedRegular r:id="rId9" w:fontKey="{0E8EE9DD-6AAB-463E-9B26-BFFA62558A7C}"/>
  </w:font>
  <w:font w:name="华文中宋">
    <w:panose1 w:val="02010600040101010101"/>
    <w:charset w:val="86"/>
    <w:family w:val="auto"/>
    <w:pitch w:val="default"/>
    <w:sig w:usb0="00000287" w:usb1="080F0000" w:usb2="00000000" w:usb3="00000000" w:csb0="0004009F" w:csb1="DFD70000"/>
    <w:embedRegular r:id="rId10" w:fontKey="{A6FB5BAC-F98E-4A0C-83D5-AC1ED6920965}"/>
  </w:font>
  <w:font w:name="汉仪书宋二S">
    <w:panose1 w:val="00020600040101010101"/>
    <w:charset w:val="86"/>
    <w:family w:val="auto"/>
    <w:pitch w:val="default"/>
    <w:sig w:usb0="A00002BF" w:usb1="18EF7CFA" w:usb2="00000016" w:usb3="00000000" w:csb0="00040000" w:csb1="00000000"/>
    <w:embedRegular r:id="rId11" w:fontKey="{6CCE410B-719F-4634-B22F-C6BD26AC443A}"/>
  </w:font>
  <w:font w:name="华文楷体">
    <w:panose1 w:val="02010600040101010101"/>
    <w:charset w:val="86"/>
    <w:family w:val="auto"/>
    <w:pitch w:val="default"/>
    <w:sig w:usb0="00000287" w:usb1="080F0000" w:usb2="00000000" w:usb3="00000000" w:csb0="0004009F" w:csb1="DFD70000"/>
    <w:embedRegular r:id="rId12" w:fontKey="{670C8C2F-BC89-4696-A646-A26AFBAC4323}"/>
  </w:font>
  <w:font w:name="ˎ̥">
    <w:altName w:val="Times New Roman"/>
    <w:panose1 w:val="00000000000000000000"/>
    <w:charset w:val="00"/>
    <w:family w:val="auto"/>
    <w:pitch w:val="default"/>
    <w:sig w:usb0="00000000" w:usb1="00000000" w:usb2="00000000" w:usb3="00000000" w:csb0="00040001" w:csb1="00000000"/>
    <w:embedRegular r:id="rId13" w:fontKey="{BD530CA8-92D5-4CAA-A251-633DA53CF94C}"/>
  </w:font>
  <w:font w:name="仿宋">
    <w:panose1 w:val="02010609060101010101"/>
    <w:charset w:val="86"/>
    <w:family w:val="auto"/>
    <w:pitch w:val="default"/>
    <w:sig w:usb0="800002BF" w:usb1="38CF7CFA" w:usb2="00000016" w:usb3="00000000" w:csb0="00040001" w:csb1="00000000"/>
    <w:embedRegular r:id="rId14" w:fontKey="{D31DF862-D669-41A5-A859-642D7BDE81F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7C0587B"/>
    <w:multiLevelType w:val="singleLevel"/>
    <w:tmpl w:val="07C0587B"/>
    <w:lvl w:ilvl="0" w:tentative="0">
      <w:start w:val="1"/>
      <w:numFmt w:val="decimal"/>
      <w:lvlText w:val="%1."/>
      <w:lvlJc w:val="left"/>
      <w:pPr>
        <w:ind w:left="425" w:hanging="425"/>
      </w:pPr>
      <w:rPr>
        <w:rFonts w:hint="default"/>
      </w:rPr>
    </w:lvl>
  </w:abstractNum>
  <w:abstractNum w:abstractNumId="9">
    <w:nsid w:val="1918FDE6"/>
    <w:multiLevelType w:val="singleLevel"/>
    <w:tmpl w:val="1918FDE6"/>
    <w:lvl w:ilvl="0" w:tentative="0">
      <w:start w:val="5"/>
      <w:numFmt w:val="chineseCounting"/>
      <w:suff w:val="nothing"/>
      <w:lvlText w:val="%1、"/>
      <w:lvlJc w:val="left"/>
      <w:rPr>
        <w:rFonts w:hint="eastAsia"/>
      </w:rPr>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9"/>
  </w:num>
  <w:num w:numId="4">
    <w:abstractNumId w:val="1"/>
  </w:num>
  <w:num w:numId="5">
    <w:abstractNumId w:val="11"/>
  </w:num>
  <w:num w:numId="6">
    <w:abstractNumId w:val="3"/>
  </w:num>
  <w:num w:numId="7">
    <w:abstractNumId w:val="7"/>
  </w:num>
  <w:num w:numId="8">
    <w:abstractNumId w:val="5"/>
  </w:num>
  <w:num w:numId="9">
    <w:abstractNumId w:val="4"/>
  </w:num>
  <w:num w:numId="10">
    <w:abstractNumId w:val="2"/>
  </w:num>
  <w:num w:numId="11">
    <w:abstractNumId w:val="6"/>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4E68EF"/>
    <w:rsid w:val="01721FEB"/>
    <w:rsid w:val="01722330"/>
    <w:rsid w:val="01B73C1F"/>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DE427B"/>
    <w:rsid w:val="07EC1177"/>
    <w:rsid w:val="08A54D99"/>
    <w:rsid w:val="08E33B14"/>
    <w:rsid w:val="08FF466C"/>
    <w:rsid w:val="097A64AA"/>
    <w:rsid w:val="09B4074E"/>
    <w:rsid w:val="09B47989"/>
    <w:rsid w:val="09CB6A81"/>
    <w:rsid w:val="0A0106F5"/>
    <w:rsid w:val="0A4426BD"/>
    <w:rsid w:val="0A522CFE"/>
    <w:rsid w:val="0A537E82"/>
    <w:rsid w:val="0A670558"/>
    <w:rsid w:val="0A7D1076"/>
    <w:rsid w:val="0A87085A"/>
    <w:rsid w:val="0B5C3158"/>
    <w:rsid w:val="0B845139"/>
    <w:rsid w:val="0B913B41"/>
    <w:rsid w:val="0B9F282B"/>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A50BD3"/>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13420A"/>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4834DE"/>
    <w:rsid w:val="19635BBC"/>
    <w:rsid w:val="19687E48"/>
    <w:rsid w:val="196B1CEA"/>
    <w:rsid w:val="198E1EAE"/>
    <w:rsid w:val="1A24288D"/>
    <w:rsid w:val="1A620D3B"/>
    <w:rsid w:val="1B1B5294"/>
    <w:rsid w:val="1B356450"/>
    <w:rsid w:val="1B434F04"/>
    <w:rsid w:val="1B9C14FB"/>
    <w:rsid w:val="1BEB4F4B"/>
    <w:rsid w:val="1BEF4851"/>
    <w:rsid w:val="1BFD273D"/>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7E90C76"/>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DD362CA"/>
    <w:rsid w:val="2DE52486"/>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0A7416"/>
    <w:rsid w:val="3328091C"/>
    <w:rsid w:val="338F3097"/>
    <w:rsid w:val="339E08FD"/>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4536CE"/>
    <w:rsid w:val="3C9A513B"/>
    <w:rsid w:val="3CCD2793"/>
    <w:rsid w:val="3CFA57E4"/>
    <w:rsid w:val="3D0221DE"/>
    <w:rsid w:val="3D1E60DF"/>
    <w:rsid w:val="3DE2791A"/>
    <w:rsid w:val="3E151A9D"/>
    <w:rsid w:val="3E375EB7"/>
    <w:rsid w:val="3E38205E"/>
    <w:rsid w:val="3E8E35F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1378AD"/>
    <w:rsid w:val="482B73A4"/>
    <w:rsid w:val="48C04CFB"/>
    <w:rsid w:val="48FF5824"/>
    <w:rsid w:val="49266FC3"/>
    <w:rsid w:val="492B03C7"/>
    <w:rsid w:val="493C6A78"/>
    <w:rsid w:val="49425710"/>
    <w:rsid w:val="494E2C0F"/>
    <w:rsid w:val="498E5824"/>
    <w:rsid w:val="49DE053E"/>
    <w:rsid w:val="4A625D30"/>
    <w:rsid w:val="4A767D68"/>
    <w:rsid w:val="4AF06889"/>
    <w:rsid w:val="4B475260"/>
    <w:rsid w:val="4B4C2876"/>
    <w:rsid w:val="4B9E1324"/>
    <w:rsid w:val="4BBF201F"/>
    <w:rsid w:val="4BE17463"/>
    <w:rsid w:val="4CA26BF2"/>
    <w:rsid w:val="4CEE1E37"/>
    <w:rsid w:val="4CF64AB0"/>
    <w:rsid w:val="4D145F92"/>
    <w:rsid w:val="4D330192"/>
    <w:rsid w:val="4D461C73"/>
    <w:rsid w:val="4E092CA1"/>
    <w:rsid w:val="4E4156DB"/>
    <w:rsid w:val="4E567259"/>
    <w:rsid w:val="4E93713A"/>
    <w:rsid w:val="4F1456D4"/>
    <w:rsid w:val="4F3112CD"/>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5F51857"/>
    <w:rsid w:val="56383CF3"/>
    <w:rsid w:val="56455CD4"/>
    <w:rsid w:val="565C42B5"/>
    <w:rsid w:val="56AE76A6"/>
    <w:rsid w:val="56AF2613"/>
    <w:rsid w:val="56D4209E"/>
    <w:rsid w:val="56DB2C2D"/>
    <w:rsid w:val="56E4418B"/>
    <w:rsid w:val="57064221"/>
    <w:rsid w:val="57452F9B"/>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EEA7191"/>
    <w:rsid w:val="5F181B76"/>
    <w:rsid w:val="5F463D55"/>
    <w:rsid w:val="5FD4389C"/>
    <w:rsid w:val="5FEC48FC"/>
    <w:rsid w:val="6013374F"/>
    <w:rsid w:val="60545FFD"/>
    <w:rsid w:val="60B116A2"/>
    <w:rsid w:val="60B42F40"/>
    <w:rsid w:val="60B7767B"/>
    <w:rsid w:val="61137C66"/>
    <w:rsid w:val="61495A16"/>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2142F"/>
    <w:rsid w:val="67EA0511"/>
    <w:rsid w:val="68077DF9"/>
    <w:rsid w:val="68382663"/>
    <w:rsid w:val="686314D3"/>
    <w:rsid w:val="6888718C"/>
    <w:rsid w:val="68A629A9"/>
    <w:rsid w:val="68E5527F"/>
    <w:rsid w:val="693104DD"/>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154292"/>
    <w:rsid w:val="6D7D3037"/>
    <w:rsid w:val="6D934609"/>
    <w:rsid w:val="6DAE50AD"/>
    <w:rsid w:val="6DDA2238"/>
    <w:rsid w:val="6E0E1EE1"/>
    <w:rsid w:val="6E5A21EA"/>
    <w:rsid w:val="6EB8009F"/>
    <w:rsid w:val="6EC72090"/>
    <w:rsid w:val="6F834B73"/>
    <w:rsid w:val="6F857F81"/>
    <w:rsid w:val="6FC62348"/>
    <w:rsid w:val="6FE10E18"/>
    <w:rsid w:val="6FE275FF"/>
    <w:rsid w:val="6FEC14A9"/>
    <w:rsid w:val="6FEC6252"/>
    <w:rsid w:val="702E23C7"/>
    <w:rsid w:val="706B487A"/>
    <w:rsid w:val="70A15EF2"/>
    <w:rsid w:val="70CB230C"/>
    <w:rsid w:val="721E46BD"/>
    <w:rsid w:val="72271FEC"/>
    <w:rsid w:val="72655E48"/>
    <w:rsid w:val="72824C4C"/>
    <w:rsid w:val="728A3B01"/>
    <w:rsid w:val="72D3061E"/>
    <w:rsid w:val="72D93738"/>
    <w:rsid w:val="73131D48"/>
    <w:rsid w:val="73434202"/>
    <w:rsid w:val="734819F2"/>
    <w:rsid w:val="734B7734"/>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2C4231"/>
    <w:rsid w:val="76391AC6"/>
    <w:rsid w:val="765B7C8E"/>
    <w:rsid w:val="766F3739"/>
    <w:rsid w:val="76707B96"/>
    <w:rsid w:val="76726D86"/>
    <w:rsid w:val="768D36C7"/>
    <w:rsid w:val="76C3504D"/>
    <w:rsid w:val="770422FE"/>
    <w:rsid w:val="7746449A"/>
    <w:rsid w:val="775546DD"/>
    <w:rsid w:val="778C3E77"/>
    <w:rsid w:val="77E31CE9"/>
    <w:rsid w:val="78376C25"/>
    <w:rsid w:val="78746DE5"/>
    <w:rsid w:val="78A72AF0"/>
    <w:rsid w:val="790A5788"/>
    <w:rsid w:val="790F6B0E"/>
    <w:rsid w:val="79134850"/>
    <w:rsid w:val="79200163"/>
    <w:rsid w:val="79261AEA"/>
    <w:rsid w:val="7956473D"/>
    <w:rsid w:val="798661F3"/>
    <w:rsid w:val="799314ED"/>
    <w:rsid w:val="79C614DA"/>
    <w:rsid w:val="79EE2C15"/>
    <w:rsid w:val="7AA46F38"/>
    <w:rsid w:val="7AFD3C2E"/>
    <w:rsid w:val="7B467F1D"/>
    <w:rsid w:val="7BA7772C"/>
    <w:rsid w:val="7C0924C9"/>
    <w:rsid w:val="7C507B69"/>
    <w:rsid w:val="7C711A95"/>
    <w:rsid w:val="7C8D4919"/>
    <w:rsid w:val="7CBA4FE2"/>
    <w:rsid w:val="7CD24A22"/>
    <w:rsid w:val="7D2F777E"/>
    <w:rsid w:val="7D5F0561"/>
    <w:rsid w:val="7D60202E"/>
    <w:rsid w:val="7D6458CE"/>
    <w:rsid w:val="7D8555F0"/>
    <w:rsid w:val="7D916095"/>
    <w:rsid w:val="7DA71A0B"/>
    <w:rsid w:val="7DB14637"/>
    <w:rsid w:val="7DC51E91"/>
    <w:rsid w:val="7E141A72"/>
    <w:rsid w:val="7E703977"/>
    <w:rsid w:val="7E963DC6"/>
    <w:rsid w:val="7EF02F3D"/>
    <w:rsid w:val="7F0F6F40"/>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8"/>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25"/>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qFormat/>
    <w:uiPriority w:val="0"/>
    <w:pPr>
      <w:spacing w:line="360" w:lineRule="auto"/>
    </w:pPr>
    <w:rPr>
      <w:b/>
      <w:bCs/>
      <w:sz w:val="24"/>
    </w:rPr>
  </w:style>
  <w:style w:type="paragraph" w:styleId="8">
    <w:name w:val="Document Map"/>
    <w:basedOn w:val="1"/>
    <w:link w:val="34"/>
    <w:semiHidden/>
    <w:unhideWhenUsed/>
    <w:qFormat/>
    <w:uiPriority w:val="99"/>
    <w:rPr>
      <w:rFonts w:ascii="宋体" w:eastAsia="宋体"/>
      <w:sz w:val="18"/>
      <w:szCs w:val="18"/>
    </w:rPr>
  </w:style>
  <w:style w:type="paragraph" w:styleId="9">
    <w:name w:val="annotation text"/>
    <w:basedOn w:val="1"/>
    <w:link w:val="35"/>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32"/>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character" w:customStyle="1" w:styleId="25">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26">
    <w:name w:val="标题 3 Char"/>
    <w:qFormat/>
    <w:uiPriority w:val="0"/>
    <w:rPr>
      <w:rFonts w:ascii="黑体" w:eastAsia="黑体"/>
      <w:bCs/>
      <w:sz w:val="30"/>
    </w:rPr>
  </w:style>
  <w:style w:type="character" w:customStyle="1" w:styleId="27">
    <w:name w:val="页脚 Char"/>
    <w:basedOn w:val="19"/>
    <w:link w:val="11"/>
    <w:qFormat/>
    <w:uiPriority w:val="99"/>
    <w:rPr>
      <w:sz w:val="18"/>
      <w:szCs w:val="18"/>
    </w:rPr>
  </w:style>
  <w:style w:type="character" w:customStyle="1" w:styleId="28">
    <w:name w:val="标题 1 Char"/>
    <w:basedOn w:val="19"/>
    <w:link w:val="2"/>
    <w:qFormat/>
    <w:uiPriority w:val="0"/>
    <w:rPr>
      <w:rFonts w:ascii="Arial" w:hAnsi="Arial" w:eastAsia="宋体" w:cs="Times New Roman"/>
      <w:b/>
      <w:bCs/>
      <w:kern w:val="44"/>
      <w:sz w:val="44"/>
      <w:szCs w:val="44"/>
    </w:rPr>
  </w:style>
  <w:style w:type="paragraph" w:styleId="29">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30">
    <w:name w:val="页眉 Char"/>
    <w:basedOn w:val="19"/>
    <w:link w:val="12"/>
    <w:semiHidden/>
    <w:qFormat/>
    <w:uiPriority w:val="99"/>
    <w:rPr>
      <w:sz w:val="18"/>
      <w:szCs w:val="18"/>
    </w:rPr>
  </w:style>
  <w:style w:type="character" w:customStyle="1" w:styleId="31">
    <w:name w:val="批注框文本 Char"/>
    <w:basedOn w:val="19"/>
    <w:link w:val="10"/>
    <w:semiHidden/>
    <w:qFormat/>
    <w:uiPriority w:val="99"/>
    <w:rPr>
      <w:sz w:val="18"/>
      <w:szCs w:val="18"/>
    </w:rPr>
  </w:style>
  <w:style w:type="character" w:customStyle="1" w:styleId="32">
    <w:name w:val="普通(网站) Char"/>
    <w:link w:val="14"/>
    <w:qFormat/>
    <w:uiPriority w:val="99"/>
    <w:rPr>
      <w:rFonts w:ascii="宋体" w:hAnsi="宋体"/>
      <w:sz w:val="24"/>
      <w:szCs w:val="24"/>
    </w:rPr>
  </w:style>
  <w:style w:type="paragraph" w:styleId="33">
    <w:name w:val="List Paragraph"/>
    <w:basedOn w:val="1"/>
    <w:next w:val="1"/>
    <w:qFormat/>
    <w:uiPriority w:val="34"/>
    <w:pPr>
      <w:ind w:firstLine="420" w:firstLineChars="200"/>
    </w:pPr>
  </w:style>
  <w:style w:type="character" w:customStyle="1" w:styleId="34">
    <w:name w:val="文档结构图 Char"/>
    <w:basedOn w:val="19"/>
    <w:link w:val="8"/>
    <w:semiHidden/>
    <w:qFormat/>
    <w:uiPriority w:val="99"/>
    <w:rPr>
      <w:rFonts w:ascii="宋体" w:eastAsia="宋体"/>
      <w:sz w:val="18"/>
      <w:szCs w:val="18"/>
    </w:rPr>
  </w:style>
  <w:style w:type="character" w:customStyle="1" w:styleId="35">
    <w:name w:val="批注文字 Char"/>
    <w:basedOn w:val="19"/>
    <w:link w:val="9"/>
    <w:qFormat/>
    <w:uiPriority w:val="99"/>
  </w:style>
  <w:style w:type="character" w:customStyle="1" w:styleId="36">
    <w:name w:val="批注主题 Char"/>
    <w:basedOn w:val="35"/>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1"/>
      <w:szCs w:val="21"/>
      <w:u w:val="none"/>
    </w:rPr>
  </w:style>
  <w:style w:type="character" w:customStyle="1" w:styleId="39">
    <w:name w:val="font21"/>
    <w:basedOn w:val="19"/>
    <w:qFormat/>
    <w:uiPriority w:val="0"/>
    <w:rPr>
      <w:rFonts w:hint="eastAsia" w:ascii="宋体" w:hAnsi="宋体" w:eastAsia="宋体" w:cs="宋体"/>
      <w:color w:val="000000"/>
      <w:sz w:val="22"/>
      <w:szCs w:val="22"/>
      <w:u w:val="none"/>
    </w:rPr>
  </w:style>
  <w:style w:type="character" w:customStyle="1" w:styleId="40">
    <w:name w:val="font31"/>
    <w:basedOn w:val="19"/>
    <w:qFormat/>
    <w:uiPriority w:val="0"/>
    <w:rPr>
      <w:rFonts w:hint="eastAsia" w:ascii="宋体" w:hAnsi="宋体" w:eastAsia="宋体" w:cs="宋体"/>
      <w:color w:val="FF0000"/>
      <w:sz w:val="22"/>
      <w:szCs w:val="22"/>
      <w:u w:val="none"/>
    </w:rPr>
  </w:style>
  <w:style w:type="character" w:customStyle="1" w:styleId="41">
    <w:name w:val="font51"/>
    <w:basedOn w:val="19"/>
    <w:qFormat/>
    <w:uiPriority w:val="0"/>
    <w:rPr>
      <w:rFonts w:hint="eastAsia" w:ascii="宋体" w:hAnsi="宋体" w:eastAsia="宋体" w:cs="宋体"/>
      <w:color w:val="FF0000"/>
      <w:sz w:val="21"/>
      <w:szCs w:val="21"/>
      <w:u w:val="none"/>
    </w:rPr>
  </w:style>
  <w:style w:type="character" w:customStyle="1" w:styleId="42">
    <w:name w:val="font01"/>
    <w:basedOn w:val="19"/>
    <w:qFormat/>
    <w:uiPriority w:val="0"/>
    <w:rPr>
      <w:rFonts w:hint="eastAsia" w:ascii="宋体" w:hAnsi="宋体" w:eastAsia="宋体" w:cs="宋体"/>
      <w:color w:val="000000"/>
      <w:sz w:val="22"/>
      <w:szCs w:val="22"/>
      <w:u w:val="none"/>
    </w:rPr>
  </w:style>
  <w:style w:type="character" w:customStyle="1" w:styleId="43">
    <w:name w:val="font61"/>
    <w:basedOn w:val="19"/>
    <w:qFormat/>
    <w:uiPriority w:val="0"/>
    <w:rPr>
      <w:rFonts w:hint="eastAsia" w:ascii="宋体" w:hAnsi="宋体" w:eastAsia="宋体" w:cs="宋体"/>
      <w:color w:val="000000"/>
      <w:sz w:val="21"/>
      <w:szCs w:val="21"/>
      <w:u w:val="none"/>
    </w:rPr>
  </w:style>
  <w:style w:type="character" w:customStyle="1" w:styleId="44">
    <w:name w:val="font141"/>
    <w:basedOn w:val="19"/>
    <w:qFormat/>
    <w:uiPriority w:val="0"/>
    <w:rPr>
      <w:rFonts w:hint="eastAsia" w:ascii="宋体" w:hAnsi="宋体" w:eastAsia="宋体" w:cs="宋体"/>
      <w:b/>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70</Pages>
  <Words>8724</Words>
  <Characters>9322</Characters>
  <Lines>316</Lines>
  <Paragraphs>88</Paragraphs>
  <TotalTime>18</TotalTime>
  <ScaleCrop>false</ScaleCrop>
  <LinksUpToDate>false</LinksUpToDate>
  <CharactersWithSpaces>9432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2025-07-19T06:34:49Z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eyJoZGlkIjoiNzYxODEzY2I5MjIzMjcwMjQxNGExODQ4NjkzOTBjMDgiLCJ1c2VySWQiOiI4NzM4NzY3OTcifQ==</vt:lpwstr>
  </property>
</Properties>
</file>