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7"/>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7"/>
        <w:jc w:val="center"/>
        <w:outlineLvl w:val="1"/>
        <w:rPr>
          <w:rFonts w:ascii="黑体" w:eastAsia="黑体" w:cs="黑体"/>
          <w:sz w:val="40"/>
          <w:szCs w:val="40"/>
        </w:rPr>
      </w:pPr>
      <w:r>
        <w:rPr>
          <w:rFonts w:hint="eastAsia" w:ascii="黑体" w:eastAsia="黑体" w:cs="黑体"/>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项目编号：</w:t>
            </w:r>
          </w:p>
        </w:tc>
        <w:tc>
          <w:tcPr>
            <w:tcW w:w="5220" w:type="dxa"/>
            <w:vAlign w:val="center"/>
          </w:tcPr>
          <w:p>
            <w:pPr>
              <w:rPr>
                <w:sz w:val="30"/>
                <w:szCs w:val="30"/>
              </w:rPr>
            </w:pPr>
            <w:r>
              <w:rPr>
                <w:rFonts w:hint="eastAsia" w:ascii="宋体" w:hAnsi="宋体"/>
                <w:sz w:val="30"/>
                <w:szCs w:val="30"/>
              </w:rPr>
              <w:t>BAZXCG-2025-00413</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项目名称：</w:t>
            </w:r>
          </w:p>
        </w:tc>
        <w:tc>
          <w:tcPr>
            <w:tcW w:w="5220" w:type="dxa"/>
            <w:vAlign w:val="center"/>
          </w:tcPr>
          <w:p>
            <w:pPr>
              <w:rPr>
                <w:sz w:val="30"/>
                <w:szCs w:val="30"/>
              </w:rPr>
            </w:pPr>
            <w:r>
              <w:rPr>
                <w:rFonts w:hint="eastAsia" w:ascii="宋体" w:hAnsi="宋体"/>
                <w:sz w:val="30"/>
                <w:szCs w:val="30"/>
              </w:rPr>
              <w:t>深圳市宝安区前湾学校音乐教室设备采购项目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项目类型：</w:t>
            </w:r>
          </w:p>
        </w:tc>
        <w:tc>
          <w:tcPr>
            <w:tcW w:w="5220" w:type="dxa"/>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采购方式：</w:t>
            </w:r>
          </w:p>
        </w:tc>
        <w:tc>
          <w:tcPr>
            <w:tcW w:w="5220" w:type="dxa"/>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货币类型：</w:t>
            </w:r>
          </w:p>
        </w:tc>
        <w:tc>
          <w:tcPr>
            <w:tcW w:w="5220" w:type="dxa"/>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vAlign w:val="center"/>
          </w:tcPr>
          <w:p>
            <w:pPr>
              <w:widowControl/>
              <w:jc w:val="right"/>
              <w:rPr>
                <w:sz w:val="30"/>
                <w:szCs w:val="30"/>
              </w:rPr>
            </w:pPr>
            <w:r>
              <w:rPr>
                <w:rFonts w:ascii="宋体" w:hAnsi="宋体" w:cs="宋体"/>
                <w:kern w:val="0"/>
                <w:sz w:val="30"/>
                <w:szCs w:val="30"/>
                <w:lang w:bidi="ar"/>
              </w:rPr>
              <w:t>评标方法：</w:t>
            </w:r>
          </w:p>
        </w:tc>
        <w:tc>
          <w:tcPr>
            <w:tcW w:w="5220" w:type="dxa"/>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7"/>
        <w:jc w:val="center"/>
        <w:outlineLvl w:val="1"/>
        <w:rPr>
          <w:rFonts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7"/>
        <w:jc w:val="center"/>
        <w:outlineLvl w:val="1"/>
        <w:rPr>
          <w:rFonts w:ascii="黑体" w:eastAsia="黑体" w:cs="黑体"/>
          <w:sz w:val="40"/>
          <w:szCs w:val="40"/>
        </w:rPr>
      </w:pPr>
      <w:r>
        <w:rPr>
          <w:rFonts w:hint="eastAsia" w:ascii="黑体" w:eastAsia="黑体" w:cs="黑体"/>
          <w:sz w:val="40"/>
          <w:szCs w:val="40"/>
        </w:rPr>
        <w:t>资格性审查表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7"/>
        <w:spacing w:before="280" w:beforeAutospacing="0"/>
        <w:jc w:val="center"/>
        <w:outlineLvl w:val="1"/>
        <w:rPr>
          <w:rFonts w:ascii="黑体" w:eastAsia="黑体" w:cs="黑体"/>
          <w:sz w:val="40"/>
          <w:szCs w:val="40"/>
        </w:rPr>
      </w:pPr>
      <w:r>
        <w:rPr>
          <w:rFonts w:hint="eastAsia" w:ascii="黑体" w:eastAsia="黑体" w:cs="黑体"/>
          <w:sz w:val="40"/>
          <w:szCs w:val="40"/>
        </w:rPr>
        <w:t>符合性审查表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rFonts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rFonts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tcPr>
          <w:p>
            <w:pPr>
              <w:widowControl/>
              <w:jc w:val="left"/>
              <w:textAlignment w:val="top"/>
              <w:rPr>
                <w:szCs w:val="21"/>
              </w:rPr>
            </w:pPr>
            <w:r>
              <w:rPr>
                <w:rFonts w:hint="eastAsia"/>
              </w:rPr>
              <w:t>法律、法规、规章、规范性文件规定的其他情形。</w:t>
            </w:r>
          </w:p>
        </w:tc>
      </w:tr>
    </w:tbl>
    <w:p>
      <w:pPr>
        <w:pStyle w:val="17"/>
        <w:jc w:val="center"/>
        <w:outlineLvl w:val="1"/>
        <w:rPr>
          <w:rFonts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7"/>
        <w:jc w:val="center"/>
        <w:outlineLvl w:val="1"/>
        <w:rPr>
          <w:rFonts w:ascii="黑体" w:eastAsia="黑体" w:cs="黑体"/>
          <w:sz w:val="40"/>
          <w:szCs w:val="40"/>
        </w:rPr>
      </w:pPr>
      <w:r>
        <w:rPr>
          <w:rFonts w:hint="eastAsia" w:ascii="黑体" w:eastAsia="黑体" w:cs="黑体"/>
          <w:sz w:val="40"/>
          <w:szCs w:val="40"/>
        </w:rPr>
        <w:t>评标信息</w:t>
      </w:r>
    </w:p>
    <w:tbl>
      <w:tblPr>
        <w:tblStyle w:val="19"/>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vAlign w:val="center"/>
          </w:tcPr>
          <w:p>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p>
          <w:p>
            <w:pPr>
              <w:ind w:firstLine="420"/>
              <w:rPr>
                <w:szCs w:val="21"/>
              </w:rPr>
            </w:pP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7"/>
              <w:spacing w:beforeAutospacing="0" w:afterAutospacing="0"/>
              <w:ind w:left="420"/>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hint="eastAsia"/>
                <w:b/>
                <w:bCs/>
                <w:color w:val="0000FF"/>
                <w:sz w:val="24"/>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vAlign w:val="center"/>
          </w:tcPr>
          <w:p>
            <w:pPr>
              <w:snapToGrid w:val="0"/>
              <w:jc w:val="center"/>
              <w:rPr>
                <w:rFonts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szCs w:val="21"/>
              </w:rPr>
              <w:t>20</w:t>
            </w:r>
          </w:p>
        </w:tc>
        <w:tc>
          <w:tcPr>
            <w:tcW w:w="4198" w:type="dxa"/>
            <w:tcBorders>
              <w:top w:val="single" w:color="000000" w:sz="8" w:space="0"/>
              <w:left w:val="single" w:color="000000" w:sz="8" w:space="0"/>
              <w:bottom w:val="single" w:color="000000" w:sz="8" w:space="0"/>
              <w:right w:val="single" w:color="000000" w:sz="8" w:space="0"/>
            </w:tcBorders>
          </w:tcPr>
          <w:p>
            <w:pPr>
              <w:snapToGrid w:val="0"/>
              <w:rPr>
                <w:rFonts w:ascii="宋体" w:hAnsi="宋体" w:eastAsia="宋体" w:cs="宋体"/>
                <w:kern w:val="0"/>
                <w:szCs w:val="21"/>
              </w:rPr>
            </w:pPr>
            <w:r>
              <w:rPr>
                <w:rFonts w:hint="eastAsia" w:ascii="宋体" w:hAnsi="宋体" w:eastAsia="宋体" w:cs="宋体"/>
                <w:kern w:val="0"/>
                <w:szCs w:val="21"/>
              </w:rPr>
              <w:t>（一）评审内容：</w:t>
            </w:r>
          </w:p>
          <w:p>
            <w:pPr>
              <w:snapToGrid w:val="0"/>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1项“▲”参数不符合招标要求（或缺漏）的扣6.67分，最低得0分。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vAlign w:val="center"/>
          </w:tcPr>
          <w:p>
            <w:pPr>
              <w:snapToGrid w:val="0"/>
              <w:jc w:val="center"/>
              <w:rPr>
                <w:rFonts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szCs w:val="21"/>
              </w:rPr>
              <w:t>10</w:t>
            </w:r>
          </w:p>
        </w:tc>
        <w:tc>
          <w:tcPr>
            <w:tcW w:w="4198" w:type="dxa"/>
            <w:tcBorders>
              <w:top w:val="single" w:color="000000" w:sz="8" w:space="0"/>
              <w:left w:val="single" w:color="000000" w:sz="8" w:space="0"/>
              <w:bottom w:val="single" w:color="000000" w:sz="8" w:space="0"/>
              <w:right w:val="single" w:color="000000" w:sz="8" w:space="0"/>
            </w:tcBorders>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1项非“▲”参数不符合招标要求（或缺漏）的扣1.1分，最低得0分。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vAlign w:val="center"/>
          </w:tcPr>
          <w:p>
            <w:pPr>
              <w:snapToGrid w:val="0"/>
              <w:jc w:val="center"/>
              <w:rPr>
                <w:rFonts w:ascii="宋体" w:hAnsi="宋体" w:eastAsia="宋体" w:cs="宋体"/>
                <w:szCs w:val="21"/>
              </w:rPr>
            </w:pPr>
            <w:r>
              <w:rPr>
                <w:rFonts w:hint="eastAsia" w:ascii="宋体" w:hAnsi="宋体" w:eastAsia="宋体" w:cs="宋体"/>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eastAsia="宋体"/>
                <w:szCs w:val="21"/>
              </w:rPr>
            </w:pPr>
            <w:r>
              <w:rPr>
                <w:rFonts w:hint="eastAsia"/>
                <w:szCs w:val="21"/>
              </w:rPr>
              <w:t>2</w:t>
            </w:r>
          </w:p>
        </w:tc>
        <w:tc>
          <w:tcPr>
            <w:tcW w:w="4198" w:type="dxa"/>
            <w:tcBorders>
              <w:top w:val="single" w:color="000000" w:sz="8" w:space="0"/>
              <w:left w:val="single" w:color="000000" w:sz="8" w:space="0"/>
              <w:bottom w:val="single" w:color="000000" w:sz="8" w:space="0"/>
              <w:right w:val="single" w:color="000000" w:sz="8" w:space="0"/>
            </w:tcBorders>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pacing w:line="300" w:lineRule="exact"/>
              <w:rPr>
                <w:rFonts w:ascii="宋体" w:hAnsi="宋体" w:eastAsia="宋体" w:cs="宋体"/>
                <w:szCs w:val="21"/>
              </w:rPr>
            </w:pPr>
            <w:r>
              <w:rPr>
                <w:rFonts w:hint="eastAsia" w:ascii="宋体" w:hAnsi="宋体" w:eastAsia="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ascii="宋体" w:hAnsi="宋体" w:eastAsia="宋体" w:cs="宋体"/>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宋体"/>
                <w:szCs w:val="21"/>
              </w:rPr>
            </w:pPr>
            <w:r>
              <w:rPr>
                <w:rFonts w:hint="eastAsia" w:ascii="宋体" w:hAnsi="宋体" w:eastAsia="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vAlign w:val="center"/>
          </w:tcPr>
          <w:p>
            <w:pPr>
              <w:snapToGrid w:val="0"/>
              <w:jc w:val="center"/>
              <w:rPr>
                <w:rFonts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szCs w:val="21"/>
              </w:rPr>
              <w:t>2</w:t>
            </w:r>
          </w:p>
        </w:tc>
        <w:tc>
          <w:tcPr>
            <w:tcW w:w="4198" w:type="dxa"/>
            <w:tcBorders>
              <w:top w:val="single" w:color="000000" w:sz="8" w:space="0"/>
              <w:left w:val="single" w:color="000000" w:sz="8" w:space="0"/>
              <w:bottom w:val="single" w:color="000000" w:sz="8" w:space="0"/>
              <w:right w:val="single" w:color="000000" w:sz="8" w:space="0"/>
            </w:tcBorders>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jc w:val="left"/>
              <w:textAlignment w:val="center"/>
              <w:rPr>
                <w:rFonts w:ascii="宋体" w:hAnsi="宋体" w:eastAsia="宋体" w:cs="宋体"/>
                <w:szCs w:val="21"/>
              </w:rPr>
            </w:pPr>
            <w:r>
              <w:rPr>
                <w:rFonts w:hint="eastAsia" w:ascii="宋体" w:hAnsi="宋体" w:eastAsia="宋体" w:cs="宋体"/>
                <w:szCs w:val="21"/>
              </w:rPr>
              <w:t>8</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（一）评审内容：</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整体方案符合各项功能性配置及参数符合招标文件要求，空间设计布置合理，符合采购单位需求，针对本项目提供项目设计图方案，方案中应包含：</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1、场所平面布置图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2、场所效果图。</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（二）评审标准：</w:t>
            </w:r>
          </w:p>
          <w:p>
            <w:pPr>
              <w:pStyle w:val="8"/>
              <w:wordWrap w:val="0"/>
              <w:spacing w:line="240" w:lineRule="auto"/>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方案中含有上述一个内容得30分，最高得60分。</w:t>
            </w:r>
          </w:p>
          <w:p>
            <w:pPr>
              <w:pStyle w:val="8"/>
              <w:wordWrap w:val="0"/>
              <w:spacing w:line="240" w:lineRule="auto"/>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1）优：效果图有结合现场实际环境设计、图纸合理符合评审要求、设计风格统一协调、可实施性强、清晰准确、符合学校的实际需求，评价为优，得40分；</w:t>
            </w:r>
          </w:p>
          <w:p>
            <w:pPr>
              <w:pStyle w:val="8"/>
              <w:wordWrap w:val="0"/>
              <w:spacing w:line="240" w:lineRule="auto"/>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2）良：效果图有结合现场实际环境设计、图纸较合理、设计风格比较统一协调、符合学校整体的审美、可实施较强、较清晰准确，较好的满足学校实际需求，得20分；</w:t>
            </w:r>
          </w:p>
          <w:p>
            <w:pPr>
              <w:pStyle w:val="8"/>
              <w:wordWrap w:val="0"/>
              <w:spacing w:line="240" w:lineRule="auto"/>
              <w:rPr>
                <w:rFonts w:ascii="宋体" w:hAnsi="宋体" w:eastAsia="宋体" w:cs="宋体"/>
                <w:sz w:val="21"/>
                <w:szCs w:val="21"/>
              </w:rPr>
            </w:pPr>
            <w:r>
              <w:rPr>
                <w:rFonts w:hint="eastAsia" w:asciiTheme="minorEastAsia" w:hAnsiTheme="minorEastAsia" w:cstheme="minorEastAsia"/>
                <w:b w:val="0"/>
                <w:bCs w:val="0"/>
                <w:sz w:val="21"/>
                <w:szCs w:val="21"/>
              </w:rPr>
              <w:t>3）设计图有结合现场实际环境设计，内容不完整、设计风格不协调、效果图随意拼凑，得0分；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6</w:t>
            </w:r>
          </w:p>
        </w:tc>
        <w:tc>
          <w:tcPr>
            <w:tcW w:w="2837"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jc w:val="left"/>
              <w:textAlignment w:val="center"/>
              <w:rPr>
                <w:rFonts w:ascii="宋体" w:hAnsi="宋体" w:eastAsia="宋体" w:cs="宋体"/>
                <w:szCs w:val="21"/>
              </w:rPr>
            </w:pPr>
            <w:r>
              <w:rPr>
                <w:rFonts w:hint="eastAsia" w:ascii="宋体" w:hAnsi="宋体" w:eastAsia="宋体" w:cs="宋体"/>
                <w:szCs w:val="21"/>
              </w:rPr>
              <w:t>7</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（一）评审内容：</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投标人提供本项目的组织实施方案，方案中应包含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1、项目进度计划安排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2、施工组织计划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3、验收组织计划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4、产品培训方案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含有上述一</w:t>
            </w:r>
            <w:r>
              <w:rPr>
                <w:rFonts w:hint="eastAsia" w:ascii="宋体" w:hAnsi="宋体" w:cs="宋体"/>
                <w:kern w:val="0"/>
                <w:szCs w:val="21"/>
                <w:lang w:bidi="ar"/>
              </w:rPr>
              <w:t>项</w:t>
            </w:r>
            <w:r>
              <w:rPr>
                <w:rFonts w:hint="eastAsia" w:ascii="宋体" w:hAnsi="宋体" w:eastAsia="宋体" w:cs="宋体"/>
                <w:kern w:val="0"/>
                <w:szCs w:val="21"/>
                <w:lang w:bidi="ar"/>
              </w:rPr>
              <w:t>内容得15分</w:t>
            </w:r>
            <w:r>
              <w:rPr>
                <w:rFonts w:hint="eastAsia" w:ascii="宋体" w:hAnsi="宋体" w:cs="宋体"/>
                <w:kern w:val="0"/>
                <w:szCs w:val="21"/>
                <w:lang w:bidi="ar"/>
              </w:rPr>
              <w:t>，最高得60分</w:t>
            </w:r>
            <w:r>
              <w:rPr>
                <w:rFonts w:hint="eastAsia" w:ascii="宋体" w:hAnsi="宋体" w:eastAsia="宋体" w:cs="宋体"/>
                <w:kern w:val="0"/>
                <w:szCs w:val="21"/>
                <w:lang w:bidi="ar"/>
              </w:rPr>
              <w:t>。</w:t>
            </w:r>
          </w:p>
          <w:p>
            <w:pPr>
              <w:widowControl/>
              <w:jc w:val="left"/>
              <w:textAlignment w:val="center"/>
              <w:rPr>
                <w:rFonts w:ascii="宋体" w:hAnsi="宋体" w:eastAsia="宋体" w:cs="宋体"/>
                <w:kern w:val="0"/>
                <w:szCs w:val="21"/>
                <w:lang w:bidi="ar"/>
              </w:rPr>
            </w:pPr>
            <w:r>
              <w:rPr>
                <w:rFonts w:hint="eastAsia" w:ascii="宋体" w:hAnsi="宋体" w:cs="宋体"/>
                <w:kern w:val="0"/>
                <w:szCs w:val="21"/>
                <w:lang w:bidi="ar"/>
              </w:rPr>
              <w:t>（二）评分准则：</w:t>
            </w:r>
          </w:p>
          <w:p>
            <w:pPr>
              <w:widowControl/>
              <w:jc w:val="left"/>
              <w:textAlignment w:val="center"/>
              <w:rPr>
                <w:rFonts w:ascii="宋体" w:hAnsi="宋体" w:eastAsia="宋体" w:cs="宋体"/>
                <w:szCs w:val="21"/>
              </w:rPr>
            </w:pPr>
            <w:r>
              <w:rPr>
                <w:rFonts w:hint="eastAsia" w:ascii="宋体" w:hAnsi="宋体" w:eastAsia="宋体" w:cs="宋体"/>
                <w:kern w:val="0"/>
                <w:szCs w:val="21"/>
                <w:lang w:bidi="ar"/>
              </w:rPr>
              <w:t xml:space="preserve">在此基础上，对方案的合理性、可行性进行打分。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1、方案清晰周密、合理可行、表述完整、方法得当、技术先进、符合相关规范要求得40分。</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2、方案基本可行表述基本完整得20分。</w:t>
            </w:r>
          </w:p>
          <w:p>
            <w:pPr>
              <w:widowControl/>
              <w:jc w:val="left"/>
              <w:textAlignment w:val="center"/>
              <w:rPr>
                <w:rFonts w:ascii="宋体" w:hAnsi="宋体" w:eastAsia="宋体" w:cs="宋体"/>
                <w:szCs w:val="21"/>
              </w:rPr>
            </w:pPr>
            <w:r>
              <w:rPr>
                <w:rFonts w:hint="eastAsia" w:ascii="宋体" w:hAnsi="宋体" w:eastAsia="宋体" w:cs="宋体"/>
                <w:kern w:val="0"/>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left"/>
              <w:textAlignment w:val="center"/>
              <w:rPr>
                <w:rFonts w:ascii="宋体" w:hAnsi="宋体" w:eastAsia="宋体" w:cs="宋体"/>
                <w:szCs w:val="21"/>
              </w:rPr>
            </w:pPr>
            <w:r>
              <w:rPr>
                <w:rFonts w:hint="eastAsia" w:ascii="宋体" w:hAnsi="宋体" w:eastAsia="宋体" w:cs="宋体"/>
                <w:szCs w:val="21"/>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（一）评审内容：</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投标人提供本项目的售后服务方案，方案中应包含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1、服务内容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2、维修应急方案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3、培训计划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4、其他特色服务等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含有上述一</w:t>
            </w:r>
            <w:r>
              <w:rPr>
                <w:rFonts w:hint="eastAsia" w:ascii="宋体" w:hAnsi="宋体" w:cs="宋体"/>
                <w:kern w:val="0"/>
                <w:szCs w:val="21"/>
                <w:lang w:bidi="ar"/>
              </w:rPr>
              <w:t>项</w:t>
            </w:r>
            <w:r>
              <w:rPr>
                <w:rFonts w:hint="eastAsia" w:ascii="宋体" w:hAnsi="宋体" w:eastAsia="宋体" w:cs="宋体"/>
                <w:kern w:val="0"/>
                <w:szCs w:val="21"/>
                <w:lang w:bidi="ar"/>
              </w:rPr>
              <w:t>内容得15分</w:t>
            </w:r>
            <w:r>
              <w:rPr>
                <w:rFonts w:hint="eastAsia" w:ascii="宋体" w:hAnsi="宋体" w:cs="宋体"/>
                <w:kern w:val="0"/>
                <w:szCs w:val="21"/>
                <w:lang w:bidi="ar"/>
              </w:rPr>
              <w:t>，最高得60分</w:t>
            </w:r>
            <w:r>
              <w:rPr>
                <w:rFonts w:hint="eastAsia" w:ascii="宋体" w:hAnsi="宋体" w:eastAsia="宋体" w:cs="宋体"/>
                <w:kern w:val="0"/>
                <w:szCs w:val="21"/>
                <w:lang w:bidi="ar"/>
              </w:rPr>
              <w:t>。</w:t>
            </w:r>
          </w:p>
          <w:p>
            <w:pPr>
              <w:widowControl/>
              <w:jc w:val="left"/>
              <w:textAlignment w:val="center"/>
              <w:rPr>
                <w:rFonts w:ascii="宋体" w:hAnsi="宋体" w:cs="宋体"/>
                <w:kern w:val="0"/>
                <w:szCs w:val="21"/>
                <w:lang w:bidi="ar"/>
              </w:rPr>
            </w:pPr>
            <w:r>
              <w:rPr>
                <w:rFonts w:hint="eastAsia" w:ascii="宋体" w:hAnsi="宋体" w:eastAsia="宋体" w:cs="宋体"/>
                <w:kern w:val="0"/>
                <w:szCs w:val="21"/>
                <w:lang w:bidi="ar"/>
              </w:rPr>
              <w:t>（二）</w:t>
            </w:r>
            <w:r>
              <w:rPr>
                <w:rFonts w:hint="eastAsia" w:ascii="宋体" w:hAnsi="宋体" w:cs="宋体"/>
                <w:kern w:val="0"/>
                <w:szCs w:val="21"/>
                <w:lang w:bidi="ar"/>
              </w:rPr>
              <w:t>评分准则：</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在此基础上，对方案的合理性、可行性进行打分。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(1)售后服务方案非常详细，保障措施完善可行，得40分； </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 xml:space="preserve">(2)售后服务方案比较具体，保障措施比较完善可行，能够满足招标文件要求的得20分； </w:t>
            </w:r>
          </w:p>
          <w:p>
            <w:pPr>
              <w:widowControl/>
              <w:jc w:val="left"/>
              <w:textAlignment w:val="center"/>
              <w:rPr>
                <w:rFonts w:ascii="宋体" w:hAnsi="宋体" w:eastAsia="宋体" w:cs="宋体"/>
                <w:szCs w:val="21"/>
              </w:rPr>
            </w:pPr>
            <w:r>
              <w:rPr>
                <w:rFonts w:hint="eastAsia" w:ascii="宋体" w:hAnsi="宋体" w:eastAsia="宋体" w:cs="宋体"/>
                <w:kern w:val="0"/>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szCs w:val="21"/>
              </w:rPr>
            </w:pPr>
            <w:r>
              <w:rPr>
                <w:rFonts w:hint="eastAsia" w:ascii="宋体" w:hAnsi="宋体" w:eastAsia="宋体" w:cs="宋体"/>
                <w:szCs w:val="21"/>
              </w:rPr>
              <w:t>1</w:t>
            </w:r>
          </w:p>
        </w:tc>
        <w:tc>
          <w:tcPr>
            <w:tcW w:w="2837"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2</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（一）评审内容：</w:t>
            </w:r>
          </w:p>
          <w:p>
            <w:pPr>
              <w:pStyle w:val="11"/>
              <w:rPr>
                <w:rFonts w:ascii="宋体" w:hAnsi="宋体" w:eastAsia="宋体" w:cs="宋体"/>
                <w:kern w:val="0"/>
                <w:szCs w:val="21"/>
                <w:lang w:bidi="ar"/>
              </w:rPr>
            </w:pPr>
            <w:r>
              <w:rPr>
                <w:rFonts w:hint="eastAsia" w:ascii="宋体" w:hAnsi="宋体" w:eastAsia="宋体" w:cs="宋体"/>
                <w:kern w:val="0"/>
                <w:szCs w:val="21"/>
                <w:lang w:bidi="ar"/>
              </w:rPr>
              <w:t>2023年1月1日（以合同签订日期为准）以后，投标人具有与本项目</w:t>
            </w:r>
            <w:r>
              <w:rPr>
                <w:rFonts w:ascii="宋体" w:hAnsi="宋体" w:eastAsia="宋体" w:cs="宋体"/>
                <w:kern w:val="0"/>
                <w:szCs w:val="21"/>
                <w:lang w:bidi="ar"/>
              </w:rPr>
              <w:t>(</w:t>
            </w:r>
            <w:r>
              <w:rPr>
                <w:rFonts w:hint="eastAsia" w:ascii="宋体" w:hAnsi="宋体" w:eastAsia="宋体" w:cs="宋体"/>
                <w:kern w:val="0"/>
                <w:szCs w:val="21"/>
                <w:lang w:bidi="ar"/>
              </w:rPr>
              <w:t>音乐功能室</w:t>
            </w:r>
            <w:r>
              <w:rPr>
                <w:rFonts w:ascii="宋体" w:hAnsi="宋体" w:eastAsia="宋体" w:cs="宋体"/>
                <w:kern w:val="0"/>
                <w:szCs w:val="21"/>
                <w:lang w:bidi="ar"/>
              </w:rPr>
              <w:t>)</w:t>
            </w:r>
            <w:r>
              <w:rPr>
                <w:rFonts w:hint="eastAsia" w:ascii="宋体" w:hAnsi="宋体" w:eastAsia="宋体" w:cs="宋体"/>
                <w:kern w:val="0"/>
                <w:szCs w:val="21"/>
                <w:lang w:bidi="ar"/>
              </w:rPr>
              <w:t>同类项目经验，且履约评价为优或满意（或同等评价），每提供一个得 50分，最高得100分。</w:t>
            </w:r>
          </w:p>
          <w:p>
            <w:pPr>
              <w:pStyle w:val="11"/>
              <w:rPr>
                <w:rFonts w:ascii="宋体" w:hAnsi="宋体" w:eastAsia="宋体" w:cs="宋体"/>
                <w:kern w:val="0"/>
                <w:szCs w:val="21"/>
                <w:lang w:bidi="ar"/>
              </w:rPr>
            </w:pPr>
            <w:r>
              <w:rPr>
                <w:rFonts w:hint="eastAsia" w:ascii="宋体" w:hAnsi="宋体" w:eastAsia="宋体" w:cs="宋体"/>
                <w:kern w:val="0"/>
                <w:szCs w:val="21"/>
                <w:lang w:bidi="ar"/>
              </w:rPr>
              <w:t>证明材料：</w:t>
            </w:r>
          </w:p>
          <w:p>
            <w:pPr>
              <w:widowControl/>
              <w:jc w:val="left"/>
              <w:textAlignment w:val="center"/>
              <w:rPr>
                <w:rFonts w:ascii="宋体" w:hAnsi="宋体" w:eastAsia="宋体" w:cs="宋体"/>
                <w:kern w:val="0"/>
                <w:szCs w:val="21"/>
                <w:lang w:bidi="ar"/>
              </w:rPr>
            </w:pPr>
            <w:r>
              <w:rPr>
                <w:rFonts w:hint="eastAsia" w:ascii="宋体" w:hAnsi="宋体" w:cs="宋体"/>
                <w:kern w:val="0"/>
                <w:szCs w:val="21"/>
                <w:lang w:bidi="ar"/>
              </w:rPr>
              <w:t>（二）评分准则：</w:t>
            </w:r>
          </w:p>
          <w:p>
            <w:pPr>
              <w:pStyle w:val="11"/>
              <w:rPr>
                <w:rFonts w:ascii="宋体" w:hAnsi="宋体" w:eastAsia="宋体" w:cs="宋体"/>
                <w:kern w:val="0"/>
                <w:szCs w:val="21"/>
                <w:lang w:bidi="ar"/>
              </w:rPr>
            </w:pPr>
            <w:r>
              <w:rPr>
                <w:rFonts w:hint="eastAsia" w:ascii="宋体" w:hAnsi="宋体" w:eastAsia="宋体" w:cs="宋体"/>
                <w:kern w:val="0"/>
                <w:szCs w:val="21"/>
                <w:lang w:bidi="ar"/>
              </w:rPr>
              <w:t>1、同时提供以下：（1）合同关键页扫描件</w:t>
            </w:r>
            <w:r>
              <w:rPr>
                <w:rFonts w:hint="eastAsia" w:asciiTheme="minorEastAsia" w:hAnsiTheme="minorEastAsia" w:cstheme="minorEastAsia"/>
                <w:szCs w:val="21"/>
              </w:rPr>
              <w:t>（包括但不限于合同双方的单位名称、合同项目名称、项目内容、合同双方的落款盖章、签订日期等，合同清单）</w:t>
            </w:r>
            <w:r>
              <w:rPr>
                <w:rFonts w:hint="eastAsia" w:ascii="宋体" w:hAnsi="宋体" w:eastAsia="宋体" w:cs="宋体"/>
                <w:kern w:val="0"/>
                <w:szCs w:val="21"/>
                <w:lang w:bidi="ar"/>
              </w:rPr>
              <w:t>；（2）设备配置清单扫描件；（3）验收报告[加盖合同甲方</w:t>
            </w:r>
            <w:r>
              <w:rPr>
                <w:rFonts w:hint="eastAsia" w:hAnsi="宋体" w:cs="宋体"/>
                <w:kern w:val="0"/>
                <w:szCs w:val="21"/>
                <w:lang w:bidi="ar"/>
              </w:rPr>
              <w:t>（合同相对方）</w:t>
            </w:r>
            <w:r>
              <w:rPr>
                <w:rFonts w:hint="eastAsia" w:ascii="宋体" w:hAnsi="宋体" w:eastAsia="宋体" w:cs="宋体"/>
                <w:kern w:val="0"/>
                <w:szCs w:val="21"/>
                <w:lang w:bidi="ar"/>
              </w:rPr>
              <w:t>公章</w:t>
            </w:r>
            <w:r>
              <w:rPr>
                <w:rFonts w:hint="eastAsia" w:hAnsi="宋体" w:cs="宋体"/>
                <w:kern w:val="0"/>
                <w:szCs w:val="21"/>
                <w:lang w:bidi="ar"/>
              </w:rPr>
              <w:t>或</w:t>
            </w:r>
            <w:r>
              <w:rPr>
                <w:rFonts w:hint="eastAsia" w:ascii="宋体" w:hAnsi="宋体" w:eastAsia="宋体" w:cs="宋体"/>
                <w:kern w:val="0"/>
                <w:szCs w:val="21"/>
                <w:lang w:bidi="ar"/>
              </w:rPr>
              <w:t>业务章）]；（4）履约评价证明[加盖合同甲方</w:t>
            </w:r>
            <w:r>
              <w:rPr>
                <w:rFonts w:hint="eastAsia" w:hAnsi="宋体" w:cs="宋体"/>
                <w:kern w:val="0"/>
                <w:szCs w:val="21"/>
                <w:lang w:bidi="ar"/>
              </w:rPr>
              <w:t>（合同相对方）</w:t>
            </w:r>
            <w:r>
              <w:rPr>
                <w:rFonts w:hint="eastAsia" w:ascii="宋体" w:hAnsi="宋体" w:eastAsia="宋体" w:cs="宋体"/>
                <w:kern w:val="0"/>
                <w:szCs w:val="21"/>
                <w:lang w:bidi="ar"/>
              </w:rPr>
              <w:t>公章</w:t>
            </w:r>
            <w:r>
              <w:rPr>
                <w:rFonts w:hint="eastAsia" w:hAnsi="宋体" w:cs="宋体"/>
                <w:kern w:val="0"/>
                <w:szCs w:val="21"/>
                <w:lang w:bidi="ar"/>
              </w:rPr>
              <w:t>或</w:t>
            </w:r>
            <w:r>
              <w:rPr>
                <w:rFonts w:hint="eastAsia" w:ascii="宋体" w:hAnsi="宋体" w:eastAsia="宋体" w:cs="宋体"/>
                <w:kern w:val="0"/>
                <w:szCs w:val="21"/>
                <w:lang w:bidi="ar"/>
              </w:rPr>
              <w:t>业务章）]。</w:t>
            </w:r>
          </w:p>
          <w:p>
            <w:pPr>
              <w:widowControl/>
              <w:jc w:val="left"/>
              <w:textAlignment w:val="center"/>
              <w:rPr>
                <w:rFonts w:asciiTheme="minorEastAsia" w:hAnsiTheme="minorEastAsia" w:cstheme="minorEastAsia"/>
                <w:szCs w:val="21"/>
              </w:rPr>
            </w:pPr>
            <w:r>
              <w:rPr>
                <w:rFonts w:hint="eastAsia" w:asciiTheme="minorEastAsia" w:hAnsiTheme="minorEastAsia" w:cstheme="minorEastAsia"/>
                <w:szCs w:val="21"/>
              </w:rPr>
              <w:t>2、未按要求提供相关证明材料（或相关证明材料无法判断是否符合评分要求）的不计</w:t>
            </w:r>
          </w:p>
          <w:p>
            <w:pPr>
              <w:widowControl/>
              <w:jc w:val="left"/>
              <w:textAlignment w:val="center"/>
              <w:rPr>
                <w:rFonts w:ascii="宋体" w:hAnsi="宋体" w:eastAsia="宋体" w:cs="宋体"/>
                <w:szCs w:val="21"/>
              </w:rPr>
            </w:pPr>
            <w:r>
              <w:rPr>
                <w:rFonts w:hint="eastAsia" w:asciiTheme="minorEastAsia" w:hAnsiTheme="minorEastAsia" w:cstheme="minorEastAsia"/>
                <w:szCs w:val="21"/>
              </w:rPr>
              <w:t>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eastAsia="宋体" w:cs="宋体"/>
                <w:szCs w:val="21"/>
              </w:rPr>
            </w:pPr>
            <w:r>
              <w:rPr>
                <w:rFonts w:hint="eastAsia" w:ascii="宋体" w:hAnsi="宋体" w:eastAsia="宋体" w:cs="宋体"/>
                <w:szCs w:val="21"/>
              </w:rPr>
              <w:t>2</w:t>
            </w:r>
          </w:p>
        </w:tc>
        <w:tc>
          <w:tcPr>
            <w:tcW w:w="2837"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bCs/>
                <w:kern w:val="44"/>
                <w:szCs w:val="21"/>
              </w:rPr>
              <w:t>自主知识产权评价</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5</w:t>
            </w:r>
          </w:p>
        </w:tc>
        <w:tc>
          <w:tcPr>
            <w:tcW w:w="4198"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left"/>
              <w:rPr>
                <w:rFonts w:ascii="宋体" w:hAnsi="宋体" w:eastAsia="宋体" w:cs="宋体"/>
                <w:szCs w:val="21"/>
              </w:rPr>
            </w:pPr>
            <w:r>
              <w:rPr>
                <w:rFonts w:hint="eastAsia" w:ascii="宋体" w:hAnsi="宋体" w:eastAsia="宋体" w:cs="宋体"/>
                <w:kern w:val="0"/>
                <w:szCs w:val="21"/>
                <w:lang w:bidi="ar"/>
              </w:rPr>
              <w:t>（一）</w:t>
            </w:r>
            <w:r>
              <w:rPr>
                <w:rFonts w:hint="eastAsia" w:ascii="宋体" w:hAnsi="宋体" w:eastAsia="宋体" w:cs="宋体"/>
                <w:szCs w:val="21"/>
              </w:rPr>
              <w:t>评分内容：</w:t>
            </w:r>
          </w:p>
          <w:p>
            <w:pPr>
              <w:snapToGrid w:val="0"/>
              <w:spacing w:line="320" w:lineRule="exact"/>
              <w:rPr>
                <w:rFonts w:ascii="宋体" w:hAnsi="宋体" w:eastAsia="宋体" w:cs="宋体"/>
                <w:szCs w:val="21"/>
              </w:rPr>
            </w:pPr>
            <w:r>
              <w:rPr>
                <w:rFonts w:hint="eastAsia" w:ascii="宋体" w:hAnsi="宋体" w:eastAsia="宋体" w:cs="宋体"/>
                <w:szCs w:val="21"/>
              </w:rPr>
              <w:t>以下所投产品的制造商具有（自有或租赁或购买）计算机软件著作权登记证书，每提供一项得50分，最高得100分。</w:t>
            </w:r>
          </w:p>
          <w:p>
            <w:pPr>
              <w:pStyle w:val="2"/>
              <w:rPr>
                <w:rFonts w:ascii="宋体" w:hAnsi="宋体" w:cs="宋体"/>
                <w:sz w:val="21"/>
                <w:szCs w:val="21"/>
                <w:lang w:bidi="ar"/>
              </w:rPr>
            </w:pPr>
            <w:r>
              <w:rPr>
                <w:rFonts w:hint="eastAsia" w:ascii="宋体" w:hAnsi="宋体" w:cs="宋体"/>
                <w:sz w:val="21"/>
                <w:szCs w:val="21"/>
                <w:lang w:bidi="ar"/>
              </w:rPr>
              <w:t>1.数字音频处理器；</w:t>
            </w:r>
          </w:p>
          <w:p>
            <w:pPr>
              <w:pStyle w:val="2"/>
              <w:rPr>
                <w:rFonts w:ascii="宋体" w:hAnsi="宋体" w:cs="宋体"/>
                <w:sz w:val="21"/>
                <w:szCs w:val="21"/>
              </w:rPr>
            </w:pPr>
            <w:r>
              <w:rPr>
                <w:rFonts w:hint="eastAsia" w:ascii="宋体" w:hAnsi="宋体" w:cs="宋体"/>
                <w:sz w:val="21"/>
                <w:szCs w:val="21"/>
                <w:lang w:bidi="ar"/>
              </w:rPr>
              <w:t>2.电源时序器；</w:t>
            </w:r>
          </w:p>
          <w:p>
            <w:pPr>
              <w:spacing w:line="320" w:lineRule="exact"/>
              <w:jc w:val="left"/>
              <w:rPr>
                <w:rFonts w:ascii="宋体" w:hAnsi="宋体" w:eastAsia="宋体" w:cs="宋体"/>
                <w:szCs w:val="21"/>
              </w:rPr>
            </w:pPr>
            <w:r>
              <w:rPr>
                <w:rFonts w:hint="eastAsia" w:ascii="宋体" w:hAnsi="宋体" w:eastAsia="宋体" w:cs="宋体"/>
                <w:kern w:val="0"/>
                <w:szCs w:val="21"/>
                <w:lang w:bidi="ar"/>
              </w:rPr>
              <w:t>（二）</w:t>
            </w:r>
            <w:r>
              <w:rPr>
                <w:rFonts w:hint="eastAsia" w:ascii="宋体" w:hAnsi="宋体" w:eastAsia="宋体" w:cs="宋体"/>
                <w:szCs w:val="21"/>
              </w:rPr>
              <w:t>评分依据：</w:t>
            </w:r>
          </w:p>
          <w:p>
            <w:pPr>
              <w:pStyle w:val="11"/>
              <w:rPr>
                <w:rFonts w:ascii="宋体" w:hAnsi="宋体" w:eastAsia="宋体" w:cs="宋体"/>
                <w:szCs w:val="21"/>
              </w:rPr>
            </w:pPr>
            <w:r>
              <w:rPr>
                <w:rFonts w:hint="eastAsia" w:ascii="宋体" w:hAnsi="宋体" w:eastAsia="宋体" w:cs="宋体"/>
                <w:szCs w:val="21"/>
              </w:rPr>
              <w:t>1、（1）如为自有的，提供国家版权局颁发的计算机软件著作权登记证书扫描件，需能体现投标人为著作权人；查询地址为（https://register.ccopyright.com.cn/query.html）；</w:t>
            </w:r>
          </w:p>
          <w:p>
            <w:pPr>
              <w:pStyle w:val="11"/>
              <w:rPr>
                <w:rFonts w:ascii="宋体" w:hAnsi="宋体" w:eastAsia="宋体" w:cs="宋体"/>
                <w:szCs w:val="21"/>
              </w:rPr>
            </w:pPr>
            <w:r>
              <w:rPr>
                <w:rFonts w:hint="eastAsia" w:ascii="宋体" w:hAnsi="宋体" w:eastAsia="宋体" w:cs="宋体"/>
                <w:szCs w:val="21"/>
              </w:rPr>
              <w:t>（2）如为租赁（或购买）的，同时提供：</w:t>
            </w:r>
          </w:p>
          <w:p>
            <w:pPr>
              <w:pStyle w:val="11"/>
              <w:rPr>
                <w:rFonts w:ascii="宋体" w:hAnsi="宋体" w:eastAsia="宋体" w:cs="宋体"/>
                <w:szCs w:val="21"/>
              </w:rPr>
            </w:pPr>
            <w:r>
              <w:rPr>
                <w:rFonts w:hint="eastAsia" w:ascii="宋体" w:hAnsi="宋体" w:eastAsia="宋体" w:cs="宋体"/>
                <w:szCs w:val="21"/>
              </w:rPr>
              <w:t>①租赁（或购买）合同扫描件（也可以用唯一授权书代替），需能体现投标人为租赁人或购买人；</w:t>
            </w:r>
          </w:p>
          <w:p>
            <w:pPr>
              <w:pStyle w:val="11"/>
              <w:rPr>
                <w:rFonts w:ascii="宋体" w:hAnsi="宋体" w:eastAsia="宋体" w:cs="宋体"/>
                <w:szCs w:val="21"/>
              </w:rPr>
            </w:pPr>
            <w:r>
              <w:rPr>
                <w:rFonts w:hint="eastAsia" w:ascii="宋体" w:hAnsi="宋体" w:eastAsia="宋体" w:cs="宋体"/>
                <w:szCs w:val="21"/>
              </w:rPr>
              <w:t>②出租（售）方以上每类系统由国家版权局颁发的计算机软件著作权登记证书扫描件，需能体现著作权人为出租（售）人；</w:t>
            </w:r>
          </w:p>
          <w:p>
            <w:pPr>
              <w:pStyle w:val="11"/>
              <w:rPr>
                <w:rFonts w:ascii="宋体" w:hAnsi="宋体" w:eastAsia="宋体" w:cs="宋体"/>
                <w:szCs w:val="21"/>
              </w:rPr>
            </w:pPr>
            <w:r>
              <w:rPr>
                <w:rFonts w:hint="eastAsia" w:ascii="宋体" w:hAnsi="宋体" w:eastAsia="宋体" w:cs="宋体"/>
                <w:szCs w:val="21"/>
              </w:rPr>
              <w:t>（3）提供的计算机软件著作权登记证书扫描件如无法判断是否符合评分要求的，可同时提供系统或软件的功能截图辅助判断，证书及截图均无法判断的不得分；</w:t>
            </w:r>
          </w:p>
          <w:p>
            <w:pPr>
              <w:pStyle w:val="2"/>
              <w:rPr>
                <w:rFonts w:ascii="宋体" w:hAnsi="宋体" w:cs="宋体"/>
                <w:sz w:val="21"/>
                <w:szCs w:val="21"/>
                <w:lang w:bidi="ar"/>
              </w:rPr>
            </w:pPr>
            <w:r>
              <w:rPr>
                <w:rFonts w:hint="eastAsia" w:ascii="宋体" w:hAnsi="宋体" w:cs="宋体"/>
                <w:sz w:val="21"/>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hint="eastAsia"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tcPr>
          <w:p>
            <w:pPr>
              <w:pStyle w:val="8"/>
              <w:wordWrap w:val="0"/>
              <w:spacing w:line="240" w:lineRule="auto"/>
              <w:ind w:firstLine="420" w:firstLineChars="200"/>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8"/>
              <w:wordWrap w:val="0"/>
              <w:spacing w:line="240" w:lineRule="auto"/>
              <w:ind w:firstLine="420" w:firstLineChars="200"/>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6"/>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8"/>
      </w:pPr>
    </w:p>
    <w:p>
      <w:pPr>
        <w:pStyle w:val="16"/>
      </w:pPr>
    </w:p>
    <w:p>
      <w:pPr>
        <w:pStyle w:val="16"/>
      </w:pPr>
    </w:p>
    <w:p>
      <w:pPr>
        <w:pStyle w:val="8"/>
        <w:sectPr>
          <w:pgSz w:w="11907" w:h="16840"/>
          <w:pgMar w:top="1440" w:right="1797" w:bottom="1440" w:left="1797" w:header="851" w:footer="992" w:gutter="0"/>
          <w:cols w:space="425" w:num="1"/>
          <w:titlePg/>
          <w:docGrid w:linePitch="462" w:charSpace="0"/>
        </w:sectPr>
      </w:pPr>
    </w:p>
    <w:bookmarkEnd w:id="4"/>
    <w:p>
      <w:pPr>
        <w:pStyle w:val="3"/>
        <w:spacing w:after="60"/>
        <w:jc w:val="center"/>
        <w:rPr>
          <w:color w:val="FF0000"/>
          <w:sz w:val="24"/>
        </w:rPr>
      </w:pPr>
      <w:bookmarkStart w:id="6" w:name="bt商务标投标文件格式"/>
      <w:bookmarkEnd w:id="6"/>
      <w:bookmarkStart w:id="7" w:name="合同格式"/>
      <w:bookmarkEnd w:id="7"/>
      <w:bookmarkStart w:id="8" w:name="bt其他资料由投标人自定"/>
      <w:bookmarkEnd w:id="8"/>
      <w:bookmarkStart w:id="9" w:name="bt投标文件签署授权委托书"/>
      <w:bookmarkEnd w:id="9"/>
      <w:bookmarkStart w:id="10" w:name="bt本工程承诺书"/>
      <w:bookmarkEnd w:id="10"/>
      <w:bookmarkStart w:id="11" w:name="bt投标人情况介绍"/>
      <w:bookmarkEnd w:id="11"/>
      <w:bookmarkStart w:id="12" w:name="bt投标函"/>
      <w:bookmarkEnd w:id="12"/>
      <w:bookmarkStart w:id="13" w:name="bt投标报价汇总表"/>
      <w:bookmarkEnd w:id="13"/>
      <w:bookmarkStart w:id="14" w:name="bt合同格式"/>
      <w:bookmarkEnd w:id="14"/>
      <w:bookmarkStart w:id="15" w:name="bt项目管理班子配备情况"/>
      <w:bookmarkEnd w:id="15"/>
      <w:bookmarkStart w:id="16" w:name="bt说明"/>
      <w:bookmarkEnd w:id="16"/>
      <w:bookmarkStart w:id="17" w:name="bt投标人须知"/>
      <w:bookmarkEnd w:id="17"/>
      <w:bookmarkStart w:id="18" w:name="bt技术标投标文件格式"/>
      <w:bookmarkEnd w:id="18"/>
      <w:bookmarkStart w:id="19" w:name="bt开标一览表"/>
      <w:bookmarkEnd w:id="19"/>
      <w:bookmarkStart w:id="20" w:name="bt合同条款及格式"/>
      <w:bookmarkEnd w:id="20"/>
      <w:bookmarkStart w:id="21" w:name="bt其他资料2"/>
      <w:bookmarkEnd w:id="21"/>
      <w:bookmarkStart w:id="22" w:name="bt合同条款"/>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7.为采购项目提供整体设计、规范编制或者项目管理、监理、检测等服务的供应商，不得再参加该采购项目的其他采购活动（由供应商在《自行采购投标及履约承诺函》中作出声明）；</w:t>
      </w:r>
    </w:p>
    <w:p>
      <w:pPr>
        <w:pStyle w:val="27"/>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ascii="宋体" w:hAnsi="宋体" w:cs="宋体"/>
          <w:kern w:val="0"/>
          <w:szCs w:val="21"/>
        </w:rPr>
      </w:pPr>
      <w:r>
        <w:rPr>
          <w:rFonts w:hint="eastAsia" w:ascii="宋体" w:hAnsi="宋体" w:cs="宋体"/>
          <w:kern w:val="0"/>
          <w:szCs w:val="21"/>
        </w:rPr>
        <w:t>9.本项目全部专门面向中小企业采购：否。</w:t>
      </w:r>
    </w:p>
    <w:p>
      <w:pPr>
        <w:wordWrap w:val="0"/>
        <w:ind w:firstLine="420" w:firstLineChars="200"/>
        <w:rPr>
          <w:rFonts w:ascii="宋体" w:hAnsi="宋体" w:cs="宋体"/>
          <w:kern w:val="0"/>
          <w:szCs w:val="21"/>
        </w:rPr>
      </w:pPr>
    </w:p>
    <w:p>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101074876"/>
      <w:bookmarkStart w:id="25" w:name="_Toc73521547"/>
      <w:bookmarkStart w:id="26" w:name="_Toc73517639"/>
      <w:bookmarkStart w:id="27" w:name="_Toc73521635"/>
      <w:bookmarkStart w:id="28" w:name="_Toc60631620"/>
      <w:bookmarkStart w:id="29" w:name="_Toc100052364"/>
      <w:bookmarkStart w:id="30" w:name="_Toc60560625"/>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宋体" w:cs="Arial"/>
                <w:b/>
                <w:szCs w:val="21"/>
              </w:rPr>
              <w:t>深圳市宝安区前湾学校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52.8</w:t>
            </w:r>
          </w:p>
        </w:tc>
        <w:tc>
          <w:tcPr>
            <w:tcW w:w="2409" w:type="dxa"/>
            <w:vAlign w:val="center"/>
          </w:tcPr>
          <w:p>
            <w:pPr>
              <w:jc w:val="center"/>
              <w:rPr>
                <w:rFonts w:ascii="宋体" w:hAnsi="宋体"/>
              </w:rPr>
            </w:pPr>
            <w:r>
              <w:rPr>
                <w:rFonts w:hint="eastAsia" w:ascii="宋体" w:hAnsi="宋体"/>
              </w:rPr>
              <w:t>投诉</w:t>
            </w:r>
          </w:p>
        </w:tc>
        <w:tc>
          <w:tcPr>
            <w:tcW w:w="4980" w:type="dxa"/>
            <w:vAlign w:val="center"/>
          </w:tcPr>
          <w:p>
            <w:pPr>
              <w:jc w:val="left"/>
              <w:rPr>
                <w:rFonts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16"/>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15 </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8"/>
      </w:pPr>
    </w:p>
    <w:p>
      <w:pPr>
        <w:pStyle w:val="16"/>
        <w:rPr>
          <w:b/>
        </w:rPr>
      </w:pPr>
    </w:p>
    <w:p>
      <w:pPr>
        <w:pStyle w:val="16"/>
        <w:rPr>
          <w:b/>
        </w:rPr>
      </w:pPr>
    </w:p>
    <w:p>
      <w:pPr>
        <w:pStyle w:val="16"/>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JYCG-DECL-2025-34095</w:t>
            </w:r>
          </w:p>
        </w:tc>
        <w:tc>
          <w:tcPr>
            <w:tcW w:w="3158" w:type="dxa"/>
            <w:vAlign w:val="center"/>
          </w:tcPr>
          <w:p>
            <w:pPr>
              <w:jc w:val="center"/>
              <w:rPr>
                <w:b/>
                <w:bCs/>
                <w:color w:val="FF0000"/>
                <w:szCs w:val="21"/>
              </w:rPr>
            </w:pPr>
            <w:r>
              <w:rPr>
                <w:rFonts w:hint="eastAsia"/>
                <w:b/>
                <w:bCs/>
                <w:color w:val="FF0000"/>
                <w:szCs w:val="21"/>
              </w:rPr>
              <w:t>深圳市宝安区前湾学校音乐教室设备采购项目</w:t>
            </w:r>
          </w:p>
        </w:tc>
        <w:tc>
          <w:tcPr>
            <w:tcW w:w="2355" w:type="dxa"/>
            <w:vAlign w:val="center"/>
          </w:tcPr>
          <w:p>
            <w:pPr>
              <w:jc w:val="center"/>
              <w:rPr>
                <w:bCs/>
                <w:color w:val="FF0000"/>
                <w:szCs w:val="21"/>
              </w:rPr>
            </w:pPr>
            <w:r>
              <w:rPr>
                <w:bCs/>
                <w:color w:val="FF0000"/>
                <w:szCs w:val="21"/>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bCs/>
                <w:color w:val="FF0000"/>
                <w:szCs w:val="21"/>
              </w:rPr>
              <w:t>180000</w:t>
            </w: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9"/>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202"/>
        <w:gridCol w:w="1660"/>
        <w:gridCol w:w="426"/>
        <w:gridCol w:w="426"/>
        <w:gridCol w:w="985"/>
        <w:gridCol w:w="119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序号</w:t>
            </w:r>
          </w:p>
        </w:tc>
        <w:tc>
          <w:tcPr>
            <w:tcW w:w="1265" w:type="pct"/>
            <w:vAlign w:val="center"/>
          </w:tcPr>
          <w:p>
            <w:pPr>
              <w:jc w:val="center"/>
              <w:rPr>
                <w:bCs/>
                <w:szCs w:val="21"/>
              </w:rPr>
            </w:pPr>
            <w:r>
              <w:rPr>
                <w:rFonts w:hint="eastAsia"/>
                <w:szCs w:val="21"/>
              </w:rPr>
              <w:t>采购计划编号</w:t>
            </w:r>
          </w:p>
        </w:tc>
        <w:tc>
          <w:tcPr>
            <w:tcW w:w="954" w:type="pct"/>
            <w:vAlign w:val="center"/>
          </w:tcPr>
          <w:p>
            <w:pPr>
              <w:jc w:val="center"/>
              <w:rPr>
                <w:bCs/>
                <w:szCs w:val="21"/>
              </w:rPr>
            </w:pPr>
            <w:r>
              <w:rPr>
                <w:rFonts w:hint="eastAsia"/>
                <w:bCs/>
                <w:szCs w:val="21"/>
              </w:rPr>
              <w:t>货物名称（标的名称）</w:t>
            </w:r>
          </w:p>
        </w:tc>
        <w:tc>
          <w:tcPr>
            <w:tcW w:w="244" w:type="pct"/>
            <w:vAlign w:val="center"/>
          </w:tcPr>
          <w:p>
            <w:pPr>
              <w:jc w:val="center"/>
              <w:rPr>
                <w:bCs/>
                <w:szCs w:val="21"/>
              </w:rPr>
            </w:pPr>
            <w:r>
              <w:rPr>
                <w:rFonts w:hint="eastAsia"/>
                <w:bCs/>
                <w:szCs w:val="21"/>
              </w:rPr>
              <w:t>数量</w:t>
            </w:r>
          </w:p>
        </w:tc>
        <w:tc>
          <w:tcPr>
            <w:tcW w:w="244" w:type="pct"/>
            <w:vAlign w:val="center"/>
          </w:tcPr>
          <w:p>
            <w:pPr>
              <w:jc w:val="center"/>
              <w:rPr>
                <w:bCs/>
                <w:szCs w:val="21"/>
              </w:rPr>
            </w:pPr>
            <w:r>
              <w:rPr>
                <w:rFonts w:hint="eastAsia"/>
                <w:bCs/>
                <w:szCs w:val="21"/>
              </w:rPr>
              <w:t>单位</w:t>
            </w:r>
          </w:p>
        </w:tc>
        <w:tc>
          <w:tcPr>
            <w:tcW w:w="566" w:type="pct"/>
            <w:vAlign w:val="center"/>
          </w:tcPr>
          <w:p>
            <w:pPr>
              <w:jc w:val="center"/>
              <w:rPr>
                <w:rFonts w:eastAsia="宋体"/>
                <w:b/>
                <w:bCs/>
                <w:color w:val="FF0000"/>
                <w:szCs w:val="21"/>
              </w:rPr>
            </w:pPr>
            <w:r>
              <w:rPr>
                <w:rFonts w:hint="eastAsia"/>
                <w:b/>
                <w:bCs/>
                <w:color w:val="FF0000"/>
                <w:szCs w:val="21"/>
              </w:rPr>
              <w:t>是否接受进口</w:t>
            </w:r>
          </w:p>
        </w:tc>
        <w:tc>
          <w:tcPr>
            <w:tcW w:w="688" w:type="pct"/>
            <w:vAlign w:val="center"/>
          </w:tcPr>
          <w:p>
            <w:pPr>
              <w:jc w:val="center"/>
              <w:rPr>
                <w:b/>
                <w:bCs/>
                <w:color w:val="FF0000"/>
                <w:szCs w:val="21"/>
              </w:rPr>
            </w:pPr>
            <w:r>
              <w:rPr>
                <w:rFonts w:hint="eastAsia"/>
                <w:b/>
                <w:bCs/>
                <w:color w:val="FF0000"/>
                <w:szCs w:val="21"/>
              </w:rPr>
              <w:t>是否专门面向中小企业</w:t>
            </w:r>
          </w:p>
        </w:tc>
        <w:tc>
          <w:tcPr>
            <w:tcW w:w="789"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w:t>
            </w:r>
          </w:p>
        </w:tc>
        <w:tc>
          <w:tcPr>
            <w:tcW w:w="1265" w:type="pct"/>
            <w:vMerge w:val="restart"/>
            <w:vAlign w:val="center"/>
          </w:tcPr>
          <w:p>
            <w:pPr>
              <w:jc w:val="center"/>
              <w:rPr>
                <w:bCs/>
                <w:szCs w:val="21"/>
              </w:rPr>
            </w:pPr>
            <w:r>
              <w:rPr>
                <w:rFonts w:hint="eastAsia"/>
                <w:bCs/>
                <w:szCs w:val="21"/>
              </w:rPr>
              <w:t>JYCG-DECL-2025-34095</w:t>
            </w: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触控一体机</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color w:val="FF0000"/>
                <w:szCs w:val="21"/>
              </w:rPr>
            </w:pPr>
            <w:r>
              <w:rPr>
                <w:rFonts w:hint="eastAsia"/>
                <w:b/>
                <w:bCs/>
                <w:szCs w:val="21"/>
              </w:rPr>
              <w:t>拒绝进口</w:t>
            </w:r>
          </w:p>
        </w:tc>
        <w:tc>
          <w:tcPr>
            <w:tcW w:w="688" w:type="pct"/>
            <w:vAlign w:val="center"/>
          </w:tcPr>
          <w:p>
            <w:pPr>
              <w:jc w:val="center"/>
              <w:rPr>
                <w:b/>
                <w:bCs/>
                <w:color w:val="FF0000"/>
                <w:szCs w:val="21"/>
              </w:rPr>
            </w:pPr>
            <w:r>
              <w:rPr>
                <w:rFonts w:hint="eastAsia"/>
                <w:b/>
                <w:bCs/>
                <w:szCs w:val="21"/>
              </w:rPr>
              <w:t>否</w:t>
            </w:r>
          </w:p>
        </w:tc>
        <w:tc>
          <w:tcPr>
            <w:tcW w:w="789" w:type="pct"/>
            <w:vAlign w:val="center"/>
          </w:tcPr>
          <w:p>
            <w:pPr>
              <w:jc w:val="center"/>
              <w:rPr>
                <w:b/>
                <w:bCs/>
                <w:color w:val="FF0000"/>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2</w:t>
            </w:r>
          </w:p>
        </w:tc>
        <w:tc>
          <w:tcPr>
            <w:tcW w:w="1265" w:type="pct"/>
            <w:vMerge w:val="continue"/>
            <w:vAlign w:val="center"/>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信息化教学平台</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566" w:type="pct"/>
            <w:vAlign w:val="center"/>
          </w:tcPr>
          <w:p>
            <w:pPr>
              <w:jc w:val="center"/>
              <w:rPr>
                <w:b/>
                <w:bCs/>
                <w:color w:val="FF0000"/>
                <w:szCs w:val="21"/>
              </w:rPr>
            </w:pPr>
            <w:r>
              <w:rPr>
                <w:rFonts w:hint="eastAsia"/>
                <w:b/>
                <w:bCs/>
                <w:szCs w:val="21"/>
              </w:rPr>
              <w:t>拒绝进口</w:t>
            </w:r>
          </w:p>
        </w:tc>
        <w:tc>
          <w:tcPr>
            <w:tcW w:w="688" w:type="pct"/>
            <w:vAlign w:val="center"/>
          </w:tcPr>
          <w:p>
            <w:pPr>
              <w:jc w:val="center"/>
              <w:rPr>
                <w:b/>
                <w:bCs/>
                <w:color w:val="FF0000"/>
                <w:szCs w:val="21"/>
              </w:rPr>
            </w:pPr>
            <w:r>
              <w:rPr>
                <w:rFonts w:hint="eastAsia"/>
                <w:b/>
                <w:bCs/>
                <w:szCs w:val="21"/>
              </w:rPr>
              <w:t>否</w:t>
            </w:r>
          </w:p>
        </w:tc>
        <w:tc>
          <w:tcPr>
            <w:tcW w:w="789" w:type="pct"/>
            <w:vAlign w:val="center"/>
          </w:tcPr>
          <w:p>
            <w:pPr>
              <w:jc w:val="center"/>
              <w:rPr>
                <w:b/>
                <w:bCs/>
                <w:color w:val="FF0000"/>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3</w:t>
            </w:r>
          </w:p>
        </w:tc>
        <w:tc>
          <w:tcPr>
            <w:tcW w:w="1265" w:type="pct"/>
            <w:vMerge w:val="continue"/>
            <w:vAlign w:val="center"/>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学生桌</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566" w:type="pct"/>
            <w:vAlign w:val="center"/>
          </w:tcPr>
          <w:p>
            <w:pPr>
              <w:jc w:val="center"/>
              <w:rPr>
                <w:b/>
                <w:bCs/>
                <w:szCs w:val="21"/>
              </w:rPr>
            </w:pPr>
            <w:r>
              <w:rPr>
                <w:rFonts w:hint="eastAsia"/>
                <w:b/>
                <w:bCs/>
                <w:szCs w:val="21"/>
              </w:rPr>
              <w:t>拒绝进口</w:t>
            </w:r>
          </w:p>
        </w:tc>
        <w:tc>
          <w:tcPr>
            <w:tcW w:w="688" w:type="pct"/>
            <w:vAlign w:val="center"/>
          </w:tcPr>
          <w:p>
            <w:pPr>
              <w:jc w:val="center"/>
              <w:rPr>
                <w:b/>
                <w:bCs/>
                <w:szCs w:val="21"/>
              </w:rPr>
            </w:pPr>
            <w:r>
              <w:rPr>
                <w:rFonts w:hint="eastAsia"/>
                <w:b/>
                <w:bCs/>
                <w:szCs w:val="21"/>
              </w:rPr>
              <w:t>否</w:t>
            </w:r>
          </w:p>
        </w:tc>
        <w:tc>
          <w:tcPr>
            <w:tcW w:w="789" w:type="pct"/>
            <w:vAlign w:val="center"/>
          </w:tcPr>
          <w:p>
            <w:pPr>
              <w:jc w:val="center"/>
              <w:rPr>
                <w:b/>
                <w:bCs/>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4</w:t>
            </w:r>
          </w:p>
        </w:tc>
        <w:tc>
          <w:tcPr>
            <w:tcW w:w="1265" w:type="pct"/>
            <w:vMerge w:val="continue"/>
            <w:vAlign w:val="center"/>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学生椅</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54</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张</w:t>
            </w:r>
          </w:p>
        </w:tc>
        <w:tc>
          <w:tcPr>
            <w:tcW w:w="566" w:type="pct"/>
            <w:vAlign w:val="center"/>
          </w:tcPr>
          <w:p>
            <w:pPr>
              <w:jc w:val="center"/>
              <w:rPr>
                <w:b/>
                <w:bCs/>
                <w:color w:val="FF0000"/>
                <w:szCs w:val="21"/>
              </w:rPr>
            </w:pPr>
            <w:r>
              <w:rPr>
                <w:rFonts w:hint="eastAsia"/>
                <w:b/>
                <w:bCs/>
                <w:szCs w:val="21"/>
              </w:rPr>
              <w:t>拒绝进口</w:t>
            </w:r>
          </w:p>
        </w:tc>
        <w:tc>
          <w:tcPr>
            <w:tcW w:w="688" w:type="pct"/>
            <w:vAlign w:val="center"/>
          </w:tcPr>
          <w:p>
            <w:pPr>
              <w:jc w:val="center"/>
              <w:rPr>
                <w:b/>
                <w:bCs/>
                <w:szCs w:val="21"/>
              </w:rPr>
            </w:pPr>
            <w:r>
              <w:rPr>
                <w:rFonts w:hint="eastAsia"/>
                <w:b/>
                <w:bCs/>
                <w:szCs w:val="21"/>
              </w:rPr>
              <w:t>否</w:t>
            </w:r>
          </w:p>
        </w:tc>
        <w:tc>
          <w:tcPr>
            <w:tcW w:w="789" w:type="pct"/>
            <w:vAlign w:val="center"/>
          </w:tcPr>
          <w:p>
            <w:pPr>
              <w:jc w:val="center"/>
              <w:rPr>
                <w:b/>
                <w:bCs/>
                <w:szCs w:val="21"/>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5</w:t>
            </w:r>
          </w:p>
        </w:tc>
        <w:tc>
          <w:tcPr>
            <w:tcW w:w="1265" w:type="pct"/>
            <w:vMerge w:val="continue"/>
            <w:vAlign w:val="center"/>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音箱</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只</w:t>
            </w:r>
          </w:p>
        </w:tc>
        <w:tc>
          <w:tcPr>
            <w:tcW w:w="566" w:type="pct"/>
            <w:vAlign w:val="center"/>
          </w:tcPr>
          <w:p>
            <w:pPr>
              <w:jc w:val="center"/>
              <w:rPr>
                <w:b/>
                <w:bCs/>
                <w:color w:val="FF0000"/>
                <w:szCs w:val="21"/>
                <w:highlight w:val="yellow"/>
              </w:rPr>
            </w:pPr>
            <w:r>
              <w:rPr>
                <w:rFonts w:hint="eastAsia"/>
                <w:b/>
                <w:bCs/>
                <w:szCs w:val="21"/>
              </w:rPr>
              <w:t>拒绝进口</w:t>
            </w:r>
          </w:p>
        </w:tc>
        <w:tc>
          <w:tcPr>
            <w:tcW w:w="688" w:type="pct"/>
            <w:vAlign w:val="center"/>
          </w:tcPr>
          <w:p>
            <w:pPr>
              <w:jc w:val="center"/>
              <w:rPr>
                <w:b/>
                <w:bCs/>
                <w:color w:val="FF0000"/>
                <w:szCs w:val="21"/>
                <w:highlight w:val="yellow"/>
              </w:rPr>
            </w:pPr>
            <w:r>
              <w:rPr>
                <w:rFonts w:hint="eastAsia"/>
                <w:b/>
                <w:bCs/>
                <w:szCs w:val="21"/>
              </w:rPr>
              <w:t>否</w:t>
            </w:r>
          </w:p>
        </w:tc>
        <w:tc>
          <w:tcPr>
            <w:tcW w:w="789" w:type="pct"/>
            <w:vAlign w:val="center"/>
          </w:tcPr>
          <w:p>
            <w:pPr>
              <w:jc w:val="center"/>
              <w:rPr>
                <w:b/>
                <w:bCs/>
                <w:color w:val="FF0000"/>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6</w:t>
            </w:r>
          </w:p>
        </w:tc>
        <w:tc>
          <w:tcPr>
            <w:tcW w:w="1265" w:type="pct"/>
            <w:vMerge w:val="continue"/>
            <w:vAlign w:val="center"/>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功放</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7</w:t>
            </w:r>
          </w:p>
        </w:tc>
        <w:tc>
          <w:tcPr>
            <w:tcW w:w="1265" w:type="pct"/>
            <w:vMerge w:val="continue"/>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数字音频处理器</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8</w:t>
            </w:r>
          </w:p>
        </w:tc>
        <w:tc>
          <w:tcPr>
            <w:tcW w:w="1265" w:type="pct"/>
            <w:vMerge w:val="continue"/>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一拖二无线麦</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9</w:t>
            </w:r>
          </w:p>
        </w:tc>
        <w:tc>
          <w:tcPr>
            <w:tcW w:w="1265" w:type="pct"/>
            <w:vMerge w:val="continue"/>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电源时序器</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bCs/>
                <w:szCs w:val="21"/>
              </w:rPr>
              <w:t>10</w:t>
            </w:r>
          </w:p>
        </w:tc>
        <w:tc>
          <w:tcPr>
            <w:tcW w:w="1265" w:type="pct"/>
            <w:vMerge w:val="continue"/>
          </w:tcPr>
          <w:p>
            <w:pPr>
              <w:jc w:val="center"/>
              <w:rPr>
                <w:bCs/>
                <w:szCs w:val="21"/>
              </w:rPr>
            </w:pPr>
          </w:p>
        </w:tc>
        <w:tc>
          <w:tcPr>
            <w:tcW w:w="954" w:type="pct"/>
            <w:vAlign w:val="center"/>
          </w:tcPr>
          <w:p>
            <w:pPr>
              <w:widowControl/>
              <w:jc w:val="center"/>
              <w:textAlignment w:val="center"/>
              <w:rPr>
                <w:bCs/>
                <w:szCs w:val="21"/>
              </w:rPr>
            </w:pPr>
            <w:r>
              <w:rPr>
                <w:rFonts w:hint="eastAsia" w:ascii="宋体" w:hAnsi="宋体" w:cs="宋体"/>
                <w:color w:val="000000"/>
                <w:kern w:val="0"/>
                <w:szCs w:val="21"/>
                <w:lang w:bidi="ar"/>
              </w:rPr>
              <w:t>机柜</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11</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监控</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12</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卷帘</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25</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平</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13</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调音台</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14</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合唱台</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8</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组</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15</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器具柜</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组</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16</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钢琴</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17</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节拍器</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Align w:val="center"/>
          </w:tcPr>
          <w:p>
            <w:pPr>
              <w:jc w:val="center"/>
              <w:rPr>
                <w:bCs/>
                <w:szCs w:val="21"/>
              </w:rPr>
            </w:pPr>
            <w:r>
              <w:rPr>
                <w:rFonts w:hint="eastAsia"/>
                <w:bCs/>
                <w:szCs w:val="21"/>
              </w:rPr>
              <w:t>18</w:t>
            </w:r>
          </w:p>
        </w:tc>
        <w:tc>
          <w:tcPr>
            <w:tcW w:w="1265" w:type="pct"/>
            <w:vMerge w:val="continue"/>
          </w:tcPr>
          <w:p>
            <w:pPr>
              <w:jc w:val="center"/>
              <w:rPr>
                <w:bCs/>
                <w:szCs w:val="21"/>
              </w:rPr>
            </w:pPr>
          </w:p>
        </w:tc>
        <w:tc>
          <w:tcPr>
            <w:tcW w:w="954" w:type="pct"/>
            <w:vAlign w:val="center"/>
          </w:tcPr>
          <w:p>
            <w:pPr>
              <w:widowControl/>
              <w:jc w:val="center"/>
              <w:textAlignment w:val="center"/>
            </w:pPr>
            <w:r>
              <w:rPr>
                <w:rFonts w:hint="eastAsia" w:ascii="宋体" w:hAnsi="宋体" w:cs="宋体"/>
                <w:color w:val="000000"/>
                <w:kern w:val="0"/>
                <w:szCs w:val="21"/>
                <w:lang w:bidi="ar"/>
              </w:rPr>
              <w:t>3P天花机</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244"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66"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rPr>
              <w:t>否</w:t>
            </w:r>
          </w:p>
        </w:tc>
        <w:tc>
          <w:tcPr>
            <w:tcW w:w="789" w:type="pct"/>
            <w:vAlign w:val="center"/>
          </w:tcPr>
          <w:p>
            <w:pPr>
              <w:jc w:val="center"/>
              <w:rPr>
                <w:b/>
                <w:bCs/>
                <w:szCs w:val="21"/>
                <w:highlight w:val="yellow"/>
              </w:rPr>
            </w:pPr>
            <w:r>
              <w:rPr>
                <w:rFonts w:hint="eastAsia"/>
                <w:b/>
                <w:bCs/>
                <w:szCs w:val="21"/>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szCs w:val="21"/>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仿宋_GB2312" w:hAnsi="华文仿宋" w:eastAsia="仿宋_GB2312"/>
          <w:b/>
          <w:color w:val="FF0000"/>
          <w:sz w:val="28"/>
          <w:szCs w:val="28"/>
          <w:u w:val="single"/>
        </w:rPr>
        <w:t>音箱</w:t>
      </w:r>
      <w:r>
        <w:rPr>
          <w:rFonts w:hint="eastAsia" w:ascii="宋体" w:hAnsi="宋体"/>
          <w:b/>
          <w:color w:val="FF0000"/>
          <w:szCs w:val="21"/>
          <w:u w:val="single"/>
        </w:rPr>
        <w:t xml:space="preserve">   </w:t>
      </w:r>
      <w:r>
        <w:rPr>
          <w:rFonts w:hint="eastAsia" w:ascii="宋体" w:hAnsi="宋体"/>
          <w:b/>
          <w:color w:val="FF0000"/>
          <w:szCs w:val="21"/>
        </w:rPr>
        <w:t>。</w:t>
      </w:r>
    </w:p>
    <w:bookmarkEnd w:id="37"/>
    <w:p>
      <w:pPr>
        <w:rPr>
          <w:rFonts w:ascii="宋体" w:hAnsi="宋体"/>
          <w:b/>
          <w:color w:val="FF0000"/>
          <w:szCs w:val="21"/>
        </w:rPr>
      </w:pPr>
    </w:p>
    <w:p>
      <w:pPr>
        <w:pStyle w:val="8"/>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9"/>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rPr>
        <w:t>四、技术要求</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9"/>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highlight w:val="yellow"/>
                <w14:textFill>
                  <w14:solidFill>
                    <w14:schemeClr w14:val="tx1"/>
                  </w14:solidFill>
                </w14:textFill>
              </w:rPr>
              <w:t>触控一体机</w:t>
            </w: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1、整机屏幕边缘采用金属包边防护，外部无任何可见内部功能模块连接线，有效屏蔽内部电路器件辐射，适应多种教学环境。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2、▲液晶屏显示尺寸≥86英寸，采用A+规屏；显示比例16:9；分辨率≥3840*2160，可视角度≥178°，屏幕显示灰度分辨率等级达到256级以上灰阶。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3、采用红外感应技术，在双系统下均支持不少于20点触控，触摸分辨率≥32768（W）*32768（D）；触摸精度≤±1mm；触摸高度≤2mm；最小识别直径≤2mm。屏幕表面采用高品质3.2mm厚防眩光钢化玻璃，透光率≥91%，表面硬度≥8H。使得屏幕显示更加通透，画质更加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4、钢化玻璃厚度</w:t>
            </w:r>
            <w:r>
              <w:rPr>
                <w:rFonts w:hint="eastAsia" w:ascii="宋体" w:hAnsi="宋体" w:eastAsia="宋体" w:cs="宋体"/>
                <w:color w:val="000000"/>
                <w:kern w:val="0"/>
                <w:sz w:val="22"/>
                <w:lang w:val="en-US" w:eastAsia="zh-CN" w:bidi="ar"/>
              </w:rPr>
              <w:t>≤</w:t>
            </w:r>
            <w:r>
              <w:rPr>
                <w:rFonts w:hint="eastAsia" w:ascii="宋体" w:hAnsi="宋体" w:eastAsia="宋体" w:cs="宋体"/>
                <w:color w:val="000000"/>
                <w:kern w:val="0"/>
                <w:sz w:val="22"/>
                <w:lang w:bidi="ar"/>
              </w:rPr>
              <w:t>4mm，减小显示面板与玻璃间的偏光、散射，画面显示更加清晰通透。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5、屏体采用物理防蓝光设计，无需通过按键操作，默认达到防蓝光效果，蓝光防护等级达到RG0。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w:t>
            </w:r>
            <w:r>
              <w:rPr>
                <w:rFonts w:hint="eastAsia" w:ascii="宋体" w:hAnsi="宋体" w:eastAsia="宋体" w:cs="宋体"/>
                <w:color w:val="000000" w:themeColor="text1"/>
                <w:kern w:val="0"/>
                <w:sz w:val="22"/>
                <w:lang w:bidi="ar"/>
                <w14:textFill>
                  <w14:solidFill>
                    <w14:schemeClr w14:val="tx1"/>
                  </w14:solidFill>
                </w14:textFill>
              </w:rPr>
              <w:t>符合最大</w:t>
            </w:r>
            <w:r>
              <w:rPr>
                <w:rFonts w:hint="eastAsia" w:ascii="宋体" w:hAnsi="宋体" w:eastAsia="宋体" w:cs="宋体"/>
                <w:color w:val="000000"/>
                <w:kern w:val="0"/>
                <w:sz w:val="22"/>
                <w:lang w:bidi="ar"/>
              </w:rPr>
              <w:t>屏幕亮度≥300cd/m²，静态对比度≥1000:1，亮度均匀性≥70%，无闪烁，闪烁等级≤-30db（60Hz），亮度可视角垂直≥60°。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整机采用简洁化设计，产品前面板独立物理按钮数量≤1，可实现开机、息屏、唤醒、长按关机功能。为有效、及时解决教学故障，同时防止学生无意触碰，整机具备侧置安卓系统还原按键，无需专业人员即可轻松解决系统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8、设备提供标准模块化电脑（OPS）通用的80针接口，拒绝厂商专用接口，以满足后续模块化电脑配置升级的需求。 加电状态下安装或拆卸OPS时，提供安全预警提示，要求操作人员断电操作，从而保证人员及设备的安全。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9、▲采用国产化的主要元器件，包括但不限于CPU处理单元、可编程逻辑芯片、时钟芯片等。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10、整机内置无线网卡，支持在嵌入式系统下接入2.4G/5G双频无线网络，支持802.11 a/b/g/n/ac无线网络协议，支持MIMO，支持双天线。提供AP、Station工作模式，且支持AP&amp;Station两种工作模式同时工作，在接入到无线网络的同时，也可以作为热点允许其他设备连接，工作距离≥20米。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11、为满足教学应用需求，设备采用多声道组合音响，提供不低于4个喇叭单元，包含至少2个高音喇叭单元及2个全频喇叭单元。且喇叭模组总功率不低于30W，频响范围100-20KHz。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12、内置无线投屏接收器，无需外接接收部件，可选择USB接口的无线投屏发射器进行匹配，匹配完成后可将外部电脑或手机的屏幕画面通过无线方式传输到设备上显示。整机支持Windows和Android双系统， 只需一根网线，Windows和Android双系统均可实现上网功能。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13、整机能感应并自动调节屏幕，来达到在不同光照环境下的不同亮度显示效果，此功能可自行开启或关闭。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14、内置安卓系统， ROM≥32GB，RAM≥4GB，系统版本≥Android 9.0，支持在线升级；安卓主页面提供≥6个应用程序，并可以根据教学需求随意替换。支持屏幕密码锁功能，可自定义解锁密码，开启后可锁定屏幕。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15、为方便日常教学投屏使用，支持多种投屏方式，包括但不限于APP投屏、智慧投屏器、NFC一碰投屏、手机下拉菜单软投屏等方式。在任意信号源通道下，提供两侧悬浮按钮，操作者可通过悬浮按钮进行系统间切换，手动调节屏幕亮度和声音，支持查看所有正在运行的任务，快速切换当前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16、▲手机NFC一碰投屏、下拉菜单软投屏支持打开勿扰模式，避免弹窗消息投屏到终端上。</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17、嵌入式Android操作系统下，内置互动白板支持2种以上书写笔头，书写延时≤25ms，支持8种以上书写颜色，使用者可对书写内容进行选择，移动，缩放，删除。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18、支持在无外接OPS电脑状态下，互动白板支持不同背景颜色，可根据学科需要进行调整，白板可增加书写页面，最大可支持100页，书写完成后可导出PDF等格式。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19、▲嵌入式Android操作系统下，内置互动白板书写完成后支持本地保存、邮件分享、微信等主流应用扫码带走功能，方便老师实时保存课堂书写内容。</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20、支持设备休眠功能，可自定义休眠时间，设备在休眠时可自动清理白板、批注和应用的内容。支持在无外接OPS电脑状态下，无需打开APP即可实现欢迎屏功能，提供不少于3个内置模板，也可以通过本地存储或U盘自定义模板背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21、支持在无外接OPS电脑状态下，嵌入式Android操作系统下可实现windows系统中常用的教学应用功能，如白板书写、WPS软件使用、网页浏览、图片浏览、视频播放，提供设备同品牌APP应用市场。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22、嵌入式Android操作系统下内置信息窗功能，无需打开APP即可实现不少于10张自定义图片的滚动播放。嵌入式Android操作系统下内置壁纸功能，可选动态壁纸和静态壁纸，自带壁纸总数量≥10张，也可以根据实际需要导入自定义壁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23、支持音频调节功能，设备可根据不同教室空间的大小进行手动调节低频/中频/高频均衡、回声抑制强度调节、混响抑制强度调节，可制定不同的音频输出选择、材料源音频输出策略，从而有效保证教室内放音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24、支持视频输入设置功能，可对通过HDMI或Type-C输入的视频源进行拉伸设置，使非标准16:9画面输入后可完美适配屏幕比例。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25、支持视频输出设置功能，可根据课堂内不同设备（如：录播系统、回显屏、智慧课堂系统等）对屏幕输出画面的需求，进行画面拉伸、图像分辨率、刷新率的设置，无需通过转接设备可很好适配周边设备。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cs="宋体"/>
                <w:color w:val="FF0000"/>
                <w:kern w:val="0"/>
                <w:sz w:val="22"/>
                <w:szCs w:val="22"/>
                <w:lang w:bidi="ar"/>
              </w:rPr>
              <w:t>★</w:t>
            </w:r>
            <w:r>
              <w:rPr>
                <w:rFonts w:hint="eastAsia" w:ascii="宋体" w:hAnsi="宋体" w:cs="宋体"/>
                <w:color w:val="000000"/>
                <w:kern w:val="0"/>
                <w:sz w:val="22"/>
                <w:szCs w:val="22"/>
                <w:lang w:bidi="ar"/>
              </w:rPr>
              <w:t>实现与宝安区触控一体机管理平台互联互通，验收时须经区教育发展中心教育技术部确认。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信息化教学平台</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26、整机壁挂式安装，四周机壳无锐角和利边设计，保障使用过程中的用户安全。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27、</w:t>
            </w:r>
            <w:r>
              <w:rPr>
                <w:rFonts w:hint="eastAsia" w:ascii="宋体" w:hAnsi="宋体"/>
                <w:color w:val="000000"/>
                <w:kern w:val="0"/>
                <w:sz w:val="22"/>
              </w:rPr>
              <w:t>托板及挂墙部分采用金属加强处理，同时托板采用磁吸吸附式机构，防止托板打落，方便打开及固定。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28、</w:t>
            </w:r>
            <w:r>
              <w:rPr>
                <w:rFonts w:hint="eastAsia" w:ascii="宋体" w:hAnsi="宋体"/>
                <w:color w:val="000000"/>
                <w:kern w:val="0"/>
                <w:sz w:val="22"/>
              </w:rPr>
              <w:t>展示托板正上方具备LED补光灯，保证展示区域的亮度及展示效果，自带磨砂均光罩LED补光灯，光线不足时可进行亮度补充、亮度均匀，采用触摸调光设计。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29、</w:t>
            </w:r>
            <w:r>
              <w:rPr>
                <w:rFonts w:hint="eastAsia" w:ascii="宋体" w:hAnsi="宋体" w:cs="宋体"/>
                <w:color w:val="000000"/>
                <w:kern w:val="0"/>
                <w:sz w:val="22"/>
                <w:lang w:bidi="ar"/>
              </w:rPr>
              <w:t>采用≥800万像素摄像头。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30、</w:t>
            </w:r>
            <w:r>
              <w:rPr>
                <w:rFonts w:hint="eastAsia" w:ascii="宋体" w:hAnsi="宋体"/>
                <w:color w:val="000000"/>
                <w:kern w:val="0"/>
                <w:sz w:val="22"/>
              </w:rPr>
              <w:t>防护等级：外壳在摄像头部分带保护镜片密封，防止灰尘沾染摄像头。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31、</w:t>
            </w:r>
            <w:r>
              <w:rPr>
                <w:rFonts w:hint="eastAsia" w:ascii="宋体" w:hAnsi="宋体"/>
                <w:color w:val="000000"/>
                <w:kern w:val="0"/>
                <w:sz w:val="22"/>
              </w:rPr>
              <w:t>自启动和自关闭：为了方便老师教学，采用磁感应式打开支臂系统可以自感应并启动展台软件;放下镜头支臂，系统即可自行关闭展台软件。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32、</w:t>
            </w:r>
            <w:r>
              <w:rPr>
                <w:rFonts w:hint="eastAsia" w:ascii="宋体" w:hAnsi="宋体"/>
                <w:color w:val="000000"/>
                <w:kern w:val="0"/>
                <w:sz w:val="22"/>
              </w:rPr>
              <w:t>采用 USB五伏电源直接供电，无需额外配置电源适配器；箱内USB连线采用隐藏式设计，箱内无可见连线且USB口下出</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33、</w:t>
            </w:r>
            <w:r>
              <w:rPr>
                <w:rFonts w:hint="eastAsia" w:ascii="宋体" w:hAnsi="宋体"/>
                <w:color w:val="000000"/>
                <w:kern w:val="0"/>
                <w:sz w:val="22"/>
              </w:rPr>
              <w:t>软件自带中英文双语版本，支持对展台实时画面进行放大、缩小、旋转、亮度调节、镜像、冻结画面等操作。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34、整机支持对实时画面进行设置调节，包括放大缩小、旋转、冻结画面等。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35、</w:t>
            </w:r>
            <w:r>
              <w:rPr>
                <w:rFonts w:hint="eastAsia" w:ascii="宋体" w:hAnsi="宋体"/>
                <w:color w:val="000000"/>
                <w:kern w:val="0"/>
                <w:sz w:val="22"/>
              </w:rPr>
              <w:t>支持展台画面拍照截图并进行多图预览，可对任一图片进行全屏显示等操作</w:t>
            </w:r>
            <w:r>
              <w:rPr>
                <w:rFonts w:hint="eastAsia" w:ascii="宋体" w:hAnsi="宋体" w:eastAsia="宋体" w:cs="宋体"/>
                <w:color w:val="000000"/>
                <w:kern w:val="0"/>
                <w:sz w:val="22"/>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36、可设置延迟拍照功能，支持5或10秒延迟拍摄，方便预留充足时间准备拍摄。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37、展台支持拍摄保存多个画面，且可进行多图预览，方便教学使用。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38、可选择图像、文本或动态三种情景模式，适应不同展示内容。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39、</w:t>
            </w:r>
            <w:r>
              <w:rPr>
                <w:rFonts w:hint="eastAsia" w:ascii="宋体" w:hAnsi="宋体"/>
                <w:color w:val="000000"/>
                <w:kern w:val="0"/>
                <w:sz w:val="22"/>
              </w:rPr>
              <w:t>同屏对比，支持不限幅面分屏对比，每副图可单独设置放大、缩小、手写批注等功能。再点击“同屏对比”功能退出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40、支持故障自动检测，在软件无法出现展台拍摄画面时，出现检测链接，帮助用户检测“无画面”的原因，并给出引导性解决方案。可判断硬件连接、显卡驱动、摄像头占用、软件版本等问题。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41、支持二维码扫码功能：打开扫一扫功能后，将书本上的二维码放入扫描框内即可自动扫描，并进入系统浏览器获取二维码的链接内容，帮助老师快速获取电子教学资源。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134" w:type="dxa"/>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学生桌</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42、材质：钢木结构，采用6块25mm组合而成。四周利用机械封边机配以热溶胶高温封边，采用（PVC1.0 MM 封边条）；规格：标准尺寸为：</w:t>
            </w:r>
            <w:r>
              <w:rPr>
                <w:rStyle w:val="40"/>
                <w:rFonts w:hint="eastAsia" w:ascii="宋体" w:hAnsi="宋体" w:eastAsia="宋体" w:cs="宋体"/>
                <w:lang w:bidi="ar"/>
              </w:rPr>
              <w:t>Φ</w:t>
            </w:r>
            <w:r>
              <w:rPr>
                <w:rFonts w:hint="eastAsia" w:ascii="宋体" w:hAnsi="宋体" w:eastAsia="宋体" w:cs="宋体"/>
                <w:color w:val="000000"/>
                <w:kern w:val="0"/>
                <w:sz w:val="22"/>
                <w:lang w:bidi="ar"/>
              </w:rPr>
              <w:t>1450长*1380宽*750mm高（六边形桌）</w:t>
            </w:r>
            <w:r>
              <w:rPr>
                <w:rFonts w:hint="eastAsia" w:ascii="宋体" w:hAnsi="宋体" w:eastAsia="宋体" w:cs="宋体"/>
                <w:sz w:val="22"/>
              </w:rPr>
              <w:t>（以上每个尺寸可正负偏离≤10%）</w:t>
            </w:r>
            <w:r>
              <w:rPr>
                <w:rFonts w:hint="eastAsia" w:ascii="宋体" w:hAnsi="宋体" w:eastAsia="宋体" w:cs="宋体"/>
                <w:color w:val="000000"/>
                <w:kern w:val="0"/>
                <w:sz w:val="22"/>
                <w:lang w:bidi="ar"/>
              </w:rPr>
              <w:t>,腿部有防滑橡胶垫，有效保护地面及防滑。脚垫：采用高强度 ABS 塑料，自由调节高度≥20mm。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学生椅</w:t>
            </w:r>
          </w:p>
        </w:tc>
        <w:tc>
          <w:tcPr>
            <w:tcW w:w="6485" w:type="dxa"/>
          </w:tcPr>
          <w:p>
            <w:pPr>
              <w:rPr>
                <w:rFonts w:ascii="宋体" w:hAnsi="宋体" w:eastAsia="宋体" w:cs="宋体"/>
                <w:sz w:val="22"/>
              </w:rPr>
            </w:pPr>
            <w:r>
              <w:rPr>
                <w:rFonts w:hint="eastAsia" w:ascii="宋体" w:hAnsi="宋体" w:eastAsia="宋体" w:cs="宋体"/>
                <w:sz w:val="22"/>
              </w:rPr>
              <w:t>43、材质：坐垫及靠背为pp工程塑料，椅架为1.0cm直径实心钢筋 ，表面电镀打磨，带防滑脚垫。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44、尺寸：470mm椅面高*500mm椅脚宽*860mm椅高（以上每个尺寸可正负偏离≤10%）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音箱</w:t>
            </w:r>
          </w:p>
        </w:tc>
        <w:tc>
          <w:tcPr>
            <w:tcW w:w="6485" w:type="dxa"/>
          </w:tcPr>
          <w:p>
            <w:pPr>
              <w:rPr>
                <w:rFonts w:ascii="宋体" w:hAnsi="宋体" w:eastAsia="宋体" w:cs="宋体"/>
                <w:sz w:val="22"/>
              </w:rPr>
            </w:pPr>
            <w:r>
              <w:rPr>
                <w:rFonts w:hint="eastAsia" w:ascii="宋体" w:hAnsi="宋体" w:eastAsia="宋体" w:cs="宋体"/>
                <w:sz w:val="22"/>
              </w:rPr>
              <w:t>45、喇叭功率：平均≥100W，峰值≥300W。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46、输入阻抗：≥8Ω/100V可调节。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47、频率响应：≥20Hz～20KHz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48、灵 敏 度：≥86dB/w/m。最大声压：≥108dB。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49、喇叭单元：≥低音1*8英寸，高音1*1.5英寸。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sz w:val="22"/>
              </w:rPr>
              <w:t>50、覆盖角度：≥60°×90°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功放</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51、机箱采用2U高度设计，TD类功率放大电路。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52、输出具有立体声、桥接、并接三种模式。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53、立体声输出：≥8</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2×250W。立体声输出：≥4</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2×500W。桥接输出：≥8</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1000W。输入灵敏度：≥0.775/1V/1.4V。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54、▲频率响应：≥20Hz-20KHz,±3dB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55、▲信噪比：≥105dB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56、总谐波失真：≥0.04%。输入输出：输入插座:XLR-M。输入阻抗：10K</w:t>
            </w:r>
            <w:r>
              <w:rPr>
                <w:rStyle w:val="40"/>
                <w:rFonts w:hint="eastAsia" w:ascii="宋体" w:hAnsi="宋体" w:eastAsia="宋体" w:cs="宋体"/>
                <w:lang w:bidi="ar"/>
              </w:rPr>
              <w:t>Ω</w:t>
            </w:r>
            <w:r>
              <w:rPr>
                <w:rFonts w:hint="eastAsia" w:ascii="宋体" w:hAnsi="宋体" w:eastAsia="宋体" w:cs="宋体"/>
                <w:color w:val="000000"/>
                <w:kern w:val="0"/>
                <w:sz w:val="22"/>
                <w:lang w:bidi="ar"/>
              </w:rPr>
              <w:t>（电子平衡式）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数字音频处理器</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57、≥2路输入和≥6路输出任意设置，可灵活组合各类型音频系统。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58、每路输入设有≥15段PEQ。每路输出设有≥10段PEQ。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59、▲每路输入通道均设有增益、相位、延时、静音的功能及每路输出通道均设有增益、相位、分频、压限、静音、延时的功能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60、可根据用户需要存储，可存储≥12种用户程序。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61、设有USB、RS485和RS232多种控制方式，通过RS485接口可级联，且设有RS232串口，可通过第三方做远程编辑和控制。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一拖二无线麦</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62、UHF双通道615MHz-665MHz。天线采用真分集式接收电路设计。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63、液晶显示，功能均可以在液晶屏显示，如频率、静音、信号电平、音频电平等。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64、每个通道频点可调，带有自动扫频功能，也可以手动调频。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kern w:val="0"/>
                <w:sz w:val="22"/>
                <w:lang w:bidi="ar"/>
              </w:rPr>
            </w:pPr>
            <w:r>
              <w:rPr>
                <w:rFonts w:hint="eastAsia" w:ascii="宋体" w:hAnsi="宋体" w:eastAsia="宋体" w:cs="宋体"/>
                <w:color w:val="000000"/>
                <w:kern w:val="0"/>
                <w:sz w:val="22"/>
                <w:lang w:bidi="ar"/>
              </w:rPr>
              <w:t>65、频率响应：≥25HZ-20KHz，信噪比：≥102dB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b/>
                <w:bCs/>
                <w:color w:val="FF0000"/>
                <w:sz w:val="22"/>
              </w:rPr>
              <w:t>★</w:t>
            </w:r>
            <w:r>
              <w:rPr>
                <w:rFonts w:hint="eastAsia" w:ascii="宋体" w:hAnsi="宋体" w:eastAsia="宋体" w:cs="宋体"/>
                <w:sz w:val="22"/>
              </w:rPr>
              <w:t>含手持无线麦一套；头戴无线麦一套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电源时序器</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66、▲前面板配置数字电压显示窗口，≥2路直通电源插座，≥1个USB充电接口，后板具有≥1路级联输入，≥1路级联输出，≥1路短路触发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67、≥10路电源设计，≥8路可控电源管理。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68、8路输出带指示灯，单路额定输出电流：≥20A。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69、电源时序开关间隔：每路之间间隔≥1秒，减少用电设备对输电线路启动或关闭产生的冲击电流。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70、▲具有wifi控制功能，自带云端，手机在全国任意地方可进行控制，远程状态查看及实时控制</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机柜（可移动）</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71、尺寸：600mm*600mm*1000mm（以上每个尺寸可正负偏离≤10%）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72、包含所需PDU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监控</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73、设备不低于IP67防尘防水等级，具有1个RS485接口、1个报警输入接口、1个报警输出接口、1个音频输入接口、1个音频输出接口。设备支持双镜头，通道1分辨率不低于2560*1440，通道2分辨率不低于1920*1080。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74、▲设备通道1水平视场角不小于85°、通道2水平视场角不小于41°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75、▲设备内置4颗补光灯，灯珠朝向和补光照射方向不应相同，补光灯开启后，正面不可见补光灯灯珠。</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76、支持H.264、H.265、MJPEG视频编码格式，且具有High Profile编码能力。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77、▲补光灯开启，补光亮度均匀，无波纹、圆环状、麻点状、条纹状及不规则亮斑。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78、支持对经过设定区域的行人进行人脸检测，可联动抓拍最佳人脸图片。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79、支持人脸图像增强现实功能，设备可动态跟踪出现在画面中的人脸，并对人脸区域进行增强显示。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80、当触发移动侦测、进入区域、离开区域、越界侦测或区域入侵报警时，可在报警时间内联动声音报警和白光灯闪烁，检测不低于60m处的人、车目标。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81、警戒音具有不低于11种不同的语音播报类型可选，报警音量和重复次数可选。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134" w:type="dxa"/>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卷帘</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82、材质：防水阻燃面料遮光卷帘，POM高密拉珠.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调音台</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83、≥8路通道输入，自带+48V幻象供电开关选择。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84、▲内置蓝牙模块可链接任何蓝牙播放设备进行播放音乐，带USB接口，可直接插U盘进行播放音乐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85、▲内置A/B通道各≥128种效果，通过显示屏选择A/B通道调节效果</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86、≥2组编组辅助输出，≥4组AUX辅助输出。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87、每路输入带≥3色电平柱，≥12段LED电平显示。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合唱台</w:t>
            </w: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88、尺寸：D1530mm*W1250mm*H315mm；以上每个尺寸可正负偏离≤10%）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89、材质：采用PE塑料定制；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90、生产工艺：采用吹塑一体制作；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91、功能：合唱台台阶可翻转设计，可调整为三层合唱台，也可以变为一个整体的小舞台，侧面轮子设计方便推移，台阶规格尺寸：三层总尺寸D1250mm*W1140mm*H62mm （以上每个尺寸可正负偏离≤10%）；每层台阶宽380±20mm ,高210±20mm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92、小舞台尺寸:D1530mm*W1250mm*310mm（以上每个尺寸可正负偏离≤10%）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器具柜</w:t>
            </w: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93、材质：采用E0级多层实木板，甲醛释放量≤0.05mg/m³，板材含水率≤10%。采用PVC封边条封边，采用缓冲铰链。上半部玻璃门展柜，下半部木门储物柜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94、尺寸：1600mm长*600mm深*2800mm高（以上每个尺寸可正负偏离≤10%）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钢琴</w:t>
            </w: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95、规格尺寸：琴键数：88键、琴盖带阻尼器，使琴盖缓慢降落，防夹手。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96、琴宽153cm*琴高131cm（±5cm）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97、白键下沉深度：9.5-11.5mm,白键下沉偏差：≤1.0mm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98、音准稳定性：各音最大允许误差：8音分；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99、音板：单层实木板；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100、脚轮：金色金属脚轮。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101、琴键运动：灵活、不互相摩擦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102、踏瓣运动：平稳、灵活、无杂音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103、黑键长度：94-96mm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104、黑键高度：11-13.5mm</w:t>
            </w:r>
            <w:r>
              <w:rPr>
                <w:rFonts w:ascii="宋体" w:hAnsi="宋体" w:eastAsia="宋体" w:cs="宋体"/>
                <w:color w:val="000000" w:themeColor="text1"/>
                <w:sz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105、白键前端长度：48-53mm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106、八度音程白键宽度：161-166mm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107、琴键面：应平整、各键应倒棱、倒角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108、中盘底面距地面高度：≥570mm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109、音板、肋木、弦码、音板框：应结合牢固、无开裂、不脱胶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110、弦轴：直径6.75-7.25mm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111、每架钢琴配可升降琴凳一个。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节拍器</w:t>
            </w: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112、材质：金属机芯，金属摆块。40拍使用时间约45min,208拍使用时间约9min。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color w:val="000000"/>
                <w:kern w:val="0"/>
                <w:sz w:val="22"/>
                <w:lang w:bidi="ar"/>
              </w:rPr>
              <w:t>113、尺寸：210mm*100mm*120mm（以上每个尺寸可正负偏离≤10%）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134"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3P天花机</w:t>
            </w:r>
          </w:p>
        </w:tc>
        <w:tc>
          <w:tcPr>
            <w:tcW w:w="6485" w:type="dxa"/>
          </w:tcPr>
          <w:p>
            <w:pPr>
              <w:rPr>
                <w:rFonts w:ascii="宋体" w:hAnsi="宋体" w:eastAsia="宋体" w:cs="宋体"/>
                <w:sz w:val="22"/>
                <w:highlight w:val="none"/>
              </w:rPr>
            </w:pPr>
            <w:r>
              <w:rPr>
                <w:rFonts w:hint="eastAsia" w:ascii="宋体" w:hAnsi="宋体" w:eastAsia="宋体" w:cs="宋体"/>
                <w:color w:val="000000"/>
                <w:kern w:val="0"/>
                <w:sz w:val="22"/>
                <w:highlight w:val="none"/>
                <w:lang w:bidi="ar"/>
              </w:rPr>
              <w:t>114、设备参数：额定制冷量（W）不低于7000；额定制冷功率（w）：不低于1900；能效比：不低于4。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b/>
                <w:bCs/>
                <w:color w:val="FF0000"/>
                <w:sz w:val="22"/>
              </w:rPr>
            </w:pPr>
            <w:r>
              <w:rPr>
                <w:rFonts w:hint="eastAsia" w:ascii="宋体" w:hAnsi="宋体" w:eastAsia="宋体" w:cs="宋体"/>
                <w:color w:val="FF0000"/>
                <w:kern w:val="0"/>
                <w:sz w:val="22"/>
                <w:lang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6485" w:type="dxa"/>
          </w:tcPr>
          <w:p>
            <w:pPr>
              <w:rPr>
                <w:rFonts w:ascii="宋体" w:hAnsi="宋体" w:eastAsia="宋体" w:cs="宋体"/>
                <w:sz w:val="22"/>
              </w:rPr>
            </w:pPr>
            <w:r>
              <w:rPr>
                <w:rFonts w:hint="eastAsia" w:ascii="宋体" w:hAnsi="宋体" w:eastAsia="宋体" w:cs="宋体"/>
                <w:b/>
                <w:bCs/>
                <w:color w:val="FF0000"/>
                <w:sz w:val="22"/>
              </w:rPr>
              <w:t>★</w:t>
            </w:r>
            <w:r>
              <w:rPr>
                <w:rFonts w:hint="eastAsia" w:ascii="宋体" w:hAnsi="宋体" w:eastAsia="宋体" w:cs="宋体"/>
                <w:color w:val="000000"/>
                <w:kern w:val="0"/>
                <w:sz w:val="22"/>
                <w:lang w:bidi="ar"/>
              </w:rPr>
              <w:t>含高空安装、铜管、布线及相关辅材</w:t>
            </w:r>
          </w:p>
        </w:tc>
      </w:tr>
      <w:bookmarkEnd w:id="41"/>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rPr>
            </w:pPr>
            <w:r>
              <w:rPr>
                <w:rFonts w:hint="eastAsia"/>
                <w:bCs/>
              </w:rPr>
              <w:t>1</w:t>
            </w:r>
          </w:p>
        </w:tc>
        <w:tc>
          <w:tcPr>
            <w:tcW w:w="1457" w:type="dxa"/>
          </w:tcPr>
          <w:p>
            <w:pPr>
              <w:jc w:val="center"/>
            </w:pPr>
            <w:r>
              <w:rPr>
                <w:rFonts w:hint="eastAsia"/>
              </w:rPr>
              <w:t>维修响应及故障解决时间</w:t>
            </w:r>
          </w:p>
        </w:tc>
        <w:tc>
          <w:tcPr>
            <w:tcW w:w="6523" w:type="dxa"/>
          </w:tcPr>
          <w:p>
            <w:pPr>
              <w:rPr>
                <w:b/>
              </w:rPr>
            </w:pPr>
            <w:r>
              <w:rPr>
                <w:rFonts w:hint="eastAsia"/>
                <w:bCs/>
                <w:szCs w:val="21"/>
              </w:rPr>
              <w:t>在免费保修期内，一旦发生质量问题，中标人保证在接到通知12小时内赶到现场进行修理或更换。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szCs w:val="21"/>
              </w:rPr>
              <w:t>技术文件</w:t>
            </w:r>
          </w:p>
        </w:tc>
        <w:tc>
          <w:tcPr>
            <w:tcW w:w="6523" w:type="dxa"/>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Cs/>
              </w:rPr>
            </w:pPr>
            <w:r>
              <w:rPr>
                <w:rFonts w:hint="eastAsia"/>
                <w:bCs/>
              </w:rPr>
              <w:t>4</w:t>
            </w:r>
          </w:p>
        </w:tc>
        <w:tc>
          <w:tcPr>
            <w:tcW w:w="1457" w:type="dxa"/>
            <w:vAlign w:val="center"/>
          </w:tcPr>
          <w:p>
            <w:pPr>
              <w:jc w:val="center"/>
              <w:rPr>
                <w:bCs/>
              </w:rPr>
            </w:pPr>
            <w:r>
              <w:rPr>
                <w:rFonts w:hint="eastAsia"/>
                <w:szCs w:val="21"/>
              </w:rPr>
              <w:t>安装调试</w:t>
            </w:r>
          </w:p>
        </w:tc>
        <w:tc>
          <w:tcPr>
            <w:tcW w:w="6523" w:type="dxa"/>
            <w:vAlign w:val="center"/>
          </w:tcPr>
          <w:p>
            <w:pPr>
              <w:rPr>
                <w:bCs/>
                <w:szCs w:val="21"/>
              </w:rPr>
            </w:pPr>
            <w:r>
              <w:rPr>
                <w:rFonts w:hint="eastAsia"/>
                <w:bCs/>
              </w:rPr>
              <w:t>供应商负责安装调试工作。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Align w:val="center"/>
          </w:tcPr>
          <w:p>
            <w:pPr>
              <w:spacing w:line="360" w:lineRule="exact"/>
              <w:jc w:val="center"/>
              <w:rPr>
                <w:rFonts w:ascii="宋体" w:hAnsi="宋体"/>
                <w:b/>
                <w:color w:val="000000"/>
                <w:sz w:val="20"/>
                <w:szCs w:val="20"/>
              </w:rPr>
            </w:pPr>
            <w:r>
              <w:rPr>
                <w:rStyle w:val="22"/>
                <w:rFonts w:hint="eastAsia" w:ascii="宋体" w:hAnsi="宋体" w:cs="宋体"/>
                <w:color w:val="000000"/>
                <w:sz w:val="20"/>
                <w:szCs w:val="20"/>
              </w:rPr>
              <w:t>维修零配件、消耗品和延续保修合同的报价</w:t>
            </w:r>
          </w:p>
        </w:tc>
        <w:tc>
          <w:tcPr>
            <w:tcW w:w="6523" w:type="dxa"/>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ascii="宋体" w:hAnsi="宋体"/>
                <w:b/>
                <w:sz w:val="20"/>
                <w:szCs w:val="20"/>
              </w:rPr>
            </w:pPr>
            <w:r>
              <w:rPr>
                <w:rFonts w:hint="eastAsia" w:ascii="宋体" w:hAnsi="宋体"/>
                <w:b/>
                <w:sz w:val="20"/>
                <w:szCs w:val="20"/>
              </w:rPr>
              <w:t>违约责任</w:t>
            </w: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8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2</w:t>
            </w:r>
          </w:p>
        </w:tc>
        <w:tc>
          <w:tcPr>
            <w:tcW w:w="1457"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交货及付款要求</w:t>
            </w:r>
          </w:p>
        </w:tc>
        <w:tc>
          <w:tcPr>
            <w:tcW w:w="6523" w:type="dxa"/>
            <w:vAlign w:val="center"/>
          </w:tcPr>
          <w:p>
            <w:pPr>
              <w:spacing w:line="360" w:lineRule="exact"/>
            </w:pPr>
            <w:r>
              <w:rPr>
                <w:rFonts w:hint="eastAsia"/>
              </w:rPr>
              <w:t>2.1履约时间和地点：投标供应商在签订合同之日起25天内交货，交货地点为</w:t>
            </w:r>
            <w:r>
              <w:rPr>
                <w:rFonts w:hint="eastAsia"/>
                <w:u w:val="single"/>
              </w:rPr>
              <w:t>深圳市宝安区前湾学校</w:t>
            </w:r>
            <w:r>
              <w:rPr>
                <w:rFonts w:hint="eastAsia"/>
              </w:rPr>
              <w:t>。</w:t>
            </w:r>
          </w:p>
          <w:p>
            <w:pPr>
              <w:pStyle w:val="8"/>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vAlign w:val="center"/>
          </w:tcPr>
          <w:p>
            <w:pPr>
              <w:spacing w:line="360" w:lineRule="exact"/>
            </w:pPr>
            <w:r>
              <w:rPr>
                <w:rFonts w:hint="eastAsia"/>
              </w:rPr>
              <w:t>2</w:t>
            </w:r>
            <w:r>
              <w:t>.2</w:t>
            </w:r>
            <w:r>
              <w:rPr>
                <w:rFonts w:hint="eastAsia"/>
              </w:rPr>
              <w:t>付款期限和方式：签订合同收到中标人提供发票后15日内支付50%，完成验收后收到中标人提供发票15日内支付剩余货款。</w:t>
            </w:r>
          </w:p>
          <w:p>
            <w:pPr>
              <w:pStyle w:val="8"/>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3</w:t>
            </w:r>
          </w:p>
        </w:tc>
        <w:tc>
          <w:tcPr>
            <w:tcW w:w="1457" w:type="dxa"/>
            <w:vAlign w:val="center"/>
          </w:tcPr>
          <w:p>
            <w:pPr>
              <w:spacing w:line="360" w:lineRule="exact"/>
              <w:jc w:val="center"/>
              <w:rPr>
                <w:rStyle w:val="22"/>
                <w:rFonts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pPr>
              <w:spacing w:line="360" w:lineRule="exact"/>
              <w:rPr>
                <w:rFonts w:ascii="宋体" w:hAnsi="宋体" w:cs="宋体"/>
                <w:color w:val="000000"/>
                <w:sz w:val="20"/>
                <w:szCs w:val="20"/>
              </w:rPr>
            </w:pPr>
            <w:r>
              <w:rPr>
                <w:rFonts w:hint="eastAsia" w:ascii="宋体" w:hAnsi="宋体" w:cs="宋体"/>
                <w:color w:val="000000"/>
                <w:sz w:val="20"/>
                <w:szCs w:val="20"/>
              </w:rPr>
              <w:t>安装调试完毕，中标方提交验收申请，甲方在三日内组织验收。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4</w:t>
            </w:r>
          </w:p>
        </w:tc>
        <w:tc>
          <w:tcPr>
            <w:tcW w:w="1457" w:type="dxa"/>
            <w:vAlign w:val="center"/>
          </w:tcPr>
          <w:p>
            <w:pPr>
              <w:spacing w:line="360" w:lineRule="exact"/>
              <w:jc w:val="center"/>
              <w:rPr>
                <w:rStyle w:val="22"/>
                <w:rFonts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pPr>
              <w:spacing w:line="360" w:lineRule="exact"/>
              <w:rPr>
                <w:rFonts w:ascii="宋体" w:hAnsi="宋体" w:cs="宋体"/>
                <w:color w:val="000000"/>
                <w:sz w:val="20"/>
                <w:szCs w:val="20"/>
              </w:rPr>
            </w:pPr>
            <w:r>
              <w:rPr>
                <w:rFonts w:hint="eastAsia" w:ascii="宋体" w:hAnsi="宋体" w:cs="宋体"/>
                <w:color w:val="000000"/>
                <w:sz w:val="20"/>
                <w:szCs w:val="20"/>
              </w:rPr>
              <w:t>于甲方所在地法院通过诉讼解决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eastAsia="宋体"/>
                <w:b/>
                <w:sz w:val="20"/>
                <w:szCs w:val="20"/>
              </w:rPr>
            </w:pPr>
            <w:r>
              <w:rPr>
                <w:rFonts w:hint="eastAsia" w:ascii="宋体" w:hAnsi="宋体"/>
                <w:b/>
                <w:sz w:val="20"/>
                <w:szCs w:val="20"/>
              </w:rPr>
              <w:t>5</w:t>
            </w:r>
          </w:p>
        </w:tc>
        <w:tc>
          <w:tcPr>
            <w:tcW w:w="1457" w:type="dxa"/>
            <w:vAlign w:val="center"/>
          </w:tcPr>
          <w:p>
            <w:pPr>
              <w:spacing w:line="360" w:lineRule="exact"/>
              <w:jc w:val="center"/>
              <w:rPr>
                <w:rFonts w:ascii="宋体" w:hAnsi="宋体"/>
                <w:color w:val="000000"/>
                <w:sz w:val="20"/>
                <w:szCs w:val="20"/>
              </w:rPr>
            </w:pPr>
            <w:r>
              <w:rPr>
                <w:rStyle w:val="22"/>
                <w:rFonts w:hint="eastAsia" w:ascii="宋体" w:hAnsi="宋体" w:cs="宋体"/>
                <w:color w:val="000000"/>
                <w:sz w:val="20"/>
                <w:szCs w:val="20"/>
              </w:rPr>
              <w:t>运输、安装条件</w:t>
            </w:r>
          </w:p>
        </w:tc>
        <w:tc>
          <w:tcPr>
            <w:tcW w:w="6523" w:type="dxa"/>
            <w:vAlign w:val="center"/>
          </w:tcPr>
          <w:p>
            <w:pPr>
              <w:spacing w:line="360" w:lineRule="exact"/>
              <w:rPr>
                <w:rFonts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6</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rPr>
                <w:rFonts w:ascii="宋体" w:hAnsi="宋体"/>
                <w:b/>
                <w:sz w:val="20"/>
                <w:szCs w:val="20"/>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7</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rPr>
            </w:pPr>
          </w:p>
        </w:tc>
        <w:tc>
          <w:tcPr>
            <w:tcW w:w="1457" w:type="dxa"/>
            <w:vMerge w:val="continue"/>
            <w:vAlign w:val="center"/>
          </w:tcPr>
          <w:p>
            <w:pPr>
              <w:spacing w:line="360" w:lineRule="exact"/>
              <w:rPr>
                <w:rFonts w:ascii="宋体" w:hAnsi="宋体"/>
                <w:b/>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eastAsia="宋体"/>
                <w:b/>
              </w:rPr>
            </w:pPr>
            <w:r>
              <w:rPr>
                <w:rFonts w:hint="eastAsia"/>
                <w:b/>
              </w:rPr>
              <w:t>8</w:t>
            </w:r>
          </w:p>
        </w:tc>
        <w:tc>
          <w:tcPr>
            <w:tcW w:w="1457" w:type="dxa"/>
            <w:vAlign w:val="center"/>
          </w:tcPr>
          <w:p>
            <w:pPr>
              <w:spacing w:line="360" w:lineRule="exact"/>
              <w:jc w:val="center"/>
              <w:rPr>
                <w:rFonts w:ascii="宋体" w:hAnsi="宋体"/>
                <w:b/>
              </w:rPr>
            </w:pPr>
            <w:r>
              <w:rPr>
                <w:rFonts w:ascii="宋体" w:hAnsi="宋体"/>
                <w:b/>
                <w:color w:val="0000FF"/>
                <w:sz w:val="20"/>
                <w:szCs w:val="20"/>
              </w:rPr>
              <w:t>其他</w:t>
            </w: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pStyle w:val="7"/>
        <w:spacing w:before="60" w:beforeLines="25" w:after="60" w:afterLines="25"/>
        <w:ind w:firstLine="0"/>
        <w:rPr>
          <w:rFonts w:ascii="宋体" w:hAnsi="宋体"/>
          <w:szCs w:val="21"/>
        </w:rPr>
      </w:pPr>
    </w:p>
    <w:p>
      <w:pPr>
        <w:pStyle w:val="6"/>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ascii="宋体" w:hAnsi="宋体"/>
        </w:rPr>
      </w:pPr>
    </w:p>
    <w:p>
      <w:pPr>
        <w:pStyle w:val="8"/>
        <w:rPr>
          <w:rFonts w:ascii="宋体" w:hAnsi="宋体"/>
        </w:rPr>
      </w:pPr>
    </w:p>
    <w:p>
      <w:pPr>
        <w:pStyle w:val="16"/>
      </w:pPr>
    </w:p>
    <w:p>
      <w:pPr>
        <w:pStyle w:val="8"/>
        <w:rPr>
          <w:rFonts w:ascii="宋体" w:hAnsi="宋体"/>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第四章</w:t>
      </w:r>
      <w:r>
        <w:t xml:space="preserve"> </w:t>
      </w:r>
      <w:r>
        <w:rPr>
          <w:rFonts w:hint="eastAsia"/>
        </w:rPr>
        <w:t xml:space="preserve"> 投标文件组成要求及格式</w:t>
      </w:r>
    </w:p>
    <w:p>
      <w:pPr>
        <w:rPr>
          <w:rStyle w:val="37"/>
          <w:sz w:val="24"/>
        </w:rPr>
      </w:pPr>
      <w:r>
        <w:rPr>
          <w:rStyle w:val="37"/>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57771"/>
      <w:bookmarkStart w:id="44" w:name="_Hlk72263559"/>
      <w:r>
        <w:rPr>
          <w:rFonts w:hint="eastAsia" w:ascii="宋体" w:hAnsi="宋体"/>
          <w:sz w:val="24"/>
        </w:rPr>
        <w:t>投标文件组成：</w:t>
      </w:r>
    </w:p>
    <w:p>
      <w:pPr>
        <w:ind w:firstLine="1200" w:firstLineChars="50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45" w:name="_Hlk72070784"/>
      <w:r>
        <w:rPr>
          <w:rFonts w:hint="eastAsia"/>
          <w:szCs w:val="21"/>
        </w:rPr>
        <w:t>投标函</w:t>
      </w:r>
      <w:bookmarkEnd w:id="45"/>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p>
    <w:p>
      <w:pPr>
        <w:ind w:left="718" w:leftChars="342" w:firstLine="1417" w:firstLineChars="675"/>
        <w:rPr>
          <w:szCs w:val="21"/>
        </w:rPr>
      </w:pPr>
      <w:r>
        <w:rPr>
          <w:rFonts w:hint="eastAsia"/>
          <w:szCs w:val="21"/>
        </w:rPr>
        <w:t>（5）经验评价；</w:t>
      </w:r>
    </w:p>
    <w:p>
      <w:pPr>
        <w:ind w:left="718" w:leftChars="342" w:firstLine="1417" w:firstLineChars="675"/>
        <w:rPr>
          <w:szCs w:val="21"/>
        </w:rPr>
      </w:pPr>
      <w:r>
        <w:rPr>
          <w:rFonts w:hint="eastAsia"/>
          <w:szCs w:val="21"/>
        </w:rPr>
        <w:t>（6）自主知识产权评价；</w:t>
      </w:r>
    </w:p>
    <w:p>
      <w:pPr>
        <w:ind w:left="718" w:leftChars="342" w:firstLine="1627" w:firstLineChars="775"/>
        <w:rPr>
          <w:szCs w:val="21"/>
        </w:rPr>
      </w:pPr>
    </w:p>
    <w:p>
      <w:pPr>
        <w:ind w:firstLine="1200" w:firstLineChars="50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hint="eastAsia" w:eastAsiaTheme="minorEastAsia"/>
          <w:szCs w:val="21"/>
          <w:lang w:val="en-US" w:eastAsia="zh-CN"/>
        </w:rPr>
      </w:pPr>
      <w:r>
        <w:rPr>
          <w:rFonts w:hint="eastAsia"/>
          <w:szCs w:val="21"/>
        </w:rPr>
        <w:t>（5）技术要求偏离表</w:t>
      </w:r>
      <w:r>
        <w:rPr>
          <w:rFonts w:hint="eastAsia"/>
          <w:szCs w:val="21"/>
          <w:lang w:val="en-US" w:eastAsia="zh-CN"/>
        </w:rPr>
        <w:t>;</w:t>
      </w:r>
      <w:bookmarkStart w:id="139" w:name="_GoBack"/>
      <w:bookmarkEnd w:id="139"/>
    </w:p>
    <w:p>
      <w:pPr>
        <w:ind w:left="718" w:leftChars="342" w:firstLine="1417" w:firstLineChars="675"/>
        <w:rPr>
          <w:szCs w:val="21"/>
        </w:rPr>
      </w:pPr>
      <w:r>
        <w:rPr>
          <w:rFonts w:hint="eastAsia"/>
          <w:szCs w:val="21"/>
        </w:rPr>
        <w:t>（6）政府采购节能环保产品；</w:t>
      </w:r>
    </w:p>
    <w:p>
      <w:pPr>
        <w:ind w:left="718" w:leftChars="342" w:firstLine="1417" w:firstLineChars="675"/>
        <w:rPr>
          <w:rFonts w:eastAsia="宋体"/>
          <w:szCs w:val="21"/>
        </w:rPr>
      </w:pPr>
      <w:r>
        <w:rPr>
          <w:rFonts w:hint="eastAsia"/>
          <w:szCs w:val="21"/>
        </w:rPr>
        <w:t>（7）绿色采购情况；</w:t>
      </w:r>
    </w:p>
    <w:p>
      <w:pPr>
        <w:ind w:left="718" w:leftChars="342" w:firstLine="1417" w:firstLineChars="675"/>
        <w:rPr>
          <w:rFonts w:ascii="宋体" w:hAnsi="宋体"/>
          <w:szCs w:val="21"/>
        </w:rPr>
      </w:pPr>
      <w:r>
        <w:rPr>
          <w:rFonts w:hint="eastAsia" w:ascii="宋体" w:hAnsi="宋体"/>
          <w:szCs w:val="21"/>
        </w:rPr>
        <w:t>（8）设计图评价；</w:t>
      </w:r>
    </w:p>
    <w:p>
      <w:pPr>
        <w:ind w:left="718" w:leftChars="342" w:firstLine="1417" w:firstLineChars="675"/>
        <w:rPr>
          <w:rFonts w:ascii="宋体" w:hAnsi="宋体"/>
          <w:szCs w:val="21"/>
        </w:rPr>
      </w:pPr>
      <w:r>
        <w:rPr>
          <w:rFonts w:hint="eastAsia" w:ascii="宋体" w:hAnsi="宋体"/>
          <w:szCs w:val="21"/>
        </w:rPr>
        <w:t>（9）项目组织实施方案的评价</w:t>
      </w:r>
    </w:p>
    <w:p>
      <w:pPr>
        <w:ind w:left="718" w:leftChars="342" w:firstLine="1417" w:firstLineChars="675"/>
        <w:rPr>
          <w:rFonts w:ascii="宋体" w:hAnsi="宋体"/>
          <w:szCs w:val="21"/>
        </w:rPr>
      </w:pPr>
      <w:r>
        <w:rPr>
          <w:rFonts w:hint="eastAsia" w:ascii="宋体" w:hAnsi="宋体"/>
          <w:szCs w:val="21"/>
        </w:rPr>
        <w:t>（10）售后服务评价；</w:t>
      </w:r>
    </w:p>
    <w:p>
      <w:pPr>
        <w:ind w:left="718" w:leftChars="342" w:firstLine="1417" w:firstLineChars="675"/>
        <w:rPr>
          <w:rFonts w:ascii="宋体" w:hAnsi="宋体"/>
          <w:szCs w:val="21"/>
        </w:rPr>
      </w:pPr>
      <w:r>
        <w:rPr>
          <w:rFonts w:hint="eastAsia" w:ascii="宋体" w:hAnsi="宋体"/>
          <w:szCs w:val="21"/>
        </w:rPr>
        <w:t>（11）投标人认为需要加以说明的其他内容；</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ascii="黑体" w:eastAsia="黑体"/>
          <w:b w:val="0"/>
          <w:sz w:val="24"/>
        </w:rPr>
      </w:pPr>
      <w:r>
        <w:rPr>
          <w:rFonts w:hint="eastAsia" w:ascii="黑体" w:eastAsia="黑体"/>
          <w:b w:val="0"/>
          <w:sz w:val="24"/>
        </w:rPr>
        <w:t>二、自行采购投标及履约承诺函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rPr>
        <w:t>6.</w:t>
      </w:r>
      <w:bookmarkStart w:id="52" w:name="_Hlk72587269"/>
      <w:bookmarkStart w:id="53"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rPr>
        <w:t>9.我单位承诺中标后项目不转包，未经采购人同意不进行分包。</w:t>
      </w:r>
    </w:p>
    <w:p>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rPr>
          <w:b/>
          <w:sz w:val="24"/>
        </w:rPr>
      </w:pPr>
      <w:r>
        <w:rPr>
          <w:b/>
          <w:sz w:val="24"/>
        </w:rPr>
        <w:t>中小企业声明函（货物）</w:t>
      </w:r>
    </w:p>
    <w:p>
      <w:pPr>
        <w:pStyle w:val="8"/>
      </w:pPr>
    </w:p>
    <w:p>
      <w:pPr>
        <w:pStyle w:val="16"/>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6"/>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6"/>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6"/>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w:t>
      </w:r>
    </w:p>
    <w:p>
      <w:pPr>
        <w:pStyle w:val="16"/>
        <w:ind w:firstLine="420" w:firstLineChars="200"/>
        <w:rPr>
          <w:rFonts w:asciiTheme="minorEastAsia" w:hAnsiTheme="minorEastAsia" w:cstheme="minorEastAsia"/>
          <w:sz w:val="21"/>
          <w:szCs w:val="21"/>
        </w:rPr>
      </w:pP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asciiTheme="minorEastAsia" w:hAnsiTheme="minorEastAsia" w:cstheme="minorEastAsia"/>
          <w:szCs w:val="21"/>
        </w:rPr>
      </w:pPr>
      <w:bookmarkStart w:id="56"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6"/>
    </w:p>
    <w:p>
      <w:pPr>
        <w:ind w:firstLine="420" w:firstLineChars="200"/>
        <w:rPr>
          <w:rFonts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asciiTheme="minorEastAsia" w:hAnsiTheme="minorEastAsia" w:cstheme="minorEastAsia"/>
          <w:szCs w:val="21"/>
        </w:rPr>
      </w:pPr>
      <w:bookmarkStart w:id="57" w:name="_Hlk73562331"/>
      <w:bookmarkStart w:id="58"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ascii="宋体" w:hAnsi="宋体"/>
          <w:szCs w:val="21"/>
        </w:rPr>
      </w:pP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bookmarkEnd w:id="55"/>
    </w:p>
    <w:p>
      <w:pPr>
        <w:spacing w:line="360" w:lineRule="auto"/>
        <w:ind w:firstLine="420" w:firstLineChars="200"/>
        <w:rPr>
          <w:rFonts w:ascii="宋体" w:hAnsi="宋体"/>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JYCG-DECL-2025-34095</w:t>
            </w: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触控一体机</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信息化教学平台</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学生桌椅</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学生椅</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音箱</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功放</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数字音频处理器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一拖二无线麦</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电源时序器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机柜</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监控</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卷帘</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调音台</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合唱台</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8</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器具柜</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钢琴</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节拍器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宋体" w:hAnsi="宋体" w:eastAsia="宋体" w:cs="Times New Roman"/>
                <w:bCs/>
                <w:szCs w:val="21"/>
              </w:rPr>
            </w:pPr>
            <w:r>
              <w:rPr>
                <w:rFonts w:hint="eastAsia" w:ascii="宋体" w:hAnsi="宋体" w:cs="宋体"/>
                <w:color w:val="000000"/>
                <w:kern w:val="0"/>
                <w:szCs w:val="21"/>
                <w:lang w:bidi="ar"/>
              </w:rPr>
              <w:t>3P天花机</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0"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ascii="宋体" w:hAnsi="宋体" w:eastAsia="宋体"/>
          <w:sz w:val="24"/>
        </w:rPr>
      </w:pPr>
      <w:r>
        <w:rPr>
          <w:rFonts w:hint="eastAsia" w:ascii="宋体" w:hAnsi="宋体"/>
          <w:sz w:val="24"/>
        </w:rPr>
        <w:t>备注：单一产品采购项目，核心产品即为该单一产品。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4"/>
        <w:jc w:val="center"/>
        <w:rPr>
          <w:rFonts w:ascii="黑体" w:eastAsia="黑体"/>
          <w:b w:val="0"/>
          <w:sz w:val="24"/>
          <w:szCs w:val="24"/>
        </w:rPr>
      </w:pPr>
      <w:r>
        <w:rPr>
          <w:rFonts w:hint="eastAsia" w:ascii="黑体" w:eastAsia="黑体"/>
          <w:b w:val="0"/>
          <w:sz w:val="24"/>
          <w:szCs w:val="24"/>
        </w:rPr>
        <w:t>五</w:t>
      </w:r>
      <w:r>
        <w:rPr>
          <w:rFonts w:hint="eastAsia" w:ascii="黑体" w:eastAsia="黑体"/>
          <w:b w:val="0"/>
          <w:sz w:val="24"/>
          <w:szCs w:val="24"/>
          <w:lang w:eastAsia="zh-CN"/>
        </w:rPr>
        <w:t>、经验评价</w:t>
      </w:r>
    </w:p>
    <w:p>
      <w:pPr>
        <w:pStyle w:val="8"/>
        <w:rPr>
          <w:b w:val="0"/>
          <w:bCs w:val="0"/>
        </w:rPr>
      </w:pPr>
      <w:r>
        <w:rPr>
          <w:rFonts w:hint="eastAsia"/>
          <w:b w:val="0"/>
          <w:bCs w:val="0"/>
        </w:rPr>
        <w:t>（特别提示：投标人须按本招标文件评标信息中这一评审因素要求，提供证明资料）</w:t>
      </w:r>
    </w:p>
    <w:p>
      <w:pPr>
        <w:pStyle w:val="4"/>
        <w:jc w:val="center"/>
        <w:rPr>
          <w:rFonts w:ascii="黑体" w:eastAsia="黑体"/>
          <w:b w:val="0"/>
          <w:sz w:val="24"/>
          <w:szCs w:val="24"/>
        </w:rPr>
      </w:pPr>
      <w:r>
        <w:rPr>
          <w:rFonts w:hint="eastAsia" w:ascii="黑体" w:eastAsia="黑体"/>
          <w:b w:val="0"/>
          <w:sz w:val="24"/>
          <w:szCs w:val="24"/>
        </w:rPr>
        <w:t>六</w:t>
      </w:r>
      <w:r>
        <w:rPr>
          <w:rFonts w:hint="eastAsia" w:ascii="黑体" w:eastAsia="黑体"/>
          <w:b w:val="0"/>
          <w:sz w:val="24"/>
          <w:szCs w:val="24"/>
          <w:lang w:eastAsia="zh-CN"/>
        </w:rPr>
        <w:t>、自主知识产权评价</w:t>
      </w:r>
    </w:p>
    <w:p>
      <w:pPr>
        <w:pStyle w:val="8"/>
        <w:rPr>
          <w:b w:val="0"/>
          <w:bCs w:val="0"/>
        </w:rPr>
      </w:pPr>
      <w:r>
        <w:rPr>
          <w:rFonts w:hint="eastAsia"/>
          <w:b w:val="0"/>
          <w:bCs w:val="0"/>
        </w:rPr>
        <w:t>（特别提示：投标人须按本招标文件评标信息中这一评审因素要求，提供证明资料）</w:t>
      </w:r>
    </w:p>
    <w:p>
      <w:pPr>
        <w:pStyle w:val="2"/>
      </w:pP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rPr>
        <w:t>一、供应商基本情况表</w:t>
      </w:r>
    </w:p>
    <w:p>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8"/>
              <w:jc w:val="center"/>
            </w:pPr>
          </w:p>
          <w:p>
            <w:pPr>
              <w:pStyle w:val="16"/>
              <w:jc w:val="center"/>
            </w:pPr>
          </w:p>
          <w:p>
            <w:pPr>
              <w:pStyle w:val="16"/>
              <w:jc w:val="center"/>
            </w:pPr>
          </w:p>
          <w:p>
            <w:pPr>
              <w:pStyle w:val="16"/>
              <w:jc w:val="center"/>
            </w:pPr>
          </w:p>
          <w:p>
            <w:pPr>
              <w:pStyle w:val="16"/>
              <w:jc w:val="center"/>
            </w:pPr>
          </w:p>
          <w:p>
            <w:pPr>
              <w:pStyle w:val="16"/>
              <w:jc w:val="center"/>
            </w:pPr>
          </w:p>
          <w:p>
            <w:pPr>
              <w:pStyle w:val="16"/>
              <w:jc w:val="center"/>
            </w:pPr>
          </w:p>
        </w:tc>
        <w:tc>
          <w:tcPr>
            <w:tcW w:w="4265" w:type="dxa"/>
          </w:tcPr>
          <w:p>
            <w:pPr>
              <w:jc w:val="center"/>
            </w:pPr>
            <w:r>
              <w:rPr>
                <w:rFonts w:hint="eastAsia"/>
              </w:rPr>
              <w:t>证件扫描件反面</w:t>
            </w:r>
          </w:p>
          <w:p>
            <w:pPr>
              <w:pStyle w:val="8"/>
              <w:jc w:val="center"/>
            </w:pPr>
          </w:p>
          <w:p>
            <w:pPr>
              <w:pStyle w:val="16"/>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2"/>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8"/>
              <w:jc w:val="center"/>
            </w:pPr>
          </w:p>
          <w:p>
            <w:pPr>
              <w:pStyle w:val="16"/>
              <w:jc w:val="center"/>
            </w:pPr>
          </w:p>
          <w:p>
            <w:pPr>
              <w:pStyle w:val="16"/>
              <w:jc w:val="center"/>
            </w:pPr>
          </w:p>
          <w:p>
            <w:pPr>
              <w:pStyle w:val="16"/>
              <w:jc w:val="center"/>
            </w:pPr>
          </w:p>
          <w:p>
            <w:pPr>
              <w:pStyle w:val="16"/>
              <w:jc w:val="center"/>
            </w:pPr>
          </w:p>
          <w:p>
            <w:pPr>
              <w:pStyle w:val="16"/>
              <w:jc w:val="center"/>
            </w:pPr>
          </w:p>
          <w:p>
            <w:pPr>
              <w:pStyle w:val="16"/>
              <w:jc w:val="center"/>
            </w:pPr>
          </w:p>
        </w:tc>
        <w:tc>
          <w:tcPr>
            <w:tcW w:w="4265" w:type="dxa"/>
          </w:tcPr>
          <w:p>
            <w:pPr>
              <w:jc w:val="center"/>
            </w:pPr>
            <w:r>
              <w:rPr>
                <w:rFonts w:hint="eastAsia" w:ascii="Times New Roman" w:eastAsia="宋体"/>
              </w:rPr>
              <w:t>证件扫描件反面</w:t>
            </w:r>
          </w:p>
          <w:p>
            <w:pPr>
              <w:pStyle w:val="8"/>
              <w:jc w:val="center"/>
            </w:pPr>
          </w:p>
          <w:p>
            <w:pPr>
              <w:pStyle w:val="16"/>
              <w:jc w:val="center"/>
            </w:pPr>
          </w:p>
        </w:tc>
      </w:tr>
    </w:tbl>
    <w:p>
      <w:pPr>
        <w:rPr>
          <w:rFonts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9"/>
        <w:snapToGrid w:val="0"/>
        <w:spacing w:before="0" w:after="0"/>
        <w:outlineLvl w:val="2"/>
        <w:rPr>
          <w:rFonts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4"/>
        <w:jc w:val="center"/>
        <w:rPr>
          <w:sz w:val="24"/>
        </w:rPr>
      </w:pPr>
      <w:r>
        <w:rPr>
          <w:rFonts w:hint="eastAsia" w:ascii="黑体" w:eastAsia="黑体"/>
          <w:b w:val="0"/>
          <w:sz w:val="24"/>
          <w:szCs w:val="24"/>
        </w:rPr>
        <w:t>五、技术要求偏离表</w:t>
      </w:r>
    </w:p>
    <w:p>
      <w:pPr>
        <w:rPr>
          <w:sz w:val="24"/>
        </w:rPr>
      </w:pPr>
    </w:p>
    <w:tbl>
      <w:tblPr>
        <w:tblStyle w:val="19"/>
        <w:tblW w:w="9275"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675"/>
        <w:gridCol w:w="5642"/>
        <w:gridCol w:w="1008"/>
        <w:gridCol w:w="79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5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675"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564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1008" w:type="dxa"/>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792" w:type="dxa"/>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600" w:type="dxa"/>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highlight w:val="yellow"/>
                <w14:textFill>
                  <w14:solidFill>
                    <w14:schemeClr w14:val="tx1"/>
                  </w14:solidFill>
                </w14:textFill>
              </w:rPr>
              <w:t>触控一体机</w:t>
            </w: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1、整机屏幕边缘采用金属包边防护，外部无任何可见内部功能模块连接线，有效屏蔽内部电路器件辐射，适应多种教学环境。</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2、▲液晶屏显示尺寸≥86英寸，采用A+规屏；显示比例16:9；分辨率≥3840*2160，可视角度≥178°，屏幕显示灰度分辨率等级达到256级以上灰阶。</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3、采用红外感应技术，在双系统下均支持不少于20点触控，触摸分辨率≥32768（W）*32768（D）；触摸精度≤±1mm；触摸高度≤2mm；最小识别直径≤2mm。屏幕表面采用高品质3.2mm厚防眩光钢化玻璃，透光率≥91%，表面硬度≥8H。使得屏幕显示更加通透，画质更加清晰。</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4、钢化玻璃厚度</w:t>
            </w:r>
            <w:r>
              <w:rPr>
                <w:rFonts w:hint="eastAsia" w:ascii="宋体" w:hAnsi="宋体" w:eastAsia="宋体" w:cs="宋体"/>
                <w:color w:val="000000"/>
                <w:kern w:val="0"/>
                <w:sz w:val="22"/>
                <w:lang w:val="en-US" w:eastAsia="zh-CN" w:bidi="ar"/>
              </w:rPr>
              <w:t>≤</w:t>
            </w:r>
            <w:r>
              <w:rPr>
                <w:rFonts w:hint="eastAsia" w:ascii="宋体" w:hAnsi="宋体" w:eastAsia="宋体" w:cs="宋体"/>
                <w:color w:val="000000"/>
                <w:kern w:val="0"/>
                <w:sz w:val="22"/>
                <w:lang w:bidi="ar"/>
              </w:rPr>
              <w:t>4mm，减小显示面板与玻璃间的偏光、散射，画面显示更加清晰通透。</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5、屏体采用物理防蓝光设计，无需通过按键操作，默认达到防蓝光效果，蓝光防护等级达到RG0。</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w:t>
            </w:r>
            <w:r>
              <w:rPr>
                <w:rFonts w:hint="eastAsia" w:ascii="宋体" w:hAnsi="宋体" w:eastAsia="宋体" w:cs="宋体"/>
                <w:color w:val="000000" w:themeColor="text1"/>
                <w:kern w:val="0"/>
                <w:sz w:val="22"/>
                <w:lang w:bidi="ar"/>
                <w14:textFill>
                  <w14:solidFill>
                    <w14:schemeClr w14:val="tx1"/>
                  </w14:solidFill>
                </w14:textFill>
              </w:rPr>
              <w:t>符合最大</w:t>
            </w:r>
            <w:r>
              <w:rPr>
                <w:rFonts w:hint="eastAsia" w:ascii="宋体" w:hAnsi="宋体" w:eastAsia="宋体" w:cs="宋体"/>
                <w:color w:val="000000"/>
                <w:kern w:val="0"/>
                <w:sz w:val="22"/>
                <w:lang w:bidi="ar"/>
              </w:rPr>
              <w:t>屏幕亮度≥300cd/m²，静态对比度≥1000:1，亮度均匀性≥70%，无闪烁，闪烁等级≤-30db（60Hz），亮度可视角垂直≥60°。</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整机采用简洁化设计，产品前面板独立物理按钮数量≤1，可实现开机、息屏、唤醒、长按关机功能。为有效、及时解决教学故障，同时防止学生无意触碰，整机具备侧置安卓系统还原按键，无需专业人员即可轻松解决系统故障。</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8、设备提供标准模块化电脑（OPS）通用的80针接口，拒绝厂商专用接口，以满足后续模块化电脑配置升级的需求。 加电状态下安装或拆卸OPS时，提供安全预警提示，要求操作人员断电操作，从而保证人员及设备的安全。</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9、▲采用国产化的主要元器件，包括但不限于CPU处理单元、可编程逻辑芯片、时钟芯片等。</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10、整机内置无线网卡，支持在嵌入式系统下接入2.4G/5G双频无线网络，支持802.11 a/b/g/n/ac无线网络协议，支持MIMO，支持双天线。提供AP、Station工作模式，且支持AP&amp;Station两种工作模式同时工作，在接入到无线网络的同时，也可以作为热点允许其他设备连接，工作距离≥20米。</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11、为满足教学应用需求，设备采用多声道组合音响，提供不低于4个喇叭单元，包含至少2个高音喇叭单元及2个全频喇叭单元。且喇叭模组总功率不低于30W，频响范围100-20KHz。</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12、内置无线投屏接收器，无需外接接收部件，可选择USB接口的无线投屏发射器进行匹配，匹配完成后可将外部电脑或手机的屏幕画面通过无线方式传输到设备上显示。整机支持Windows和Android双系统， 只需一根网线，Windows和Android双系统均可实现上网功能。</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13、整机能感应并自动调节屏幕，来达到在不同光照环境下的不同亮度显示效果，此功能可自行开启或关闭。</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14、内置安卓系统， ROM≥32GB，RAM≥4GB，系统版本≥Android 9.0，支持在线升级；安卓主页面提供≥6个应用程序，并可以根据教学需求随意替换。支持屏幕密码锁功能，可自定义解锁密码，开启后可锁定屏幕。</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15、为方便日常教学投屏使用，支持多种投屏方式，包括但不限于APP投屏、智慧投屏器、NFC一碰投屏、手机下拉菜单软投屏等方式。在任意信号源通道下，提供两侧悬浮按钮，操作者可通过悬浮按钮进行系统间切换，手动调节屏幕亮度和声音，支持查看所有正在运行的任务，快速切换当前任务。</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16、▲手机NFC一碰投屏、下拉菜单软投屏支持打开勿扰模式，避免弹窗消息投屏到终端上。</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17、嵌入式Android操作系统下，内置互动白板支持2种以上书写笔头，书写延时≤25ms，支持8种以上书写颜色，使用者可对书写内容进行选择，移动，缩放，删除。</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18、支持在无外接OPS电脑状态下，互动白板支持不同背景颜色，可根据学科需要进行调整，白板可增加书写页面，最大可支持100页，书写完成后可导出PDF等格式。</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19、▲嵌入式Android操作系统下，内置互动白板书写完成后支持本地保存、邮件分享、微信等主流应用扫码带走功能，方便老师实时保存课堂书写内容。</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20、支持设备休眠功能，可自定义休眠时间，设备在休眠时可自动清理白板、批注和应用的内容。支持在无外接OPS电脑状态下，无需打开APP即可实现欢迎屏功能，提供不少于3个内置模板，也可以通过本地存储或U盘自定义模板背景图。</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21、支持在无外接OPS电脑状态下，嵌入式Android操作系统下可实现windows系统中常用的教学应用功能，如白板书写、WPS软件使用、网页浏览、图片浏览、视频播放，提供设备同品牌APP应用市场。</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22、嵌入式Android操作系统下内置信息窗功能，无需打开APP即可实现不少于10张自定义图片的滚动播放。嵌入式Android操作系统下内置壁纸功能，可选动态壁纸和静态壁纸，自带壁纸总数量≥10张，也可以根据实际需要导入自定义壁纸。</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23、支持音频调节功能，设备可根据不同教室空间的大小进行手动调节低频/中频/高频均衡、回声抑制强度调节、混响抑制强度调节，可制定不同的音频输出选择、材料源音频输出策略，从而有效保证教室内放音效果。</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24、支持视频输入设置功能，可对通过HDMI或Type-C输入的视频源进行拉伸设置，使非标准16:9画面输入后可完美适配屏幕比例。</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25、支持视频输出设置功能，可根据课堂内不同设备（如：录播系统、回显屏、智慧课堂系统等）对屏幕输出画面的需求，进行画面拉伸、图像分辨率、刷新率的设置，无需通过转接设备可很好适配周边设备。</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cs="宋体"/>
                <w:color w:val="FF0000"/>
                <w:kern w:val="0"/>
                <w:sz w:val="22"/>
                <w:szCs w:val="22"/>
                <w:lang w:bidi="ar"/>
              </w:rPr>
              <w:t>★</w:t>
            </w:r>
            <w:r>
              <w:rPr>
                <w:rFonts w:hint="eastAsia" w:ascii="宋体" w:hAnsi="宋体" w:cs="宋体"/>
                <w:color w:val="000000"/>
                <w:kern w:val="0"/>
                <w:sz w:val="22"/>
                <w:szCs w:val="22"/>
                <w:lang w:bidi="ar"/>
              </w:rPr>
              <w:t>实现与宝安区触控一体机管理平台互联互通，验收时须经区教育发展中心教育技术部确认。</w:t>
            </w:r>
          </w:p>
        </w:tc>
        <w:tc>
          <w:tcPr>
            <w:tcW w:w="1008" w:type="dxa"/>
          </w:tcPr>
          <w:p>
            <w:pPr>
              <w:rPr>
                <w:rFonts w:hint="eastAsia" w:ascii="宋体" w:hAnsi="宋体" w:cs="宋体"/>
                <w:color w:val="FF0000"/>
                <w:kern w:val="0"/>
                <w:sz w:val="22"/>
                <w:szCs w:val="22"/>
                <w:lang w:bidi="ar"/>
              </w:rPr>
            </w:pPr>
          </w:p>
        </w:tc>
        <w:tc>
          <w:tcPr>
            <w:tcW w:w="792" w:type="dxa"/>
          </w:tcPr>
          <w:p>
            <w:pPr>
              <w:rPr>
                <w:rFonts w:hint="eastAsia" w:ascii="宋体" w:hAnsi="宋体" w:cs="宋体"/>
                <w:color w:val="FF0000"/>
                <w:kern w:val="0"/>
                <w:sz w:val="22"/>
                <w:szCs w:val="22"/>
                <w:lang w:bidi="ar"/>
              </w:rPr>
            </w:pPr>
          </w:p>
        </w:tc>
        <w:tc>
          <w:tcPr>
            <w:tcW w:w="600" w:type="dxa"/>
          </w:tcPr>
          <w:p>
            <w:pPr>
              <w:rPr>
                <w:rFonts w:hint="eastAsia" w:ascii="宋体" w:hAnsi="宋体" w:cs="宋体"/>
                <w:color w:val="FF0000"/>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信息化教学平台</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26、整机壁挂式安装，四周机壳无锐角和利边设计，保障使用过程中的用户安全。</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27、</w:t>
            </w:r>
            <w:r>
              <w:rPr>
                <w:rFonts w:hint="eastAsia" w:ascii="宋体" w:hAnsi="宋体"/>
                <w:color w:val="000000"/>
                <w:kern w:val="0"/>
                <w:sz w:val="22"/>
              </w:rPr>
              <w:t>托板及挂墙部分采用金属加强处理，同时托板采用磁吸吸附式机构，防止托板打落，方便打开及固定。</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28、</w:t>
            </w:r>
            <w:r>
              <w:rPr>
                <w:rFonts w:hint="eastAsia" w:ascii="宋体" w:hAnsi="宋体"/>
                <w:color w:val="000000"/>
                <w:kern w:val="0"/>
                <w:sz w:val="22"/>
              </w:rPr>
              <w:t>展示托板正上方具备LED补光灯，保证展示区域的亮度及展示效果，自带磨砂均光罩LED补光灯，光线不足时可进行亮度补充、亮度均匀，采用触摸调光设计。</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29、</w:t>
            </w:r>
            <w:r>
              <w:rPr>
                <w:rFonts w:hint="eastAsia" w:ascii="宋体" w:hAnsi="宋体" w:cs="宋体"/>
                <w:color w:val="000000"/>
                <w:kern w:val="0"/>
                <w:sz w:val="22"/>
                <w:lang w:bidi="ar"/>
              </w:rPr>
              <w:t>采用≥800万像素摄像头。</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30、</w:t>
            </w:r>
            <w:r>
              <w:rPr>
                <w:rFonts w:hint="eastAsia" w:ascii="宋体" w:hAnsi="宋体"/>
                <w:color w:val="000000"/>
                <w:kern w:val="0"/>
                <w:sz w:val="22"/>
              </w:rPr>
              <w:t>防护等级：外壳在摄像头部分带保护镜片密封，防止灰尘沾染摄像头。</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31、</w:t>
            </w:r>
            <w:r>
              <w:rPr>
                <w:rFonts w:hint="eastAsia" w:ascii="宋体" w:hAnsi="宋体"/>
                <w:color w:val="000000"/>
                <w:kern w:val="0"/>
                <w:sz w:val="22"/>
              </w:rPr>
              <w:t>自启动和自关闭：为了方便老师教学，采用磁感应式打开支臂系统可以自感应并启动展台软件;放下镜头支臂，系统即可自行关闭展台软件。</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32、</w:t>
            </w:r>
            <w:r>
              <w:rPr>
                <w:rFonts w:hint="eastAsia" w:ascii="宋体" w:hAnsi="宋体"/>
                <w:color w:val="000000"/>
                <w:kern w:val="0"/>
                <w:sz w:val="22"/>
              </w:rPr>
              <w:t>采用 USB五伏电源直接供电，无需额外配置电源适配器；箱内USB连线采用隐藏式设计，箱内无可见连线且USB口下出</w:t>
            </w:r>
            <w:r>
              <w:rPr>
                <w:rFonts w:hint="eastAsia" w:ascii="Times New Roman" w:hAnsi="Times New Roman" w:eastAsia="宋体" w:cs="Times New Roman"/>
                <w:szCs w:val="21"/>
              </w:rPr>
              <w:t>。</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33、</w:t>
            </w:r>
            <w:r>
              <w:rPr>
                <w:rFonts w:hint="eastAsia" w:ascii="宋体" w:hAnsi="宋体"/>
                <w:color w:val="000000"/>
                <w:kern w:val="0"/>
                <w:sz w:val="22"/>
              </w:rPr>
              <w:t>软件自带中英文双语版本，支持对展台实时画面进行放大、缩小、旋转、亮度调节、镜像、冻结画面等操作。</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34、整机支持对实时画面进行设置调节，包括放大缩小、旋转、冻结画面等。</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35、</w:t>
            </w:r>
            <w:r>
              <w:rPr>
                <w:rFonts w:hint="eastAsia" w:ascii="宋体" w:hAnsi="宋体"/>
                <w:color w:val="000000"/>
                <w:kern w:val="0"/>
                <w:sz w:val="22"/>
              </w:rPr>
              <w:t>支持展台画面拍照截图并进行多图预览，可对任一图片进行全屏显示等操作</w:t>
            </w:r>
            <w:r>
              <w:rPr>
                <w:rFonts w:hint="eastAsia" w:ascii="宋体" w:hAnsi="宋体" w:eastAsia="宋体" w:cs="宋体"/>
                <w:color w:val="000000"/>
                <w:kern w:val="0"/>
                <w:sz w:val="22"/>
                <w:lang w:bidi="ar"/>
              </w:rPr>
              <w:t>。</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36、可设置延迟拍照功能，支持5或10秒延迟拍摄，方便预留充足时间准备拍摄。</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37、展台支持拍摄保存多个画面，且可进行多图预览，方便教学使用。</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38、可选择图像、文本或动态三种情景模式，适应不同展示内容。</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Times New Roman" w:hAnsi="Times New Roman" w:eastAsia="宋体" w:cs="Times New Roman"/>
                <w:szCs w:val="21"/>
              </w:rPr>
            </w:pPr>
            <w:r>
              <w:rPr>
                <w:rFonts w:hint="eastAsia" w:ascii="宋体" w:hAnsi="宋体" w:eastAsia="宋体" w:cs="宋体"/>
                <w:color w:val="000000"/>
                <w:kern w:val="0"/>
                <w:sz w:val="22"/>
                <w:lang w:bidi="ar"/>
              </w:rPr>
              <w:t>39、</w:t>
            </w:r>
            <w:r>
              <w:rPr>
                <w:rFonts w:hint="eastAsia" w:ascii="宋体" w:hAnsi="宋体"/>
                <w:color w:val="000000"/>
                <w:kern w:val="0"/>
                <w:sz w:val="22"/>
              </w:rPr>
              <w:t>同屏对比，支持不限幅面分屏对比，每副图可单独设置放大、缩小、手写批注等功能。再点击“同屏对比”功能退出</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40、支持故障自动检测，在软件无法出现展台拍摄画面时，出现检测链接，帮助用户检测“无画面”的原因，并给出引导性解决方案。可判断硬件连接、显卡驱动、摄像头占用、软件版本等问题。</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41、支持二维码扫码功能：打开扫一扫功能后，将书本上的二维码放入扫描框内即可自动扫描，并进入系统浏览器获取二维码的链接内容，帮助老师快速获取电子教学资源。</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75" w:type="dxa"/>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学生桌</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42、材质：钢木结构，采用6块25mm组合而成。四周利用机械封边机配以热溶胶高温封边，采用（PVC1.0 MM 封边条）；规格：标准尺寸为：</w:t>
            </w:r>
            <w:r>
              <w:rPr>
                <w:rStyle w:val="40"/>
                <w:rFonts w:hint="eastAsia" w:ascii="宋体" w:hAnsi="宋体" w:eastAsia="宋体" w:cs="宋体"/>
                <w:lang w:bidi="ar"/>
              </w:rPr>
              <w:t>Φ</w:t>
            </w:r>
            <w:r>
              <w:rPr>
                <w:rFonts w:hint="eastAsia" w:ascii="宋体" w:hAnsi="宋体" w:eastAsia="宋体" w:cs="宋体"/>
                <w:color w:val="000000"/>
                <w:kern w:val="0"/>
                <w:sz w:val="22"/>
                <w:lang w:bidi="ar"/>
              </w:rPr>
              <w:t>1450长*1380宽*750mm高（六边形桌）</w:t>
            </w:r>
            <w:r>
              <w:rPr>
                <w:rFonts w:hint="eastAsia" w:ascii="宋体" w:hAnsi="宋体" w:eastAsia="宋体" w:cs="宋体"/>
                <w:sz w:val="22"/>
              </w:rPr>
              <w:t>（以上每个尺寸可正负偏离≤10%）</w:t>
            </w:r>
            <w:r>
              <w:rPr>
                <w:rFonts w:hint="eastAsia" w:ascii="宋体" w:hAnsi="宋体" w:eastAsia="宋体" w:cs="宋体"/>
                <w:color w:val="000000"/>
                <w:kern w:val="0"/>
                <w:sz w:val="22"/>
                <w:lang w:bidi="ar"/>
              </w:rPr>
              <w:t>,腿部有防滑橡胶垫，有效保护地面及防滑。脚垫：采用高强度 ABS 塑料，自由调节高度≥20mm。</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学生椅</w:t>
            </w:r>
          </w:p>
        </w:tc>
        <w:tc>
          <w:tcPr>
            <w:tcW w:w="5642" w:type="dxa"/>
          </w:tcPr>
          <w:p>
            <w:pPr>
              <w:rPr>
                <w:rFonts w:ascii="宋体" w:hAnsi="宋体" w:eastAsia="宋体" w:cs="宋体"/>
                <w:sz w:val="22"/>
              </w:rPr>
            </w:pPr>
            <w:r>
              <w:rPr>
                <w:rFonts w:hint="eastAsia" w:ascii="宋体" w:hAnsi="宋体" w:eastAsia="宋体" w:cs="宋体"/>
                <w:sz w:val="22"/>
              </w:rPr>
              <w:t>43、材质：坐垫及靠背为pp工程塑料，椅架为1.0cm直径实心钢筋 ，表面电镀打磨，带防滑脚垫。</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44、尺寸：470mm椅面高*500mm椅脚宽*860mm椅高（以上每个尺寸可正负偏离≤10%）</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音箱</w:t>
            </w:r>
          </w:p>
        </w:tc>
        <w:tc>
          <w:tcPr>
            <w:tcW w:w="5642" w:type="dxa"/>
          </w:tcPr>
          <w:p>
            <w:pPr>
              <w:rPr>
                <w:rFonts w:ascii="宋体" w:hAnsi="宋体" w:eastAsia="宋体" w:cs="宋体"/>
                <w:sz w:val="22"/>
              </w:rPr>
            </w:pPr>
            <w:r>
              <w:rPr>
                <w:rFonts w:hint="eastAsia" w:ascii="宋体" w:hAnsi="宋体" w:eastAsia="宋体" w:cs="宋体"/>
                <w:sz w:val="22"/>
              </w:rPr>
              <w:t>45、喇叭功率：平均≥100W，峰值≥300W。</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46、输入阻抗：≥8Ω/100V可调节。</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47、频率响应：≥20Hz～20KHz</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48、灵 敏 度：≥86dB/w/m。最大声压：≥108dB。</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49、喇叭单元：≥低音1*8英寸，高音1*1.5英寸。</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sz w:val="22"/>
              </w:rPr>
              <w:t>50、覆盖角度：≥60°×90°</w:t>
            </w:r>
          </w:p>
        </w:tc>
        <w:tc>
          <w:tcPr>
            <w:tcW w:w="1008" w:type="dxa"/>
          </w:tcPr>
          <w:p>
            <w:pPr>
              <w:rPr>
                <w:rFonts w:hint="eastAsia" w:ascii="宋体" w:hAnsi="宋体" w:eastAsia="宋体" w:cs="宋体"/>
                <w:sz w:val="22"/>
              </w:rPr>
            </w:pPr>
          </w:p>
        </w:tc>
        <w:tc>
          <w:tcPr>
            <w:tcW w:w="792" w:type="dxa"/>
          </w:tcPr>
          <w:p>
            <w:pPr>
              <w:rPr>
                <w:rFonts w:hint="eastAsia" w:ascii="宋体" w:hAnsi="宋体" w:eastAsia="宋体" w:cs="宋体"/>
                <w:sz w:val="22"/>
              </w:rPr>
            </w:pPr>
          </w:p>
        </w:tc>
        <w:tc>
          <w:tcPr>
            <w:tcW w:w="600" w:type="dxa"/>
          </w:tcPr>
          <w:p>
            <w:pPr>
              <w:rPr>
                <w:rFonts w:hint="eastAsia"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功放</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51、机箱采用2U高度设计，TD类功率放大电路。</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52、输出具有立体声、桥接、并接三种模式。</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53、立体声输出：≥8</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2×250W。立体声输出：≥4</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2×500W。桥接输出：≥8</w:t>
            </w:r>
            <w:r>
              <w:rPr>
                <w:rStyle w:val="40"/>
                <w:rFonts w:hint="eastAsia" w:ascii="宋体" w:hAnsi="宋体" w:eastAsia="宋体" w:cs="宋体"/>
                <w:lang w:bidi="ar"/>
              </w:rPr>
              <w:t>Ω</w:t>
            </w:r>
            <w:r>
              <w:rPr>
                <w:rFonts w:hint="eastAsia" w:ascii="宋体" w:hAnsi="宋体" w:eastAsia="宋体" w:cs="宋体"/>
                <w:color w:val="000000"/>
                <w:kern w:val="0"/>
                <w:sz w:val="22"/>
                <w:lang w:bidi="ar"/>
              </w:rPr>
              <w:t xml:space="preserve"> 1000W。输入灵敏度：≥0.775/1V/1.4V。</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54、▲频率响应：≥20Hz-20KHz,±3dB</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55、▲信噪比：≥105dB</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56、总谐波失真：≥0.04%。输入输出：输入插座:XLR-M。输入阻抗：10K</w:t>
            </w:r>
            <w:r>
              <w:rPr>
                <w:rStyle w:val="40"/>
                <w:rFonts w:hint="eastAsia" w:ascii="宋体" w:hAnsi="宋体" w:eastAsia="宋体" w:cs="宋体"/>
                <w:lang w:bidi="ar"/>
              </w:rPr>
              <w:t>Ω</w:t>
            </w:r>
            <w:r>
              <w:rPr>
                <w:rFonts w:hint="eastAsia" w:ascii="宋体" w:hAnsi="宋体" w:eastAsia="宋体" w:cs="宋体"/>
                <w:color w:val="000000"/>
                <w:kern w:val="0"/>
                <w:sz w:val="22"/>
                <w:lang w:bidi="ar"/>
              </w:rPr>
              <w:t>（电子平衡式）</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数字音频处理器</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57、≥2路输入和≥6路输出任意设置，可灵活组合各类型音频系统。</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58、每路输入设有≥15段PEQ。每路输出设有≥10段PEQ。</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59、▲每路输入通道均设有增益、相位、延时、静音的功能及每路输出通道均设有增益、相位、分频、压限、静音、延时的功能</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60、可根据用户需要存储，可存储≥12种用户程序。</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61、设有USB、RS485和RS232多种控制方式，通过RS485接口可级联，且设有RS232串口，可通过第三方做远程编辑和控制。</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一拖二无线麦</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62、UHF双通道615MHz-665MHz。天线采用真分集式接收电路设计。</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63、液晶显示，功能均可以在液晶屏显示，如频率、静音、信号电平、音频电平等。</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64、每个通道频点可调，带有自动扫频功能，也可以手动调频。</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kern w:val="0"/>
                <w:sz w:val="22"/>
                <w:lang w:bidi="ar"/>
              </w:rPr>
            </w:pPr>
            <w:r>
              <w:rPr>
                <w:rFonts w:hint="eastAsia" w:ascii="宋体" w:hAnsi="宋体" w:eastAsia="宋体" w:cs="宋体"/>
                <w:color w:val="000000"/>
                <w:kern w:val="0"/>
                <w:sz w:val="22"/>
                <w:lang w:bidi="ar"/>
              </w:rPr>
              <w:t>65、频率响应：≥25HZ-20KHz，信噪比：≥102dB</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b/>
                <w:bCs/>
                <w:color w:val="FF0000"/>
                <w:sz w:val="22"/>
              </w:rPr>
              <w:t>★</w:t>
            </w:r>
            <w:r>
              <w:rPr>
                <w:rFonts w:hint="eastAsia" w:ascii="宋体" w:hAnsi="宋体" w:eastAsia="宋体" w:cs="宋体"/>
                <w:sz w:val="22"/>
              </w:rPr>
              <w:t>含手持无线麦一套；头戴无线麦一套</w:t>
            </w:r>
          </w:p>
        </w:tc>
        <w:tc>
          <w:tcPr>
            <w:tcW w:w="1008" w:type="dxa"/>
          </w:tcPr>
          <w:p>
            <w:pPr>
              <w:rPr>
                <w:rFonts w:hint="eastAsia" w:ascii="宋体" w:hAnsi="宋体" w:eastAsia="宋体" w:cs="宋体"/>
                <w:b/>
                <w:bCs/>
                <w:color w:val="FF0000"/>
                <w:sz w:val="22"/>
              </w:rPr>
            </w:pPr>
          </w:p>
        </w:tc>
        <w:tc>
          <w:tcPr>
            <w:tcW w:w="792" w:type="dxa"/>
          </w:tcPr>
          <w:p>
            <w:pPr>
              <w:rPr>
                <w:rFonts w:hint="eastAsia" w:ascii="宋体" w:hAnsi="宋体" w:eastAsia="宋体" w:cs="宋体"/>
                <w:b/>
                <w:bCs/>
                <w:color w:val="FF0000"/>
                <w:sz w:val="22"/>
              </w:rPr>
            </w:pPr>
          </w:p>
        </w:tc>
        <w:tc>
          <w:tcPr>
            <w:tcW w:w="600" w:type="dxa"/>
          </w:tcPr>
          <w:p>
            <w:pPr>
              <w:rPr>
                <w:rFonts w:hint="eastAsia" w:ascii="宋体" w:hAnsi="宋体" w:eastAsia="宋体" w:cs="宋体"/>
                <w:b/>
                <w:bCs/>
                <w:color w:val="FF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电源时序器</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66、▲前面板配置数字电压显示窗口，≥2路直通电源插座，≥1个USB充电接口，后板具有≥1路级联输入，≥1路级联输出，≥1路短路触发</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67、≥10路电源设计，≥8路可控电源管理。</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68、8路输出带指示灯，单路额定输出电流：≥20A。</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69、电源时序开关间隔：每路之间间隔≥1秒，减少用电设备对输电线路启动或关闭产生的冲击电流。</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70、▲具有wifi控制功能，自带云端，手机在全国任意地方可进行控制，远程状态查看及实时控制</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机柜（可移动）</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71、尺寸：600mm*600mm*1000mm（以上每个尺寸可正负偏离≤10%）</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72、包含所需PDU</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监控</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73、设备不低于IP67防尘防水等级，具有1个RS485接口、1个报警输入接口、1个报警输出接口、1个音频输入接口、1个音频输出接口。设备支持双镜头，通道1分辨率不低于2560*1440，通道2分辨率不低于1920*1080。</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74、▲设备通道1水平视场角不小于85°、通道2水平视场角不小于41°</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75、▲设备内置4颗补光灯，灯珠朝向和补光照射方向不应相同，补光灯开启后，正面不可见补光灯灯珠。</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76、支持H.264、H.265、MJPEG视频编码格式，且具有High Profile编码能力。</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77、▲补光灯开启，补光亮度均匀，无波纹、圆环状、麻点状、条纹状及不规则亮斑。</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78、支持对经过设定区域的行人进行人脸检测，可联动抓拍最佳人脸图片。</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79、支持人脸图像增强现实功能，设备可动态跟踪出现在画面中的人脸，并对人脸区域进行增强显示。</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80、当触发移动侦测、进入区域、离开区域、越界侦测或区域入侵报警时，可在报警时间内联动声音报警和白光灯闪烁，检测不低于60m处的人、车目标。</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81、警戒音具有不低于11种不同的语音播报类型可选，报警音量和重复次数可选。</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675" w:type="dxa"/>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卷帘</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82、材质：防水阻燃面料遮光卷帘，POM高密拉珠.</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调音台</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83、≥8路通道输入，自带+48V幻象供电开关选择。</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84、▲内置蓝牙模块可链接任何蓝牙播放设备进行播放音乐，带USB接口，可直接插U盘进行播放音乐</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85、▲内置A/B通道各≥128种效果，通过显示屏选择A/B通道调节效果</w:t>
            </w:r>
            <w:r>
              <w:rPr>
                <w:rFonts w:hint="eastAsia" w:ascii="宋体" w:hAnsi="宋体" w:eastAsia="宋体" w:cs="宋体"/>
                <w:color w:val="FF0000"/>
                <w:kern w:val="0"/>
                <w:sz w:val="22"/>
                <w:highlight w:val="yellow"/>
                <w:lang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86、≥2组编组辅助输出，≥4组AUX辅助输出。</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87、每路输入带≥3色电平柱，≥12段LED电平显示。</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合唱台</w:t>
            </w: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88、尺寸：D1530mm*W1250mm*H315mm；以上每个尺寸可正负偏离≤10%）</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89、材质：采用PE塑料定制；</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90、生产工艺：采用吹塑一体制作；</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91、功能：合唱台台阶可翻转设计，可调整为三层合唱台，也可以变为一个整体的小舞台，侧面轮子设计方便推移，台阶规格尺寸：三层总尺寸D1250mm*W1140mm*H62mm （以上每个尺寸可正负偏离≤10%）；每层台阶宽380±20mm ,高210±20mm ；</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92、小舞台尺寸:D1530mm*W1250mm*310mm（以上每个尺寸可正负偏离≤10%）</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器具柜</w:t>
            </w: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93、材质：采用E0级多层实木板，甲醛释放量≤0.05mg/m³，板材含水率≤10%。采用PVC封边条封边，采用缓冲铰链。上半部玻璃门展柜，下半部木门储物柜</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94、尺寸：1600mm长*600mm深*2800mm高（以上每个尺寸可正负偏离≤10%）</w:t>
            </w:r>
          </w:p>
        </w:tc>
        <w:tc>
          <w:tcPr>
            <w:tcW w:w="1008"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792" w:type="dxa"/>
          </w:tcPr>
          <w:p>
            <w:pPr>
              <w:rPr>
                <w:rFonts w:hint="eastAsia" w:ascii="宋体" w:hAnsi="宋体" w:eastAsia="宋体" w:cs="宋体"/>
                <w:color w:val="000000" w:themeColor="text1"/>
                <w:kern w:val="0"/>
                <w:sz w:val="22"/>
                <w:lang w:bidi="ar"/>
                <w14:textFill>
                  <w14:solidFill>
                    <w14:schemeClr w14:val="tx1"/>
                  </w14:solidFill>
                </w14:textFill>
              </w:rPr>
            </w:pPr>
          </w:p>
        </w:tc>
        <w:tc>
          <w:tcPr>
            <w:tcW w:w="600" w:type="dxa"/>
          </w:tcPr>
          <w:p>
            <w:pPr>
              <w:rPr>
                <w:rFonts w:hint="eastAsia" w:ascii="宋体" w:hAnsi="宋体" w:eastAsia="宋体" w:cs="宋体"/>
                <w:color w:val="000000" w:themeColor="text1"/>
                <w:kern w:val="0"/>
                <w:sz w:val="22"/>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钢琴</w:t>
            </w: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95、规格尺寸：琴键数：88键、琴盖带阻尼器，使琴盖缓慢降落，防夹手。</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96、琴宽153cm*琴高131cm（±5cm）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97、白键下沉深度：9.5-11.5mm,白键下沉偏差：≤1.0mm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98、音准稳定性：各音最大允许误差：8音分；</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99、音板：单层实木板；</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100、脚轮：金色金属脚轮。</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101、琴键运动：灵活、不互相摩擦</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102、踏瓣运动：平稳、灵活、无杂音</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103、黑键长度：94-96mm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104、黑键高度：11-13.5mm</w:t>
            </w:r>
            <w:r>
              <w:rPr>
                <w:rFonts w:ascii="宋体" w:hAnsi="宋体" w:eastAsia="宋体" w:cs="宋体"/>
                <w:color w:val="000000" w:themeColor="text1"/>
                <w:sz w:val="22"/>
                <w14:textFill>
                  <w14:solidFill>
                    <w14:schemeClr w14:val="tx1"/>
                  </w14:solidFill>
                </w14:textFill>
              </w:rPr>
              <w:t xml:space="preserve"> </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105、白键前端长度：48-53mm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106、八度音程白键宽度：161-166mm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107、琴键面：应平整、各键应倒棱、倒角</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108、中盘底面距地面高度：≥570mm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109、音板、肋木、弦码、音板框：应结合牢固、无开裂、不脱胶</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110、弦轴：直径6.75-7.25mm</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themeColor="text1"/>
                <w:sz w:val="22"/>
                <w14:textFill>
                  <w14:solidFill>
                    <w14:schemeClr w14:val="tx1"/>
                  </w14:solidFill>
                </w14:textFill>
              </w:rPr>
              <w:t>111、每架钢琴配可升降琴凳一个。</w:t>
            </w:r>
          </w:p>
        </w:tc>
        <w:tc>
          <w:tcPr>
            <w:tcW w:w="1008" w:type="dxa"/>
          </w:tcPr>
          <w:p>
            <w:pPr>
              <w:rPr>
                <w:rFonts w:hint="eastAsia" w:ascii="宋体" w:hAnsi="宋体" w:eastAsia="宋体" w:cs="宋体"/>
                <w:color w:val="000000" w:themeColor="text1"/>
                <w:sz w:val="22"/>
                <w14:textFill>
                  <w14:solidFill>
                    <w14:schemeClr w14:val="tx1"/>
                  </w14:solidFill>
                </w14:textFill>
              </w:rPr>
            </w:pPr>
          </w:p>
        </w:tc>
        <w:tc>
          <w:tcPr>
            <w:tcW w:w="792" w:type="dxa"/>
          </w:tcPr>
          <w:p>
            <w:pPr>
              <w:rPr>
                <w:rFonts w:hint="eastAsia" w:ascii="宋体" w:hAnsi="宋体" w:eastAsia="宋体" w:cs="宋体"/>
                <w:color w:val="000000" w:themeColor="text1"/>
                <w:sz w:val="22"/>
                <w14:textFill>
                  <w14:solidFill>
                    <w14:schemeClr w14:val="tx1"/>
                  </w14:solidFill>
                </w14:textFill>
              </w:rPr>
            </w:pPr>
          </w:p>
        </w:tc>
        <w:tc>
          <w:tcPr>
            <w:tcW w:w="600" w:type="dxa"/>
          </w:tcPr>
          <w:p>
            <w:pPr>
              <w:rPr>
                <w:rFonts w:hint="eastAsia" w:ascii="宋体" w:hAnsi="宋体" w:eastAsia="宋体" w:cs="宋体"/>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节拍器</w:t>
            </w: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112、材质：金属机芯，金属摆块。40拍使用时间约45min,208拍使用时间约9min。</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color w:val="000000"/>
                <w:kern w:val="0"/>
                <w:sz w:val="22"/>
                <w:lang w:bidi="ar"/>
              </w:rPr>
              <w:t>113、尺寸：210mm*100mm*120mm（以上每个尺寸可正负偏离≤10%）</w:t>
            </w:r>
          </w:p>
        </w:tc>
        <w:tc>
          <w:tcPr>
            <w:tcW w:w="1008" w:type="dxa"/>
          </w:tcPr>
          <w:p>
            <w:pPr>
              <w:rPr>
                <w:rFonts w:hint="eastAsia" w:ascii="宋体" w:hAnsi="宋体" w:eastAsia="宋体" w:cs="宋体"/>
                <w:color w:val="000000"/>
                <w:kern w:val="0"/>
                <w:sz w:val="22"/>
                <w:lang w:bidi="ar"/>
              </w:rPr>
            </w:pPr>
          </w:p>
        </w:tc>
        <w:tc>
          <w:tcPr>
            <w:tcW w:w="792" w:type="dxa"/>
          </w:tcPr>
          <w:p>
            <w:pPr>
              <w:rPr>
                <w:rFonts w:hint="eastAsia" w:ascii="宋体" w:hAnsi="宋体" w:eastAsia="宋体" w:cs="宋体"/>
                <w:color w:val="000000"/>
                <w:kern w:val="0"/>
                <w:sz w:val="22"/>
                <w:lang w:bidi="ar"/>
              </w:rPr>
            </w:pPr>
          </w:p>
        </w:tc>
        <w:tc>
          <w:tcPr>
            <w:tcW w:w="600" w:type="dxa"/>
          </w:tcPr>
          <w:p>
            <w:pPr>
              <w:rPr>
                <w:rFonts w:hint="eastAsia" w:ascii="宋体" w:hAnsi="宋体" w:eastAsia="宋体" w:cs="宋体"/>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675" w:type="dxa"/>
            <w:vMerge w:val="restart"/>
            <w:vAlign w:val="center"/>
          </w:tcPr>
          <w:p>
            <w:pPr>
              <w:jc w:val="center"/>
              <w:rPr>
                <w:rFonts w:ascii="宋体" w:hAnsi="宋体" w:eastAsia="宋体" w:cs="宋体"/>
                <w:color w:val="000000" w:themeColor="text1"/>
                <w:sz w:val="22"/>
                <w14:textFill>
                  <w14:solidFill>
                    <w14:schemeClr w14:val="tx1"/>
                  </w14:solidFill>
                </w14:textFill>
              </w:rPr>
            </w:pPr>
            <w:r>
              <w:rPr>
                <w:rFonts w:hint="eastAsia" w:ascii="宋体" w:hAnsi="宋体" w:eastAsia="宋体" w:cs="宋体"/>
                <w:color w:val="000000"/>
                <w:kern w:val="0"/>
                <w:sz w:val="22"/>
                <w:lang w:bidi="ar"/>
              </w:rPr>
              <w:t>3P天花机</w:t>
            </w:r>
          </w:p>
        </w:tc>
        <w:tc>
          <w:tcPr>
            <w:tcW w:w="5642" w:type="dxa"/>
          </w:tcPr>
          <w:p>
            <w:pPr>
              <w:rPr>
                <w:rFonts w:ascii="宋体" w:hAnsi="宋体" w:eastAsia="宋体" w:cs="宋体"/>
                <w:sz w:val="22"/>
                <w:highlight w:val="none"/>
              </w:rPr>
            </w:pPr>
            <w:r>
              <w:rPr>
                <w:rFonts w:hint="eastAsia" w:ascii="宋体" w:hAnsi="宋体" w:eastAsia="宋体" w:cs="宋体"/>
                <w:color w:val="000000"/>
                <w:kern w:val="0"/>
                <w:sz w:val="22"/>
                <w:highlight w:val="none"/>
                <w:lang w:bidi="ar"/>
              </w:rPr>
              <w:t>114、设备参数：额定制冷量（W）不低于7000；额定制冷功率（w）：不低于1900；能效比：不低于4。</w:t>
            </w:r>
          </w:p>
        </w:tc>
        <w:tc>
          <w:tcPr>
            <w:tcW w:w="1008" w:type="dxa"/>
          </w:tcPr>
          <w:p>
            <w:pPr>
              <w:rPr>
                <w:rFonts w:hint="eastAsia" w:ascii="宋体" w:hAnsi="宋体" w:eastAsia="宋体" w:cs="宋体"/>
                <w:color w:val="000000"/>
                <w:kern w:val="0"/>
                <w:sz w:val="22"/>
                <w:highlight w:val="none"/>
                <w:lang w:bidi="ar"/>
              </w:rPr>
            </w:pPr>
          </w:p>
        </w:tc>
        <w:tc>
          <w:tcPr>
            <w:tcW w:w="792" w:type="dxa"/>
          </w:tcPr>
          <w:p>
            <w:pPr>
              <w:rPr>
                <w:rFonts w:hint="eastAsia" w:ascii="宋体" w:hAnsi="宋体" w:eastAsia="宋体" w:cs="宋体"/>
                <w:color w:val="000000"/>
                <w:kern w:val="0"/>
                <w:sz w:val="22"/>
                <w:highlight w:val="none"/>
                <w:lang w:bidi="ar"/>
              </w:rPr>
            </w:pPr>
          </w:p>
        </w:tc>
        <w:tc>
          <w:tcPr>
            <w:tcW w:w="600" w:type="dxa"/>
          </w:tcPr>
          <w:p>
            <w:pPr>
              <w:rPr>
                <w:rFonts w:hint="eastAsia" w:ascii="宋体" w:hAnsi="宋体" w:eastAsia="宋体" w:cs="宋体"/>
                <w:color w:val="000000"/>
                <w:kern w:val="0"/>
                <w:sz w:val="2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b/>
                <w:bCs/>
                <w:color w:val="FF0000"/>
                <w:sz w:val="22"/>
              </w:rPr>
            </w:pPr>
            <w:r>
              <w:rPr>
                <w:rFonts w:hint="eastAsia" w:ascii="宋体" w:hAnsi="宋体" w:eastAsia="宋体" w:cs="宋体"/>
                <w:color w:val="FF0000"/>
                <w:kern w:val="0"/>
                <w:sz w:val="22"/>
                <w:lang w:bidi="ar"/>
              </w:rPr>
              <w:t>★投标时提供所投产品获得国家认可的认证机构出具的处于有效期内的节能产品认证证书。</w:t>
            </w:r>
          </w:p>
        </w:tc>
        <w:tc>
          <w:tcPr>
            <w:tcW w:w="1008" w:type="dxa"/>
          </w:tcPr>
          <w:p>
            <w:pPr>
              <w:rPr>
                <w:rFonts w:hint="eastAsia" w:ascii="宋体" w:hAnsi="宋体" w:eastAsia="宋体" w:cs="宋体"/>
                <w:color w:val="FF0000"/>
                <w:kern w:val="0"/>
                <w:sz w:val="22"/>
                <w:lang w:bidi="ar"/>
              </w:rPr>
            </w:pPr>
          </w:p>
        </w:tc>
        <w:tc>
          <w:tcPr>
            <w:tcW w:w="792" w:type="dxa"/>
          </w:tcPr>
          <w:p>
            <w:pPr>
              <w:rPr>
                <w:rFonts w:hint="eastAsia" w:ascii="宋体" w:hAnsi="宋体" w:eastAsia="宋体" w:cs="宋体"/>
                <w:color w:val="FF0000"/>
                <w:kern w:val="0"/>
                <w:sz w:val="22"/>
                <w:lang w:bidi="ar"/>
              </w:rPr>
            </w:pPr>
          </w:p>
        </w:tc>
        <w:tc>
          <w:tcPr>
            <w:tcW w:w="600" w:type="dxa"/>
          </w:tcPr>
          <w:p>
            <w:pPr>
              <w:rPr>
                <w:rFonts w:hint="eastAsia" w:ascii="宋体" w:hAnsi="宋体" w:eastAsia="宋体" w:cs="宋体"/>
                <w:color w:val="FF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8" w:type="dxa"/>
            <w:vMerge w:val="continue"/>
            <w:vAlign w:val="center"/>
          </w:tcPr>
          <w:p>
            <w:pPr>
              <w:jc w:val="center"/>
              <w:rPr>
                <w:color w:val="000000" w:themeColor="text1"/>
                <w:szCs w:val="21"/>
                <w14:textFill>
                  <w14:solidFill>
                    <w14:schemeClr w14:val="tx1"/>
                  </w14:solidFill>
                </w14:textFill>
              </w:rPr>
            </w:pPr>
          </w:p>
        </w:tc>
        <w:tc>
          <w:tcPr>
            <w:tcW w:w="675" w:type="dxa"/>
            <w:vMerge w:val="continue"/>
            <w:vAlign w:val="center"/>
          </w:tcPr>
          <w:p>
            <w:pPr>
              <w:jc w:val="center"/>
              <w:rPr>
                <w:rFonts w:ascii="宋体" w:hAnsi="宋体" w:eastAsia="宋体" w:cs="宋体"/>
                <w:color w:val="000000" w:themeColor="text1"/>
                <w:sz w:val="22"/>
                <w14:textFill>
                  <w14:solidFill>
                    <w14:schemeClr w14:val="tx1"/>
                  </w14:solidFill>
                </w14:textFill>
              </w:rPr>
            </w:pPr>
          </w:p>
        </w:tc>
        <w:tc>
          <w:tcPr>
            <w:tcW w:w="5642" w:type="dxa"/>
          </w:tcPr>
          <w:p>
            <w:pPr>
              <w:rPr>
                <w:rFonts w:ascii="宋体" w:hAnsi="宋体" w:eastAsia="宋体" w:cs="宋体"/>
                <w:sz w:val="22"/>
              </w:rPr>
            </w:pPr>
            <w:r>
              <w:rPr>
                <w:rFonts w:hint="eastAsia" w:ascii="宋体" w:hAnsi="宋体" w:eastAsia="宋体" w:cs="宋体"/>
                <w:b/>
                <w:bCs/>
                <w:color w:val="FF0000"/>
                <w:sz w:val="22"/>
              </w:rPr>
              <w:t>★</w:t>
            </w:r>
            <w:r>
              <w:rPr>
                <w:rFonts w:hint="eastAsia" w:ascii="宋体" w:hAnsi="宋体" w:eastAsia="宋体" w:cs="宋体"/>
                <w:color w:val="000000"/>
                <w:kern w:val="0"/>
                <w:sz w:val="22"/>
                <w:lang w:bidi="ar"/>
              </w:rPr>
              <w:t>含高空安装、铜管、布线及相关辅材</w:t>
            </w:r>
          </w:p>
        </w:tc>
        <w:tc>
          <w:tcPr>
            <w:tcW w:w="1008" w:type="dxa"/>
          </w:tcPr>
          <w:p>
            <w:pPr>
              <w:rPr>
                <w:rFonts w:hint="eastAsia" w:ascii="宋体" w:hAnsi="宋体" w:eastAsia="宋体" w:cs="宋体"/>
                <w:b/>
                <w:bCs/>
                <w:color w:val="FF0000"/>
                <w:sz w:val="22"/>
              </w:rPr>
            </w:pPr>
          </w:p>
        </w:tc>
        <w:tc>
          <w:tcPr>
            <w:tcW w:w="792" w:type="dxa"/>
          </w:tcPr>
          <w:p>
            <w:pPr>
              <w:rPr>
                <w:rFonts w:hint="eastAsia" w:ascii="宋体" w:hAnsi="宋体" w:eastAsia="宋体" w:cs="宋体"/>
                <w:b/>
                <w:bCs/>
                <w:color w:val="FF0000"/>
                <w:sz w:val="22"/>
              </w:rPr>
            </w:pPr>
          </w:p>
        </w:tc>
        <w:tc>
          <w:tcPr>
            <w:tcW w:w="600" w:type="dxa"/>
          </w:tcPr>
          <w:p>
            <w:pPr>
              <w:rPr>
                <w:rFonts w:hint="eastAsia" w:ascii="宋体" w:hAnsi="宋体" w:eastAsia="宋体" w:cs="宋体"/>
                <w:b/>
                <w:bCs/>
                <w:color w:val="FF0000"/>
                <w:sz w:val="22"/>
              </w:rPr>
            </w:pPr>
          </w:p>
        </w:tc>
      </w:tr>
    </w:tbl>
    <w:p>
      <w:pPr>
        <w:pStyle w:val="2"/>
      </w:pPr>
    </w:p>
    <w:p>
      <w:pPr>
        <w:rPr>
          <w:szCs w:val="21"/>
        </w:rPr>
      </w:pPr>
      <w:bookmarkStart w:id="65" w:name="_Hlk72095977"/>
      <w:r>
        <w:rPr>
          <w:rFonts w:hint="eastAsia"/>
          <w:szCs w:val="21"/>
        </w:rPr>
        <w:t>证明资料【如有的话，提供的证明资料应统一编号（排序），格式自定】</w:t>
      </w:r>
      <w:bookmarkEnd w:id="65"/>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6" w:name="_Hlk72094407"/>
      <w:r>
        <w:rPr>
          <w:rFonts w:hint="eastAsia"/>
          <w:bCs/>
          <w:szCs w:val="21"/>
        </w:rPr>
        <w:t>对应“用户需求书”中的“技术要求”章节</w:t>
      </w:r>
      <w:bookmarkEnd w:id="66"/>
      <w:r>
        <w:rPr>
          <w:rFonts w:hint="eastAsia"/>
          <w:bCs/>
          <w:szCs w:val="21"/>
        </w:rPr>
        <w:t>相关内容。</w:t>
      </w:r>
    </w:p>
    <w:p>
      <w:pPr>
        <w:pStyle w:val="17"/>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7" w:name="_Hlk72158270"/>
      <w:r>
        <w:rPr>
          <w:rFonts w:hint="eastAsia"/>
          <w:bCs/>
          <w:szCs w:val="21"/>
        </w:rPr>
        <w:t>“偏离情况”</w:t>
      </w:r>
      <w:bookmarkEnd w:id="67"/>
      <w:r>
        <w:rPr>
          <w:rFonts w:hint="eastAsia"/>
          <w:bCs/>
          <w:szCs w:val="21"/>
        </w:rPr>
        <w:t>一栏填写如实填写“正偏离”、“负偏离”或“无偏离”，其中：</w:t>
      </w:r>
      <w:bookmarkStart w:id="68" w:name="_Hlk72093866"/>
      <w:r>
        <w:rPr>
          <w:rFonts w:hint="eastAsia"/>
          <w:bCs/>
          <w:szCs w:val="21"/>
        </w:rPr>
        <w:t>“正偏离”表示“投标响应优于招标技术要求”，“负偏离”表示“投标响应不满足招标技术要求”，“无偏离”表示“投标响应与招标技术要求一致”</w:t>
      </w:r>
      <w:bookmarkEnd w:id="68"/>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69" w:name="_Hlk72096106"/>
      <w:r>
        <w:rPr>
          <w:rFonts w:hint="eastAsia"/>
          <w:bCs/>
          <w:szCs w:val="21"/>
        </w:rPr>
        <w:t>证明资料条款响应要求</w:t>
      </w:r>
      <w:bookmarkEnd w:id="69"/>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Cs/>
          <w:szCs w:val="21"/>
        </w:rPr>
        <w:t>且投标人在“偏离情况”一栏响应为“正偏离”或“无偏离”的，经评审委员会认定，将判定为负偏离。</w:t>
      </w:r>
      <w:bookmarkEnd w:id="70"/>
      <w:bookmarkEnd w:id="71"/>
    </w:p>
    <w:p>
      <w:pPr>
        <w:ind w:firstLine="420" w:firstLineChars="200"/>
        <w:rPr>
          <w:bCs/>
          <w:szCs w:val="21"/>
        </w:rPr>
      </w:pPr>
      <w:r>
        <w:rPr>
          <w:rFonts w:hint="eastAsia"/>
          <w:bCs/>
          <w:szCs w:val="21"/>
        </w:rPr>
        <w:t>6、</w:t>
      </w:r>
      <w:bookmarkStart w:id="72" w:name="_Hlk72096137"/>
      <w:r>
        <w:rPr>
          <w:rFonts w:hint="eastAsia"/>
          <w:bCs/>
          <w:szCs w:val="21"/>
        </w:rPr>
        <w:t>表后“证明资料”部分内容的编制</w:t>
      </w:r>
      <w:bookmarkEnd w:id="72"/>
      <w:r>
        <w:rPr>
          <w:rFonts w:hint="eastAsia"/>
          <w:bCs/>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Cs/>
          <w:szCs w:val="21"/>
        </w:rPr>
        <w:t>未按照招标文件要求在表后放置证明材料的供应商将承担不利后果，经评审委员会认定，相关技术要求将判定为负偏离。</w:t>
      </w:r>
      <w:bookmarkEnd w:id="73"/>
    </w:p>
    <w:p>
      <w:pPr>
        <w:ind w:firstLine="420" w:firstLineChars="200"/>
        <w:rPr>
          <w:bCs/>
          <w:szCs w:val="21"/>
        </w:rPr>
      </w:pPr>
      <w:r>
        <w:rPr>
          <w:rFonts w:hint="eastAsia"/>
          <w:bCs/>
          <w:szCs w:val="21"/>
        </w:rPr>
        <w:t>7、</w:t>
      </w:r>
      <w:bookmarkStart w:id="74" w:name="_Hlk72096176"/>
      <w:r>
        <w:rPr>
          <w:rFonts w:hint="eastAsia"/>
          <w:bCs/>
          <w:szCs w:val="21"/>
        </w:rPr>
        <w:t>证明资料的形式及其它具体要求</w:t>
      </w:r>
      <w:bookmarkEnd w:id="74"/>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5"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rPr>
        <w:t>六、政府采购节能环保产品</w:t>
      </w:r>
    </w:p>
    <w:p>
      <w:pPr>
        <w:ind w:firstLine="480" w:firstLineChars="200"/>
        <w:jc w:val="center"/>
        <w:rPr>
          <w:rFonts w:hint="eastAsia" w:ascii="黑体" w:eastAsia="黑体"/>
          <w:b w:val="0"/>
          <w:bCs w:val="0"/>
          <w:sz w:val="24"/>
          <w:szCs w:val="20"/>
          <w:lang w:val="en-US" w:eastAsia="zh-CN"/>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ind w:firstLine="480" w:firstLineChars="200"/>
        <w:jc w:val="center"/>
        <w:rPr>
          <w:rFonts w:hint="eastAsia" w:ascii="黑体" w:eastAsia="黑体"/>
          <w:b w:val="0"/>
          <w:bCs w:val="0"/>
          <w:sz w:val="24"/>
          <w:szCs w:val="20"/>
          <w:lang w:val="en-US" w:eastAsia="zh-CN"/>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设计图评价</w:t>
      </w:r>
    </w:p>
    <w:p>
      <w:pPr>
        <w:ind w:firstLine="480" w:firstLineChars="200"/>
        <w:jc w:val="center"/>
        <w:rPr>
          <w:rFonts w:hint="eastAsia" w:ascii="黑体" w:eastAsia="黑体"/>
          <w:b w:val="0"/>
          <w:bCs w:val="0"/>
          <w:sz w:val="24"/>
          <w:szCs w:val="20"/>
          <w:lang w:val="en-US" w:eastAsia="zh-CN"/>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项目组织实施方案的评价</w:t>
      </w:r>
    </w:p>
    <w:p>
      <w:pPr>
        <w:ind w:firstLine="480" w:firstLineChars="200"/>
        <w:jc w:val="center"/>
        <w:rPr>
          <w:rFonts w:hint="eastAsia" w:ascii="黑体" w:eastAsia="黑体"/>
          <w:b w:val="0"/>
          <w:bCs w:val="0"/>
          <w:sz w:val="24"/>
          <w:szCs w:val="20"/>
          <w:lang w:val="en-US" w:eastAsia="zh-CN"/>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jc w:val="center"/>
        <w:outlineLvl w:val="2"/>
        <w:rPr>
          <w:bCs/>
          <w:szCs w:val="21"/>
        </w:rPr>
      </w:pPr>
      <w:r>
        <w:rPr>
          <w:rFonts w:hint="eastAsia" w:ascii="黑体" w:eastAsia="黑体"/>
          <w:b w:val="0"/>
          <w:bCs w:val="0"/>
          <w:sz w:val="24"/>
          <w:szCs w:val="20"/>
          <w:lang w:val="en-US" w:eastAsia="zh-CN"/>
        </w:rPr>
        <w:t>十、</w:t>
      </w:r>
      <w:r>
        <w:rPr>
          <w:rFonts w:hint="eastAsia" w:ascii="黑体" w:eastAsia="黑体"/>
          <w:b w:val="0"/>
          <w:bCs w:val="0"/>
          <w:sz w:val="24"/>
          <w:szCs w:val="20"/>
        </w:rPr>
        <w:t>售后服务评价</w:t>
      </w:r>
    </w:p>
    <w:p>
      <w:pPr>
        <w:rPr>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sz w:val="24"/>
        </w:rPr>
      </w:pPr>
      <w:bookmarkStart w:id="76" w:name="_Hlk72260576"/>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spacing w:val="-4"/>
                <w:kern w:val="0"/>
                <w:szCs w:val="21"/>
              </w:rPr>
            </w:pPr>
          </w:p>
        </w:tc>
      </w:tr>
    </w:tbl>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ascii="宋体" w:hAnsi="宋体" w:eastAsia="宋体"/>
          <w:b/>
          <w:bCs/>
          <w:spacing w:val="-4"/>
          <w:kern w:val="0"/>
          <w:szCs w:val="21"/>
        </w:rPr>
      </w:pPr>
    </w:p>
    <w:p>
      <w:pPr>
        <w:widowControl/>
        <w:autoSpaceDE w:val="0"/>
        <w:autoSpaceDN w:val="0"/>
        <w:spacing w:line="340" w:lineRule="exact"/>
        <w:ind w:firstLine="406" w:firstLineChars="200"/>
        <w:jc w:val="left"/>
        <w:rPr>
          <w:rFonts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8"/>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numPr>
          <w:ilvl w:val="0"/>
          <w:numId w:val="3"/>
        </w:numPr>
        <w:jc w:val="center"/>
        <w:rPr>
          <w:rFonts w:ascii="黑体" w:hAnsi="宋体" w:eastAsia="黑体"/>
          <w:kern w:val="0"/>
          <w:sz w:val="24"/>
          <w:szCs w:val="20"/>
        </w:rPr>
      </w:pPr>
      <w:r>
        <w:rPr>
          <w:rFonts w:hint="eastAsia" w:ascii="黑体" w:hAnsi="宋体" w:eastAsia="黑体"/>
          <w:kern w:val="0"/>
          <w:sz w:val="24"/>
          <w:szCs w:val="20"/>
        </w:rPr>
        <w:t>投标人认为需要加以说明的其他内容（格式自定）</w:t>
      </w:r>
    </w:p>
    <w:p>
      <w:pPr>
        <w:pStyle w:val="2"/>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pPr>
      <w:bookmarkStart w:id="78" w:name="_Toc3995"/>
      <w:r>
        <w:rPr>
          <w:rFonts w:hint="eastAsia"/>
          <w:b/>
          <w:sz w:val="24"/>
        </w:rPr>
        <w:t>（仅供参考，具体以项目需求及采购结果为准）</w:t>
      </w:r>
    </w:p>
    <w:p>
      <w:pPr>
        <w:jc w:val="center"/>
        <w:rPr>
          <w:rFonts w:ascii="宋体" w:hAnsi="宋体" w:eastAsia="宋体" w:cs="宋体"/>
          <w:b/>
          <w:bCs/>
          <w:spacing w:val="-20"/>
          <w:kern w:val="44"/>
          <w:sz w:val="48"/>
          <w:szCs w:val="48"/>
        </w:rPr>
      </w:pPr>
    </w:p>
    <w:p>
      <w:pPr>
        <w:jc w:val="center"/>
        <w:rPr>
          <w:rFonts w:ascii="宋体" w:hAnsi="宋体" w:eastAsia="宋体" w:cs="宋体"/>
          <w:b/>
          <w:bCs/>
          <w:spacing w:val="-20"/>
          <w:kern w:val="44"/>
          <w:sz w:val="48"/>
          <w:szCs w:val="48"/>
        </w:rPr>
      </w:pPr>
    </w:p>
    <w:p>
      <w:pPr>
        <w:pStyle w:val="8"/>
      </w:pP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78"/>
    <w:p>
      <w:pPr>
        <w:keepNext/>
        <w:keepLines/>
        <w:adjustRightInd w:val="0"/>
        <w:snapToGrid w:val="0"/>
        <w:spacing w:line="400" w:lineRule="exact"/>
        <w:jc w:val="center"/>
        <w:rPr>
          <w:rFonts w:ascii="黑体" w:hAnsi="黑体" w:eastAsia="黑体" w:cs="Times New Roman"/>
          <w:b/>
          <w:bCs/>
          <w:sz w:val="28"/>
          <w:szCs w:val="28"/>
        </w:rPr>
      </w:pPr>
      <w:bookmarkStart w:id="79" w:name="_Toc22209"/>
    </w:p>
    <w:p>
      <w:pPr>
        <w:keepNext/>
        <w:keepLines/>
        <w:adjustRightInd w:val="0"/>
        <w:snapToGrid w:val="0"/>
        <w:spacing w:line="400" w:lineRule="exact"/>
        <w:jc w:val="center"/>
        <w:outlineLvl w:val="1"/>
        <w:rPr>
          <w:rFonts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79"/>
    </w:p>
    <w:p>
      <w:pPr>
        <w:keepNext/>
        <w:keepLines/>
        <w:adjustRightInd w:val="0"/>
        <w:snapToGrid w:val="0"/>
        <w:spacing w:line="400" w:lineRule="exact"/>
        <w:jc w:val="center"/>
        <w:rPr>
          <w:rFonts w:ascii="黑体" w:hAnsi="华文中宋" w:eastAsia="黑体" w:cs="Times New Roman"/>
          <w:sz w:val="28"/>
          <w:szCs w:val="28"/>
        </w:rPr>
      </w:pPr>
    </w:p>
    <w:p>
      <w:pPr>
        <w:adjustRightInd w:val="0"/>
        <w:snapToGrid w:val="0"/>
        <w:spacing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项目信息</w:t>
      </w:r>
    </w:p>
    <w:p>
      <w:pPr>
        <w:numPr>
          <w:ilvl w:val="0"/>
          <w:numId w:val="5"/>
        </w:numPr>
        <w:adjustRightInd w:val="0"/>
        <w:snapToGrid w:val="0"/>
        <w:spacing w:line="400" w:lineRule="exact"/>
        <w:ind w:firstLine="420" w:firstLineChars="200"/>
        <w:rPr>
          <w:rFonts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line="400" w:lineRule="exact"/>
        <w:ind w:firstLine="422" w:firstLineChars="200"/>
        <w:rPr>
          <w:rFonts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ascii="黑体" w:hAnsi="黑体" w:eastAsia="黑体" w:cs="Times New Roman"/>
          <w:b/>
          <w:bCs/>
          <w:sz w:val="28"/>
          <w:szCs w:val="28"/>
        </w:rPr>
      </w:pPr>
      <w:r>
        <w:rPr>
          <w:rFonts w:ascii="宋体" w:hAnsi="宋体" w:eastAsia="宋体" w:cs="Times New Roman"/>
          <w:b/>
          <w:bCs/>
          <w:szCs w:val="21"/>
          <w:u w:val="single"/>
        </w:rPr>
        <w:br w:type="page"/>
      </w:r>
      <w:bookmarkStart w:id="80" w:name="_Toc27624"/>
      <w:r>
        <w:rPr>
          <w:rFonts w:hint="eastAsia" w:ascii="黑体" w:hAnsi="黑体" w:eastAsia="黑体" w:cs="Times New Roman"/>
          <w:sz w:val="28"/>
          <w:szCs w:val="28"/>
        </w:rPr>
        <w:t>第二节 政府采购合同通用条款</w:t>
      </w:r>
      <w:bookmarkEnd w:id="80"/>
    </w:p>
    <w:p>
      <w:pPr>
        <w:tabs>
          <w:tab w:val="left" w:pos="8820"/>
          <w:tab w:val="left" w:pos="9345"/>
          <w:tab w:val="left" w:pos="9765"/>
        </w:tabs>
        <w:adjustRightInd w:val="0"/>
        <w:snapToGrid w:val="0"/>
        <w:spacing w:line="400" w:lineRule="exact"/>
        <w:jc w:val="left"/>
        <w:rPr>
          <w:rFonts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7"/>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8"/>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szCs w:val="21"/>
        </w:rPr>
        <w:t>。</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9"/>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10"/>
        </w:numPr>
        <w:adjustRightInd w:val="0"/>
        <w:snapToGrid w:val="0"/>
        <w:spacing w:line="400" w:lineRule="exact"/>
        <w:jc w:val="left"/>
        <w:rPr>
          <w:rFonts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2" w:name="_Toc20313"/>
    </w:p>
    <w:p>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2"/>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宋体" w:hAnsi="宋体" w:eastAsia="宋体"/>
                <w:szCs w:val="21"/>
              </w:rPr>
            </w:pP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ascii="宋体" w:hAnsi="宋体" w:eastAsia="宋体"/>
                <w:szCs w:val="21"/>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17673"/>
      <w:bookmarkStart w:id="102" w:name="_Toc73521669"/>
      <w:bookmarkStart w:id="103" w:name="_Toc73518151"/>
      <w:bookmarkStart w:id="104" w:name="_Toc73521581"/>
      <w:bookmarkStart w:id="105" w:name="_Toc100052400"/>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674"/>
      <w:bookmarkStart w:id="117" w:name="_Toc73518157"/>
      <w:bookmarkStart w:id="118" w:name="_Toc73517679"/>
      <w:bookmarkStart w:id="119" w:name="_Toc73521586"/>
      <w:bookmarkStart w:id="120" w:name="_Toc100052408"/>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18158"/>
      <w:bookmarkStart w:id="123" w:name="_Toc73521675"/>
      <w:bookmarkStart w:id="124" w:name="_Toc73521587"/>
      <w:bookmarkStart w:id="125" w:name="_Toc73517680"/>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18160"/>
      <w:bookmarkStart w:id="128" w:name="_Toc73521677"/>
      <w:bookmarkStart w:id="129" w:name="_Toc73521589"/>
      <w:bookmarkStart w:id="130" w:name="_Toc100052410"/>
      <w:bookmarkStart w:id="131" w:name="_Toc73517682"/>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17683"/>
      <w:bookmarkStart w:id="133" w:name="_Toc100052411"/>
      <w:bookmarkStart w:id="134" w:name="_Toc73518161"/>
      <w:bookmarkStart w:id="135" w:name="_Toc73521590"/>
      <w:bookmarkStart w:id="136" w:name="_Toc73521678"/>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1"/>
    <w:p>
      <w:pPr>
        <w:pStyle w:val="33"/>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7E2118-69C7-4434-8355-AF9FC84C3CD7}"/>
  </w:font>
  <w:font w:name="Arial">
    <w:panose1 w:val="020B0604020202020204"/>
    <w:charset w:val="01"/>
    <w:family w:val="swiss"/>
    <w:pitch w:val="default"/>
    <w:sig w:usb0="E0002EFF" w:usb1="C000785B" w:usb2="00000009" w:usb3="00000000" w:csb0="400001FF" w:csb1="FFFF0000"/>
    <w:embedRegular r:id="rId2" w:fontKey="{01627E96-F5D6-469F-B387-0FA0774BE852}"/>
  </w:font>
  <w:font w:name="黑体">
    <w:panose1 w:val="02010609060101010101"/>
    <w:charset w:val="86"/>
    <w:family w:val="auto"/>
    <w:pitch w:val="default"/>
    <w:sig w:usb0="800002BF" w:usb1="38CF7CFA" w:usb2="00000016" w:usb3="00000000" w:csb0="00040001" w:csb1="00000000"/>
    <w:embedRegular r:id="rId3" w:fontKey="{9C6EA4C5-C7C0-4109-ACFA-18EE664299CC}"/>
  </w:font>
  <w:font w:name="Courier New">
    <w:panose1 w:val="02070309020205020404"/>
    <w:charset w:val="01"/>
    <w:family w:val="modern"/>
    <w:pitch w:val="default"/>
    <w:sig w:usb0="E0002EFF" w:usb1="C0007843" w:usb2="00000009" w:usb3="00000000" w:csb0="400001FF" w:csb1="FFFF0000"/>
    <w:embedRegular r:id="rId4" w:fontKey="{0535E6D6-7F07-46F1-8131-8E667856ECD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A59AB7D-E3FD-4F10-B1CA-13EBDBCE8DE3}"/>
  </w:font>
  <w:font w:name="Cambria">
    <w:panose1 w:val="02040503050406030204"/>
    <w:charset w:val="00"/>
    <w:family w:val="roman"/>
    <w:pitch w:val="default"/>
    <w:sig w:usb0="E00006FF" w:usb1="420024FF" w:usb2="02000000" w:usb3="00000000" w:csb0="2000019F" w:csb1="00000000"/>
    <w:embedRegular r:id="rId6" w:fontKey="{DAA87403-C039-4FF9-839D-9F8C049A5764}"/>
  </w:font>
  <w:font w:name="Arial Narrow">
    <w:panose1 w:val="020B0606020202030204"/>
    <w:charset w:val="00"/>
    <w:family w:val="swiss"/>
    <w:pitch w:val="default"/>
    <w:sig w:usb0="00000287" w:usb1="00000800" w:usb2="00000000" w:usb3="00000000" w:csb0="2000009F" w:csb1="DFD7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69655E53-E399-45F3-86EF-8828C4AB6BAC}"/>
  </w:font>
  <w:font w:name="华文仿宋">
    <w:panose1 w:val="02010600040101010101"/>
    <w:charset w:val="86"/>
    <w:family w:val="auto"/>
    <w:pitch w:val="default"/>
    <w:sig w:usb0="00000287" w:usb1="080F0000" w:usb2="00000000" w:usb3="00000000" w:csb0="0004009F" w:csb1="DFD70000"/>
    <w:embedRegular r:id="rId8" w:fontKey="{C26EBEA5-AA4E-4389-8B5B-12031DAF028D}"/>
  </w:font>
  <w:font w:name="方正仿宋_GBK">
    <w:panose1 w:val="02000000000000000000"/>
    <w:charset w:val="86"/>
    <w:family w:val="auto"/>
    <w:pitch w:val="default"/>
    <w:sig w:usb0="A00002BF" w:usb1="38CF7CFA" w:usb2="00082016" w:usb3="00000000" w:csb0="00040001" w:csb1="00000000"/>
    <w:embedRegular r:id="rId9" w:fontKey="{6F51BE9C-9DEB-422C-9A5C-A3BBEF03014E}"/>
  </w:font>
  <w:font w:name="华文中宋">
    <w:panose1 w:val="02010600040101010101"/>
    <w:charset w:val="86"/>
    <w:family w:val="auto"/>
    <w:pitch w:val="default"/>
    <w:sig w:usb0="00000287" w:usb1="080F0000" w:usb2="00000000" w:usb3="00000000" w:csb0="0004009F" w:csb1="DFD70000"/>
    <w:embedRegular r:id="rId10" w:fontKey="{C2D31148-507E-4710-AE99-E508C746F441}"/>
  </w:font>
  <w:font w:name="汉仪书宋二S">
    <w:panose1 w:val="00020600040101010101"/>
    <w:charset w:val="86"/>
    <w:family w:val="auto"/>
    <w:pitch w:val="default"/>
    <w:sig w:usb0="A00002BF" w:usb1="18EF7CFA" w:usb2="00000016" w:usb3="00000000" w:csb0="00040000" w:csb1="00000000"/>
    <w:embedRegular r:id="rId11" w:fontKey="{002B7E14-7D81-498F-85F1-4F64D3052C67}"/>
  </w:font>
  <w:font w:name="华文楷体">
    <w:panose1 w:val="02010600040101010101"/>
    <w:charset w:val="86"/>
    <w:family w:val="auto"/>
    <w:pitch w:val="default"/>
    <w:sig w:usb0="00000287" w:usb1="080F0000" w:usb2="00000000" w:usb3="00000000" w:csb0="0004009F" w:csb1="DFD70000"/>
    <w:embedRegular r:id="rId12" w:fontKey="{918FA605-A8B4-4C14-A863-6429AAB87F9A}"/>
  </w:font>
  <w:font w:name="ˎ̥">
    <w:altName w:val="Times New Roman"/>
    <w:panose1 w:val="020B0604020202020204"/>
    <w:charset w:val="00"/>
    <w:family w:val="auto"/>
    <w:pitch w:val="default"/>
    <w:sig w:usb0="00000000" w:usb1="00000000" w:usb2="00000000" w:usb3="00000000" w:csb0="00040001" w:csb1="00000000"/>
    <w:embedRegular r:id="rId13" w:fontKey="{83F41378-8BD4-4DDC-B593-CE4416265939}"/>
  </w:font>
  <w:font w:name="仿宋">
    <w:panose1 w:val="02010609060101010101"/>
    <w:charset w:val="86"/>
    <w:family w:val="modern"/>
    <w:pitch w:val="default"/>
    <w:sig w:usb0="800002BF" w:usb1="38CF7CFA" w:usb2="00000016" w:usb3="00000000" w:csb0="00040001" w:csb1="00000000"/>
    <w:embedRegular r:id="rId14" w:fontKey="{8AD22FEC-CAF8-443D-A89B-02B876257C7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t xml:space="preserve">- </w:t>
    </w:r>
    <w:r>
      <w:fldChar w:fldCharType="begin"/>
    </w:r>
    <w:r>
      <w:instrText xml:space="preserve"> PAGE </w:instrText>
    </w:r>
    <w:r>
      <w:fldChar w:fldCharType="separate"/>
    </w:r>
    <w:r>
      <w:t>32</w:t>
    </w:r>
    <w:r>
      <w:fldChar w:fldCharType="end"/>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4"/>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DB976BB"/>
    <w:multiLevelType w:val="singleLevel"/>
    <w:tmpl w:val="3DB976BB"/>
    <w:lvl w:ilvl="0" w:tentative="0">
      <w:start w:val="3"/>
      <w:numFmt w:val="chineseCounting"/>
      <w:suff w:val="nothing"/>
      <w:lvlText w:val="（%1）"/>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10"/>
  </w:num>
  <w:num w:numId="5">
    <w:abstractNumId w:val="3"/>
  </w:num>
  <w:num w:numId="6">
    <w:abstractNumId w:val="7"/>
  </w:num>
  <w:num w:numId="7">
    <w:abstractNumId w:val="5"/>
  </w:num>
  <w:num w:numId="8">
    <w:abstractNumId w:val="4"/>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675C"/>
    <w:rsid w:val="0000723B"/>
    <w:rsid w:val="000102B3"/>
    <w:rsid w:val="00012263"/>
    <w:rsid w:val="00012DCA"/>
    <w:rsid w:val="00015451"/>
    <w:rsid w:val="00015C20"/>
    <w:rsid w:val="000165A0"/>
    <w:rsid w:val="00017ECC"/>
    <w:rsid w:val="000227FD"/>
    <w:rsid w:val="00024DCF"/>
    <w:rsid w:val="00026D6D"/>
    <w:rsid w:val="00027E40"/>
    <w:rsid w:val="00030B9F"/>
    <w:rsid w:val="0003307A"/>
    <w:rsid w:val="00033591"/>
    <w:rsid w:val="00035243"/>
    <w:rsid w:val="00036C4D"/>
    <w:rsid w:val="00036CC4"/>
    <w:rsid w:val="0004487D"/>
    <w:rsid w:val="0004622C"/>
    <w:rsid w:val="0004655D"/>
    <w:rsid w:val="00046AE3"/>
    <w:rsid w:val="00047161"/>
    <w:rsid w:val="00047F90"/>
    <w:rsid w:val="0005162F"/>
    <w:rsid w:val="00051863"/>
    <w:rsid w:val="000520B1"/>
    <w:rsid w:val="00055C90"/>
    <w:rsid w:val="00056B9F"/>
    <w:rsid w:val="000579F6"/>
    <w:rsid w:val="000628CC"/>
    <w:rsid w:val="000722BF"/>
    <w:rsid w:val="00073BE1"/>
    <w:rsid w:val="000762AC"/>
    <w:rsid w:val="00082568"/>
    <w:rsid w:val="00083BC2"/>
    <w:rsid w:val="0009130D"/>
    <w:rsid w:val="0009142D"/>
    <w:rsid w:val="000921A7"/>
    <w:rsid w:val="00092A16"/>
    <w:rsid w:val="00094FCC"/>
    <w:rsid w:val="000A08E3"/>
    <w:rsid w:val="000A7A9D"/>
    <w:rsid w:val="000B3AC3"/>
    <w:rsid w:val="000B4D4A"/>
    <w:rsid w:val="000B587C"/>
    <w:rsid w:val="000B7A0E"/>
    <w:rsid w:val="000C0E1A"/>
    <w:rsid w:val="000C2BCB"/>
    <w:rsid w:val="000C4236"/>
    <w:rsid w:val="000C64E7"/>
    <w:rsid w:val="000C689A"/>
    <w:rsid w:val="000C7808"/>
    <w:rsid w:val="000D112A"/>
    <w:rsid w:val="000D123C"/>
    <w:rsid w:val="000D16D5"/>
    <w:rsid w:val="000D5B9F"/>
    <w:rsid w:val="000E0D11"/>
    <w:rsid w:val="000E23D7"/>
    <w:rsid w:val="000E7DAA"/>
    <w:rsid w:val="000F1063"/>
    <w:rsid w:val="000F1328"/>
    <w:rsid w:val="000F2DF3"/>
    <w:rsid w:val="00100714"/>
    <w:rsid w:val="00102CAD"/>
    <w:rsid w:val="001031B0"/>
    <w:rsid w:val="00105092"/>
    <w:rsid w:val="0010582A"/>
    <w:rsid w:val="001075AD"/>
    <w:rsid w:val="00110CBD"/>
    <w:rsid w:val="00110F69"/>
    <w:rsid w:val="00122477"/>
    <w:rsid w:val="001232EC"/>
    <w:rsid w:val="00123E98"/>
    <w:rsid w:val="00123EB7"/>
    <w:rsid w:val="00125B86"/>
    <w:rsid w:val="00125EA7"/>
    <w:rsid w:val="00133F32"/>
    <w:rsid w:val="00134804"/>
    <w:rsid w:val="00135452"/>
    <w:rsid w:val="00135D16"/>
    <w:rsid w:val="001423E8"/>
    <w:rsid w:val="0014403A"/>
    <w:rsid w:val="001448CB"/>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292D"/>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11C2"/>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3397"/>
    <w:rsid w:val="00315035"/>
    <w:rsid w:val="00321622"/>
    <w:rsid w:val="0032311B"/>
    <w:rsid w:val="00323813"/>
    <w:rsid w:val="00324CB2"/>
    <w:rsid w:val="00326B43"/>
    <w:rsid w:val="003277CD"/>
    <w:rsid w:val="00332314"/>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A719E"/>
    <w:rsid w:val="003A7FD5"/>
    <w:rsid w:val="003B4BF9"/>
    <w:rsid w:val="003B627E"/>
    <w:rsid w:val="003C4C32"/>
    <w:rsid w:val="003C55EB"/>
    <w:rsid w:val="003D016D"/>
    <w:rsid w:val="003D1101"/>
    <w:rsid w:val="003D2AD2"/>
    <w:rsid w:val="003E2FAF"/>
    <w:rsid w:val="003E32F8"/>
    <w:rsid w:val="003F0159"/>
    <w:rsid w:val="003F0EBF"/>
    <w:rsid w:val="003F1A85"/>
    <w:rsid w:val="003F5034"/>
    <w:rsid w:val="003F7568"/>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148B"/>
    <w:rsid w:val="004621E5"/>
    <w:rsid w:val="00463D37"/>
    <w:rsid w:val="00467C23"/>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1D61"/>
    <w:rsid w:val="00516147"/>
    <w:rsid w:val="0052007E"/>
    <w:rsid w:val="0052018A"/>
    <w:rsid w:val="00524AB1"/>
    <w:rsid w:val="00530432"/>
    <w:rsid w:val="00532047"/>
    <w:rsid w:val="005333B1"/>
    <w:rsid w:val="00535134"/>
    <w:rsid w:val="0053774E"/>
    <w:rsid w:val="00542088"/>
    <w:rsid w:val="0054303D"/>
    <w:rsid w:val="005436FB"/>
    <w:rsid w:val="005438F2"/>
    <w:rsid w:val="0055085C"/>
    <w:rsid w:val="0055090F"/>
    <w:rsid w:val="005543A6"/>
    <w:rsid w:val="005554AD"/>
    <w:rsid w:val="0055621A"/>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D2EB6"/>
    <w:rsid w:val="005D7B6C"/>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2DEB"/>
    <w:rsid w:val="00673CED"/>
    <w:rsid w:val="00674722"/>
    <w:rsid w:val="006749FE"/>
    <w:rsid w:val="006801A9"/>
    <w:rsid w:val="0068296E"/>
    <w:rsid w:val="006900CE"/>
    <w:rsid w:val="00690C3A"/>
    <w:rsid w:val="006934C2"/>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E5D9D"/>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846A0"/>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55A"/>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857"/>
    <w:rsid w:val="00803B40"/>
    <w:rsid w:val="00806F28"/>
    <w:rsid w:val="00807B69"/>
    <w:rsid w:val="00810E85"/>
    <w:rsid w:val="00812244"/>
    <w:rsid w:val="00812D31"/>
    <w:rsid w:val="0081372D"/>
    <w:rsid w:val="008138A3"/>
    <w:rsid w:val="008140E8"/>
    <w:rsid w:val="008166D4"/>
    <w:rsid w:val="00817DB8"/>
    <w:rsid w:val="0082057C"/>
    <w:rsid w:val="008223B6"/>
    <w:rsid w:val="00827F77"/>
    <w:rsid w:val="00830E2C"/>
    <w:rsid w:val="00835FB6"/>
    <w:rsid w:val="008363CE"/>
    <w:rsid w:val="00841109"/>
    <w:rsid w:val="00845602"/>
    <w:rsid w:val="00846672"/>
    <w:rsid w:val="00847127"/>
    <w:rsid w:val="00853091"/>
    <w:rsid w:val="00854D66"/>
    <w:rsid w:val="00856054"/>
    <w:rsid w:val="00856105"/>
    <w:rsid w:val="0086614D"/>
    <w:rsid w:val="00867F98"/>
    <w:rsid w:val="0087225E"/>
    <w:rsid w:val="00872B38"/>
    <w:rsid w:val="00872CDB"/>
    <w:rsid w:val="00877E69"/>
    <w:rsid w:val="008801A3"/>
    <w:rsid w:val="0088330C"/>
    <w:rsid w:val="00883AA8"/>
    <w:rsid w:val="008853B1"/>
    <w:rsid w:val="008859FC"/>
    <w:rsid w:val="00885C49"/>
    <w:rsid w:val="0089165B"/>
    <w:rsid w:val="008920BC"/>
    <w:rsid w:val="00892BB7"/>
    <w:rsid w:val="008976C8"/>
    <w:rsid w:val="008A1016"/>
    <w:rsid w:val="008A1CA0"/>
    <w:rsid w:val="008A402F"/>
    <w:rsid w:val="008A73D1"/>
    <w:rsid w:val="008B2078"/>
    <w:rsid w:val="008B641C"/>
    <w:rsid w:val="008B6A92"/>
    <w:rsid w:val="008B6F21"/>
    <w:rsid w:val="008B7807"/>
    <w:rsid w:val="008C2951"/>
    <w:rsid w:val="008C4241"/>
    <w:rsid w:val="008C50F1"/>
    <w:rsid w:val="008C6819"/>
    <w:rsid w:val="008D3759"/>
    <w:rsid w:val="008D5DDF"/>
    <w:rsid w:val="008D5E24"/>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4309"/>
    <w:rsid w:val="009356F2"/>
    <w:rsid w:val="00937148"/>
    <w:rsid w:val="00937EF8"/>
    <w:rsid w:val="00940369"/>
    <w:rsid w:val="009454F4"/>
    <w:rsid w:val="00946EFC"/>
    <w:rsid w:val="00946F59"/>
    <w:rsid w:val="00950E98"/>
    <w:rsid w:val="0095203B"/>
    <w:rsid w:val="009537E3"/>
    <w:rsid w:val="00957952"/>
    <w:rsid w:val="00957C55"/>
    <w:rsid w:val="00960519"/>
    <w:rsid w:val="009612CA"/>
    <w:rsid w:val="00963D52"/>
    <w:rsid w:val="00965A51"/>
    <w:rsid w:val="00970EA5"/>
    <w:rsid w:val="00973CA7"/>
    <w:rsid w:val="009757C4"/>
    <w:rsid w:val="0097679F"/>
    <w:rsid w:val="00987AE8"/>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3D6A"/>
    <w:rsid w:val="00A55EDA"/>
    <w:rsid w:val="00A57355"/>
    <w:rsid w:val="00A57743"/>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1CA4"/>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1E76"/>
    <w:rsid w:val="00B27CA4"/>
    <w:rsid w:val="00B31267"/>
    <w:rsid w:val="00B35B9A"/>
    <w:rsid w:val="00B35E87"/>
    <w:rsid w:val="00B372CB"/>
    <w:rsid w:val="00B41ECA"/>
    <w:rsid w:val="00B45AD9"/>
    <w:rsid w:val="00B46B50"/>
    <w:rsid w:val="00B51FC7"/>
    <w:rsid w:val="00B532E2"/>
    <w:rsid w:val="00B55775"/>
    <w:rsid w:val="00B61049"/>
    <w:rsid w:val="00B61F3D"/>
    <w:rsid w:val="00B63142"/>
    <w:rsid w:val="00B63FE9"/>
    <w:rsid w:val="00B663E9"/>
    <w:rsid w:val="00B70889"/>
    <w:rsid w:val="00B75406"/>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5EB6"/>
    <w:rsid w:val="00BB612C"/>
    <w:rsid w:val="00BB74E8"/>
    <w:rsid w:val="00BC0022"/>
    <w:rsid w:val="00BC2E32"/>
    <w:rsid w:val="00BC3702"/>
    <w:rsid w:val="00BC3723"/>
    <w:rsid w:val="00BC3A0B"/>
    <w:rsid w:val="00BC4367"/>
    <w:rsid w:val="00BC79A5"/>
    <w:rsid w:val="00BD19A7"/>
    <w:rsid w:val="00BD4173"/>
    <w:rsid w:val="00BD7D8C"/>
    <w:rsid w:val="00BE2354"/>
    <w:rsid w:val="00BE3C7C"/>
    <w:rsid w:val="00BE5E00"/>
    <w:rsid w:val="00BE7E28"/>
    <w:rsid w:val="00BF134C"/>
    <w:rsid w:val="00BF53C2"/>
    <w:rsid w:val="00BF55BD"/>
    <w:rsid w:val="00BF7189"/>
    <w:rsid w:val="00BF75B0"/>
    <w:rsid w:val="00C036E1"/>
    <w:rsid w:val="00C06DAA"/>
    <w:rsid w:val="00C13727"/>
    <w:rsid w:val="00C148C6"/>
    <w:rsid w:val="00C14B6A"/>
    <w:rsid w:val="00C15825"/>
    <w:rsid w:val="00C174A1"/>
    <w:rsid w:val="00C24AC7"/>
    <w:rsid w:val="00C25258"/>
    <w:rsid w:val="00C255CE"/>
    <w:rsid w:val="00C26177"/>
    <w:rsid w:val="00C27633"/>
    <w:rsid w:val="00C27BEA"/>
    <w:rsid w:val="00C302EA"/>
    <w:rsid w:val="00C35401"/>
    <w:rsid w:val="00C36F2E"/>
    <w:rsid w:val="00C3712E"/>
    <w:rsid w:val="00C435E6"/>
    <w:rsid w:val="00C443E4"/>
    <w:rsid w:val="00C446EE"/>
    <w:rsid w:val="00C51F32"/>
    <w:rsid w:val="00C520EF"/>
    <w:rsid w:val="00C5244A"/>
    <w:rsid w:val="00C54F8F"/>
    <w:rsid w:val="00C56E41"/>
    <w:rsid w:val="00C609D6"/>
    <w:rsid w:val="00C622B3"/>
    <w:rsid w:val="00C67553"/>
    <w:rsid w:val="00C676A9"/>
    <w:rsid w:val="00C678BF"/>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2822"/>
    <w:rsid w:val="00D137A0"/>
    <w:rsid w:val="00D14DA8"/>
    <w:rsid w:val="00D152BD"/>
    <w:rsid w:val="00D17566"/>
    <w:rsid w:val="00D20765"/>
    <w:rsid w:val="00D22959"/>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A74E0"/>
    <w:rsid w:val="00DB05CE"/>
    <w:rsid w:val="00DB09FD"/>
    <w:rsid w:val="00DB214F"/>
    <w:rsid w:val="00DC0B27"/>
    <w:rsid w:val="00DC0DC3"/>
    <w:rsid w:val="00DC200A"/>
    <w:rsid w:val="00DC5979"/>
    <w:rsid w:val="00DC683E"/>
    <w:rsid w:val="00DD7ACC"/>
    <w:rsid w:val="00DD7C86"/>
    <w:rsid w:val="00DE210F"/>
    <w:rsid w:val="00DE6729"/>
    <w:rsid w:val="00DE780F"/>
    <w:rsid w:val="00DF005C"/>
    <w:rsid w:val="00DF193F"/>
    <w:rsid w:val="00DF25E1"/>
    <w:rsid w:val="00DF45C1"/>
    <w:rsid w:val="00DF63D3"/>
    <w:rsid w:val="00E01277"/>
    <w:rsid w:val="00E02475"/>
    <w:rsid w:val="00E0373F"/>
    <w:rsid w:val="00E07FC2"/>
    <w:rsid w:val="00E10C3F"/>
    <w:rsid w:val="00E144BF"/>
    <w:rsid w:val="00E16381"/>
    <w:rsid w:val="00E16BE0"/>
    <w:rsid w:val="00E20FDC"/>
    <w:rsid w:val="00E21413"/>
    <w:rsid w:val="00E22D57"/>
    <w:rsid w:val="00E275EF"/>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6E88"/>
    <w:rsid w:val="00E9738B"/>
    <w:rsid w:val="00E97895"/>
    <w:rsid w:val="00E97ED5"/>
    <w:rsid w:val="00EA6339"/>
    <w:rsid w:val="00EB051B"/>
    <w:rsid w:val="00EB0F3C"/>
    <w:rsid w:val="00EB2414"/>
    <w:rsid w:val="00EB3435"/>
    <w:rsid w:val="00EB4289"/>
    <w:rsid w:val="00EB44C9"/>
    <w:rsid w:val="00EB5B32"/>
    <w:rsid w:val="00EB75BE"/>
    <w:rsid w:val="00EC1A0F"/>
    <w:rsid w:val="00EC2883"/>
    <w:rsid w:val="00EC3753"/>
    <w:rsid w:val="00EC40A2"/>
    <w:rsid w:val="00EC4659"/>
    <w:rsid w:val="00EC4D83"/>
    <w:rsid w:val="00EC69E5"/>
    <w:rsid w:val="00ED159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1756C"/>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289A"/>
    <w:rsid w:val="00FC62F9"/>
    <w:rsid w:val="00FC6BE7"/>
    <w:rsid w:val="00FD2FD3"/>
    <w:rsid w:val="00FD5E8F"/>
    <w:rsid w:val="00FE26CC"/>
    <w:rsid w:val="00FE48A3"/>
    <w:rsid w:val="00FE692E"/>
    <w:rsid w:val="00FE78A2"/>
    <w:rsid w:val="00FF0E2B"/>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3EA1C5A"/>
    <w:rsid w:val="042C4F6C"/>
    <w:rsid w:val="04446205"/>
    <w:rsid w:val="047255F5"/>
    <w:rsid w:val="048C54B6"/>
    <w:rsid w:val="049A4077"/>
    <w:rsid w:val="05130EC4"/>
    <w:rsid w:val="05452235"/>
    <w:rsid w:val="05A21435"/>
    <w:rsid w:val="05D45367"/>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AB95133"/>
    <w:rsid w:val="0B30271E"/>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9D68D8"/>
    <w:rsid w:val="0EB421D9"/>
    <w:rsid w:val="0EEC3F08"/>
    <w:rsid w:val="0F142273"/>
    <w:rsid w:val="0F1A213C"/>
    <w:rsid w:val="0F5B4403"/>
    <w:rsid w:val="0F5D008C"/>
    <w:rsid w:val="0F695F73"/>
    <w:rsid w:val="0FD3114F"/>
    <w:rsid w:val="0FDF7707"/>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D92359"/>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303D3"/>
    <w:rsid w:val="198E1EAE"/>
    <w:rsid w:val="1A24288D"/>
    <w:rsid w:val="1A620D3B"/>
    <w:rsid w:val="1B1B5294"/>
    <w:rsid w:val="1B356450"/>
    <w:rsid w:val="1B434F04"/>
    <w:rsid w:val="1B9C14FB"/>
    <w:rsid w:val="1BEB4F4B"/>
    <w:rsid w:val="1BEF4851"/>
    <w:rsid w:val="1BFE3C79"/>
    <w:rsid w:val="1BFF7F70"/>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96929"/>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0B83463"/>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302B9"/>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EEE5640"/>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F27EFF"/>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B302CD"/>
    <w:rsid w:val="39C15930"/>
    <w:rsid w:val="3A173499"/>
    <w:rsid w:val="3A30022F"/>
    <w:rsid w:val="3A371445"/>
    <w:rsid w:val="3A886145"/>
    <w:rsid w:val="3A8D5509"/>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656044"/>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E6489B"/>
    <w:rsid w:val="42FC5208"/>
    <w:rsid w:val="4320516C"/>
    <w:rsid w:val="43341596"/>
    <w:rsid w:val="436F7EA2"/>
    <w:rsid w:val="43860D47"/>
    <w:rsid w:val="43C01E7A"/>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ED13093"/>
    <w:rsid w:val="4EF15C0F"/>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564C7F"/>
    <w:rsid w:val="58722B28"/>
    <w:rsid w:val="58776655"/>
    <w:rsid w:val="58B74216"/>
    <w:rsid w:val="58C16652"/>
    <w:rsid w:val="590752B6"/>
    <w:rsid w:val="591F15CA"/>
    <w:rsid w:val="594C00D4"/>
    <w:rsid w:val="596D67DA"/>
    <w:rsid w:val="59760D08"/>
    <w:rsid w:val="599E6993"/>
    <w:rsid w:val="59AC5554"/>
    <w:rsid w:val="5A564466"/>
    <w:rsid w:val="5A902780"/>
    <w:rsid w:val="5A9F4737"/>
    <w:rsid w:val="5AAE2C06"/>
    <w:rsid w:val="5AD459CE"/>
    <w:rsid w:val="5AE8436A"/>
    <w:rsid w:val="5AF80325"/>
    <w:rsid w:val="5B6339F0"/>
    <w:rsid w:val="5BF6561B"/>
    <w:rsid w:val="5BFA4C14"/>
    <w:rsid w:val="5C2A6C04"/>
    <w:rsid w:val="5C3543D2"/>
    <w:rsid w:val="5CE36031"/>
    <w:rsid w:val="5CFC632F"/>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5B6EF3"/>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5816BB"/>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C96E79"/>
    <w:rsid w:val="77E31CE9"/>
    <w:rsid w:val="78376C25"/>
    <w:rsid w:val="78746DE5"/>
    <w:rsid w:val="78A72AF0"/>
    <w:rsid w:val="790F6B0E"/>
    <w:rsid w:val="79134850"/>
    <w:rsid w:val="79200163"/>
    <w:rsid w:val="79261AEA"/>
    <w:rsid w:val="7956473D"/>
    <w:rsid w:val="798661F3"/>
    <w:rsid w:val="799314ED"/>
    <w:rsid w:val="79DD09F8"/>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2"/>
    <w:qFormat/>
    <w:uiPriority w:val="0"/>
    <w:pPr>
      <w:spacing w:before="340" w:afterLines="25" w:line="578" w:lineRule="auto"/>
      <w:outlineLvl w:val="0"/>
    </w:pPr>
    <w:rPr>
      <w:rFonts w:ascii="Arial" w:hAnsi="Arial" w:cs="Times New Roman"/>
      <w:kern w:val="44"/>
      <w:sz w:val="44"/>
      <w:szCs w:val="44"/>
    </w:rPr>
  </w:style>
  <w:style w:type="paragraph" w:styleId="6">
    <w:name w:val="heading 2"/>
    <w:basedOn w:val="4"/>
    <w:next w:val="5"/>
    <w:link w:val="35"/>
    <w:semiHidden/>
    <w:unhideWhenUsed/>
    <w:qFormat/>
    <w:uiPriority w:val="9"/>
    <w:pPr>
      <w:spacing w:line="416" w:lineRule="auto"/>
      <w:outlineLvl w:val="1"/>
    </w:pPr>
    <w:rPr>
      <w:rFonts w:asciiTheme="majorHAnsi" w:hAnsiTheme="majorHAnsi" w:eastAsiaTheme="majorEastAsia" w:cstheme="majorBidi"/>
      <w:sz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4"/>
    <w:semiHidden/>
    <w:unhideWhenUsed/>
    <w:qFormat/>
    <w:uiPriority w:val="99"/>
    <w:rPr>
      <w:rFonts w:ascii="宋体" w:eastAsia="宋体"/>
      <w:sz w:val="18"/>
      <w:szCs w:val="18"/>
    </w:rPr>
  </w:style>
  <w:style w:type="paragraph" w:styleId="11">
    <w:name w:val="annotation text"/>
    <w:basedOn w:val="1"/>
    <w:link w:val="36"/>
    <w:unhideWhenUsed/>
    <w:qFormat/>
    <w:uiPriority w:val="99"/>
    <w:pPr>
      <w:jc w:val="left"/>
    </w:pPr>
  </w:style>
  <w:style w:type="paragraph" w:styleId="12">
    <w:name w:val="Plain Text"/>
    <w:basedOn w:val="1"/>
    <w:qFormat/>
    <w:uiPriority w:val="0"/>
    <w:rPr>
      <w:rFonts w:ascii="宋体" w:hAnsi="Courier New"/>
      <w:szCs w:val="20"/>
    </w:rPr>
  </w:style>
  <w:style w:type="paragraph" w:styleId="13">
    <w:name w:val="Balloon Text"/>
    <w:basedOn w:val="1"/>
    <w:link w:val="30"/>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qFormat/>
    <w:uiPriority w:val="0"/>
    <w:pPr>
      <w:spacing w:line="360" w:lineRule="auto"/>
    </w:pPr>
    <w:rPr>
      <w:sz w:val="24"/>
    </w:rPr>
  </w:style>
  <w:style w:type="paragraph" w:styleId="17">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8">
    <w:name w:val="annotation subject"/>
    <w:basedOn w:val="11"/>
    <w:next w:val="11"/>
    <w:link w:val="38"/>
    <w:semiHidden/>
    <w:unhideWhenUsed/>
    <w:qFormat/>
    <w:uiPriority w:val="99"/>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1"/>
    <w:unhideWhenUsed/>
    <w:qFormat/>
    <w:uiPriority w:val="99"/>
    <w:rPr>
      <w:color w:val="0000FF"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字符"/>
    <w:basedOn w:val="21"/>
    <w:link w:val="15"/>
    <w:qFormat/>
    <w:uiPriority w:val="99"/>
    <w:rPr>
      <w:sz w:val="18"/>
      <w:szCs w:val="18"/>
    </w:rPr>
  </w:style>
  <w:style w:type="character" w:customStyle="1" w:styleId="29">
    <w:name w:val="页脚 字符"/>
    <w:basedOn w:val="21"/>
    <w:link w:val="14"/>
    <w:qFormat/>
    <w:uiPriority w:val="99"/>
    <w:rPr>
      <w:sz w:val="18"/>
      <w:szCs w:val="18"/>
    </w:rPr>
  </w:style>
  <w:style w:type="character" w:customStyle="1" w:styleId="30">
    <w:name w:val="批注框文本 字符"/>
    <w:basedOn w:val="21"/>
    <w:link w:val="13"/>
    <w:semiHidden/>
    <w:qFormat/>
    <w:uiPriority w:val="99"/>
    <w:rPr>
      <w:sz w:val="18"/>
      <w:szCs w:val="18"/>
    </w:rPr>
  </w:style>
  <w:style w:type="character" w:customStyle="1" w:styleId="31">
    <w:name w:val="普通(网站) 字符"/>
    <w:link w:val="17"/>
    <w:qFormat/>
    <w:uiPriority w:val="99"/>
    <w:rPr>
      <w:rFonts w:ascii="宋体" w:hAnsi="宋体"/>
      <w:sz w:val="24"/>
      <w:szCs w:val="24"/>
    </w:rPr>
  </w:style>
  <w:style w:type="character" w:customStyle="1" w:styleId="32">
    <w:name w:val="标题 1 字符"/>
    <w:basedOn w:val="21"/>
    <w:link w:val="3"/>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字符"/>
    <w:basedOn w:val="21"/>
    <w:link w:val="10"/>
    <w:semiHidden/>
    <w:qFormat/>
    <w:uiPriority w:val="99"/>
    <w:rPr>
      <w:rFonts w:ascii="宋体" w:eastAsia="宋体"/>
      <w:sz w:val="18"/>
      <w:szCs w:val="18"/>
    </w:rPr>
  </w:style>
  <w:style w:type="character" w:customStyle="1" w:styleId="35">
    <w:name w:val="标题 2 字符"/>
    <w:basedOn w:val="21"/>
    <w:link w:val="6"/>
    <w:semiHidden/>
    <w:qFormat/>
    <w:uiPriority w:val="9"/>
    <w:rPr>
      <w:rFonts w:asciiTheme="majorHAnsi" w:hAnsiTheme="majorHAnsi" w:eastAsiaTheme="majorEastAsia" w:cstheme="majorBidi"/>
      <w:b/>
      <w:bCs/>
      <w:sz w:val="32"/>
      <w:szCs w:val="32"/>
    </w:rPr>
  </w:style>
  <w:style w:type="character" w:customStyle="1" w:styleId="36">
    <w:name w:val="批注文字 字符"/>
    <w:basedOn w:val="21"/>
    <w:link w:val="11"/>
    <w:qFormat/>
    <w:uiPriority w:val="99"/>
  </w:style>
  <w:style w:type="character" w:customStyle="1" w:styleId="37">
    <w:name w:val="标题 3 Char"/>
    <w:qFormat/>
    <w:uiPriority w:val="0"/>
    <w:rPr>
      <w:rFonts w:ascii="黑体" w:eastAsia="黑体"/>
      <w:bCs/>
      <w:sz w:val="30"/>
    </w:rPr>
  </w:style>
  <w:style w:type="character" w:customStyle="1" w:styleId="38">
    <w:name w:val="批注主题 字符"/>
    <w:basedOn w:val="36"/>
    <w:link w:val="18"/>
    <w:semiHidden/>
    <w:qFormat/>
    <w:uiPriority w:val="99"/>
    <w:rPr>
      <w:b/>
      <w:bCs/>
    </w:rPr>
  </w:style>
  <w:style w:type="table" w:customStyle="1" w:styleId="39">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font51"/>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10157</Words>
  <Characters>10835</Characters>
  <Lines>2183</Lines>
  <Paragraphs>2131</Paragraphs>
  <TotalTime>47</TotalTime>
  <ScaleCrop>false</ScaleCrop>
  <LinksUpToDate>false</LinksUpToDate>
  <CharactersWithSpaces>10952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41442</dc:creator>
  <cp:lastModifiedBy>青山绿水</cp:lastModifiedBy>
  <cp:lastPrinted>2021-01-15T01:17:00Z</cp:lastPrinted>
  <dcterms:modified xsi:type="dcterms:W3CDTF">2025-08-28T08:28:23Z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5130F52DA19B47E99DE9570775307C5B_13</vt:lpwstr>
  </property>
  <property fmtid="{D5CDD505-2E9C-101B-9397-08002B2CF9AE}" pid="4" name="KSOTemplateDocerSaveRecord">
    <vt:lpwstr>eyJoZGlkIjoiNDk2Y2NjMTA2OGY2YzgxNDNlNTNhZjEzMjRhOTZiNTEiLCJ1c2VySWQiOiIxMjIxNjY0MDUyIn0=</vt:lpwstr>
  </property>
</Properties>
</file>