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olor w:val="FF0000"/>
          <w:szCs w:val="21"/>
        </w:rPr>
      </w:pPr>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pPr>
        <w:pStyle w:val="38"/>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pPr>
        <w:rPr>
          <w:rFonts w:hint="eastAsia" w:ascii="黑体" w:hAnsi="宋体" w:eastAsia="黑体" w:cs="黑体"/>
          <w:kern w:val="0"/>
          <w:sz w:val="40"/>
          <w:szCs w:val="40"/>
        </w:rPr>
      </w:pPr>
    </w:p>
    <w:p>
      <w:pPr>
        <w:widowControl/>
        <w:spacing w:beforeAutospacing="1" w:afterAutospacing="1"/>
        <w:jc w:val="center"/>
        <w:outlineLvl w:val="1"/>
        <w:rPr>
          <w:rFonts w:ascii="黑体" w:hAnsi="宋体" w:eastAsia="黑体" w:cs="黑体"/>
          <w:kern w:val="0"/>
          <w:sz w:val="40"/>
          <w:szCs w:val="40"/>
        </w:rPr>
      </w:pPr>
      <w:r>
        <w:rPr>
          <w:rFonts w:hint="eastAsia" w:ascii="黑体" w:hAnsi="宋体" w:eastAsia="黑体" w:cs="黑体"/>
          <w:kern w:val="0"/>
          <w:sz w:val="40"/>
          <w:szCs w:val="40"/>
        </w:rPr>
        <w:t>招标文件信息</w:t>
      </w:r>
    </w:p>
    <w:tbl>
      <w:tblPr>
        <w:tblStyle w:val="19"/>
        <w:tblW w:w="7943" w:type="dxa"/>
        <w:jc w:val="center"/>
        <w:tblCellSpacing w:w="0" w:type="dxa"/>
        <w:tblLayout w:type="fixed"/>
        <w:tblCellMar>
          <w:top w:w="45" w:type="dxa"/>
          <w:left w:w="45" w:type="dxa"/>
          <w:bottom w:w="45" w:type="dxa"/>
          <w:right w:w="45" w:type="dxa"/>
        </w:tblCellMar>
      </w:tblPr>
      <w:tblGrid>
        <w:gridCol w:w="2723"/>
        <w:gridCol w:w="5220"/>
      </w:tblGrid>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pPr>
              <w:widowControl/>
              <w:jc w:val="left"/>
              <w:rPr>
                <w:sz w:val="30"/>
                <w:szCs w:val="30"/>
              </w:rPr>
            </w:pPr>
            <w:r>
              <w:rPr>
                <w:rFonts w:hint="eastAsia" w:asciiTheme="minorEastAsia" w:hAnsiTheme="minorEastAsia"/>
                <w:sz w:val="30"/>
                <w:szCs w:val="30"/>
              </w:rPr>
              <w:t>BAZXCG-2025-00378</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pPr>
              <w:widowControl/>
              <w:jc w:val="left"/>
              <w:rPr>
                <w:sz w:val="30"/>
                <w:szCs w:val="30"/>
              </w:rPr>
            </w:pPr>
            <w:r>
              <w:rPr>
                <w:rFonts w:hint="eastAsia" w:asciiTheme="minorEastAsia" w:hAnsiTheme="minorEastAsia"/>
                <w:sz w:val="30"/>
                <w:szCs w:val="30"/>
              </w:rPr>
              <w:t>深圳市宝安区教育局2025年宝安区公办学校食堂承包运营情况专项审计服务项目</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包 号：</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A</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pPr>
              <w:widowControl/>
              <w:jc w:val="left"/>
              <w:rPr>
                <w:sz w:val="30"/>
                <w:szCs w:val="30"/>
              </w:rPr>
            </w:pPr>
            <w:r>
              <w:rPr>
                <w:rFonts w:hint="eastAsia" w:ascii="宋体" w:hAnsi="宋体" w:cs="宋体"/>
                <w:kern w:val="0"/>
                <w:sz w:val="30"/>
                <w:szCs w:val="30"/>
                <w:lang w:bidi="ar"/>
              </w:rPr>
              <w:t>服务</w:t>
            </w:r>
            <w:r>
              <w:rPr>
                <w:rFonts w:ascii="宋体" w:hAnsi="宋体" w:cs="宋体"/>
                <w:kern w:val="0"/>
                <w:sz w:val="30"/>
                <w:szCs w:val="30"/>
                <w:lang w:bidi="ar"/>
              </w:rPr>
              <w:t>类</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公开招标</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人民币</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综合评分法</w:t>
            </w:r>
          </w:p>
        </w:tc>
      </w:tr>
    </w:tbl>
    <w:p>
      <w:pPr>
        <w:pStyle w:val="15"/>
        <w:jc w:val="center"/>
        <w:outlineLvl w:val="9"/>
        <w:rPr>
          <w:rFonts w:hint="eastAsia" w:ascii="黑体" w:hAnsi="黑体" w:eastAsia="黑体"/>
          <w:sz w:val="40"/>
          <w:szCs w:val="40"/>
        </w:rPr>
      </w:pPr>
    </w:p>
    <w:p>
      <w:pPr>
        <w:pStyle w:val="15"/>
        <w:jc w:val="center"/>
        <w:outlineLvl w:val="1"/>
        <w:rPr>
          <w:rFonts w:hint="eastAsia" w:ascii="黑体" w:hAnsi="黑体" w:eastAsia="黑体"/>
          <w:sz w:val="40"/>
          <w:szCs w:val="40"/>
        </w:rPr>
        <w:sectPr>
          <w:headerReference r:id="rId3" w:type="first"/>
          <w:footerReference r:id="rId4" w:type="default"/>
          <w:footerReference r:id="rId5" w:type="even"/>
          <w:pgSz w:w="11907" w:h="16840"/>
          <w:pgMar w:top="1440" w:right="1417" w:bottom="1440" w:left="1417" w:header="851" w:footer="992" w:gutter="0"/>
          <w:cols w:space="425" w:num="1"/>
          <w:titlePg/>
          <w:docGrid w:linePitch="462" w:charSpace="0"/>
        </w:sectPr>
      </w:pPr>
    </w:p>
    <w:p>
      <w:pPr>
        <w:pStyle w:val="15"/>
        <w:jc w:val="center"/>
        <w:outlineLvl w:val="1"/>
        <w:rPr>
          <w:rFonts w:ascii="黑体" w:hAnsi="黑体" w:eastAsia="黑体"/>
          <w:sz w:val="40"/>
          <w:szCs w:val="40"/>
        </w:rPr>
      </w:pPr>
      <w:r>
        <w:rPr>
          <w:rFonts w:hint="eastAsia" w:ascii="黑体" w:hAnsi="黑体" w:eastAsia="黑体"/>
          <w:sz w:val="40"/>
          <w:szCs w:val="40"/>
        </w:rPr>
        <w:t>资格性审查表</w:t>
      </w:r>
    </w:p>
    <w:tbl>
      <w:tblPr>
        <w:tblStyle w:val="19"/>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7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hAnsi="宋体" w:cs="宋体"/>
                <w:sz w:val="28"/>
                <w:szCs w:val="28"/>
              </w:rPr>
            </w:pPr>
            <w:r>
              <w:rPr>
                <w:sz w:val="28"/>
                <w:szCs w:val="28"/>
              </w:rPr>
              <w:t>序号</w:t>
            </w:r>
          </w:p>
        </w:tc>
        <w:tc>
          <w:tcPr>
            <w:tcW w:w="8278" w:type="dxa"/>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hAnsi="宋体" w:cs="宋体"/>
                <w:sz w:val="28"/>
                <w:szCs w:val="28"/>
              </w:rPr>
            </w:pPr>
            <w:r>
              <w:rPr>
                <w:sz w:val="28"/>
                <w:szCs w:val="28"/>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1</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pPr>
        <w:pStyle w:val="15"/>
        <w:spacing w:before="280"/>
        <w:jc w:val="center"/>
        <w:outlineLvl w:val="1"/>
        <w:rPr>
          <w:rFonts w:ascii="黑体" w:hAnsi="黑体" w:eastAsia="黑体"/>
          <w:sz w:val="40"/>
          <w:szCs w:val="40"/>
        </w:rPr>
      </w:pPr>
      <w:r>
        <w:rPr>
          <w:rFonts w:hint="eastAsia" w:ascii="黑体" w:hAnsi="黑体" w:eastAsia="黑体"/>
          <w:sz w:val="40"/>
          <w:szCs w:val="40"/>
        </w:rPr>
        <w:t>符合性审查表</w:t>
      </w:r>
    </w:p>
    <w:tbl>
      <w:tblPr>
        <w:tblStyle w:val="19"/>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7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hAnsi="宋体" w:cs="宋体"/>
                <w:sz w:val="28"/>
                <w:szCs w:val="28"/>
              </w:rPr>
            </w:pPr>
            <w:r>
              <w:rPr>
                <w:sz w:val="28"/>
                <w:szCs w:val="28"/>
              </w:rPr>
              <w:t>序号</w:t>
            </w:r>
          </w:p>
        </w:tc>
        <w:tc>
          <w:tcPr>
            <w:tcW w:w="8278" w:type="dxa"/>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hAnsi="宋体" w:cs="宋体"/>
                <w:sz w:val="28"/>
                <w:szCs w:val="28"/>
              </w:rPr>
            </w:pPr>
            <w:r>
              <w:rPr>
                <w:sz w:val="28"/>
                <w:szCs w:val="28"/>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1</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lang w:val="en-US" w:eastAsia="zh-CN"/>
              </w:rPr>
              <w:t>不得</w:t>
            </w:r>
            <w:r>
              <w:rPr>
                <w:rFonts w:hint="eastAsia"/>
              </w:rPr>
              <w:t>将一个包的内容拆开投标；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2</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3</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分项报价或投标总价</w:t>
            </w:r>
            <w:r>
              <w:rPr>
                <w:rFonts w:hint="eastAsia"/>
                <w:lang w:val="en-US" w:eastAsia="zh-CN"/>
              </w:rPr>
              <w:t>不得</w:t>
            </w:r>
            <w:r>
              <w:rPr>
                <w:rFonts w:hint="eastAsia"/>
              </w:rPr>
              <w:t>高于相应预算金额（或设定的预算金额下的最高限价）；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4</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5</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所投货物、服务在技术、商务等方面没有实质性满足招标文件要求的（是否实质性满足招标文件要求，由评审委员会根据实质性条款响应情况做出评判；若招标文件未设置实质性条款，不得据此做投标无效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6</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7</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color w:val="auto"/>
                <w:lang w:val="en-US" w:eastAsia="zh-CN"/>
              </w:rPr>
              <w:t>采购标的/服务</w:t>
            </w:r>
            <w:r>
              <w:rPr>
                <w:rFonts w:hint="eastAsia" w:ascii="Times New Roman" w:eastAsia="宋体"/>
                <w:color w:val="auto"/>
                <w:lang w:val="en-US" w:eastAsia="zh-CN"/>
              </w:rPr>
              <w:t>清单</w:t>
            </w:r>
            <w:r>
              <w:rPr>
                <w:rFonts w:hint="eastAsia"/>
                <w:color w:val="auto"/>
                <w:lang w:val="en-US" w:eastAsia="zh-CN"/>
              </w:rPr>
              <w:t>/报价等任意一类</w:t>
            </w:r>
            <w:r>
              <w:rPr>
                <w:rFonts w:hint="eastAsia" w:ascii="Times New Roman" w:eastAsia="宋体"/>
                <w:color w:val="auto"/>
                <w:lang w:val="en-US" w:eastAsia="zh-CN"/>
              </w:rPr>
              <w:t>有缺漏项或响应不全</w:t>
            </w:r>
            <w:r>
              <w:rPr>
                <w:rFonts w:hint="eastAsia"/>
                <w:color w:val="auto"/>
                <w:lang w:val="en-US" w:eastAsia="zh-CN"/>
              </w:rPr>
              <w:t>，</w:t>
            </w:r>
            <w:r>
              <w:rPr>
                <w:rFonts w:hint="eastAsia"/>
              </w:rPr>
              <w:t>或者对招标文件规定的项目需求内容或者需求数量进行修改</w:t>
            </w:r>
            <w:r>
              <w:rPr>
                <w:rFonts w:hint="eastAsia"/>
                <w:szCs w:val="21"/>
              </w:rPr>
              <w:t>，评审委员会判定投标响应不满足采购需求</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8</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投标文件存在列放位置错误，导致属于信息公开情形的没有被公开；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9</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投标文件电子文档</w:t>
            </w:r>
            <w:r>
              <w:rPr>
                <w:rFonts w:hint="eastAsia"/>
                <w:lang w:val="en-US" w:eastAsia="zh-CN"/>
              </w:rPr>
              <w:t>不得</w:t>
            </w:r>
            <w:r>
              <w:rPr>
                <w:rFonts w:hint="eastAsia"/>
              </w:rPr>
              <w:t>带病毒；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ascii="宋体" w:hAnsi="宋体" w:cs="宋体"/>
                <w:szCs w:val="21"/>
              </w:rPr>
            </w:pPr>
            <w:r>
              <w:rPr>
                <w:szCs w:val="21"/>
              </w:rPr>
              <w:t>10</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投标文件用不属于本公司的电子密钥或电子营业执照进行加密的；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top"/>
          </w:tcPr>
          <w:p>
            <w:pPr>
              <w:widowControl/>
              <w:jc w:val="center"/>
              <w:textAlignment w:val="top"/>
              <w:rPr>
                <w:rFonts w:ascii="宋体" w:hAnsi="宋体" w:cs="宋体"/>
                <w:szCs w:val="21"/>
              </w:rPr>
            </w:pPr>
            <w:r>
              <w:rPr>
                <w:rFonts w:hint="eastAsia"/>
                <w:szCs w:val="24"/>
                <w:lang w:val="en-US" w:eastAsia="zh-CN"/>
              </w:rPr>
              <w:t>11</w:t>
            </w:r>
          </w:p>
        </w:tc>
        <w:tc>
          <w:tcPr>
            <w:tcW w:w="8278" w:type="dxa"/>
            <w:tcBorders>
              <w:top w:val="single" w:color="000000" w:sz="8" w:space="0"/>
              <w:left w:val="single" w:color="000000" w:sz="8" w:space="0"/>
              <w:bottom w:val="single" w:color="000000" w:sz="8" w:space="0"/>
              <w:right w:val="single" w:color="000000" w:sz="8" w:space="0"/>
            </w:tcBorders>
            <w:vAlign w:val="top"/>
          </w:tcPr>
          <w:p>
            <w:pPr>
              <w:widowControl/>
              <w:jc w:val="left"/>
              <w:textAlignment w:val="top"/>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top"/>
          </w:tcPr>
          <w:p>
            <w:pPr>
              <w:widowControl/>
              <w:jc w:val="center"/>
              <w:textAlignment w:val="top"/>
              <w:rPr>
                <w:rFonts w:ascii="宋体" w:hAnsi="宋体" w:cs="宋体"/>
                <w:szCs w:val="21"/>
              </w:rPr>
            </w:pPr>
            <w:r>
              <w:rPr>
                <w:rFonts w:hint="eastAsia"/>
                <w:szCs w:val="24"/>
                <w:lang w:val="en-US" w:eastAsia="zh-CN"/>
              </w:rPr>
              <w:t>12</w:t>
            </w:r>
          </w:p>
        </w:tc>
        <w:tc>
          <w:tcPr>
            <w:tcW w:w="8278" w:type="dxa"/>
            <w:tcBorders>
              <w:top w:val="single" w:color="000000" w:sz="8" w:space="0"/>
              <w:left w:val="single" w:color="000000" w:sz="8" w:space="0"/>
              <w:bottom w:val="single" w:color="000000" w:sz="8" w:space="0"/>
              <w:right w:val="single" w:color="000000" w:sz="8" w:space="0"/>
            </w:tcBorders>
            <w:vAlign w:val="top"/>
          </w:tcPr>
          <w:p>
            <w:pPr>
              <w:widowControl/>
              <w:jc w:val="left"/>
              <w:textAlignment w:val="top"/>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jc w:val="center"/>
              <w:rPr>
                <w:rFonts w:hint="eastAsia" w:ascii="宋体" w:hAnsi="宋体" w:eastAsia="宋体" w:cs="宋体"/>
                <w:szCs w:val="21"/>
                <w:lang w:eastAsia="zh-CN"/>
              </w:rPr>
            </w:pPr>
            <w:r>
              <w:rPr>
                <w:szCs w:val="21"/>
              </w:rPr>
              <w:t>1</w:t>
            </w:r>
            <w:r>
              <w:rPr>
                <w:rFonts w:hint="eastAsia"/>
                <w:szCs w:val="21"/>
                <w:lang w:val="en-US" w:eastAsia="zh-CN"/>
              </w:rPr>
              <w:t>3</w:t>
            </w:r>
          </w:p>
        </w:tc>
        <w:tc>
          <w:tcPr>
            <w:tcW w:w="8278" w:type="dxa"/>
            <w:tcBorders>
              <w:top w:val="single" w:color="000000" w:sz="8" w:space="0"/>
              <w:left w:val="single" w:color="000000" w:sz="8" w:space="0"/>
              <w:bottom w:val="single" w:color="000000" w:sz="8" w:space="0"/>
              <w:right w:val="single" w:color="000000" w:sz="8" w:space="0"/>
            </w:tcBorders>
          </w:tcPr>
          <w:p>
            <w:pPr>
              <w:rPr>
                <w:rFonts w:ascii="宋体" w:hAnsi="宋体" w:cs="宋体"/>
                <w:szCs w:val="21"/>
              </w:rPr>
            </w:pPr>
            <w:r>
              <w:rPr>
                <w:rFonts w:hint="eastAsia"/>
              </w:rPr>
              <w:t>法律、法规、规章、规范性文件规定的其他情形。</w:t>
            </w:r>
          </w:p>
        </w:tc>
      </w:tr>
    </w:tbl>
    <w:p>
      <w:pPr>
        <w:pStyle w:val="15"/>
        <w:jc w:val="center"/>
        <w:outlineLvl w:val="9"/>
        <w:rPr>
          <w:rFonts w:hint="eastAsia" w:ascii="黑体" w:hAnsi="黑体" w:eastAsia="黑体"/>
          <w:sz w:val="40"/>
          <w:szCs w:val="40"/>
        </w:rPr>
      </w:pPr>
    </w:p>
    <w:p>
      <w:pPr>
        <w:pStyle w:val="15"/>
        <w:jc w:val="center"/>
        <w:outlineLvl w:val="1"/>
        <w:rPr>
          <w:rFonts w:hint="eastAsia" w:ascii="黑体" w:hAnsi="黑体" w:eastAsia="黑体"/>
          <w:sz w:val="40"/>
          <w:szCs w:val="40"/>
        </w:rPr>
        <w:sectPr>
          <w:pgSz w:w="11907" w:h="16840"/>
          <w:pgMar w:top="1440" w:right="1417" w:bottom="1440" w:left="1417" w:header="851" w:footer="992" w:gutter="0"/>
          <w:cols w:space="425" w:num="1"/>
          <w:titlePg/>
          <w:docGrid w:linePitch="462" w:charSpace="0"/>
        </w:sectPr>
      </w:pPr>
    </w:p>
    <w:p>
      <w:pPr>
        <w:pStyle w:val="15"/>
        <w:jc w:val="center"/>
        <w:outlineLvl w:val="1"/>
        <w:rPr>
          <w:rFonts w:ascii="黑体" w:hAnsi="黑体" w:eastAsia="黑体"/>
          <w:sz w:val="40"/>
          <w:szCs w:val="40"/>
        </w:rPr>
      </w:pPr>
      <w:r>
        <w:rPr>
          <w:rFonts w:hint="eastAsia" w:ascii="黑体" w:hAnsi="黑体" w:eastAsia="黑体"/>
          <w:sz w:val="40"/>
          <w:szCs w:val="40"/>
        </w:rPr>
        <w:t>评标信息</w:t>
      </w:r>
    </w:p>
    <w:tbl>
      <w:tblPr>
        <w:tblStyle w:val="19"/>
        <w:tblW w:w="9113"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8873"/>
        <w:gridCol w:w="24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tblCellSpacing w:w="0" w:type="dxa"/>
          <w:jc w:val="center"/>
        </w:trPr>
        <w:tc>
          <w:tcPr>
            <w:tcW w:w="8873" w:type="dxa"/>
            <w:shd w:val="clear" w:color="auto" w:fill="auto"/>
            <w:vAlign w:val="center"/>
          </w:tcPr>
          <w:p>
            <w:pPr>
              <w:widowControl/>
              <w:jc w:val="left"/>
              <w:rPr>
                <w:b/>
                <w:bCs/>
                <w:sz w:val="24"/>
              </w:rPr>
            </w:pPr>
            <w:r>
              <w:rPr>
                <w:b/>
                <w:bCs/>
              </w:rPr>
              <w:t>评标方法：</w:t>
            </w:r>
            <w:r>
              <w:rPr>
                <w:b/>
                <w:bCs/>
                <w:strike w:val="0"/>
                <w:dstrike w:val="0"/>
              </w:rPr>
              <w:t>综合评分法</w:t>
            </w:r>
          </w:p>
        </w:tc>
        <w:tc>
          <w:tcPr>
            <w:tcW w:w="240" w:type="dxa"/>
            <w:shd w:val="clear" w:color="auto" w:fill="auto"/>
            <w:vAlign w:val="center"/>
          </w:tcPr>
          <w:p>
            <w:pPr>
              <w:jc w:val="right"/>
              <w:rPr>
                <w:rFonts w:ascii="宋体"/>
                <w:b/>
                <w:bCs/>
                <w:sz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tblCellSpacing w:w="0" w:type="dxa"/>
          <w:jc w:val="center"/>
        </w:trPr>
        <w:tc>
          <w:tcPr>
            <w:tcW w:w="9113"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综合评分法，是指投标文件满足招标文件全部实质性要求，且按照评审因素的量化指标评审得分最高的投标人为中标候选人的评标方法。</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pPr>
              <w:ind w:firstLine="422" w:firstLineChars="200"/>
              <w:rPr>
                <w:rFonts w:ascii="Times New Roman" w:hAnsi="Times New Roman" w:eastAsia="宋体" w:cs="Times New Roman"/>
                <w:kern w:val="0"/>
                <w:sz w:val="24"/>
                <w:szCs w:val="24"/>
                <w:lang w:val="en-US" w:eastAsia="zh-CN" w:bidi="ar-SA"/>
              </w:rPr>
            </w:pPr>
            <w:r>
              <w:rPr>
                <w:rFonts w:hint="eastAsia"/>
                <w:b/>
                <w:bCs/>
                <w:color w:val="FF0000"/>
              </w:rPr>
              <w:t>注：投标人的“投标技术响应”“技术要求偏离表中偏离情况”等必须与客观实际保持一致，响应不实且情节严重的，经查实，将依法记入供应商诚信档案或受到行政处罚。</w:t>
            </w:r>
          </w:p>
        </w:tc>
      </w:tr>
    </w:tbl>
    <w:p>
      <w:pPr>
        <w:rPr>
          <w:vanish/>
        </w:rPr>
      </w:pPr>
    </w:p>
    <w:tbl>
      <w:tblPr>
        <w:tblStyle w:val="19"/>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680"/>
        <w:gridCol w:w="680"/>
        <w:gridCol w:w="2835"/>
        <w:gridCol w:w="681"/>
        <w:gridCol w:w="419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tcBorders>
              <w:top w:val="single" w:color="000000" w:sz="8" w:space="0"/>
              <w:left w:val="single" w:color="000000" w:sz="8" w:space="0"/>
              <w:bottom w:val="single" w:color="000000" w:sz="8" w:space="0"/>
              <w:right w:val="single" w:color="000000" w:sz="8" w:space="0"/>
            </w:tcBorders>
            <w:shd w:val="clear" w:color="auto" w:fill="E6EFFA"/>
            <w:vAlign w:val="center"/>
          </w:tcPr>
          <w:p>
            <w:pPr>
              <w:wordWrap w:val="0"/>
              <w:jc w:val="center"/>
              <w:rPr>
                <w:rFonts w:ascii="宋体" w:hAnsi="宋体" w:cs="宋体"/>
                <w:b/>
                <w:bCs/>
                <w:sz w:val="24"/>
              </w:rPr>
            </w:pPr>
            <w:r>
              <w:rPr>
                <w:b/>
                <w:bCs/>
              </w:rPr>
              <w:t>序号</w:t>
            </w:r>
          </w:p>
        </w:tc>
        <w:tc>
          <w:tcPr>
            <w:tcW w:w="4196"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pPr>
              <w:wordWrap w:val="0"/>
              <w:jc w:val="center"/>
              <w:rPr>
                <w:rFonts w:ascii="宋体" w:hAnsi="宋体" w:cs="宋体"/>
                <w:b/>
                <w:bCs/>
                <w:sz w:val="24"/>
              </w:rPr>
            </w:pPr>
            <w:r>
              <w:rPr>
                <w:b/>
                <w:bCs/>
              </w:rPr>
              <w:t>评分项</w:t>
            </w:r>
          </w:p>
        </w:tc>
        <w:tc>
          <w:tcPr>
            <w:tcW w:w="4196" w:type="dxa"/>
            <w:tcBorders>
              <w:top w:val="single" w:color="000000" w:sz="8" w:space="0"/>
              <w:left w:val="single" w:color="000000" w:sz="8" w:space="0"/>
              <w:bottom w:val="single" w:color="000000" w:sz="8" w:space="0"/>
              <w:right w:val="single" w:color="000000" w:sz="8" w:space="0"/>
            </w:tcBorders>
            <w:shd w:val="clear" w:color="auto" w:fill="E6EFFA"/>
            <w:vAlign w:val="center"/>
          </w:tcPr>
          <w:p>
            <w:pPr>
              <w:wordWrap w:val="0"/>
              <w:jc w:val="center"/>
              <w:rPr>
                <w:rFonts w:ascii="宋体" w:hAnsi="宋体" w:cs="宋体"/>
                <w:b/>
                <w:bCs/>
                <w:sz w:val="24"/>
              </w:rPr>
            </w:pPr>
            <w:r>
              <w:rPr>
                <w:b/>
                <w:bCs/>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bottom w:val="single" w:color="000000" w:sz="8" w:space="0"/>
              <w:right w:val="single" w:color="000000" w:sz="8" w:space="0"/>
            </w:tcBorders>
          </w:tcPr>
          <w:p>
            <w:pPr>
              <w:wordWrap w:val="0"/>
              <w:jc w:val="center"/>
              <w:rPr>
                <w:rFonts w:ascii="宋体" w:hAnsi="宋体" w:cs="宋体"/>
                <w:b/>
                <w:bCs/>
                <w:color w:val="0000FF"/>
                <w:sz w:val="24"/>
              </w:rPr>
            </w:pPr>
            <w:r>
              <w:rPr>
                <w:b/>
                <w:bCs/>
                <w:color w:val="0000FF"/>
              </w:rPr>
              <w:t>1</w:t>
            </w:r>
          </w:p>
        </w:tc>
        <w:tc>
          <w:tcPr>
            <w:tcW w:w="4196" w:type="dxa"/>
            <w:gridSpan w:val="3"/>
            <w:tcBorders>
              <w:top w:val="single" w:color="000000" w:sz="8" w:space="0"/>
              <w:left w:val="single" w:color="000000" w:sz="8" w:space="0"/>
              <w:bottom w:val="single" w:color="000000" w:sz="8" w:space="0"/>
              <w:right w:val="single" w:color="000000" w:sz="8" w:space="0"/>
            </w:tcBorders>
          </w:tcPr>
          <w:p>
            <w:pPr>
              <w:wordWrap w:val="0"/>
              <w:jc w:val="center"/>
              <w:rPr>
                <w:rFonts w:ascii="宋体" w:hAnsi="宋体" w:cs="宋体"/>
                <w:b/>
                <w:bCs/>
                <w:color w:val="0000FF"/>
                <w:sz w:val="24"/>
              </w:rPr>
            </w:pPr>
            <w:r>
              <w:rPr>
                <w:b/>
                <w:bCs/>
                <w:color w:val="0000FF"/>
              </w:rPr>
              <w:t>价格</w:t>
            </w:r>
          </w:p>
        </w:tc>
        <w:tc>
          <w:tcPr>
            <w:tcW w:w="4196" w:type="dxa"/>
            <w:tcBorders>
              <w:top w:val="single" w:color="000000" w:sz="8" w:space="0"/>
              <w:left w:val="single" w:color="000000" w:sz="8" w:space="0"/>
              <w:bottom w:val="single" w:color="000000" w:sz="8" w:space="0"/>
              <w:right w:val="single" w:color="000000" w:sz="8" w:space="0"/>
            </w:tcBorders>
          </w:tcPr>
          <w:p>
            <w:pPr>
              <w:wordWrap w:val="0"/>
              <w:jc w:val="center"/>
              <w:rPr>
                <w:rFonts w:ascii="宋体" w:hAnsi="宋体" w:cs="宋体"/>
                <w:b/>
                <w:bCs/>
                <w:color w:val="0000FF"/>
                <w:sz w:val="24"/>
              </w:rPr>
            </w:pPr>
            <w:r>
              <w:rPr>
                <w:rFonts w:hint="eastAsia"/>
                <w:b/>
                <w:bCs/>
                <w:color w:val="0000FF"/>
              </w:rPr>
              <w:t>1</w:t>
            </w:r>
            <w:r>
              <w:rPr>
                <w:b/>
                <w:bCs/>
                <w:color w:val="0000FF"/>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8392" w:type="dxa"/>
            <w:gridSpan w:val="4"/>
            <w:tcBorders>
              <w:top w:val="single" w:color="000000" w:sz="8" w:space="0"/>
              <w:left w:val="single" w:color="000000" w:sz="8" w:space="0"/>
              <w:bottom w:val="single" w:color="000000" w:sz="8" w:space="0"/>
              <w:right w:val="single" w:color="000000" w:sz="8" w:space="0"/>
            </w:tcBorders>
          </w:tcPr>
          <w:p>
            <w:pPr>
              <w:wordWrap w:val="0"/>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bottom w:val="single" w:color="000000" w:sz="8" w:space="0"/>
              <w:right w:val="single" w:color="000000" w:sz="8" w:space="0"/>
            </w:tcBorders>
          </w:tcPr>
          <w:p>
            <w:pPr>
              <w:wordWrap w:val="0"/>
              <w:jc w:val="center"/>
              <w:rPr>
                <w:rFonts w:ascii="宋体" w:hAnsi="宋体" w:cs="宋体"/>
                <w:b/>
                <w:bCs/>
                <w:color w:val="0000FF"/>
                <w:sz w:val="24"/>
              </w:rPr>
            </w:pPr>
            <w:r>
              <w:rPr>
                <w:b/>
                <w:bCs/>
                <w:color w:val="0000FF"/>
              </w:rPr>
              <w:t>2</w:t>
            </w:r>
          </w:p>
        </w:tc>
        <w:tc>
          <w:tcPr>
            <w:tcW w:w="4196" w:type="dxa"/>
            <w:gridSpan w:val="3"/>
            <w:tcBorders>
              <w:top w:val="single" w:color="000000" w:sz="8" w:space="0"/>
              <w:left w:val="single" w:color="000000" w:sz="8" w:space="0"/>
              <w:bottom w:val="single" w:color="000000" w:sz="8" w:space="0"/>
              <w:right w:val="single" w:color="000000" w:sz="8" w:space="0"/>
            </w:tcBorders>
          </w:tcPr>
          <w:p>
            <w:pPr>
              <w:wordWrap w:val="0"/>
              <w:jc w:val="center"/>
              <w:rPr>
                <w:rFonts w:ascii="宋体" w:hAnsi="宋体" w:cs="宋体"/>
                <w:b/>
                <w:bCs/>
                <w:color w:val="0000FF"/>
                <w:sz w:val="24"/>
              </w:rPr>
            </w:pPr>
            <w:r>
              <w:rPr>
                <w:b/>
                <w:bCs/>
                <w:color w:val="0000FF"/>
              </w:rPr>
              <w:t>技术</w:t>
            </w:r>
            <w:r>
              <w:rPr>
                <w:rFonts w:hint="eastAsia"/>
                <w:b/>
                <w:bCs/>
                <w:color w:val="0000FF"/>
              </w:rPr>
              <w:t>部分</w:t>
            </w:r>
          </w:p>
        </w:tc>
        <w:tc>
          <w:tcPr>
            <w:tcW w:w="4196" w:type="dxa"/>
            <w:tcBorders>
              <w:top w:val="single" w:color="000000" w:sz="8" w:space="0"/>
              <w:left w:val="single" w:color="000000" w:sz="8" w:space="0"/>
              <w:bottom w:val="single" w:color="000000" w:sz="8" w:space="0"/>
              <w:right w:val="single" w:color="000000" w:sz="8" w:space="0"/>
            </w:tcBorders>
          </w:tcPr>
          <w:p>
            <w:pPr>
              <w:wordWrap w:val="0"/>
              <w:jc w:val="center"/>
              <w:rPr>
                <w:rFonts w:hint="default" w:ascii="宋体" w:hAnsi="宋体" w:cs="宋体" w:eastAsiaTheme="minorEastAsia"/>
                <w:b/>
                <w:bCs/>
                <w:color w:val="0000FF"/>
                <w:sz w:val="24"/>
                <w:lang w:val="en-US" w:eastAsia="zh-CN"/>
              </w:rPr>
            </w:pPr>
            <w:r>
              <w:rPr>
                <w:rFonts w:hint="eastAsia" w:ascii="宋体" w:hAnsi="宋体" w:cs="宋体"/>
                <w:b/>
                <w:bCs/>
                <w:color w:val="0000FF"/>
                <w:sz w:val="24"/>
                <w:lang w:val="en-US" w:eastAsia="zh-CN"/>
              </w:rPr>
              <w:t>68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8392" w:type="dxa"/>
            <w:gridSpan w:val="4"/>
            <w:tcBorders>
              <w:top w:val="single" w:color="000000" w:sz="8" w:space="0"/>
              <w:left w:val="single" w:color="000000" w:sz="8" w:space="0"/>
              <w:bottom w:val="single" w:color="000000" w:sz="8" w:space="0"/>
              <w:right w:val="single" w:color="000000" w:sz="8" w:space="0"/>
            </w:tcBorders>
          </w:tcPr>
          <w:p>
            <w:pPr>
              <w:wordWrap w:val="0"/>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rPr>
                <w:rFonts w:ascii="宋体" w:hAnsi="宋体" w:cs="宋体"/>
                <w:b/>
                <w:bCs/>
                <w:color w:val="0000FF"/>
                <w:sz w:val="24"/>
              </w:rPr>
            </w:pPr>
          </w:p>
        </w:tc>
        <w:tc>
          <w:tcPr>
            <w:tcW w:w="680" w:type="dxa"/>
            <w:tcBorders>
              <w:top w:val="outset" w:color="000000" w:sz="6" w:space="0"/>
              <w:left w:val="outset" w:color="000000" w:sz="6" w:space="0"/>
              <w:bottom w:val="outset" w:color="000000" w:sz="6" w:space="0"/>
              <w:right w:val="outset" w:color="000000" w:sz="6" w:space="0"/>
            </w:tcBorders>
            <w:shd w:val="clear" w:color="auto" w:fill="E6EFFA"/>
            <w:vAlign w:val="center"/>
          </w:tcPr>
          <w:p>
            <w:pPr>
              <w:wordWrap w:val="0"/>
              <w:jc w:val="center"/>
              <w:rPr>
                <w:rFonts w:ascii="宋体" w:hAnsi="宋体" w:cs="宋体"/>
                <w:szCs w:val="21"/>
              </w:rPr>
            </w:pPr>
            <w:r>
              <w:rPr>
                <w:szCs w:val="21"/>
              </w:rPr>
              <w:t>序号</w:t>
            </w:r>
          </w:p>
        </w:tc>
        <w:tc>
          <w:tcPr>
            <w:tcW w:w="2835" w:type="dxa"/>
            <w:tcBorders>
              <w:top w:val="outset" w:color="000000" w:sz="6" w:space="0"/>
              <w:left w:val="outset" w:color="000000" w:sz="6" w:space="0"/>
              <w:bottom w:val="outset" w:color="000000" w:sz="6" w:space="0"/>
              <w:right w:val="outset" w:color="000000" w:sz="6" w:space="0"/>
            </w:tcBorders>
            <w:shd w:val="clear" w:color="auto" w:fill="E6EFFA"/>
            <w:vAlign w:val="center"/>
          </w:tcPr>
          <w:p>
            <w:pPr>
              <w:wordWrap w:val="0"/>
              <w:jc w:val="center"/>
              <w:rPr>
                <w:rFonts w:ascii="宋体" w:hAnsi="宋体" w:cs="宋体"/>
                <w:szCs w:val="21"/>
              </w:rPr>
            </w:pPr>
            <w:r>
              <w:rPr>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ordWrap w:val="0"/>
              <w:jc w:val="center"/>
              <w:rPr>
                <w:rFonts w:ascii="宋体" w:hAnsi="宋体" w:cs="宋体"/>
                <w:szCs w:val="21"/>
              </w:rPr>
            </w:pPr>
            <w:r>
              <w:rPr>
                <w:szCs w:val="21"/>
              </w:rPr>
              <w:t>权重(%)</w:t>
            </w:r>
          </w:p>
        </w:tc>
        <w:tc>
          <w:tcPr>
            <w:tcW w:w="4196" w:type="dxa"/>
            <w:tcBorders>
              <w:top w:val="outset" w:color="000000" w:sz="6" w:space="0"/>
              <w:left w:val="outset" w:color="000000" w:sz="6" w:space="0"/>
              <w:bottom w:val="outset" w:color="000000" w:sz="6" w:space="0"/>
              <w:right w:val="outset" w:color="000000" w:sz="6" w:space="0"/>
            </w:tcBorders>
            <w:shd w:val="clear" w:color="auto" w:fill="E6EFFA"/>
            <w:vAlign w:val="center"/>
          </w:tcPr>
          <w:p>
            <w:pPr>
              <w:wordWrap w:val="0"/>
              <w:jc w:val="center"/>
              <w:rPr>
                <w:rFonts w:ascii="宋体" w:hAnsi="宋体" w:cs="宋体"/>
                <w:szCs w:val="21"/>
              </w:rPr>
            </w:pPr>
            <w:r>
              <w:rPr>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pPr>
              <w:wordWrap w:val="0"/>
              <w:jc w:val="center"/>
              <w:rPr>
                <w:rFonts w:hint="eastAsia" w:ascii="宋体" w:hAnsi="宋体" w:eastAsia="宋体" w:cs="宋体"/>
                <w:szCs w:val="21"/>
                <w:lang w:val="en-US" w:eastAsia="zh-CN"/>
              </w:rPr>
            </w:pPr>
            <w:r>
              <w:rPr>
                <w:rFonts w:hint="eastAsia" w:ascii="宋体" w:hAnsi="宋体" w:cs="宋体"/>
                <w:szCs w:val="21"/>
                <w:lang w:val="en-US" w:eastAsia="zh-CN"/>
              </w:rPr>
              <w:t>1</w:t>
            </w:r>
          </w:p>
        </w:tc>
        <w:tc>
          <w:tcPr>
            <w:tcW w:w="283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spacing w:line="320" w:lineRule="exact"/>
              <w:jc w:val="center"/>
              <w:rPr>
                <w:rFonts w:eastAsia="宋体" w:cs="宋体" w:asciiTheme="minorEastAsia" w:hAnsiTheme="minorEastAsia"/>
                <w:kern w:val="2"/>
                <w:sz w:val="21"/>
                <w:szCs w:val="21"/>
                <w:lang w:val="en-US" w:eastAsia="zh-CN" w:bidi="ar-SA"/>
              </w:rPr>
            </w:pPr>
            <w:r>
              <w:rPr>
                <w:rFonts w:hint="eastAsia" w:ascii="宋体" w:hAnsi="宋体" w:eastAsia="宋体" w:cs="宋体"/>
                <w:color w:val="auto"/>
                <w:szCs w:val="21"/>
                <w:lang w:val="en-US" w:eastAsia="zh-CN"/>
              </w:rPr>
              <w:t>服务</w:t>
            </w:r>
            <w:r>
              <w:rPr>
                <w:rFonts w:hint="eastAsia" w:ascii="宋体" w:hAnsi="宋体" w:eastAsia="宋体" w:cs="宋体"/>
                <w:color w:val="auto"/>
                <w:szCs w:val="21"/>
              </w:rPr>
              <w:t>方案</w:t>
            </w:r>
          </w:p>
        </w:tc>
        <w:tc>
          <w:tcPr>
            <w:tcW w:w="68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spacing w:line="320" w:lineRule="exact"/>
              <w:jc w:val="center"/>
              <w:rPr>
                <w:rFonts w:eastAsia="宋体" w:cs="宋体" w:asciiTheme="minorEastAsia" w:hAnsiTheme="minorEastAsia"/>
                <w:kern w:val="2"/>
                <w:sz w:val="21"/>
                <w:szCs w:val="21"/>
                <w:lang w:val="en-US" w:eastAsia="zh-CN" w:bidi="ar-SA"/>
              </w:rPr>
            </w:pPr>
            <w:r>
              <w:rPr>
                <w:rFonts w:hint="eastAsia" w:ascii="宋体" w:hAnsi="宋体" w:eastAsia="宋体" w:cs="宋体"/>
                <w:color w:val="auto"/>
                <w:szCs w:val="21"/>
                <w:highlight w:val="none"/>
                <w:lang w:val="en-US" w:eastAsia="zh-CN"/>
              </w:rPr>
              <w:t>10</w:t>
            </w:r>
          </w:p>
        </w:tc>
        <w:tc>
          <w:tcPr>
            <w:tcW w:w="41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keepNext w:val="0"/>
              <w:keepLines w:val="0"/>
              <w:suppressLineNumbers w:val="0"/>
              <w:spacing w:before="0" w:beforeAutospacing="0" w:after="0" w:afterAutospacing="0"/>
              <w:ind w:left="0" w:right="0"/>
              <w:rPr>
                <w:rFonts w:hint="eastAsia"/>
                <w:color w:val="auto"/>
                <w:highlight w:val="none"/>
              </w:rPr>
            </w:pPr>
            <w:r>
              <w:rPr>
                <w:rFonts w:hint="eastAsia"/>
                <w:color w:val="auto"/>
                <w:highlight w:val="none"/>
                <w:lang w:eastAsia="zh-CN"/>
              </w:rPr>
              <w:t>一</w:t>
            </w:r>
            <w:r>
              <w:rPr>
                <w:rFonts w:hint="eastAsia"/>
                <w:color w:val="auto"/>
                <w:highlight w:val="none"/>
              </w:rPr>
              <w:t>、评审内容：</w:t>
            </w:r>
          </w:p>
          <w:p>
            <w:pPr>
              <w:keepNext w:val="0"/>
              <w:keepLines w:val="0"/>
              <w:suppressLineNumbers w:val="0"/>
              <w:spacing w:before="0" w:beforeAutospacing="0" w:after="0" w:afterAutospacing="0"/>
              <w:ind w:left="0" w:right="0"/>
              <w:rPr>
                <w:rFonts w:hint="eastAsia"/>
                <w:color w:val="auto"/>
                <w:highlight w:val="none"/>
              </w:rPr>
            </w:pPr>
            <w:r>
              <w:rPr>
                <w:rFonts w:hint="eastAsia"/>
                <w:color w:val="auto"/>
                <w:highlight w:val="none"/>
              </w:rPr>
              <w:t>投标人提供的协审服务方案包含以下内容：</w:t>
            </w:r>
          </w:p>
          <w:p>
            <w:pPr>
              <w:keepNext w:val="0"/>
              <w:keepLines w:val="0"/>
              <w:suppressLineNumbers w:val="0"/>
              <w:spacing w:before="0" w:beforeAutospacing="0" w:after="0" w:afterAutospacing="0"/>
              <w:ind w:left="0" w:right="0"/>
              <w:rPr>
                <w:rFonts w:hint="eastAsia"/>
                <w:color w:val="auto"/>
                <w:highlight w:val="none"/>
              </w:rPr>
            </w:pPr>
            <w:r>
              <w:rPr>
                <w:rFonts w:hint="eastAsia"/>
                <w:color w:val="auto"/>
                <w:highlight w:val="none"/>
                <w:lang w:val="en-US" w:eastAsia="zh-CN"/>
              </w:rPr>
              <w:t>1.对</w:t>
            </w:r>
            <w:r>
              <w:rPr>
                <w:rFonts w:hint="eastAsia" w:ascii="Times New Roman" w:hAnsi="Times New Roman" w:eastAsia="宋体" w:cs="Times New Roman"/>
                <w:color w:val="auto"/>
                <w:szCs w:val="24"/>
                <w:highlight w:val="none"/>
                <w:lang w:val="en-US" w:eastAsia="zh-CN"/>
              </w:rPr>
              <w:t>公办学校（小学或初中或高中）</w:t>
            </w:r>
            <w:r>
              <w:rPr>
                <w:rFonts w:hint="eastAsia" w:ascii="宋体" w:hAnsi="宋体" w:eastAsia="宋体" w:cs="宋体"/>
                <w:b w:val="0"/>
                <w:bCs w:val="0"/>
                <w:color w:val="auto"/>
                <w:sz w:val="21"/>
                <w:szCs w:val="21"/>
                <w:highlight w:val="none"/>
                <w:lang w:eastAsia="zh-CN"/>
              </w:rPr>
              <w:t>食堂承包运营的理解</w:t>
            </w:r>
            <w:r>
              <w:rPr>
                <w:rFonts w:hint="eastAsia"/>
                <w:color w:val="auto"/>
                <w:highlight w:val="none"/>
              </w:rPr>
              <w:t>；</w:t>
            </w:r>
          </w:p>
          <w:p>
            <w:pPr>
              <w:keepNext w:val="0"/>
              <w:keepLines w:val="0"/>
              <w:suppressLineNumbers w:val="0"/>
              <w:spacing w:before="0" w:beforeAutospacing="0" w:after="0" w:afterAutospacing="0"/>
              <w:ind w:left="0" w:right="0"/>
              <w:rPr>
                <w:rFonts w:hint="eastAsia"/>
                <w:color w:val="auto"/>
                <w:highlight w:val="none"/>
                <w:lang w:eastAsia="zh-CN"/>
              </w:rPr>
            </w:pPr>
            <w:r>
              <w:rPr>
                <w:rFonts w:hint="eastAsia"/>
                <w:color w:val="auto"/>
                <w:highlight w:val="none"/>
                <w:lang w:val="en-US" w:eastAsia="zh-CN"/>
              </w:rPr>
              <w:t>2.</w:t>
            </w:r>
            <w:r>
              <w:rPr>
                <w:rFonts w:hint="eastAsia"/>
                <w:color w:val="auto"/>
                <w:highlight w:val="none"/>
              </w:rPr>
              <w:t>专业</w:t>
            </w:r>
            <w:r>
              <w:rPr>
                <w:rFonts w:hint="eastAsia"/>
                <w:color w:val="auto"/>
                <w:highlight w:val="none"/>
                <w:lang w:val="en-US" w:eastAsia="zh-CN"/>
              </w:rPr>
              <w:t>人员组织架构</w:t>
            </w:r>
            <w:r>
              <w:rPr>
                <w:rFonts w:hint="eastAsia"/>
                <w:color w:val="auto"/>
                <w:highlight w:val="none"/>
                <w:lang w:eastAsia="zh-CN"/>
              </w:rPr>
              <w:t>；</w:t>
            </w:r>
          </w:p>
          <w:p>
            <w:pPr>
              <w:keepNext w:val="0"/>
              <w:keepLines w:val="0"/>
              <w:suppressLineNumbers w:val="0"/>
              <w:spacing w:before="0" w:beforeAutospacing="0" w:after="0" w:afterAutospacing="0"/>
              <w:ind w:left="0" w:right="0"/>
              <w:rPr>
                <w:rFonts w:hint="eastAsia"/>
                <w:color w:val="auto"/>
                <w:highlight w:val="none"/>
              </w:rPr>
            </w:pPr>
            <w:r>
              <w:rPr>
                <w:rFonts w:hint="eastAsia"/>
                <w:color w:val="auto"/>
                <w:highlight w:val="none"/>
                <w:lang w:val="en-US" w:eastAsia="zh-CN"/>
              </w:rPr>
              <w:t>3.</w:t>
            </w:r>
            <w:r>
              <w:rPr>
                <w:rFonts w:hint="eastAsia"/>
                <w:color w:val="auto"/>
                <w:highlight w:val="none"/>
              </w:rPr>
              <w:t>协审项目质量管理；</w:t>
            </w:r>
          </w:p>
          <w:p>
            <w:pPr>
              <w:keepNext w:val="0"/>
              <w:keepLines w:val="0"/>
              <w:suppressLineNumbers w:val="0"/>
              <w:spacing w:before="0" w:beforeAutospacing="0" w:after="0" w:afterAutospacing="0"/>
              <w:ind w:left="0" w:right="0"/>
              <w:rPr>
                <w:rFonts w:hint="eastAsia"/>
                <w:color w:val="auto"/>
                <w:highlight w:val="none"/>
              </w:rPr>
            </w:pPr>
            <w:r>
              <w:rPr>
                <w:rFonts w:hint="eastAsia"/>
                <w:color w:val="auto"/>
                <w:highlight w:val="none"/>
                <w:lang w:val="en-US" w:eastAsia="zh-CN"/>
              </w:rPr>
              <w:t>4.</w:t>
            </w:r>
            <w:r>
              <w:rPr>
                <w:rFonts w:hint="eastAsia"/>
                <w:color w:val="auto"/>
                <w:highlight w:val="none"/>
              </w:rPr>
              <w:t>协审项目进度管理。</w:t>
            </w:r>
          </w:p>
          <w:p>
            <w:pPr>
              <w:keepNext w:val="0"/>
              <w:keepLines w:val="0"/>
              <w:suppressLineNumbers w:val="0"/>
              <w:spacing w:before="0" w:beforeAutospacing="0" w:after="0" w:afterAutospacing="0"/>
              <w:ind w:left="0" w:right="0"/>
              <w:rPr>
                <w:rFonts w:hint="eastAsia"/>
                <w:color w:val="auto"/>
                <w:highlight w:val="none"/>
              </w:rPr>
            </w:pPr>
            <w:r>
              <w:rPr>
                <w:rFonts w:hint="eastAsia"/>
                <w:color w:val="auto"/>
                <w:highlight w:val="none"/>
                <w:lang w:eastAsia="zh-CN"/>
              </w:rPr>
              <w:t>二、</w:t>
            </w:r>
            <w:r>
              <w:rPr>
                <w:rFonts w:hint="eastAsia"/>
                <w:color w:val="auto"/>
                <w:highlight w:val="none"/>
              </w:rPr>
              <w:t>评审标准：</w:t>
            </w:r>
          </w:p>
          <w:p>
            <w:pPr>
              <w:rPr>
                <w:rFonts w:hint="eastAsia"/>
                <w:color w:val="auto"/>
                <w:highlight w:val="none"/>
              </w:rPr>
            </w:pPr>
            <w:r>
              <w:rPr>
                <w:rFonts w:hint="eastAsia"/>
                <w:color w:val="auto"/>
                <w:highlight w:val="none"/>
                <w:lang w:val="en-US" w:eastAsia="zh-CN"/>
              </w:rPr>
              <w:t>1.</w:t>
            </w:r>
            <w:r>
              <w:rPr>
                <w:rFonts w:hint="eastAsia"/>
                <w:color w:val="auto"/>
                <w:highlight w:val="none"/>
              </w:rPr>
              <w:t>提供的方案</w:t>
            </w:r>
            <w:r>
              <w:rPr>
                <w:rFonts w:hint="eastAsia"/>
                <w:color w:val="auto"/>
                <w:highlight w:val="none"/>
                <w:lang w:val="en-US" w:eastAsia="zh-CN"/>
              </w:rPr>
              <w:t>同时</w:t>
            </w:r>
            <w:r>
              <w:rPr>
                <w:rFonts w:hint="eastAsia"/>
                <w:color w:val="auto"/>
                <w:highlight w:val="none"/>
              </w:rPr>
              <w:t>满足上述</w:t>
            </w:r>
            <w:r>
              <w:rPr>
                <w:rFonts w:hint="eastAsia"/>
                <w:color w:val="auto"/>
                <w:highlight w:val="none"/>
                <w:lang w:val="en-US" w:eastAsia="zh-CN"/>
              </w:rPr>
              <w:t>四项内容</w:t>
            </w:r>
            <w:r>
              <w:rPr>
                <w:rFonts w:hint="eastAsia"/>
                <w:color w:val="auto"/>
                <w:highlight w:val="none"/>
              </w:rPr>
              <w:t>的</w:t>
            </w:r>
            <w:r>
              <w:rPr>
                <w:rFonts w:hint="eastAsia"/>
                <w:color w:val="auto"/>
                <w:highlight w:val="none"/>
                <w:lang w:val="en-US" w:eastAsia="zh-CN"/>
              </w:rPr>
              <w:t>得40</w:t>
            </w:r>
            <w:r>
              <w:rPr>
                <w:rFonts w:hint="eastAsia"/>
                <w:color w:val="auto"/>
                <w:highlight w:val="none"/>
              </w:rPr>
              <w:t>分，</w:t>
            </w:r>
            <w:r>
              <w:rPr>
                <w:rFonts w:hint="eastAsia"/>
                <w:color w:val="auto"/>
                <w:highlight w:val="none"/>
                <w:lang w:val="en-US" w:eastAsia="zh-CN"/>
              </w:rPr>
              <w:t>满足任意三项的得30分，满足任意二项的得20分，满足任意一项的得10分，</w:t>
            </w:r>
            <w:r>
              <w:rPr>
                <w:rFonts w:hint="eastAsia" w:ascii="宋体" w:hAnsi="宋体" w:cs="Times New Roman"/>
                <w:color w:val="auto"/>
                <w:szCs w:val="21"/>
                <w:highlight w:val="none"/>
              </w:rPr>
              <w:t>未满足不得分。</w:t>
            </w:r>
          </w:p>
          <w:p>
            <w:pPr>
              <w:keepNext w:val="0"/>
              <w:keepLines w:val="0"/>
              <w:suppressLineNumbers w:val="0"/>
              <w:spacing w:before="0" w:beforeAutospacing="0" w:after="0" w:afterAutospacing="0"/>
              <w:ind w:left="0" w:right="0"/>
              <w:rPr>
                <w:rFonts w:hint="eastAsia"/>
                <w:color w:val="auto"/>
                <w:highlight w:val="none"/>
              </w:rPr>
            </w:pPr>
            <w:r>
              <w:rPr>
                <w:rFonts w:hint="eastAsia"/>
                <w:color w:val="auto"/>
                <w:highlight w:val="none"/>
                <w:lang w:val="en-US" w:eastAsia="zh-CN"/>
              </w:rPr>
              <w:t>2.</w:t>
            </w:r>
            <w:r>
              <w:rPr>
                <w:rFonts w:hint="eastAsia"/>
                <w:color w:val="auto"/>
                <w:highlight w:val="none"/>
              </w:rPr>
              <w:t>在此基础上，专家根据各供应商的具体响应内容按照量化的评审因素指标进一步评审：</w:t>
            </w:r>
          </w:p>
          <w:p>
            <w:pPr>
              <w:keepNext w:val="0"/>
              <w:keepLines w:val="0"/>
              <w:suppressLineNumbers w:val="0"/>
              <w:spacing w:before="0" w:beforeAutospacing="0" w:after="0" w:afterAutospacing="0"/>
              <w:ind w:left="0" w:right="0"/>
              <w:rPr>
                <w:rFonts w:hint="eastAsia"/>
                <w:color w:val="auto"/>
                <w:highlight w:val="none"/>
              </w:rPr>
            </w:pPr>
            <w:r>
              <w:rPr>
                <w:rFonts w:hint="eastAsia"/>
                <w:color w:val="auto"/>
                <w:highlight w:val="none"/>
              </w:rPr>
              <w:t>（1）方案整体科学合理、针对性强、可操作性强，评审为优的，加</w:t>
            </w:r>
            <w:r>
              <w:rPr>
                <w:rFonts w:hint="eastAsia"/>
                <w:color w:val="auto"/>
                <w:highlight w:val="none"/>
                <w:lang w:val="en-US" w:eastAsia="zh-CN"/>
              </w:rPr>
              <w:t>60</w:t>
            </w:r>
            <w:r>
              <w:rPr>
                <w:rFonts w:hint="eastAsia"/>
                <w:color w:val="auto"/>
                <w:highlight w:val="none"/>
              </w:rPr>
              <w:t>分；</w:t>
            </w:r>
          </w:p>
          <w:p>
            <w:pPr>
              <w:keepNext w:val="0"/>
              <w:keepLines w:val="0"/>
              <w:suppressLineNumbers w:val="0"/>
              <w:spacing w:before="0" w:beforeAutospacing="0" w:after="0" w:afterAutospacing="0"/>
              <w:ind w:left="0" w:right="0"/>
              <w:rPr>
                <w:rFonts w:hint="eastAsia"/>
                <w:color w:val="auto"/>
                <w:highlight w:val="none"/>
              </w:rPr>
            </w:pPr>
            <w:r>
              <w:rPr>
                <w:rFonts w:hint="eastAsia"/>
                <w:color w:val="auto"/>
                <w:highlight w:val="none"/>
              </w:rPr>
              <w:t>（2）方案较合理、有一定针对性、一定可操作性，评审为良的，加</w:t>
            </w:r>
            <w:r>
              <w:rPr>
                <w:rFonts w:hint="eastAsia"/>
                <w:color w:val="auto"/>
                <w:highlight w:val="none"/>
                <w:lang w:val="en-US" w:eastAsia="zh-CN"/>
              </w:rPr>
              <w:t>40</w:t>
            </w:r>
            <w:r>
              <w:rPr>
                <w:rFonts w:hint="eastAsia"/>
                <w:color w:val="auto"/>
                <w:highlight w:val="none"/>
              </w:rPr>
              <w:t>分；</w:t>
            </w:r>
          </w:p>
          <w:p>
            <w:pPr>
              <w:keepNext w:val="0"/>
              <w:keepLines w:val="0"/>
              <w:suppressLineNumbers w:val="0"/>
              <w:spacing w:before="0" w:beforeAutospacing="0" w:after="0" w:afterAutospacing="0"/>
              <w:ind w:left="0" w:right="0"/>
              <w:rPr>
                <w:rFonts w:hint="eastAsia"/>
                <w:color w:val="auto"/>
                <w:highlight w:val="none"/>
              </w:rPr>
            </w:pPr>
            <w:r>
              <w:rPr>
                <w:rFonts w:hint="eastAsia"/>
                <w:color w:val="auto"/>
                <w:highlight w:val="none"/>
              </w:rPr>
              <w:t>（3）方案不尽合理、针对性一般、可操作性一般，评审为中的，加</w:t>
            </w:r>
            <w:r>
              <w:rPr>
                <w:rFonts w:hint="eastAsia"/>
                <w:color w:val="auto"/>
                <w:highlight w:val="none"/>
                <w:lang w:val="en-US" w:eastAsia="zh-CN"/>
              </w:rPr>
              <w:t>20</w:t>
            </w:r>
            <w:r>
              <w:rPr>
                <w:rFonts w:hint="eastAsia"/>
                <w:color w:val="auto"/>
                <w:highlight w:val="none"/>
              </w:rPr>
              <w:t>分；</w:t>
            </w:r>
          </w:p>
          <w:p>
            <w:pPr>
              <w:rPr>
                <w:color w:val="auto"/>
                <w:highlight w:val="none"/>
              </w:rPr>
            </w:pPr>
            <w:r>
              <w:rPr>
                <w:rFonts w:hint="eastAsia"/>
                <w:color w:val="auto"/>
                <w:highlight w:val="none"/>
              </w:rPr>
              <w:t>（4）方案不合理、无针对性、无可操作性，评审为差的，加0分。</w:t>
            </w:r>
          </w:p>
          <w:p>
            <w:pPr>
              <w:pStyle w:val="2"/>
              <w:ind w:firstLine="0" w:firstLineChars="0"/>
              <w:rPr>
                <w:rFonts w:eastAsia="宋体" w:cs="宋体" w:asciiTheme="minorEastAsia" w:hAnsiTheme="minorEastAsia"/>
                <w:kern w:val="2"/>
                <w:sz w:val="21"/>
                <w:szCs w:val="21"/>
                <w:lang w:val="en-US" w:eastAsia="zh-CN" w:bidi="ar-SA"/>
              </w:rPr>
            </w:pPr>
            <w:r>
              <w:rPr>
                <w:rFonts w:hint="eastAsia"/>
                <w:color w:val="auto"/>
                <w:highlight w:val="none"/>
                <w:lang w:val="en-US" w:eastAsia="zh-CN"/>
              </w:rPr>
              <w:t>以上合计最高得100分。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pPr>
              <w:wordWrap w:val="0"/>
              <w:jc w:val="center"/>
              <w:rPr>
                <w:rFonts w:hint="eastAsia" w:ascii="宋体" w:hAnsi="宋体" w:eastAsia="宋体" w:cs="宋体"/>
                <w:szCs w:val="21"/>
                <w:lang w:val="en-US" w:eastAsia="zh-CN"/>
              </w:rPr>
            </w:pPr>
            <w:r>
              <w:rPr>
                <w:rFonts w:hint="eastAsia" w:ascii="宋体" w:hAnsi="宋体" w:cs="宋体"/>
                <w:szCs w:val="21"/>
                <w:lang w:val="en-US" w:eastAsia="zh-CN"/>
              </w:rPr>
              <w:t>2</w:t>
            </w:r>
          </w:p>
        </w:tc>
        <w:tc>
          <w:tcPr>
            <w:tcW w:w="283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spacing w:line="320" w:lineRule="exact"/>
              <w:jc w:val="center"/>
              <w:rPr>
                <w:rFonts w:eastAsia="宋体" w:cs="Times New Roman" w:asciiTheme="minorEastAsia" w:hAnsiTheme="minorEastAsia"/>
                <w:b/>
                <w:kern w:val="2"/>
                <w:sz w:val="21"/>
                <w:szCs w:val="21"/>
                <w:lang w:val="en-US" w:eastAsia="zh-CN" w:bidi="ar-SA"/>
              </w:rPr>
            </w:pPr>
            <w:r>
              <w:rPr>
                <w:rFonts w:hint="eastAsia" w:ascii="宋体" w:hAnsi="宋体"/>
                <w:color w:val="auto"/>
                <w:szCs w:val="21"/>
              </w:rPr>
              <w:t>质量（完成时间、安全、环保）保障措施及方案</w:t>
            </w:r>
          </w:p>
        </w:tc>
        <w:tc>
          <w:tcPr>
            <w:tcW w:w="68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spacing w:line="320" w:lineRule="exact"/>
              <w:jc w:val="center"/>
              <w:rPr>
                <w:rFonts w:eastAsia="宋体" w:cs="Times New Roman" w:asciiTheme="minorEastAsia" w:hAnsiTheme="minorEastAsia"/>
                <w:kern w:val="2"/>
                <w:sz w:val="21"/>
                <w:szCs w:val="21"/>
                <w:lang w:val="en-US" w:eastAsia="zh-CN" w:bidi="ar-SA"/>
              </w:rPr>
            </w:pPr>
            <w:r>
              <w:rPr>
                <w:rFonts w:hint="eastAsia" w:ascii="宋体" w:hAnsi="宋体" w:cs="宋体"/>
                <w:color w:val="auto"/>
                <w:szCs w:val="21"/>
                <w:highlight w:val="none"/>
                <w:lang w:val="en-US" w:eastAsia="zh-CN"/>
              </w:rPr>
              <w:t>8</w:t>
            </w:r>
          </w:p>
        </w:tc>
        <w:tc>
          <w:tcPr>
            <w:tcW w:w="41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一</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评审内容：</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w:t>
            </w:r>
            <w:r>
              <w:rPr>
                <w:rFonts w:hint="eastAsia" w:ascii="宋体" w:hAnsi="宋体" w:eastAsia="宋体" w:cs="宋体"/>
                <w:sz w:val="21"/>
                <w:szCs w:val="21"/>
                <w:lang w:val="en-US" w:eastAsia="zh-CN"/>
              </w:rPr>
              <w:t>投标人</w:t>
            </w:r>
            <w:r>
              <w:rPr>
                <w:rFonts w:hint="eastAsia" w:ascii="宋体" w:hAnsi="宋体" w:eastAsia="宋体" w:cs="宋体"/>
                <w:color w:val="auto"/>
                <w:sz w:val="21"/>
                <w:szCs w:val="21"/>
                <w:highlight w:val="none"/>
              </w:rPr>
              <w:t>提供的</w:t>
            </w:r>
            <w:r>
              <w:rPr>
                <w:rFonts w:hint="eastAsia" w:ascii="宋体" w:hAnsi="宋体" w:eastAsia="宋体" w:cs="宋体"/>
                <w:sz w:val="21"/>
                <w:szCs w:val="21"/>
                <w:highlight w:val="none"/>
              </w:rPr>
              <w:t>质量保障措施及方案</w:t>
            </w:r>
            <w:r>
              <w:rPr>
                <w:rFonts w:hint="eastAsia" w:ascii="宋体" w:hAnsi="宋体" w:eastAsia="宋体" w:cs="宋体"/>
                <w:color w:val="auto"/>
                <w:sz w:val="21"/>
                <w:szCs w:val="21"/>
                <w:highlight w:val="none"/>
              </w:rPr>
              <w:t>进行评价，包括但不限于以下内容：</w:t>
            </w:r>
          </w:p>
          <w:p>
            <w:pPr>
              <w:numPr>
                <w:ilvl w:val="0"/>
                <w:numId w:val="0"/>
              </w:numPr>
              <w:spacing w:line="240" w:lineRule="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kern w:val="2"/>
                <w:sz w:val="21"/>
                <w:szCs w:val="21"/>
                <w:highlight w:val="none"/>
                <w:lang w:val="en-US" w:eastAsia="zh-CN" w:bidi="ar-SA"/>
              </w:rPr>
              <w:t>1</w:t>
            </w:r>
            <w:r>
              <w:rPr>
                <w:rFonts w:hint="eastAsia" w:ascii="宋体" w:hAnsi="宋体" w:eastAsia="宋体" w:cs="宋体"/>
                <w:b w:val="0"/>
                <w:bCs w:val="0"/>
                <w:sz w:val="21"/>
                <w:szCs w:val="21"/>
                <w:highlight w:val="none"/>
                <w:lang w:val="en-US" w:eastAsia="zh-CN"/>
              </w:rPr>
              <w:t>.</w:t>
            </w:r>
            <w:r>
              <w:rPr>
                <w:rFonts w:hint="eastAsia" w:ascii="宋体" w:hAnsi="宋体" w:eastAsia="宋体" w:cs="宋体"/>
                <w:b w:val="0"/>
                <w:bCs w:val="0"/>
                <w:sz w:val="21"/>
                <w:szCs w:val="21"/>
                <w:highlight w:val="none"/>
              </w:rPr>
              <w:t>项目质量管理措施</w:t>
            </w:r>
            <w:r>
              <w:rPr>
                <w:rFonts w:hint="eastAsia" w:ascii="宋体" w:hAnsi="宋体" w:eastAsia="宋体" w:cs="宋体"/>
                <w:b w:val="0"/>
                <w:bCs w:val="0"/>
                <w:sz w:val="21"/>
                <w:szCs w:val="21"/>
                <w:highlight w:val="none"/>
                <w:lang w:eastAsia="zh-CN"/>
              </w:rPr>
              <w:t>；</w:t>
            </w:r>
          </w:p>
          <w:p>
            <w:pPr>
              <w:numPr>
                <w:ilvl w:val="0"/>
                <w:numId w:val="0"/>
              </w:numPr>
              <w:spacing w:line="240" w:lineRule="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kern w:val="2"/>
                <w:sz w:val="21"/>
                <w:szCs w:val="21"/>
                <w:highlight w:val="none"/>
                <w:lang w:val="en-US" w:eastAsia="zh-CN" w:bidi="ar-SA"/>
              </w:rPr>
              <w:t>2</w:t>
            </w:r>
            <w:r>
              <w:rPr>
                <w:rFonts w:hint="eastAsia" w:ascii="宋体" w:hAnsi="宋体" w:eastAsia="宋体" w:cs="宋体"/>
                <w:b w:val="0"/>
                <w:bCs w:val="0"/>
                <w:sz w:val="21"/>
                <w:szCs w:val="21"/>
                <w:highlight w:val="none"/>
                <w:lang w:val="en-US" w:eastAsia="zh-CN"/>
              </w:rPr>
              <w:t>.</w:t>
            </w:r>
            <w:r>
              <w:rPr>
                <w:rFonts w:hint="eastAsia" w:ascii="宋体" w:hAnsi="宋体" w:eastAsia="宋体" w:cs="宋体"/>
                <w:b w:val="0"/>
                <w:bCs w:val="0"/>
                <w:sz w:val="21"/>
                <w:szCs w:val="21"/>
                <w:highlight w:val="none"/>
              </w:rPr>
              <w:t>进度保障措施</w:t>
            </w:r>
            <w:r>
              <w:rPr>
                <w:rFonts w:hint="eastAsia" w:ascii="宋体" w:hAnsi="宋体" w:eastAsia="宋体" w:cs="宋体"/>
                <w:b w:val="0"/>
                <w:bCs w:val="0"/>
                <w:sz w:val="21"/>
                <w:szCs w:val="21"/>
                <w:highlight w:val="none"/>
                <w:lang w:eastAsia="zh-CN"/>
              </w:rPr>
              <w:t>；</w:t>
            </w:r>
          </w:p>
          <w:p>
            <w:pPr>
              <w:numPr>
                <w:ilvl w:val="0"/>
                <w:numId w:val="0"/>
              </w:numPr>
              <w:spacing w:line="240" w:lineRule="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kern w:val="2"/>
                <w:sz w:val="21"/>
                <w:szCs w:val="21"/>
                <w:highlight w:val="none"/>
                <w:lang w:val="en-US" w:eastAsia="zh-CN" w:bidi="ar-SA"/>
              </w:rPr>
              <w:t>3</w:t>
            </w:r>
            <w:r>
              <w:rPr>
                <w:rFonts w:hint="eastAsia" w:ascii="宋体" w:hAnsi="宋体" w:eastAsia="宋体" w:cs="宋体"/>
                <w:b w:val="0"/>
                <w:bCs w:val="0"/>
                <w:sz w:val="21"/>
                <w:szCs w:val="21"/>
                <w:highlight w:val="none"/>
                <w:lang w:val="en-US" w:eastAsia="zh-CN"/>
              </w:rPr>
              <w:t>.</w:t>
            </w:r>
            <w:r>
              <w:rPr>
                <w:rFonts w:hint="eastAsia" w:ascii="宋体" w:hAnsi="宋体" w:eastAsia="宋体" w:cs="宋体"/>
                <w:b w:val="0"/>
                <w:bCs w:val="0"/>
                <w:sz w:val="21"/>
                <w:szCs w:val="21"/>
                <w:highlight w:val="none"/>
              </w:rPr>
              <w:t>人员保障措施</w:t>
            </w:r>
            <w:r>
              <w:rPr>
                <w:rFonts w:hint="eastAsia" w:ascii="宋体" w:hAnsi="宋体" w:eastAsia="宋体" w:cs="宋体"/>
                <w:b w:val="0"/>
                <w:bCs w:val="0"/>
                <w:sz w:val="21"/>
                <w:szCs w:val="21"/>
                <w:highlight w:val="none"/>
                <w:lang w:eastAsia="zh-CN"/>
              </w:rPr>
              <w:t>。</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二、</w:t>
            </w:r>
            <w:r>
              <w:rPr>
                <w:rFonts w:hint="eastAsia" w:ascii="宋体" w:hAnsi="宋体" w:eastAsia="宋体" w:cs="宋体"/>
                <w:b w:val="0"/>
                <w:bCs w:val="0"/>
                <w:color w:val="auto"/>
                <w:sz w:val="21"/>
                <w:szCs w:val="21"/>
                <w:highlight w:val="none"/>
                <w:lang w:eastAsia="zh-CN"/>
              </w:rPr>
              <w:t>评审标准</w:t>
            </w:r>
            <w:r>
              <w:rPr>
                <w:rFonts w:hint="eastAsia" w:ascii="宋体" w:hAnsi="宋体" w:eastAsia="宋体" w:cs="宋体"/>
                <w:b w:val="0"/>
                <w:bCs w:val="0"/>
                <w:color w:val="auto"/>
                <w:sz w:val="21"/>
                <w:szCs w:val="21"/>
                <w:highlight w:val="none"/>
              </w:rPr>
              <w:t>：</w:t>
            </w:r>
          </w:p>
          <w:p>
            <w:pPr>
              <w:keepNext w:val="0"/>
              <w:keepLines w:val="0"/>
              <w:suppressLineNumbers w:val="0"/>
              <w:spacing w:before="0" w:beforeAutospacing="0" w:after="0" w:afterAutospacing="0" w:line="240" w:lineRule="auto"/>
              <w:ind w:left="0" w:right="0"/>
              <w:jc w:val="lef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同时满足以上</w:t>
            </w:r>
            <w:r>
              <w:rPr>
                <w:rFonts w:hint="eastAsia" w:ascii="宋体" w:hAnsi="宋体" w:eastAsia="宋体" w:cs="宋体"/>
                <w:b w:val="0"/>
                <w:bCs w:val="0"/>
                <w:color w:val="auto"/>
                <w:sz w:val="21"/>
                <w:szCs w:val="21"/>
                <w:highlight w:val="none"/>
                <w:lang w:val="en-US" w:eastAsia="zh-CN"/>
              </w:rPr>
              <w:t>三项内容</w:t>
            </w:r>
            <w:r>
              <w:rPr>
                <w:rFonts w:hint="eastAsia" w:ascii="宋体" w:hAnsi="宋体" w:eastAsia="宋体" w:cs="宋体"/>
                <w:b w:val="0"/>
                <w:bCs w:val="0"/>
                <w:color w:val="auto"/>
                <w:sz w:val="21"/>
                <w:szCs w:val="21"/>
                <w:highlight w:val="none"/>
                <w:lang w:eastAsia="zh-CN"/>
              </w:rPr>
              <w:t>的</w:t>
            </w:r>
            <w:r>
              <w:rPr>
                <w:rFonts w:hint="eastAsia" w:ascii="宋体" w:hAnsi="宋体" w:eastAsia="宋体" w:cs="宋体"/>
                <w:b w:val="0"/>
                <w:bCs w:val="0"/>
                <w:color w:val="auto"/>
                <w:sz w:val="21"/>
                <w:szCs w:val="21"/>
                <w:highlight w:val="none"/>
              </w:rPr>
              <w:t>得</w:t>
            </w:r>
            <w:r>
              <w:rPr>
                <w:rFonts w:hint="eastAsia" w:ascii="宋体" w:hAnsi="宋体" w:eastAsia="宋体" w:cs="宋体"/>
                <w:b w:val="0"/>
                <w:bCs w:val="0"/>
                <w:color w:val="auto"/>
                <w:sz w:val="21"/>
                <w:szCs w:val="21"/>
                <w:highlight w:val="none"/>
                <w:lang w:val="en-US" w:eastAsia="zh-CN"/>
              </w:rPr>
              <w:t>40</w:t>
            </w:r>
            <w:r>
              <w:rPr>
                <w:rFonts w:hint="eastAsia" w:ascii="宋体" w:hAnsi="宋体" w:eastAsia="宋体" w:cs="宋体"/>
                <w:b w:val="0"/>
                <w:bCs w:val="0"/>
                <w:color w:val="auto"/>
                <w:sz w:val="21"/>
                <w:szCs w:val="21"/>
                <w:highlight w:val="none"/>
              </w:rPr>
              <w:t>分，满足任意</w:t>
            </w:r>
            <w:r>
              <w:rPr>
                <w:rFonts w:hint="eastAsia" w:ascii="宋体" w:hAnsi="宋体" w:eastAsia="宋体" w:cs="宋体"/>
                <w:b w:val="0"/>
                <w:bCs w:val="0"/>
                <w:color w:val="auto"/>
                <w:sz w:val="21"/>
                <w:szCs w:val="21"/>
                <w:highlight w:val="none"/>
                <w:lang w:val="en-US" w:eastAsia="zh-CN"/>
              </w:rPr>
              <w:t>两项内容</w:t>
            </w:r>
            <w:r>
              <w:rPr>
                <w:rFonts w:hint="eastAsia" w:ascii="宋体" w:hAnsi="宋体" w:eastAsia="宋体" w:cs="宋体"/>
                <w:b w:val="0"/>
                <w:bCs w:val="0"/>
                <w:color w:val="auto"/>
                <w:sz w:val="21"/>
                <w:szCs w:val="21"/>
                <w:highlight w:val="none"/>
              </w:rPr>
              <w:t>的得</w:t>
            </w:r>
            <w:r>
              <w:rPr>
                <w:rFonts w:hint="eastAsia" w:ascii="宋体" w:hAnsi="宋体" w:eastAsia="宋体" w:cs="宋体"/>
                <w:b w:val="0"/>
                <w:bCs w:val="0"/>
                <w:color w:val="auto"/>
                <w:sz w:val="21"/>
                <w:szCs w:val="21"/>
                <w:highlight w:val="none"/>
                <w:lang w:val="en-US" w:eastAsia="zh-CN"/>
              </w:rPr>
              <w:t>20</w:t>
            </w:r>
            <w:r>
              <w:rPr>
                <w:rFonts w:hint="eastAsia" w:ascii="宋体" w:hAnsi="宋体" w:eastAsia="宋体" w:cs="宋体"/>
                <w:b w:val="0"/>
                <w:bCs w:val="0"/>
                <w:color w:val="auto"/>
                <w:sz w:val="21"/>
                <w:szCs w:val="21"/>
                <w:highlight w:val="none"/>
              </w:rPr>
              <w:t>分，满足任意</w:t>
            </w:r>
            <w:r>
              <w:rPr>
                <w:rFonts w:hint="eastAsia" w:ascii="宋体" w:hAnsi="宋体" w:eastAsia="宋体" w:cs="宋体"/>
                <w:b w:val="0"/>
                <w:bCs w:val="0"/>
                <w:color w:val="auto"/>
                <w:sz w:val="21"/>
                <w:szCs w:val="21"/>
                <w:highlight w:val="none"/>
                <w:lang w:val="en-US" w:eastAsia="zh-CN"/>
              </w:rPr>
              <w:t>一项内容</w:t>
            </w:r>
            <w:r>
              <w:rPr>
                <w:rFonts w:hint="eastAsia" w:ascii="宋体" w:hAnsi="宋体" w:eastAsia="宋体" w:cs="宋体"/>
                <w:b w:val="0"/>
                <w:bCs w:val="0"/>
                <w:color w:val="auto"/>
                <w:sz w:val="21"/>
                <w:szCs w:val="21"/>
                <w:highlight w:val="none"/>
              </w:rPr>
              <w:t>的得</w:t>
            </w:r>
            <w:r>
              <w:rPr>
                <w:rFonts w:hint="eastAsia" w:ascii="宋体" w:hAnsi="宋体" w:eastAsia="宋体" w:cs="宋体"/>
                <w:b w:val="0"/>
                <w:bCs w:val="0"/>
                <w:color w:val="auto"/>
                <w:sz w:val="21"/>
                <w:szCs w:val="21"/>
                <w:highlight w:val="none"/>
                <w:lang w:val="en-US" w:eastAsia="zh-CN"/>
              </w:rPr>
              <w:t>10</w:t>
            </w:r>
            <w:r>
              <w:rPr>
                <w:rFonts w:hint="eastAsia" w:ascii="宋体" w:hAnsi="宋体" w:eastAsia="宋体" w:cs="宋体"/>
                <w:b w:val="0"/>
                <w:bCs w:val="0"/>
                <w:color w:val="auto"/>
                <w:sz w:val="21"/>
                <w:szCs w:val="21"/>
                <w:highlight w:val="none"/>
              </w:rPr>
              <w:t>分，未满足不得分。</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在此基础上，由评审委员会对具体响应内容进一步评审：</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①</w:t>
            </w:r>
            <w:r>
              <w:rPr>
                <w:rFonts w:hint="eastAsia" w:ascii="宋体" w:hAnsi="宋体" w:eastAsia="宋体" w:cs="宋体"/>
                <w:b w:val="0"/>
                <w:bCs w:val="0"/>
                <w:color w:val="auto"/>
                <w:sz w:val="21"/>
                <w:szCs w:val="21"/>
                <w:highlight w:val="none"/>
              </w:rPr>
              <w:t>方案极合理、条理极清晰、可操作性极强的得</w:t>
            </w:r>
            <w:r>
              <w:rPr>
                <w:rFonts w:hint="eastAsia" w:ascii="宋体" w:hAnsi="宋体" w:eastAsia="宋体" w:cs="宋体"/>
                <w:b w:val="0"/>
                <w:bCs w:val="0"/>
                <w:color w:val="auto"/>
                <w:sz w:val="21"/>
                <w:szCs w:val="21"/>
                <w:highlight w:val="none"/>
                <w:lang w:val="en-US" w:eastAsia="zh-CN"/>
              </w:rPr>
              <w:t>60分</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lang w:val="en-US" w:eastAsia="zh-CN"/>
              </w:rPr>
              <w:t>②</w:t>
            </w:r>
            <w:r>
              <w:rPr>
                <w:rFonts w:hint="eastAsia" w:ascii="宋体" w:hAnsi="宋体" w:eastAsia="宋体" w:cs="宋体"/>
                <w:b w:val="0"/>
                <w:bCs w:val="0"/>
                <w:color w:val="auto"/>
                <w:sz w:val="21"/>
                <w:szCs w:val="21"/>
                <w:highlight w:val="none"/>
              </w:rPr>
              <w:t>方案合理、条理清晰、可操作强的得</w:t>
            </w:r>
            <w:r>
              <w:rPr>
                <w:rFonts w:hint="eastAsia" w:ascii="宋体" w:hAnsi="宋体" w:eastAsia="宋体" w:cs="宋体"/>
                <w:b w:val="0"/>
                <w:bCs w:val="0"/>
                <w:color w:val="auto"/>
                <w:sz w:val="21"/>
                <w:szCs w:val="21"/>
                <w:highlight w:val="none"/>
                <w:lang w:val="en-US" w:eastAsia="zh-CN"/>
              </w:rPr>
              <w:t>40</w:t>
            </w:r>
            <w:r>
              <w:rPr>
                <w:rFonts w:hint="eastAsia" w:ascii="宋体" w:hAnsi="宋体" w:eastAsia="宋体" w:cs="宋体"/>
                <w:b w:val="0"/>
                <w:bCs w:val="0"/>
                <w:color w:val="auto"/>
                <w:sz w:val="21"/>
                <w:szCs w:val="21"/>
                <w:highlight w:val="none"/>
                <w:lang w:eastAsia="zh-CN"/>
              </w:rPr>
              <w:t>分</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lang w:val="en-US" w:eastAsia="zh-CN"/>
              </w:rPr>
              <w:t>③</w:t>
            </w:r>
            <w:r>
              <w:rPr>
                <w:rFonts w:hint="eastAsia" w:ascii="宋体" w:hAnsi="宋体" w:eastAsia="宋体" w:cs="宋体"/>
                <w:b w:val="0"/>
                <w:bCs w:val="0"/>
                <w:color w:val="auto"/>
                <w:sz w:val="21"/>
                <w:szCs w:val="21"/>
                <w:highlight w:val="none"/>
              </w:rPr>
              <w:t>方案较合理、条理较清晰、可操作较强的得</w:t>
            </w:r>
            <w:r>
              <w:rPr>
                <w:rFonts w:hint="eastAsia" w:ascii="宋体" w:hAnsi="宋体" w:eastAsia="宋体" w:cs="宋体"/>
                <w:b w:val="0"/>
                <w:bCs w:val="0"/>
                <w:color w:val="auto"/>
                <w:sz w:val="21"/>
                <w:szCs w:val="21"/>
                <w:highlight w:val="none"/>
                <w:lang w:val="en-US" w:eastAsia="zh-CN"/>
              </w:rPr>
              <w:t>20分</w:t>
            </w:r>
            <w:r>
              <w:rPr>
                <w:rFonts w:hint="eastAsia" w:ascii="宋体" w:hAnsi="宋体" w:eastAsia="宋体" w:cs="宋体"/>
                <w:b w:val="0"/>
                <w:bCs w:val="0"/>
                <w:color w:val="auto"/>
                <w:sz w:val="21"/>
                <w:szCs w:val="21"/>
                <w:highlight w:val="none"/>
              </w:rPr>
              <w:t>；</w:t>
            </w:r>
          </w:p>
          <w:p>
            <w:pPr>
              <w:pStyle w:val="2"/>
              <w:ind w:firstLine="0" w:firstLineChars="0"/>
              <w:rPr>
                <w:rFonts w:hint="eastAsia"/>
                <w:b w:val="0"/>
                <w:bCs w:val="0"/>
                <w:color w:val="auto"/>
                <w:highlight w:val="none"/>
                <w:lang w:val="en-US" w:eastAsia="zh-CN"/>
              </w:rPr>
            </w:pPr>
            <w:r>
              <w:rPr>
                <w:rFonts w:hint="eastAsia" w:ascii="宋体" w:hAnsi="宋体" w:eastAsia="宋体" w:cs="宋体"/>
                <w:b w:val="0"/>
                <w:bCs w:val="0"/>
                <w:color w:val="auto"/>
                <w:sz w:val="21"/>
                <w:szCs w:val="21"/>
                <w:highlight w:val="none"/>
                <w:lang w:val="en-US" w:eastAsia="zh-CN"/>
              </w:rPr>
              <w:t>④</w:t>
            </w:r>
            <w:r>
              <w:rPr>
                <w:rFonts w:hint="eastAsia" w:ascii="宋体" w:hAnsi="宋体" w:eastAsia="宋体" w:cs="宋体"/>
                <w:b w:val="0"/>
                <w:bCs w:val="0"/>
                <w:color w:val="auto"/>
                <w:sz w:val="21"/>
                <w:szCs w:val="21"/>
                <w:highlight w:val="none"/>
              </w:rPr>
              <w:t>方案不合理、条理不清晰、可操作性差的不得分。</w:t>
            </w:r>
          </w:p>
          <w:p>
            <w:pPr>
              <w:pStyle w:val="2"/>
              <w:ind w:firstLine="0" w:firstLineChars="0"/>
              <w:rPr>
                <w:rFonts w:eastAsia="宋体" w:cs="宋体" w:asciiTheme="minorEastAsia" w:hAnsiTheme="minorEastAsia"/>
                <w:kern w:val="2"/>
                <w:sz w:val="21"/>
                <w:szCs w:val="21"/>
                <w:lang w:val="en-US" w:eastAsia="zh-CN" w:bidi="ar-SA"/>
              </w:rPr>
            </w:pPr>
            <w:r>
              <w:rPr>
                <w:rFonts w:hint="eastAsia"/>
                <w:color w:val="auto"/>
                <w:highlight w:val="none"/>
                <w:lang w:val="en-US" w:eastAsia="zh-CN"/>
              </w:rPr>
              <w:t>以上合计最高得100分。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pPr>
              <w:wordWrap w:val="0"/>
              <w:jc w:val="center"/>
              <w:rPr>
                <w:rFonts w:hint="eastAsia" w:ascii="宋体" w:hAnsi="宋体" w:eastAsia="宋体" w:cs="宋体"/>
                <w:szCs w:val="21"/>
                <w:lang w:val="en-US" w:eastAsia="zh-CN"/>
              </w:rPr>
            </w:pPr>
            <w:r>
              <w:rPr>
                <w:rFonts w:hint="eastAsia" w:ascii="宋体" w:hAnsi="宋体" w:cs="宋体"/>
                <w:szCs w:val="21"/>
                <w:lang w:val="en-US" w:eastAsia="zh-CN"/>
              </w:rPr>
              <w:t>3</w:t>
            </w:r>
          </w:p>
        </w:tc>
        <w:tc>
          <w:tcPr>
            <w:tcW w:w="2835"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rPr>
                <w:rFonts w:eastAsia="宋体" w:cs="宋体" w:asciiTheme="minorEastAsia" w:hAnsiTheme="minorEastAsia"/>
                <w:kern w:val="2"/>
                <w:sz w:val="21"/>
                <w:szCs w:val="21"/>
                <w:lang w:val="en-US" w:eastAsia="zh-CN" w:bidi="ar-SA"/>
              </w:rPr>
            </w:pPr>
            <w:r>
              <w:rPr>
                <w:rFonts w:hint="eastAsia" w:ascii="宋体" w:hAnsi="宋体" w:eastAsia="宋体" w:cs="宋体"/>
                <w:color w:val="auto"/>
                <w:szCs w:val="21"/>
                <w:highlight w:val="none"/>
              </w:rPr>
              <w:t>拟安排的项目负责人情况（仅限一人）</w:t>
            </w:r>
          </w:p>
        </w:tc>
        <w:tc>
          <w:tcPr>
            <w:tcW w:w="68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rPr>
                <w:rFonts w:eastAsia="宋体" w:cs="宋体" w:asciiTheme="minorEastAsia" w:hAnsiTheme="minorEastAsia"/>
                <w:kern w:val="2"/>
                <w:sz w:val="21"/>
                <w:szCs w:val="21"/>
                <w:lang w:val="en-US" w:eastAsia="zh-CN" w:bidi="ar-SA"/>
              </w:rPr>
            </w:pPr>
            <w:r>
              <w:rPr>
                <w:rFonts w:hint="eastAsia" w:ascii="宋体" w:hAnsi="宋体" w:eastAsia="宋体" w:cs="宋体"/>
                <w:color w:val="auto"/>
                <w:kern w:val="2"/>
                <w:sz w:val="21"/>
                <w:szCs w:val="21"/>
                <w:highlight w:val="none"/>
                <w:lang w:val="en-US" w:eastAsia="zh-CN" w:bidi="ar-SA"/>
              </w:rPr>
              <w:t>10</w:t>
            </w:r>
          </w:p>
        </w:tc>
        <w:tc>
          <w:tcPr>
            <w:tcW w:w="41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val="en-US" w:eastAsia="zh-CN"/>
              </w:rPr>
              <w:t>一、</w:t>
            </w:r>
            <w:r>
              <w:rPr>
                <w:rFonts w:hint="eastAsia" w:ascii="宋体" w:hAnsi="宋体" w:eastAsia="宋体" w:cs="宋体"/>
                <w:b/>
                <w:bCs/>
                <w:color w:val="auto"/>
                <w:szCs w:val="21"/>
                <w:highlight w:val="none"/>
              </w:rPr>
              <w:t>评分内容：</w:t>
            </w:r>
          </w:p>
          <w:p>
            <w:pPr>
              <w:jc w:val="left"/>
              <w:rPr>
                <w:rFonts w:hint="eastAsia" w:ascii="宋体" w:hAnsi="宋体" w:cs="宋体"/>
                <w:b w:val="0"/>
                <w:bCs w:val="0"/>
                <w:color w:val="auto"/>
                <w:szCs w:val="21"/>
                <w:highlight w:val="none"/>
                <w:lang w:val="en-US" w:eastAsia="zh-CN"/>
              </w:rPr>
            </w:pPr>
            <w:r>
              <w:rPr>
                <w:rFonts w:hint="eastAsia" w:ascii="宋体" w:hAnsi="宋体" w:cs="宋体"/>
                <w:b w:val="0"/>
                <w:bCs w:val="0"/>
                <w:color w:val="auto"/>
                <w:szCs w:val="21"/>
                <w:highlight w:val="none"/>
                <w:lang w:val="en-US" w:eastAsia="zh-CN"/>
              </w:rPr>
              <w:t>本</w:t>
            </w:r>
            <w:r>
              <w:rPr>
                <w:rFonts w:hint="eastAsia" w:ascii="宋体" w:hAnsi="宋体" w:eastAsia="宋体" w:cs="宋体"/>
                <w:b w:val="0"/>
                <w:bCs w:val="0"/>
                <w:color w:val="auto"/>
                <w:szCs w:val="21"/>
                <w:highlight w:val="none"/>
              </w:rPr>
              <w:t>项目负责人</w:t>
            </w:r>
            <w:r>
              <w:rPr>
                <w:rFonts w:hint="eastAsia" w:ascii="宋体" w:hAnsi="宋体" w:cs="宋体"/>
                <w:b w:val="0"/>
                <w:bCs w:val="0"/>
                <w:color w:val="auto"/>
                <w:szCs w:val="21"/>
                <w:highlight w:val="none"/>
                <w:lang w:val="en-US" w:eastAsia="zh-CN"/>
              </w:rPr>
              <w:t>须</w:t>
            </w:r>
            <w:r>
              <w:rPr>
                <w:rFonts w:hint="eastAsia" w:ascii="宋体" w:hAnsi="宋体" w:eastAsia="宋体" w:cs="宋体"/>
                <w:b w:val="0"/>
                <w:bCs w:val="0"/>
                <w:color w:val="auto"/>
                <w:szCs w:val="21"/>
                <w:highlight w:val="none"/>
                <w:lang w:val="en-US" w:eastAsia="zh-CN"/>
              </w:rPr>
              <w:t>为投标单位员工</w:t>
            </w:r>
            <w:r>
              <w:rPr>
                <w:rFonts w:hint="eastAsia" w:ascii="宋体" w:hAnsi="宋体" w:cs="宋体"/>
                <w:b w:val="0"/>
                <w:bCs w:val="0"/>
                <w:color w:val="auto"/>
                <w:szCs w:val="21"/>
                <w:highlight w:val="none"/>
                <w:lang w:val="en-US" w:eastAsia="zh-CN"/>
              </w:rPr>
              <w:t>：</w:t>
            </w:r>
          </w:p>
          <w:p>
            <w:pPr>
              <w:jc w:val="left"/>
              <w:rPr>
                <w:rFonts w:hint="eastAsia" w:asciiTheme="minorEastAsia" w:hAnsiTheme="minorEastAsia" w:eastAsiaTheme="minorEastAsia" w:cstheme="minorEastAsia"/>
                <w:b w:val="0"/>
                <w:bCs w:val="0"/>
                <w:color w:val="auto"/>
                <w:szCs w:val="21"/>
                <w:highlight w:val="none"/>
                <w:lang w:val="en-US" w:eastAsia="zh-CN"/>
              </w:rPr>
            </w:pPr>
            <w:r>
              <w:rPr>
                <w:rFonts w:hint="eastAsia" w:asciiTheme="minorEastAsia" w:hAnsiTheme="minorEastAsia" w:eastAsiaTheme="minorEastAsia" w:cstheme="minorEastAsia"/>
                <w:b w:val="0"/>
                <w:bCs w:val="0"/>
                <w:color w:val="auto"/>
                <w:szCs w:val="21"/>
                <w:highlight w:val="none"/>
                <w:lang w:val="en-US" w:eastAsia="zh-CN"/>
              </w:rPr>
              <w:t>1.</w:t>
            </w:r>
            <w:r>
              <w:rPr>
                <w:rFonts w:hint="eastAsia" w:asciiTheme="minorEastAsia" w:hAnsiTheme="minorEastAsia" w:eastAsiaTheme="minorEastAsia" w:cstheme="minorEastAsia"/>
                <w:color w:val="auto"/>
                <w:highlight w:val="none"/>
              </w:rPr>
              <w:t>具备本科（或以上）</w:t>
            </w:r>
            <w:r>
              <w:rPr>
                <w:rFonts w:hint="eastAsia" w:asciiTheme="minorEastAsia" w:hAnsiTheme="minorEastAsia" w:eastAsiaTheme="minorEastAsia" w:cstheme="minorEastAsia"/>
                <w:color w:val="auto"/>
                <w:highlight w:val="none"/>
                <w:lang w:val="en-US" w:eastAsia="zh-CN"/>
              </w:rPr>
              <w:t>学历</w:t>
            </w:r>
            <w:r>
              <w:rPr>
                <w:rFonts w:hint="eastAsia" w:asciiTheme="minorEastAsia" w:hAnsiTheme="minorEastAsia" w:eastAsiaTheme="minorEastAsia" w:cstheme="minorEastAsia"/>
                <w:color w:val="auto"/>
                <w:highlight w:val="none"/>
              </w:rPr>
              <w:t>的，得</w:t>
            </w:r>
            <w:r>
              <w:rPr>
                <w:rFonts w:hint="eastAsia" w:asciiTheme="minorEastAsia" w:hAnsiTheme="minorEastAsia" w:eastAsiaTheme="minorEastAsia" w:cstheme="minorEastAsia"/>
                <w:color w:val="auto"/>
                <w:highlight w:val="none"/>
                <w:lang w:val="en-US" w:eastAsia="zh-CN"/>
              </w:rPr>
              <w:t>10</w:t>
            </w:r>
            <w:r>
              <w:rPr>
                <w:rFonts w:hint="eastAsia" w:asciiTheme="minorEastAsia" w:hAnsiTheme="minorEastAsia" w:eastAsiaTheme="minorEastAsia" w:cstheme="minorEastAsia"/>
                <w:color w:val="auto"/>
                <w:highlight w:val="none"/>
              </w:rPr>
              <w:t>分</w:t>
            </w:r>
            <w:r>
              <w:rPr>
                <w:rFonts w:hint="eastAsia" w:asciiTheme="minorEastAsia" w:hAnsiTheme="minorEastAsia" w:eastAsiaTheme="minorEastAsia" w:cstheme="minorEastAsia"/>
                <w:color w:val="auto"/>
                <w:highlight w:val="none"/>
                <w:lang w:eastAsia="zh-CN"/>
              </w:rPr>
              <w:t>；</w:t>
            </w:r>
          </w:p>
          <w:p>
            <w:pPr>
              <w:ind w:firstLineChars="0"/>
              <w:jc w:val="left"/>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2.</w:t>
            </w:r>
            <w:r>
              <w:rPr>
                <w:rFonts w:hint="eastAsia" w:asciiTheme="minorEastAsia" w:hAnsiTheme="minorEastAsia" w:eastAsiaTheme="minorEastAsia" w:cstheme="minorEastAsia"/>
                <w:color w:val="auto"/>
                <w:highlight w:val="none"/>
              </w:rPr>
              <w:t>具备人社部门</w:t>
            </w:r>
            <w:r>
              <w:rPr>
                <w:rFonts w:hint="eastAsia" w:asciiTheme="minorEastAsia" w:hAnsiTheme="minorEastAsia" w:eastAsiaTheme="minorEastAsia" w:cstheme="minorEastAsia"/>
                <w:color w:val="auto"/>
                <w:highlight w:val="none"/>
                <w:lang w:val="en-US" w:eastAsia="zh-CN"/>
              </w:rPr>
              <w:t>颁发中级会计职称</w:t>
            </w:r>
            <w:r>
              <w:rPr>
                <w:rFonts w:hint="eastAsia" w:asciiTheme="minorEastAsia" w:hAnsiTheme="minorEastAsia" w:eastAsiaTheme="minorEastAsia" w:cstheme="minorEastAsia"/>
                <w:color w:val="auto"/>
                <w:highlight w:val="none"/>
              </w:rPr>
              <w:t>得</w:t>
            </w:r>
            <w:r>
              <w:rPr>
                <w:rFonts w:hint="eastAsia" w:asciiTheme="minorEastAsia" w:hAnsiTheme="minorEastAsia" w:eastAsiaTheme="minorEastAsia" w:cstheme="minorEastAsia"/>
                <w:color w:val="auto"/>
                <w:highlight w:val="none"/>
                <w:lang w:val="en-US" w:eastAsia="zh-CN"/>
              </w:rPr>
              <w:t>20</w:t>
            </w:r>
            <w:r>
              <w:rPr>
                <w:rFonts w:hint="eastAsia" w:asciiTheme="minorEastAsia" w:hAnsiTheme="minorEastAsia" w:eastAsiaTheme="minorEastAsia" w:cstheme="minorEastAsia"/>
                <w:color w:val="auto"/>
                <w:highlight w:val="none"/>
              </w:rPr>
              <w:t>分</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lang w:val="en-US" w:eastAsia="zh-CN"/>
              </w:rPr>
              <w:t>高级会计职称得40分，本项最高得40分且以最优情形计分</w:t>
            </w:r>
            <w:r>
              <w:rPr>
                <w:rFonts w:hint="eastAsia" w:asciiTheme="minorEastAsia" w:hAnsiTheme="minorEastAsia" w:eastAsiaTheme="minorEastAsia" w:cstheme="minorEastAsia"/>
                <w:color w:val="auto"/>
                <w:highlight w:val="none"/>
                <w:lang w:eastAsia="zh-CN"/>
              </w:rPr>
              <w:t>；</w:t>
            </w:r>
          </w:p>
          <w:p>
            <w:pP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3.</w:t>
            </w:r>
            <w:r>
              <w:rPr>
                <w:rFonts w:hint="eastAsia" w:asciiTheme="minorEastAsia" w:hAnsiTheme="minorEastAsia" w:eastAsiaTheme="minorEastAsia" w:cstheme="minorEastAsia"/>
                <w:color w:val="auto"/>
                <w:szCs w:val="21"/>
                <w:highlight w:val="none"/>
              </w:rPr>
              <w:t>具有</w:t>
            </w:r>
            <w:r>
              <w:rPr>
                <w:rFonts w:hint="eastAsia" w:asciiTheme="minorEastAsia" w:hAnsiTheme="minorEastAsia" w:eastAsiaTheme="minorEastAsia" w:cstheme="minorEastAsia"/>
                <w:color w:val="auto"/>
                <w:szCs w:val="21"/>
                <w:highlight w:val="none"/>
                <w:lang w:val="en-US" w:eastAsia="zh-CN"/>
              </w:rPr>
              <w:t>公办学校</w:t>
            </w:r>
            <w:r>
              <w:rPr>
                <w:rFonts w:hint="eastAsia"/>
                <w:color w:val="auto"/>
                <w:highlight w:val="none"/>
                <w:lang w:eastAsia="zh-CN"/>
              </w:rPr>
              <w:t>（</w:t>
            </w:r>
            <w:r>
              <w:rPr>
                <w:rFonts w:hint="eastAsia"/>
                <w:color w:val="auto"/>
                <w:highlight w:val="none"/>
                <w:lang w:val="en-US" w:eastAsia="zh-CN"/>
              </w:rPr>
              <w:t>小学或初中或高中）食堂</w:t>
            </w:r>
            <w:r>
              <w:rPr>
                <w:rFonts w:hint="eastAsia" w:asciiTheme="minorEastAsia" w:hAnsiTheme="minorEastAsia" w:eastAsiaTheme="minorEastAsia" w:cstheme="minorEastAsia"/>
                <w:color w:val="auto"/>
                <w:szCs w:val="21"/>
                <w:highlight w:val="none"/>
                <w:lang w:val="en-US" w:eastAsia="zh-CN"/>
              </w:rPr>
              <w:t>审计</w:t>
            </w:r>
            <w:r>
              <w:rPr>
                <w:rFonts w:hint="eastAsia" w:asciiTheme="minorEastAsia" w:hAnsiTheme="minorEastAsia" w:eastAsiaTheme="minorEastAsia" w:cstheme="minorEastAsia"/>
                <w:color w:val="auto"/>
                <w:szCs w:val="21"/>
                <w:highlight w:val="none"/>
              </w:rPr>
              <w:t>项目经验</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lang w:val="en-US" w:eastAsia="zh-CN"/>
              </w:rPr>
              <w:t>非固定资产类</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lang w:val="en-US" w:eastAsia="zh-CN"/>
              </w:rPr>
              <w:t>每</w:t>
            </w:r>
            <w:r>
              <w:rPr>
                <w:rFonts w:hint="eastAsia" w:asciiTheme="minorEastAsia" w:hAnsiTheme="minorEastAsia" w:eastAsiaTheme="minorEastAsia" w:cstheme="minorEastAsia"/>
                <w:color w:val="auto"/>
                <w:szCs w:val="21"/>
                <w:highlight w:val="none"/>
              </w:rPr>
              <w:t>提供一个客户案例</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得</w:t>
            </w:r>
            <w:r>
              <w:rPr>
                <w:rFonts w:hint="eastAsia" w:asciiTheme="minorEastAsia" w:hAnsiTheme="minorEastAsia" w:eastAsiaTheme="minorEastAsia" w:cstheme="minorEastAsia"/>
                <w:color w:val="auto"/>
                <w:szCs w:val="21"/>
                <w:highlight w:val="none"/>
                <w:lang w:val="en-US" w:eastAsia="zh-CN"/>
              </w:rPr>
              <w:t>10</w:t>
            </w:r>
            <w:r>
              <w:rPr>
                <w:rFonts w:hint="eastAsia" w:asciiTheme="minorEastAsia" w:hAnsiTheme="minorEastAsia" w:eastAsiaTheme="minorEastAsia" w:cstheme="minorEastAsia"/>
                <w:color w:val="auto"/>
                <w:szCs w:val="21"/>
                <w:highlight w:val="none"/>
              </w:rPr>
              <w:t>分</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lang w:val="en-US" w:eastAsia="zh-CN"/>
              </w:rPr>
              <w:t>本项最高得50分</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rPr>
              <w:br w:type="textWrapping"/>
            </w:r>
            <w:r>
              <w:rPr>
                <w:rFonts w:hint="eastAsia" w:asciiTheme="minorEastAsia" w:hAnsiTheme="minorEastAsia" w:eastAsiaTheme="minorEastAsia" w:cstheme="minorEastAsia"/>
                <w:color w:val="auto"/>
                <w:szCs w:val="21"/>
                <w:highlight w:val="none"/>
                <w:lang w:val="en-US" w:eastAsia="zh-CN"/>
              </w:rPr>
              <w:t>注：本项合计最高得100分。</w:t>
            </w:r>
          </w:p>
          <w:p>
            <w:pPr>
              <w:rPr>
                <w:color w:val="auto"/>
                <w:highlight w:val="none"/>
              </w:rPr>
            </w:pPr>
            <w:r>
              <w:rPr>
                <w:rFonts w:hint="eastAsia" w:ascii="宋体" w:hAnsi="宋体" w:eastAsia="宋体" w:cs="宋体"/>
                <w:b/>
                <w:bCs/>
                <w:color w:val="auto"/>
                <w:szCs w:val="21"/>
                <w:highlight w:val="none"/>
                <w:lang w:val="en-US" w:eastAsia="zh-CN"/>
              </w:rPr>
              <w:t>二、</w:t>
            </w:r>
            <w:r>
              <w:rPr>
                <w:rFonts w:hint="eastAsia" w:ascii="宋体" w:hAnsi="宋体" w:eastAsia="宋体" w:cs="宋体"/>
                <w:b/>
                <w:bCs/>
                <w:color w:val="auto"/>
                <w:szCs w:val="21"/>
                <w:highlight w:val="none"/>
              </w:rPr>
              <w:t>评分依据：</w:t>
            </w:r>
          </w:p>
          <w:p>
            <w:pPr>
              <w:snapToGrid w:val="0"/>
              <w:spacing w:line="260" w:lineRule="exact"/>
              <w:rPr>
                <w:rFonts w:ascii="宋体" w:hAnsi="宋体" w:cs="宋体"/>
                <w:color w:val="auto"/>
                <w:szCs w:val="21"/>
                <w:highlight w:val="none"/>
              </w:rPr>
            </w:pPr>
            <w:r>
              <w:rPr>
                <w:rFonts w:hint="eastAsia" w:ascii="宋体" w:hAnsi="宋体" w:cs="宋体"/>
                <w:color w:val="auto"/>
                <w:szCs w:val="21"/>
                <w:highlight w:val="none"/>
                <w:lang w:val="en-US" w:eastAsia="zh-CN"/>
              </w:rPr>
              <w:t>1.</w:t>
            </w:r>
            <w:r>
              <w:rPr>
                <w:rFonts w:ascii="宋体" w:hAnsi="宋体" w:cs="宋体"/>
                <w:color w:val="auto"/>
                <w:szCs w:val="21"/>
                <w:highlight w:val="none"/>
              </w:rPr>
              <w:t>涉及证书的，提供相关证书扫描件</w:t>
            </w:r>
            <w:r>
              <w:rPr>
                <w:rFonts w:hint="eastAsia" w:ascii="宋体" w:hAnsi="宋体" w:cs="宋体"/>
                <w:color w:val="auto"/>
                <w:szCs w:val="21"/>
                <w:highlight w:val="none"/>
              </w:rPr>
              <w:t>。</w:t>
            </w:r>
          </w:p>
          <w:p>
            <w:pPr>
              <w:widowControl/>
              <w:snapToGrid w:val="0"/>
              <w:spacing w:line="260" w:lineRule="exac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涉及学历的，提供学历证书扫描件及学信网</w:t>
            </w:r>
            <w:r>
              <w:rPr>
                <w:rFonts w:hint="eastAsia" w:ascii="宋体" w:hAnsi="宋体" w:cs="宋体"/>
                <w:color w:val="auto"/>
                <w:szCs w:val="21"/>
                <w:highlight w:val="none"/>
                <w:lang w:eastAsia="zh-CN"/>
              </w:rPr>
              <w:t>（https://www.chsi.com.cn/）</w:t>
            </w:r>
            <w:r>
              <w:rPr>
                <w:rFonts w:hint="eastAsia" w:ascii="宋体" w:hAnsi="宋体" w:cs="宋体"/>
                <w:color w:val="auto"/>
                <w:szCs w:val="21"/>
                <w:highlight w:val="none"/>
              </w:rPr>
              <w:t>查询记录截图（如较早颁发的学历证书，学信网无法查询的，可提供毕业院校或教育或人社部门等颁发机构或监管机构等出具的证明，如海外留学（含港澳台人）学历无法通过学信网站查询的，应当提供教育部留学服务中心出具的国外学历认证证书以及教育部留学服务中心官网查询截图。若证明文件为其它语言，必须附中文译文，以中文译文为准）</w:t>
            </w:r>
            <w:r>
              <w:rPr>
                <w:rFonts w:hint="eastAsia" w:ascii="宋体" w:hAnsi="宋体" w:cs="宋体"/>
                <w:color w:val="auto"/>
                <w:szCs w:val="21"/>
                <w:highlight w:val="none"/>
                <w:lang w:eastAsia="zh-CN"/>
              </w:rPr>
              <w:t>；</w:t>
            </w:r>
          </w:p>
          <w:p>
            <w:pPr>
              <w:widowControl/>
              <w:snapToGrid w:val="0"/>
              <w:spacing w:line="320" w:lineRule="exact"/>
              <w:rPr>
                <w:rFonts w:ascii="宋体" w:hAnsi="宋体" w:cs="宋体"/>
                <w:bCs/>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对于评审内容第</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项，</w:t>
            </w:r>
            <w:r>
              <w:rPr>
                <w:rFonts w:hint="eastAsia" w:ascii="宋体" w:hAnsi="宋体" w:cs="宋体"/>
                <w:bCs/>
                <w:color w:val="auto"/>
                <w:szCs w:val="21"/>
                <w:highlight w:val="none"/>
              </w:rPr>
              <w:t>提供合同关键信息（含合同项目名称、服务内容与签订日期等关键信息，</w:t>
            </w:r>
            <w:r>
              <w:rPr>
                <w:rFonts w:hint="eastAsia" w:ascii="宋体" w:hAnsi="宋体" w:cs="宋体"/>
                <w:color w:val="auto"/>
                <w:szCs w:val="21"/>
                <w:highlight w:val="none"/>
              </w:rPr>
              <w:t>须能体现项目负责人信息</w:t>
            </w:r>
            <w:r>
              <w:rPr>
                <w:rFonts w:hint="eastAsia" w:ascii="宋体" w:hAnsi="宋体" w:cs="宋体"/>
                <w:bCs/>
                <w:color w:val="auto"/>
                <w:szCs w:val="21"/>
                <w:highlight w:val="none"/>
              </w:rPr>
              <w:t>）作为得分依据，</w:t>
            </w:r>
            <w:r>
              <w:rPr>
                <w:rFonts w:hint="eastAsia" w:ascii="宋体" w:hAnsi="宋体" w:cs="宋体"/>
                <w:color w:val="auto"/>
                <w:szCs w:val="21"/>
                <w:highlight w:val="none"/>
              </w:rPr>
              <w:t>通过合同关键信息无法判断是否得分的，还须同时提供</w:t>
            </w:r>
            <w:r>
              <w:rPr>
                <w:rFonts w:hint="eastAsia" w:ascii="宋体" w:hAnsi="宋体" w:cs="宋体"/>
                <w:color w:val="auto"/>
                <w:szCs w:val="21"/>
                <w:highlight w:val="none"/>
                <w:lang w:eastAsia="zh-CN"/>
              </w:rPr>
              <w:t>合同相对方</w:t>
            </w:r>
            <w:r>
              <w:rPr>
                <w:rFonts w:hint="eastAsia" w:ascii="宋体" w:hAnsi="宋体" w:cs="宋体"/>
                <w:color w:val="auto"/>
                <w:szCs w:val="21"/>
                <w:highlight w:val="none"/>
              </w:rPr>
              <w:t>出具</w:t>
            </w:r>
            <w:r>
              <w:rPr>
                <w:rFonts w:hint="eastAsia" w:ascii="宋体" w:hAnsi="宋体" w:cs="宋体"/>
                <w:color w:val="auto"/>
                <w:szCs w:val="21"/>
                <w:highlight w:val="none"/>
                <w:lang w:val="en-US" w:eastAsia="zh-CN"/>
              </w:rPr>
              <w:t>加盖公章</w:t>
            </w:r>
            <w:r>
              <w:rPr>
                <w:rFonts w:hint="eastAsia" w:ascii="宋体" w:hAnsi="宋体" w:cs="宋体"/>
                <w:color w:val="auto"/>
                <w:szCs w:val="21"/>
                <w:highlight w:val="none"/>
              </w:rPr>
              <w:t>的证明文件</w:t>
            </w:r>
            <w:r>
              <w:rPr>
                <w:rFonts w:hint="eastAsia" w:ascii="宋体" w:hAnsi="宋体" w:cs="宋体"/>
                <w:bCs/>
                <w:color w:val="auto"/>
                <w:szCs w:val="21"/>
                <w:highlight w:val="none"/>
              </w:rPr>
              <w:t>。</w:t>
            </w:r>
          </w:p>
          <w:p>
            <w:pPr>
              <w:widowControl/>
              <w:snapToGrid w:val="0"/>
              <w:spacing w:line="320" w:lineRule="exac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rPr>
              <w:t>提供相关人员开标日当月（或前一个月）在本单位缴纳且载有社保部门（或税务部门）公章（或业务章）的社保缴交证明材料（如开标日当月或前一个月的社保材料因社保部门（或税务部门）原因暂时无法取得，则可以往前顺延一个月）；成立时间不满1个月的投标人需提供成立时间相关说明材料，并提供承诺函（格式自拟）承诺人员为投标人现有员工，如为退休返聘人员则提供劳动合同或返聘协议，无需提供相关社保证明材料。</w:t>
            </w:r>
          </w:p>
          <w:p>
            <w:pPr>
              <w:pStyle w:val="9"/>
              <w:rPr>
                <w:rFonts w:eastAsia="宋体" w:cs="宋体" w:asciiTheme="minorEastAsia" w:hAnsiTheme="minorEastAsia"/>
                <w:kern w:val="2"/>
                <w:sz w:val="21"/>
                <w:szCs w:val="21"/>
                <w:lang w:val="en-US" w:eastAsia="zh-CN" w:bidi="ar-SA"/>
              </w:rPr>
            </w:pPr>
            <w:r>
              <w:rPr>
                <w:rFonts w:hint="eastAsia" w:ascii="宋体" w:hAnsi="宋体" w:cs="宋体" w:eastAsiaTheme="minorEastAsia"/>
                <w:b w:val="0"/>
                <w:bCs w:val="0"/>
                <w:color w:val="auto"/>
                <w:kern w:val="2"/>
                <w:sz w:val="21"/>
                <w:szCs w:val="21"/>
                <w:highlight w:val="none"/>
                <w:lang w:val="en-US" w:eastAsia="zh-CN" w:bidi="ar-SA"/>
              </w:rPr>
              <w:t>5.未按要求提供相关证明材料（或相关证明材料无法判断是否符合评分要求）的不计得分，原件备查。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pPr>
              <w:wordWrap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4</w:t>
            </w:r>
          </w:p>
        </w:tc>
        <w:tc>
          <w:tcPr>
            <w:tcW w:w="2835" w:type="dxa"/>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szCs w:val="21"/>
              </w:rPr>
            </w:pPr>
            <w:r>
              <w:rPr>
                <w:rFonts w:hint="eastAsia" w:ascii="宋体" w:hAnsi="宋体" w:eastAsia="宋体" w:cs="宋体"/>
                <w:color w:val="auto"/>
                <w:szCs w:val="21"/>
              </w:rPr>
              <w:t>拟安排的项目主要团队成员情况（项目负责人除外）</w:t>
            </w:r>
          </w:p>
        </w:tc>
        <w:tc>
          <w:tcPr>
            <w:tcW w:w="681"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cs="宋体"/>
                <w:szCs w:val="21"/>
              </w:rPr>
            </w:pPr>
            <w:r>
              <w:rPr>
                <w:rFonts w:hint="eastAsia" w:ascii="宋体" w:hAnsi="宋体" w:eastAsia="宋体" w:cs="宋体"/>
                <w:color w:val="auto"/>
                <w:szCs w:val="21"/>
                <w:highlight w:val="none"/>
                <w:lang w:val="en-US" w:eastAsia="zh-CN"/>
              </w:rPr>
              <w:t>1</w:t>
            </w:r>
            <w:r>
              <w:rPr>
                <w:rFonts w:hint="eastAsia" w:ascii="宋体" w:hAnsi="宋体" w:cs="宋体"/>
                <w:color w:val="auto"/>
                <w:szCs w:val="21"/>
                <w:highlight w:val="none"/>
                <w:lang w:val="en-US" w:eastAsia="zh-CN"/>
              </w:rPr>
              <w:t>5</w:t>
            </w:r>
          </w:p>
        </w:tc>
        <w:tc>
          <w:tcPr>
            <w:tcW w:w="4196" w:type="dxa"/>
            <w:tcBorders>
              <w:top w:val="single" w:color="000000" w:sz="8" w:space="0"/>
              <w:left w:val="single" w:color="000000" w:sz="8" w:space="0"/>
              <w:bottom w:val="single" w:color="000000" w:sz="8" w:space="0"/>
              <w:right w:val="single" w:color="000000" w:sz="8" w:space="0"/>
            </w:tcBorders>
            <w:vAlign w:val="center"/>
          </w:tcPr>
          <w:p>
            <w:pPr>
              <w:jc w:val="left"/>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一、评分内容：</w:t>
            </w:r>
          </w:p>
          <w:p>
            <w:pPr>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本项目的团队成员须</w:t>
            </w:r>
            <w:r>
              <w:rPr>
                <w:rFonts w:hint="eastAsia" w:ascii="宋体" w:hAnsi="宋体" w:eastAsia="宋体" w:cs="宋体"/>
                <w:color w:val="auto"/>
                <w:szCs w:val="21"/>
                <w:highlight w:val="none"/>
              </w:rPr>
              <w:t>为</w:t>
            </w:r>
            <w:r>
              <w:rPr>
                <w:rFonts w:hint="eastAsia" w:ascii="宋体" w:hAnsi="宋体" w:eastAsia="宋体" w:cs="宋体"/>
                <w:color w:val="auto"/>
                <w:szCs w:val="21"/>
                <w:highlight w:val="none"/>
                <w:lang w:val="en-US" w:eastAsia="zh-CN"/>
              </w:rPr>
              <w:t>投标单位</w:t>
            </w:r>
            <w:r>
              <w:rPr>
                <w:rFonts w:hint="eastAsia" w:ascii="宋体" w:hAnsi="宋体" w:eastAsia="宋体" w:cs="宋体"/>
                <w:color w:val="auto"/>
                <w:szCs w:val="21"/>
                <w:highlight w:val="none"/>
              </w:rPr>
              <w:t>员工：</w:t>
            </w:r>
          </w:p>
          <w:p>
            <w:pPr>
              <w:numPr>
                <w:ilvl w:val="0"/>
                <w:numId w:val="0"/>
              </w:numP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项目组长具有</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br w:type="textWrapping"/>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w:t>
            </w:r>
            <w:r>
              <w:rPr>
                <w:rFonts w:hint="eastAsia" w:ascii="宋体" w:hAnsi="宋体" w:cs="宋体"/>
                <w:color w:val="auto"/>
                <w:szCs w:val="21"/>
                <w:highlight w:val="none"/>
                <w:lang w:val="en-US" w:eastAsia="zh-CN"/>
              </w:rPr>
              <w:t>具有</w:t>
            </w:r>
            <w:r>
              <w:rPr>
                <w:rFonts w:hint="eastAsia" w:ascii="宋体" w:hAnsi="宋体" w:eastAsia="宋体" w:cs="宋体"/>
                <w:color w:val="auto"/>
                <w:szCs w:val="21"/>
                <w:highlight w:val="none"/>
                <w:lang w:eastAsia="zh-CN"/>
              </w:rPr>
              <w:t>人社部门</w:t>
            </w:r>
            <w:r>
              <w:rPr>
                <w:rFonts w:hint="eastAsia" w:ascii="宋体" w:hAnsi="宋体" w:cs="宋体"/>
                <w:color w:val="auto"/>
                <w:szCs w:val="21"/>
                <w:highlight w:val="none"/>
                <w:lang w:val="en-US" w:eastAsia="zh-CN"/>
              </w:rPr>
              <w:t>颁发</w:t>
            </w:r>
            <w:r>
              <w:rPr>
                <w:rFonts w:hint="eastAsia" w:ascii="宋体" w:hAnsi="宋体" w:eastAsia="宋体" w:cs="宋体"/>
                <w:color w:val="auto"/>
                <w:szCs w:val="21"/>
                <w:highlight w:val="none"/>
                <w:lang w:val="en-US" w:eastAsia="zh-CN"/>
              </w:rPr>
              <w:t>中</w:t>
            </w:r>
            <w:r>
              <w:rPr>
                <w:rFonts w:hint="eastAsia" w:ascii="宋体" w:hAnsi="宋体" w:eastAsia="宋体" w:cs="宋体"/>
                <w:color w:val="auto"/>
                <w:szCs w:val="21"/>
                <w:highlight w:val="none"/>
              </w:rPr>
              <w:t>级（或以上）会计职称证书</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每提供一个有效证书得</w:t>
            </w:r>
            <w:r>
              <w:rPr>
                <w:rFonts w:hint="eastAsia" w:ascii="宋体" w:hAnsi="宋体" w:cs="宋体"/>
                <w:color w:val="auto"/>
                <w:szCs w:val="21"/>
                <w:highlight w:val="none"/>
                <w:lang w:val="en-US" w:eastAsia="zh-CN"/>
              </w:rPr>
              <w:t>10</w:t>
            </w:r>
            <w:r>
              <w:rPr>
                <w:rFonts w:hint="eastAsia" w:ascii="宋体" w:hAnsi="宋体" w:eastAsia="宋体" w:cs="宋体"/>
                <w:color w:val="auto"/>
                <w:szCs w:val="21"/>
                <w:highlight w:val="none"/>
                <w:lang w:val="en-US" w:eastAsia="zh-CN"/>
              </w:rPr>
              <w:t>分，本项最高</w:t>
            </w: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lang w:val="en-US" w:eastAsia="zh-CN"/>
              </w:rPr>
              <w:t>0分</w:t>
            </w:r>
            <w:r>
              <w:rPr>
                <w:rFonts w:hint="eastAsia" w:ascii="宋体" w:hAnsi="宋体" w:eastAsia="宋体" w:cs="宋体"/>
                <w:color w:val="auto"/>
                <w:szCs w:val="21"/>
                <w:highlight w:val="none"/>
                <w:lang w:eastAsia="zh-CN"/>
              </w:rPr>
              <w:t>；</w:t>
            </w:r>
          </w:p>
          <w:p>
            <w:pPr>
              <w:numPr>
                <w:ilvl w:val="0"/>
                <w:numId w:val="0"/>
              </w:numP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eastAsia="zh-CN"/>
              </w:rPr>
              <w:t>（</w:t>
            </w: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具有</w:t>
            </w:r>
            <w:r>
              <w:rPr>
                <w:rFonts w:hint="eastAsia" w:ascii="宋体" w:hAnsi="宋体" w:eastAsia="宋体" w:cs="宋体"/>
                <w:color w:val="auto"/>
                <w:szCs w:val="21"/>
                <w:highlight w:val="none"/>
                <w:lang w:val="en-US" w:eastAsia="zh-CN"/>
              </w:rPr>
              <w:t>公办学校</w:t>
            </w:r>
            <w:r>
              <w:rPr>
                <w:rFonts w:hint="eastAsia" w:ascii="宋体" w:hAnsi="宋体" w:cs="宋体"/>
                <w:color w:val="auto"/>
                <w:szCs w:val="21"/>
                <w:highlight w:val="none"/>
                <w:lang w:val="en-US" w:eastAsia="zh-CN"/>
              </w:rPr>
              <w:t>（小学或初中或高中）</w:t>
            </w:r>
            <w:r>
              <w:rPr>
                <w:rFonts w:hint="eastAsia"/>
                <w:color w:val="auto"/>
                <w:highlight w:val="none"/>
                <w:lang w:val="en-US" w:eastAsia="zh-CN"/>
              </w:rPr>
              <w:t>食堂</w:t>
            </w:r>
            <w:r>
              <w:rPr>
                <w:rFonts w:hint="eastAsia" w:ascii="宋体" w:hAnsi="宋体" w:eastAsia="宋体" w:cs="宋体"/>
                <w:color w:val="auto"/>
                <w:szCs w:val="21"/>
                <w:highlight w:val="none"/>
              </w:rPr>
              <w:t>审计工作经验</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非固定资产类</w:t>
            </w:r>
            <w:r>
              <w:rPr>
                <w:rFonts w:hint="eastAsia" w:ascii="宋体" w:hAnsi="宋体" w:eastAsia="宋体" w:cs="宋体"/>
                <w:color w:val="auto"/>
                <w:szCs w:val="21"/>
                <w:highlight w:val="none"/>
                <w:lang w:eastAsia="zh-CN"/>
              </w:rPr>
              <w:t>），</w:t>
            </w:r>
            <w:r>
              <w:rPr>
                <w:rFonts w:hint="eastAsia" w:ascii="宋体" w:hAnsi="宋体" w:cs="宋体"/>
                <w:color w:val="auto"/>
                <w:szCs w:val="21"/>
                <w:highlight w:val="none"/>
                <w:lang w:val="en-US" w:eastAsia="zh-CN"/>
              </w:rPr>
              <w:t>每</w:t>
            </w:r>
            <w:r>
              <w:rPr>
                <w:rFonts w:hint="eastAsia" w:ascii="宋体" w:hAnsi="宋体" w:eastAsia="宋体" w:cs="宋体"/>
                <w:color w:val="auto"/>
                <w:szCs w:val="21"/>
                <w:highlight w:val="none"/>
              </w:rPr>
              <w:t>提供一个客户案例</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得</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本项最高得20分</w:t>
            </w:r>
            <w:r>
              <w:rPr>
                <w:rFonts w:hint="eastAsia" w:ascii="宋体" w:hAnsi="宋体" w:eastAsia="宋体" w:cs="宋体"/>
                <w:color w:val="auto"/>
                <w:szCs w:val="21"/>
                <w:highlight w:val="none"/>
              </w:rPr>
              <w:t>。</w:t>
            </w:r>
          </w:p>
          <w:p>
            <w:pP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项目团队成员</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组长除外</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具有</w:t>
            </w:r>
            <w:r>
              <w:rPr>
                <w:rFonts w:hint="eastAsia" w:ascii="宋体" w:hAnsi="宋体" w:eastAsia="宋体" w:cs="宋体"/>
                <w:color w:val="auto"/>
                <w:szCs w:val="21"/>
                <w:highlight w:val="none"/>
                <w:lang w:eastAsia="zh-CN"/>
              </w:rPr>
              <w:t>：</w:t>
            </w:r>
          </w:p>
          <w:p>
            <w:pP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）人社部门</w:t>
            </w:r>
            <w:r>
              <w:rPr>
                <w:rFonts w:hint="eastAsia" w:ascii="宋体" w:hAnsi="宋体" w:cs="宋体"/>
                <w:color w:val="auto"/>
                <w:szCs w:val="21"/>
                <w:highlight w:val="none"/>
                <w:lang w:val="en-US" w:eastAsia="zh-CN"/>
              </w:rPr>
              <w:t>颁发</w:t>
            </w:r>
            <w:r>
              <w:rPr>
                <w:rFonts w:hint="eastAsia" w:ascii="宋体" w:hAnsi="宋体" w:eastAsia="宋体" w:cs="宋体"/>
                <w:color w:val="auto"/>
                <w:szCs w:val="21"/>
                <w:highlight w:val="none"/>
                <w:lang w:val="en-US" w:eastAsia="zh-CN"/>
              </w:rPr>
              <w:t>中级</w:t>
            </w:r>
            <w:r>
              <w:rPr>
                <w:rFonts w:hint="eastAsia" w:ascii="宋体" w:hAnsi="宋体" w:eastAsia="宋体" w:cs="宋体"/>
                <w:color w:val="auto"/>
                <w:szCs w:val="21"/>
                <w:highlight w:val="none"/>
              </w:rPr>
              <w:t>（或以上）会计职称</w:t>
            </w:r>
            <w:r>
              <w:rPr>
                <w:rFonts w:hint="eastAsia" w:ascii="宋体" w:hAnsi="宋体" w:eastAsia="宋体" w:cs="宋体"/>
                <w:color w:val="auto"/>
                <w:szCs w:val="21"/>
                <w:highlight w:val="none"/>
                <w:lang w:val="en-US" w:eastAsia="zh-CN"/>
              </w:rPr>
              <w:t>证书</w:t>
            </w:r>
            <w:r>
              <w:rPr>
                <w:rFonts w:hint="eastAsia" w:ascii="宋体" w:hAnsi="宋体" w:eastAsia="宋体" w:cs="宋体"/>
                <w:color w:val="auto"/>
                <w:szCs w:val="21"/>
                <w:highlight w:val="none"/>
              </w:rPr>
              <w:t>的，提供1名得</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本项最高得</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lang w:val="en-US" w:eastAsia="zh-CN"/>
              </w:rPr>
              <w:t>0分。</w:t>
            </w:r>
          </w:p>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项目团队中具有</w:t>
            </w:r>
            <w:r>
              <w:rPr>
                <w:rFonts w:hint="eastAsia" w:ascii="宋体" w:hAnsi="宋体" w:eastAsia="宋体" w:cs="宋体"/>
                <w:color w:val="auto"/>
                <w:szCs w:val="21"/>
                <w:highlight w:val="none"/>
                <w:lang w:val="en-US" w:eastAsia="zh-CN"/>
              </w:rPr>
              <w:t>公办学校</w:t>
            </w:r>
            <w:r>
              <w:rPr>
                <w:rFonts w:hint="eastAsia" w:ascii="宋体" w:hAnsi="宋体" w:cs="宋体"/>
                <w:color w:val="auto"/>
                <w:szCs w:val="21"/>
                <w:highlight w:val="none"/>
                <w:lang w:val="en-US" w:eastAsia="zh-CN"/>
              </w:rPr>
              <w:t>（小学或初中或高中）</w:t>
            </w:r>
            <w:r>
              <w:rPr>
                <w:rFonts w:hint="eastAsia"/>
                <w:color w:val="auto"/>
                <w:highlight w:val="none"/>
                <w:lang w:val="en-US" w:eastAsia="zh-CN"/>
              </w:rPr>
              <w:t>食堂</w:t>
            </w:r>
            <w:r>
              <w:rPr>
                <w:rFonts w:hint="eastAsia" w:ascii="宋体" w:hAnsi="宋体" w:eastAsia="宋体" w:cs="宋体"/>
                <w:color w:val="auto"/>
                <w:szCs w:val="21"/>
                <w:highlight w:val="none"/>
              </w:rPr>
              <w:t>审计工作经验</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非固定资产类</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提供一个客户案例</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得5分，</w:t>
            </w:r>
            <w:r>
              <w:rPr>
                <w:rFonts w:hint="eastAsia" w:ascii="宋体" w:hAnsi="宋体" w:eastAsia="宋体" w:cs="宋体"/>
                <w:color w:val="auto"/>
                <w:szCs w:val="21"/>
                <w:highlight w:val="none"/>
              </w:rPr>
              <w:t>本小项最高得</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分。</w:t>
            </w:r>
          </w:p>
          <w:p>
            <w:pPr>
              <w:spacing w:after="78" w:line="300" w:lineRule="exact"/>
              <w:rPr>
                <w:rFonts w:hint="eastAsia" w:ascii="宋体" w:hAnsi="宋体" w:eastAsia="宋体" w:cs="宋体"/>
                <w:b/>
                <w:bCs/>
                <w:color w:val="auto"/>
                <w:highlight w:val="none"/>
                <w:lang w:val="en-US" w:eastAsia="zh-CN"/>
              </w:rPr>
            </w:pPr>
            <w:r>
              <w:rPr>
                <w:rFonts w:hint="eastAsia" w:ascii="宋体" w:hAnsi="宋体" w:eastAsia="宋体" w:cs="宋体"/>
                <w:color w:val="auto"/>
                <w:szCs w:val="21"/>
                <w:highlight w:val="none"/>
                <w:lang w:val="en-US" w:eastAsia="zh-CN"/>
              </w:rPr>
              <w:t>注：本项合计最高得100分。</w:t>
            </w:r>
          </w:p>
          <w:p>
            <w:pPr>
              <w:jc w:val="left"/>
              <w:rPr>
                <w:color w:val="auto"/>
                <w:highlight w:val="none"/>
              </w:rPr>
            </w:pPr>
            <w:r>
              <w:rPr>
                <w:rFonts w:hint="eastAsia" w:ascii="宋体" w:hAnsi="宋体" w:eastAsia="宋体" w:cs="宋体"/>
                <w:b/>
                <w:bCs/>
                <w:color w:val="auto"/>
                <w:highlight w:val="none"/>
                <w:lang w:val="en-US" w:eastAsia="zh-CN"/>
              </w:rPr>
              <w:t>二、</w:t>
            </w:r>
            <w:r>
              <w:rPr>
                <w:rFonts w:hint="eastAsia" w:ascii="宋体" w:hAnsi="宋体" w:eastAsia="宋体" w:cs="宋体"/>
                <w:b/>
                <w:bCs/>
                <w:color w:val="auto"/>
                <w:highlight w:val="none"/>
              </w:rPr>
              <w:t xml:space="preserve">评分依据： </w:t>
            </w:r>
          </w:p>
          <w:p>
            <w:pPr>
              <w:snapToGrid w:val="0"/>
              <w:spacing w:line="260" w:lineRule="exact"/>
              <w:rPr>
                <w:rFonts w:ascii="宋体" w:hAnsi="宋体" w:cs="宋体"/>
                <w:color w:val="auto"/>
                <w:szCs w:val="21"/>
                <w:highlight w:val="none"/>
              </w:rPr>
            </w:pPr>
            <w:r>
              <w:rPr>
                <w:rFonts w:hint="eastAsia" w:ascii="宋体" w:hAnsi="宋体" w:cs="宋体"/>
                <w:color w:val="auto"/>
                <w:szCs w:val="21"/>
                <w:highlight w:val="none"/>
                <w:lang w:val="en-US" w:eastAsia="zh-CN"/>
              </w:rPr>
              <w:t>1.</w:t>
            </w:r>
            <w:r>
              <w:rPr>
                <w:rFonts w:ascii="宋体" w:hAnsi="宋体" w:cs="宋体"/>
                <w:color w:val="auto"/>
                <w:szCs w:val="21"/>
                <w:highlight w:val="none"/>
              </w:rPr>
              <w:t>涉及证书的，提供相关证书扫描件</w:t>
            </w:r>
            <w:r>
              <w:rPr>
                <w:rFonts w:hint="eastAsia" w:ascii="宋体" w:hAnsi="宋体" w:cs="宋体"/>
                <w:color w:val="auto"/>
                <w:szCs w:val="21"/>
                <w:highlight w:val="none"/>
              </w:rPr>
              <w:t>。</w:t>
            </w:r>
          </w:p>
          <w:p>
            <w:pPr>
              <w:widowControl/>
              <w:snapToGrid w:val="0"/>
              <w:spacing w:line="320" w:lineRule="exact"/>
              <w:rPr>
                <w:rFonts w:ascii="宋体" w:hAnsi="宋体" w:cs="宋体"/>
                <w:bCs/>
                <w:color w:val="auto"/>
                <w:szCs w:val="21"/>
                <w:highlight w:val="none"/>
              </w:rPr>
            </w:pPr>
            <w:r>
              <w:rPr>
                <w:rFonts w:hint="eastAsia" w:ascii="宋体" w:hAnsi="宋体" w:cs="宋体"/>
                <w:color w:val="auto"/>
                <w:szCs w:val="21"/>
                <w:highlight w:val="none"/>
                <w:lang w:val="en-US" w:eastAsia="zh-CN"/>
              </w:rPr>
              <w:t>2.涉及工作经验的</w:t>
            </w:r>
            <w:r>
              <w:rPr>
                <w:rFonts w:hint="eastAsia" w:ascii="宋体" w:hAnsi="宋体" w:cs="宋体"/>
                <w:color w:val="auto"/>
                <w:szCs w:val="21"/>
                <w:highlight w:val="none"/>
              </w:rPr>
              <w:t>，</w:t>
            </w:r>
            <w:r>
              <w:rPr>
                <w:rFonts w:hint="eastAsia" w:ascii="宋体" w:hAnsi="宋体" w:cs="宋体"/>
                <w:bCs/>
                <w:color w:val="auto"/>
                <w:szCs w:val="21"/>
                <w:highlight w:val="none"/>
              </w:rPr>
              <w:t>提供合同关键信息（含合同项目名称、服务内容与签订日期等关键信息，</w:t>
            </w:r>
            <w:r>
              <w:rPr>
                <w:rFonts w:hint="eastAsia" w:ascii="宋体" w:hAnsi="宋体" w:cs="宋体"/>
                <w:color w:val="auto"/>
                <w:szCs w:val="21"/>
                <w:highlight w:val="none"/>
              </w:rPr>
              <w:t>须能体现项目</w:t>
            </w:r>
            <w:r>
              <w:rPr>
                <w:rFonts w:hint="eastAsia" w:ascii="宋体" w:hAnsi="宋体" w:cs="宋体"/>
                <w:color w:val="auto"/>
                <w:szCs w:val="21"/>
                <w:highlight w:val="none"/>
                <w:lang w:val="en-US" w:eastAsia="zh-CN"/>
              </w:rPr>
              <w:t>团队成员</w:t>
            </w:r>
            <w:r>
              <w:rPr>
                <w:rFonts w:hint="eastAsia" w:ascii="宋体" w:hAnsi="宋体" w:cs="宋体"/>
                <w:color w:val="auto"/>
                <w:szCs w:val="21"/>
                <w:highlight w:val="none"/>
              </w:rPr>
              <w:t>信息</w:t>
            </w:r>
            <w:r>
              <w:rPr>
                <w:rFonts w:hint="eastAsia" w:ascii="宋体" w:hAnsi="宋体" w:cs="宋体"/>
                <w:bCs/>
                <w:color w:val="auto"/>
                <w:szCs w:val="21"/>
                <w:highlight w:val="none"/>
              </w:rPr>
              <w:t>）作为得分依据，</w:t>
            </w:r>
            <w:r>
              <w:rPr>
                <w:rFonts w:hint="eastAsia" w:ascii="宋体" w:hAnsi="宋体" w:cs="宋体"/>
                <w:color w:val="auto"/>
                <w:szCs w:val="21"/>
                <w:highlight w:val="none"/>
              </w:rPr>
              <w:t>通过合同关键信息无法判断是否得分的，还须同时提供</w:t>
            </w:r>
            <w:r>
              <w:rPr>
                <w:rFonts w:hint="eastAsia" w:ascii="宋体" w:hAnsi="宋体" w:cs="宋体"/>
                <w:color w:val="auto"/>
                <w:szCs w:val="21"/>
                <w:highlight w:val="none"/>
                <w:lang w:eastAsia="zh-CN"/>
              </w:rPr>
              <w:t>合同相对方</w:t>
            </w:r>
            <w:r>
              <w:rPr>
                <w:rFonts w:hint="eastAsia" w:ascii="宋体" w:hAnsi="宋体" w:cs="宋体"/>
                <w:color w:val="auto"/>
                <w:szCs w:val="21"/>
                <w:highlight w:val="none"/>
              </w:rPr>
              <w:t>出具</w:t>
            </w:r>
            <w:r>
              <w:rPr>
                <w:rFonts w:hint="eastAsia" w:ascii="宋体" w:hAnsi="宋体" w:cs="宋体"/>
                <w:color w:val="auto"/>
                <w:szCs w:val="21"/>
                <w:highlight w:val="none"/>
                <w:lang w:val="en-US" w:eastAsia="zh-CN"/>
              </w:rPr>
              <w:t>加盖公章</w:t>
            </w:r>
            <w:r>
              <w:rPr>
                <w:rFonts w:hint="eastAsia" w:ascii="宋体" w:hAnsi="宋体" w:cs="宋体"/>
                <w:color w:val="auto"/>
                <w:szCs w:val="21"/>
                <w:highlight w:val="none"/>
              </w:rPr>
              <w:t>的证明文件</w:t>
            </w:r>
            <w:r>
              <w:rPr>
                <w:rFonts w:hint="eastAsia" w:ascii="宋体" w:hAnsi="宋体" w:cs="宋体"/>
                <w:bCs/>
                <w:color w:val="auto"/>
                <w:szCs w:val="21"/>
                <w:highlight w:val="none"/>
              </w:rPr>
              <w:t>。</w:t>
            </w:r>
          </w:p>
          <w:p>
            <w:pPr>
              <w:widowControl/>
              <w:snapToGrid w:val="0"/>
              <w:spacing w:line="320" w:lineRule="exac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rPr>
              <w:t>提供相关人员开标日当月（或前一个月）在本单位缴纳且载有社保部门（或税务部门）公章（或业务章）的社保缴交证明材料（如开标日当月或前一个月的社保材料因社保部门（或税务部门）原因暂时无法取得，则可以往前顺延一个月）；成立时间不满1个月的投标人需提供成立时间相关说明材料，并提供承诺函（格式自拟）承诺人员为投标人现有员工，如为退休返聘人员则提供劳动合同或返聘协议，无需提供相关社保证明材料。</w:t>
            </w:r>
          </w:p>
          <w:p>
            <w:pPr>
              <w:rPr>
                <w:rFonts w:ascii="宋体" w:hAnsi="宋体" w:cs="宋体"/>
                <w:szCs w:val="21"/>
              </w:rPr>
            </w:pP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rPr>
              <w:t>未按要求提供相关证明材料（或相关证明材料无法判断是否符合评分要求）的不计得分，原件备查。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pPr>
              <w:wordWrap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5</w:t>
            </w:r>
          </w:p>
        </w:tc>
        <w:tc>
          <w:tcPr>
            <w:tcW w:w="2835"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cs="宋体"/>
                <w:szCs w:val="21"/>
              </w:rPr>
            </w:pPr>
            <w:r>
              <w:rPr>
                <w:rFonts w:hint="eastAsia" w:ascii="宋体" w:hAnsi="宋体" w:eastAsia="宋体" w:cs="宋体"/>
                <w:color w:val="auto"/>
              </w:rPr>
              <w:t>项目重点难点分析、应对措施及相关的合理化建议</w:t>
            </w:r>
          </w:p>
        </w:tc>
        <w:tc>
          <w:tcPr>
            <w:tcW w:w="681"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cs="宋体"/>
                <w:szCs w:val="21"/>
              </w:rPr>
            </w:pPr>
            <w:r>
              <w:rPr>
                <w:rFonts w:hint="eastAsia" w:ascii="宋体" w:hAnsi="宋体" w:cs="宋体"/>
                <w:color w:val="auto"/>
                <w:szCs w:val="21"/>
                <w:highlight w:val="none"/>
                <w:lang w:val="en-US" w:eastAsia="zh-CN"/>
              </w:rPr>
              <w:t>20</w:t>
            </w:r>
          </w:p>
        </w:tc>
        <w:tc>
          <w:tcPr>
            <w:tcW w:w="4196" w:type="dxa"/>
            <w:tcBorders>
              <w:top w:val="single" w:color="000000" w:sz="8" w:space="0"/>
              <w:left w:val="single" w:color="000000" w:sz="8" w:space="0"/>
              <w:bottom w:val="single" w:color="000000" w:sz="8" w:space="0"/>
              <w:right w:val="single" w:color="000000" w:sz="8" w:space="0"/>
            </w:tcBorders>
            <w:vAlign w:val="top"/>
          </w:tcPr>
          <w:p>
            <w:pPr>
              <w:keepNext w:val="0"/>
              <w:keepLines w:val="0"/>
              <w:numPr>
                <w:ilvl w:val="0"/>
                <w:numId w:val="0"/>
              </w:numPr>
              <w:suppressLineNumbers w:val="0"/>
              <w:spacing w:before="0" w:beforeAutospacing="0" w:after="0" w:afterAutospacing="0"/>
              <w:ind w:left="0" w:leftChars="0" w:right="0" w:rightChars="0"/>
              <w:rPr>
                <w:rFonts w:hint="eastAsia"/>
                <w:color w:val="auto"/>
                <w:highlight w:val="none"/>
                <w:lang w:val="en-US" w:eastAsia="zh-CN"/>
              </w:rPr>
            </w:pPr>
            <w:r>
              <w:rPr>
                <w:rFonts w:hint="eastAsia" w:asciiTheme="minorHAnsi" w:hAnsiTheme="minorHAnsi" w:eastAsiaTheme="minorEastAsia" w:cstheme="minorBidi"/>
                <w:color w:val="auto"/>
                <w:kern w:val="2"/>
                <w:sz w:val="21"/>
                <w:szCs w:val="22"/>
                <w:lang w:val="en-US" w:eastAsia="zh-CN" w:bidi="ar-SA"/>
              </w:rPr>
              <w:t>一、</w:t>
            </w:r>
            <w:r>
              <w:rPr>
                <w:rFonts w:hint="eastAsia"/>
                <w:color w:val="auto"/>
                <w:highlight w:val="none"/>
                <w:lang w:val="en-US" w:eastAsia="zh-CN"/>
              </w:rPr>
              <w:t>评审内容：</w:t>
            </w:r>
          </w:p>
          <w:p>
            <w:pPr>
              <w:rPr>
                <w:rFonts w:hint="eastAsia"/>
                <w:color w:val="auto"/>
                <w:highlight w:val="none"/>
                <w:lang w:val="en-US" w:eastAsia="zh-CN"/>
              </w:rPr>
            </w:pPr>
            <w:r>
              <w:rPr>
                <w:color w:val="auto"/>
                <w:highlight w:val="none"/>
              </w:rPr>
              <w:t>投标人需</w:t>
            </w:r>
            <w:r>
              <w:rPr>
                <w:rFonts w:hint="eastAsia" w:ascii="宋体" w:hAnsi="宋体" w:eastAsia="宋体" w:cs="宋体"/>
                <w:color w:val="auto"/>
                <w:highlight w:val="none"/>
              </w:rPr>
              <w:t>项目重点难点分析、应对措施及相关的合理化建议</w:t>
            </w:r>
            <w:r>
              <w:rPr>
                <w:color w:val="auto"/>
                <w:highlight w:val="none"/>
              </w:rPr>
              <w:t>，内容包括</w:t>
            </w:r>
            <w:r>
              <w:rPr>
                <w:rFonts w:hint="eastAsia"/>
                <w:color w:val="auto"/>
                <w:highlight w:val="none"/>
                <w:lang w:eastAsia="zh-CN"/>
              </w:rPr>
              <w:t>：</w:t>
            </w:r>
          </w:p>
          <w:p>
            <w:pPr>
              <w:rPr>
                <w:rFonts w:hint="eastAsia"/>
                <w:color w:val="auto"/>
                <w:highlight w:val="none"/>
              </w:rPr>
            </w:pPr>
            <w:r>
              <w:rPr>
                <w:rFonts w:hint="eastAsia"/>
                <w:color w:val="auto"/>
                <w:highlight w:val="none"/>
                <w:lang w:val="en-US" w:eastAsia="zh-CN"/>
              </w:rPr>
              <w:t>1.对宝安区</w:t>
            </w:r>
            <w:r>
              <w:rPr>
                <w:rFonts w:hint="eastAsia" w:ascii="宋体" w:hAnsi="宋体" w:eastAsia="宋体" w:cs="宋体"/>
                <w:color w:val="auto"/>
                <w:szCs w:val="21"/>
                <w:highlight w:val="none"/>
                <w:lang w:val="en-US" w:eastAsia="zh-CN"/>
              </w:rPr>
              <w:t>公办学校</w:t>
            </w:r>
            <w:r>
              <w:rPr>
                <w:rFonts w:hint="eastAsia" w:ascii="宋体" w:hAnsi="宋体" w:cs="宋体"/>
                <w:color w:val="auto"/>
                <w:szCs w:val="21"/>
                <w:highlight w:val="none"/>
                <w:lang w:val="en-US" w:eastAsia="zh-CN"/>
              </w:rPr>
              <w:t>（小学或初中或高中）</w:t>
            </w:r>
            <w:r>
              <w:rPr>
                <w:rFonts w:hint="eastAsia"/>
                <w:color w:val="auto"/>
                <w:highlight w:val="none"/>
                <w:lang w:val="en-US" w:eastAsia="zh-CN"/>
              </w:rPr>
              <w:t>食堂</w:t>
            </w:r>
            <w:r>
              <w:rPr>
                <w:rFonts w:hint="eastAsia"/>
                <w:color w:val="auto"/>
                <w:highlight w:val="none"/>
              </w:rPr>
              <w:t>项目审核重点难点分析</w:t>
            </w:r>
            <w:r>
              <w:rPr>
                <w:rFonts w:hint="eastAsia"/>
                <w:color w:val="auto"/>
                <w:highlight w:val="none"/>
                <w:lang w:val="en-US" w:eastAsia="zh-CN"/>
              </w:rPr>
              <w:t>；</w:t>
            </w:r>
          </w:p>
          <w:p>
            <w:pPr>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2.提出相应的解决策略和改进措施；</w:t>
            </w:r>
          </w:p>
          <w:p>
            <w:pPr>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3.相关的合理化建议。</w:t>
            </w:r>
          </w:p>
          <w:p>
            <w:pPr>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二、评审标准：</w:t>
            </w:r>
          </w:p>
          <w:p>
            <w:pPr>
              <w:rPr>
                <w:rFonts w:hint="eastAsia"/>
                <w:color w:val="auto"/>
                <w:highlight w:val="none"/>
              </w:rPr>
            </w:pPr>
            <w:r>
              <w:rPr>
                <w:rFonts w:hint="eastAsia"/>
                <w:color w:val="auto"/>
                <w:highlight w:val="none"/>
              </w:rPr>
              <w:t>同时满足以上</w:t>
            </w:r>
            <w:r>
              <w:rPr>
                <w:rFonts w:hint="eastAsia"/>
                <w:color w:val="auto"/>
                <w:highlight w:val="none"/>
                <w:lang w:val="en-US" w:eastAsia="zh-CN"/>
              </w:rPr>
              <w:t>三项内容</w:t>
            </w:r>
            <w:r>
              <w:rPr>
                <w:rFonts w:hint="eastAsia"/>
                <w:color w:val="auto"/>
                <w:highlight w:val="none"/>
                <w:lang w:eastAsia="zh-CN"/>
              </w:rPr>
              <w:t>的</w:t>
            </w:r>
            <w:r>
              <w:rPr>
                <w:rFonts w:hint="eastAsia"/>
                <w:color w:val="auto"/>
                <w:highlight w:val="none"/>
              </w:rPr>
              <w:t>得</w:t>
            </w:r>
            <w:r>
              <w:rPr>
                <w:rFonts w:hint="eastAsia"/>
                <w:color w:val="auto"/>
                <w:highlight w:val="none"/>
                <w:lang w:val="en-US" w:eastAsia="zh-CN"/>
              </w:rPr>
              <w:t>60</w:t>
            </w:r>
            <w:r>
              <w:rPr>
                <w:rFonts w:hint="eastAsia"/>
                <w:color w:val="auto"/>
                <w:highlight w:val="none"/>
              </w:rPr>
              <w:t>分，满足任意</w:t>
            </w:r>
            <w:r>
              <w:rPr>
                <w:rFonts w:hint="eastAsia"/>
                <w:color w:val="auto"/>
                <w:highlight w:val="none"/>
                <w:lang w:val="en-US" w:eastAsia="zh-CN"/>
              </w:rPr>
              <w:t>两项内容</w:t>
            </w:r>
            <w:r>
              <w:rPr>
                <w:rFonts w:hint="eastAsia"/>
                <w:color w:val="auto"/>
                <w:highlight w:val="none"/>
              </w:rPr>
              <w:t>的得</w:t>
            </w:r>
            <w:r>
              <w:rPr>
                <w:rFonts w:hint="eastAsia"/>
                <w:color w:val="auto"/>
                <w:highlight w:val="none"/>
                <w:lang w:val="en-US" w:eastAsia="zh-CN"/>
              </w:rPr>
              <w:t>40</w:t>
            </w:r>
            <w:r>
              <w:rPr>
                <w:rFonts w:hint="eastAsia"/>
                <w:color w:val="auto"/>
                <w:highlight w:val="none"/>
              </w:rPr>
              <w:t>分，满足任意</w:t>
            </w:r>
            <w:r>
              <w:rPr>
                <w:rFonts w:hint="eastAsia"/>
                <w:color w:val="auto"/>
                <w:highlight w:val="none"/>
                <w:lang w:val="en-US" w:eastAsia="zh-CN"/>
              </w:rPr>
              <w:t>一项内容</w:t>
            </w:r>
            <w:r>
              <w:rPr>
                <w:rFonts w:hint="eastAsia"/>
                <w:color w:val="auto"/>
                <w:highlight w:val="none"/>
              </w:rPr>
              <w:t>的得</w:t>
            </w:r>
            <w:r>
              <w:rPr>
                <w:rFonts w:hint="eastAsia"/>
                <w:color w:val="auto"/>
                <w:highlight w:val="none"/>
                <w:lang w:val="en-US" w:eastAsia="zh-CN"/>
              </w:rPr>
              <w:t>20</w:t>
            </w:r>
            <w:r>
              <w:rPr>
                <w:rFonts w:hint="eastAsia"/>
                <w:color w:val="auto"/>
                <w:highlight w:val="none"/>
              </w:rPr>
              <w:t>分，未满足不得分。</w:t>
            </w:r>
          </w:p>
          <w:p>
            <w:pPr>
              <w:rPr>
                <w:rFonts w:hint="eastAsia"/>
                <w:color w:val="auto"/>
                <w:highlight w:val="none"/>
              </w:rPr>
            </w:pPr>
            <w:r>
              <w:rPr>
                <w:rFonts w:hint="eastAsia"/>
                <w:color w:val="auto"/>
                <w:highlight w:val="none"/>
              </w:rPr>
              <w:t>在此基础上，由评审委员会对具体响应内容进一步评审：</w:t>
            </w:r>
          </w:p>
          <w:p>
            <w:pPr>
              <w:rPr>
                <w:rFonts w:hint="eastAsia"/>
                <w:color w:val="auto"/>
                <w:highlight w:val="none"/>
              </w:rPr>
            </w:pPr>
            <w:r>
              <w:rPr>
                <w:rFonts w:hint="eastAsia"/>
                <w:color w:val="auto"/>
                <w:highlight w:val="none"/>
                <w:lang w:val="en-US" w:eastAsia="zh-CN"/>
              </w:rPr>
              <w:t>1.</w:t>
            </w:r>
            <w:r>
              <w:rPr>
                <w:rFonts w:hint="eastAsia"/>
                <w:color w:val="auto"/>
                <w:highlight w:val="none"/>
              </w:rPr>
              <w:t>优评分标准：</w:t>
            </w:r>
            <w:r>
              <w:rPr>
                <w:rFonts w:hint="eastAsia"/>
                <w:color w:val="auto"/>
                <w:highlight w:val="none"/>
                <w:lang w:val="en-US" w:eastAsia="zh-CN"/>
              </w:rPr>
              <w:t>投标方案充分体现对宝安区教育局预算绩效管理的深度理解，紧密结合项目背景，方案内容全面、具体，针对性强、可行性高，且具有较高的规范性和专业性</w:t>
            </w:r>
            <w:r>
              <w:rPr>
                <w:rFonts w:hint="eastAsia"/>
                <w:color w:val="auto"/>
                <w:highlight w:val="none"/>
              </w:rPr>
              <w:t>加</w:t>
            </w:r>
            <w:r>
              <w:rPr>
                <w:rFonts w:hint="eastAsia"/>
                <w:color w:val="auto"/>
                <w:highlight w:val="none"/>
                <w:lang w:val="en-US" w:eastAsia="zh-CN"/>
              </w:rPr>
              <w:t>40</w:t>
            </w:r>
            <w:r>
              <w:rPr>
                <w:rFonts w:hint="eastAsia"/>
                <w:color w:val="auto"/>
                <w:highlight w:val="none"/>
              </w:rPr>
              <w:t>分；</w:t>
            </w:r>
          </w:p>
          <w:p>
            <w:pPr>
              <w:rPr>
                <w:rFonts w:hint="eastAsia"/>
                <w:color w:val="auto"/>
                <w:highlight w:val="none"/>
              </w:rPr>
            </w:pPr>
            <w:r>
              <w:rPr>
                <w:rFonts w:hint="eastAsia"/>
                <w:color w:val="auto"/>
                <w:highlight w:val="none"/>
              </w:rPr>
              <w:t>2</w:t>
            </w:r>
            <w:r>
              <w:rPr>
                <w:rFonts w:hint="eastAsia"/>
                <w:color w:val="auto"/>
                <w:highlight w:val="none"/>
                <w:lang w:val="en-US" w:eastAsia="zh-CN"/>
              </w:rPr>
              <w:t>.</w:t>
            </w:r>
            <w:r>
              <w:rPr>
                <w:rFonts w:hint="eastAsia"/>
                <w:color w:val="auto"/>
                <w:highlight w:val="none"/>
              </w:rPr>
              <w:t>良评分标准：方案较好地结合项目背景，能制定出较为具体的重点难点分析及应对措施，内容较为全面、具体，针对性和可行性较强，具备较好的规范性和专业性</w:t>
            </w:r>
            <w:r>
              <w:rPr>
                <w:rFonts w:hint="eastAsia"/>
                <w:color w:val="auto"/>
                <w:highlight w:val="none"/>
                <w:lang w:eastAsia="zh-CN"/>
              </w:rPr>
              <w:t>，</w:t>
            </w:r>
            <w:r>
              <w:rPr>
                <w:rFonts w:hint="eastAsia"/>
                <w:color w:val="auto"/>
                <w:highlight w:val="none"/>
              </w:rPr>
              <w:t>加</w:t>
            </w:r>
            <w:r>
              <w:rPr>
                <w:rFonts w:hint="eastAsia"/>
                <w:color w:val="auto"/>
                <w:highlight w:val="none"/>
                <w:lang w:val="en-US" w:eastAsia="zh-CN"/>
              </w:rPr>
              <w:t>20</w:t>
            </w:r>
            <w:r>
              <w:rPr>
                <w:rFonts w:hint="eastAsia"/>
                <w:color w:val="auto"/>
                <w:highlight w:val="none"/>
              </w:rPr>
              <w:t>分；</w:t>
            </w:r>
          </w:p>
          <w:p>
            <w:pPr>
              <w:rPr>
                <w:rFonts w:hint="eastAsia"/>
                <w:color w:val="auto"/>
                <w:highlight w:val="none"/>
              </w:rPr>
            </w:pPr>
            <w:r>
              <w:rPr>
                <w:rFonts w:hint="eastAsia"/>
                <w:color w:val="auto"/>
                <w:highlight w:val="none"/>
              </w:rPr>
              <w:t>3</w:t>
            </w:r>
            <w:r>
              <w:rPr>
                <w:rFonts w:hint="eastAsia"/>
                <w:color w:val="auto"/>
                <w:highlight w:val="none"/>
                <w:lang w:eastAsia="zh-CN"/>
              </w:rPr>
              <w:t>.中</w:t>
            </w:r>
            <w:r>
              <w:rPr>
                <w:rFonts w:hint="eastAsia"/>
                <w:color w:val="auto"/>
                <w:highlight w:val="none"/>
              </w:rPr>
              <w:t>评分标准：</w:t>
            </w:r>
            <w:r>
              <w:rPr>
                <w:rFonts w:hint="eastAsia"/>
                <w:color w:val="auto"/>
                <w:highlight w:val="none"/>
                <w:lang w:val="en-US" w:eastAsia="zh-CN"/>
              </w:rPr>
              <w:t>方案虽能结合项目背景提出重点难点分析及应对措施，但内容存在针对性、可行性及专业性不足的问题</w:t>
            </w:r>
            <w:r>
              <w:rPr>
                <w:rFonts w:hint="eastAsia"/>
                <w:color w:val="auto"/>
                <w:highlight w:val="none"/>
              </w:rPr>
              <w:t>，加</w:t>
            </w:r>
            <w:r>
              <w:rPr>
                <w:rFonts w:hint="eastAsia"/>
                <w:color w:val="auto"/>
                <w:highlight w:val="none"/>
                <w:lang w:val="en-US" w:eastAsia="zh-CN"/>
              </w:rPr>
              <w:t>10</w:t>
            </w:r>
            <w:r>
              <w:rPr>
                <w:rFonts w:hint="eastAsia"/>
                <w:color w:val="auto"/>
                <w:highlight w:val="none"/>
              </w:rPr>
              <w:t>分；</w:t>
            </w:r>
          </w:p>
          <w:p>
            <w:pPr>
              <w:keepNext w:val="0"/>
              <w:keepLines w:val="0"/>
              <w:suppressLineNumbers w:val="0"/>
              <w:spacing w:before="0" w:beforeAutospacing="0" w:after="0" w:afterAutospacing="0"/>
              <w:ind w:left="0" w:right="0"/>
              <w:rPr>
                <w:color w:val="auto"/>
                <w:highlight w:val="none"/>
              </w:rPr>
            </w:pPr>
            <w:r>
              <w:rPr>
                <w:rFonts w:hint="eastAsia"/>
                <w:color w:val="auto"/>
                <w:highlight w:val="none"/>
                <w:lang w:val="en-US" w:eastAsia="zh-CN"/>
              </w:rPr>
              <w:t>4.差评分标准：方案内容空泛，未能提供有效的重点难点分析及应对措施，或存在明显偏离项目要求的情况的，得0分。</w:t>
            </w:r>
          </w:p>
          <w:p>
            <w:pPr>
              <w:pStyle w:val="2"/>
              <w:ind w:firstLine="0" w:firstLineChars="0"/>
              <w:rPr>
                <w:rFonts w:ascii="宋体" w:hAnsi="宋体" w:cs="宋体"/>
                <w:szCs w:val="21"/>
              </w:rPr>
            </w:pPr>
            <w:r>
              <w:rPr>
                <w:rFonts w:hint="eastAsia"/>
                <w:color w:val="auto"/>
                <w:highlight w:val="none"/>
                <w:lang w:val="en-US" w:eastAsia="zh-CN"/>
              </w:rPr>
              <w:t>以上相加最高得100分。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pPr>
              <w:wordWrap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6</w:t>
            </w:r>
          </w:p>
        </w:tc>
        <w:tc>
          <w:tcPr>
            <w:tcW w:w="2835" w:type="dxa"/>
            <w:tcBorders>
              <w:top w:val="single" w:color="000000" w:sz="8" w:space="0"/>
              <w:left w:val="single" w:color="000000" w:sz="8" w:space="0"/>
              <w:bottom w:val="single" w:color="000000" w:sz="8" w:space="0"/>
              <w:right w:val="single" w:color="000000" w:sz="8" w:space="0"/>
            </w:tcBorders>
            <w:vAlign w:val="center"/>
          </w:tcPr>
          <w:p>
            <w:pPr>
              <w:wordWrap w:val="0"/>
              <w:jc w:val="center"/>
              <w:rPr>
                <w:rFonts w:ascii="宋体" w:hAnsi="宋体" w:cs="宋体"/>
                <w:szCs w:val="21"/>
              </w:rPr>
            </w:pPr>
            <w:r>
              <w:rPr>
                <w:rFonts w:hint="eastAsia" w:ascii="宋体" w:hAnsi="宋体" w:eastAsia="宋体" w:cs="宋体"/>
                <w:color w:val="auto"/>
                <w:szCs w:val="21"/>
              </w:rPr>
              <w:t>项目完成（服务期满）后的服务承诺</w:t>
            </w:r>
          </w:p>
        </w:tc>
        <w:tc>
          <w:tcPr>
            <w:tcW w:w="681" w:type="dxa"/>
            <w:tcBorders>
              <w:top w:val="single" w:color="000000" w:sz="8" w:space="0"/>
              <w:left w:val="single" w:color="000000" w:sz="8" w:space="0"/>
              <w:bottom w:val="single" w:color="000000" w:sz="8" w:space="0"/>
              <w:right w:val="single" w:color="000000" w:sz="8" w:space="0"/>
            </w:tcBorders>
            <w:vAlign w:val="center"/>
          </w:tcPr>
          <w:p>
            <w:pPr>
              <w:wordWrap w:val="0"/>
              <w:jc w:val="center"/>
              <w:rPr>
                <w:rFonts w:ascii="宋体" w:hAnsi="宋体" w:cs="宋体"/>
                <w:szCs w:val="21"/>
              </w:rPr>
            </w:pPr>
            <w:r>
              <w:rPr>
                <w:rFonts w:hint="eastAsia" w:ascii="宋体" w:hAnsi="宋体" w:eastAsia="宋体" w:cs="宋体"/>
                <w:color w:val="auto"/>
                <w:szCs w:val="21"/>
                <w:highlight w:val="none"/>
                <w:lang w:val="en-US" w:eastAsia="zh-CN"/>
              </w:rPr>
              <w:t>3</w:t>
            </w:r>
          </w:p>
        </w:tc>
        <w:tc>
          <w:tcPr>
            <w:tcW w:w="4196" w:type="dxa"/>
            <w:tcBorders>
              <w:top w:val="single" w:color="000000" w:sz="8" w:space="0"/>
              <w:left w:val="single" w:color="000000" w:sz="8" w:space="0"/>
              <w:bottom w:val="single" w:color="000000" w:sz="8" w:space="0"/>
              <w:right w:val="single" w:color="000000" w:sz="8" w:space="0"/>
            </w:tcBorders>
            <w:vAlign w:val="top"/>
          </w:tcPr>
          <w:p>
            <w:pPr>
              <w:jc w:val="left"/>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一、评审内容：</w:t>
            </w:r>
          </w:p>
          <w:p>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根据招标文件的需求，制定本项目的项目完成（服务期满）后的服务承诺函（格式自定），内容包括：</w:t>
            </w:r>
          </w:p>
          <w:p>
            <w:pPr>
              <w:numPr>
                <w:ilvl w:val="0"/>
                <w:numId w:val="0"/>
              </w:num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项目资料移交：应移交完备的项目资料文档，包括但不限于</w:t>
            </w:r>
            <w:r>
              <w:rPr>
                <w:rFonts w:hint="eastAsia" w:ascii="宋体" w:hAnsi="宋体" w:eastAsia="宋体" w:cs="宋体"/>
                <w:color w:val="auto"/>
                <w:szCs w:val="21"/>
                <w:highlight w:val="none"/>
                <w:lang w:eastAsia="zh-CN"/>
              </w:rPr>
              <w:t>审计工作底稿、审计</w:t>
            </w:r>
            <w:r>
              <w:rPr>
                <w:rFonts w:hint="eastAsia" w:ascii="宋体" w:hAnsi="宋体" w:eastAsia="宋体" w:cs="宋体"/>
                <w:color w:val="auto"/>
                <w:szCs w:val="21"/>
                <w:highlight w:val="none"/>
              </w:rPr>
              <w:t>台账、</w:t>
            </w:r>
            <w:r>
              <w:rPr>
                <w:rFonts w:hint="eastAsia" w:ascii="宋体" w:hAnsi="宋体" w:eastAsia="宋体" w:cs="宋体"/>
                <w:color w:val="auto"/>
                <w:szCs w:val="21"/>
                <w:highlight w:val="none"/>
                <w:lang w:eastAsia="zh-CN"/>
              </w:rPr>
              <w:t>审计查询函、审计取证单</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审计复核意见、征求意见稿</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审计报告</w:t>
            </w:r>
            <w:r>
              <w:rPr>
                <w:rFonts w:hint="eastAsia" w:ascii="宋体" w:hAnsi="宋体" w:eastAsia="宋体" w:cs="宋体"/>
                <w:color w:val="auto"/>
                <w:szCs w:val="21"/>
                <w:highlight w:val="none"/>
              </w:rPr>
              <w:t>等；</w:t>
            </w:r>
          </w:p>
          <w:p>
            <w:pPr>
              <w:numPr>
                <w:ilvl w:val="0"/>
                <w:numId w:val="0"/>
              </w:numPr>
              <w:ind w:left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项目交接手续：承诺</w:t>
            </w:r>
            <w:r>
              <w:rPr>
                <w:rFonts w:hint="eastAsia" w:ascii="宋体" w:hAnsi="宋体" w:eastAsia="宋体" w:cs="宋体"/>
                <w:color w:val="auto"/>
                <w:szCs w:val="21"/>
                <w:highlight w:val="none"/>
                <w:lang w:eastAsia="zh-CN"/>
              </w:rPr>
              <w:t>项目完成</w:t>
            </w:r>
            <w:r>
              <w:rPr>
                <w:rFonts w:hint="eastAsia" w:ascii="宋体" w:hAnsi="宋体" w:eastAsia="宋体" w:cs="宋体"/>
                <w:color w:val="auto"/>
                <w:szCs w:val="21"/>
                <w:highlight w:val="none"/>
              </w:rPr>
              <w:t>后，配合办理交接手续；</w:t>
            </w:r>
          </w:p>
          <w:p>
            <w:pPr>
              <w:numPr>
                <w:ilvl w:val="0"/>
                <w:numId w:val="0"/>
              </w:numPr>
              <w:ind w:left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项目</w:t>
            </w:r>
            <w:r>
              <w:rPr>
                <w:rFonts w:hint="eastAsia" w:ascii="宋体" w:hAnsi="宋体" w:eastAsia="宋体" w:cs="宋体"/>
                <w:color w:val="auto"/>
                <w:szCs w:val="21"/>
                <w:highlight w:val="none"/>
                <w:lang w:eastAsia="zh-CN"/>
              </w:rPr>
              <w:t>完成</w:t>
            </w:r>
            <w:r>
              <w:rPr>
                <w:rFonts w:hint="eastAsia" w:ascii="宋体" w:hAnsi="宋体" w:eastAsia="宋体" w:cs="宋体"/>
                <w:color w:val="auto"/>
                <w:szCs w:val="21"/>
                <w:highlight w:val="none"/>
              </w:rPr>
              <w:t>提供的</w:t>
            </w:r>
            <w:r>
              <w:rPr>
                <w:rFonts w:hint="eastAsia" w:ascii="宋体" w:hAnsi="宋体" w:eastAsia="宋体" w:cs="宋体"/>
                <w:color w:val="auto"/>
                <w:szCs w:val="21"/>
                <w:highlight w:val="none"/>
                <w:lang w:eastAsia="zh-CN"/>
              </w:rPr>
              <w:t>审计整改</w:t>
            </w:r>
            <w:r>
              <w:rPr>
                <w:rFonts w:hint="eastAsia" w:ascii="宋体" w:hAnsi="宋体" w:eastAsia="宋体" w:cs="宋体"/>
                <w:color w:val="auto"/>
                <w:szCs w:val="21"/>
                <w:highlight w:val="none"/>
              </w:rPr>
              <w:t>咨询等相关服务。</w:t>
            </w:r>
          </w:p>
          <w:p>
            <w:pPr>
              <w:numPr>
                <w:ilvl w:val="0"/>
                <w:numId w:val="0"/>
              </w:numPr>
              <w:ind w:left="0" w:leftChars="0" w:firstLine="0" w:firstLineChars="0"/>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val="en-US" w:eastAsia="zh-CN"/>
              </w:rPr>
              <w:t>二、</w:t>
            </w:r>
            <w:r>
              <w:rPr>
                <w:rFonts w:hint="eastAsia" w:ascii="宋体" w:hAnsi="宋体" w:eastAsia="宋体" w:cs="宋体"/>
                <w:b/>
                <w:bCs/>
                <w:color w:val="auto"/>
                <w:szCs w:val="21"/>
                <w:highlight w:val="none"/>
              </w:rPr>
              <w:t>评审依据：</w:t>
            </w:r>
          </w:p>
          <w:p>
            <w:pPr>
              <w:numPr>
                <w:ilvl w:val="0"/>
                <w:numId w:val="0"/>
              </w:numPr>
              <w:ind w:left="0" w:leftChars="0" w:firstLine="0" w:firstLineChars="0"/>
              <w:jc w:val="left"/>
              <w:rPr>
                <w:rFonts w:ascii="宋体" w:hAnsi="宋体" w:cs="宋体"/>
                <w:szCs w:val="21"/>
              </w:rPr>
            </w:pPr>
            <w:r>
              <w:rPr>
                <w:rFonts w:hint="eastAsia" w:ascii="宋体" w:hAnsi="宋体" w:eastAsia="宋体" w:cs="宋体"/>
                <w:color w:val="auto"/>
                <w:szCs w:val="21"/>
                <w:highlight w:val="none"/>
              </w:rPr>
              <w:t>提供承诺函（格式自拟），内容涵盖以上三个方面得</w:t>
            </w:r>
            <w:r>
              <w:rPr>
                <w:rFonts w:hint="eastAsia" w:ascii="宋体" w:hAnsi="宋体" w:eastAsia="宋体" w:cs="宋体"/>
                <w:color w:val="auto"/>
                <w:szCs w:val="21"/>
                <w:highlight w:val="none"/>
                <w:lang w:val="en-US" w:eastAsia="zh-CN"/>
              </w:rPr>
              <w:t>100</w:t>
            </w:r>
            <w:r>
              <w:rPr>
                <w:rFonts w:hint="eastAsia" w:ascii="宋体" w:hAnsi="宋体" w:eastAsia="宋体" w:cs="宋体"/>
                <w:color w:val="auto"/>
                <w:szCs w:val="21"/>
                <w:highlight w:val="none"/>
              </w:rPr>
              <w:t>分，未提供承诺或承诺内容不满足要求的不得分。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pPr>
              <w:wordWrap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7</w:t>
            </w:r>
          </w:p>
        </w:tc>
        <w:tc>
          <w:tcPr>
            <w:tcW w:w="2835" w:type="dxa"/>
            <w:tcBorders>
              <w:top w:val="single" w:color="000000" w:sz="8" w:space="0"/>
              <w:left w:val="single" w:color="000000" w:sz="8" w:space="0"/>
              <w:bottom w:val="single" w:color="000000" w:sz="8" w:space="0"/>
              <w:right w:val="single" w:color="000000" w:sz="8" w:space="0"/>
            </w:tcBorders>
            <w:vAlign w:val="center"/>
          </w:tcPr>
          <w:p>
            <w:pPr>
              <w:wordWrap w:val="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rPr>
              <w:t>违约承诺</w:t>
            </w:r>
          </w:p>
        </w:tc>
        <w:tc>
          <w:tcPr>
            <w:tcW w:w="681" w:type="dxa"/>
            <w:tcBorders>
              <w:top w:val="single" w:color="000000" w:sz="8" w:space="0"/>
              <w:left w:val="single" w:color="000000" w:sz="8" w:space="0"/>
              <w:bottom w:val="single" w:color="000000" w:sz="8" w:space="0"/>
              <w:right w:val="single" w:color="000000" w:sz="8" w:space="0"/>
            </w:tcBorders>
            <w:vAlign w:val="center"/>
          </w:tcPr>
          <w:p>
            <w:pPr>
              <w:wordWrap w:val="0"/>
              <w:jc w:val="center"/>
              <w:rPr>
                <w:rFonts w:cs="宋体" w:asciiTheme="minorEastAsia" w:hAnsiTheme="minorEastAsia" w:eastAsiaTheme="minorEastAsia"/>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w:t>
            </w:r>
          </w:p>
        </w:tc>
        <w:tc>
          <w:tcPr>
            <w:tcW w:w="4196" w:type="dxa"/>
            <w:tcBorders>
              <w:top w:val="single" w:color="000000" w:sz="8" w:space="0"/>
              <w:left w:val="single" w:color="000000" w:sz="8" w:space="0"/>
              <w:bottom w:val="single" w:color="000000" w:sz="8" w:space="0"/>
              <w:right w:val="single" w:color="000000" w:sz="8" w:space="0"/>
            </w:tcBorders>
            <w:vAlign w:val="top"/>
          </w:tcPr>
          <w:p>
            <w:pPr>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一、评审内容</w:t>
            </w:r>
          </w:p>
          <w:p>
            <w:pPr>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投标人承诺以下内容得满分：对未能达到管理要求承担相应管理责任。</w:t>
            </w:r>
          </w:p>
          <w:p>
            <w:pPr>
              <w:numPr>
                <w:ilvl w:val="0"/>
                <w:numId w:val="0"/>
              </w:numPr>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kern w:val="2"/>
                <w:sz w:val="21"/>
                <w:szCs w:val="21"/>
                <w:lang w:val="en-US" w:eastAsia="zh-CN" w:bidi="ar-SA"/>
              </w:rPr>
              <w:t>二、</w:t>
            </w:r>
            <w:r>
              <w:rPr>
                <w:rFonts w:hint="eastAsia" w:ascii="宋体" w:hAnsi="宋体" w:eastAsia="宋体" w:cs="宋体"/>
                <w:color w:val="auto"/>
                <w:szCs w:val="21"/>
                <w:highlight w:val="none"/>
                <w:lang w:val="en-US" w:eastAsia="zh-CN"/>
              </w:rPr>
              <w:t>评审依据</w:t>
            </w:r>
          </w:p>
          <w:p>
            <w:pPr>
              <w:numPr>
                <w:ilvl w:val="0"/>
                <w:numId w:val="0"/>
              </w:numPr>
              <w:ind w:left="0" w:leftChars="0" w:firstLine="0" w:firstLineChars="0"/>
              <w:jc w:val="left"/>
              <w:rPr>
                <w:rFonts w:cs="宋体" w:asciiTheme="minorEastAsia" w:hAnsiTheme="minorEastAsia" w:eastAsiaTheme="minorEastAsia"/>
                <w:color w:val="auto"/>
                <w:kern w:val="2"/>
                <w:sz w:val="21"/>
                <w:szCs w:val="21"/>
                <w:highlight w:val="none"/>
                <w:lang w:val="en-US" w:eastAsia="zh-CN" w:bidi="ar-SA"/>
              </w:rPr>
            </w:pPr>
            <w:r>
              <w:rPr>
                <w:rFonts w:hint="eastAsia" w:ascii="宋体" w:hAnsi="宋体" w:eastAsia="宋体" w:cs="宋体"/>
                <w:color w:val="auto"/>
                <w:szCs w:val="21"/>
                <w:highlight w:val="none"/>
              </w:rPr>
              <w:t>提供承诺函（格式自拟），未提供承诺或承诺内容不满足要求的不得分。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bottom w:val="single" w:color="000000" w:sz="8" w:space="0"/>
              <w:right w:val="single" w:color="000000" w:sz="8" w:space="0"/>
            </w:tcBorders>
          </w:tcPr>
          <w:p>
            <w:pPr>
              <w:wordWrap w:val="0"/>
              <w:jc w:val="center"/>
              <w:rPr>
                <w:rFonts w:ascii="宋体" w:hAnsi="宋体" w:cs="宋体"/>
                <w:b/>
                <w:bCs/>
                <w:color w:val="0000FF"/>
                <w:sz w:val="24"/>
              </w:rPr>
            </w:pPr>
            <w:r>
              <w:rPr>
                <w:b/>
                <w:bCs/>
                <w:color w:val="0000FF"/>
              </w:rPr>
              <w:t>3</w:t>
            </w:r>
          </w:p>
        </w:tc>
        <w:tc>
          <w:tcPr>
            <w:tcW w:w="4196" w:type="dxa"/>
            <w:gridSpan w:val="3"/>
            <w:tcBorders>
              <w:top w:val="single" w:color="000000" w:sz="8" w:space="0"/>
              <w:left w:val="single" w:color="000000" w:sz="8" w:space="0"/>
              <w:bottom w:val="single" w:color="000000" w:sz="8" w:space="0"/>
              <w:right w:val="single" w:color="000000" w:sz="8" w:space="0"/>
            </w:tcBorders>
          </w:tcPr>
          <w:p>
            <w:pPr>
              <w:wordWrap w:val="0"/>
              <w:jc w:val="center"/>
              <w:rPr>
                <w:rFonts w:ascii="宋体" w:hAnsi="宋体" w:cs="宋体"/>
                <w:b/>
                <w:bCs/>
                <w:color w:val="0000FF"/>
                <w:sz w:val="24"/>
              </w:rPr>
            </w:pPr>
            <w:r>
              <w:rPr>
                <w:rFonts w:hint="eastAsia" w:asciiTheme="minorEastAsia" w:hAnsiTheme="minorEastAsia"/>
                <w:b/>
                <w:bCs/>
                <w:szCs w:val="21"/>
                <w:lang w:val="en-US" w:eastAsia="zh-CN"/>
              </w:rPr>
              <w:t>商务</w:t>
            </w:r>
            <w:r>
              <w:rPr>
                <w:rFonts w:asciiTheme="minorEastAsia" w:hAnsiTheme="minorEastAsia"/>
                <w:b/>
                <w:bCs/>
                <w:szCs w:val="21"/>
              </w:rPr>
              <w:t>部分</w:t>
            </w:r>
          </w:p>
        </w:tc>
        <w:tc>
          <w:tcPr>
            <w:tcW w:w="4196" w:type="dxa"/>
            <w:tcBorders>
              <w:top w:val="single" w:color="000000" w:sz="8" w:space="0"/>
              <w:left w:val="single" w:color="000000" w:sz="8" w:space="0"/>
              <w:bottom w:val="single" w:color="000000" w:sz="8" w:space="0"/>
              <w:right w:val="single" w:color="000000" w:sz="8" w:space="0"/>
            </w:tcBorders>
          </w:tcPr>
          <w:p>
            <w:pPr>
              <w:wordWrap w:val="0"/>
              <w:jc w:val="center"/>
              <w:rPr>
                <w:rFonts w:hint="default" w:ascii="宋体" w:hAnsi="宋体" w:cs="宋体" w:eastAsiaTheme="minorEastAsia"/>
                <w:b/>
                <w:bCs/>
                <w:color w:val="0000FF"/>
                <w:sz w:val="24"/>
                <w:lang w:val="en-US" w:eastAsia="zh-CN"/>
              </w:rPr>
            </w:pPr>
            <w:r>
              <w:rPr>
                <w:rFonts w:hint="eastAsia" w:ascii="宋体" w:hAnsi="宋体" w:cs="宋体"/>
                <w:b/>
                <w:bCs/>
                <w:color w:val="0000FF"/>
                <w:sz w:val="24"/>
                <w:lang w:val="en-US" w:eastAsia="zh-CN"/>
              </w:rPr>
              <w:t>17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8392" w:type="dxa"/>
            <w:gridSpan w:val="4"/>
            <w:tcBorders>
              <w:top w:val="single" w:color="000000" w:sz="8" w:space="0"/>
              <w:left w:val="single" w:color="000000" w:sz="8" w:space="0"/>
              <w:bottom w:val="single" w:color="000000" w:sz="8" w:space="0"/>
              <w:right w:val="single" w:color="000000" w:sz="8" w:space="0"/>
            </w:tcBorders>
          </w:tcPr>
          <w:p>
            <w:pPr>
              <w:wordWrap w:val="0"/>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rPr>
                <w:rFonts w:ascii="宋体" w:hAnsi="宋体" w:cs="宋体"/>
                <w:b/>
                <w:bCs/>
                <w:color w:val="0000FF"/>
                <w:sz w:val="24"/>
              </w:rPr>
            </w:pPr>
          </w:p>
        </w:tc>
        <w:tc>
          <w:tcPr>
            <w:tcW w:w="680" w:type="dxa"/>
            <w:tcBorders>
              <w:top w:val="outset" w:color="000000" w:sz="6" w:space="0"/>
              <w:left w:val="outset" w:color="000000" w:sz="6" w:space="0"/>
              <w:bottom w:val="outset" w:color="000000" w:sz="6" w:space="0"/>
              <w:right w:val="outset" w:color="000000" w:sz="6" w:space="0"/>
            </w:tcBorders>
            <w:shd w:val="clear" w:color="auto" w:fill="E6EFFA"/>
            <w:vAlign w:val="center"/>
          </w:tcPr>
          <w:p>
            <w:pPr>
              <w:wordWrap w:val="0"/>
              <w:jc w:val="center"/>
              <w:rPr>
                <w:rFonts w:ascii="宋体" w:hAnsi="宋体" w:cs="宋体"/>
                <w:szCs w:val="21"/>
              </w:rPr>
            </w:pPr>
            <w:r>
              <w:rPr>
                <w:szCs w:val="21"/>
              </w:rPr>
              <w:t>序号</w:t>
            </w:r>
          </w:p>
        </w:tc>
        <w:tc>
          <w:tcPr>
            <w:tcW w:w="2835" w:type="dxa"/>
            <w:tcBorders>
              <w:top w:val="outset" w:color="000000" w:sz="6" w:space="0"/>
              <w:left w:val="outset" w:color="000000" w:sz="6" w:space="0"/>
              <w:bottom w:val="outset" w:color="000000" w:sz="6" w:space="0"/>
              <w:right w:val="outset" w:color="000000" w:sz="6" w:space="0"/>
            </w:tcBorders>
            <w:shd w:val="clear" w:color="auto" w:fill="E6EFFA"/>
            <w:vAlign w:val="center"/>
          </w:tcPr>
          <w:p>
            <w:pPr>
              <w:wordWrap w:val="0"/>
              <w:jc w:val="center"/>
              <w:rPr>
                <w:rFonts w:ascii="宋体" w:hAnsi="宋体" w:cs="宋体"/>
                <w:szCs w:val="21"/>
              </w:rPr>
            </w:pPr>
            <w:r>
              <w:rPr>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ordWrap w:val="0"/>
              <w:jc w:val="center"/>
              <w:rPr>
                <w:rFonts w:ascii="宋体" w:hAnsi="宋体" w:cs="宋体"/>
                <w:szCs w:val="21"/>
              </w:rPr>
            </w:pPr>
            <w:r>
              <w:rPr>
                <w:szCs w:val="21"/>
              </w:rPr>
              <w:t>权重(%)</w:t>
            </w:r>
          </w:p>
        </w:tc>
        <w:tc>
          <w:tcPr>
            <w:tcW w:w="4196" w:type="dxa"/>
            <w:tcBorders>
              <w:top w:val="outset" w:color="000000" w:sz="6" w:space="0"/>
              <w:left w:val="outset" w:color="000000" w:sz="6" w:space="0"/>
              <w:bottom w:val="outset" w:color="000000" w:sz="6" w:space="0"/>
              <w:right w:val="outset" w:color="000000" w:sz="6" w:space="0"/>
            </w:tcBorders>
            <w:shd w:val="clear" w:color="auto" w:fill="E6EFFA"/>
            <w:vAlign w:val="center"/>
          </w:tcPr>
          <w:p>
            <w:pPr>
              <w:wordWrap w:val="0"/>
              <w:jc w:val="center"/>
              <w:rPr>
                <w:rFonts w:ascii="宋体" w:hAnsi="宋体" w:cs="宋体"/>
                <w:szCs w:val="21"/>
              </w:rPr>
            </w:pPr>
            <w:r>
              <w:rPr>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pPr>
              <w:wordWrap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1</w:t>
            </w:r>
          </w:p>
        </w:tc>
        <w:tc>
          <w:tcPr>
            <w:tcW w:w="2835" w:type="dxa"/>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szCs w:val="21"/>
              </w:rPr>
            </w:pPr>
            <w:r>
              <w:rPr>
                <w:rFonts w:hint="eastAsia" w:ascii="宋体" w:hAnsi="宋体" w:eastAsia="宋体" w:cs="宋体"/>
                <w:color w:val="auto"/>
                <w:szCs w:val="21"/>
                <w:highlight w:val="none"/>
              </w:rPr>
              <w:t>投标人通过相关认证情况</w:t>
            </w:r>
          </w:p>
        </w:tc>
        <w:tc>
          <w:tcPr>
            <w:tcW w:w="681"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cs="宋体"/>
                <w:szCs w:val="21"/>
              </w:rPr>
            </w:pPr>
            <w:r>
              <w:rPr>
                <w:rFonts w:hint="eastAsia" w:ascii="宋体" w:hAnsi="宋体" w:eastAsia="宋体" w:cs="宋体"/>
                <w:color w:val="auto"/>
                <w:szCs w:val="21"/>
                <w:highlight w:val="none"/>
                <w:lang w:val="en-US" w:eastAsia="zh-CN"/>
              </w:rPr>
              <w:t>2</w:t>
            </w:r>
          </w:p>
        </w:tc>
        <w:tc>
          <w:tcPr>
            <w:tcW w:w="4196" w:type="dxa"/>
            <w:tcBorders>
              <w:top w:val="single" w:color="000000" w:sz="8" w:space="0"/>
              <w:left w:val="single" w:color="000000" w:sz="8" w:space="0"/>
              <w:bottom w:val="single" w:color="000000" w:sz="8" w:space="0"/>
              <w:right w:val="single" w:color="000000" w:sz="8" w:space="0"/>
            </w:tcBorders>
            <w:vAlign w:val="center"/>
          </w:tcPr>
          <w:p>
            <w:pPr>
              <w:numPr>
                <w:ilvl w:val="0"/>
                <w:numId w:val="0"/>
              </w:numPr>
              <w:ind w:left="0" w:leftChars="0" w:firstLine="0" w:firstLineChars="0"/>
              <w:rPr>
                <w:rFonts w:hint="eastAsia" w:ascii="宋体" w:hAnsi="宋体" w:eastAsia="宋体" w:cs="宋体"/>
                <w:b/>
                <w:bCs w:val="0"/>
                <w:color w:val="auto"/>
                <w:szCs w:val="21"/>
                <w:highlight w:val="none"/>
              </w:rPr>
            </w:pPr>
            <w:r>
              <w:rPr>
                <w:rFonts w:hint="eastAsia" w:ascii="宋体" w:hAnsi="宋体" w:eastAsia="宋体" w:cs="宋体"/>
                <w:b/>
                <w:bCs w:val="0"/>
                <w:color w:val="auto"/>
                <w:kern w:val="2"/>
                <w:sz w:val="21"/>
                <w:szCs w:val="21"/>
                <w:lang w:val="en-US" w:eastAsia="zh-CN" w:bidi="ar-SA"/>
              </w:rPr>
              <w:t>一、</w:t>
            </w:r>
            <w:r>
              <w:rPr>
                <w:rFonts w:hint="eastAsia" w:ascii="宋体" w:hAnsi="宋体" w:eastAsia="宋体" w:cs="宋体"/>
                <w:b/>
                <w:bCs w:val="0"/>
                <w:color w:val="auto"/>
                <w:szCs w:val="21"/>
                <w:highlight w:val="none"/>
              </w:rPr>
              <w:t>评审内容：</w:t>
            </w:r>
          </w:p>
          <w:p>
            <w:pPr>
              <w:numPr>
                <w:ilvl w:val="0"/>
                <w:numId w:val="0"/>
              </w:numPr>
              <w:ind w:leftChars="0"/>
              <w:rPr>
                <w:rFonts w:hint="default"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rPr>
              <w:t>具</w:t>
            </w:r>
            <w:r>
              <w:rPr>
                <w:rFonts w:hint="eastAsia" w:ascii="宋体" w:hAnsi="宋体" w:eastAsia="宋体" w:cs="宋体"/>
                <w:b w:val="0"/>
                <w:bCs/>
                <w:color w:val="auto"/>
                <w:szCs w:val="21"/>
                <w:highlight w:val="none"/>
              </w:rPr>
              <w:t>有质量管理</w:t>
            </w:r>
            <w:r>
              <w:rPr>
                <w:rFonts w:hint="eastAsia" w:ascii="宋体" w:hAnsi="宋体" w:eastAsia="宋体" w:cs="宋体"/>
                <w:b w:val="0"/>
                <w:bCs/>
                <w:color w:val="auto"/>
                <w:szCs w:val="21"/>
                <w:highlight w:val="none"/>
                <w:lang w:val="en-US" w:eastAsia="zh-CN"/>
              </w:rPr>
              <w:t>体系</w:t>
            </w:r>
            <w:r>
              <w:rPr>
                <w:rFonts w:hint="eastAsia" w:ascii="宋体" w:hAnsi="宋体" w:eastAsia="宋体" w:cs="宋体"/>
                <w:b w:val="0"/>
                <w:bCs/>
                <w:color w:val="auto"/>
                <w:szCs w:val="21"/>
                <w:highlight w:val="none"/>
              </w:rPr>
              <w:t>认证证书的，认证范围必须包含：审计、会计服务，得</w:t>
            </w:r>
            <w:r>
              <w:rPr>
                <w:rFonts w:hint="eastAsia" w:ascii="宋体" w:hAnsi="宋体" w:eastAsia="宋体" w:cs="宋体"/>
                <w:b w:val="0"/>
                <w:bCs/>
                <w:color w:val="auto"/>
                <w:szCs w:val="21"/>
                <w:highlight w:val="none"/>
                <w:lang w:val="en-US" w:eastAsia="zh-CN"/>
              </w:rPr>
              <w:t>100</w:t>
            </w:r>
            <w:r>
              <w:rPr>
                <w:rFonts w:hint="eastAsia" w:ascii="宋体" w:hAnsi="宋体" w:eastAsia="宋体" w:cs="宋体"/>
                <w:b w:val="0"/>
                <w:bCs/>
                <w:color w:val="auto"/>
                <w:szCs w:val="21"/>
                <w:highlight w:val="none"/>
              </w:rPr>
              <w:t>分，</w:t>
            </w:r>
            <w:r>
              <w:rPr>
                <w:rFonts w:hint="eastAsia" w:ascii="宋体" w:hAnsi="宋体" w:eastAsia="宋体" w:cs="宋体"/>
                <w:bCs/>
                <w:color w:val="auto"/>
                <w:szCs w:val="21"/>
                <w:highlight w:val="none"/>
              </w:rPr>
              <w:t>否则不得分。</w:t>
            </w:r>
            <w:r>
              <w:rPr>
                <w:rFonts w:hint="eastAsia" w:ascii="宋体" w:hAnsi="宋体" w:eastAsia="宋体" w:cs="宋体"/>
                <w:bCs/>
                <w:color w:val="auto"/>
                <w:szCs w:val="21"/>
                <w:highlight w:val="none"/>
                <w:lang w:val="en-US" w:eastAsia="zh-CN"/>
              </w:rPr>
              <w:t>最高得100分。</w:t>
            </w:r>
          </w:p>
          <w:p>
            <w:pPr>
              <w:numPr>
                <w:ilvl w:val="0"/>
                <w:numId w:val="0"/>
              </w:numPr>
              <w:ind w:left="0" w:leftChars="0" w:firstLine="0" w:firstLineChars="0"/>
              <w:rPr>
                <w:rFonts w:hint="eastAsia" w:ascii="宋体" w:hAnsi="宋体" w:eastAsia="宋体" w:cs="宋体"/>
                <w:b/>
                <w:bCs w:val="0"/>
                <w:color w:val="auto"/>
                <w:szCs w:val="21"/>
                <w:highlight w:val="none"/>
              </w:rPr>
            </w:pPr>
            <w:r>
              <w:rPr>
                <w:rFonts w:hint="eastAsia" w:ascii="宋体" w:hAnsi="宋体" w:eastAsia="宋体" w:cs="宋体"/>
                <w:b/>
                <w:bCs w:val="0"/>
                <w:color w:val="auto"/>
                <w:szCs w:val="21"/>
                <w:highlight w:val="none"/>
                <w:lang w:val="en-US" w:eastAsia="zh-CN"/>
              </w:rPr>
              <w:t>二、</w:t>
            </w:r>
            <w:r>
              <w:rPr>
                <w:rFonts w:hint="eastAsia" w:ascii="宋体" w:hAnsi="宋体" w:eastAsia="宋体" w:cs="宋体"/>
                <w:b/>
                <w:bCs w:val="0"/>
                <w:color w:val="auto"/>
                <w:szCs w:val="21"/>
                <w:highlight w:val="none"/>
              </w:rPr>
              <w:t>评分依据：</w:t>
            </w:r>
          </w:p>
          <w:p>
            <w:pPr>
              <w:pStyle w:val="18"/>
              <w:spacing w:after="0" w:line="240" w:lineRule="auto"/>
              <w:ind w:left="0" w:leftChars="0" w:right="0" w:rightChars="0" w:firstLine="0" w:firstLineChars="0"/>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1</w:t>
            </w:r>
            <w:r>
              <w:rPr>
                <w:rFonts w:hint="eastAsia" w:ascii="宋体" w:hAnsi="宋体" w:cs="Times New Roman"/>
                <w:color w:val="auto"/>
                <w:kern w:val="2"/>
                <w:sz w:val="21"/>
                <w:szCs w:val="21"/>
                <w:highlight w:val="none"/>
                <w:lang w:val="en-US" w:eastAsia="zh-CN" w:bidi="ar-SA"/>
              </w:rPr>
              <w:t>.</w:t>
            </w:r>
            <w:r>
              <w:rPr>
                <w:rFonts w:hint="eastAsia" w:ascii="宋体" w:hAnsi="宋体" w:eastAsia="宋体" w:cs="Times New Roman"/>
                <w:color w:val="auto"/>
                <w:kern w:val="2"/>
                <w:sz w:val="21"/>
                <w:szCs w:val="21"/>
                <w:highlight w:val="none"/>
                <w:lang w:val="en-US" w:eastAsia="zh-CN" w:bidi="ar-SA"/>
              </w:rPr>
              <w:t>提供相关认证机构颁发的有效期内的认证证书扫描件及认证信息查询截图（截图需显示证书状态为有效）。</w:t>
            </w:r>
          </w:p>
          <w:p>
            <w:pPr>
              <w:pStyle w:val="18"/>
              <w:spacing w:after="0" w:line="240" w:lineRule="auto"/>
              <w:ind w:left="0" w:leftChars="0" w:right="0" w:rightChars="0" w:firstLine="0" w:firstLineChars="0"/>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说明：①证书与查询信息截图必须同时提供，缺一不可。未同时提供的不得分，后果由</w:t>
            </w:r>
            <w:r>
              <w:rPr>
                <w:rFonts w:hint="eastAsia" w:ascii="宋体" w:hAnsi="宋体" w:cs="Times New Roman"/>
                <w:color w:val="auto"/>
                <w:kern w:val="2"/>
                <w:sz w:val="21"/>
                <w:szCs w:val="21"/>
                <w:highlight w:val="none"/>
                <w:lang w:val="en-US" w:eastAsia="zh-CN" w:bidi="ar-SA"/>
              </w:rPr>
              <w:t>供应商</w:t>
            </w:r>
            <w:r>
              <w:rPr>
                <w:rFonts w:hint="eastAsia" w:ascii="宋体" w:hAnsi="宋体" w:eastAsia="宋体" w:cs="Times New Roman"/>
                <w:color w:val="auto"/>
                <w:kern w:val="2"/>
                <w:sz w:val="21"/>
                <w:szCs w:val="21"/>
                <w:highlight w:val="none"/>
                <w:lang w:val="en-US" w:eastAsia="zh-CN" w:bidi="ar-SA"/>
              </w:rPr>
              <w:t>自行承担。②</w:t>
            </w:r>
            <w:r>
              <w:rPr>
                <w:rFonts w:hint="eastAsia" w:ascii="宋体" w:hAnsi="宋体" w:cs="Times New Roman"/>
                <w:color w:val="auto"/>
                <w:kern w:val="2"/>
                <w:sz w:val="21"/>
                <w:szCs w:val="21"/>
                <w:highlight w:val="none"/>
                <w:lang w:val="en-US" w:eastAsia="zh-CN" w:bidi="ar-SA"/>
              </w:rPr>
              <w:t>供应商</w:t>
            </w:r>
            <w:r>
              <w:rPr>
                <w:rFonts w:hint="eastAsia" w:ascii="宋体" w:hAnsi="宋体" w:eastAsia="宋体" w:cs="Times New Roman"/>
                <w:color w:val="auto"/>
                <w:kern w:val="2"/>
                <w:sz w:val="21"/>
                <w:szCs w:val="21"/>
                <w:highlight w:val="none"/>
                <w:lang w:val="en-US" w:eastAsia="zh-CN" w:bidi="ar-SA"/>
              </w:rPr>
              <w:t>应确保认证证书在开标当天仍处于有效状态，并对所提供的证书及查询截图的真实性负责，如出现与事实不符的情形，视同隐瞒真实情况，提供虚假资料，将依法承担相应的法律责任。③质疑投诉处理中对证书是否有效的认定，以国家认监委网站【全国认证认可信息公共服务平台（//cx.cnca.cn）】查询结果为准。</w:t>
            </w:r>
          </w:p>
          <w:p>
            <w:pPr>
              <w:numPr>
                <w:ilvl w:val="0"/>
                <w:numId w:val="0"/>
              </w:numPr>
              <w:ind w:left="0" w:leftChars="0" w:firstLine="0" w:firstLineChars="0"/>
              <w:rPr>
                <w:rFonts w:ascii="宋体" w:hAnsi="宋体" w:cs="宋体"/>
                <w:szCs w:val="21"/>
              </w:rPr>
            </w:pPr>
            <w:r>
              <w:rPr>
                <w:rFonts w:hint="eastAsia" w:ascii="宋体" w:hAnsi="宋体" w:eastAsia="宋体" w:cs="Times New Roman"/>
                <w:color w:val="auto"/>
                <w:kern w:val="2"/>
                <w:sz w:val="21"/>
                <w:szCs w:val="21"/>
                <w:highlight w:val="none"/>
                <w:lang w:val="en-US" w:eastAsia="zh-CN" w:bidi="ar-SA"/>
              </w:rPr>
              <w:t>2</w:t>
            </w:r>
            <w:r>
              <w:rPr>
                <w:rFonts w:hint="eastAsia" w:ascii="宋体" w:hAnsi="宋体" w:cs="Times New Roman"/>
                <w:color w:val="auto"/>
                <w:kern w:val="2"/>
                <w:sz w:val="21"/>
                <w:szCs w:val="21"/>
                <w:highlight w:val="none"/>
                <w:lang w:val="en-US" w:eastAsia="zh-CN" w:bidi="ar-SA"/>
              </w:rPr>
              <w:t>.</w:t>
            </w:r>
            <w:r>
              <w:rPr>
                <w:rFonts w:hint="eastAsia" w:ascii="宋体" w:hAnsi="宋体" w:eastAsia="宋体" w:cs="Times New Roman"/>
                <w:color w:val="auto"/>
                <w:kern w:val="2"/>
                <w:sz w:val="21"/>
                <w:szCs w:val="21"/>
                <w:highlight w:val="none"/>
                <w:lang w:val="en-US" w:eastAsia="zh-CN" w:bidi="ar-SA"/>
              </w:rPr>
              <w:t>未按要求提供相关证明材料（或相关证明材料无法判断是否符合评分要求）的不计得分，原件备查。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pPr>
              <w:wordWrap w:val="0"/>
              <w:jc w:val="center"/>
              <w:rPr>
                <w:rFonts w:hint="eastAsia" w:ascii="宋体" w:hAnsi="宋体" w:cs="宋体" w:eastAsiaTheme="minorEastAsia"/>
                <w:szCs w:val="21"/>
                <w:lang w:val="en-US" w:eastAsia="zh-CN"/>
              </w:rPr>
            </w:pPr>
            <w:r>
              <w:rPr>
                <w:rFonts w:hint="eastAsia" w:ascii="宋体" w:hAnsi="宋体" w:cs="宋体"/>
                <w:szCs w:val="21"/>
                <w:lang w:val="en-US" w:eastAsia="zh-CN"/>
              </w:rPr>
              <w:t>2</w:t>
            </w:r>
          </w:p>
        </w:tc>
        <w:tc>
          <w:tcPr>
            <w:tcW w:w="2835" w:type="dxa"/>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szCs w:val="21"/>
              </w:rPr>
            </w:pPr>
            <w:r>
              <w:rPr>
                <w:rFonts w:hint="eastAsia" w:ascii="宋体" w:hAnsi="宋体" w:eastAsia="宋体" w:cs="宋体"/>
                <w:color w:val="auto"/>
                <w:szCs w:val="21"/>
                <w:highlight w:val="none"/>
              </w:rPr>
              <w:t>投标人同类项目业绩情况</w:t>
            </w:r>
          </w:p>
        </w:tc>
        <w:tc>
          <w:tcPr>
            <w:tcW w:w="681"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cs="宋体"/>
                <w:szCs w:val="21"/>
              </w:rPr>
            </w:pPr>
            <w:r>
              <w:rPr>
                <w:rFonts w:hint="eastAsia" w:ascii="宋体" w:hAnsi="宋体" w:eastAsia="宋体" w:cs="宋体"/>
                <w:color w:val="auto"/>
                <w:szCs w:val="21"/>
                <w:highlight w:val="none"/>
                <w:lang w:val="en-US" w:eastAsia="zh-CN"/>
              </w:rPr>
              <w:t>1</w:t>
            </w:r>
            <w:r>
              <w:rPr>
                <w:rFonts w:hint="eastAsia" w:ascii="宋体" w:hAnsi="宋体" w:cs="宋体"/>
                <w:color w:val="auto"/>
                <w:szCs w:val="21"/>
                <w:highlight w:val="none"/>
                <w:lang w:val="en-US" w:eastAsia="zh-CN"/>
              </w:rPr>
              <w:t>5</w:t>
            </w:r>
          </w:p>
        </w:tc>
        <w:tc>
          <w:tcPr>
            <w:tcW w:w="4196" w:type="dxa"/>
            <w:tcBorders>
              <w:top w:val="single" w:color="000000" w:sz="8" w:space="0"/>
              <w:left w:val="single" w:color="000000" w:sz="8" w:space="0"/>
              <w:bottom w:val="single" w:color="000000" w:sz="8" w:space="0"/>
              <w:right w:val="single" w:color="000000" w:sz="8" w:space="0"/>
            </w:tcBorders>
            <w:vAlign w:val="center"/>
          </w:tcPr>
          <w:p>
            <w:pPr>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一、评分内容：</w:t>
            </w:r>
          </w:p>
          <w:p>
            <w:pPr>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投标人自2022年1月1日至本项目投标截止之日（以合同签订日期为准）：具有</w:t>
            </w:r>
            <w:r>
              <w:rPr>
                <w:rFonts w:hint="eastAsia" w:ascii="宋体" w:hAnsi="宋体" w:eastAsia="宋体" w:cs="宋体"/>
                <w:color w:val="auto"/>
                <w:szCs w:val="21"/>
                <w:highlight w:val="none"/>
                <w:lang w:val="en-US" w:eastAsia="zh-CN"/>
              </w:rPr>
              <w:t>公办学校</w:t>
            </w:r>
            <w:r>
              <w:rPr>
                <w:rFonts w:hint="eastAsia" w:ascii="宋体" w:hAnsi="宋体" w:cs="宋体"/>
                <w:color w:val="auto"/>
                <w:szCs w:val="21"/>
                <w:highlight w:val="none"/>
                <w:lang w:val="en-US" w:eastAsia="zh-CN"/>
              </w:rPr>
              <w:t>（小学或初中或高中）</w:t>
            </w:r>
            <w:r>
              <w:rPr>
                <w:rFonts w:hint="eastAsia"/>
                <w:color w:val="auto"/>
                <w:highlight w:val="none"/>
                <w:lang w:val="en-US" w:eastAsia="zh-CN"/>
              </w:rPr>
              <w:t>食堂审计</w:t>
            </w:r>
            <w:r>
              <w:rPr>
                <w:rFonts w:hint="eastAsia" w:ascii="宋体" w:hAnsi="宋体" w:eastAsia="宋体" w:cs="宋体"/>
                <w:b w:val="0"/>
                <w:bCs w:val="0"/>
                <w:color w:val="auto"/>
                <w:szCs w:val="21"/>
                <w:highlight w:val="none"/>
                <w:lang w:val="en-US" w:eastAsia="zh-CN"/>
              </w:rPr>
              <w:t>业绩的（已完成的，非固定资产类、非清算类）</w:t>
            </w:r>
            <w:r>
              <w:rPr>
                <w:rFonts w:hint="eastAsia" w:ascii="宋体" w:hAnsi="宋体" w:cs="宋体"/>
                <w:b w:val="0"/>
                <w:bCs w:val="0"/>
                <w:color w:val="auto"/>
                <w:szCs w:val="21"/>
                <w:highlight w:val="none"/>
                <w:lang w:val="en-US" w:eastAsia="zh-CN"/>
              </w:rPr>
              <w:t>同类</w:t>
            </w:r>
            <w:r>
              <w:rPr>
                <w:rFonts w:hint="eastAsia" w:ascii="宋体" w:hAnsi="宋体" w:eastAsia="宋体" w:cs="宋体"/>
                <w:b w:val="0"/>
                <w:bCs w:val="0"/>
                <w:color w:val="auto"/>
                <w:szCs w:val="21"/>
                <w:highlight w:val="none"/>
                <w:lang w:val="en-US" w:eastAsia="zh-CN"/>
              </w:rPr>
              <w:t>经验，每提供一个有效合同和履约评价</w:t>
            </w:r>
            <w:r>
              <w:rPr>
                <w:rFonts w:hint="eastAsia"/>
                <w:color w:val="auto"/>
                <w:highlight w:val="none"/>
                <w:lang w:val="en-US" w:eastAsia="zh-CN"/>
              </w:rPr>
              <w:t>为“优”或“满意”（或其他同等评价的）</w:t>
            </w:r>
            <w:r>
              <w:rPr>
                <w:rFonts w:hint="eastAsia" w:ascii="宋体" w:hAnsi="宋体" w:eastAsia="宋体" w:cs="宋体"/>
                <w:b w:val="0"/>
                <w:bCs w:val="0"/>
                <w:color w:val="auto"/>
                <w:szCs w:val="21"/>
                <w:highlight w:val="none"/>
                <w:lang w:val="en-US" w:eastAsia="zh-CN"/>
              </w:rPr>
              <w:t>得20分，本项最高得100分。</w:t>
            </w:r>
          </w:p>
          <w:p>
            <w:pPr>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二、评分依据：</w:t>
            </w:r>
          </w:p>
          <w:p>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需同时提供：经验项目合同关键页扫描件（含签订合同双方的单位名称、合同项目名称、项目金额与含签订合同双方的落款盖章、签订日期等）。</w:t>
            </w:r>
          </w:p>
          <w:p>
            <w:pPr>
              <w:rPr>
                <w:rFonts w:ascii="宋体" w:hAnsi="宋体" w:cs="宋体"/>
                <w:szCs w:val="21"/>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同一项目续签合同的不重复计分；每个项目须单独开具评价证明。如涉及到需要判断是否为同一项目续签的情形，如项目名称相同、出具评价证明单位相同的，投标人应提供能判别为不属同一项目续签的相关证明材料（如中标通知书或能反映不属同一项目续签的合同关键页），如不能判别，评标委员会有权对投标人作出不利判断。项目名称相同、出具服务评价证明单位相同，但是经过重新组织招标、招标编号不同的，不属同一项目续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bottom w:val="single" w:color="000000" w:sz="8" w:space="0"/>
              <w:right w:val="single" w:color="000000" w:sz="8" w:space="0"/>
            </w:tcBorders>
          </w:tcPr>
          <w:p>
            <w:pPr>
              <w:wordWrap w:val="0"/>
              <w:jc w:val="center"/>
              <w:rPr>
                <w:rFonts w:ascii="宋体" w:hAnsi="宋体" w:cs="宋体"/>
                <w:b/>
                <w:bCs/>
                <w:color w:val="0000FF"/>
                <w:sz w:val="24"/>
              </w:rPr>
            </w:pPr>
            <w:r>
              <w:rPr>
                <w:b/>
                <w:bCs/>
                <w:color w:val="0000FF"/>
              </w:rPr>
              <w:t>4</w:t>
            </w:r>
          </w:p>
        </w:tc>
        <w:tc>
          <w:tcPr>
            <w:tcW w:w="4196" w:type="dxa"/>
            <w:gridSpan w:val="3"/>
            <w:tcBorders>
              <w:top w:val="single" w:color="000000" w:sz="8" w:space="0"/>
              <w:left w:val="single" w:color="000000" w:sz="8" w:space="0"/>
              <w:bottom w:val="single" w:color="000000" w:sz="8" w:space="0"/>
              <w:right w:val="single" w:color="000000" w:sz="8" w:space="0"/>
            </w:tcBorders>
          </w:tcPr>
          <w:p>
            <w:pPr>
              <w:wordWrap w:val="0"/>
              <w:jc w:val="center"/>
              <w:rPr>
                <w:rFonts w:ascii="宋体" w:hAnsi="宋体" w:cs="宋体"/>
                <w:b/>
                <w:bCs/>
                <w:color w:val="0000FF"/>
                <w:sz w:val="24"/>
              </w:rPr>
            </w:pPr>
            <w:r>
              <w:rPr>
                <w:b/>
                <w:bCs/>
                <w:color w:val="0000FF"/>
              </w:rPr>
              <w:t>诚信情况</w:t>
            </w:r>
          </w:p>
        </w:tc>
        <w:tc>
          <w:tcPr>
            <w:tcW w:w="4196" w:type="dxa"/>
            <w:tcBorders>
              <w:top w:val="single" w:color="000000" w:sz="8" w:space="0"/>
              <w:left w:val="single" w:color="000000" w:sz="8" w:space="0"/>
              <w:bottom w:val="single" w:color="000000" w:sz="8" w:space="0"/>
              <w:right w:val="single" w:color="000000" w:sz="8" w:space="0"/>
            </w:tcBorders>
          </w:tcPr>
          <w:p>
            <w:pPr>
              <w:wordWrap w:val="0"/>
              <w:jc w:val="center"/>
              <w:rPr>
                <w:rFonts w:ascii="宋体" w:hAnsi="宋体" w:cs="宋体"/>
                <w:b/>
                <w:bCs/>
                <w:color w:val="0000FF"/>
                <w:sz w:val="24"/>
              </w:rPr>
            </w:pPr>
            <w:r>
              <w:rPr>
                <w:b/>
                <w:bCs/>
                <w:color w:val="0000FF"/>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8392" w:type="dxa"/>
            <w:gridSpan w:val="4"/>
            <w:tcBorders>
              <w:top w:val="single" w:color="000000" w:sz="8" w:space="0"/>
              <w:left w:val="single" w:color="000000" w:sz="8" w:space="0"/>
              <w:bottom w:val="single" w:color="000000" w:sz="8" w:space="0"/>
              <w:right w:val="single" w:color="000000" w:sz="8" w:space="0"/>
            </w:tcBorders>
          </w:tcPr>
          <w:p>
            <w:pPr>
              <w:wordWrap w:val="0"/>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rPr>
                <w:rFonts w:ascii="宋体" w:hAnsi="宋体" w:cs="宋体"/>
                <w:b/>
                <w:bCs/>
                <w:color w:val="0000FF"/>
                <w:sz w:val="24"/>
              </w:rPr>
            </w:pPr>
          </w:p>
        </w:tc>
        <w:tc>
          <w:tcPr>
            <w:tcW w:w="680" w:type="dxa"/>
            <w:tcBorders>
              <w:top w:val="outset" w:color="000000" w:sz="6" w:space="0"/>
              <w:left w:val="outset" w:color="000000" w:sz="6" w:space="0"/>
              <w:bottom w:val="outset" w:color="000000" w:sz="6" w:space="0"/>
              <w:right w:val="outset" w:color="000000" w:sz="6" w:space="0"/>
            </w:tcBorders>
            <w:shd w:val="clear" w:color="auto" w:fill="E6EFFA"/>
            <w:vAlign w:val="center"/>
          </w:tcPr>
          <w:p>
            <w:pPr>
              <w:wordWrap w:val="0"/>
              <w:jc w:val="center"/>
              <w:rPr>
                <w:rFonts w:ascii="宋体" w:hAnsi="宋体" w:cs="宋体"/>
                <w:szCs w:val="21"/>
              </w:rPr>
            </w:pPr>
            <w:r>
              <w:rPr>
                <w:szCs w:val="21"/>
              </w:rPr>
              <w:t>序号</w:t>
            </w:r>
          </w:p>
        </w:tc>
        <w:tc>
          <w:tcPr>
            <w:tcW w:w="2835" w:type="dxa"/>
            <w:tcBorders>
              <w:top w:val="outset" w:color="000000" w:sz="6" w:space="0"/>
              <w:left w:val="outset" w:color="000000" w:sz="6" w:space="0"/>
              <w:bottom w:val="outset" w:color="000000" w:sz="6" w:space="0"/>
              <w:right w:val="outset" w:color="000000" w:sz="6" w:space="0"/>
            </w:tcBorders>
            <w:shd w:val="clear" w:color="auto" w:fill="E6EFFA"/>
            <w:vAlign w:val="center"/>
          </w:tcPr>
          <w:p>
            <w:pPr>
              <w:wordWrap w:val="0"/>
              <w:jc w:val="center"/>
              <w:rPr>
                <w:rFonts w:ascii="宋体" w:hAnsi="宋体" w:cs="宋体"/>
                <w:szCs w:val="21"/>
              </w:rPr>
            </w:pPr>
            <w:r>
              <w:rPr>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ordWrap w:val="0"/>
              <w:jc w:val="center"/>
              <w:rPr>
                <w:rFonts w:ascii="宋体" w:hAnsi="宋体" w:cs="宋体"/>
                <w:szCs w:val="21"/>
              </w:rPr>
            </w:pPr>
            <w:r>
              <w:rPr>
                <w:szCs w:val="21"/>
              </w:rPr>
              <w:t>权重(%)</w:t>
            </w:r>
          </w:p>
        </w:tc>
        <w:tc>
          <w:tcPr>
            <w:tcW w:w="4196" w:type="dxa"/>
            <w:tcBorders>
              <w:top w:val="outset" w:color="000000" w:sz="6" w:space="0"/>
              <w:left w:val="outset" w:color="000000" w:sz="6" w:space="0"/>
              <w:bottom w:val="outset" w:color="000000" w:sz="6" w:space="0"/>
              <w:right w:val="outset" w:color="000000" w:sz="6" w:space="0"/>
            </w:tcBorders>
            <w:shd w:val="clear" w:color="auto" w:fill="E6EFFA"/>
            <w:vAlign w:val="center"/>
          </w:tcPr>
          <w:p>
            <w:pPr>
              <w:wordWrap w:val="0"/>
              <w:jc w:val="center"/>
              <w:rPr>
                <w:rFonts w:ascii="宋体" w:hAnsi="宋体" w:cs="宋体"/>
                <w:szCs w:val="21"/>
              </w:rPr>
            </w:pPr>
            <w:r>
              <w:rPr>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680" w:type="dxa"/>
            <w:tcBorders>
              <w:top w:val="single" w:color="000000" w:sz="8" w:space="0"/>
              <w:left w:val="single" w:color="000000" w:sz="8" w:space="0"/>
              <w:bottom w:val="single" w:color="000000" w:sz="8" w:space="0"/>
              <w:right w:val="single" w:color="000000" w:sz="8" w:space="0"/>
            </w:tcBorders>
            <w:vAlign w:val="center"/>
          </w:tcPr>
          <w:p>
            <w:pPr>
              <w:wordWrap w:val="0"/>
              <w:jc w:val="center"/>
              <w:rPr>
                <w:rFonts w:ascii="宋体" w:hAnsi="宋体" w:cs="宋体"/>
                <w:szCs w:val="21"/>
              </w:rPr>
            </w:pPr>
            <w:r>
              <w:rPr>
                <w:szCs w:val="21"/>
              </w:rPr>
              <w:t>1</w:t>
            </w:r>
          </w:p>
        </w:tc>
        <w:tc>
          <w:tcPr>
            <w:tcW w:w="2835" w:type="dxa"/>
            <w:tcBorders>
              <w:top w:val="single" w:color="000000" w:sz="8" w:space="0"/>
              <w:left w:val="single" w:color="000000" w:sz="8" w:space="0"/>
              <w:bottom w:val="single" w:color="000000" w:sz="8" w:space="0"/>
              <w:right w:val="single" w:color="000000" w:sz="8" w:space="0"/>
            </w:tcBorders>
            <w:vAlign w:val="center"/>
          </w:tcPr>
          <w:p>
            <w:pPr>
              <w:wordWrap w:val="0"/>
              <w:jc w:val="center"/>
              <w:rPr>
                <w:rFonts w:ascii="宋体" w:hAnsi="宋体" w:cs="宋体"/>
                <w:szCs w:val="21"/>
              </w:rPr>
            </w:pPr>
            <w:r>
              <w:rPr>
                <w:szCs w:val="21"/>
              </w:rPr>
              <w:t>诚信情况</w:t>
            </w:r>
          </w:p>
        </w:tc>
        <w:tc>
          <w:tcPr>
            <w:tcW w:w="681" w:type="dxa"/>
            <w:tcBorders>
              <w:top w:val="single" w:color="000000" w:sz="8" w:space="0"/>
              <w:left w:val="single" w:color="000000" w:sz="8" w:space="0"/>
              <w:bottom w:val="single" w:color="000000" w:sz="8" w:space="0"/>
              <w:right w:val="single" w:color="000000" w:sz="8" w:space="0"/>
            </w:tcBorders>
            <w:vAlign w:val="center"/>
          </w:tcPr>
          <w:p>
            <w:pPr>
              <w:widowControl/>
              <w:wordWrap w:val="0"/>
              <w:jc w:val="center"/>
              <w:textAlignment w:val="top"/>
              <w:rPr>
                <w:rFonts w:ascii="宋体" w:hAnsi="宋体" w:cs="宋体"/>
                <w:szCs w:val="21"/>
              </w:rPr>
            </w:pPr>
            <w:r>
              <w:rPr>
                <w:rFonts w:hint="eastAsia"/>
              </w:rPr>
              <w:t>5</w:t>
            </w:r>
          </w:p>
        </w:tc>
        <w:tc>
          <w:tcPr>
            <w:tcW w:w="4196" w:type="dxa"/>
            <w:tcBorders>
              <w:top w:val="single" w:color="000000" w:sz="8" w:space="0"/>
              <w:left w:val="single" w:color="000000" w:sz="8" w:space="0"/>
              <w:bottom w:val="single" w:color="000000" w:sz="8" w:space="0"/>
              <w:right w:val="single" w:color="000000" w:sz="8" w:space="0"/>
            </w:tcBorders>
            <w:vAlign w:val="top"/>
          </w:tcPr>
          <w:p>
            <w:pPr>
              <w:pStyle w:val="9"/>
              <w:wordWrap w:val="0"/>
              <w:spacing w:line="240" w:lineRule="auto"/>
              <w:ind w:firstLine="420" w:firstLineChars="200"/>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Theme="minorEastAsia" w:hAnsiTheme="minorEastAsia" w:eastAsiaTheme="minorEastAsia" w:cstheme="minorEastAsia"/>
                <w:b w:val="0"/>
                <w:bCs w:val="0"/>
                <w:sz w:val="21"/>
                <w:szCs w:val="21"/>
                <w:lang w:val="en-US" w:eastAsia="zh-CN"/>
              </w:rPr>
              <w:t>有关</w:t>
            </w:r>
            <w:r>
              <w:rPr>
                <w:rFonts w:hint="eastAsia" w:asciiTheme="minorEastAsia" w:hAnsiTheme="minorEastAsia" w:eastAsiaTheme="minorEastAsia" w:cstheme="minorEastAsia"/>
                <w:b w:val="0"/>
                <w:bCs w:val="0"/>
                <w:sz w:val="21"/>
                <w:szCs w:val="21"/>
              </w:rPr>
              <w:t>供应商诚信查询结果。</w:t>
            </w:r>
          </w:p>
          <w:p>
            <w:pPr>
              <w:pStyle w:val="9"/>
              <w:wordWrap w:val="0"/>
              <w:spacing w:line="240" w:lineRule="auto"/>
              <w:ind w:firstLine="420" w:firstLineChars="200"/>
              <w:rPr>
                <w:rFonts w:ascii="宋体" w:hAnsi="宋体" w:cs="宋体"/>
                <w:szCs w:val="21"/>
              </w:rPr>
            </w:pPr>
            <w:r>
              <w:rPr>
                <w:rFonts w:hint="eastAsia" w:asciiTheme="minorEastAsia" w:hAnsiTheme="minorEastAsia" w:eastAsiaTheme="minorEastAsia" w:cstheme="minorEastAsia"/>
                <w:b w:val="0"/>
                <w:bCs w:val="0"/>
                <w:sz w:val="21"/>
                <w:szCs w:val="21"/>
                <w:lang w:val="en-US" w:eastAsia="zh-CN"/>
              </w:rPr>
              <w:t>查询渠道：通过“信用中国”（www.creditchina.gov.cn，下载信用信息报告）、“中国政府采购网”（www.ccgp.gov.cn）、以及“深圳市政府采购监管网”（http://zfcg.sz.gov.cn）查询供应商信用信息，信用信息以开标当日的查询结果为准。</w:t>
            </w:r>
          </w:p>
        </w:tc>
      </w:tr>
    </w:tbl>
    <w:p>
      <w:pPr>
        <w:rPr>
          <w:rFonts w:ascii="宋体" w:hAnsi="宋体"/>
          <w:sz w:val="24"/>
        </w:rPr>
      </w:pPr>
    </w:p>
    <w:p>
      <w:pPr>
        <w:jc w:val="center"/>
        <w:rPr>
          <w:rFonts w:hint="eastAsia"/>
          <w:b/>
          <w:sz w:val="120"/>
          <w:szCs w:val="120"/>
        </w:rPr>
      </w:pPr>
    </w:p>
    <w:p>
      <w:pPr>
        <w:jc w:val="center"/>
        <w:rPr>
          <w:rFonts w:hint="eastAsia"/>
          <w:b/>
          <w:sz w:val="120"/>
          <w:szCs w:val="120"/>
        </w:rPr>
      </w:pPr>
    </w:p>
    <w:p>
      <w:pPr>
        <w:jc w:val="center"/>
        <w:rPr>
          <w:rFonts w:hint="eastAsia"/>
          <w:b/>
          <w:sz w:val="120"/>
          <w:szCs w:val="120"/>
        </w:rPr>
      </w:pPr>
    </w:p>
    <w:p>
      <w:pPr>
        <w:jc w:val="center"/>
        <w:rPr>
          <w:b/>
          <w:sz w:val="120"/>
          <w:szCs w:val="120"/>
        </w:rPr>
      </w:pPr>
      <w:r>
        <w:rPr>
          <w:rFonts w:hint="eastAsia"/>
          <w:b/>
          <w:sz w:val="120"/>
          <w:szCs w:val="120"/>
          <w:lang w:val="en-US" w:eastAsia="zh-CN"/>
        </w:rPr>
        <w:t>自行</w:t>
      </w:r>
      <w:r>
        <w:rPr>
          <w:rFonts w:hint="eastAsia"/>
          <w:b/>
          <w:sz w:val="120"/>
          <w:szCs w:val="120"/>
        </w:rPr>
        <w:t>采购</w:t>
      </w:r>
    </w:p>
    <w:p>
      <w:pPr>
        <w:jc w:val="center"/>
        <w:rPr>
          <w:b/>
          <w:sz w:val="120"/>
          <w:szCs w:val="120"/>
        </w:rPr>
      </w:pPr>
      <w:r>
        <w:rPr>
          <w:rFonts w:hint="eastAsia"/>
          <w:b/>
          <w:sz w:val="120"/>
          <w:szCs w:val="120"/>
        </w:rPr>
        <w:t>招标文件</w:t>
      </w:r>
    </w:p>
    <w:p>
      <w:pPr>
        <w:jc w:val="center"/>
        <w:rPr>
          <w:b/>
          <w:sz w:val="52"/>
          <w:szCs w:val="52"/>
        </w:rPr>
      </w:pPr>
      <w:r>
        <w:rPr>
          <w:rFonts w:hint="eastAsia"/>
          <w:b/>
          <w:sz w:val="52"/>
          <w:szCs w:val="52"/>
        </w:rPr>
        <w:t>（服务类）</w:t>
      </w: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p>
    <w:p>
      <w:pPr>
        <w:jc w:val="center"/>
        <w:rPr>
          <w:b/>
          <w:sz w:val="44"/>
          <w:szCs w:val="44"/>
        </w:rPr>
      </w:pPr>
      <w:bookmarkStart w:id="0" w:name="_Hlk71465316"/>
      <w:r>
        <w:rPr>
          <w:rFonts w:hint="eastAsia"/>
          <w:b/>
          <w:sz w:val="44"/>
          <w:szCs w:val="44"/>
        </w:rPr>
        <w:t>深圳公共资源交易中心</w:t>
      </w:r>
    </w:p>
    <w:p>
      <w:pPr>
        <w:jc w:val="center"/>
        <w:rPr>
          <w:sz w:val="28"/>
          <w:szCs w:val="28"/>
        </w:rPr>
      </w:pPr>
      <w:r>
        <w:rPr>
          <w:rFonts w:hint="eastAsia"/>
          <w:b/>
          <w:sz w:val="28"/>
          <w:szCs w:val="28"/>
        </w:rPr>
        <w:t>（</w:t>
      </w:r>
      <w:r>
        <w:rPr>
          <w:b/>
          <w:sz w:val="28"/>
          <w:szCs w:val="28"/>
        </w:rPr>
        <w:t>20</w:t>
      </w:r>
      <w:r>
        <w:rPr>
          <w:rFonts w:hint="eastAsia"/>
          <w:b/>
          <w:sz w:val="28"/>
          <w:szCs w:val="28"/>
        </w:rPr>
        <w:t>2</w:t>
      </w:r>
      <w:r>
        <w:rPr>
          <w:rFonts w:hint="eastAsia"/>
          <w:b/>
          <w:sz w:val="28"/>
          <w:szCs w:val="28"/>
          <w:lang w:val="en-US" w:eastAsia="zh-CN"/>
        </w:rPr>
        <w:t>5</w:t>
      </w:r>
      <w:r>
        <w:rPr>
          <w:rFonts w:hint="eastAsia"/>
          <w:b/>
          <w:sz w:val="28"/>
          <w:szCs w:val="28"/>
        </w:rPr>
        <w:t>）</w:t>
      </w:r>
      <w:bookmarkEnd w:id="0"/>
    </w:p>
    <w:p>
      <w:pPr>
        <w:ind w:firstLine="420" w:firstLineChars="200"/>
        <w:rPr>
          <w:rFonts w:hint="eastAsia"/>
        </w:rPr>
      </w:pPr>
      <w:r>
        <w:rPr>
          <w:rFonts w:hint="eastAsia"/>
        </w:rPr>
        <w:br w:type="page"/>
      </w:r>
    </w:p>
    <w:p>
      <w:pPr>
        <w:pStyle w:val="3"/>
        <w:jc w:val="center"/>
      </w:pPr>
      <w:r>
        <w:rPr>
          <w:rFonts w:hint="eastAsia"/>
        </w:rPr>
        <w:t>目   录</w:t>
      </w:r>
    </w:p>
    <w:p>
      <w:pPr>
        <w:outlineLvl w:val="0"/>
        <w:rPr>
          <w:b/>
          <w:sz w:val="24"/>
        </w:rPr>
      </w:pPr>
      <w:r>
        <w:rPr>
          <w:rFonts w:hint="eastAsia"/>
          <w:b/>
          <w:sz w:val="24"/>
        </w:rPr>
        <w:t>第一册  专用条款</w:t>
      </w:r>
    </w:p>
    <w:p>
      <w:pPr>
        <w:ind w:firstLine="960" w:firstLineChars="400"/>
        <w:rPr>
          <w:sz w:val="24"/>
        </w:rPr>
      </w:pPr>
      <w:r>
        <w:rPr>
          <w:rFonts w:hint="eastAsia"/>
          <w:sz w:val="24"/>
        </w:rPr>
        <w:t>关键信息</w:t>
      </w:r>
    </w:p>
    <w:p>
      <w:pPr>
        <w:ind w:left="630" w:leftChars="300" w:firstLine="630" w:firstLineChars="300"/>
        <w:rPr>
          <w:rFonts w:ascii="宋体" w:hAnsi="宋体"/>
          <w:szCs w:val="21"/>
        </w:rPr>
      </w:pPr>
      <w:r>
        <w:rPr>
          <w:rFonts w:hint="eastAsia" w:ascii="宋体" w:hAnsi="宋体"/>
          <w:szCs w:val="21"/>
        </w:rPr>
        <w:t>第一章  招标公告</w:t>
      </w:r>
    </w:p>
    <w:p>
      <w:pPr>
        <w:ind w:left="630" w:leftChars="300" w:firstLine="630" w:firstLineChars="300"/>
        <w:rPr>
          <w:rFonts w:ascii="宋体" w:hAnsi="宋体"/>
          <w:szCs w:val="21"/>
        </w:rPr>
      </w:pPr>
      <w:r>
        <w:rPr>
          <w:rFonts w:hint="eastAsia" w:ascii="宋体" w:hAnsi="宋体"/>
          <w:szCs w:val="21"/>
        </w:rPr>
        <w:t xml:space="preserve">第二章  </w:t>
      </w:r>
      <w:bookmarkStart w:id="1" w:name="_Hlk71994379"/>
      <w:r>
        <w:rPr>
          <w:rFonts w:hint="eastAsia" w:ascii="宋体" w:hAnsi="宋体"/>
          <w:szCs w:val="21"/>
        </w:rPr>
        <w:t>对通用条款的补充内容及其他关键信息</w:t>
      </w:r>
      <w:bookmarkEnd w:id="1"/>
    </w:p>
    <w:p>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pPr>
        <w:ind w:left="630" w:leftChars="300" w:firstLine="630" w:firstLineChars="300"/>
        <w:rPr>
          <w:rFonts w:ascii="宋体" w:hAnsi="宋体"/>
          <w:szCs w:val="21"/>
        </w:rPr>
      </w:pPr>
      <w:r>
        <w:rPr>
          <w:rFonts w:hint="eastAsia" w:ascii="宋体" w:hAnsi="宋体"/>
          <w:szCs w:val="21"/>
        </w:rPr>
        <w:t>第五章  合同条款及格式</w:t>
      </w:r>
    </w:p>
    <w:p>
      <w:pPr>
        <w:rPr>
          <w:b/>
          <w:sz w:val="24"/>
        </w:rPr>
      </w:pPr>
    </w:p>
    <w:p>
      <w:pPr>
        <w:outlineLvl w:val="0"/>
        <w:rPr>
          <w:b/>
          <w:sz w:val="24"/>
        </w:rPr>
      </w:pPr>
      <w:r>
        <w:rPr>
          <w:rFonts w:hint="eastAsia"/>
          <w:b/>
          <w:sz w:val="24"/>
        </w:rPr>
        <w:t>第二册  通用条款</w:t>
      </w:r>
    </w:p>
    <w:p>
      <w:pPr>
        <w:ind w:left="630" w:leftChars="300" w:firstLine="411" w:firstLineChars="196"/>
        <w:rPr>
          <w:rFonts w:ascii="宋体" w:hAnsi="宋体"/>
          <w:szCs w:val="21"/>
        </w:rPr>
      </w:pPr>
      <w:r>
        <w:rPr>
          <w:rFonts w:hint="eastAsia" w:ascii="宋体" w:hAnsi="宋体"/>
          <w:szCs w:val="21"/>
        </w:rPr>
        <w:t>第一章  总则</w:t>
      </w:r>
    </w:p>
    <w:p>
      <w:pPr>
        <w:ind w:left="630" w:leftChars="300" w:firstLine="411" w:firstLineChars="196"/>
        <w:rPr>
          <w:rFonts w:ascii="宋体" w:hAnsi="宋体"/>
          <w:szCs w:val="21"/>
        </w:rPr>
      </w:pPr>
      <w:r>
        <w:rPr>
          <w:rFonts w:hint="eastAsia" w:ascii="宋体" w:hAnsi="宋体"/>
          <w:szCs w:val="21"/>
        </w:rPr>
        <w:t>第二章  招标文件</w:t>
      </w:r>
    </w:p>
    <w:p>
      <w:pPr>
        <w:ind w:left="630" w:leftChars="300" w:firstLine="411" w:firstLineChars="196"/>
        <w:rPr>
          <w:rFonts w:ascii="宋体" w:hAnsi="宋体"/>
          <w:szCs w:val="21"/>
        </w:rPr>
      </w:pPr>
      <w:r>
        <w:rPr>
          <w:rFonts w:hint="eastAsia" w:ascii="宋体" w:hAnsi="宋体"/>
          <w:szCs w:val="21"/>
        </w:rPr>
        <w:t>第三章  投标文件的编制</w:t>
      </w:r>
    </w:p>
    <w:p>
      <w:pPr>
        <w:ind w:left="630" w:leftChars="300" w:firstLine="411" w:firstLineChars="196"/>
        <w:rPr>
          <w:rFonts w:ascii="宋体" w:hAnsi="宋体"/>
          <w:szCs w:val="21"/>
        </w:rPr>
      </w:pPr>
      <w:r>
        <w:rPr>
          <w:rFonts w:hint="eastAsia" w:ascii="宋体" w:hAnsi="宋体"/>
          <w:szCs w:val="21"/>
        </w:rPr>
        <w:t>第四章  投标文件的递交</w:t>
      </w:r>
    </w:p>
    <w:p>
      <w:pPr>
        <w:ind w:left="630" w:leftChars="300" w:firstLine="411" w:firstLineChars="196"/>
        <w:rPr>
          <w:rFonts w:ascii="宋体" w:hAnsi="宋体"/>
          <w:szCs w:val="21"/>
        </w:rPr>
      </w:pPr>
      <w:r>
        <w:rPr>
          <w:rFonts w:hint="eastAsia" w:ascii="宋体" w:hAnsi="宋体"/>
          <w:szCs w:val="21"/>
        </w:rPr>
        <w:t>第五章  开标</w:t>
      </w:r>
    </w:p>
    <w:p>
      <w:pPr>
        <w:ind w:left="630" w:leftChars="300" w:firstLine="411" w:firstLineChars="196"/>
        <w:rPr>
          <w:rFonts w:ascii="宋体" w:hAnsi="宋体"/>
          <w:szCs w:val="21"/>
        </w:rPr>
      </w:pPr>
      <w:r>
        <w:rPr>
          <w:rFonts w:hint="eastAsia" w:ascii="宋体" w:hAnsi="宋体"/>
          <w:szCs w:val="21"/>
        </w:rPr>
        <w:t>第六章  评审要求</w:t>
      </w:r>
    </w:p>
    <w:p>
      <w:pPr>
        <w:ind w:left="630" w:leftChars="300" w:firstLine="411" w:firstLineChars="196"/>
        <w:rPr>
          <w:rFonts w:ascii="宋体" w:hAnsi="宋体"/>
          <w:szCs w:val="21"/>
        </w:rPr>
      </w:pPr>
      <w:r>
        <w:rPr>
          <w:rFonts w:hint="eastAsia" w:ascii="宋体" w:hAnsi="宋体"/>
          <w:szCs w:val="21"/>
        </w:rPr>
        <w:t>第七章  评审程序及评审方法</w:t>
      </w:r>
    </w:p>
    <w:p>
      <w:pPr>
        <w:ind w:left="630" w:leftChars="300" w:firstLine="411" w:firstLineChars="196"/>
        <w:rPr>
          <w:rFonts w:ascii="宋体" w:hAnsi="宋体"/>
          <w:szCs w:val="21"/>
        </w:rPr>
      </w:pPr>
      <w:r>
        <w:rPr>
          <w:rFonts w:hint="eastAsia" w:ascii="宋体" w:hAnsi="宋体"/>
          <w:szCs w:val="21"/>
        </w:rPr>
        <w:t>第八章  定标及公示</w:t>
      </w:r>
    </w:p>
    <w:p>
      <w:pPr>
        <w:ind w:left="630" w:leftChars="300" w:firstLine="411" w:firstLineChars="196"/>
        <w:rPr>
          <w:rFonts w:ascii="宋体" w:hAnsi="宋体"/>
          <w:szCs w:val="21"/>
        </w:rPr>
      </w:pPr>
      <w:r>
        <w:rPr>
          <w:rFonts w:hint="eastAsia" w:ascii="宋体" w:hAnsi="宋体"/>
          <w:szCs w:val="21"/>
        </w:rPr>
        <w:t>第九章  公开招标失败的后续处理</w:t>
      </w:r>
    </w:p>
    <w:p>
      <w:pPr>
        <w:ind w:left="630" w:leftChars="300" w:firstLine="411" w:firstLineChars="196"/>
        <w:rPr>
          <w:rFonts w:ascii="宋体" w:hAnsi="宋体"/>
          <w:szCs w:val="21"/>
        </w:rPr>
      </w:pPr>
      <w:r>
        <w:rPr>
          <w:rFonts w:hint="eastAsia" w:ascii="宋体" w:hAnsi="宋体"/>
          <w:szCs w:val="21"/>
        </w:rPr>
        <w:t>第十章  合同的授予与备案</w:t>
      </w:r>
    </w:p>
    <w:p>
      <w:pPr>
        <w:ind w:firstLine="1050" w:firstLineChars="500"/>
        <w:outlineLvl w:val="0"/>
        <w:rPr>
          <w:b/>
          <w:sz w:val="24"/>
        </w:rPr>
      </w:pPr>
      <w:r>
        <w:rPr>
          <w:rFonts w:hint="eastAsia" w:ascii="宋体" w:hAnsi="宋体"/>
          <w:szCs w:val="21"/>
        </w:rPr>
        <w:t>第十一章  质疑处理</w:t>
      </w:r>
    </w:p>
    <w:p>
      <w:pPr>
        <w:spacing w:line="360" w:lineRule="auto"/>
        <w:ind w:firstLine="420" w:firstLineChars="200"/>
        <w:jc w:val="left"/>
        <w:rPr>
          <w:rFonts w:ascii="宋体" w:hAnsi="宋体"/>
          <w:szCs w:val="21"/>
        </w:rPr>
      </w:pPr>
    </w:p>
    <w:p>
      <w:pPr>
        <w:pStyle w:val="3"/>
        <w:jc w:val="center"/>
        <w:rPr>
          <w:sz w:val="24"/>
        </w:rPr>
      </w:pPr>
      <w:r>
        <w:br w:type="page"/>
      </w:r>
      <w:bookmarkStart w:id="2" w:name="bt其他资料由投标人自定"/>
      <w:bookmarkEnd w:id="2"/>
      <w:bookmarkStart w:id="3" w:name="bt投标人情况介绍"/>
      <w:bookmarkEnd w:id="3"/>
      <w:bookmarkStart w:id="4" w:name="bt技术标投标文件格式"/>
      <w:bookmarkEnd w:id="4"/>
      <w:bookmarkStart w:id="5" w:name="bt商务标投标文件格式"/>
      <w:bookmarkEnd w:id="5"/>
      <w:bookmarkStart w:id="6" w:name="bt合同格式"/>
      <w:bookmarkEnd w:id="6"/>
      <w:bookmarkStart w:id="7" w:name="bt说明"/>
      <w:bookmarkEnd w:id="7"/>
      <w:bookmarkStart w:id="8" w:name="合同格式"/>
      <w:bookmarkEnd w:id="8"/>
      <w:bookmarkStart w:id="9" w:name="bt投标报价汇总表"/>
      <w:bookmarkEnd w:id="9"/>
      <w:bookmarkStart w:id="10" w:name="bt投标函"/>
      <w:bookmarkEnd w:id="10"/>
      <w:bookmarkStart w:id="11" w:name="bt合同条款及格式"/>
      <w:bookmarkEnd w:id="11"/>
      <w:bookmarkStart w:id="12" w:name="bt本工程承诺书"/>
      <w:bookmarkEnd w:id="12"/>
      <w:bookmarkStart w:id="13" w:name="bt投标文件签署授权委托书"/>
      <w:bookmarkEnd w:id="13"/>
      <w:bookmarkStart w:id="14" w:name="bt其他资料2"/>
      <w:bookmarkEnd w:id="14"/>
      <w:bookmarkStart w:id="15" w:name="bt合同条款"/>
      <w:bookmarkEnd w:id="15"/>
      <w:bookmarkStart w:id="16" w:name="bt项目管理班子配备情况"/>
      <w:bookmarkEnd w:id="16"/>
      <w:bookmarkStart w:id="17" w:name="bt开标一览表"/>
      <w:bookmarkEnd w:id="17"/>
      <w:bookmarkStart w:id="18" w:name="bt投标人须知"/>
      <w:bookmarkEnd w:id="18"/>
      <w:r>
        <w:rPr>
          <w:rFonts w:hint="eastAsia"/>
        </w:rPr>
        <w:t>第一册</w:t>
      </w:r>
      <w:r>
        <w:rPr>
          <w:rFonts w:hint="eastAsia"/>
          <w:lang w:val="en-US" w:eastAsia="zh-CN"/>
        </w:rPr>
        <w:t xml:space="preserve">  </w:t>
      </w:r>
      <w:r>
        <w:rPr>
          <w:rFonts w:hint="eastAsia"/>
        </w:rPr>
        <w:t>专用条款</w:t>
      </w:r>
    </w:p>
    <w:p>
      <w:pPr>
        <w:pStyle w:val="6"/>
        <w:jc w:val="center"/>
        <w:rPr>
          <w:rFonts w:hint="eastAsia"/>
          <w:sz w:val="28"/>
          <w:szCs w:val="28"/>
        </w:rPr>
      </w:pPr>
      <w:r>
        <w:rPr>
          <w:rFonts w:hint="eastAsia"/>
          <w:sz w:val="28"/>
          <w:szCs w:val="28"/>
        </w:rPr>
        <w:t>第一章  招标公告</w:t>
      </w:r>
    </w:p>
    <w:tbl>
      <w:tblPr>
        <w:tblStyle w:val="19"/>
        <w:tblW w:w="8147" w:type="dxa"/>
        <w:jc w:val="center"/>
        <w:tblCellSpacing w:w="0" w:type="dxa"/>
        <w:tblLayout w:type="fixed"/>
        <w:tblCellMar>
          <w:top w:w="0" w:type="dxa"/>
          <w:left w:w="0" w:type="dxa"/>
          <w:bottom w:w="0" w:type="dxa"/>
          <w:right w:w="0" w:type="dxa"/>
        </w:tblCellMar>
      </w:tblPr>
      <w:tblGrid>
        <w:gridCol w:w="8147"/>
      </w:tblGrid>
      <w:tr>
        <w:tblPrEx>
          <w:tblCellMar>
            <w:top w:w="0" w:type="dxa"/>
            <w:left w:w="0" w:type="dxa"/>
            <w:bottom w:w="0" w:type="dxa"/>
            <w:right w:w="0" w:type="dxa"/>
          </w:tblCellMar>
        </w:tblPrEx>
        <w:trPr>
          <w:tblCellSpacing w:w="0" w:type="dxa"/>
          <w:jc w:val="center"/>
        </w:trPr>
        <w:tc>
          <w:tcPr>
            <w:tcW w:w="8147" w:type="dxa"/>
            <w:vAlign w:val="center"/>
          </w:tcPr>
          <w:tbl>
            <w:tblPr>
              <w:tblStyle w:val="19"/>
              <w:tblW w:w="8147" w:type="dxa"/>
              <w:jc w:val="center"/>
              <w:tblCellSpacing w:w="0" w:type="dxa"/>
              <w:tblLayout w:type="fixed"/>
              <w:tblCellMar>
                <w:top w:w="30" w:type="dxa"/>
                <w:left w:w="30" w:type="dxa"/>
                <w:bottom w:w="30" w:type="dxa"/>
                <w:right w:w="30" w:type="dxa"/>
              </w:tblCellMar>
            </w:tblPr>
            <w:tblGrid>
              <w:gridCol w:w="8147"/>
            </w:tblGrid>
            <w:tr>
              <w:trPr>
                <w:tblCellSpacing w:w="0" w:type="dxa"/>
                <w:jc w:val="center"/>
              </w:trPr>
              <w:tc>
                <w:tcPr>
                  <w:tcW w:w="8147" w:type="dxa"/>
                </w:tcPr>
                <w:p>
                  <w:pPr>
                    <w:spacing w:line="360" w:lineRule="auto"/>
                    <w:rPr>
                      <w:rFonts w:ascii="宋体" w:hAnsi="宋体" w:cs="宋体"/>
                      <w:b/>
                      <w:bCs/>
                      <w:kern w:val="0"/>
                      <w:szCs w:val="21"/>
                    </w:rPr>
                  </w:pPr>
                  <w:r>
                    <w:rPr>
                      <w:rFonts w:hint="eastAsia" w:ascii="宋体" w:hAnsi="宋体" w:cs="宋体"/>
                      <w:b/>
                      <w:bCs/>
                      <w:kern w:val="0"/>
                      <w:szCs w:val="21"/>
                    </w:rPr>
                    <w:t>申请人的资格要求：</w:t>
                  </w:r>
                </w:p>
                <w:p>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pStyle w:val="38"/>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pPr>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专门面向中小企业采购：是，</w:t>
                  </w:r>
                  <w:r>
                    <w:rPr>
                      <w:rFonts w:hint="eastAsia" w:ascii="宋体" w:hAnsi="宋体" w:cs="宋体"/>
                      <w:kern w:val="0"/>
                      <w:szCs w:val="21"/>
                      <w:lang w:val="en-US" w:eastAsia="zh-CN"/>
                    </w:rPr>
                    <w:t>本项目的承接服务商为</w:t>
                  </w:r>
                  <w:r>
                    <w:rPr>
                      <w:rFonts w:hint="eastAsia" w:ascii="宋体" w:hAnsi="宋体" w:cs="宋体"/>
                      <w:kern w:val="0"/>
                      <w:szCs w:val="21"/>
                    </w:rPr>
                    <w:t>符合政策要求的中小微企业、残疾人福利性</w:t>
                  </w:r>
                  <w:r>
                    <w:rPr>
                      <w:rFonts w:hint="eastAsia" w:ascii="宋体" w:hAnsi="宋体" w:cs="宋体"/>
                      <w:kern w:val="0"/>
                      <w:szCs w:val="21"/>
                      <w:lang w:val="en-US" w:eastAsia="zh-CN"/>
                    </w:rPr>
                    <w:t>单位或</w:t>
                  </w:r>
                  <w:r>
                    <w:rPr>
                      <w:rFonts w:hint="eastAsia" w:ascii="宋体" w:hAnsi="宋体" w:cs="宋体"/>
                      <w:kern w:val="0"/>
                      <w:szCs w:val="21"/>
                    </w:rPr>
                    <w:t>监狱企业（由供应商在《中小企业声明函、残疾人福利性单位声明函及监狱企业声明函》中作出声明</w:t>
                  </w:r>
                  <w:r>
                    <w:rPr>
                      <w:rFonts w:hint="eastAsia" w:ascii="宋体" w:hAnsi="宋体" w:cs="宋体"/>
                      <w:kern w:val="0"/>
                      <w:szCs w:val="21"/>
                      <w:lang w:eastAsia="zh-CN"/>
                    </w:rPr>
                    <w:t>；</w:t>
                  </w:r>
                  <w:r>
                    <w:rPr>
                      <w:rFonts w:hint="eastAsia" w:ascii="宋体" w:hAnsi="宋体" w:cs="宋体"/>
                      <w:kern w:val="0"/>
                      <w:szCs w:val="21"/>
                      <w:lang w:val="en-US" w:eastAsia="zh-CN"/>
                    </w:rPr>
                    <w:t>未提供声明函或声明函不符合“填写指引”的，按资格审查不通过处理</w:t>
                  </w:r>
                  <w:r>
                    <w:rPr>
                      <w:rFonts w:hint="eastAsia" w:ascii="宋体" w:hAnsi="宋体" w:cs="宋体"/>
                      <w:kern w:val="0"/>
                      <w:szCs w:val="21"/>
                    </w:rPr>
                    <w:t>）</w:t>
                  </w:r>
                  <w:r>
                    <w:rPr>
                      <w:rFonts w:hint="eastAsia" w:ascii="宋体" w:hAnsi="宋体" w:cs="宋体"/>
                      <w:kern w:val="0"/>
                      <w:szCs w:val="21"/>
                      <w:lang w:eastAsia="zh-CN"/>
                    </w:rPr>
                    <w:t>。</w:t>
                  </w:r>
                </w:p>
                <w:p>
                  <w:pPr>
                    <w:ind w:firstLine="422" w:firstLineChars="200"/>
                    <w:rPr>
                      <w:rFonts w:ascii="宋体" w:hAnsi="宋体" w:cs="宋体"/>
                      <w:b/>
                      <w:bCs/>
                      <w:kern w:val="0"/>
                      <w:szCs w:val="21"/>
                    </w:rPr>
                  </w:pPr>
                </w:p>
                <w:p>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pPr>
                    <w:ind w:firstLine="420" w:firstLineChars="200"/>
                    <w:rPr>
                      <w:rFonts w:ascii="宋体" w:hAnsi="宋体"/>
                    </w:rPr>
                  </w:pPr>
                  <w:r>
                    <w:rPr>
                      <w:rFonts w:hint="eastAsia" w:ascii="宋体" w:hAnsi="宋体"/>
                    </w:rPr>
                    <w:t>（2）供应商投标（上传投标文件）必须先行办理注册手续。</w:t>
                  </w:r>
                </w:p>
                <w:p>
                  <w:pPr>
                    <w:spacing w:beforeAutospacing="1" w:afterAutospacing="1"/>
                    <w:ind w:firstLine="442" w:firstLineChars="200"/>
                    <w:rPr>
                      <w:rFonts w:ascii="宋体" w:hAnsi="宋体" w:cs="宋体"/>
                      <w:sz w:val="24"/>
                    </w:rPr>
                  </w:pPr>
                  <w:r>
                    <w:rPr>
                      <w:rFonts w:hint="eastAsia"/>
                      <w:b/>
                      <w:sz w:val="22"/>
                      <w:szCs w:val="18"/>
                      <w:highlight w:val="none"/>
                    </w:rPr>
                    <w:t>完整公告内容详见：</w:t>
                  </w:r>
                  <w:r>
                    <w:rPr>
                      <w:rFonts w:hint="eastAsia"/>
                      <w:b/>
                      <w:color w:val="0000FF"/>
                      <w:sz w:val="22"/>
                      <w:szCs w:val="18"/>
                      <w:highlight w:val="none"/>
                    </w:rPr>
                    <w:t>深圳交易集团官网（szexgrp.com）</w:t>
                  </w:r>
                </w:p>
              </w:tc>
            </w:tr>
          </w:tbl>
          <w:p>
            <w:pPr>
              <w:rPr>
                <w:rFonts w:ascii="宋体" w:hAnsi="宋体" w:cs="宋体"/>
                <w:sz w:val="24"/>
              </w:rPr>
            </w:pPr>
          </w:p>
        </w:tc>
      </w:tr>
    </w:tbl>
    <w:p>
      <w:r>
        <w:rPr>
          <w:rFonts w:hint="eastAsia"/>
        </w:rPr>
        <w:br w:type="page"/>
      </w:r>
    </w:p>
    <w:p>
      <w:pPr>
        <w:pStyle w:val="6"/>
        <w:jc w:val="center"/>
        <w:rPr>
          <w:sz w:val="28"/>
          <w:szCs w:val="28"/>
        </w:rPr>
      </w:pPr>
      <w:r>
        <w:rPr>
          <w:rFonts w:hint="eastAsia"/>
          <w:sz w:val="28"/>
          <w:szCs w:val="28"/>
        </w:rPr>
        <w:t>第二章 对通用条款的补充内容及其他关键信息</w:t>
      </w:r>
    </w:p>
    <w:p>
      <w:pPr>
        <w:pStyle w:val="6"/>
        <w:spacing w:before="120" w:beforeLines="50" w:after="120" w:afterLines="50"/>
        <w:jc w:val="center"/>
        <w:rPr>
          <w:sz w:val="28"/>
          <w:szCs w:val="28"/>
        </w:rPr>
      </w:pPr>
      <w:bookmarkStart w:id="19" w:name="_Toc60631620"/>
      <w:bookmarkStart w:id="20" w:name="_Toc73521635"/>
      <w:bookmarkStart w:id="21" w:name="_Toc100052364"/>
      <w:bookmarkStart w:id="22" w:name="_Toc101074876"/>
      <w:bookmarkStart w:id="23" w:name="_Toc60560625"/>
      <w:bookmarkStart w:id="24" w:name="_Toc73517639"/>
      <w:bookmarkStart w:id="25" w:name="_Toc73518117"/>
      <w:bookmarkStart w:id="26" w:name="_Toc73521547"/>
      <w:r>
        <w:rPr>
          <w:rFonts w:hint="eastAsia"/>
          <w:szCs w:val="24"/>
        </w:rPr>
        <w:t>一、对通用条款的补充内容</w:t>
      </w:r>
    </w:p>
    <w:bookmarkEnd w:id="19"/>
    <w:bookmarkEnd w:id="20"/>
    <w:bookmarkEnd w:id="21"/>
    <w:bookmarkEnd w:id="22"/>
    <w:bookmarkEnd w:id="23"/>
    <w:bookmarkEnd w:id="24"/>
    <w:bookmarkEnd w:id="25"/>
    <w:bookmarkEnd w:id="26"/>
    <w:tbl>
      <w:tblPr>
        <w:tblStyle w:val="19"/>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b/>
                <w:bCs/>
              </w:rPr>
            </w:pPr>
            <w:r>
              <w:rPr>
                <w:rFonts w:hint="eastAsia" w:ascii="宋体" w:hAnsi="宋体"/>
                <w:b/>
                <w:bCs/>
              </w:rPr>
              <w:t>通用条款序号</w:t>
            </w:r>
          </w:p>
        </w:tc>
        <w:tc>
          <w:tcPr>
            <w:tcW w:w="2409" w:type="dxa"/>
            <w:vAlign w:val="center"/>
          </w:tcPr>
          <w:p>
            <w:pPr>
              <w:jc w:val="center"/>
              <w:rPr>
                <w:rFonts w:ascii="宋体" w:hAnsi="宋体"/>
                <w:b/>
                <w:bCs/>
              </w:rPr>
            </w:pPr>
            <w:r>
              <w:rPr>
                <w:rFonts w:hint="eastAsia" w:ascii="宋体" w:hAnsi="宋体"/>
                <w:b/>
                <w:bCs/>
              </w:rPr>
              <w:t>涉及事项</w:t>
            </w:r>
          </w:p>
        </w:tc>
        <w:tc>
          <w:tcPr>
            <w:tcW w:w="4980" w:type="dxa"/>
            <w:vAlign w:val="center"/>
          </w:tcPr>
          <w:p>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.1</w:t>
            </w:r>
          </w:p>
        </w:tc>
        <w:tc>
          <w:tcPr>
            <w:tcW w:w="2409" w:type="dxa"/>
            <w:vAlign w:val="center"/>
          </w:tcPr>
          <w:p>
            <w:pPr>
              <w:jc w:val="center"/>
            </w:pPr>
            <w:r>
              <w:rPr>
                <w:rFonts w:hint="eastAsia"/>
              </w:rPr>
              <w:t>采购人</w:t>
            </w:r>
          </w:p>
        </w:tc>
        <w:tc>
          <w:tcPr>
            <w:tcW w:w="4980" w:type="dxa"/>
            <w:vAlign w:val="center"/>
          </w:tcPr>
          <w:p>
            <w:pPr>
              <w:jc w:val="center"/>
              <w:rPr>
                <w:rFonts w:ascii="宋体" w:hAnsi="宋体"/>
              </w:rPr>
            </w:pPr>
            <w:r>
              <w:rPr>
                <w:rFonts w:hint="eastAsia" w:ascii="宋体" w:hAnsi="宋体" w:eastAsia="宋体" w:cs="Arial"/>
                <w:b/>
                <w:szCs w:val="21"/>
              </w:rPr>
              <w:t>深圳市宝安区教育局</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.2</w:t>
            </w:r>
          </w:p>
        </w:tc>
        <w:tc>
          <w:tcPr>
            <w:tcW w:w="2409" w:type="dxa"/>
            <w:vAlign w:val="center"/>
          </w:tcPr>
          <w:p>
            <w:pPr>
              <w:jc w:val="center"/>
              <w:rPr>
                <w:rFonts w:ascii="宋体" w:hAnsi="宋体"/>
              </w:rPr>
            </w:pPr>
            <w:r>
              <w:rPr>
                <w:rFonts w:hint="eastAsia" w:ascii="宋体" w:hAnsi="宋体"/>
              </w:rPr>
              <w:t>政府集中采购机构</w:t>
            </w:r>
          </w:p>
        </w:tc>
        <w:tc>
          <w:tcPr>
            <w:tcW w:w="4980" w:type="dxa"/>
            <w:vAlign w:val="center"/>
          </w:tcPr>
          <w:p>
            <w:pPr>
              <w:jc w:val="center"/>
            </w:pPr>
            <w:r>
              <w:rPr>
                <w:rFonts w:hint="eastAsia"/>
              </w:rPr>
              <w:t>深圳公共资源交易中心</w:t>
            </w:r>
          </w:p>
          <w:p>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9</w:t>
            </w:r>
          </w:p>
        </w:tc>
        <w:tc>
          <w:tcPr>
            <w:tcW w:w="2409" w:type="dxa"/>
            <w:vAlign w:val="center"/>
          </w:tcPr>
          <w:p>
            <w:pPr>
              <w:jc w:val="center"/>
              <w:rPr>
                <w:rFonts w:ascii="宋体" w:hAnsi="宋体"/>
              </w:rPr>
            </w:pPr>
            <w:r>
              <w:rPr>
                <w:rFonts w:hint="eastAsia" w:ascii="宋体" w:hAnsi="宋体"/>
              </w:rPr>
              <w:t>踏勘现场</w:t>
            </w:r>
          </w:p>
        </w:tc>
        <w:tc>
          <w:tcPr>
            <w:tcW w:w="4980" w:type="dxa"/>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1</w:t>
            </w:r>
            <w:r>
              <w:rPr>
                <w:rFonts w:ascii="宋体" w:hAnsi="宋体"/>
              </w:rPr>
              <w:t>0</w:t>
            </w:r>
          </w:p>
        </w:tc>
        <w:tc>
          <w:tcPr>
            <w:tcW w:w="2409" w:type="dxa"/>
            <w:vAlign w:val="center"/>
          </w:tcPr>
          <w:p>
            <w:pPr>
              <w:jc w:val="center"/>
              <w:rPr>
                <w:rFonts w:ascii="宋体" w:hAnsi="宋体"/>
              </w:rPr>
            </w:pPr>
            <w:r>
              <w:rPr>
                <w:rFonts w:hint="eastAsia" w:ascii="宋体" w:hAnsi="宋体"/>
              </w:rPr>
              <w:t>标前会议</w:t>
            </w:r>
          </w:p>
        </w:tc>
        <w:tc>
          <w:tcPr>
            <w:tcW w:w="4980" w:type="dxa"/>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vAlign w:val="center"/>
          </w:tcPr>
          <w:p>
            <w:pPr>
              <w:jc w:val="center"/>
              <w:rPr>
                <w:rFonts w:ascii="宋体" w:hAnsi="宋体"/>
              </w:rPr>
            </w:pPr>
            <w:r>
              <w:rPr>
                <w:rFonts w:hint="eastAsia" w:ascii="宋体" w:hAnsi="宋体"/>
              </w:rPr>
              <w:t>招标文件的澄清和修改</w:t>
            </w:r>
          </w:p>
        </w:tc>
        <w:tc>
          <w:tcPr>
            <w:tcW w:w="4980" w:type="dxa"/>
            <w:shd w:val="clear" w:color="auto" w:fill="auto"/>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0</w:t>
            </w:r>
          </w:p>
        </w:tc>
        <w:tc>
          <w:tcPr>
            <w:tcW w:w="2409" w:type="dxa"/>
            <w:vAlign w:val="center"/>
          </w:tcPr>
          <w:p>
            <w:pPr>
              <w:jc w:val="center"/>
              <w:rPr>
                <w:rFonts w:ascii="宋体" w:hAnsi="宋体"/>
              </w:rPr>
            </w:pPr>
            <w:r>
              <w:rPr>
                <w:rFonts w:hint="eastAsia" w:ascii="宋体" w:hAnsi="宋体"/>
              </w:rPr>
              <w:t>投标有效期</w:t>
            </w:r>
          </w:p>
        </w:tc>
        <w:tc>
          <w:tcPr>
            <w:tcW w:w="4980" w:type="dxa"/>
            <w:shd w:val="clear" w:color="auto" w:fill="auto"/>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2</w:t>
            </w:r>
          </w:p>
        </w:tc>
        <w:tc>
          <w:tcPr>
            <w:tcW w:w="2409" w:type="dxa"/>
            <w:vAlign w:val="center"/>
          </w:tcPr>
          <w:p>
            <w:pPr>
              <w:jc w:val="center"/>
              <w:rPr>
                <w:rFonts w:ascii="宋体" w:hAnsi="宋体"/>
              </w:rPr>
            </w:pPr>
            <w:r>
              <w:rPr>
                <w:rFonts w:hint="eastAsia" w:ascii="宋体" w:hAnsi="宋体"/>
              </w:rPr>
              <w:t>投标人的替代方案</w:t>
            </w:r>
          </w:p>
        </w:tc>
        <w:tc>
          <w:tcPr>
            <w:tcW w:w="4980" w:type="dxa"/>
            <w:shd w:val="clear" w:color="auto" w:fill="auto"/>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5</w:t>
            </w:r>
          </w:p>
        </w:tc>
        <w:tc>
          <w:tcPr>
            <w:tcW w:w="2409" w:type="dxa"/>
            <w:vAlign w:val="center"/>
          </w:tcPr>
          <w:p>
            <w:pPr>
              <w:jc w:val="center"/>
              <w:rPr>
                <w:rFonts w:ascii="宋体" w:hAnsi="宋体"/>
              </w:rPr>
            </w:pPr>
            <w:r>
              <w:rPr>
                <w:rFonts w:hint="eastAsia" w:ascii="宋体" w:hAnsi="宋体"/>
              </w:rPr>
              <w:t>投标文件的大小</w:t>
            </w:r>
          </w:p>
        </w:tc>
        <w:tc>
          <w:tcPr>
            <w:tcW w:w="4980" w:type="dxa"/>
            <w:shd w:val="clear" w:color="auto" w:fill="auto"/>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6</w:t>
            </w:r>
          </w:p>
        </w:tc>
        <w:tc>
          <w:tcPr>
            <w:tcW w:w="2409" w:type="dxa"/>
            <w:vAlign w:val="center"/>
          </w:tcPr>
          <w:p>
            <w:pPr>
              <w:jc w:val="center"/>
              <w:rPr>
                <w:rFonts w:ascii="宋体" w:hAnsi="宋体"/>
              </w:rPr>
            </w:pPr>
            <w:bookmarkStart w:id="27" w:name="_Hlk71664860"/>
            <w:r>
              <w:rPr>
                <w:rFonts w:hint="eastAsia" w:ascii="宋体" w:hAnsi="宋体"/>
              </w:rPr>
              <w:t>样品、现场演示、方案讲解</w:t>
            </w:r>
            <w:bookmarkEnd w:id="27"/>
          </w:p>
        </w:tc>
        <w:tc>
          <w:tcPr>
            <w:tcW w:w="4980" w:type="dxa"/>
            <w:vAlign w:val="center"/>
          </w:tcPr>
          <w:p>
            <w:pPr>
              <w:jc w:val="center"/>
              <w:rPr>
                <w:rFonts w:ascii="宋体" w:hAnsi="宋体"/>
              </w:rPr>
            </w:pPr>
            <w:r>
              <w:rPr>
                <w:rFonts w:hint="eastAsia"/>
              </w:rPr>
              <w:t>如有样品、演示、方案讲解，具体安排见第三章 用户需求书相关要求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7</w:t>
            </w:r>
          </w:p>
        </w:tc>
        <w:tc>
          <w:tcPr>
            <w:tcW w:w="2409" w:type="dxa"/>
            <w:vAlign w:val="center"/>
          </w:tcPr>
          <w:p>
            <w:pPr>
              <w:jc w:val="center"/>
              <w:rPr>
                <w:rFonts w:ascii="宋体" w:hAnsi="宋体"/>
              </w:rPr>
            </w:pPr>
            <w:r>
              <w:rPr>
                <w:rFonts w:hint="eastAsia" w:ascii="宋体" w:hAnsi="宋体"/>
              </w:rPr>
              <w:t>评审方法</w:t>
            </w:r>
          </w:p>
        </w:tc>
        <w:tc>
          <w:tcPr>
            <w:tcW w:w="4980" w:type="dxa"/>
            <w:vAlign w:val="center"/>
          </w:tcPr>
          <w:p>
            <w:pPr>
              <w:jc w:val="center"/>
              <w:rPr>
                <w:rFonts w:ascii="宋体" w:hAnsi="宋体"/>
              </w:rPr>
            </w:pPr>
            <w:r>
              <w:rPr>
                <w:rFonts w:hint="eastAsia"/>
              </w:rPr>
              <w:t>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8</w:t>
            </w:r>
          </w:p>
        </w:tc>
        <w:tc>
          <w:tcPr>
            <w:tcW w:w="2409" w:type="dxa"/>
            <w:vAlign w:val="center"/>
          </w:tcPr>
          <w:p>
            <w:pPr>
              <w:jc w:val="center"/>
              <w:rPr>
                <w:rFonts w:ascii="宋体" w:hAnsi="宋体"/>
              </w:rPr>
            </w:pPr>
            <w:r>
              <w:rPr>
                <w:rFonts w:hint="eastAsia" w:ascii="宋体" w:hAnsi="宋体"/>
              </w:rPr>
              <w:t>定标方法</w:t>
            </w:r>
          </w:p>
        </w:tc>
        <w:tc>
          <w:tcPr>
            <w:tcW w:w="4980" w:type="dxa"/>
            <w:vAlign w:val="center"/>
          </w:tcPr>
          <w:p>
            <w:pPr>
              <w:jc w:val="center"/>
              <w:rPr>
                <w:rFonts w:ascii="宋体" w:hAnsi="宋体"/>
              </w:rPr>
            </w:pPr>
            <w:r>
              <w:rPr>
                <w:rFonts w:hint="eastAsia"/>
              </w:rPr>
              <w:t>非评定分离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4</w:t>
            </w:r>
            <w:r>
              <w:rPr>
                <w:rFonts w:ascii="宋体" w:hAnsi="宋体"/>
              </w:rPr>
              <w:t>6</w:t>
            </w:r>
          </w:p>
        </w:tc>
        <w:tc>
          <w:tcPr>
            <w:tcW w:w="2409" w:type="dxa"/>
            <w:vAlign w:val="center"/>
          </w:tcPr>
          <w:p>
            <w:pPr>
              <w:jc w:val="center"/>
              <w:rPr>
                <w:rFonts w:ascii="宋体" w:hAnsi="宋体"/>
              </w:rPr>
            </w:pPr>
            <w:r>
              <w:rPr>
                <w:rFonts w:hint="eastAsia" w:ascii="宋体" w:hAnsi="宋体"/>
              </w:rPr>
              <w:t>履约担保</w:t>
            </w:r>
          </w:p>
        </w:tc>
        <w:tc>
          <w:tcPr>
            <w:tcW w:w="4980" w:type="dxa"/>
            <w:vAlign w:val="center"/>
          </w:tcPr>
          <w:p>
            <w:pPr>
              <w:jc w:val="center"/>
              <w:rPr>
                <w:rFonts w:ascii="宋体" w:hAnsi="宋体"/>
              </w:rPr>
            </w:pPr>
            <w:r>
              <w:rPr>
                <w:rFonts w:hint="eastAsia"/>
              </w:rPr>
              <w:t>不需要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52.8</w:t>
            </w:r>
          </w:p>
        </w:tc>
        <w:tc>
          <w:tcPr>
            <w:tcW w:w="2409" w:type="dxa"/>
            <w:shd w:val="clear" w:color="auto" w:fill="auto"/>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投诉</w:t>
            </w:r>
          </w:p>
        </w:tc>
        <w:tc>
          <w:tcPr>
            <w:tcW w:w="4980" w:type="dxa"/>
            <w:shd w:val="clear" w:color="auto" w:fill="auto"/>
            <w:vAlign w:val="center"/>
          </w:tcPr>
          <w:p>
            <w:pPr>
              <w:jc w:val="left"/>
              <w:rPr>
                <w:rFonts w:hint="eastAsia" w:ascii="宋体" w:hAnsi="宋体" w:eastAsiaTheme="minorEastAsia" w:cstheme="minorBidi"/>
                <w:kern w:val="2"/>
                <w:sz w:val="21"/>
                <w:szCs w:val="22"/>
                <w:lang w:val="en-US" w:eastAsia="zh-CN" w:bidi="ar-S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pPr>
        <w:rPr>
          <w:b/>
        </w:rPr>
      </w:pPr>
      <w:r>
        <w:rPr>
          <w:rFonts w:hint="eastAsia"/>
          <w:szCs w:val="21"/>
        </w:rPr>
        <w:t>备注：本表是通用条款相关条款的补充和明确，如与通用条款内容相冲突的，以本表为准。</w:t>
      </w:r>
    </w:p>
    <w:p>
      <w:pPr>
        <w:rPr>
          <w:b/>
        </w:rPr>
      </w:pPr>
    </w:p>
    <w:p>
      <w:pPr>
        <w:pStyle w:val="6"/>
        <w:spacing w:before="120" w:beforeLines="50" w:after="120" w:afterLines="50"/>
        <w:jc w:val="center"/>
        <w:rPr>
          <w:szCs w:val="24"/>
        </w:rPr>
      </w:pPr>
      <w:r>
        <w:rPr>
          <w:rFonts w:hint="eastAsia"/>
          <w:szCs w:val="24"/>
        </w:rPr>
        <w:t>二、其他关键信息</w:t>
      </w:r>
    </w:p>
    <w:p>
      <w:pPr>
        <w:ind w:firstLine="422" w:firstLineChars="200"/>
        <w:rPr>
          <w:b/>
          <w:bCs/>
        </w:rPr>
      </w:pPr>
      <w:r>
        <w:rPr>
          <w:rFonts w:hint="eastAsia"/>
          <w:b/>
          <w:bCs/>
        </w:rPr>
        <w:t>（一）与“对通用条款的补充内容”章节相关的事项</w:t>
      </w:r>
    </w:p>
    <w:p>
      <w:pPr>
        <w:spacing w:line="276" w:lineRule="auto"/>
        <w:ind w:firstLine="422" w:firstLineChars="200"/>
        <w:jc w:val="left"/>
        <w:rPr>
          <w:rFonts w:asciiTheme="minorEastAsia" w:hAnsiTheme="minorEastAsia" w:eastAsiaTheme="minorEastAsia"/>
          <w:b/>
          <w:kern w:val="0"/>
          <w:szCs w:val="20"/>
        </w:rPr>
      </w:pPr>
      <w:bookmarkStart w:id="28" w:name="_Hlk72579465"/>
      <w:r>
        <w:rPr>
          <w:rFonts w:hint="eastAsia" w:asciiTheme="minorEastAsia" w:hAnsiTheme="minorEastAsia" w:eastAsiaTheme="minorEastAsia"/>
          <w:b/>
          <w:kern w:val="0"/>
          <w:szCs w:val="20"/>
        </w:rPr>
        <w:t>1、评标定标信息</w:t>
      </w:r>
    </w:p>
    <w:p>
      <w:pPr>
        <w:jc w:val="center"/>
      </w:pPr>
      <w:r>
        <w:rPr>
          <w:rFonts w:hint="eastAsia"/>
          <w:b/>
        </w:rPr>
        <w:t>非评定分离项目</w:t>
      </w:r>
    </w:p>
    <w:tbl>
      <w:tblPr>
        <w:tblStyle w:val="20"/>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pPr>
              <w:jc w:val="center"/>
            </w:pPr>
            <w:r>
              <w:rPr>
                <w:rFonts w:hint="eastAsia"/>
              </w:rPr>
              <w:t>评标方法</w:t>
            </w:r>
          </w:p>
        </w:tc>
        <w:tc>
          <w:tcPr>
            <w:tcW w:w="3235" w:type="dxa"/>
          </w:tcPr>
          <w:p>
            <w:pPr>
              <w:jc w:val="center"/>
              <w:rPr>
                <w:rFonts w:hint="default" w:eastAsia="宋体"/>
                <w:lang w:val="en-US" w:eastAsia="zh-CN"/>
              </w:rPr>
            </w:pPr>
            <w:r>
              <w:rPr>
                <w:rFonts w:hint="eastAsia"/>
              </w:rPr>
              <w:sym w:font="Wingdings" w:char="00FE"/>
            </w:r>
            <w:r>
              <w:rPr>
                <w:rFonts w:hint="eastAsia"/>
              </w:rPr>
              <w:t>综合评分法</w:t>
            </w:r>
          </w:p>
        </w:tc>
        <w:tc>
          <w:tcPr>
            <w:tcW w:w="2450" w:type="dxa"/>
          </w:tcPr>
          <w:p>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pPr>
              <w:jc w:val="center"/>
            </w:pPr>
            <w:r>
              <w:rPr>
                <w:rFonts w:hint="eastAsia"/>
              </w:rPr>
              <w:t>候选中标供应商家数</w:t>
            </w:r>
          </w:p>
        </w:tc>
        <w:tc>
          <w:tcPr>
            <w:tcW w:w="3235" w:type="dxa"/>
          </w:tcPr>
          <w:p>
            <w:pPr>
              <w:jc w:val="center"/>
              <w:rPr>
                <w:rFonts w:hint="default" w:eastAsia="宋体"/>
                <w:lang w:val="en-US" w:eastAsia="zh-CN"/>
              </w:rPr>
            </w:pPr>
            <w:r>
              <w:rPr>
                <w:rFonts w:hint="eastAsia"/>
              </w:rPr>
              <w:t>1</w:t>
            </w:r>
          </w:p>
        </w:tc>
        <w:tc>
          <w:tcPr>
            <w:tcW w:w="2450" w:type="dxa"/>
          </w:tcPr>
          <w:p>
            <w:pPr>
              <w:jc w:val="center"/>
              <w:rPr>
                <w:rFonts w:hint="eastAsia" w:eastAsia="宋体"/>
                <w:lang w:eastAsia="zh-CN"/>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pPr>
              <w:jc w:val="center"/>
            </w:pPr>
            <w:r>
              <w:rPr>
                <w:rFonts w:hint="eastAsia"/>
              </w:rPr>
              <w:t>中标供应商家数</w:t>
            </w:r>
          </w:p>
        </w:tc>
        <w:tc>
          <w:tcPr>
            <w:tcW w:w="3235" w:type="dxa"/>
          </w:tcPr>
          <w:p>
            <w:pPr>
              <w:jc w:val="center"/>
            </w:pPr>
            <w:r>
              <w:rPr>
                <w:rFonts w:hint="eastAsia"/>
              </w:rPr>
              <w:t>1</w:t>
            </w:r>
          </w:p>
        </w:tc>
        <w:tc>
          <w:tcPr>
            <w:tcW w:w="2450" w:type="dxa"/>
          </w:tcPr>
          <w:p>
            <w:pPr>
              <w:jc w:val="center"/>
              <w:rPr>
                <w:rFonts w:hint="eastAsia"/>
              </w:rPr>
            </w:pPr>
            <w:r>
              <w:rPr>
                <w:rFonts w:hint="eastAsia"/>
              </w:rPr>
              <w:t>1</w:t>
            </w:r>
          </w:p>
        </w:tc>
      </w:tr>
    </w:tbl>
    <w:p>
      <w:pPr>
        <w:pStyle w:val="14"/>
      </w:pPr>
    </w:p>
    <w:bookmarkEnd w:id="28"/>
    <w:p>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Times New Roman"/>
          <w:b w:val="0"/>
          <w:bCs w:val="0"/>
          <w:kern w:val="2"/>
          <w:sz w:val="21"/>
          <w:szCs w:val="24"/>
          <w:lang w:val="en-US" w:eastAsia="zh-CN" w:bidi="ar-SA"/>
        </w:rPr>
      </w:pPr>
    </w:p>
    <w:p>
      <w:pPr>
        <w:ind w:firstLine="422" w:firstLineChars="200"/>
        <w:rPr>
          <w:rFonts w:hint="eastAsia"/>
          <w:b/>
        </w:rPr>
      </w:pPr>
      <w:r>
        <w:rPr>
          <w:rFonts w:hint="eastAsia"/>
          <w:b/>
        </w:rPr>
        <w:t>（二）其他事项</w:t>
      </w:r>
    </w:p>
    <w:p>
      <w:pPr>
        <w:ind w:firstLine="422" w:firstLineChars="200"/>
      </w:pPr>
      <w:r>
        <w:rPr>
          <w:b/>
          <w:bCs/>
        </w:rPr>
        <w:t>1</w:t>
      </w:r>
      <w:r>
        <w:rPr>
          <w:rFonts w:hint="eastAsia"/>
          <w:b/>
          <w:bCs/>
        </w:rPr>
        <w:t>、关于享受优惠政策的主体及价格扣除比例</w:t>
      </w:r>
    </w:p>
    <w:p>
      <w:pPr>
        <w:ind w:firstLine="420" w:firstLineChars="200"/>
        <w:rPr>
          <w:rFonts w:hint="default" w:eastAsia="宋体"/>
          <w:lang w:val="en-US" w:eastAsia="zh-CN"/>
        </w:rPr>
      </w:pPr>
      <w:r>
        <w:rPr>
          <w:rFonts w:hint="eastAsia"/>
        </w:rPr>
        <w:t>（1）</w:t>
      </w:r>
      <w:r>
        <w:rPr>
          <w:rFonts w:hint="eastAsia" w:ascii="Times New Roman" w:eastAsia="宋体"/>
          <w:lang w:val="en-US" w:eastAsia="zh-CN"/>
        </w:rPr>
        <w:t>专门面向中小企业采购的项目，不再执行价格扣除比例。</w:t>
      </w:r>
    </w:p>
    <w:p>
      <w:pPr>
        <w:ind w:firstLine="420" w:firstLineChars="200"/>
      </w:pPr>
      <w:r>
        <w:rPr>
          <w:rFonts w:hint="eastAsia"/>
        </w:rPr>
        <w:t>（</w:t>
      </w:r>
      <w:r>
        <w:rPr>
          <w:rFonts w:hint="eastAsia"/>
          <w:lang w:val="en-US" w:eastAsia="zh-CN"/>
        </w:rPr>
        <w:t>2</w:t>
      </w:r>
      <w:r>
        <w:rPr>
          <w:rFonts w:hint="eastAsia"/>
        </w:rPr>
        <w:t>）</w:t>
      </w:r>
      <w:r>
        <w:rPr>
          <w:rFonts w:hint="eastAsia" w:ascii="Times New Roman" w:eastAsia="宋体"/>
          <w:lang w:val="en-US" w:eastAsia="zh-CN"/>
        </w:rPr>
        <w:t>非专门面向中小企业采购的项目，应执行价格扣除比例：</w:t>
      </w:r>
      <w:r>
        <w:rPr>
          <w:rFonts w:hint="eastAsia"/>
          <w:lang w:val="en-US" w:eastAsia="zh-CN"/>
        </w:rPr>
        <w:t>供应商</w:t>
      </w:r>
      <w:r>
        <w:rPr>
          <w:rFonts w:hint="eastAsia"/>
        </w:rPr>
        <w:t>提供的服务全部由优惠主体承接，则对其投标总价给予</w:t>
      </w:r>
      <w:r>
        <w:rPr>
          <w:color w:val="FF0000"/>
          <w:u w:val="single"/>
        </w:rPr>
        <w:t xml:space="preserve">  </w:t>
      </w:r>
      <w:r>
        <w:rPr>
          <w:rFonts w:hint="eastAsia"/>
          <w:color w:val="FF0000"/>
          <w:u w:val="single"/>
          <w:lang w:val="en-US" w:eastAsia="zh-CN"/>
        </w:rPr>
        <w:t>/</w:t>
      </w:r>
      <w:r>
        <w:rPr>
          <w:color w:val="FF0000"/>
          <w:u w:val="single"/>
        </w:rPr>
        <w:t xml:space="preserve">  %</w:t>
      </w:r>
      <w:r>
        <w:rPr>
          <w:rFonts w:hint="eastAsia" w:eastAsia="宋体"/>
          <w:color w:val="000000" w:themeColor="text1"/>
          <w:u w:val="none"/>
          <w:lang w:eastAsia="zh-CN"/>
        </w:rPr>
        <w:t>（</w:t>
      </w:r>
      <w:r>
        <w:rPr>
          <w:rFonts w:hint="eastAsia" w:ascii="Times New Roman" w:eastAsia="宋体"/>
          <w:color w:val="000000" w:themeColor="text1"/>
          <w:u w:val="none"/>
          <w:lang w:val="en-US" w:eastAsia="zh-CN"/>
        </w:rPr>
        <w:t>10%~20%</w:t>
      </w:r>
      <w:r>
        <w:rPr>
          <w:rFonts w:hint="eastAsia" w:eastAsia="宋体"/>
          <w:color w:val="000000" w:themeColor="text1"/>
          <w:u w:val="none"/>
          <w:lang w:eastAsia="zh-CN"/>
        </w:rPr>
        <w:t>）</w:t>
      </w:r>
      <w:r>
        <w:rPr>
          <w:rFonts w:hint="eastAsia"/>
        </w:rPr>
        <w:t>的扣除，用扣除后的价格参与评审。满足多项优惠政策的企业，不重复享受多项价格扣除政策。</w:t>
      </w:r>
    </w:p>
    <w:p>
      <w:pPr>
        <w:ind w:firstLine="420" w:firstLineChars="200"/>
        <w:rPr>
          <w:rFonts w:hint="eastAsia"/>
        </w:rPr>
      </w:pPr>
      <w:r>
        <w:rPr>
          <w:rFonts w:hint="eastAsia"/>
        </w:rPr>
        <w:t>备注：（a）</w:t>
      </w:r>
      <w:r>
        <w:rPr>
          <w:rFonts w:hint="eastAsia" w:ascii="Times New Roman" w:eastAsia="宋体"/>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优惠主体承接是指提供服务的人员为中小企业依照《中华人民共和国劳动合同法》订立劳动合同的从业人员。</w:t>
      </w:r>
    </w:p>
    <w:p>
      <w:pPr>
        <w:numPr>
          <w:ilvl w:val="0"/>
          <w:numId w:val="1"/>
        </w:numPr>
        <w:ind w:firstLine="420" w:firstLineChars="200"/>
        <w:rPr>
          <w:rFonts w:hint="eastAsia"/>
          <w:sz w:val="21"/>
          <w:szCs w:val="21"/>
        </w:rPr>
      </w:pPr>
      <w:r>
        <w:rPr>
          <w:rFonts w:ascii="宋体" w:hAnsi="宋体" w:eastAsia="宋体" w:cs="宋体"/>
          <w:sz w:val="21"/>
          <w:szCs w:val="21"/>
        </w:rPr>
        <w:t>中小企业参加政府采购</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自行采购</w:t>
      </w:r>
      <w:r>
        <w:rPr>
          <w:rFonts w:hint="eastAsia" w:ascii="宋体" w:hAnsi="宋体" w:eastAsia="宋体" w:cs="宋体"/>
          <w:sz w:val="21"/>
          <w:szCs w:val="21"/>
          <w:lang w:eastAsia="zh-CN"/>
        </w:rPr>
        <w:t>）</w:t>
      </w:r>
      <w:r>
        <w:rPr>
          <w:rFonts w:ascii="宋体" w:hAnsi="宋体" w:eastAsia="宋体" w:cs="宋体"/>
          <w:sz w:val="21"/>
          <w:szCs w:val="21"/>
        </w:rPr>
        <w:t>活动，应当按照国务院批准的《中小企业划型标准规定》（工信部联企 业〔2011〕300号）、《金融业企业划型标准规定》（银发〔2015〕309号）和《财政部 工业和信息化部关于印发〈政府采购促进中小企业发展管理办法〉的通知》（财库〔2020〕46 号）的规定，出具《中小企业声明函》，</w:t>
      </w:r>
      <w:r>
        <w:rPr>
          <w:rFonts w:ascii="宋体" w:hAnsi="宋体" w:eastAsia="宋体" w:cs="宋体"/>
          <w:b/>
          <w:bCs/>
          <w:color w:val="FF0000"/>
          <w:sz w:val="21"/>
          <w:szCs w:val="21"/>
        </w:rPr>
        <w:t>《中小企业声明函》中相关企业</w:t>
      </w:r>
      <w:r>
        <w:rPr>
          <w:rFonts w:hint="eastAsia" w:ascii="宋体" w:hAnsi="宋体" w:cs="宋体"/>
          <w:b/>
          <w:bCs/>
          <w:color w:val="FF0000"/>
          <w:sz w:val="21"/>
          <w:szCs w:val="21"/>
          <w:lang w:eastAsia="zh-CN"/>
        </w:rPr>
        <w:t>（服务承接商）</w:t>
      </w:r>
      <w:r>
        <w:rPr>
          <w:rFonts w:ascii="宋体" w:hAnsi="宋体" w:eastAsia="宋体" w:cs="宋体"/>
          <w:b/>
          <w:bCs/>
          <w:color w:val="FF0000"/>
          <w:sz w:val="21"/>
          <w:szCs w:val="21"/>
        </w:rPr>
        <w:t>所属行业应当与采购标的所属行业相一致</w:t>
      </w:r>
      <w:r>
        <w:rPr>
          <w:rFonts w:hint="eastAsia" w:eastAsia="宋体"/>
          <w:b/>
          <w:bCs/>
          <w:color w:val="FF0000"/>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w:t>
      </w:r>
      <w:r>
        <w:rPr>
          <w:rFonts w:hint="eastAsia"/>
          <w:b/>
          <w:bCs/>
          <w:color w:val="FF0000"/>
          <w:lang w:val="en-US" w:eastAsia="zh-CN"/>
        </w:rPr>
        <w:t>服务需求</w:t>
      </w:r>
      <w:r>
        <w:rPr>
          <w:rFonts w:hint="eastAsia" w:ascii="Times New Roman" w:eastAsia="宋体"/>
          <w:b/>
          <w:bCs/>
          <w:color w:val="FF0000"/>
          <w:lang w:val="en-US" w:eastAsia="zh-CN"/>
        </w:rPr>
        <w:t>明细”的“标的所属行业”一栏为准</w:t>
      </w:r>
      <w:r>
        <w:rPr>
          <w:rFonts w:ascii="宋体" w:hAnsi="宋体" w:eastAsia="宋体" w:cs="宋体"/>
          <w:b/>
          <w:bCs/>
          <w:color w:val="FF0000"/>
          <w:sz w:val="21"/>
          <w:szCs w:val="21"/>
        </w:rPr>
        <w:t>。</w:t>
      </w:r>
    </w:p>
    <w:p>
      <w:pPr>
        <w:numPr>
          <w:ilvl w:val="0"/>
          <w:numId w:val="1"/>
        </w:numPr>
        <w:ind w:firstLine="420" w:firstLineChars="200"/>
      </w:pPr>
      <w:r>
        <w:rPr>
          <w:rFonts w:hint="eastAsia"/>
          <w:sz w:val="21"/>
          <w:szCs w:val="21"/>
        </w:rPr>
        <w:t>小型企业、微</w:t>
      </w:r>
      <w:r>
        <w:rPr>
          <w:rFonts w:hint="eastAsia"/>
        </w:rPr>
        <w:t>型企业、残疾人福利性单位作为优惠主体的认定资料为《中小企业声明函》、《残疾人福利性单位声明函》；监狱企业作为优惠主体的认定资料为省级以上监狱管理局、戒毒管理局出具的监狱企业证明文件。声明函样式见本招标文件第一册专用条款第三章“投标文件格式、附件”中“四、投标人情况介绍”章节提供的格式）。</w:t>
      </w:r>
    </w:p>
    <w:p>
      <w:pPr>
        <w:numPr>
          <w:ilvl w:val="0"/>
          <w:numId w:val="1"/>
        </w:numPr>
        <w:ind w:left="0" w:leftChars="0" w:firstLine="420" w:firstLineChars="200"/>
      </w:pPr>
      <w:r>
        <w:rPr>
          <w:rFonts w:hint="eastAsia"/>
        </w:rPr>
        <w:t>享受价格扣除获得</w:t>
      </w:r>
      <w:r>
        <w:rPr>
          <w:rFonts w:hint="eastAsia"/>
          <w:lang w:eastAsia="zh-CN"/>
        </w:rPr>
        <w:t>政府采购（自行采购）</w:t>
      </w:r>
      <w:r>
        <w:rPr>
          <w:rFonts w:hint="eastAsia"/>
        </w:rPr>
        <w:t>合同的，小微企业不得将合同分包给大中型企业。</w:t>
      </w:r>
    </w:p>
    <w:p>
      <w:pPr>
        <w:numPr>
          <w:ilvl w:val="0"/>
          <w:numId w:val="0"/>
        </w:numPr>
        <w:ind w:left="0" w:leftChars="0" w:firstLine="420" w:firstLineChars="200"/>
      </w:pPr>
    </w:p>
    <w:p>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ind w:firstLine="422" w:firstLineChars="200"/>
        <w:rPr>
          <w:rFonts w:hint="eastAsia"/>
          <w:b/>
          <w:bCs/>
          <w:lang w:val="en-US" w:eastAsia="zh-CN"/>
        </w:rPr>
      </w:pPr>
    </w:p>
    <w:p>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服务</w:t>
      </w:r>
      <w:r>
        <w:rPr>
          <w:rFonts w:hint="eastAsia"/>
          <w:b/>
          <w:color w:val="FF0000"/>
        </w:rPr>
        <w:t>采购：</w:t>
      </w:r>
    </w:p>
    <w:p>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pPr>
              <w:widowControl/>
              <w:spacing w:line="360" w:lineRule="auto"/>
              <w:jc w:val="center"/>
            </w:pPr>
            <w:r>
              <w:rPr>
                <w:rFonts w:hint="eastAsia"/>
              </w:rPr>
              <w:t>货物采购</w:t>
            </w:r>
          </w:p>
        </w:tc>
        <w:tc>
          <w:tcPr>
            <w:tcW w:w="1799" w:type="dxa"/>
            <w:vAlign w:val="center"/>
          </w:tcPr>
          <w:p>
            <w:pPr>
              <w:widowControl/>
              <w:spacing w:line="360" w:lineRule="auto"/>
              <w:jc w:val="center"/>
            </w:pPr>
            <w:r>
              <w:rPr>
                <w:rFonts w:hint="eastAsia"/>
              </w:rPr>
              <w:t>服务采购</w:t>
            </w:r>
          </w:p>
        </w:tc>
        <w:tc>
          <w:tcPr>
            <w:tcW w:w="1799" w:type="dxa"/>
            <w:vAlign w:val="center"/>
          </w:tcPr>
          <w:p>
            <w:pPr>
              <w:widowControl/>
              <w:spacing w:line="360" w:lineRule="auto"/>
              <w:jc w:val="center"/>
            </w:pPr>
            <w:r>
              <w:rPr>
                <w:rFonts w:hint="eastAsia"/>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100万元以下</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100万元（含）-500万元</w:t>
            </w:r>
          </w:p>
        </w:tc>
        <w:tc>
          <w:tcPr>
            <w:tcW w:w="1799" w:type="dxa"/>
            <w:vAlign w:val="center"/>
          </w:tcPr>
          <w:p>
            <w:pPr>
              <w:widowControl/>
              <w:spacing w:line="360" w:lineRule="auto"/>
              <w:jc w:val="center"/>
            </w:pPr>
            <w:r>
              <w:rPr>
                <w:rFonts w:hint="eastAsia"/>
              </w:rPr>
              <w:t>1.1%</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500万元（含）-1000万元</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0.45%</w:t>
            </w:r>
          </w:p>
        </w:tc>
        <w:tc>
          <w:tcPr>
            <w:tcW w:w="1799" w:type="dxa"/>
            <w:vAlign w:val="center"/>
          </w:tcPr>
          <w:p>
            <w:pPr>
              <w:widowControl/>
              <w:spacing w:line="360" w:lineRule="auto"/>
              <w:jc w:val="center"/>
            </w:pPr>
            <w:r>
              <w:rPr>
                <w:rFonts w:hint="eastAsia"/>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1000万元（含）-5000万元</w:t>
            </w:r>
          </w:p>
        </w:tc>
        <w:tc>
          <w:tcPr>
            <w:tcW w:w="1799" w:type="dxa"/>
            <w:vAlign w:val="center"/>
          </w:tcPr>
          <w:p>
            <w:pPr>
              <w:widowControl/>
              <w:spacing w:line="360" w:lineRule="auto"/>
              <w:jc w:val="center"/>
            </w:pPr>
            <w:r>
              <w:rPr>
                <w:rFonts w:hint="eastAsia"/>
              </w:rPr>
              <w:t>0.5%</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5000万元（含）-1亿元</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0.1%</w:t>
            </w:r>
          </w:p>
        </w:tc>
        <w:tc>
          <w:tcPr>
            <w:tcW w:w="1799" w:type="dxa"/>
            <w:vAlign w:val="center"/>
          </w:tcPr>
          <w:p>
            <w:pPr>
              <w:widowControl/>
              <w:spacing w:line="360" w:lineRule="auto"/>
              <w:jc w:val="center"/>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1亿元（含）-5亿元</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5亿元（含）-10亿元</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pPr>
              <w:widowControl/>
              <w:spacing w:line="360" w:lineRule="auto"/>
              <w:jc w:val="center"/>
            </w:pPr>
            <w:r>
              <w:rPr>
                <w:rFonts w:hint="eastAsia"/>
              </w:rPr>
              <w:t>10亿元（含）-50亿元</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50亿元（含）-100亿元</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100亿元（含）以上</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r>
    </w:tbl>
    <w:p>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pPr>
        <w:ind w:firstLine="420" w:firstLineChars="200"/>
      </w:pPr>
    </w:p>
    <w:p>
      <w:pPr>
        <w:ind w:firstLine="420" w:firstLineChars="200"/>
      </w:pPr>
      <w:r>
        <w:rPr>
          <w:rFonts w:hint="eastAsia"/>
        </w:rPr>
        <w:t>如某货物采购项目，中标（成交）金额为600万元，总共交纳的代理服务费的具体计算过程如下：</w:t>
      </w:r>
    </w:p>
    <w:p>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pPr>
        <w:rPr>
          <w:b/>
        </w:rPr>
        <w:sectPr>
          <w:pgSz w:w="11907" w:h="16840"/>
          <w:pgMar w:top="1440" w:right="1797" w:bottom="1440" w:left="1797" w:header="851" w:footer="992" w:gutter="0"/>
          <w:cols w:space="425" w:num="1"/>
          <w:titlePg/>
          <w:docGrid w:linePitch="462" w:charSpace="0"/>
        </w:sectPr>
      </w:pPr>
    </w:p>
    <w:p>
      <w:pPr>
        <w:pStyle w:val="6"/>
        <w:jc w:val="center"/>
        <w:rPr>
          <w:sz w:val="28"/>
          <w:szCs w:val="28"/>
        </w:rPr>
      </w:pPr>
      <w:bookmarkStart w:id="29" w:name="_Toc128884461"/>
      <w:r>
        <w:rPr>
          <w:rFonts w:hint="eastAsia"/>
          <w:sz w:val="28"/>
          <w:szCs w:val="28"/>
        </w:rPr>
        <w:t>第三章 用户需求书</w:t>
      </w:r>
    </w:p>
    <w:p>
      <w:pPr>
        <w:pStyle w:val="6"/>
        <w:spacing w:before="120" w:beforeLines="50" w:after="120" w:afterLines="50"/>
        <w:jc w:val="center"/>
        <w:rPr>
          <w:szCs w:val="24"/>
        </w:rPr>
      </w:pPr>
      <w:r>
        <w:rPr>
          <w:rFonts w:hint="eastAsia"/>
          <w:szCs w:val="24"/>
        </w:rPr>
        <w:t>一、项目基本信息</w:t>
      </w:r>
    </w:p>
    <w:p>
      <w:pPr>
        <w:rPr>
          <w:rFonts w:ascii="宋体" w:hAnsi="宋体"/>
          <w:b/>
          <w:color w:val="FF0000"/>
          <w:szCs w:val="21"/>
        </w:rPr>
      </w:pPr>
    </w:p>
    <w:tbl>
      <w:tblPr>
        <w:tblStyle w:val="19"/>
        <w:tblpPr w:leftFromText="180" w:rightFromText="180" w:vertAnchor="text" w:horzAnchor="margin" w:tblpY="173"/>
        <w:tblW w:w="7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2478"/>
        <w:gridCol w:w="2764"/>
        <w:gridCol w:w="2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413" w:type="dxa"/>
            <w:vAlign w:val="center"/>
          </w:tcPr>
          <w:p>
            <w:pPr>
              <w:jc w:val="center"/>
              <w:rPr>
                <w:bCs/>
                <w:szCs w:val="21"/>
              </w:rPr>
            </w:pPr>
            <w:r>
              <w:rPr>
                <w:rFonts w:hint="eastAsia"/>
                <w:bCs/>
                <w:szCs w:val="21"/>
              </w:rPr>
              <w:t>序号</w:t>
            </w:r>
          </w:p>
        </w:tc>
        <w:tc>
          <w:tcPr>
            <w:tcW w:w="2478" w:type="dxa"/>
            <w:vAlign w:val="center"/>
          </w:tcPr>
          <w:p>
            <w:pPr>
              <w:jc w:val="center"/>
              <w:rPr>
                <w:bCs/>
                <w:szCs w:val="21"/>
              </w:rPr>
            </w:pPr>
            <w:r>
              <w:rPr>
                <w:rFonts w:hint="eastAsia"/>
                <w:szCs w:val="21"/>
              </w:rPr>
              <w:t>采购计划编号</w:t>
            </w:r>
          </w:p>
        </w:tc>
        <w:tc>
          <w:tcPr>
            <w:tcW w:w="2764" w:type="dxa"/>
            <w:vAlign w:val="center"/>
          </w:tcPr>
          <w:p>
            <w:pPr>
              <w:jc w:val="center"/>
              <w:rPr>
                <w:bCs/>
                <w:szCs w:val="21"/>
              </w:rPr>
            </w:pPr>
            <w:r>
              <w:rPr>
                <w:rFonts w:hint="eastAsia"/>
                <w:bCs/>
                <w:szCs w:val="21"/>
              </w:rPr>
              <w:t>采购项目名称</w:t>
            </w:r>
          </w:p>
        </w:tc>
        <w:tc>
          <w:tcPr>
            <w:tcW w:w="2090" w:type="dxa"/>
            <w:vAlign w:val="center"/>
          </w:tcPr>
          <w:p>
            <w:pPr>
              <w:jc w:val="center"/>
              <w:rPr>
                <w:rFonts w:hint="eastAsia"/>
                <w:b/>
                <w:bCs/>
                <w:color w:val="FF0000"/>
                <w:szCs w:val="21"/>
                <w:lang w:val="en-US" w:eastAsia="zh-CN"/>
              </w:rPr>
            </w:pPr>
            <w:r>
              <w:rPr>
                <w:rFonts w:hint="eastAsia"/>
                <w:b/>
                <w:bCs/>
                <w:color w:val="FF0000"/>
                <w:szCs w:val="21"/>
              </w:rPr>
              <w:t>预算</w:t>
            </w:r>
            <w:r>
              <w:rPr>
                <w:rFonts w:hint="eastAsia"/>
                <w:b/>
                <w:bCs/>
                <w:color w:val="FF0000"/>
                <w:szCs w:val="21"/>
                <w:lang w:val="en-US" w:eastAsia="zh-CN"/>
              </w:rPr>
              <w:t>金额</w:t>
            </w:r>
          </w:p>
          <w:p>
            <w:pPr>
              <w:jc w:val="center"/>
              <w:rPr>
                <w:b/>
                <w:bCs/>
                <w:color w:val="FF0000"/>
                <w:szCs w:val="21"/>
              </w:rPr>
            </w:pPr>
            <w:r>
              <w:rPr>
                <w:rFonts w:hint="eastAsia"/>
                <w:b/>
                <w:bCs/>
                <w:color w:val="FF0000"/>
                <w:szCs w:val="21"/>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13" w:type="dxa"/>
            <w:vAlign w:val="center"/>
          </w:tcPr>
          <w:p>
            <w:pPr>
              <w:jc w:val="center"/>
              <w:rPr>
                <w:bCs/>
                <w:color w:val="FF0000"/>
                <w:szCs w:val="21"/>
              </w:rPr>
            </w:pPr>
            <w:r>
              <w:rPr>
                <w:rFonts w:hint="eastAsia"/>
                <w:bCs/>
                <w:color w:val="FF0000"/>
                <w:szCs w:val="21"/>
              </w:rPr>
              <w:t>1</w:t>
            </w:r>
          </w:p>
        </w:tc>
        <w:tc>
          <w:tcPr>
            <w:tcW w:w="2478" w:type="dxa"/>
            <w:vAlign w:val="center"/>
          </w:tcPr>
          <w:p>
            <w:pPr>
              <w:jc w:val="center"/>
              <w:rPr>
                <w:bCs/>
                <w:color w:val="FF0000"/>
                <w:szCs w:val="21"/>
              </w:rPr>
            </w:pPr>
            <w:r>
              <w:rPr>
                <w:rFonts w:hint="eastAsia"/>
                <w:bCs/>
                <w:color w:val="FF0000"/>
                <w:szCs w:val="21"/>
              </w:rPr>
              <w:t>JYCG-DECL-2025-31873</w:t>
            </w:r>
            <w:bookmarkStart w:id="102" w:name="_GoBack"/>
            <w:bookmarkEnd w:id="102"/>
          </w:p>
        </w:tc>
        <w:tc>
          <w:tcPr>
            <w:tcW w:w="2764" w:type="dxa"/>
            <w:vAlign w:val="center"/>
          </w:tcPr>
          <w:p>
            <w:pPr>
              <w:jc w:val="center"/>
              <w:rPr>
                <w:b/>
                <w:bCs/>
                <w:color w:val="FF0000"/>
                <w:szCs w:val="21"/>
              </w:rPr>
            </w:pPr>
            <w:r>
              <w:rPr>
                <w:rFonts w:hint="eastAsia" w:asciiTheme="minorEastAsia" w:hAnsiTheme="minorEastAsia"/>
                <w:b w:val="0"/>
                <w:bCs w:val="0"/>
                <w:sz w:val="24"/>
                <w:szCs w:val="24"/>
                <w:highlight w:val="none"/>
              </w:rPr>
              <w:t>深圳市宝安区教育局2025年宝安区公办学校食堂承包运营情况专项审计服务项目</w:t>
            </w:r>
          </w:p>
        </w:tc>
        <w:tc>
          <w:tcPr>
            <w:tcW w:w="2090" w:type="dxa"/>
            <w:vAlign w:val="center"/>
          </w:tcPr>
          <w:p>
            <w:pPr>
              <w:jc w:val="center"/>
              <w:rPr>
                <w:bCs/>
                <w:color w:val="FF0000"/>
                <w:szCs w:val="21"/>
              </w:rPr>
            </w:pPr>
            <w:r>
              <w:rPr>
                <w:rFonts w:hint="eastAsia"/>
                <w:bCs/>
                <w:color w:val="FF0000"/>
                <w:szCs w:val="21"/>
              </w:rPr>
              <w:t>222,000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5655" w:type="dxa"/>
            <w:gridSpan w:val="3"/>
            <w:shd w:val="clear" w:color="auto" w:fill="auto"/>
            <w:vAlign w:val="center"/>
          </w:tcPr>
          <w:p>
            <w:pPr>
              <w:jc w:val="center"/>
              <w:rPr>
                <w:rFonts w:ascii="Times New Roman" w:hAnsi="Times New Roman" w:eastAsia="宋体" w:cs="Times New Roman"/>
                <w:b/>
                <w:bCs/>
                <w:color w:val="FF0000"/>
                <w:kern w:val="2"/>
                <w:sz w:val="21"/>
                <w:szCs w:val="21"/>
                <w:lang w:val="en-US" w:eastAsia="zh-CN" w:bidi="ar-SA"/>
              </w:rPr>
            </w:pPr>
            <w:r>
              <w:rPr>
                <w:b/>
                <w:bCs/>
                <w:color w:val="FF0000"/>
                <w:szCs w:val="21"/>
              </w:rPr>
              <w:t>合计</w:t>
            </w:r>
          </w:p>
        </w:tc>
        <w:tc>
          <w:tcPr>
            <w:tcW w:w="2090" w:type="dxa"/>
            <w:shd w:val="clear" w:color="auto" w:fill="auto"/>
            <w:vAlign w:val="center"/>
          </w:tcPr>
          <w:p>
            <w:pPr>
              <w:jc w:val="center"/>
              <w:rPr>
                <w:rFonts w:ascii="Times New Roman" w:hAnsi="Times New Roman" w:eastAsia="宋体" w:cs="Times New Roman"/>
                <w:bCs/>
                <w:color w:val="FF0000"/>
                <w:kern w:val="2"/>
                <w:sz w:val="21"/>
                <w:szCs w:val="21"/>
                <w:lang w:val="en-US" w:eastAsia="zh-CN" w:bidi="ar-SA"/>
              </w:rPr>
            </w:pPr>
            <w:r>
              <w:rPr>
                <w:rFonts w:hint="eastAsia" w:ascii="Times New Roman" w:hAnsi="Times New Roman" w:eastAsia="宋体" w:cs="Times New Roman"/>
                <w:bCs/>
                <w:color w:val="FF0000"/>
                <w:kern w:val="2"/>
                <w:sz w:val="21"/>
                <w:szCs w:val="21"/>
                <w:lang w:val="en-US" w:eastAsia="zh-CN" w:bidi="ar-SA"/>
              </w:rPr>
              <w:t>222,000</w:t>
            </w:r>
          </w:p>
        </w:tc>
      </w:tr>
    </w:tbl>
    <w:p>
      <w:pPr>
        <w:pStyle w:val="6"/>
        <w:spacing w:before="120" w:beforeLines="50" w:after="120" w:afterLines="50"/>
        <w:jc w:val="center"/>
        <w:rPr>
          <w:szCs w:val="24"/>
        </w:rPr>
      </w:pPr>
      <w:r>
        <w:rPr>
          <w:rFonts w:hint="eastAsia"/>
          <w:szCs w:val="24"/>
        </w:rPr>
        <w:t>二、项目概况</w:t>
      </w:r>
    </w:p>
    <w:p>
      <w:pPr>
        <w:ind w:firstLine="560" w:firstLineChars="200"/>
        <w:rPr>
          <w:rFonts w:hint="eastAsia" w:ascii="仿宋_GB2312" w:hAnsi="华文仿宋" w:eastAsia="仿宋_GB2312"/>
          <w:kern w:val="2"/>
          <w:sz w:val="28"/>
          <w:szCs w:val="28"/>
          <w:lang w:val="en-US" w:eastAsia="zh-CN" w:bidi="ar-SA"/>
        </w:rPr>
      </w:pPr>
      <w:r>
        <w:rPr>
          <w:rFonts w:hint="eastAsia" w:ascii="仿宋_GB2312" w:hAnsi="华文仿宋" w:eastAsia="仿宋_GB2312"/>
          <w:kern w:val="2"/>
          <w:sz w:val="28"/>
          <w:szCs w:val="28"/>
          <w:lang w:val="en-US" w:eastAsia="zh-CN" w:bidi="ar-SA"/>
        </w:rPr>
        <w:t>为巩固拓展群众身边不正之风和腐败问题集中整治成果，加强食堂承包运营服务经费使用监管，标本兼治解决食堂运营管理顽瘴痼疾，促进长效常治，根据上级文件精神，结合宝安区教育系统实际，需采购1家供应商协助完成宝安区公办学校食堂承包运营情况专项审计服务工作，包括：新安中学（集团）高中部、新安中学（集团）初中部、新安中学（集团）外国语学校、新安中学（集团）第二外国语学校、新安中学（集团）第一实验学校、龙田学校、宝安中学（集团）高中部、龙津中学、塘头学校、宝安职业教育集团第一校区、宝安职业教育集团第二校区、宝安第一外国语学校、福海中学、沙井中学、松岗中学、西乡中学、燕川实验学校、海乐实验学校、安乐小学、海韵学校、福桥小学、滨海小学、兴围小学、潭头小学、天骄小学、红树林外国语小学、罗租小学、翻身小学、共乐小学、新安湖小学、石岩湖学校、荣根学校、黄田实验学校、碧海小学、福新小学、福永小学、海港小学、建安小学、坪洲小学、上合小学、阳台山小学等41所学校。</w:t>
      </w:r>
    </w:p>
    <w:p>
      <w:pPr>
        <w:rPr>
          <w:rFonts w:ascii="宋体" w:hAnsi="宋体"/>
          <w:b/>
          <w:color w:val="FF0000"/>
          <w:szCs w:val="21"/>
        </w:rPr>
      </w:pPr>
    </w:p>
    <w:p>
      <w:pPr>
        <w:pStyle w:val="6"/>
        <w:spacing w:before="120" w:beforeLines="50" w:after="120" w:afterLines="50"/>
        <w:jc w:val="center"/>
        <w:rPr>
          <w:szCs w:val="24"/>
        </w:rPr>
      </w:pPr>
      <w:r>
        <w:rPr>
          <w:rFonts w:hint="eastAsia"/>
          <w:szCs w:val="24"/>
        </w:rPr>
        <w:t>三、</w:t>
      </w:r>
      <w:bookmarkStart w:id="30" w:name="_Hlk72073432"/>
      <w:r>
        <w:rPr>
          <w:rFonts w:hint="eastAsia"/>
          <w:szCs w:val="24"/>
        </w:rPr>
        <w:t>服务需求明细</w:t>
      </w:r>
      <w:bookmarkEnd w:id="30"/>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2202"/>
        <w:gridCol w:w="2233"/>
        <w:gridCol w:w="723"/>
        <w:gridCol w:w="645"/>
        <w:gridCol w:w="1226"/>
        <w:gridCol w:w="1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2" w:type="pct"/>
            <w:vAlign w:val="center"/>
          </w:tcPr>
          <w:p>
            <w:pPr>
              <w:jc w:val="center"/>
              <w:rPr>
                <w:bCs/>
                <w:szCs w:val="21"/>
              </w:rPr>
            </w:pPr>
            <w:r>
              <w:rPr>
                <w:rFonts w:hint="eastAsia"/>
                <w:bCs/>
                <w:szCs w:val="21"/>
              </w:rPr>
              <w:t>序号</w:t>
            </w:r>
          </w:p>
        </w:tc>
        <w:tc>
          <w:tcPr>
            <w:tcW w:w="674" w:type="pct"/>
            <w:vAlign w:val="center"/>
          </w:tcPr>
          <w:p>
            <w:pPr>
              <w:jc w:val="center"/>
              <w:rPr>
                <w:bCs/>
                <w:szCs w:val="21"/>
              </w:rPr>
            </w:pPr>
            <w:r>
              <w:rPr>
                <w:rFonts w:hint="eastAsia"/>
                <w:szCs w:val="21"/>
              </w:rPr>
              <w:t>采购计划编号</w:t>
            </w:r>
          </w:p>
        </w:tc>
        <w:tc>
          <w:tcPr>
            <w:tcW w:w="1512" w:type="pct"/>
            <w:vAlign w:val="center"/>
          </w:tcPr>
          <w:p>
            <w:pPr>
              <w:jc w:val="center"/>
              <w:rPr>
                <w:bCs/>
                <w:szCs w:val="21"/>
              </w:rPr>
            </w:pPr>
            <w:r>
              <w:rPr>
                <w:rFonts w:hint="eastAsia"/>
                <w:bCs/>
                <w:szCs w:val="21"/>
              </w:rPr>
              <w:t>服务需求名称（标的名称）</w:t>
            </w:r>
          </w:p>
        </w:tc>
        <w:tc>
          <w:tcPr>
            <w:tcW w:w="527" w:type="pct"/>
            <w:vAlign w:val="center"/>
          </w:tcPr>
          <w:p>
            <w:pPr>
              <w:jc w:val="center"/>
              <w:rPr>
                <w:bCs/>
                <w:szCs w:val="21"/>
              </w:rPr>
            </w:pPr>
            <w:r>
              <w:rPr>
                <w:rFonts w:hint="eastAsia"/>
                <w:bCs/>
                <w:szCs w:val="21"/>
              </w:rPr>
              <w:t>数量</w:t>
            </w:r>
          </w:p>
        </w:tc>
        <w:tc>
          <w:tcPr>
            <w:tcW w:w="481" w:type="pct"/>
            <w:vAlign w:val="center"/>
          </w:tcPr>
          <w:p>
            <w:pPr>
              <w:jc w:val="center"/>
              <w:rPr>
                <w:bCs/>
                <w:szCs w:val="21"/>
              </w:rPr>
            </w:pPr>
            <w:r>
              <w:rPr>
                <w:rFonts w:hint="eastAsia"/>
                <w:bCs/>
                <w:szCs w:val="21"/>
              </w:rPr>
              <w:t>单位</w:t>
            </w:r>
          </w:p>
        </w:tc>
        <w:tc>
          <w:tcPr>
            <w:tcW w:w="821" w:type="pct"/>
            <w:vAlign w:val="center"/>
          </w:tcPr>
          <w:p>
            <w:pPr>
              <w:jc w:val="center"/>
              <w:rPr>
                <w:rFonts w:hint="eastAsia"/>
                <w:bCs/>
                <w:szCs w:val="21"/>
              </w:rPr>
            </w:pPr>
            <w:r>
              <w:rPr>
                <w:rFonts w:hint="eastAsia" w:ascii="Times New Roman" w:eastAsia="宋体"/>
                <w:b/>
                <w:bCs/>
                <w:color w:val="FF0000"/>
                <w:szCs w:val="21"/>
                <w:lang w:val="en-US" w:eastAsia="zh-CN"/>
              </w:rPr>
              <w:t>是否专门面向中小企业</w:t>
            </w:r>
          </w:p>
        </w:tc>
        <w:tc>
          <w:tcPr>
            <w:tcW w:w="729" w:type="pct"/>
            <w:vAlign w:val="center"/>
          </w:tcPr>
          <w:p>
            <w:pPr>
              <w:jc w:val="center"/>
              <w:rPr>
                <w:rFonts w:hint="eastAsia" w:ascii="Times New Roman" w:eastAsia="宋体"/>
                <w:b/>
                <w:bCs/>
                <w:color w:val="FF0000"/>
                <w:szCs w:val="21"/>
                <w:lang w:val="en-US" w:eastAsia="zh-CN"/>
              </w:rPr>
            </w:pPr>
            <w:r>
              <w:rPr>
                <w:rFonts w:hint="eastAsia" w:ascii="Times New Roman" w:eastAsia="宋体"/>
                <w:b/>
                <w:bCs/>
                <w:color w:val="FF0000"/>
                <w:szCs w:val="21"/>
                <w:lang w:val="en-US" w:eastAsia="zh-CN"/>
              </w:rPr>
              <w:t>标的所属行业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2" w:type="pct"/>
            <w:vAlign w:val="center"/>
          </w:tcPr>
          <w:p>
            <w:pPr>
              <w:jc w:val="center"/>
              <w:rPr>
                <w:bCs/>
                <w:szCs w:val="21"/>
              </w:rPr>
            </w:pPr>
            <w:r>
              <w:rPr>
                <w:rFonts w:hint="eastAsia"/>
                <w:bCs/>
                <w:szCs w:val="21"/>
              </w:rPr>
              <w:t>1</w:t>
            </w:r>
          </w:p>
        </w:tc>
        <w:tc>
          <w:tcPr>
            <w:tcW w:w="674" w:type="pct"/>
            <w:vAlign w:val="center"/>
          </w:tcPr>
          <w:p>
            <w:pPr>
              <w:jc w:val="center"/>
              <w:rPr>
                <w:bCs/>
                <w:szCs w:val="21"/>
              </w:rPr>
            </w:pPr>
            <w:r>
              <w:rPr>
                <w:rFonts w:hint="eastAsia"/>
                <w:bCs/>
                <w:szCs w:val="21"/>
              </w:rPr>
              <w:t>JYCG-DECL-2025-31873</w:t>
            </w:r>
          </w:p>
        </w:tc>
        <w:tc>
          <w:tcPr>
            <w:tcW w:w="1512" w:type="pct"/>
            <w:vAlign w:val="center"/>
          </w:tcPr>
          <w:p>
            <w:pPr>
              <w:jc w:val="center"/>
              <w:rPr>
                <w:bCs/>
                <w:szCs w:val="21"/>
              </w:rPr>
            </w:pPr>
            <w:r>
              <w:rPr>
                <w:rFonts w:hint="eastAsia"/>
                <w:bCs/>
                <w:szCs w:val="21"/>
              </w:rPr>
              <w:t>深圳市宝安区教育局2025年宝安区公办学校食堂承包运营情况专项审计服务项目</w:t>
            </w:r>
          </w:p>
        </w:tc>
        <w:tc>
          <w:tcPr>
            <w:tcW w:w="527" w:type="pct"/>
            <w:vAlign w:val="center"/>
          </w:tcPr>
          <w:p>
            <w:pPr>
              <w:jc w:val="center"/>
              <w:rPr>
                <w:rFonts w:hint="eastAsia" w:eastAsiaTheme="minorEastAsia"/>
                <w:bCs/>
                <w:szCs w:val="21"/>
                <w:lang w:eastAsia="zh-CN"/>
              </w:rPr>
            </w:pPr>
            <w:r>
              <w:rPr>
                <w:rFonts w:hint="eastAsia"/>
                <w:lang w:val="en-US" w:eastAsia="zh-CN"/>
              </w:rPr>
              <w:t>1</w:t>
            </w:r>
          </w:p>
        </w:tc>
        <w:tc>
          <w:tcPr>
            <w:tcW w:w="481" w:type="pct"/>
            <w:vAlign w:val="center"/>
          </w:tcPr>
          <w:p>
            <w:pPr>
              <w:jc w:val="center"/>
              <w:rPr>
                <w:rFonts w:hint="eastAsia" w:eastAsiaTheme="minorEastAsia"/>
                <w:bCs/>
                <w:szCs w:val="21"/>
                <w:lang w:val="en-US" w:eastAsia="zh-CN"/>
              </w:rPr>
            </w:pPr>
            <w:r>
              <w:rPr>
                <w:rFonts w:hint="eastAsia"/>
                <w:bCs/>
                <w:szCs w:val="21"/>
                <w:lang w:val="en-US" w:eastAsia="zh-CN"/>
              </w:rPr>
              <w:t>项</w:t>
            </w:r>
          </w:p>
        </w:tc>
        <w:tc>
          <w:tcPr>
            <w:tcW w:w="821" w:type="pct"/>
            <w:vAlign w:val="center"/>
          </w:tcPr>
          <w:p>
            <w:pPr>
              <w:jc w:val="center"/>
              <w:rPr>
                <w:rFonts w:hint="default" w:eastAsiaTheme="minorEastAsia"/>
                <w:bCs/>
                <w:szCs w:val="21"/>
                <w:lang w:val="en-US" w:eastAsia="zh-CN"/>
              </w:rPr>
            </w:pPr>
            <w:r>
              <w:rPr>
                <w:rFonts w:hint="eastAsia"/>
                <w:bCs/>
                <w:szCs w:val="21"/>
                <w:lang w:val="en-US" w:eastAsia="zh-CN"/>
              </w:rPr>
              <w:t>是</w:t>
            </w:r>
          </w:p>
        </w:tc>
        <w:tc>
          <w:tcPr>
            <w:tcW w:w="729" w:type="pct"/>
            <w:vAlign w:val="center"/>
          </w:tcPr>
          <w:p>
            <w:pPr>
              <w:jc w:val="center"/>
              <w:rPr>
                <w:bCs/>
                <w:szCs w:val="21"/>
              </w:rPr>
            </w:pPr>
            <w:r>
              <w:rPr>
                <w:rFonts w:hint="eastAsia"/>
                <w:bCs/>
                <w:szCs w:val="21"/>
              </w:rPr>
              <w:t>其他未列明行业</w:t>
            </w:r>
          </w:p>
        </w:tc>
      </w:tr>
    </w:tbl>
    <w:p>
      <w:pPr>
        <w:rPr>
          <w:rFonts w:ascii="宋体" w:hAnsi="宋体"/>
          <w:b/>
          <w:color w:val="FF0000"/>
          <w:szCs w:val="21"/>
        </w:rPr>
      </w:pPr>
    </w:p>
    <w:p>
      <w:pPr>
        <w:pStyle w:val="6"/>
        <w:spacing w:before="120" w:beforeLines="50" w:after="120" w:afterLines="50"/>
        <w:jc w:val="center"/>
        <w:rPr>
          <w:szCs w:val="24"/>
        </w:rPr>
      </w:pPr>
      <w:r>
        <w:rPr>
          <w:rFonts w:hint="eastAsia"/>
          <w:szCs w:val="24"/>
        </w:rPr>
        <w:t>四、实质性条款</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7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4" w:type="dxa"/>
          </w:tcPr>
          <w:p>
            <w:pPr>
              <w:adjustRightInd w:val="0"/>
              <w:snapToGrid w:val="0"/>
              <w:spacing w:line="360" w:lineRule="auto"/>
              <w:jc w:val="center"/>
              <w:rPr>
                <w:rFonts w:ascii="宋体" w:hAnsi="宋体"/>
                <w:kern w:val="0"/>
                <w:szCs w:val="21"/>
              </w:rPr>
            </w:pPr>
            <w:r>
              <w:rPr>
                <w:rFonts w:hint="eastAsia" w:ascii="宋体" w:hAnsi="宋体"/>
                <w:kern w:val="0"/>
                <w:szCs w:val="21"/>
              </w:rPr>
              <w:t>序号</w:t>
            </w:r>
          </w:p>
        </w:tc>
        <w:tc>
          <w:tcPr>
            <w:tcW w:w="7795" w:type="dxa"/>
          </w:tcPr>
          <w:p>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Pr>
          <w:p>
            <w:pPr>
              <w:adjustRightInd w:val="0"/>
              <w:snapToGrid w:val="0"/>
              <w:spacing w:line="360" w:lineRule="auto"/>
              <w:jc w:val="center"/>
              <w:rPr>
                <w:rFonts w:ascii="宋体" w:hAnsi="宋体"/>
                <w:kern w:val="0"/>
                <w:szCs w:val="21"/>
              </w:rPr>
            </w:pPr>
            <w:r>
              <w:rPr>
                <w:rFonts w:hint="eastAsia" w:ascii="宋体" w:hAnsi="宋体"/>
                <w:kern w:val="0"/>
                <w:szCs w:val="21"/>
              </w:rPr>
              <w:t>1</w:t>
            </w:r>
          </w:p>
        </w:tc>
        <w:tc>
          <w:tcPr>
            <w:tcW w:w="7795" w:type="dxa"/>
          </w:tcPr>
          <w:p>
            <w:pPr>
              <w:jc w:val="center"/>
              <w:rPr>
                <w:rFonts w:hAnsi="宋体" w:eastAsiaTheme="minorEastAsia"/>
                <w:kern w:val="0"/>
                <w:szCs w:val="21"/>
              </w:rPr>
            </w:pPr>
            <w:r>
              <w:rPr>
                <w:rFonts w:hint="eastAsia" w:hAnsi="宋体" w:eastAsiaTheme="minorEastAsia"/>
                <w:kern w:val="0"/>
                <w:szCs w:val="21"/>
              </w:rPr>
              <w:t>满足本项目标</w:t>
            </w:r>
            <w:r>
              <w:rPr>
                <w:rFonts w:hint="eastAsia" w:hAnsi="宋体" w:eastAsiaTheme="minorEastAsia"/>
                <w:color w:val="FF0000"/>
                <w:kern w:val="0"/>
                <w:szCs w:val="21"/>
              </w:rPr>
              <w:t>★</w:t>
            </w:r>
            <w:r>
              <w:rPr>
                <w:rFonts w:hint="eastAsia" w:hAnsi="宋体" w:eastAsiaTheme="minorEastAsia"/>
                <w:kern w:val="0"/>
                <w:szCs w:val="21"/>
              </w:rPr>
              <w:t>的条款要求</w:t>
            </w:r>
          </w:p>
        </w:tc>
      </w:tr>
    </w:tbl>
    <w:p>
      <w:pPr>
        <w:tabs>
          <w:tab w:val="left" w:pos="765"/>
        </w:tabs>
        <w:outlineLvl w:val="9"/>
        <w:rPr>
          <w:rFonts w:ascii="黑体"/>
          <w:b w:val="0"/>
          <w:kern w:val="0"/>
          <w:sz w:val="24"/>
          <w:szCs w:val="24"/>
        </w:rPr>
      </w:pPr>
      <w:r>
        <w:rPr>
          <w:rFonts w:hint="eastAsia" w:ascii="黑体"/>
          <w:b w:val="0"/>
          <w:color w:val="FF0000"/>
          <w:kern w:val="0"/>
          <w:sz w:val="24"/>
          <w:szCs w:val="24"/>
        </w:rPr>
        <w:t>注：上表所列内容为不可负偏离条款，负偏离将视为未实质性满足招标文件要求作投标无效处理。</w:t>
      </w:r>
      <w:bookmarkEnd w:id="29"/>
      <w:r>
        <w:rPr>
          <w:rFonts w:hint="eastAsia" w:ascii="黑体"/>
          <w:b w:val="0"/>
          <w:color w:val="FF0000"/>
          <w:kern w:val="0"/>
          <w:sz w:val="24"/>
          <w:szCs w:val="24"/>
        </w:rPr>
        <w:t>投标人是否满足以上实质性条款要求，以《实质性条款响应情况表》响应为准。如投标人中标后被发现不能满足以上实质性条款要求的，采购单位有权拒绝签订合同，一切后果由投标人承担。</w:t>
      </w:r>
    </w:p>
    <w:p>
      <w:pPr>
        <w:jc w:val="center"/>
        <w:rPr>
          <w:b/>
          <w:bCs/>
          <w:sz w:val="24"/>
        </w:rPr>
      </w:pPr>
    </w:p>
    <w:p>
      <w:pPr>
        <w:numPr>
          <w:ilvl w:val="0"/>
          <w:numId w:val="0"/>
        </w:numPr>
        <w:spacing w:line="520" w:lineRule="exact"/>
        <w:ind w:firstLine="560" w:firstLineChars="200"/>
        <w:jc w:val="left"/>
        <w:rPr>
          <w:rFonts w:hint="eastAsia" w:ascii="仿宋_GB2312" w:hAnsi="华文仿宋" w:eastAsia="仿宋_GB2312"/>
          <w:kern w:val="2"/>
          <w:sz w:val="28"/>
          <w:szCs w:val="28"/>
          <w:lang w:val="en-US" w:eastAsia="zh-CN" w:bidi="ar-SA"/>
        </w:rPr>
      </w:pPr>
    </w:p>
    <w:p>
      <w:pPr>
        <w:jc w:val="center"/>
        <w:rPr>
          <w:b/>
          <w:sz w:val="24"/>
        </w:rPr>
      </w:pPr>
    </w:p>
    <w:p>
      <w:pPr>
        <w:pStyle w:val="6"/>
        <w:spacing w:before="120" w:beforeLines="50" w:after="120" w:afterLines="50"/>
        <w:jc w:val="center"/>
        <w:rPr>
          <w:szCs w:val="24"/>
        </w:rPr>
      </w:pPr>
      <w:r>
        <w:rPr>
          <w:rFonts w:hint="eastAsia"/>
          <w:b/>
          <w:color w:val="FF0000"/>
          <w:szCs w:val="21"/>
        </w:rPr>
        <w:t>★</w:t>
      </w:r>
      <w:r>
        <w:rPr>
          <w:rFonts w:hint="eastAsia"/>
          <w:b/>
          <w:color w:val="FF0000"/>
          <w:szCs w:val="21"/>
          <w:lang w:val="en-US" w:eastAsia="zh-CN"/>
        </w:rPr>
        <w:t>五</w:t>
      </w:r>
      <w:r>
        <w:rPr>
          <w:rFonts w:hint="eastAsia"/>
          <w:szCs w:val="24"/>
        </w:rPr>
        <w:t>、商务要求</w:t>
      </w:r>
    </w:p>
    <w:p>
      <w:pPr>
        <w:ind w:firstLine="422" w:firstLineChars="200"/>
        <w:rPr>
          <w:rFonts w:asciiTheme="minorEastAsia" w:hAnsiTheme="minorEastAsia" w:eastAsiaTheme="minorEastAsia"/>
        </w:rPr>
      </w:pPr>
      <w:r>
        <w:rPr>
          <w:rFonts w:hint="eastAsia"/>
          <w:b/>
          <w:color w:val="FF0000"/>
          <w:szCs w:val="21"/>
        </w:rPr>
        <w:t>本部分内容为项目正常开展的基本要求，均为★号条款要求</w:t>
      </w:r>
      <w:r>
        <w:rPr>
          <w:rFonts w:hint="eastAsia"/>
          <w:b/>
          <w:color w:val="FF0000"/>
          <w:szCs w:val="21"/>
          <w:lang w:eastAsia="zh-CN"/>
        </w:rPr>
        <w:t>，</w:t>
      </w:r>
      <w:r>
        <w:rPr>
          <w:rFonts w:hint="eastAsia"/>
          <w:b/>
          <w:color w:val="FF0000"/>
          <w:szCs w:val="21"/>
        </w:rPr>
        <w:t>不作为评分准则中的评分内容</w:t>
      </w:r>
      <w:r>
        <w:rPr>
          <w:rFonts w:hint="eastAsia"/>
          <w:b/>
          <w:color w:val="FF0000"/>
          <w:szCs w:val="21"/>
          <w:lang w:eastAsia="zh-CN"/>
        </w:rPr>
        <w:t>，</w:t>
      </w:r>
      <w:r>
        <w:rPr>
          <w:rFonts w:hint="eastAsia"/>
          <w:b/>
          <w:color w:val="FF0000"/>
          <w:szCs w:val="21"/>
        </w:rPr>
        <w:t>如未响应或出现负偏离的，将作投标无效处理；</w:t>
      </w:r>
    </w:p>
    <w:p>
      <w:pPr>
        <w:numPr>
          <w:ilvl w:val="0"/>
          <w:numId w:val="0"/>
        </w:numPr>
        <w:spacing w:line="520" w:lineRule="exact"/>
        <w:ind w:firstLine="562" w:firstLineChars="200"/>
        <w:jc w:val="left"/>
        <w:rPr>
          <w:rFonts w:hint="default" w:ascii="仿宋_GB2312" w:hAnsi="华文仿宋" w:eastAsia="仿宋_GB2312"/>
          <w:kern w:val="2"/>
          <w:sz w:val="28"/>
          <w:szCs w:val="28"/>
          <w:lang w:val="en-US" w:eastAsia="zh-CN" w:bidi="ar-SA"/>
        </w:rPr>
      </w:pPr>
      <w:r>
        <w:rPr>
          <w:rFonts w:hint="eastAsia" w:ascii="仿宋_GB2312" w:hAnsi="华文仿宋" w:eastAsia="仿宋_GB2312"/>
          <w:b/>
          <w:bCs/>
          <w:kern w:val="2"/>
          <w:sz w:val="28"/>
          <w:szCs w:val="28"/>
          <w:lang w:val="en-US" w:eastAsia="zh-CN" w:bidi="ar-SA"/>
        </w:rPr>
        <w:t>(一)技术要求</w:t>
      </w:r>
    </w:p>
    <w:p>
      <w:pPr>
        <w:numPr>
          <w:ilvl w:val="0"/>
          <w:numId w:val="0"/>
        </w:numPr>
        <w:spacing w:line="520" w:lineRule="exact"/>
        <w:ind w:firstLine="560" w:firstLineChars="200"/>
        <w:jc w:val="left"/>
        <w:rPr>
          <w:rFonts w:hint="default" w:ascii="仿宋_GB2312" w:hAnsi="华文仿宋" w:eastAsia="仿宋_GB2312"/>
          <w:kern w:val="2"/>
          <w:sz w:val="28"/>
          <w:szCs w:val="28"/>
          <w:lang w:val="en-US" w:eastAsia="zh-CN" w:bidi="ar-SA"/>
        </w:rPr>
      </w:pPr>
      <w:r>
        <w:rPr>
          <w:rFonts w:hint="eastAsia" w:ascii="仿宋_GB2312" w:hAnsi="华文仿宋" w:eastAsia="仿宋_GB2312"/>
          <w:kern w:val="2"/>
          <w:sz w:val="28"/>
          <w:szCs w:val="28"/>
          <w:lang w:val="en-US" w:eastAsia="zh-CN" w:bidi="ar-SA"/>
        </w:rPr>
        <w:t>1.工作内容</w:t>
      </w:r>
    </w:p>
    <w:p>
      <w:pPr>
        <w:numPr>
          <w:ilvl w:val="0"/>
          <w:numId w:val="0"/>
        </w:numPr>
        <w:spacing w:line="520" w:lineRule="exact"/>
        <w:ind w:firstLine="560" w:firstLineChars="200"/>
        <w:jc w:val="left"/>
        <w:rPr>
          <w:rFonts w:hint="default" w:ascii="仿宋_GB2312" w:hAnsi="华文仿宋" w:eastAsia="仿宋_GB2312"/>
          <w:kern w:val="2"/>
          <w:sz w:val="28"/>
          <w:szCs w:val="28"/>
          <w:lang w:val="en-US" w:eastAsia="zh-CN" w:bidi="ar-SA"/>
        </w:rPr>
      </w:pPr>
      <w:r>
        <w:rPr>
          <w:rFonts w:hint="eastAsia" w:ascii="仿宋_GB2312" w:hAnsi="华文仿宋" w:eastAsia="仿宋_GB2312"/>
          <w:kern w:val="2"/>
          <w:sz w:val="28"/>
          <w:szCs w:val="28"/>
          <w:lang w:val="en-US" w:eastAsia="zh-CN" w:bidi="ar-SA"/>
        </w:rPr>
        <w:t>对宝安区41所公办学2021年至2024年（共4年）食堂承包运营情况专项审计，必要时可延伸审计到以前年度，对以下重点事项进行审计：</w:t>
      </w:r>
    </w:p>
    <w:p>
      <w:pPr>
        <w:numPr>
          <w:ilvl w:val="0"/>
          <w:numId w:val="0"/>
        </w:numPr>
        <w:spacing w:line="520" w:lineRule="exact"/>
        <w:ind w:firstLine="560" w:firstLineChars="200"/>
        <w:jc w:val="left"/>
        <w:rPr>
          <w:rFonts w:hint="default" w:ascii="仿宋_GB2312" w:hAnsi="华文仿宋" w:eastAsia="仿宋_GB2312"/>
          <w:kern w:val="2"/>
          <w:sz w:val="28"/>
          <w:szCs w:val="28"/>
          <w:lang w:val="en-US" w:eastAsia="zh-CN" w:bidi="ar-SA"/>
        </w:rPr>
      </w:pPr>
      <w:r>
        <w:rPr>
          <w:rFonts w:hint="default" w:ascii="仿宋_GB2312" w:hAnsi="华文仿宋" w:eastAsia="仿宋_GB2312"/>
          <w:kern w:val="2"/>
          <w:sz w:val="28"/>
          <w:szCs w:val="28"/>
          <w:lang w:val="en-US" w:eastAsia="zh-CN" w:bidi="ar-SA"/>
        </w:rPr>
        <w:t>（</w:t>
      </w:r>
      <w:r>
        <w:rPr>
          <w:rFonts w:hint="eastAsia" w:ascii="仿宋_GB2312" w:hAnsi="华文仿宋" w:eastAsia="仿宋_GB2312"/>
          <w:kern w:val="2"/>
          <w:sz w:val="28"/>
          <w:szCs w:val="28"/>
          <w:lang w:val="en-US" w:eastAsia="zh-CN" w:bidi="ar-SA"/>
        </w:rPr>
        <w:t>1</w:t>
      </w:r>
      <w:r>
        <w:rPr>
          <w:rFonts w:hint="default" w:ascii="仿宋_GB2312" w:hAnsi="华文仿宋" w:eastAsia="仿宋_GB2312"/>
          <w:kern w:val="2"/>
          <w:sz w:val="28"/>
          <w:szCs w:val="28"/>
          <w:lang w:val="en-US" w:eastAsia="zh-CN" w:bidi="ar-SA"/>
        </w:rPr>
        <w:t>）</w:t>
      </w:r>
      <w:r>
        <w:rPr>
          <w:rFonts w:hint="eastAsia" w:ascii="仿宋_GB2312" w:hAnsi="华文仿宋" w:eastAsia="仿宋_GB2312"/>
          <w:kern w:val="2"/>
          <w:sz w:val="28"/>
          <w:szCs w:val="28"/>
          <w:lang w:val="en-US" w:eastAsia="zh-CN" w:bidi="ar-SA"/>
        </w:rPr>
        <w:t>学校主体责任落实情况；</w:t>
      </w:r>
    </w:p>
    <w:p>
      <w:pPr>
        <w:numPr>
          <w:ilvl w:val="0"/>
          <w:numId w:val="0"/>
        </w:numPr>
        <w:spacing w:line="520" w:lineRule="exact"/>
        <w:ind w:firstLine="560" w:firstLineChars="200"/>
        <w:jc w:val="left"/>
        <w:rPr>
          <w:rFonts w:hint="default" w:ascii="仿宋_GB2312" w:hAnsi="华文仿宋" w:eastAsia="仿宋_GB2312"/>
          <w:kern w:val="2"/>
          <w:sz w:val="28"/>
          <w:szCs w:val="28"/>
          <w:lang w:val="en-US" w:eastAsia="zh-CN" w:bidi="ar-SA"/>
        </w:rPr>
      </w:pPr>
      <w:r>
        <w:rPr>
          <w:rFonts w:hint="default" w:ascii="仿宋_GB2312" w:hAnsi="华文仿宋" w:eastAsia="仿宋_GB2312"/>
          <w:kern w:val="2"/>
          <w:sz w:val="28"/>
          <w:szCs w:val="28"/>
          <w:lang w:val="en-US" w:eastAsia="zh-CN" w:bidi="ar-SA"/>
        </w:rPr>
        <w:t>（</w:t>
      </w:r>
      <w:r>
        <w:rPr>
          <w:rFonts w:hint="eastAsia" w:ascii="仿宋_GB2312" w:hAnsi="华文仿宋" w:eastAsia="仿宋_GB2312"/>
          <w:kern w:val="2"/>
          <w:sz w:val="28"/>
          <w:szCs w:val="28"/>
          <w:lang w:val="en-US" w:eastAsia="zh-CN" w:bidi="ar-SA"/>
        </w:rPr>
        <w:t>2</w:t>
      </w:r>
      <w:r>
        <w:rPr>
          <w:rFonts w:hint="default" w:ascii="仿宋_GB2312" w:hAnsi="华文仿宋" w:eastAsia="仿宋_GB2312"/>
          <w:kern w:val="2"/>
          <w:sz w:val="28"/>
          <w:szCs w:val="28"/>
          <w:lang w:val="en-US" w:eastAsia="zh-CN" w:bidi="ar-SA"/>
        </w:rPr>
        <w:t>）</w:t>
      </w:r>
      <w:r>
        <w:rPr>
          <w:rFonts w:hint="eastAsia" w:ascii="仿宋_GB2312" w:hAnsi="华文仿宋" w:eastAsia="仿宋_GB2312"/>
          <w:kern w:val="2"/>
          <w:sz w:val="28"/>
          <w:szCs w:val="28"/>
          <w:lang w:val="en-US" w:eastAsia="zh-CN" w:bidi="ar-SA"/>
        </w:rPr>
        <w:t>膳食经费管理情况；</w:t>
      </w:r>
    </w:p>
    <w:p>
      <w:pPr>
        <w:numPr>
          <w:ilvl w:val="0"/>
          <w:numId w:val="0"/>
        </w:numPr>
        <w:spacing w:line="520" w:lineRule="exact"/>
        <w:ind w:firstLine="560" w:firstLineChars="200"/>
        <w:jc w:val="left"/>
        <w:rPr>
          <w:rFonts w:hint="default" w:ascii="仿宋_GB2312" w:hAnsi="华文仿宋" w:eastAsia="仿宋_GB2312"/>
          <w:kern w:val="2"/>
          <w:sz w:val="28"/>
          <w:szCs w:val="28"/>
          <w:lang w:val="en-US" w:eastAsia="zh-CN" w:bidi="ar-SA"/>
        </w:rPr>
      </w:pPr>
      <w:r>
        <w:rPr>
          <w:rFonts w:hint="default" w:ascii="仿宋_GB2312" w:hAnsi="华文仿宋" w:eastAsia="仿宋_GB2312"/>
          <w:kern w:val="2"/>
          <w:sz w:val="28"/>
          <w:szCs w:val="28"/>
          <w:lang w:val="en-US" w:eastAsia="zh-CN" w:bidi="ar-SA"/>
        </w:rPr>
        <w:t>（</w:t>
      </w:r>
      <w:r>
        <w:rPr>
          <w:rFonts w:hint="eastAsia" w:ascii="仿宋_GB2312" w:hAnsi="华文仿宋" w:eastAsia="仿宋_GB2312"/>
          <w:kern w:val="2"/>
          <w:sz w:val="28"/>
          <w:szCs w:val="28"/>
          <w:lang w:val="en-US" w:eastAsia="zh-CN" w:bidi="ar-SA"/>
        </w:rPr>
        <w:t>3</w:t>
      </w:r>
      <w:r>
        <w:rPr>
          <w:rFonts w:hint="default" w:ascii="仿宋_GB2312" w:hAnsi="华文仿宋" w:eastAsia="仿宋_GB2312"/>
          <w:kern w:val="2"/>
          <w:sz w:val="28"/>
          <w:szCs w:val="28"/>
          <w:lang w:val="en-US" w:eastAsia="zh-CN" w:bidi="ar-SA"/>
        </w:rPr>
        <w:t>）</w:t>
      </w:r>
      <w:r>
        <w:rPr>
          <w:rFonts w:hint="eastAsia" w:ascii="仿宋_GB2312" w:hAnsi="华文仿宋" w:eastAsia="仿宋_GB2312"/>
          <w:kern w:val="2"/>
          <w:sz w:val="28"/>
          <w:szCs w:val="28"/>
          <w:lang w:val="en-US" w:eastAsia="zh-CN" w:bidi="ar-SA"/>
        </w:rPr>
        <w:t>食堂承包招标采购及管理情况；</w:t>
      </w:r>
    </w:p>
    <w:p>
      <w:pPr>
        <w:numPr>
          <w:ilvl w:val="0"/>
          <w:numId w:val="0"/>
        </w:numPr>
        <w:spacing w:line="520" w:lineRule="exact"/>
        <w:ind w:firstLine="560" w:firstLineChars="200"/>
        <w:jc w:val="left"/>
        <w:rPr>
          <w:rFonts w:hint="default" w:ascii="仿宋_GB2312" w:hAnsi="华文仿宋" w:eastAsia="仿宋_GB2312"/>
          <w:kern w:val="2"/>
          <w:sz w:val="28"/>
          <w:szCs w:val="28"/>
          <w:lang w:val="en-US" w:eastAsia="zh-CN" w:bidi="ar-SA"/>
        </w:rPr>
      </w:pPr>
      <w:r>
        <w:rPr>
          <w:rFonts w:hint="default" w:ascii="仿宋_GB2312" w:hAnsi="华文仿宋" w:eastAsia="仿宋_GB2312"/>
          <w:kern w:val="2"/>
          <w:sz w:val="28"/>
          <w:szCs w:val="28"/>
          <w:lang w:val="en-US" w:eastAsia="zh-CN" w:bidi="ar-SA"/>
        </w:rPr>
        <w:t>（</w:t>
      </w:r>
      <w:r>
        <w:rPr>
          <w:rFonts w:hint="eastAsia" w:ascii="仿宋_GB2312" w:hAnsi="华文仿宋" w:eastAsia="仿宋_GB2312"/>
          <w:kern w:val="2"/>
          <w:sz w:val="28"/>
          <w:szCs w:val="28"/>
          <w:lang w:val="en-US" w:eastAsia="zh-CN" w:bidi="ar-SA"/>
        </w:rPr>
        <w:t>4</w:t>
      </w:r>
      <w:r>
        <w:rPr>
          <w:rFonts w:hint="default" w:ascii="仿宋_GB2312" w:hAnsi="华文仿宋" w:eastAsia="仿宋_GB2312"/>
          <w:kern w:val="2"/>
          <w:sz w:val="28"/>
          <w:szCs w:val="28"/>
          <w:lang w:val="en-US" w:eastAsia="zh-CN" w:bidi="ar-SA"/>
        </w:rPr>
        <w:t>）</w:t>
      </w:r>
      <w:r>
        <w:rPr>
          <w:rFonts w:hint="eastAsia" w:ascii="仿宋_GB2312" w:hAnsi="华文仿宋" w:eastAsia="仿宋_GB2312"/>
          <w:kern w:val="2"/>
          <w:sz w:val="28"/>
          <w:szCs w:val="28"/>
          <w:lang w:val="en-US" w:eastAsia="zh-CN" w:bidi="ar-SA"/>
        </w:rPr>
        <w:t>舆情疏导情况；</w:t>
      </w:r>
    </w:p>
    <w:p>
      <w:pPr>
        <w:numPr>
          <w:ilvl w:val="0"/>
          <w:numId w:val="0"/>
        </w:numPr>
        <w:spacing w:line="520" w:lineRule="exact"/>
        <w:ind w:firstLine="560" w:firstLineChars="200"/>
        <w:jc w:val="left"/>
        <w:rPr>
          <w:rFonts w:hint="eastAsia" w:ascii="仿宋_GB2312" w:hAnsi="华文仿宋" w:eastAsia="仿宋_GB2312"/>
          <w:kern w:val="2"/>
          <w:sz w:val="28"/>
          <w:szCs w:val="28"/>
          <w:lang w:val="en-US" w:eastAsia="zh-CN" w:bidi="ar-SA"/>
        </w:rPr>
      </w:pPr>
      <w:r>
        <w:rPr>
          <w:rFonts w:hint="default" w:ascii="仿宋_GB2312" w:hAnsi="华文仿宋" w:eastAsia="仿宋_GB2312"/>
          <w:kern w:val="2"/>
          <w:sz w:val="28"/>
          <w:szCs w:val="28"/>
          <w:lang w:val="en-US" w:eastAsia="zh-CN" w:bidi="ar-SA"/>
        </w:rPr>
        <w:t>（</w:t>
      </w:r>
      <w:r>
        <w:rPr>
          <w:rFonts w:hint="eastAsia" w:ascii="仿宋_GB2312" w:hAnsi="华文仿宋" w:eastAsia="仿宋_GB2312"/>
          <w:kern w:val="2"/>
          <w:sz w:val="28"/>
          <w:szCs w:val="28"/>
          <w:lang w:val="en-US" w:eastAsia="zh-CN" w:bidi="ar-SA"/>
        </w:rPr>
        <w:t>5</w:t>
      </w:r>
      <w:r>
        <w:rPr>
          <w:rFonts w:hint="default" w:ascii="仿宋_GB2312" w:hAnsi="华文仿宋" w:eastAsia="仿宋_GB2312"/>
          <w:kern w:val="2"/>
          <w:sz w:val="28"/>
          <w:szCs w:val="28"/>
          <w:lang w:val="en-US" w:eastAsia="zh-CN" w:bidi="ar-SA"/>
        </w:rPr>
        <w:t>）</w:t>
      </w:r>
      <w:r>
        <w:rPr>
          <w:rFonts w:hint="eastAsia" w:ascii="仿宋_GB2312" w:hAnsi="华文仿宋" w:eastAsia="仿宋_GB2312"/>
          <w:kern w:val="2"/>
          <w:sz w:val="28"/>
          <w:szCs w:val="28"/>
          <w:lang w:val="en-US" w:eastAsia="zh-CN" w:bidi="ar-SA"/>
        </w:rPr>
        <w:t>其他需要关注的事项。</w:t>
      </w:r>
    </w:p>
    <w:p>
      <w:pPr>
        <w:numPr>
          <w:ilvl w:val="0"/>
          <w:numId w:val="0"/>
        </w:numPr>
        <w:spacing w:line="520" w:lineRule="exact"/>
        <w:ind w:firstLine="560" w:firstLineChars="200"/>
        <w:jc w:val="left"/>
        <w:rPr>
          <w:rFonts w:hint="default" w:ascii="仿宋_GB2312" w:hAnsi="华文仿宋" w:eastAsia="仿宋_GB2312"/>
          <w:kern w:val="2"/>
          <w:sz w:val="28"/>
          <w:szCs w:val="28"/>
          <w:lang w:val="en-US" w:eastAsia="zh-CN" w:bidi="ar-SA"/>
        </w:rPr>
      </w:pPr>
      <w:r>
        <w:rPr>
          <w:rFonts w:hint="eastAsia" w:ascii="仿宋_GB2312" w:hAnsi="华文仿宋" w:eastAsia="仿宋_GB2312"/>
          <w:kern w:val="2"/>
          <w:sz w:val="28"/>
          <w:szCs w:val="28"/>
          <w:lang w:val="en-US" w:eastAsia="zh-CN" w:bidi="ar-SA"/>
        </w:rPr>
        <w:t>2.工作流程</w:t>
      </w:r>
    </w:p>
    <w:p>
      <w:pPr>
        <w:numPr>
          <w:ilvl w:val="0"/>
          <w:numId w:val="0"/>
        </w:numPr>
        <w:spacing w:line="520" w:lineRule="exact"/>
        <w:ind w:firstLine="560" w:firstLineChars="200"/>
        <w:jc w:val="left"/>
        <w:rPr>
          <w:rFonts w:hint="eastAsia" w:ascii="仿宋_GB2312" w:hAnsi="华文仿宋" w:eastAsia="仿宋_GB2312"/>
          <w:kern w:val="2"/>
          <w:sz w:val="28"/>
          <w:szCs w:val="28"/>
          <w:lang w:val="en-US" w:eastAsia="zh-CN" w:bidi="ar-SA"/>
        </w:rPr>
      </w:pPr>
      <w:r>
        <w:rPr>
          <w:rFonts w:hint="eastAsia" w:ascii="仿宋_GB2312" w:hAnsi="华文仿宋" w:eastAsia="仿宋_GB2312"/>
          <w:kern w:val="2"/>
          <w:sz w:val="28"/>
          <w:szCs w:val="28"/>
          <w:lang w:val="en-US" w:eastAsia="zh-CN" w:bidi="ar-SA"/>
        </w:rPr>
        <w:t>（1）准备阶段。签订合同后2个工作日内需派齐全部工作人员，开展审计工作。联系学校准备、如实提供相关数据，按要求提供会计报表、会计账本、会计凭证、会议纪要、内部控制制度建设及执行、政策落实、日常管理相关政策、制度文件等资料。</w:t>
      </w:r>
    </w:p>
    <w:p>
      <w:pPr>
        <w:numPr>
          <w:ilvl w:val="0"/>
          <w:numId w:val="0"/>
        </w:numPr>
        <w:spacing w:line="520" w:lineRule="exact"/>
        <w:ind w:firstLine="560" w:firstLineChars="200"/>
        <w:jc w:val="left"/>
        <w:rPr>
          <w:rFonts w:hint="eastAsia" w:ascii="仿宋_GB2312" w:hAnsi="华文仿宋" w:eastAsia="仿宋_GB2312"/>
          <w:kern w:val="2"/>
          <w:sz w:val="28"/>
          <w:szCs w:val="28"/>
          <w:lang w:val="en-US" w:eastAsia="zh-CN" w:bidi="ar-SA"/>
        </w:rPr>
      </w:pPr>
      <w:r>
        <w:rPr>
          <w:rFonts w:hint="eastAsia" w:ascii="仿宋_GB2312" w:hAnsi="华文仿宋" w:eastAsia="仿宋_GB2312"/>
          <w:kern w:val="2"/>
          <w:sz w:val="28"/>
          <w:szCs w:val="28"/>
          <w:lang w:val="en-US" w:eastAsia="zh-CN" w:bidi="ar-SA"/>
        </w:rPr>
        <w:t>（2）审计阶段（20个工作日）。现场审计，包括穿行测试、现场访谈、资料检查、实地观察等，每所学校审计时间不得低于5天。</w:t>
      </w:r>
    </w:p>
    <w:p>
      <w:pPr>
        <w:numPr>
          <w:ilvl w:val="0"/>
          <w:numId w:val="0"/>
        </w:numPr>
        <w:spacing w:line="520" w:lineRule="exact"/>
        <w:ind w:firstLine="560" w:firstLineChars="200"/>
        <w:jc w:val="left"/>
        <w:rPr>
          <w:rFonts w:hint="eastAsia" w:ascii="仿宋_GB2312" w:hAnsi="华文仿宋" w:eastAsia="仿宋_GB2312"/>
          <w:kern w:val="2"/>
          <w:sz w:val="28"/>
          <w:szCs w:val="28"/>
          <w:lang w:val="en-US" w:eastAsia="zh-CN" w:bidi="ar-SA"/>
        </w:rPr>
      </w:pPr>
      <w:r>
        <w:rPr>
          <w:rFonts w:hint="eastAsia" w:ascii="仿宋_GB2312" w:hAnsi="华文仿宋" w:eastAsia="仿宋_GB2312"/>
          <w:kern w:val="2"/>
          <w:sz w:val="28"/>
          <w:szCs w:val="28"/>
          <w:lang w:val="en-US" w:eastAsia="zh-CN" w:bidi="ar-SA"/>
        </w:rPr>
        <w:t>（3）征求意见及出具审计报告阶段（10个工作日）。投标人出具报告1份。包括审计报告初稿（应报我局）、征求意见稿（应经被审计单位确认）、终稿（应根据我局意见及时进行修改和完善）等。</w:t>
      </w:r>
    </w:p>
    <w:p>
      <w:pPr>
        <w:numPr>
          <w:ilvl w:val="0"/>
          <w:numId w:val="0"/>
        </w:numPr>
        <w:spacing w:line="520" w:lineRule="exact"/>
        <w:ind w:firstLine="560" w:firstLineChars="200"/>
        <w:jc w:val="left"/>
        <w:rPr>
          <w:rFonts w:hint="eastAsia" w:ascii="仿宋_GB2312" w:hAnsi="华文仿宋" w:eastAsia="仿宋_GB2312"/>
          <w:kern w:val="2"/>
          <w:sz w:val="28"/>
          <w:szCs w:val="28"/>
          <w:lang w:val="en-US" w:eastAsia="zh-CN" w:bidi="ar-SA"/>
        </w:rPr>
      </w:pPr>
      <w:r>
        <w:rPr>
          <w:rFonts w:hint="eastAsia" w:ascii="仿宋_GB2312" w:hAnsi="华文仿宋" w:eastAsia="仿宋_GB2312"/>
          <w:kern w:val="2"/>
          <w:sz w:val="28"/>
          <w:szCs w:val="28"/>
          <w:lang w:val="en-US" w:eastAsia="zh-CN" w:bidi="ar-SA"/>
        </w:rPr>
        <w:t>（4）建议整改阶段。指导学校对审计发现的问题立行立改情况。</w:t>
      </w:r>
    </w:p>
    <w:p>
      <w:pPr>
        <w:numPr>
          <w:ilvl w:val="0"/>
          <w:numId w:val="0"/>
        </w:numPr>
        <w:spacing w:line="520" w:lineRule="exact"/>
        <w:ind w:firstLine="560" w:firstLineChars="200"/>
        <w:jc w:val="left"/>
        <w:rPr>
          <w:rFonts w:hint="default" w:ascii="仿宋_GB2312" w:hAnsi="华文仿宋" w:eastAsia="仿宋_GB2312"/>
          <w:kern w:val="2"/>
          <w:sz w:val="28"/>
          <w:szCs w:val="28"/>
          <w:lang w:val="en-US" w:eastAsia="zh-CN" w:bidi="ar-SA"/>
        </w:rPr>
      </w:pPr>
      <w:r>
        <w:rPr>
          <w:rFonts w:hint="eastAsia" w:ascii="仿宋_GB2312" w:hAnsi="华文仿宋" w:eastAsia="仿宋_GB2312"/>
          <w:kern w:val="2"/>
          <w:sz w:val="28"/>
          <w:szCs w:val="28"/>
          <w:lang w:val="en-US" w:eastAsia="zh-CN" w:bidi="ar-SA"/>
        </w:rPr>
        <w:t>3.工作质量</w:t>
      </w:r>
    </w:p>
    <w:p>
      <w:pPr>
        <w:numPr>
          <w:ilvl w:val="0"/>
          <w:numId w:val="0"/>
        </w:numPr>
        <w:spacing w:line="520" w:lineRule="exact"/>
        <w:ind w:firstLine="560" w:firstLineChars="200"/>
        <w:jc w:val="left"/>
        <w:rPr>
          <w:rFonts w:hint="eastAsia" w:ascii="仿宋_GB2312" w:hAnsi="华文仿宋" w:eastAsia="仿宋_GB2312"/>
          <w:kern w:val="2"/>
          <w:sz w:val="28"/>
          <w:szCs w:val="28"/>
          <w:lang w:val="en-US" w:eastAsia="zh-CN" w:bidi="ar-SA"/>
        </w:rPr>
      </w:pPr>
      <w:r>
        <w:rPr>
          <w:rFonts w:hint="eastAsia" w:ascii="仿宋_GB2312" w:hAnsi="华文仿宋" w:eastAsia="仿宋_GB2312"/>
          <w:kern w:val="2"/>
          <w:sz w:val="28"/>
          <w:szCs w:val="28"/>
          <w:lang w:val="en-US" w:eastAsia="zh-CN" w:bidi="ar-SA"/>
        </w:rPr>
        <w:t>（1）建立科学、有效的审计指标体系，提供开展工作的相关证明材料扫描件（如被审计单位资料、审计工作底稿等过程性资料）。</w:t>
      </w:r>
    </w:p>
    <w:p>
      <w:pPr>
        <w:numPr>
          <w:ilvl w:val="0"/>
          <w:numId w:val="0"/>
        </w:numPr>
        <w:spacing w:line="520" w:lineRule="exact"/>
        <w:ind w:firstLine="560" w:firstLineChars="200"/>
        <w:jc w:val="left"/>
        <w:rPr>
          <w:rFonts w:hint="eastAsia" w:ascii="仿宋_GB2312" w:hAnsi="华文仿宋" w:eastAsia="仿宋_GB2312"/>
          <w:kern w:val="2"/>
          <w:sz w:val="28"/>
          <w:szCs w:val="28"/>
          <w:lang w:val="en-US" w:eastAsia="zh-CN" w:bidi="ar-SA"/>
        </w:rPr>
      </w:pPr>
      <w:r>
        <w:rPr>
          <w:rFonts w:hint="eastAsia" w:ascii="仿宋_GB2312" w:hAnsi="华文仿宋" w:eastAsia="仿宋_GB2312"/>
          <w:kern w:val="2"/>
          <w:sz w:val="28"/>
          <w:szCs w:val="28"/>
          <w:lang w:val="en-US" w:eastAsia="zh-CN" w:bidi="ar-SA"/>
        </w:rPr>
        <w:t>（2）出具审计报告征求意见稿。通过质量控制和内部审核修改、征求被审计单位及被审计人意见，连同学校反馈意见（复件或PDF版），一并交我局。</w:t>
      </w:r>
    </w:p>
    <w:p>
      <w:pPr>
        <w:numPr>
          <w:ilvl w:val="0"/>
          <w:numId w:val="0"/>
        </w:numPr>
        <w:spacing w:line="520" w:lineRule="exact"/>
        <w:ind w:firstLine="560" w:firstLineChars="200"/>
        <w:jc w:val="left"/>
        <w:rPr>
          <w:rFonts w:hint="eastAsia" w:ascii="仿宋_GB2312" w:hAnsi="华文仿宋" w:eastAsia="仿宋_GB2312"/>
          <w:kern w:val="2"/>
          <w:sz w:val="28"/>
          <w:szCs w:val="28"/>
          <w:lang w:val="en-US" w:eastAsia="zh-CN" w:bidi="ar-SA"/>
        </w:rPr>
      </w:pPr>
      <w:r>
        <w:rPr>
          <w:rFonts w:hint="eastAsia" w:ascii="仿宋_GB2312" w:hAnsi="华文仿宋" w:eastAsia="仿宋_GB2312"/>
          <w:kern w:val="2"/>
          <w:sz w:val="28"/>
          <w:szCs w:val="28"/>
          <w:lang w:val="en-US" w:eastAsia="zh-CN" w:bidi="ar-SA"/>
        </w:rPr>
        <w:t>（3）出具审计报告。根据我局意见及时进行修改和完善，出具报告1份，汇总整理办学校食堂承包运营情况专项审计存在问题及审计建议情况表。</w:t>
      </w:r>
    </w:p>
    <w:p>
      <w:pPr>
        <w:numPr>
          <w:ilvl w:val="0"/>
          <w:numId w:val="0"/>
        </w:numPr>
        <w:spacing w:line="520" w:lineRule="exact"/>
        <w:ind w:firstLine="562" w:firstLineChars="200"/>
        <w:jc w:val="left"/>
        <w:rPr>
          <w:rFonts w:hint="eastAsia" w:ascii="仿宋_GB2312" w:hAnsi="华文仿宋" w:eastAsia="仿宋_GB2312"/>
          <w:kern w:val="2"/>
          <w:sz w:val="28"/>
          <w:szCs w:val="28"/>
          <w:lang w:val="en-US" w:eastAsia="zh-CN" w:bidi="ar-SA"/>
        </w:rPr>
      </w:pPr>
      <w:r>
        <w:rPr>
          <w:rFonts w:hint="eastAsia" w:ascii="仿宋_GB2312" w:hAnsi="华文仿宋" w:eastAsia="仿宋_GB2312"/>
          <w:b/>
          <w:bCs/>
          <w:kern w:val="2"/>
          <w:sz w:val="28"/>
          <w:szCs w:val="28"/>
          <w:lang w:val="en-US" w:eastAsia="zh-CN" w:bidi="ar-SA"/>
        </w:rPr>
        <w:t>（二）</w:t>
      </w:r>
      <w:r>
        <w:rPr>
          <w:rFonts w:hint="eastAsia" w:ascii="仿宋_GB2312" w:hAnsi="华文仿宋" w:eastAsia="仿宋_GB2312"/>
          <w:b/>
          <w:bCs/>
          <w:sz w:val="28"/>
          <w:szCs w:val="28"/>
        </w:rPr>
        <w:t>商务和服务条款</w:t>
      </w:r>
    </w:p>
    <w:p>
      <w:pPr>
        <w:numPr>
          <w:ilvl w:val="0"/>
          <w:numId w:val="0"/>
        </w:numPr>
        <w:spacing w:line="520" w:lineRule="exact"/>
        <w:ind w:firstLine="560" w:firstLineChars="200"/>
        <w:jc w:val="left"/>
        <w:rPr>
          <w:rFonts w:hint="eastAsia" w:ascii="仿宋_GB2312" w:hAnsi="华文仿宋" w:eastAsia="仿宋_GB2312"/>
          <w:sz w:val="28"/>
          <w:szCs w:val="28"/>
        </w:rPr>
      </w:pPr>
      <w:r>
        <w:rPr>
          <w:rFonts w:hint="eastAsia" w:ascii="仿宋_GB2312" w:hAnsi="华文仿宋" w:eastAsia="仿宋_GB2312"/>
          <w:kern w:val="2"/>
          <w:sz w:val="28"/>
          <w:szCs w:val="28"/>
          <w:lang w:val="en-US" w:eastAsia="zh-CN" w:bidi="ar-SA"/>
        </w:rPr>
        <w:t>1.</w:t>
      </w:r>
      <w:r>
        <w:rPr>
          <w:rFonts w:hint="eastAsia" w:ascii="仿宋_GB2312" w:hAnsi="华文仿宋" w:eastAsia="仿宋_GB2312"/>
          <w:sz w:val="28"/>
          <w:szCs w:val="28"/>
        </w:rPr>
        <w:t>服务期限</w:t>
      </w:r>
      <w:r>
        <w:rPr>
          <w:rFonts w:hint="eastAsia" w:ascii="仿宋_GB2312" w:hAnsi="华文仿宋" w:eastAsia="仿宋_GB2312"/>
          <w:sz w:val="28"/>
          <w:szCs w:val="28"/>
          <w:lang w:eastAsia="zh-CN"/>
        </w:rPr>
        <w:t>：</w:t>
      </w:r>
      <w:r>
        <w:rPr>
          <w:rFonts w:hint="eastAsia" w:ascii="仿宋_GB2312" w:hAnsi="华文仿宋" w:eastAsia="仿宋_GB2312" w:cs="Times New Roman"/>
          <w:sz w:val="28"/>
          <w:szCs w:val="28"/>
          <w:lang w:eastAsia="zh-CN"/>
        </w:rPr>
        <w:t>服务期限为合同签订之日起9</w:t>
      </w:r>
      <w:r>
        <w:rPr>
          <w:rFonts w:hint="eastAsia" w:ascii="仿宋_GB2312" w:hAnsi="华文仿宋" w:eastAsia="仿宋_GB2312" w:cs="Times New Roman"/>
          <w:sz w:val="28"/>
          <w:szCs w:val="28"/>
          <w:lang w:val="en-US" w:eastAsia="zh-CN"/>
        </w:rPr>
        <w:t>0</w:t>
      </w:r>
      <w:r>
        <w:rPr>
          <w:rFonts w:hint="eastAsia" w:ascii="仿宋_GB2312" w:hAnsi="华文仿宋" w:eastAsia="仿宋_GB2312" w:cs="Times New Roman"/>
          <w:sz w:val="28"/>
          <w:szCs w:val="28"/>
          <w:lang w:eastAsia="zh-CN"/>
        </w:rPr>
        <w:t>天，具体实施日期以合同约定为准。</w:t>
      </w:r>
    </w:p>
    <w:p>
      <w:pPr>
        <w:numPr>
          <w:ilvl w:val="0"/>
          <w:numId w:val="0"/>
        </w:numPr>
        <w:spacing w:line="520" w:lineRule="exact"/>
        <w:ind w:firstLine="560" w:firstLineChars="200"/>
        <w:jc w:val="left"/>
        <w:rPr>
          <w:rFonts w:hint="eastAsia" w:ascii="仿宋_GB2312" w:hAnsi="华文仿宋" w:eastAsia="仿宋_GB2312"/>
          <w:sz w:val="28"/>
          <w:szCs w:val="28"/>
        </w:rPr>
      </w:pPr>
      <w:r>
        <w:rPr>
          <w:rFonts w:hint="eastAsia" w:ascii="仿宋_GB2312" w:hAnsi="华文仿宋" w:eastAsia="仿宋_GB2312"/>
          <w:kern w:val="2"/>
          <w:sz w:val="28"/>
          <w:szCs w:val="28"/>
          <w:lang w:val="en-US" w:eastAsia="zh-CN" w:bidi="ar-SA"/>
        </w:rPr>
        <w:t>2.</w:t>
      </w:r>
      <w:r>
        <w:rPr>
          <w:rFonts w:hint="eastAsia" w:ascii="仿宋_GB2312" w:hAnsi="华文仿宋" w:eastAsia="仿宋_GB2312"/>
          <w:sz w:val="28"/>
          <w:szCs w:val="28"/>
        </w:rPr>
        <w:t>工作质量要求</w:t>
      </w:r>
      <w:r>
        <w:rPr>
          <w:rFonts w:hint="eastAsia" w:ascii="仿宋_GB2312" w:hAnsi="华文仿宋" w:eastAsia="仿宋_GB2312"/>
          <w:sz w:val="28"/>
          <w:szCs w:val="28"/>
          <w:lang w:eastAsia="zh-CN"/>
        </w:rPr>
        <w:t>：为了保证项目成果的科学性和准确性，投标单位需提供针对本项目的项目质量控制方案。</w:t>
      </w:r>
    </w:p>
    <w:p>
      <w:pPr>
        <w:numPr>
          <w:ilvl w:val="0"/>
          <w:numId w:val="0"/>
        </w:numPr>
        <w:spacing w:line="520" w:lineRule="exact"/>
        <w:ind w:firstLine="560" w:firstLineChars="200"/>
        <w:jc w:val="left"/>
        <w:rPr>
          <w:rFonts w:hint="eastAsia" w:ascii="仿宋_GB2312" w:hAnsi="华文仿宋" w:eastAsia="仿宋_GB2312"/>
          <w:sz w:val="28"/>
          <w:szCs w:val="28"/>
          <w:lang w:eastAsia="zh-CN"/>
        </w:rPr>
      </w:pPr>
      <w:r>
        <w:rPr>
          <w:rFonts w:hint="eastAsia" w:ascii="仿宋_GB2312" w:hAnsi="华文仿宋" w:eastAsia="仿宋_GB2312"/>
          <w:kern w:val="2"/>
          <w:sz w:val="28"/>
          <w:szCs w:val="28"/>
          <w:lang w:val="en-US" w:eastAsia="zh-CN" w:bidi="ar-SA"/>
        </w:rPr>
        <w:t>3.</w:t>
      </w:r>
      <w:r>
        <w:rPr>
          <w:rFonts w:hint="eastAsia" w:ascii="仿宋_GB2312" w:hAnsi="华文仿宋" w:eastAsia="仿宋_GB2312"/>
          <w:sz w:val="28"/>
          <w:szCs w:val="28"/>
        </w:rPr>
        <w:t>人员要求</w:t>
      </w:r>
      <w:r>
        <w:rPr>
          <w:rFonts w:hint="eastAsia" w:ascii="仿宋_GB2312" w:hAnsi="华文仿宋" w:eastAsia="仿宋_GB2312"/>
          <w:sz w:val="28"/>
          <w:szCs w:val="28"/>
          <w:lang w:eastAsia="zh-CN"/>
        </w:rPr>
        <w:t>：</w:t>
      </w:r>
    </w:p>
    <w:p>
      <w:pPr>
        <w:numPr>
          <w:ilvl w:val="0"/>
          <w:numId w:val="0"/>
        </w:numPr>
        <w:spacing w:line="520" w:lineRule="exact"/>
        <w:ind w:firstLine="560" w:firstLineChars="200"/>
        <w:jc w:val="left"/>
        <w:rPr>
          <w:rFonts w:hint="eastAsia" w:ascii="仿宋_GB2312" w:hAnsi="华文仿宋" w:eastAsia="仿宋_GB2312"/>
          <w:sz w:val="28"/>
          <w:szCs w:val="28"/>
          <w:lang w:eastAsia="zh-CN"/>
        </w:rPr>
      </w:pPr>
      <w:r>
        <w:rPr>
          <w:rFonts w:hint="eastAsia" w:ascii="仿宋_GB2312" w:hAnsi="华文仿宋" w:eastAsia="仿宋_GB2312"/>
          <w:sz w:val="28"/>
          <w:szCs w:val="28"/>
          <w:lang w:eastAsia="zh-CN"/>
        </w:rPr>
        <w:t>（</w:t>
      </w:r>
      <w:r>
        <w:rPr>
          <w:rFonts w:hint="eastAsia" w:ascii="仿宋_GB2312" w:hAnsi="华文仿宋" w:eastAsia="仿宋_GB2312"/>
          <w:sz w:val="28"/>
          <w:szCs w:val="28"/>
          <w:lang w:val="en-US" w:eastAsia="zh-CN"/>
        </w:rPr>
        <w:t>1</w:t>
      </w:r>
      <w:r>
        <w:rPr>
          <w:rFonts w:hint="eastAsia" w:ascii="仿宋_GB2312" w:hAnsi="华文仿宋" w:eastAsia="仿宋_GB2312"/>
          <w:sz w:val="28"/>
          <w:szCs w:val="28"/>
          <w:lang w:eastAsia="zh-CN"/>
        </w:rPr>
        <w:t>）投标人应建立不少于</w:t>
      </w:r>
      <w:r>
        <w:rPr>
          <w:rFonts w:hint="eastAsia" w:ascii="仿宋_GB2312" w:hAnsi="华文仿宋" w:eastAsia="仿宋_GB2312"/>
          <w:color w:val="auto"/>
          <w:sz w:val="28"/>
          <w:szCs w:val="28"/>
          <w:lang w:val="en-US" w:eastAsia="zh-CN"/>
        </w:rPr>
        <w:t>2</w:t>
      </w:r>
      <w:r>
        <w:rPr>
          <w:rFonts w:hint="eastAsia" w:ascii="仿宋_GB2312" w:hAnsi="华文仿宋" w:eastAsia="仿宋_GB2312"/>
          <w:color w:val="auto"/>
          <w:sz w:val="28"/>
          <w:szCs w:val="28"/>
          <w:lang w:eastAsia="zh-CN"/>
        </w:rPr>
        <w:t>个、分别由</w:t>
      </w:r>
      <w:r>
        <w:rPr>
          <w:rFonts w:hint="eastAsia" w:ascii="仿宋_GB2312" w:hAnsi="华文仿宋" w:eastAsia="仿宋_GB2312"/>
          <w:color w:val="auto"/>
          <w:sz w:val="28"/>
          <w:szCs w:val="28"/>
          <w:lang w:val="en-US" w:eastAsia="zh-CN"/>
        </w:rPr>
        <w:t>3-4</w:t>
      </w:r>
      <w:r>
        <w:rPr>
          <w:rFonts w:hint="eastAsia" w:ascii="仿宋_GB2312" w:hAnsi="华文仿宋" w:eastAsia="仿宋_GB2312"/>
          <w:color w:val="auto"/>
          <w:sz w:val="28"/>
          <w:szCs w:val="28"/>
          <w:lang w:eastAsia="zh-CN"/>
        </w:rPr>
        <w:t>人组成</w:t>
      </w:r>
      <w:r>
        <w:rPr>
          <w:rFonts w:hint="eastAsia" w:ascii="仿宋_GB2312" w:hAnsi="华文仿宋" w:eastAsia="仿宋_GB2312"/>
          <w:sz w:val="28"/>
          <w:szCs w:val="28"/>
          <w:lang w:eastAsia="zh-CN"/>
        </w:rPr>
        <w:t>的项目组，以提供全面的审计咨询服务，并确保审计工作能够严格按照项目和合同要求进行。团队成员须为</w:t>
      </w:r>
      <w:r>
        <w:rPr>
          <w:rFonts w:hint="eastAsia" w:ascii="仿宋_GB2312" w:hAnsi="华文仿宋" w:eastAsia="仿宋_GB2312"/>
          <w:sz w:val="28"/>
          <w:szCs w:val="28"/>
          <w:lang w:val="en-US" w:eastAsia="zh-CN"/>
        </w:rPr>
        <w:t>投标单位</w:t>
      </w:r>
      <w:r>
        <w:rPr>
          <w:rFonts w:hint="eastAsia" w:ascii="仿宋_GB2312" w:hAnsi="华文仿宋" w:eastAsia="仿宋_GB2312"/>
          <w:sz w:val="28"/>
          <w:szCs w:val="28"/>
          <w:lang w:eastAsia="zh-CN"/>
        </w:rPr>
        <w:t>员工。</w:t>
      </w:r>
      <w:r>
        <w:rPr>
          <w:rFonts w:hint="eastAsia" w:ascii="仿宋_GB2312" w:hAnsi="华文仿宋" w:eastAsia="仿宋_GB2312"/>
          <w:sz w:val="28"/>
          <w:szCs w:val="28"/>
          <w:lang w:val="en-US" w:eastAsia="zh-CN"/>
        </w:rPr>
        <w:t>投</w:t>
      </w:r>
      <w:r>
        <w:rPr>
          <w:rFonts w:hint="eastAsia" w:ascii="仿宋_GB2312" w:hAnsi="华文仿宋" w:eastAsia="仿宋_GB2312"/>
          <w:sz w:val="28"/>
          <w:szCs w:val="28"/>
          <w:lang w:eastAsia="zh-CN"/>
        </w:rPr>
        <w:t>标</w:t>
      </w:r>
      <w:r>
        <w:rPr>
          <w:rFonts w:hint="eastAsia" w:ascii="仿宋_GB2312" w:hAnsi="华文仿宋" w:eastAsia="仿宋_GB2312"/>
          <w:sz w:val="28"/>
          <w:szCs w:val="28"/>
          <w:lang w:val="en-US" w:eastAsia="zh-CN"/>
        </w:rPr>
        <w:t>人</w:t>
      </w:r>
      <w:r>
        <w:rPr>
          <w:rFonts w:hint="eastAsia" w:ascii="仿宋_GB2312" w:hAnsi="华文仿宋" w:eastAsia="仿宋_GB2312"/>
          <w:sz w:val="28"/>
          <w:szCs w:val="28"/>
          <w:lang w:eastAsia="zh-CN"/>
        </w:rPr>
        <w:t>不得擅自更换项目负责人和项目团队成员。履约过程中，因客观原因确需更换项目人员的，应取得采购方同意后方可更换。</w:t>
      </w:r>
    </w:p>
    <w:p>
      <w:pPr>
        <w:numPr>
          <w:ilvl w:val="0"/>
          <w:numId w:val="0"/>
        </w:numPr>
        <w:spacing w:line="520" w:lineRule="exact"/>
        <w:ind w:firstLine="560" w:firstLineChars="200"/>
        <w:jc w:val="left"/>
        <w:rPr>
          <w:rFonts w:hint="eastAsia" w:ascii="仿宋_GB2312" w:hAnsi="华文仿宋" w:eastAsia="仿宋_GB2312"/>
          <w:sz w:val="28"/>
          <w:szCs w:val="28"/>
          <w:lang w:eastAsia="zh-CN"/>
        </w:rPr>
      </w:pPr>
      <w:r>
        <w:rPr>
          <w:rFonts w:hint="eastAsia" w:ascii="仿宋_GB2312" w:hAnsi="华文仿宋" w:eastAsia="仿宋_GB2312"/>
          <w:sz w:val="28"/>
          <w:szCs w:val="28"/>
          <w:lang w:eastAsia="zh-CN"/>
        </w:rPr>
        <w:t>（</w:t>
      </w:r>
      <w:r>
        <w:rPr>
          <w:rFonts w:hint="eastAsia" w:ascii="仿宋_GB2312" w:hAnsi="华文仿宋" w:eastAsia="仿宋_GB2312"/>
          <w:sz w:val="28"/>
          <w:szCs w:val="28"/>
          <w:lang w:val="en-US" w:eastAsia="zh-CN"/>
        </w:rPr>
        <w:t>2</w:t>
      </w:r>
      <w:r>
        <w:rPr>
          <w:rFonts w:hint="eastAsia" w:ascii="仿宋_GB2312" w:hAnsi="华文仿宋" w:eastAsia="仿宋_GB2312"/>
          <w:sz w:val="28"/>
          <w:szCs w:val="28"/>
          <w:lang w:eastAsia="zh-CN"/>
        </w:rPr>
        <w:t>）投标人委派</w:t>
      </w:r>
      <w:r>
        <w:rPr>
          <w:rFonts w:hint="eastAsia" w:ascii="仿宋_GB2312" w:hAnsi="华文仿宋" w:eastAsia="仿宋_GB2312"/>
          <w:sz w:val="28"/>
          <w:szCs w:val="28"/>
          <w:lang w:val="en" w:eastAsia="zh-CN"/>
        </w:rPr>
        <w:t>1名</w:t>
      </w:r>
      <w:r>
        <w:rPr>
          <w:rFonts w:hint="eastAsia" w:ascii="仿宋_GB2312" w:hAnsi="华文仿宋" w:eastAsia="仿宋_GB2312"/>
          <w:sz w:val="28"/>
          <w:szCs w:val="28"/>
          <w:lang w:eastAsia="zh-CN"/>
        </w:rPr>
        <w:t>项目总负责人</w:t>
      </w:r>
      <w:r>
        <w:rPr>
          <w:rFonts w:hint="eastAsia" w:ascii="仿宋_GB2312" w:hAnsi="华文仿宋" w:eastAsia="仿宋_GB2312"/>
          <w:sz w:val="28"/>
          <w:szCs w:val="28"/>
          <w:lang w:val="en-US" w:eastAsia="zh-CN"/>
        </w:rPr>
        <w:t>和2名项目组长</w:t>
      </w:r>
      <w:r>
        <w:rPr>
          <w:rFonts w:hint="eastAsia" w:ascii="仿宋_GB2312" w:hAnsi="华文仿宋" w:eastAsia="仿宋_GB2312"/>
          <w:sz w:val="28"/>
          <w:szCs w:val="28"/>
          <w:lang w:eastAsia="zh-CN"/>
        </w:rPr>
        <w:t>：项目总负责人</w:t>
      </w:r>
      <w:r>
        <w:rPr>
          <w:rFonts w:hint="eastAsia" w:ascii="仿宋_GB2312" w:hAnsi="华文仿宋" w:eastAsia="仿宋_GB2312"/>
          <w:sz w:val="28"/>
          <w:szCs w:val="28"/>
          <w:lang w:val="en-US" w:eastAsia="zh-CN"/>
        </w:rPr>
        <w:t>及每个项目组长</w:t>
      </w:r>
      <w:r>
        <w:rPr>
          <w:rFonts w:hint="eastAsia" w:ascii="仿宋_GB2312" w:hAnsi="华文仿宋" w:eastAsia="仿宋_GB2312"/>
          <w:sz w:val="28"/>
          <w:szCs w:val="28"/>
          <w:lang w:eastAsia="zh-CN"/>
        </w:rPr>
        <w:t>具有</w:t>
      </w:r>
      <w:r>
        <w:rPr>
          <w:rFonts w:hint="eastAsia" w:ascii="仿宋_GB2312" w:hAnsi="华文仿宋" w:eastAsia="仿宋_GB2312"/>
          <w:sz w:val="28"/>
          <w:szCs w:val="28"/>
          <w:lang w:val="en-US" w:eastAsia="zh-CN"/>
        </w:rPr>
        <w:t>中国</w:t>
      </w:r>
      <w:r>
        <w:rPr>
          <w:rFonts w:hint="eastAsia" w:ascii="仿宋_GB2312" w:hAnsi="华文仿宋" w:eastAsia="仿宋_GB2312"/>
          <w:sz w:val="28"/>
          <w:szCs w:val="28"/>
          <w:lang w:eastAsia="zh-CN"/>
        </w:rPr>
        <w:t>注册会计师</w:t>
      </w:r>
      <w:r>
        <w:rPr>
          <w:rFonts w:hint="eastAsia" w:ascii="仿宋_GB2312" w:hAnsi="华文仿宋" w:eastAsia="仿宋_GB2312"/>
          <w:sz w:val="28"/>
          <w:szCs w:val="28"/>
          <w:lang w:val="en-US" w:eastAsia="zh-CN"/>
        </w:rPr>
        <w:t>资格</w:t>
      </w:r>
      <w:r>
        <w:rPr>
          <w:rFonts w:hint="eastAsia" w:ascii="仿宋_GB2312" w:hAnsi="华文仿宋" w:eastAsia="仿宋_GB2312"/>
          <w:sz w:val="28"/>
          <w:szCs w:val="28"/>
          <w:lang w:eastAsia="zh-CN"/>
        </w:rPr>
        <w:t>，熟悉事业单位财经等法规、制度以及公办中小学审计实施、食堂管理方面相关要求，具有较强的组织能力和综合协调能力，能够根据项目的实际进展状况及时地分析并预见各种影响因素，并提出切实可行的解决方案和办法。</w:t>
      </w:r>
    </w:p>
    <w:p>
      <w:pPr>
        <w:numPr>
          <w:ilvl w:val="0"/>
          <w:numId w:val="0"/>
        </w:numPr>
        <w:spacing w:line="520" w:lineRule="exact"/>
        <w:ind w:firstLine="560" w:firstLineChars="200"/>
        <w:jc w:val="left"/>
        <w:rPr>
          <w:rFonts w:hint="eastAsia" w:ascii="仿宋_GB2312" w:hAnsi="华文仿宋" w:eastAsia="仿宋_GB2312"/>
          <w:sz w:val="28"/>
          <w:szCs w:val="28"/>
          <w:lang w:eastAsia="zh-CN"/>
        </w:rPr>
      </w:pPr>
      <w:r>
        <w:rPr>
          <w:rFonts w:hint="eastAsia" w:ascii="仿宋_GB2312" w:hAnsi="华文仿宋" w:eastAsia="仿宋_GB2312"/>
          <w:sz w:val="28"/>
          <w:szCs w:val="28"/>
          <w:lang w:eastAsia="zh-CN"/>
        </w:rPr>
        <w:t>（</w:t>
      </w:r>
      <w:r>
        <w:rPr>
          <w:rFonts w:hint="eastAsia" w:ascii="仿宋_GB2312" w:hAnsi="华文仿宋" w:eastAsia="仿宋_GB2312"/>
          <w:sz w:val="28"/>
          <w:szCs w:val="28"/>
          <w:lang w:val="en-US" w:eastAsia="zh-CN"/>
        </w:rPr>
        <w:t>3</w:t>
      </w:r>
      <w:r>
        <w:rPr>
          <w:rFonts w:hint="eastAsia" w:ascii="仿宋_GB2312" w:hAnsi="华文仿宋" w:eastAsia="仿宋_GB2312"/>
          <w:sz w:val="28"/>
          <w:szCs w:val="28"/>
          <w:lang w:eastAsia="zh-CN"/>
        </w:rPr>
        <w:t>）每个项目组除项目</w:t>
      </w:r>
      <w:r>
        <w:rPr>
          <w:rFonts w:hint="eastAsia" w:ascii="仿宋_GB2312" w:hAnsi="华文仿宋" w:eastAsia="仿宋_GB2312"/>
          <w:sz w:val="28"/>
          <w:szCs w:val="28"/>
          <w:lang w:val="en-US" w:eastAsia="zh-CN"/>
        </w:rPr>
        <w:t>组长</w:t>
      </w:r>
      <w:r>
        <w:rPr>
          <w:rFonts w:hint="eastAsia" w:ascii="仿宋_GB2312" w:hAnsi="华文仿宋" w:eastAsia="仿宋_GB2312"/>
          <w:sz w:val="28"/>
          <w:szCs w:val="28"/>
          <w:lang w:eastAsia="zh-CN"/>
        </w:rPr>
        <w:t>外，须配备有丰富审计工作及项目管理经验至少</w:t>
      </w:r>
      <w:r>
        <w:rPr>
          <w:rFonts w:hint="eastAsia" w:ascii="仿宋_GB2312" w:hAnsi="华文仿宋" w:eastAsia="仿宋_GB2312"/>
          <w:color w:val="auto"/>
          <w:sz w:val="28"/>
          <w:szCs w:val="28"/>
          <w:lang w:val="en-US" w:eastAsia="zh-CN"/>
        </w:rPr>
        <w:t>3</w:t>
      </w:r>
      <w:r>
        <w:rPr>
          <w:rFonts w:hint="eastAsia" w:ascii="仿宋_GB2312" w:hAnsi="华文仿宋" w:eastAsia="仿宋_GB2312"/>
          <w:color w:val="auto"/>
          <w:sz w:val="28"/>
          <w:szCs w:val="28"/>
          <w:lang w:eastAsia="zh-CN"/>
        </w:rPr>
        <w:t>名，项</w:t>
      </w:r>
      <w:r>
        <w:rPr>
          <w:rFonts w:hint="eastAsia" w:ascii="仿宋_GB2312" w:hAnsi="华文仿宋" w:eastAsia="仿宋_GB2312"/>
          <w:sz w:val="28"/>
          <w:szCs w:val="28"/>
          <w:lang w:eastAsia="zh-CN"/>
        </w:rPr>
        <w:t>目组主要成员能保持稳定；工作开展过程中，每个项目组应至少保障</w:t>
      </w:r>
      <w:r>
        <w:rPr>
          <w:rFonts w:hint="eastAsia" w:ascii="仿宋_GB2312" w:hAnsi="华文仿宋" w:eastAsia="仿宋_GB2312"/>
          <w:sz w:val="28"/>
          <w:szCs w:val="28"/>
          <w:lang w:val="en-US" w:eastAsia="zh-CN"/>
        </w:rPr>
        <w:t>2</w:t>
      </w:r>
      <w:r>
        <w:rPr>
          <w:rFonts w:hint="eastAsia" w:ascii="仿宋_GB2312" w:hAnsi="华文仿宋" w:eastAsia="仿宋_GB2312"/>
          <w:sz w:val="28"/>
          <w:szCs w:val="28"/>
          <w:lang w:eastAsia="zh-CN"/>
        </w:rPr>
        <w:t>名具备项目管理经验的人员驻现场服务。</w:t>
      </w:r>
    </w:p>
    <w:p>
      <w:pPr>
        <w:numPr>
          <w:ilvl w:val="0"/>
          <w:numId w:val="0"/>
        </w:numPr>
        <w:spacing w:line="520" w:lineRule="exact"/>
        <w:ind w:firstLine="560" w:firstLineChars="200"/>
        <w:jc w:val="left"/>
        <w:rPr>
          <w:rFonts w:hint="eastAsia" w:ascii="仿宋_GB2312" w:hAnsi="华文仿宋" w:eastAsia="仿宋_GB2312"/>
          <w:sz w:val="28"/>
          <w:szCs w:val="28"/>
          <w:lang w:eastAsia="zh-CN"/>
        </w:rPr>
      </w:pPr>
      <w:r>
        <w:rPr>
          <w:rFonts w:hint="eastAsia" w:ascii="仿宋_GB2312" w:hAnsi="华文仿宋" w:eastAsia="仿宋_GB2312"/>
          <w:sz w:val="28"/>
          <w:szCs w:val="28"/>
          <w:lang w:eastAsia="zh-CN"/>
        </w:rPr>
        <w:t>（</w:t>
      </w:r>
      <w:r>
        <w:rPr>
          <w:rFonts w:hint="eastAsia" w:ascii="仿宋_GB2312" w:hAnsi="华文仿宋" w:eastAsia="仿宋_GB2312"/>
          <w:sz w:val="28"/>
          <w:szCs w:val="28"/>
          <w:lang w:val="en-US" w:eastAsia="zh-CN"/>
        </w:rPr>
        <w:t>4</w:t>
      </w:r>
      <w:r>
        <w:rPr>
          <w:rFonts w:hint="eastAsia" w:ascii="仿宋_GB2312" w:hAnsi="华文仿宋" w:eastAsia="仿宋_GB2312"/>
          <w:sz w:val="28"/>
          <w:szCs w:val="28"/>
          <w:lang w:eastAsia="zh-CN"/>
        </w:rPr>
        <w:t>）项目组成员应当严格执行国家的法律法规，客观公正，廉洁自律，以保证审计结果定性准确、评价客观。</w:t>
      </w:r>
    </w:p>
    <w:p>
      <w:pPr>
        <w:numPr>
          <w:ilvl w:val="0"/>
          <w:numId w:val="0"/>
        </w:numPr>
        <w:spacing w:line="520" w:lineRule="exact"/>
        <w:ind w:firstLine="560" w:firstLineChars="200"/>
        <w:jc w:val="left"/>
        <w:rPr>
          <w:rFonts w:hint="eastAsia" w:ascii="仿宋_GB2312" w:hAnsi="华文仿宋" w:eastAsia="仿宋_GB2312"/>
          <w:sz w:val="28"/>
          <w:szCs w:val="28"/>
        </w:rPr>
      </w:pPr>
      <w:r>
        <w:rPr>
          <w:rFonts w:hint="eastAsia" w:ascii="仿宋_GB2312" w:hAnsi="华文仿宋" w:eastAsia="仿宋_GB2312"/>
          <w:kern w:val="2"/>
          <w:sz w:val="28"/>
          <w:szCs w:val="28"/>
          <w:lang w:val="en-US" w:eastAsia="zh-CN" w:bidi="ar-SA"/>
        </w:rPr>
        <w:t>4.</w:t>
      </w:r>
      <w:r>
        <w:rPr>
          <w:rFonts w:hint="eastAsia" w:ascii="仿宋_GB2312" w:hAnsi="华文仿宋" w:eastAsia="仿宋_GB2312"/>
          <w:sz w:val="28"/>
          <w:szCs w:val="28"/>
        </w:rPr>
        <w:t>后续服务要求</w:t>
      </w:r>
      <w:r>
        <w:rPr>
          <w:rFonts w:hint="eastAsia" w:ascii="仿宋_GB2312" w:hAnsi="华文仿宋" w:eastAsia="仿宋_GB2312"/>
          <w:sz w:val="28"/>
          <w:szCs w:val="28"/>
          <w:lang w:eastAsia="zh-CN"/>
        </w:rPr>
        <w:t>：服务期满后，主动与采购人进行资料交接。</w:t>
      </w:r>
    </w:p>
    <w:p>
      <w:pPr>
        <w:numPr>
          <w:ilvl w:val="0"/>
          <w:numId w:val="0"/>
        </w:numPr>
        <w:spacing w:line="520" w:lineRule="exact"/>
        <w:ind w:firstLine="560" w:firstLineChars="200"/>
        <w:jc w:val="left"/>
        <w:rPr>
          <w:rFonts w:hint="eastAsia" w:ascii="仿宋_GB2312" w:hAnsi="华文仿宋" w:eastAsia="仿宋_GB2312"/>
          <w:sz w:val="28"/>
          <w:szCs w:val="28"/>
        </w:rPr>
      </w:pPr>
      <w:r>
        <w:rPr>
          <w:rFonts w:hint="eastAsia" w:ascii="仿宋_GB2312" w:hAnsi="华文仿宋" w:eastAsia="仿宋_GB2312"/>
          <w:kern w:val="2"/>
          <w:sz w:val="28"/>
          <w:szCs w:val="28"/>
          <w:lang w:val="en-US" w:eastAsia="zh-CN" w:bidi="ar-SA"/>
        </w:rPr>
        <w:t>5.</w:t>
      </w:r>
      <w:r>
        <w:rPr>
          <w:rFonts w:hint="eastAsia" w:ascii="仿宋_GB2312" w:hAnsi="华文仿宋" w:eastAsia="仿宋_GB2312"/>
          <w:sz w:val="28"/>
          <w:szCs w:val="28"/>
        </w:rPr>
        <w:t>验收方式</w:t>
      </w:r>
      <w:r>
        <w:rPr>
          <w:rFonts w:hint="eastAsia" w:ascii="仿宋_GB2312" w:hAnsi="华文仿宋" w:eastAsia="仿宋_GB2312"/>
          <w:sz w:val="28"/>
          <w:szCs w:val="28"/>
          <w:lang w:eastAsia="zh-CN"/>
        </w:rPr>
        <w:t>：投标人必须根据招标需求的要求及行业标准提供相关服务。中标人所提供交付物须符合招标文件和项目合同要求，并经甲方审核通过后视为验收通过。</w:t>
      </w:r>
    </w:p>
    <w:p>
      <w:pPr>
        <w:numPr>
          <w:ilvl w:val="0"/>
          <w:numId w:val="0"/>
        </w:numPr>
        <w:spacing w:line="520" w:lineRule="exact"/>
        <w:ind w:firstLine="560" w:firstLineChars="200"/>
        <w:jc w:val="left"/>
        <w:rPr>
          <w:rFonts w:hint="eastAsia" w:ascii="仿宋_GB2312" w:hAnsi="华文仿宋" w:eastAsia="仿宋_GB2312"/>
          <w:sz w:val="28"/>
          <w:szCs w:val="28"/>
        </w:rPr>
      </w:pPr>
      <w:r>
        <w:rPr>
          <w:rFonts w:hint="eastAsia" w:ascii="仿宋_GB2312" w:hAnsi="华文仿宋" w:eastAsia="仿宋_GB2312"/>
          <w:kern w:val="2"/>
          <w:sz w:val="28"/>
          <w:szCs w:val="28"/>
          <w:lang w:val="en-US" w:eastAsia="zh-CN" w:bidi="ar-SA"/>
        </w:rPr>
        <w:t>6.</w:t>
      </w:r>
      <w:r>
        <w:rPr>
          <w:rFonts w:hint="eastAsia" w:ascii="仿宋_GB2312" w:hAnsi="华文仿宋" w:eastAsia="仿宋_GB2312"/>
          <w:sz w:val="28"/>
          <w:szCs w:val="28"/>
        </w:rPr>
        <w:t>报价要求</w:t>
      </w:r>
      <w:r>
        <w:rPr>
          <w:rFonts w:hint="eastAsia" w:ascii="仿宋_GB2312" w:hAnsi="华文仿宋" w:eastAsia="仿宋_GB2312"/>
          <w:sz w:val="28"/>
          <w:szCs w:val="28"/>
          <w:lang w:eastAsia="zh-CN"/>
        </w:rPr>
        <w:t>：</w:t>
      </w:r>
      <w:r>
        <w:rPr>
          <w:rFonts w:hint="eastAsia" w:ascii="仿宋_GB2312" w:hAnsi="华文仿宋" w:eastAsia="仿宋_GB2312"/>
          <w:sz w:val="28"/>
          <w:szCs w:val="28"/>
          <w:lang w:val="en-US" w:eastAsia="zh-CN"/>
        </w:rPr>
        <w:t>本项目报投标总价，</w:t>
      </w:r>
      <w:r>
        <w:rPr>
          <w:rFonts w:hint="eastAsia" w:ascii="仿宋_GB2312" w:hAnsi="华文仿宋" w:eastAsia="仿宋_GB2312"/>
          <w:sz w:val="28"/>
          <w:szCs w:val="28"/>
          <w:lang w:eastAsia="zh-CN"/>
        </w:rPr>
        <w:t>本项目服务费采用包干制，应包括服务成本、法定税费和企业的利润。由投标人根据招标文件所提供的资料自行测算投标报价；一经中标，投标报价总价作为中标人与采购人签订的合同金额，合同期限内不做调整。</w:t>
      </w:r>
    </w:p>
    <w:p>
      <w:pPr>
        <w:numPr>
          <w:ilvl w:val="0"/>
          <w:numId w:val="0"/>
        </w:numPr>
        <w:spacing w:line="520" w:lineRule="exact"/>
        <w:ind w:firstLine="560" w:firstLineChars="200"/>
        <w:jc w:val="left"/>
        <w:rPr>
          <w:rFonts w:hint="eastAsia" w:ascii="仿宋_GB2312" w:hAnsi="华文仿宋" w:eastAsia="仿宋_GB2312"/>
          <w:color w:val="FF0000"/>
          <w:sz w:val="28"/>
          <w:szCs w:val="28"/>
        </w:rPr>
      </w:pPr>
      <w:r>
        <w:rPr>
          <w:rFonts w:hint="eastAsia" w:ascii="仿宋_GB2312" w:hAnsi="华文仿宋" w:eastAsia="仿宋_GB2312"/>
          <w:kern w:val="2"/>
          <w:sz w:val="28"/>
          <w:szCs w:val="28"/>
          <w:lang w:val="en-US" w:eastAsia="zh-CN" w:bidi="ar-SA"/>
        </w:rPr>
        <w:t>7.</w:t>
      </w:r>
      <w:r>
        <w:rPr>
          <w:rFonts w:hint="eastAsia" w:ascii="仿宋_GB2312" w:hAnsi="华文仿宋" w:eastAsia="仿宋_GB2312"/>
          <w:sz w:val="28"/>
          <w:szCs w:val="28"/>
        </w:rPr>
        <w:t>付款方</w:t>
      </w:r>
      <w:r>
        <w:rPr>
          <w:rFonts w:hint="eastAsia" w:ascii="仿宋_GB2312" w:hAnsi="华文仿宋" w:eastAsia="仿宋_GB2312"/>
          <w:color w:val="auto"/>
          <w:sz w:val="28"/>
          <w:szCs w:val="28"/>
        </w:rPr>
        <w:t>式</w:t>
      </w:r>
      <w:r>
        <w:rPr>
          <w:rFonts w:hint="eastAsia" w:ascii="仿宋_GB2312" w:hAnsi="华文仿宋" w:eastAsia="仿宋_GB2312"/>
          <w:color w:val="auto"/>
          <w:sz w:val="28"/>
          <w:szCs w:val="28"/>
          <w:lang w:eastAsia="zh-CN"/>
        </w:rPr>
        <w:t>：在合同签订后，采购人自收到中标人开具的发票10个工作日内转账支付50%首期款；合同履行完毕后，应于收到中标人验收申请后7日内组织履约验收，对于满足合同约定支付条件的，自收到发票后 15 日内完成剩余50%合同额的尾款支付。（具体付款方式以合同签订为准）</w:t>
      </w:r>
    </w:p>
    <w:p>
      <w:pPr>
        <w:numPr>
          <w:ilvl w:val="0"/>
          <w:numId w:val="0"/>
        </w:numPr>
        <w:spacing w:line="520" w:lineRule="exact"/>
        <w:ind w:firstLine="560" w:firstLineChars="200"/>
        <w:jc w:val="left"/>
        <w:rPr>
          <w:rFonts w:hint="eastAsia" w:ascii="仿宋_GB2312" w:hAnsi="华文仿宋" w:eastAsia="仿宋_GB2312"/>
          <w:kern w:val="2"/>
          <w:sz w:val="28"/>
          <w:szCs w:val="28"/>
          <w:lang w:val="en-US" w:eastAsia="zh-CN" w:bidi="ar-SA"/>
        </w:rPr>
      </w:pPr>
      <w:r>
        <w:rPr>
          <w:rFonts w:hint="eastAsia" w:ascii="仿宋_GB2312" w:hAnsi="华文仿宋" w:eastAsia="仿宋_GB2312"/>
          <w:kern w:val="2"/>
          <w:sz w:val="28"/>
          <w:szCs w:val="28"/>
          <w:lang w:val="en-US" w:eastAsia="zh-CN" w:bidi="ar-SA"/>
        </w:rPr>
        <w:t>8.其他需说明的事项：项目实行项目经理责任制，要求细化项目各项任务，明确各任务的负责人，全面负责项目的进度和项目质量、工作内容的推进等，项目运行必须按照规范的程序和节点展开，通过复核和考评机制保证项目责任的落实。</w:t>
      </w:r>
    </w:p>
    <w:p>
      <w:pPr>
        <w:spacing w:before="120" w:beforeLines="50" w:after="120" w:afterLines="50"/>
        <w:jc w:val="center"/>
        <w:outlineLvl w:val="9"/>
        <w:rPr>
          <w:rFonts w:hint="eastAsia"/>
          <w:szCs w:val="24"/>
        </w:rPr>
      </w:pPr>
    </w:p>
    <w:p>
      <w:pPr>
        <w:pStyle w:val="6"/>
        <w:spacing w:before="120" w:beforeLines="50" w:after="120" w:afterLines="50"/>
        <w:jc w:val="center"/>
        <w:rPr>
          <w:szCs w:val="24"/>
        </w:rPr>
      </w:pPr>
      <w:r>
        <w:rPr>
          <w:rFonts w:hint="eastAsia"/>
          <w:szCs w:val="24"/>
        </w:rPr>
        <w:t>七、其他重要条款</w:t>
      </w:r>
    </w:p>
    <w:p>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pPr>
        <w:pStyle w:val="2"/>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、投标人不得期望通过索赔等方式获取补偿，否则，除可能遭到拒绝外，还可能将被作为不良行为记录在案，并可能影响其以后参加政府采购的项目投标。各投标人在投标报价时，应充分考虑投标报价的风险。</w:t>
      </w:r>
    </w:p>
    <w:p>
      <w:pPr>
        <w:ind w:firstLine="420" w:firstLineChars="200"/>
        <w:rPr>
          <w:bCs/>
          <w:szCs w:val="21"/>
        </w:rPr>
      </w:pPr>
      <w:r>
        <w:rPr>
          <w:rFonts w:hint="eastAsia" w:ascii="Times New Roman" w:eastAsia="宋体"/>
          <w:bCs/>
          <w:szCs w:val="21"/>
          <w:lang w:val="en-US" w:eastAsia="zh-CN"/>
        </w:rPr>
        <w:t>4</w:t>
      </w:r>
      <w:r>
        <w:rPr>
          <w:rFonts w:hint="eastAsia"/>
          <w:bCs/>
          <w:szCs w:val="21"/>
        </w:rPr>
        <w:t>、除政府采购合同继续履行将损害国家利益和社会公共利益外，双方当事人不得擅自变更、中止或者终止合同。</w:t>
      </w:r>
    </w:p>
    <w:p>
      <w:pPr>
        <w:ind w:firstLine="420" w:firstLineChars="200"/>
        <w:rPr>
          <w:rFonts w:hint="eastAsia" w:eastAsia="宋体"/>
          <w:bCs/>
          <w:szCs w:val="21"/>
          <w:lang w:val="en-US" w:eastAsia="zh-CN"/>
        </w:rPr>
      </w:pPr>
      <w:r>
        <w:rPr>
          <w:rFonts w:hint="eastAsia" w:ascii="Times New Roman" w:eastAsia="宋体"/>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ascii="Times New Roman" w:eastAsia="宋体"/>
          <w:bCs/>
          <w:szCs w:val="21"/>
          <w:lang w:val="en-US" w:eastAsia="zh-CN"/>
        </w:rPr>
        <w:t>。</w:t>
      </w:r>
    </w:p>
    <w:p>
      <w:pPr>
        <w:pStyle w:val="2"/>
        <w:spacing w:before="60" w:beforeLines="25" w:after="60" w:afterLines="25"/>
        <w:ind w:firstLine="392" w:firstLineChars="187"/>
        <w:rPr>
          <w:rFonts w:ascii="宋体" w:hAnsi="宋体"/>
          <w:szCs w:val="21"/>
        </w:rPr>
      </w:pPr>
    </w:p>
    <w:p>
      <w:pPr>
        <w:pStyle w:val="2"/>
        <w:spacing w:before="60" w:beforeLines="25" w:after="60" w:afterLines="25"/>
        <w:ind w:firstLine="392" w:firstLineChars="187"/>
        <w:rPr>
          <w:rFonts w:ascii="宋体" w:hAnsi="宋体"/>
          <w:szCs w:val="21"/>
        </w:rPr>
      </w:pPr>
    </w:p>
    <w:p>
      <w:pPr>
        <w:pStyle w:val="2"/>
        <w:spacing w:before="60" w:beforeLines="25" w:after="60" w:afterLines="25"/>
        <w:ind w:firstLine="392" w:firstLineChars="187"/>
        <w:rPr>
          <w:rFonts w:ascii="宋体" w:hAnsi="宋体"/>
          <w:szCs w:val="21"/>
        </w:rPr>
      </w:pPr>
    </w:p>
    <w:p>
      <w:r>
        <w:rPr>
          <w:rFonts w:hint="eastAsia"/>
        </w:rPr>
        <w:br w:type="page"/>
      </w:r>
    </w:p>
    <w:p>
      <w:pPr>
        <w:pStyle w:val="6"/>
        <w:jc w:val="center"/>
        <w:rPr>
          <w:kern w:val="2"/>
        </w:rPr>
      </w:pPr>
      <w:r>
        <w:rPr>
          <w:rFonts w:hint="eastAsia"/>
          <w:kern w:val="2"/>
        </w:rPr>
        <w:t>第四章 投标文件组成要求及格式</w:t>
      </w:r>
    </w:p>
    <w:p>
      <w:pPr>
        <w:rPr>
          <w:rStyle w:val="35"/>
          <w:sz w:val="24"/>
        </w:rPr>
      </w:pPr>
      <w:r>
        <w:rPr>
          <w:rStyle w:val="35"/>
          <w:rFonts w:hint="eastAsia"/>
          <w:sz w:val="24"/>
        </w:rPr>
        <w:t>特别提醒：</w:t>
      </w:r>
    </w:p>
    <w:p>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pPr>
        <w:rPr>
          <w:rFonts w:ascii="仿宋_GB2312" w:eastAsia="仿宋_GB2312"/>
          <w:sz w:val="24"/>
        </w:rPr>
      </w:pPr>
      <w:r>
        <w:rPr>
          <w:rFonts w:hint="eastAsia" w:ascii="仿宋_GB2312" w:eastAsia="仿宋_GB2312"/>
          <w:sz w:val="24"/>
        </w:rPr>
        <w:t xml:space="preserve">    投标文件正文（信息公开部分）必须编制于“正文（公开部分）”，投标文件附件（非信息公开部分）必须编制于“附件（不公开部分）”，如下图所示。</w:t>
      </w:r>
    </w:p>
    <w:p>
      <w:pPr>
        <w:widowControl/>
        <w:jc w:val="left"/>
        <w:rPr>
          <w:rFonts w:ascii="宋体" w:hAnsi="宋体" w:cs="宋体"/>
          <w:kern w:val="0"/>
          <w:sz w:val="24"/>
        </w:rPr>
      </w:pPr>
      <w:r>
        <w:drawing>
          <wp:inline distT="0" distB="0" distL="114300" distR="114300">
            <wp:extent cx="5203190" cy="4043045"/>
            <wp:effectExtent l="0" t="0" r="16510" b="14605"/>
            <wp:docPr id="8"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66f322b8feee32c1a3f0d48f365c82"/>
                    <pic:cNvPicPr>
                      <a:picLocks noChangeAspect="1"/>
                    </pic:cNvPicPr>
                  </pic:nvPicPr>
                  <pic:blipFill>
                    <a:blip r:embed="rId13"/>
                    <a:stretch>
                      <a:fillRect/>
                    </a:stretch>
                  </pic:blipFill>
                  <pic:spPr>
                    <a:xfrm>
                      <a:off x="0" y="0"/>
                      <a:ext cx="5203190" cy="4043045"/>
                    </a:xfrm>
                    <a:prstGeom prst="rect">
                      <a:avLst/>
                    </a:prstGeom>
                  </pic:spPr>
                </pic:pic>
              </a:graphicData>
            </a:graphic>
          </wp:inline>
        </w:drawing>
      </w:r>
    </w:p>
    <w:p>
      <w:pPr>
        <w:ind w:firstLine="480" w:firstLineChars="200"/>
        <w:rPr>
          <w:rFonts w:ascii="仿宋_GB2312" w:eastAsia="仿宋_GB2312"/>
          <w:sz w:val="24"/>
        </w:rPr>
      </w:pPr>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p>
      <w:pPr>
        <w:ind w:firstLine="480" w:firstLineChars="200"/>
        <w:rPr>
          <w:rFonts w:ascii="仿宋_GB2312" w:eastAsia="仿宋_GB2312"/>
          <w:sz w:val="24"/>
        </w:rPr>
      </w:pPr>
    </w:p>
    <w:p>
      <w:pPr>
        <w:ind w:firstLine="482" w:firstLineChars="200"/>
        <w:rPr>
          <w:rFonts w:ascii="宋体" w:hAnsi="宋体"/>
          <w:b/>
          <w:sz w:val="24"/>
        </w:rPr>
      </w:pPr>
    </w:p>
    <w:p>
      <w:pPr>
        <w:rPr>
          <w:rFonts w:ascii="宋体" w:hAnsi="宋体"/>
          <w:sz w:val="24"/>
        </w:rPr>
      </w:pPr>
      <w:r>
        <w:rPr>
          <w:rFonts w:hint="eastAsia" w:ascii="宋体" w:hAnsi="宋体"/>
          <w:sz w:val="24"/>
        </w:rPr>
        <w:t>投标文件组成：</w:t>
      </w:r>
    </w:p>
    <w:p>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pPr>
        <w:ind w:left="718" w:leftChars="342" w:firstLine="1417" w:firstLineChars="675"/>
        <w:rPr>
          <w:rFonts w:hint="eastAsia" w:eastAsia="宋体"/>
          <w:szCs w:val="21"/>
          <w:lang w:eastAsia="zh-CN"/>
        </w:rPr>
      </w:pPr>
      <w:r>
        <w:rPr>
          <w:rFonts w:hint="eastAsia"/>
          <w:szCs w:val="21"/>
        </w:rPr>
        <w:t>（1）</w:t>
      </w:r>
      <w:bookmarkStart w:id="31" w:name="_Hlk72070784"/>
      <w:r>
        <w:rPr>
          <w:rFonts w:hint="eastAsia"/>
          <w:szCs w:val="21"/>
        </w:rPr>
        <w:t>投标函</w:t>
      </w:r>
      <w:bookmarkEnd w:id="31"/>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pPr>
        <w:ind w:left="718" w:leftChars="342" w:firstLine="1417" w:firstLineChars="675"/>
        <w:rPr>
          <w:rFonts w:hint="eastAsia"/>
          <w:szCs w:val="21"/>
          <w:lang w:eastAsia="zh-CN"/>
        </w:rPr>
      </w:pPr>
      <w:bookmarkStart w:id="32" w:name="_Hlk72257201"/>
      <w:r>
        <w:rPr>
          <w:rFonts w:hint="eastAsia"/>
          <w:szCs w:val="21"/>
        </w:rPr>
        <w:t>（</w:t>
      </w:r>
      <w:r>
        <w:rPr>
          <w:szCs w:val="21"/>
        </w:rPr>
        <w:t>4</w:t>
      </w:r>
      <w:r>
        <w:rPr>
          <w:rFonts w:hint="eastAsia"/>
          <w:szCs w:val="21"/>
        </w:rPr>
        <w:t>）</w:t>
      </w:r>
      <w:bookmarkEnd w:id="32"/>
      <w:r>
        <w:rPr>
          <w:rFonts w:hint="eastAsia"/>
          <w:szCs w:val="21"/>
        </w:rPr>
        <w:t>项目详细报价</w:t>
      </w:r>
      <w:r>
        <w:rPr>
          <w:rFonts w:hint="eastAsia"/>
          <w:szCs w:val="21"/>
          <w:lang w:eastAsia="zh-CN"/>
        </w:rPr>
        <w:t>；</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5</w:t>
      </w:r>
      <w:r>
        <w:rPr>
          <w:rFonts w:hint="eastAsia"/>
          <w:szCs w:val="21"/>
        </w:rPr>
        <w:t>）</w:t>
      </w:r>
      <w:r>
        <w:rPr>
          <w:rFonts w:hint="eastAsia" w:ascii="宋体" w:hAnsi="宋体" w:eastAsia="宋体" w:cs="宋体"/>
          <w:color w:val="auto"/>
          <w:szCs w:val="21"/>
          <w:highlight w:val="none"/>
        </w:rPr>
        <w:t>投标人通过相关认证情况</w:t>
      </w:r>
      <w:r>
        <w:rPr>
          <w:rFonts w:hint="eastAsia"/>
          <w:szCs w:val="21"/>
          <w:lang w:eastAsia="zh-CN"/>
        </w:rPr>
        <w:t>；</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w:t>
      </w:r>
      <w:r>
        <w:rPr>
          <w:rFonts w:hint="eastAsia" w:ascii="宋体" w:hAnsi="宋体" w:eastAsia="宋体" w:cs="宋体"/>
          <w:color w:val="auto"/>
          <w:szCs w:val="21"/>
          <w:highlight w:val="none"/>
        </w:rPr>
        <w:t>投标人同类项目业绩情况</w:t>
      </w:r>
      <w:r>
        <w:rPr>
          <w:rFonts w:hint="eastAsia"/>
          <w:szCs w:val="21"/>
          <w:lang w:eastAsia="zh-CN"/>
        </w:rPr>
        <w:t>；</w:t>
      </w:r>
    </w:p>
    <w:p>
      <w:pPr>
        <w:ind w:left="718" w:leftChars="342" w:firstLine="1627" w:firstLineChars="775"/>
        <w:rPr>
          <w:szCs w:val="21"/>
        </w:rPr>
      </w:pPr>
    </w:p>
    <w:p>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lang w:val="en-US" w:eastAsia="zh-CN"/>
        </w:rPr>
        <w:t>服务</w:t>
      </w:r>
      <w:r>
        <w:rPr>
          <w:rFonts w:hint="eastAsia"/>
          <w:szCs w:val="21"/>
          <w:lang w:eastAsia="zh-CN"/>
        </w:rPr>
        <w:t>方案；</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6</w:t>
      </w:r>
      <w:r>
        <w:rPr>
          <w:rFonts w:hint="eastAsia"/>
          <w:szCs w:val="21"/>
          <w:lang w:eastAsia="zh-CN"/>
        </w:rPr>
        <w:t>）质量（完成时间、安全、环保）保障措施及方案</w:t>
      </w:r>
    </w:p>
    <w:p>
      <w:pPr>
        <w:ind w:left="718" w:leftChars="342" w:firstLine="1417" w:firstLineChars="675"/>
        <w:rPr>
          <w:rFonts w:hint="eastAsia"/>
          <w:szCs w:val="21"/>
          <w:lang w:val="en-US" w:eastAsia="zh-CN"/>
        </w:rPr>
      </w:pPr>
      <w:r>
        <w:rPr>
          <w:rFonts w:hint="eastAsia"/>
          <w:szCs w:val="21"/>
          <w:lang w:val="en-US" w:eastAsia="zh-CN"/>
        </w:rPr>
        <w:t>（7）</w:t>
      </w:r>
      <w:r>
        <w:rPr>
          <w:rFonts w:hint="eastAsia"/>
          <w:szCs w:val="21"/>
          <w:lang w:eastAsia="zh-CN"/>
        </w:rPr>
        <w:t>拟安排的项目负责人情况（仅限一人）；</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8</w:t>
      </w:r>
      <w:r>
        <w:rPr>
          <w:rFonts w:hint="eastAsia"/>
          <w:szCs w:val="21"/>
          <w:lang w:eastAsia="zh-CN"/>
        </w:rPr>
        <w:t>）拟安排的项目主要团队成员情况（项目负责人除外）；</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9</w:t>
      </w:r>
      <w:r>
        <w:rPr>
          <w:rFonts w:hint="eastAsia"/>
          <w:szCs w:val="21"/>
          <w:lang w:eastAsia="zh-CN"/>
        </w:rPr>
        <w:t>）项目重点难点分析、应对措施及相关的合理化建议；</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10</w:t>
      </w:r>
      <w:r>
        <w:rPr>
          <w:rFonts w:hint="eastAsia"/>
          <w:szCs w:val="21"/>
          <w:lang w:eastAsia="zh-CN"/>
        </w:rPr>
        <w:t>）项目完成（服务期满）后的服务承诺；</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11</w:t>
      </w:r>
      <w:r>
        <w:rPr>
          <w:rFonts w:hint="eastAsia"/>
          <w:szCs w:val="21"/>
          <w:lang w:eastAsia="zh-CN"/>
        </w:rPr>
        <w:t>）违约承诺；</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12</w:t>
      </w:r>
      <w:r>
        <w:rPr>
          <w:rFonts w:hint="eastAsia"/>
          <w:szCs w:val="21"/>
          <w:lang w:eastAsia="zh-CN"/>
        </w:rPr>
        <w:t>）投标人认为需要加以说明的其他内容；</w:t>
      </w:r>
    </w:p>
    <w:p>
      <w:pPr>
        <w:pStyle w:val="9"/>
      </w:pPr>
    </w:p>
    <w:p>
      <w:pPr>
        <w:pStyle w:val="2"/>
        <w:ind w:left="210" w:leftChars="100" w:firstLine="781" w:firstLineChars="372"/>
        <w:rPr>
          <w:rFonts w:ascii="宋体" w:hAnsi="宋体"/>
          <w:szCs w:val="21"/>
        </w:rPr>
      </w:pPr>
    </w:p>
    <w:p>
      <w:pPr>
        <w:rPr>
          <w:rFonts w:ascii="仿宋_GB2312" w:eastAsia="仿宋_GB2312"/>
          <w:sz w:val="24"/>
        </w:rPr>
      </w:pPr>
    </w:p>
    <w:p>
      <w:pPr>
        <w:ind w:firstLine="426" w:firstLineChars="202"/>
        <w:rPr>
          <w:rFonts w:ascii="宋体" w:hAnsi="宋体"/>
          <w:b/>
          <w:szCs w:val="21"/>
        </w:rPr>
      </w:pPr>
      <w:r>
        <w:rPr>
          <w:rFonts w:hint="eastAsia" w:ascii="宋体" w:hAnsi="宋体"/>
          <w:b/>
          <w:szCs w:val="21"/>
        </w:rPr>
        <w:t>备注：</w:t>
      </w:r>
    </w:p>
    <w:p>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pPr>
        <w:ind w:firstLine="426" w:firstLineChars="202"/>
        <w:rPr>
          <w:rFonts w:ascii="宋体" w:hAnsi="宋体"/>
          <w:b/>
          <w:szCs w:val="21"/>
        </w:rPr>
      </w:pPr>
      <w:r>
        <w:rPr>
          <w:rFonts w:hint="eastAsia" w:ascii="宋体" w:hAnsi="宋体"/>
          <w:b/>
          <w:szCs w:val="21"/>
        </w:rPr>
        <w:t>2.关于填写“开标一览表”的说明：“开标一览表”中除“投标总价”外，其他信息不作评审依据。</w:t>
      </w:r>
    </w:p>
    <w:p>
      <w:pPr>
        <w:rPr>
          <w:rFonts w:ascii="仿宋_GB2312" w:eastAsia="仿宋_GB2312"/>
          <w:sz w:val="24"/>
        </w:rPr>
      </w:pPr>
    </w:p>
    <w:p>
      <w:pPr>
        <w:rPr>
          <w:rFonts w:ascii="宋体" w:hAnsi="宋体"/>
          <w:b/>
          <w:szCs w:val="21"/>
        </w:rPr>
      </w:pPr>
    </w:p>
    <w:p>
      <w:pPr>
        <w:rPr>
          <w:rFonts w:ascii="宋体" w:hAnsi="宋体"/>
          <w:b/>
          <w:szCs w:val="21"/>
        </w:rPr>
      </w:pPr>
    </w:p>
    <w:p>
      <w:pPr>
        <w:jc w:val="left"/>
        <w:rPr>
          <w:rFonts w:ascii="宋体" w:hAnsi="宋体"/>
          <w:b/>
          <w:color w:val="FF0000"/>
          <w:sz w:val="36"/>
          <w:szCs w:val="36"/>
        </w:rPr>
      </w:pPr>
      <w:r>
        <w:rPr>
          <w:rFonts w:hint="eastAsia" w:ascii="宋体" w:hAnsi="宋体"/>
          <w:b/>
          <w:color w:val="FF0000"/>
          <w:sz w:val="36"/>
          <w:szCs w:val="36"/>
        </w:rPr>
        <w:br w:type="page"/>
      </w:r>
    </w:p>
    <w:p>
      <w:pPr>
        <w:outlineLvl w:val="1"/>
        <w:rPr>
          <w:rFonts w:ascii="宋体" w:hAnsi="宋体"/>
          <w:b/>
          <w:color w:val="FF0000"/>
          <w:sz w:val="28"/>
          <w:szCs w:val="28"/>
        </w:rPr>
      </w:pPr>
      <w:r>
        <w:rPr>
          <w:rFonts w:hint="eastAsia" w:ascii="宋体" w:hAnsi="宋体"/>
          <w:b/>
          <w:color w:val="FF0000"/>
          <w:sz w:val="28"/>
          <w:szCs w:val="28"/>
        </w:rPr>
        <w:t>投标文件正文（信息公开部分）</w:t>
      </w:r>
    </w:p>
    <w:p>
      <w:pPr>
        <w:pStyle w:val="4"/>
        <w:jc w:val="center"/>
        <w:rPr>
          <w:rFonts w:ascii="黑体" w:eastAsia="黑体"/>
          <w:b w:val="0"/>
          <w:kern w:val="0"/>
          <w:sz w:val="24"/>
        </w:rPr>
      </w:pPr>
      <w:r>
        <w:rPr>
          <w:rFonts w:hint="eastAsia" w:ascii="黑体" w:eastAsia="黑体"/>
          <w:b w:val="0"/>
          <w:kern w:val="0"/>
          <w:sz w:val="24"/>
        </w:rPr>
        <w:t>一、投标函</w:t>
      </w:r>
    </w:p>
    <w:p>
      <w:pPr>
        <w:spacing w:line="360" w:lineRule="auto"/>
        <w:rPr>
          <w:rFonts w:ascii="宋体" w:hAnsi="宋体"/>
          <w:szCs w:val="21"/>
        </w:rPr>
      </w:pPr>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pPr>
        <w:ind w:firstLine="420" w:firstLineChars="200"/>
        <w:rPr>
          <w:rFonts w:ascii="宋体" w:hAnsi="宋体"/>
          <w:szCs w:val="21"/>
        </w:rPr>
      </w:pPr>
      <w:bookmarkStart w:id="33"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 xxx（项目编号）xxx</w:t>
      </w:r>
      <w:r>
        <w:rPr>
          <w:rFonts w:hint="eastAsia"/>
          <w:sz w:val="21"/>
          <w:szCs w:val="21"/>
          <w:u w:val="thick"/>
          <w:lang w:val="en-US" w:eastAsia="zh-CN"/>
        </w:rPr>
        <w:t xml:space="preserve"> </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xxx（项目名称）xxx </w:t>
      </w:r>
      <w:r>
        <w:rPr>
          <w:rFonts w:hint="eastAsia"/>
          <w:szCs w:val="21"/>
          <w:u w:val="thick"/>
        </w:rPr>
        <w:t xml:space="preserve">          </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34" w:name="_Hlk72263588"/>
      <w:r>
        <w:rPr>
          <w:rFonts w:hint="eastAsia"/>
          <w:szCs w:val="21"/>
        </w:rPr>
        <w:t>愿意按照招标文件要求承包上述项目并修补其任何缺陷。</w:t>
      </w:r>
      <w:bookmarkEnd w:id="34"/>
    </w:p>
    <w:p>
      <w:pPr>
        <w:ind w:firstLine="420" w:firstLineChars="200"/>
        <w:rPr>
          <w:rFonts w:ascii="宋体" w:hAnsi="宋体"/>
          <w:szCs w:val="21"/>
        </w:rPr>
      </w:pPr>
      <w:r>
        <w:rPr>
          <w:rFonts w:ascii="宋体" w:hAnsi="宋体"/>
          <w:szCs w:val="21"/>
        </w:rPr>
        <w:t>2</w:t>
      </w:r>
      <w:r>
        <w:rPr>
          <w:rFonts w:hint="eastAsia" w:ascii="宋体" w:hAnsi="宋体"/>
          <w:szCs w:val="21"/>
        </w:rPr>
        <w:t>、</w:t>
      </w:r>
      <w:bookmarkStart w:id="35" w:name="_Hlk73819847"/>
      <w:r>
        <w:rPr>
          <w:rFonts w:hint="eastAsia" w:ascii="宋体" w:hAnsi="宋体"/>
          <w:szCs w:val="21"/>
        </w:rPr>
        <w:t>投标价格见</w:t>
      </w:r>
      <w:r>
        <w:rPr>
          <w:rFonts w:hint="eastAsia"/>
          <w:szCs w:val="21"/>
        </w:rPr>
        <w:t>投标书编制软件中《开标一览表》中填写的投标总价。</w:t>
      </w:r>
      <w:bookmarkEnd w:id="35"/>
    </w:p>
    <w:p>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33"/>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pPr>
        <w:ind w:left="420" w:leftChars="200"/>
        <w:rPr>
          <w:rFonts w:ascii="宋体" w:hAnsi="宋体"/>
          <w:b/>
          <w:szCs w:val="21"/>
        </w:rPr>
      </w:pPr>
    </w:p>
    <w:p>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pPr>
        <w:ind w:left="420" w:leftChars="200"/>
        <w:rPr>
          <w:sz w:val="24"/>
        </w:rPr>
      </w:pPr>
      <w:r>
        <w:rPr>
          <w:rFonts w:hint="eastAsia"/>
          <w:sz w:val="24"/>
        </w:rPr>
        <w:t xml:space="preserve">                       </w:t>
      </w:r>
    </w:p>
    <w:p>
      <w:pPr>
        <w:rPr>
          <w:rFonts w:ascii="黑体" w:hAnsi="宋体" w:eastAsia="黑体"/>
        </w:rPr>
      </w:pPr>
    </w:p>
    <w:p>
      <w:pPr>
        <w:rPr>
          <w:rFonts w:ascii="宋体" w:hAnsi="宋体"/>
          <w:szCs w:val="21"/>
        </w:rPr>
      </w:pPr>
    </w:p>
    <w:p>
      <w:pPr>
        <w:pStyle w:val="4"/>
        <w:jc w:val="center"/>
        <w:rPr>
          <w:rFonts w:hint="eastAsia" w:ascii="黑体" w:eastAsia="黑体"/>
          <w:b w:val="0"/>
          <w:kern w:val="0"/>
          <w:sz w:val="24"/>
          <w:lang w:eastAsia="zh-CN"/>
        </w:rPr>
      </w:pPr>
      <w:r>
        <w:rPr>
          <w:rFonts w:hint="eastAsia" w:ascii="黑体" w:eastAsia="黑体"/>
          <w:b w:val="0"/>
          <w:kern w:val="0"/>
          <w:sz w:val="24"/>
        </w:rPr>
        <w:t>二、</w:t>
      </w:r>
      <w:r>
        <w:rPr>
          <w:rFonts w:hint="eastAsia" w:ascii="黑体" w:eastAsia="黑体"/>
          <w:b w:val="0"/>
          <w:kern w:val="0"/>
          <w:sz w:val="24"/>
          <w:lang w:eastAsia="zh-CN"/>
        </w:rPr>
        <w:t>自行采购投标及履约承诺函</w:t>
      </w:r>
    </w:p>
    <w:p>
      <w:pPr>
        <w:rPr>
          <w:rFonts w:ascii="宋体" w:hAnsi="宋体"/>
          <w:sz w:val="24"/>
        </w:rPr>
      </w:pPr>
    </w:p>
    <w:p>
      <w:pPr>
        <w:rPr>
          <w:rFonts w:ascii="宋体" w:hAnsi="宋体"/>
          <w:color w:val="FF0000"/>
          <w:szCs w:val="21"/>
        </w:rPr>
      </w:pPr>
      <w:bookmarkStart w:id="36" w:name="_Hlk72257530"/>
      <w:r>
        <w:rPr>
          <w:rFonts w:hint="eastAsia" w:ascii="宋体" w:hAnsi="宋体"/>
          <w:color w:val="FF0000"/>
          <w:szCs w:val="21"/>
        </w:rPr>
        <w:t>致：</w:t>
      </w:r>
      <w:r>
        <w:rPr>
          <w:rFonts w:hint="eastAsia" w:ascii="宋体" w:hAnsi="宋体"/>
          <w:color w:val="FF0000"/>
          <w:szCs w:val="21"/>
          <w:u w:val="single"/>
        </w:rPr>
        <w:t>深圳公共资源交易中心</w:t>
      </w:r>
    </w:p>
    <w:p>
      <w:pPr>
        <w:ind w:right="-815" w:firstLine="420" w:firstLineChars="200"/>
        <w:rPr>
          <w:rFonts w:ascii="宋体" w:hAnsi="宋体"/>
          <w:szCs w:val="21"/>
        </w:rPr>
      </w:pPr>
      <w:r>
        <w:rPr>
          <w:rFonts w:hint="eastAsia" w:ascii="宋体" w:hAnsi="宋体"/>
          <w:szCs w:val="21"/>
        </w:rPr>
        <w:t>我单位承诺：</w:t>
      </w:r>
    </w:p>
    <w:p>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37" w:name="_Hlk72587269"/>
      <w:bookmarkStart w:id="38"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37"/>
      <w:r>
        <w:rPr>
          <w:rFonts w:hint="eastAsia" w:ascii="宋体" w:hAnsi="宋体"/>
          <w:szCs w:val="21"/>
        </w:rPr>
        <w:t>。</w:t>
      </w:r>
    </w:p>
    <w:bookmarkEnd w:id="38"/>
    <w:p>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pPr>
        <w:ind w:firstLine="420" w:firstLineChars="200"/>
        <w:rPr>
          <w:rFonts w:ascii="宋体" w:hAnsi="宋体"/>
        </w:rPr>
      </w:pPr>
    </w:p>
    <w:p>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36"/>
    <w:p>
      <w:pPr>
        <w:spacing w:before="60" w:beforeLines="25" w:after="60" w:afterLines="25"/>
        <w:ind w:firstLine="5460" w:firstLineChars="2600"/>
        <w:rPr>
          <w:color w:val="FF0000"/>
        </w:rPr>
      </w:pPr>
      <w:r>
        <w:rPr>
          <w:rFonts w:hint="eastAsia"/>
          <w:color w:val="FF0000"/>
          <w:szCs w:val="21"/>
        </w:rPr>
        <w:t>投标人：</w:t>
      </w:r>
      <w:r>
        <w:rPr>
          <w:rFonts w:hint="eastAsia"/>
          <w:color w:val="FF0000"/>
          <w:szCs w:val="21"/>
          <w:u w:val="single"/>
        </w:rPr>
        <w:t xml:space="preserve">              </w:t>
      </w:r>
    </w:p>
    <w:p>
      <w:pPr>
        <w:ind w:firstLine="645"/>
        <w:rPr>
          <w:rFonts w:ascii="宋体" w:hAnsi="宋体"/>
          <w:color w:val="FF0000"/>
          <w:szCs w:val="21"/>
        </w:rPr>
      </w:pPr>
      <w:r>
        <w:rPr>
          <w:rFonts w:hint="eastAsia" w:ascii="宋体" w:hAnsi="宋体"/>
          <w:color w:val="FF0000"/>
          <w:szCs w:val="21"/>
        </w:rPr>
        <w:t xml:space="preserve">                                              日期：</w:t>
      </w:r>
      <w:r>
        <w:rPr>
          <w:rFonts w:hint="eastAsia" w:ascii="宋体" w:hAnsi="宋体"/>
          <w:color w:val="FF0000"/>
          <w:szCs w:val="21"/>
          <w:u w:val="single"/>
        </w:rPr>
        <w:t xml:space="preserve">    </w:t>
      </w:r>
      <w:r>
        <w:rPr>
          <w:rFonts w:hint="eastAsia" w:ascii="宋体" w:hAnsi="宋体"/>
          <w:color w:val="FF0000"/>
          <w:szCs w:val="21"/>
        </w:rPr>
        <w:t>年</w:t>
      </w:r>
      <w:r>
        <w:rPr>
          <w:rFonts w:hint="eastAsia" w:ascii="宋体" w:hAnsi="宋体"/>
          <w:color w:val="FF0000"/>
          <w:szCs w:val="21"/>
          <w:u w:val="single"/>
        </w:rPr>
        <w:t xml:space="preserve">   </w:t>
      </w:r>
      <w:r>
        <w:rPr>
          <w:rFonts w:hint="eastAsia" w:ascii="宋体" w:hAnsi="宋体"/>
          <w:color w:val="FF0000"/>
          <w:szCs w:val="21"/>
        </w:rPr>
        <w:t>月</w:t>
      </w:r>
      <w:r>
        <w:rPr>
          <w:rFonts w:hint="eastAsia" w:ascii="宋体" w:hAnsi="宋体"/>
          <w:color w:val="FF0000"/>
          <w:szCs w:val="21"/>
          <w:u w:val="single"/>
        </w:rPr>
        <w:t xml:space="preserve">   </w:t>
      </w:r>
      <w:r>
        <w:rPr>
          <w:rFonts w:hint="eastAsia" w:ascii="宋体" w:hAnsi="宋体"/>
          <w:color w:val="FF0000"/>
          <w:szCs w:val="21"/>
        </w:rPr>
        <w:t>日</w:t>
      </w:r>
    </w:p>
    <w:p>
      <w:pPr>
        <w:rPr>
          <w:rFonts w:ascii="宋体" w:hAnsi="宋体"/>
          <w:szCs w:val="21"/>
        </w:rPr>
      </w:pPr>
    </w:p>
    <w:p>
      <w:pPr>
        <w:rPr>
          <w:rFonts w:ascii="宋体" w:hAnsi="宋体"/>
          <w:szCs w:val="21"/>
        </w:rPr>
      </w:pPr>
    </w:p>
    <w:p/>
    <w:p/>
    <w:p>
      <w:pPr>
        <w:pStyle w:val="4"/>
        <w:spacing w:before="120" w:after="120"/>
        <w:jc w:val="center"/>
        <w:rPr>
          <w:rFonts w:ascii="黑体" w:eastAsia="黑体"/>
          <w:b w:val="0"/>
          <w:kern w:val="0"/>
          <w:sz w:val="24"/>
        </w:rPr>
      </w:pPr>
      <w:r>
        <w:rPr>
          <w:rFonts w:hint="eastAsia" w:ascii="黑体" w:eastAsia="黑体"/>
          <w:b w:val="0"/>
          <w:kern w:val="0"/>
          <w:sz w:val="24"/>
        </w:rPr>
        <w:t>三、投标人情况及资格证明文件</w:t>
      </w:r>
    </w:p>
    <w:p>
      <w:pPr>
        <w:ind w:firstLine="2640" w:firstLineChars="1100"/>
        <w:outlineLvl w:val="3"/>
        <w:rPr>
          <w:rFonts w:ascii="黑体" w:hAnsi="宋体" w:eastAsia="黑体"/>
          <w:bCs/>
          <w:kern w:val="0"/>
          <w:sz w:val="24"/>
          <w:szCs w:val="32"/>
        </w:rPr>
      </w:pPr>
      <w:r>
        <w:rPr>
          <w:rFonts w:hint="eastAsia" w:ascii="黑体" w:hAnsi="宋体" w:eastAsia="黑体"/>
          <w:bCs/>
          <w:kern w:val="0"/>
          <w:sz w:val="24"/>
          <w:szCs w:val="32"/>
        </w:rPr>
        <w:t>（一）投标人资格证明文件</w:t>
      </w:r>
    </w:p>
    <w:p>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pPr>
        <w:ind w:firstLine="482" w:firstLineChars="200"/>
        <w:rPr>
          <w:b/>
          <w:sz w:val="24"/>
        </w:rPr>
      </w:pPr>
    </w:p>
    <w:p>
      <w:pPr>
        <w:ind w:firstLine="480" w:firstLineChars="200"/>
        <w:outlineLvl w:val="3"/>
        <w:rPr>
          <w:rFonts w:ascii="黑体" w:hAnsi="宋体" w:eastAsia="黑体"/>
          <w:bCs/>
          <w:kern w:val="0"/>
          <w:sz w:val="24"/>
          <w:szCs w:val="32"/>
        </w:rPr>
      </w:pPr>
      <w:r>
        <w:rPr>
          <w:rFonts w:hint="eastAsia" w:ascii="黑体" w:hAnsi="宋体" w:eastAsia="黑体"/>
          <w:bCs/>
          <w:kern w:val="0"/>
          <w:sz w:val="24"/>
          <w:szCs w:val="32"/>
        </w:rPr>
        <w:t>（二）中小企业声明函、残疾人福利性单位声明函及监狱企业声明函</w:t>
      </w:r>
    </w:p>
    <w:p>
      <w:pPr>
        <w:jc w:val="left"/>
        <w:outlineLvl w:val="9"/>
        <w:rPr>
          <w:rFonts w:ascii="黑体" w:hAnsi="宋体" w:eastAsia="黑体"/>
          <w:bCs/>
          <w:kern w:val="0"/>
          <w:sz w:val="24"/>
          <w:szCs w:val="32"/>
        </w:rPr>
      </w:pP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pPr>
        <w:ind w:firstLine="420" w:firstLineChars="200"/>
        <w:outlineLvl w:val="3"/>
        <w:rPr>
          <w:rFonts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pPr>
        <w:ind w:firstLine="420" w:firstLineChars="200"/>
        <w:outlineLvl w:val="3"/>
        <w:rPr>
          <w:rFonts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w:t>
      </w:r>
      <w:bookmarkStart w:id="39" w:name="_Hlk71925120"/>
      <w:r>
        <w:rPr>
          <w:rFonts w:hint="eastAsia" w:ascii="黑体" w:hAnsi="黑体" w:eastAsia="黑体"/>
          <w:color w:val="FF0000"/>
          <w:szCs w:val="21"/>
        </w:rPr>
        <w:t>《工业和信息化部、国家统计局、国家发展和改革委员会、财政部关于印发中小企业划型标准规定的通知》（工信部联企业〔2011〕300号</w:t>
      </w:r>
      <w:bookmarkEnd w:id="39"/>
      <w:r>
        <w:rPr>
          <w:rFonts w:hint="eastAsia" w:ascii="黑体" w:hAnsi="黑体" w:eastAsia="黑体"/>
          <w:color w:val="FF0000"/>
          <w:szCs w:val="21"/>
        </w:rPr>
        <w:t>）</w:t>
      </w:r>
    </w:p>
    <w:p>
      <w:pPr>
        <w:ind w:firstLine="420" w:firstLineChars="200"/>
        <w:outlineLvl w:val="3"/>
        <w:rPr>
          <w:rFonts w:ascii="黑体" w:hAnsi="黑体" w:eastAsia="黑体"/>
          <w:color w:val="FF0000"/>
          <w:szCs w:val="21"/>
        </w:rPr>
      </w:pPr>
      <w:r>
        <w:rPr>
          <w:rFonts w:hint="eastAsia" w:ascii="黑体" w:hAnsi="黑体" w:eastAsia="黑体"/>
          <w:color w:val="FF0000"/>
          <w:szCs w:val="21"/>
        </w:rPr>
        <w:t>(3)《统计上大中小微型企业划分办法(2017)》（国统字〔2017〕213号）</w:t>
      </w:r>
    </w:p>
    <w:p>
      <w:pPr>
        <w:ind w:firstLine="420" w:firstLineChars="200"/>
        <w:outlineLvl w:val="3"/>
        <w:rPr>
          <w:rFonts w:ascii="黑体" w:hAnsi="黑体" w:eastAsia="黑体"/>
          <w:color w:val="FF0000"/>
          <w:szCs w:val="21"/>
        </w:rPr>
      </w:pPr>
      <w:r>
        <w:rPr>
          <w:rFonts w:hint="eastAsia" w:ascii="黑体" w:hAnsi="黑体" w:eastAsia="黑体"/>
          <w:color w:val="FF0000"/>
          <w:szCs w:val="21"/>
        </w:rPr>
        <w:t>(4)《关于促进残疾人就业政府采购政策的通知》（财库〔2017〕141号）</w:t>
      </w:r>
    </w:p>
    <w:p>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第三处，在“标的名称”下划线处填写所采购标的具体名称（以招标文件第一册第三章用户需求书“</w:t>
      </w:r>
      <w:r>
        <w:rPr>
          <w:rFonts w:hint="eastAsia" w:ascii="黑体" w:hAnsi="宋体" w:eastAsia="黑体"/>
          <w:bCs/>
          <w:color w:val="FF0000"/>
          <w:kern w:val="0"/>
          <w:szCs w:val="21"/>
          <w:lang w:val="en-US" w:eastAsia="zh-CN"/>
        </w:rPr>
        <w:t>服务需求</w:t>
      </w:r>
      <w:r>
        <w:rPr>
          <w:rFonts w:hint="eastAsia" w:ascii="黑体" w:hAnsi="宋体" w:eastAsia="黑体"/>
          <w:bCs/>
          <w:color w:val="FF0000"/>
          <w:kern w:val="0"/>
          <w:szCs w:val="21"/>
        </w:rPr>
        <w:t>明细”的“服务需求名称（标的名称）”一栏为准）；如果涉及多项</w:t>
      </w:r>
      <w:r>
        <w:rPr>
          <w:rFonts w:hint="eastAsia" w:ascii="黑体" w:hAnsi="宋体" w:eastAsia="黑体"/>
          <w:bCs/>
          <w:color w:val="FF0000"/>
          <w:kern w:val="0"/>
          <w:szCs w:val="21"/>
          <w:lang w:val="en-US" w:eastAsia="zh-CN"/>
        </w:rPr>
        <w:t>服务</w:t>
      </w:r>
      <w:r>
        <w:rPr>
          <w:rFonts w:hint="eastAsia" w:ascii="黑体" w:hAnsi="宋体" w:eastAsia="黑体"/>
          <w:bCs/>
          <w:color w:val="FF0000"/>
          <w:kern w:val="0"/>
          <w:szCs w:val="21"/>
        </w:rPr>
        <w:t>（标的）为同一企业</w:t>
      </w:r>
      <w:r>
        <w:rPr>
          <w:rFonts w:hint="eastAsia" w:ascii="黑体" w:hAnsi="宋体" w:eastAsia="黑体"/>
          <w:bCs/>
          <w:color w:val="FF0000"/>
          <w:kern w:val="0"/>
          <w:szCs w:val="21"/>
          <w:lang w:val="en-US" w:eastAsia="zh-CN"/>
        </w:rPr>
        <w:t>承接的</w:t>
      </w:r>
      <w:r>
        <w:rPr>
          <w:rFonts w:hint="eastAsia" w:ascii="黑体" w:hAnsi="宋体" w:eastAsia="黑体"/>
          <w:bCs/>
          <w:color w:val="FF0000"/>
          <w:kern w:val="0"/>
          <w:szCs w:val="21"/>
        </w:rPr>
        <w:t>，“标的名称”下划线处可以如实填写多项</w:t>
      </w:r>
      <w:r>
        <w:rPr>
          <w:rFonts w:hint="eastAsia" w:ascii="黑体" w:hAnsi="宋体" w:eastAsia="黑体"/>
          <w:bCs/>
          <w:color w:val="FF0000"/>
          <w:kern w:val="0"/>
          <w:szCs w:val="21"/>
          <w:lang w:val="en-US" w:eastAsia="zh-CN"/>
        </w:rPr>
        <w:t>服务</w:t>
      </w:r>
      <w:r>
        <w:rPr>
          <w:rFonts w:hint="eastAsia" w:ascii="黑体" w:hAnsi="宋体" w:eastAsia="黑体"/>
          <w:bCs/>
          <w:color w:val="FF0000"/>
          <w:kern w:val="0"/>
          <w:szCs w:val="21"/>
        </w:rPr>
        <w:t>；对于分包方式面向中小企业采购的项目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w:t>
      </w:r>
      <w:r>
        <w:rPr>
          <w:rFonts w:hint="eastAsia" w:ascii="黑体" w:hAnsi="宋体" w:eastAsia="黑体"/>
          <w:bCs/>
          <w:color w:val="FF0000"/>
          <w:kern w:val="0"/>
          <w:szCs w:val="21"/>
          <w:lang w:val="en-US" w:eastAsia="zh-CN"/>
        </w:rPr>
        <w:t>服务需求</w:t>
      </w:r>
      <w:r>
        <w:rPr>
          <w:rFonts w:hint="eastAsia" w:ascii="黑体" w:hAnsi="宋体" w:eastAsia="黑体"/>
          <w:bCs/>
          <w:color w:val="FF0000"/>
          <w:kern w:val="0"/>
          <w:szCs w:val="21"/>
        </w:rPr>
        <w:t>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服务承接商本身的所属行业保持一致。对于分包方式面向中小企业采购的项目，“采购文件中明确的所属行业”应按照采购文件中注明的分包给中小企业的采购标的所属行业填写，并应确保与该分包部分采购标的涉及的服务承接商本身的所属行业保持一致；对于以联合体方式面向中小企业采购的项目，“采购文件中明确的所属行业”应按照采购文件中注明的联合体中中小企业承担的采购标的所属行业填写，并应确保与该分包部分采购标的涉及的服务承接商本身的所属行业保持一致；</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eastAsia="zh-CN"/>
        </w:rPr>
        <w:t>服务承接商</w:t>
      </w:r>
      <w:r>
        <w:rPr>
          <w:rFonts w:hint="eastAsia" w:ascii="黑体" w:hAnsi="宋体" w:eastAsia="黑体"/>
          <w:b/>
          <w:bCs w:val="0"/>
          <w:color w:val="FF0000"/>
          <w:kern w:val="0"/>
          <w:szCs w:val="21"/>
        </w:rPr>
        <w:t>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服务承接商；对于以联合体方式面向中小企业采购的项目，“企业名称”应填写联合体中中小企业承担采购标的对应的服务承接商；</w:t>
      </w:r>
    </w:p>
    <w:p>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在“中型企业、小型企业、微型企业”下划线处应依据企业上年度从业人员、营业收入、资产总额等指标</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按照《中小企业划型标准规定》（工信部联企业〔2011〕300号）、《金融业企业划型标准规定》（银发〔2015〕309号）</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判断《中小企业声明函》载明的</w:t>
      </w:r>
      <w:r>
        <w:rPr>
          <w:rFonts w:hint="eastAsia" w:ascii="黑体" w:hAnsi="宋体" w:eastAsia="黑体"/>
          <w:bCs/>
          <w:color w:val="FF0000"/>
          <w:kern w:val="0"/>
          <w:szCs w:val="21"/>
          <w:lang w:eastAsia="zh-CN"/>
        </w:rPr>
        <w:t>服务承接商</w:t>
      </w:r>
      <w:r>
        <w:rPr>
          <w:rFonts w:hint="eastAsia" w:ascii="黑体" w:hAnsi="宋体" w:eastAsia="黑体"/>
          <w:bCs/>
          <w:color w:val="FF0000"/>
          <w:kern w:val="0"/>
          <w:szCs w:val="21"/>
        </w:rPr>
        <w:t>是否属于采购文件所属行业的中型企业/小型企业/微型企业。</w:t>
      </w:r>
    </w:p>
    <w:p>
      <w:pPr>
        <w:numPr>
          <w:ilvl w:val="0"/>
          <w:numId w:val="0"/>
        </w:num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pPr>
        <w:numPr>
          <w:ilvl w:val="0"/>
          <w:numId w:val="0"/>
        </w:num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w:t>
      </w:r>
      <w:r>
        <w:rPr>
          <w:rFonts w:hint="eastAsia" w:ascii="黑体" w:hAnsi="宋体" w:eastAsia="黑体"/>
          <w:bCs/>
          <w:color w:val="FF0000"/>
          <w:kern w:val="0"/>
          <w:szCs w:val="21"/>
          <w:lang w:eastAsia="zh-CN"/>
        </w:rPr>
        <w:t>。</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pPr>
        <w:ind w:firstLine="420" w:firstLineChars="200"/>
        <w:outlineLvl w:val="3"/>
        <w:rPr>
          <w:rFonts w:hint="eastAsia" w:ascii="黑体" w:hAnsi="宋体" w:eastAsia="黑体"/>
          <w:bCs/>
          <w:color w:val="FF0000"/>
          <w:kern w:val="0"/>
          <w:szCs w:val="21"/>
          <w:lang w:val="en-US" w:eastAsia="zh-CN"/>
        </w:rPr>
      </w:pPr>
      <w:r>
        <w:rPr>
          <w:rFonts w:hint="eastAsia" w:ascii="黑体" w:hAnsi="宋体" w:eastAsia="黑体"/>
          <w:bCs/>
          <w:color w:val="FF0000"/>
          <w:kern w:val="0"/>
          <w:szCs w:val="21"/>
          <w:lang w:val="en-US" w:eastAsia="zh-CN"/>
        </w:rPr>
        <w:t>5、本项目属于服务类项目，相关服务承接商应当为中小企业或残疾人福利性单位或监狱企业，如包含硬件设备、产品等货物采购的，不再对其中涉及的货物制造商作出要求。</w:t>
      </w:r>
    </w:p>
    <w:p>
      <w:pPr>
        <w:ind w:firstLine="420" w:firstLineChars="200"/>
        <w:outlineLvl w:val="3"/>
        <w:rPr>
          <w:rFonts w:hint="eastAsia" w:ascii="黑体" w:hAnsi="宋体" w:eastAsia="黑体"/>
          <w:bCs/>
          <w:color w:val="FF0000"/>
          <w:kern w:val="0"/>
          <w:szCs w:val="21"/>
          <w:lang w:val="en-US" w:eastAsia="zh-CN"/>
        </w:rPr>
      </w:pPr>
      <w:r>
        <w:rPr>
          <w:rFonts w:hint="eastAsia" w:ascii="黑体" w:hAnsi="宋体" w:eastAsia="黑体"/>
          <w:bCs/>
          <w:color w:val="FF0000"/>
          <w:kern w:val="0"/>
          <w:szCs w:val="21"/>
          <w:lang w:val="en-US" w:eastAsia="zh-CN"/>
        </w:rPr>
        <w:t>6、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pPr>
        <w:ind w:firstLine="420" w:firstLineChars="200"/>
        <w:rPr>
          <w:rFonts w:hint="default" w:ascii="黑体" w:hAnsi="宋体" w:eastAsia="黑体"/>
          <w:bCs/>
          <w:color w:val="FF0000"/>
          <w:kern w:val="0"/>
          <w:szCs w:val="21"/>
          <w:lang w:val="en-US" w:eastAsia="zh-CN"/>
        </w:rPr>
      </w:pPr>
      <w:r>
        <w:rPr>
          <w:rFonts w:hint="eastAsia" w:ascii="黑体" w:hAnsi="宋体" w:eastAsia="黑体"/>
          <w:bCs/>
          <w:color w:val="FF0000"/>
          <w:kern w:val="0"/>
          <w:szCs w:val="21"/>
          <w:lang w:val="en-US" w:eastAsia="zh-CN"/>
        </w:rPr>
        <w:t>7、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pPr>
        <w:ind w:firstLine="420" w:firstLineChars="200"/>
      </w:pPr>
    </w:p>
    <w:p>
      <w:pPr>
        <w:numPr>
          <w:ilvl w:val="0"/>
          <w:numId w:val="2"/>
        </w:numPr>
        <w:jc w:val="center"/>
        <w:outlineLvl w:val="9"/>
        <w:rPr>
          <w:b/>
          <w:sz w:val="24"/>
        </w:rPr>
      </w:pPr>
      <w:r>
        <w:rPr>
          <w:b/>
          <w:sz w:val="24"/>
        </w:rPr>
        <w:t>中小企业声明函（</w:t>
      </w:r>
      <w:r>
        <w:rPr>
          <w:rFonts w:hint="eastAsia"/>
          <w:b/>
          <w:sz w:val="24"/>
        </w:rPr>
        <w:t>服务</w:t>
      </w:r>
      <w:r>
        <w:rPr>
          <w:b/>
          <w:sz w:val="24"/>
        </w:rPr>
        <w:t>）</w:t>
      </w:r>
    </w:p>
    <w:p>
      <w:pPr>
        <w:pStyle w:val="9"/>
        <w:numPr>
          <w:ilvl w:val="0"/>
          <w:numId w:val="0"/>
        </w:num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本公司（联合体）郑重声明，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采购活动，服务全部由符合政策要求的中小企业承接。相关企业（含联合体中的中小企业、签订分包意向协议的中小企业）的具体情况如下：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w:t>
      </w:r>
      <w:r>
        <w:rPr>
          <w:rFonts w:hint="eastAsia" w:asciiTheme="minorEastAsia" w:hAnsiTheme="minorEastAsia" w:eastAsiaTheme="minorEastAsia" w:cstheme="minorEastAsia"/>
          <w:kern w:val="2"/>
          <w:sz w:val="21"/>
          <w:szCs w:val="21"/>
          <w:lang w:val="en-US" w:eastAsia="zh-CN" w:bidi="ar-SA"/>
        </w:rPr>
        <w:t>；承接企业为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w:t>
      </w:r>
      <w:r>
        <w:rPr>
          <w:rFonts w:hint="eastAsia" w:asciiTheme="minorEastAsia" w:hAnsiTheme="minorEastAsia" w:eastAsiaTheme="minorEastAsia" w:cstheme="minorEastAsia"/>
          <w:b/>
          <w:bCs/>
          <w:i/>
          <w:iCs/>
          <w:sz w:val="21"/>
          <w:szCs w:val="21"/>
          <w:u w:val="single"/>
          <w:lang w:val="en-US" w:eastAsia="zh-CN"/>
        </w:rPr>
        <w:t>承接企业本身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人，营业收入为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万元，资产总额为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w:t>
      </w:r>
      <w:r>
        <w:rPr>
          <w:rFonts w:hint="eastAsia" w:asciiTheme="minorEastAsia" w:hAnsiTheme="minorEastAsia" w:eastAsiaTheme="minorEastAsia" w:cstheme="minorEastAsia"/>
          <w:kern w:val="2"/>
          <w:sz w:val="21"/>
          <w:szCs w:val="21"/>
          <w:lang w:val="en-US" w:eastAsia="zh-CN" w:bidi="ar-SA"/>
        </w:rPr>
        <w:t>；承接企业为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w:t>
      </w:r>
      <w:r>
        <w:rPr>
          <w:rFonts w:hint="eastAsia" w:asciiTheme="minorEastAsia" w:hAnsiTheme="minorEastAsia" w:eastAsiaTheme="minorEastAsia" w:cstheme="minorEastAsia"/>
          <w:b/>
          <w:bCs/>
          <w:i/>
          <w:iCs/>
          <w:sz w:val="21"/>
          <w:szCs w:val="21"/>
          <w:u w:val="single"/>
          <w:lang w:val="en-US" w:eastAsia="zh-CN"/>
        </w:rPr>
        <w:t>承接企业本身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人，营业收入为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万元，资产总额为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本企业对上述声明内容的真实性负责。如有虚假，将依法承担相应责任。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bookmarkStart w:id="40" w:name="_Hlk73562275"/>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 46 号）、《中小企业划型标准规定》（工信部联企〔2011〕 300 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号）第二十条规定，投标人按照本办法规定提供声明函内容不实的，属于提供虚假材料谋取中标，依照《政府采购法》等政府采购有关法律法规规定追究相应责任。</w:t>
      </w:r>
      <w:bookmarkEnd w:id="40"/>
    </w:p>
    <w:p>
      <w:pPr>
        <w:ind w:firstLine="420" w:firstLineChars="200"/>
      </w:pPr>
    </w:p>
    <w:p>
      <w:pPr>
        <w:jc w:val="center"/>
        <w:outlineLvl w:val="9"/>
        <w:rPr>
          <w:b/>
          <w:sz w:val="24"/>
        </w:rPr>
      </w:pPr>
      <w:r>
        <w:rPr>
          <w:rFonts w:hint="eastAsia"/>
          <w:b/>
          <w:sz w:val="24"/>
        </w:rPr>
        <w:t>2、残疾人福利性单位声明函</w:t>
      </w:r>
      <w:r>
        <w:rPr>
          <w:rFonts w:hint="eastAsia"/>
          <w:b/>
          <w:sz w:val="24"/>
          <w:lang w:eastAsia="zh-CN"/>
        </w:rPr>
        <w:t>（</w:t>
      </w:r>
      <w:r>
        <w:rPr>
          <w:rFonts w:hint="eastAsia"/>
          <w:b/>
          <w:sz w:val="24"/>
          <w:lang w:val="en-US" w:eastAsia="zh-CN"/>
        </w:rPr>
        <w:t>服务</w:t>
      </w:r>
      <w:r>
        <w:rPr>
          <w:rFonts w:hint="eastAsia"/>
          <w:b/>
          <w:sz w:val="24"/>
        </w:rPr>
        <w:t>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项目采购活动由本单位提供服务。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p>
    <w:p>
      <w:pPr>
        <w:ind w:firstLine="420" w:firstLineChars="200"/>
        <w:rPr>
          <w:rFonts w:ascii="宋体" w:hAnsi="宋体"/>
          <w:szCs w:val="21"/>
        </w:rPr>
      </w:pPr>
    </w:p>
    <w:p>
      <w:pPr>
        <w:ind w:firstLine="420" w:firstLineChars="200"/>
        <w:rPr>
          <w:rFonts w:ascii="宋体" w:hAnsi="宋体"/>
          <w:szCs w:val="21"/>
        </w:rPr>
      </w:pPr>
    </w:p>
    <w:p>
      <w:pPr>
        <w:ind w:firstLine="420" w:firstLineChars="200"/>
        <w:rPr>
          <w:rFonts w:ascii="宋体" w:hAnsi="宋体"/>
          <w:szCs w:val="21"/>
        </w:rPr>
      </w:pPr>
    </w:p>
    <w:p>
      <w:pPr>
        <w:jc w:val="center"/>
        <w:outlineLvl w:val="9"/>
        <w:rPr>
          <w:b/>
          <w:sz w:val="24"/>
        </w:rPr>
      </w:pPr>
      <w:r>
        <w:rPr>
          <w:rFonts w:hint="eastAsia"/>
          <w:b/>
          <w:sz w:val="24"/>
        </w:rPr>
        <w:t>3、监狱企业声明函【服务类，监狱企业如需享受优惠政策，还须另行提供省级以上监狱管理局、戒毒管理局（含新疆生产建设兵团）出具的监狱企业证明文件】</w:t>
      </w:r>
    </w:p>
    <w:p>
      <w:pPr>
        <w:ind w:firstLine="420" w:firstLineChars="200"/>
        <w:rPr>
          <w:rFonts w:ascii="宋体" w:hAnsi="宋体"/>
          <w:szCs w:val="21"/>
        </w:rPr>
      </w:pPr>
      <w:r>
        <w:rPr>
          <w:rFonts w:hint="eastAsia" w:ascii="宋体" w:hAnsi="宋体"/>
          <w:szCs w:val="21"/>
        </w:rPr>
        <w:t>本投标人郑重声明，</w:t>
      </w:r>
      <w:r>
        <w:rPr>
          <w:rFonts w:hint="eastAsia" w:asciiTheme="minorEastAsia" w:hAnsiTheme="minorEastAsia" w:cstheme="minorEastAsia"/>
          <w:kern w:val="2"/>
          <w:sz w:val="21"/>
          <w:szCs w:val="21"/>
          <w:lang w:val="en-US" w:eastAsia="zh-CN" w:bidi="ar-SA"/>
        </w:rPr>
        <w:t>参照</w:t>
      </w:r>
      <w:r>
        <w:rPr>
          <w:rFonts w:hint="eastAsia" w:ascii="宋体" w:hAnsi="宋体"/>
          <w:szCs w:val="21"/>
        </w:rPr>
        <w:t>《财政部司法部关于政府采购支持监狱企业发展有关问题的通知》（财库〔</w:t>
      </w:r>
      <w:r>
        <w:rPr>
          <w:rFonts w:ascii="宋体" w:hAnsi="宋体"/>
          <w:szCs w:val="21"/>
        </w:rPr>
        <w:t>2014</w:t>
      </w:r>
      <w:r>
        <w:rPr>
          <w:rFonts w:hint="eastAsia" w:ascii="宋体" w:hAnsi="宋体"/>
          <w:szCs w:val="21"/>
        </w:rPr>
        <w:t>〕</w:t>
      </w:r>
      <w:r>
        <w:rPr>
          <w:rFonts w:ascii="宋体" w:hAnsi="宋体"/>
          <w:szCs w:val="21"/>
        </w:rPr>
        <w:t>68</w:t>
      </w:r>
      <w:r>
        <w:rPr>
          <w:rFonts w:hint="eastAsia" w:ascii="宋体" w:hAnsi="宋体"/>
          <w:szCs w:val="21"/>
        </w:rPr>
        <w:t>号）的规定，本投标人</w:t>
      </w:r>
      <w:r>
        <w:rPr>
          <w:rFonts w:ascii="宋体" w:hAnsi="宋体" w:cstheme="minorBidi"/>
          <w:szCs w:val="21"/>
        </w:rPr>
        <w:t>参加</w:t>
      </w:r>
      <w:r>
        <w:rPr>
          <w:rFonts w:ascii="宋体" w:hAnsi="宋体"/>
          <w:b/>
          <w:bCs/>
          <w:szCs w:val="21"/>
          <w:u w:val="single"/>
        </w:rPr>
        <w:t>（</w:t>
      </w:r>
      <w:r>
        <w:rPr>
          <w:rFonts w:hint="eastAsia" w:ascii="宋体" w:hAnsi="宋体"/>
          <w:b/>
          <w:bCs/>
          <w:szCs w:val="21"/>
          <w:u w:val="single"/>
        </w:rPr>
        <w:t>采购人</w:t>
      </w:r>
      <w:r>
        <w:rPr>
          <w:rFonts w:ascii="宋体" w:hAnsi="宋体"/>
          <w:b/>
          <w:bCs/>
          <w:szCs w:val="21"/>
          <w:u w:val="single"/>
        </w:rPr>
        <w:t>名称）</w:t>
      </w:r>
      <w:r>
        <w:rPr>
          <w:rFonts w:ascii="宋体" w:hAnsi="宋体"/>
          <w:szCs w:val="21"/>
        </w:rPr>
        <w:t>的</w:t>
      </w:r>
      <w:r>
        <w:rPr>
          <w:rFonts w:ascii="宋体" w:hAnsi="宋体"/>
          <w:b/>
          <w:bCs/>
          <w:szCs w:val="21"/>
          <w:u w:val="single"/>
        </w:rPr>
        <w:t>（项目名称）</w:t>
      </w:r>
      <w:r>
        <w:rPr>
          <w:rFonts w:ascii="宋体" w:hAnsi="宋体"/>
          <w:szCs w:val="21"/>
        </w:rPr>
        <w:t>采购活动，</w:t>
      </w:r>
      <w:r>
        <w:rPr>
          <w:rFonts w:hint="eastAsia" w:ascii="宋体" w:hAnsi="宋体"/>
          <w:szCs w:val="21"/>
        </w:rPr>
        <w:t>服务</w:t>
      </w:r>
      <w:r>
        <w:rPr>
          <w:rFonts w:ascii="宋体" w:hAnsi="宋体"/>
          <w:szCs w:val="21"/>
        </w:rPr>
        <w:t>全部由符合政策要求的</w:t>
      </w:r>
      <w:r>
        <w:rPr>
          <w:rFonts w:hint="eastAsia" w:ascii="宋体" w:hAnsi="宋体"/>
          <w:szCs w:val="21"/>
        </w:rPr>
        <w:t>监狱企业承接</w:t>
      </w:r>
      <w:r>
        <w:rPr>
          <w:rFonts w:ascii="宋体" w:hAnsi="宋体"/>
          <w:szCs w:val="21"/>
        </w:rPr>
        <w:t>。相关</w:t>
      </w:r>
      <w:r>
        <w:rPr>
          <w:rFonts w:hint="eastAsia" w:ascii="宋体" w:hAnsi="宋体"/>
          <w:szCs w:val="21"/>
        </w:rPr>
        <w:t>监狱企业</w:t>
      </w:r>
      <w:r>
        <w:rPr>
          <w:rFonts w:ascii="宋体" w:hAnsi="宋体"/>
          <w:szCs w:val="21"/>
        </w:rPr>
        <w:t>的具体情况如下：</w:t>
      </w:r>
    </w:p>
    <w:p>
      <w:pPr>
        <w:ind w:firstLine="420" w:firstLineChars="200"/>
        <w:rPr>
          <w:rFonts w:ascii="宋体" w:hAnsi="宋体"/>
          <w:szCs w:val="21"/>
        </w:rPr>
      </w:pPr>
      <w:r>
        <w:rPr>
          <w:rFonts w:ascii="宋体" w:hAnsi="宋体"/>
          <w:szCs w:val="21"/>
        </w:rPr>
        <w:t>1.</w:t>
      </w:r>
      <w:r>
        <w:rPr>
          <w:rFonts w:ascii="宋体" w:hAnsi="宋体"/>
          <w:b/>
          <w:bCs/>
          <w:szCs w:val="21"/>
          <w:u w:val="single"/>
        </w:rPr>
        <w:t xml:space="preserve"> </w:t>
      </w:r>
      <w:r>
        <w:rPr>
          <w:rFonts w:ascii="宋体" w:hAnsi="宋体"/>
          <w:b/>
          <w:bCs/>
          <w:i/>
          <w:iCs/>
          <w:szCs w:val="21"/>
          <w:u w:val="single"/>
        </w:rPr>
        <w:t>（标的名称</w:t>
      </w:r>
      <w:r>
        <w:rPr>
          <w:rFonts w:ascii="宋体" w:hAnsi="宋体"/>
          <w:b/>
          <w:bCs/>
          <w:szCs w:val="21"/>
          <w:u w:val="single"/>
        </w:rPr>
        <w:t>）</w:t>
      </w:r>
      <w:r>
        <w:rPr>
          <w:rFonts w:ascii="宋体" w:hAnsi="宋体"/>
          <w:szCs w:val="21"/>
        </w:rPr>
        <w:t xml:space="preserve"> </w:t>
      </w:r>
      <w:r>
        <w:rPr>
          <w:rFonts w:hint="eastAsia" w:ascii="宋体" w:hAnsi="宋体"/>
          <w:szCs w:val="21"/>
        </w:rPr>
        <w:t>，承接单位</w:t>
      </w:r>
      <w:r>
        <w:rPr>
          <w:rFonts w:ascii="宋体" w:hAnsi="宋体"/>
          <w:szCs w:val="21"/>
        </w:rPr>
        <w:t>为</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ascii="宋体" w:hAnsi="宋体"/>
          <w:szCs w:val="21"/>
        </w:rPr>
        <w:t>，属于</w:t>
      </w:r>
      <w:r>
        <w:rPr>
          <w:rFonts w:hint="eastAsia" w:ascii="宋体" w:hAnsi="宋体"/>
          <w:b/>
          <w:bCs/>
          <w:i/>
          <w:iCs/>
          <w:szCs w:val="21"/>
          <w:u w:val="single"/>
        </w:rPr>
        <w:t>监狱企业</w:t>
      </w:r>
      <w:r>
        <w:rPr>
          <w:rFonts w:ascii="宋体" w:hAnsi="宋体"/>
          <w:szCs w:val="21"/>
        </w:rPr>
        <w:t>；</w:t>
      </w:r>
    </w:p>
    <w:p>
      <w:pPr>
        <w:ind w:firstLine="420" w:firstLineChars="200"/>
        <w:rPr>
          <w:rFonts w:ascii="宋体" w:hAnsi="宋体"/>
          <w:szCs w:val="21"/>
        </w:rPr>
      </w:pPr>
      <w:r>
        <w:rPr>
          <w:rFonts w:ascii="宋体" w:hAnsi="宋体"/>
          <w:szCs w:val="21"/>
        </w:rPr>
        <w:t>2.</w:t>
      </w:r>
      <w:r>
        <w:rPr>
          <w:rFonts w:ascii="宋体" w:hAnsi="宋体"/>
          <w:b/>
          <w:bCs/>
          <w:szCs w:val="21"/>
          <w:u w:val="single"/>
        </w:rPr>
        <w:t xml:space="preserve"> </w:t>
      </w:r>
      <w:r>
        <w:rPr>
          <w:rFonts w:ascii="宋体" w:hAnsi="宋体"/>
          <w:b/>
          <w:bCs/>
          <w:i/>
          <w:iCs/>
          <w:szCs w:val="21"/>
          <w:u w:val="single"/>
        </w:rPr>
        <w:t>（标的名称）</w:t>
      </w:r>
      <w:r>
        <w:rPr>
          <w:rFonts w:ascii="宋体" w:hAnsi="宋体"/>
          <w:i/>
          <w:iCs/>
          <w:szCs w:val="21"/>
        </w:rPr>
        <w:t xml:space="preserve"> </w:t>
      </w:r>
      <w:r>
        <w:rPr>
          <w:rFonts w:hint="eastAsia" w:ascii="宋体" w:hAnsi="宋体"/>
          <w:szCs w:val="21"/>
        </w:rPr>
        <w:t>，承接单位</w:t>
      </w:r>
      <w:r>
        <w:rPr>
          <w:rFonts w:ascii="宋体" w:hAnsi="宋体"/>
          <w:szCs w:val="21"/>
        </w:rPr>
        <w:t>为</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ascii="宋体" w:hAnsi="宋体"/>
          <w:szCs w:val="21"/>
        </w:rPr>
        <w:t>，属于</w:t>
      </w:r>
      <w:r>
        <w:rPr>
          <w:rFonts w:hint="eastAsia" w:ascii="宋体" w:hAnsi="宋体"/>
          <w:b/>
          <w:bCs/>
          <w:i/>
          <w:iCs/>
          <w:szCs w:val="21"/>
          <w:u w:val="single"/>
        </w:rPr>
        <w:t>监狱企业</w:t>
      </w:r>
      <w:r>
        <w:rPr>
          <w:rFonts w:hint="eastAsia" w:ascii="宋体" w:hAnsi="宋体"/>
          <w:szCs w:val="21"/>
        </w:rPr>
        <w:t>。</w:t>
      </w:r>
    </w:p>
    <w:p>
      <w:pPr>
        <w:ind w:firstLine="420" w:firstLineChars="200"/>
        <w:outlineLvl w:val="9"/>
        <w:rPr>
          <w:rFonts w:ascii="宋体" w:hAnsi="宋体"/>
          <w:szCs w:val="21"/>
        </w:rPr>
      </w:pPr>
      <w:r>
        <w:rPr>
          <w:rFonts w:ascii="宋体" w:hAnsi="宋体"/>
          <w:szCs w:val="21"/>
        </w:rPr>
        <w:t xml:space="preserve">…… </w:t>
      </w:r>
    </w:p>
    <w:p>
      <w:pPr>
        <w:ind w:firstLine="420" w:firstLineChars="200"/>
        <w:rPr>
          <w:rFonts w:ascii="宋体" w:hAnsi="宋体"/>
          <w:szCs w:val="21"/>
        </w:rPr>
      </w:pPr>
      <w:r>
        <w:rPr>
          <w:rFonts w:ascii="宋体" w:hAnsi="宋体" w:cstheme="minorBidi"/>
          <w:szCs w:val="21"/>
        </w:rPr>
        <w:t>本</w:t>
      </w:r>
      <w:r>
        <w:rPr>
          <w:rFonts w:hint="eastAsia" w:ascii="宋体" w:hAnsi="宋体" w:cstheme="minorBidi"/>
          <w:szCs w:val="21"/>
        </w:rPr>
        <w:t>投标人</w:t>
      </w:r>
      <w:r>
        <w:rPr>
          <w:rFonts w:ascii="宋体" w:hAnsi="宋体"/>
          <w:szCs w:val="21"/>
        </w:rPr>
        <w:t>对上述声明内容的真实性负责。如有虚假，将依法承担相应责任。</w:t>
      </w:r>
    </w:p>
    <w:p>
      <w:pPr>
        <w:widowControl/>
        <w:jc w:val="left"/>
        <w:outlineLvl w:val="9"/>
        <w:rPr>
          <w:rFonts w:hint="eastAsia" w:ascii="宋体" w:hAnsi="宋体" w:eastAsia="宋体" w:cs="Times New Roman"/>
          <w:b/>
          <w:bCs/>
          <w:kern w:val="0"/>
          <w:sz w:val="24"/>
          <w:szCs w:val="20"/>
          <w:lang w:val="en-US" w:eastAsia="zh-CN"/>
        </w:rPr>
      </w:pPr>
      <w:r>
        <w:rPr>
          <w:rFonts w:hint="eastAsia" w:ascii="宋体" w:hAnsi="宋体"/>
          <w:szCs w:val="21"/>
        </w:rPr>
        <w:t>附：省级以上监狱管理局、戒毒管理局（含新疆生产建设兵团）出具的监狱企业证明文件。</w:t>
      </w:r>
    </w:p>
    <w:p>
      <w:pPr>
        <w:ind w:left="723" w:hanging="723" w:hangingChars="300"/>
        <w:rPr>
          <w:b/>
          <w:sz w:val="24"/>
        </w:rPr>
      </w:pPr>
    </w:p>
    <w:p>
      <w:pPr>
        <w:ind w:left="723" w:hanging="723" w:hangingChars="300"/>
        <w:rPr>
          <w:b/>
          <w:sz w:val="24"/>
        </w:rPr>
      </w:pPr>
    </w:p>
    <w:p>
      <w:pPr>
        <w:pStyle w:val="4"/>
        <w:jc w:val="center"/>
        <w:rPr>
          <w:rFonts w:ascii="黑体" w:eastAsia="黑体"/>
          <w:b w:val="0"/>
          <w:sz w:val="24"/>
          <w:szCs w:val="24"/>
        </w:rPr>
      </w:pPr>
      <w:r>
        <w:rPr>
          <w:rFonts w:hint="eastAsia" w:ascii="黑体" w:eastAsia="黑体"/>
          <w:b w:val="0"/>
          <w:sz w:val="24"/>
          <w:szCs w:val="24"/>
        </w:rPr>
        <w:t>四、项目详细报价</w:t>
      </w:r>
    </w:p>
    <w:p>
      <w:pPr>
        <w:tabs>
          <w:tab w:val="left" w:pos="720"/>
        </w:tabs>
        <w:ind w:firstLine="3132" w:firstLineChars="1300"/>
        <w:rPr>
          <w:b/>
          <w:sz w:val="24"/>
        </w:rPr>
      </w:pPr>
      <w:r>
        <w:rPr>
          <w:rFonts w:hint="eastAsia"/>
          <w:b/>
          <w:sz w:val="24"/>
        </w:rPr>
        <w:t>（一）分项报价表</w:t>
      </w:r>
    </w:p>
    <w:tbl>
      <w:tblPr>
        <w:tblStyle w:val="19"/>
        <w:tblW w:w="8613" w:type="dxa"/>
        <w:tblInd w:w="0" w:type="dxa"/>
        <w:tblLayout w:type="fixed"/>
        <w:tblCellMar>
          <w:top w:w="0" w:type="dxa"/>
          <w:left w:w="108" w:type="dxa"/>
          <w:bottom w:w="0" w:type="dxa"/>
          <w:right w:w="108" w:type="dxa"/>
        </w:tblCellMar>
      </w:tblPr>
      <w:tblGrid>
        <w:gridCol w:w="618"/>
        <w:gridCol w:w="1016"/>
        <w:gridCol w:w="3152"/>
        <w:gridCol w:w="1559"/>
        <w:gridCol w:w="2268"/>
      </w:tblGrid>
      <w:tr>
        <w:tblPrEx>
          <w:tblCellMar>
            <w:top w:w="0" w:type="dxa"/>
            <w:left w:w="108" w:type="dxa"/>
            <w:bottom w:w="0" w:type="dxa"/>
            <w:right w:w="108" w:type="dxa"/>
          </w:tblCellMar>
        </w:tblPrEx>
        <w:trPr>
          <w:trHeight w:val="285" w:hRule="atLeast"/>
        </w:trPr>
        <w:tc>
          <w:tcPr>
            <w:tcW w:w="618" w:type="dxa"/>
            <w:tcBorders>
              <w:top w:val="single" w:color="auto" w:sz="8" w:space="0"/>
              <w:left w:val="single" w:color="auto" w:sz="8" w:space="0"/>
              <w:bottom w:val="single" w:color="auto" w:sz="4" w:space="0"/>
              <w:right w:val="single" w:color="auto" w:sz="4" w:space="0"/>
            </w:tcBorders>
            <w:shd w:val="clear" w:color="000000" w:fill="E7E6E6"/>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序号</w:t>
            </w:r>
          </w:p>
        </w:tc>
        <w:tc>
          <w:tcPr>
            <w:tcW w:w="4168" w:type="dxa"/>
            <w:gridSpan w:val="2"/>
            <w:tcBorders>
              <w:top w:val="single" w:color="auto" w:sz="8" w:space="0"/>
              <w:left w:val="nil"/>
              <w:bottom w:val="single" w:color="auto" w:sz="4" w:space="0"/>
              <w:right w:val="single" w:color="auto" w:sz="4" w:space="0"/>
            </w:tcBorders>
            <w:shd w:val="clear" w:color="000000" w:fill="E7E6E6"/>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需求名称</w:t>
            </w:r>
          </w:p>
        </w:tc>
        <w:tc>
          <w:tcPr>
            <w:tcW w:w="1559" w:type="dxa"/>
            <w:tcBorders>
              <w:top w:val="single" w:color="auto" w:sz="8" w:space="0"/>
              <w:left w:val="nil"/>
              <w:bottom w:val="single" w:color="auto" w:sz="4" w:space="0"/>
              <w:right w:val="single" w:color="auto" w:sz="4" w:space="0"/>
            </w:tcBorders>
            <w:shd w:val="clear" w:color="000000" w:fill="E7E6E6"/>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金额（元）</w:t>
            </w:r>
          </w:p>
        </w:tc>
        <w:tc>
          <w:tcPr>
            <w:tcW w:w="2268" w:type="dxa"/>
            <w:tcBorders>
              <w:top w:val="single" w:color="auto" w:sz="8" w:space="0"/>
              <w:left w:val="nil"/>
              <w:bottom w:val="single" w:color="auto" w:sz="4" w:space="0"/>
              <w:right w:val="single" w:color="auto" w:sz="8" w:space="0"/>
            </w:tcBorders>
            <w:shd w:val="clear" w:color="000000" w:fill="E7E6E6"/>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说明</w:t>
            </w:r>
          </w:p>
        </w:tc>
      </w:tr>
      <w:tr>
        <w:tblPrEx>
          <w:tblCellMar>
            <w:top w:w="0" w:type="dxa"/>
            <w:left w:w="108" w:type="dxa"/>
            <w:bottom w:w="0" w:type="dxa"/>
            <w:right w:w="108" w:type="dxa"/>
          </w:tblCellMar>
        </w:tblPrEx>
        <w:trPr>
          <w:trHeight w:val="285" w:hRule="atLeast"/>
        </w:trPr>
        <w:tc>
          <w:tcPr>
            <w:tcW w:w="618" w:type="dxa"/>
            <w:tcBorders>
              <w:top w:val="single" w:color="auto" w:sz="4" w:space="0"/>
              <w:left w:val="single" w:color="auto" w:sz="8"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一</w:t>
            </w:r>
          </w:p>
        </w:tc>
        <w:tc>
          <w:tcPr>
            <w:tcW w:w="4168"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w:t>
            </w:r>
            <w:r>
              <w:rPr>
                <w:rFonts w:ascii="宋体" w:hAnsi="宋体" w:cs="宋体"/>
                <w:kern w:val="0"/>
                <w:sz w:val="20"/>
                <w:szCs w:val="20"/>
              </w:rPr>
              <w:t>*****</w:t>
            </w:r>
          </w:p>
        </w:tc>
        <w:tc>
          <w:tcPr>
            <w:tcW w:w="1559" w:type="dxa"/>
            <w:tcBorders>
              <w:top w:val="single" w:color="auto" w:sz="4" w:space="0"/>
              <w:left w:val="nil"/>
              <w:bottom w:val="single" w:color="auto" w:sz="4" w:space="0"/>
              <w:right w:val="single" w:color="auto"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tcBorders>
              <w:top w:val="single" w:color="auto" w:sz="4" w:space="0"/>
              <w:left w:val="nil"/>
              <w:bottom w:val="single" w:color="auto" w:sz="4" w:space="0"/>
              <w:right w:val="single" w:color="auto" w:sz="8" w:space="0"/>
            </w:tcBorders>
            <w:shd w:val="clear" w:color="auto" w:fill="auto"/>
            <w:vAlign w:val="center"/>
          </w:tcPr>
          <w:p>
            <w:pPr>
              <w:widowControl/>
              <w:jc w:val="left"/>
              <w:rPr>
                <w:rFonts w:ascii="宋体" w:hAnsi="宋体" w:cs="宋体"/>
                <w:kern w:val="0"/>
                <w:sz w:val="20"/>
                <w:szCs w:val="20"/>
              </w:rPr>
            </w:pPr>
          </w:p>
        </w:tc>
      </w:tr>
      <w:tr>
        <w:tblPrEx>
          <w:tblCellMar>
            <w:top w:w="0" w:type="dxa"/>
            <w:left w:w="108" w:type="dxa"/>
            <w:bottom w:w="0" w:type="dxa"/>
            <w:right w:w="108" w:type="dxa"/>
          </w:tblCellMar>
        </w:tblPrEx>
        <w:trPr>
          <w:trHeight w:val="480" w:hRule="atLeast"/>
        </w:trPr>
        <w:tc>
          <w:tcPr>
            <w:tcW w:w="618" w:type="dxa"/>
            <w:vMerge w:val="restart"/>
            <w:tcBorders>
              <w:top w:val="nil"/>
              <w:left w:val="single" w:color="auto" w:sz="8"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二</w:t>
            </w:r>
          </w:p>
        </w:tc>
        <w:tc>
          <w:tcPr>
            <w:tcW w:w="101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w:t>
            </w:r>
            <w:r>
              <w:rPr>
                <w:rFonts w:ascii="宋体" w:hAnsi="宋体" w:cs="宋体"/>
                <w:kern w:val="0"/>
                <w:sz w:val="20"/>
                <w:szCs w:val="20"/>
              </w:rPr>
              <w:t>*</w:t>
            </w:r>
            <w:r>
              <w:rPr>
                <w:rFonts w:hint="eastAsia" w:ascii="宋体" w:hAnsi="宋体" w:cs="宋体"/>
                <w:kern w:val="0"/>
                <w:sz w:val="20"/>
                <w:szCs w:val="20"/>
              </w:rPr>
              <w:t>费用</w:t>
            </w:r>
          </w:p>
        </w:tc>
        <w:tc>
          <w:tcPr>
            <w:tcW w:w="315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vMerge w:val="restart"/>
            <w:tcBorders>
              <w:top w:val="nil"/>
              <w:left w:val="nil"/>
              <w:right w:val="single" w:color="auto" w:sz="8"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285" w:hRule="atLeast"/>
        </w:trPr>
        <w:tc>
          <w:tcPr>
            <w:tcW w:w="618" w:type="dxa"/>
            <w:vMerge w:val="continue"/>
            <w:tcBorders>
              <w:left w:val="single" w:color="auto" w:sz="8" w:space="0"/>
              <w:right w:val="single" w:color="auto" w:sz="4" w:space="0"/>
            </w:tcBorders>
            <w:shd w:val="clear" w:color="auto" w:fill="auto"/>
            <w:vAlign w:val="center"/>
          </w:tcPr>
          <w:p>
            <w:pPr>
              <w:jc w:val="center"/>
              <w:rPr>
                <w:rFonts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315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vMerge w:val="continue"/>
            <w:tcBorders>
              <w:left w:val="nil"/>
              <w:right w:val="single" w:color="auto" w:sz="8" w:space="0"/>
            </w:tcBorders>
            <w:shd w:val="clear" w:color="auto" w:fill="auto"/>
            <w:vAlign w:val="center"/>
          </w:tcPr>
          <w:p>
            <w:pPr>
              <w:jc w:val="left"/>
              <w:rPr>
                <w:rFonts w:ascii="宋体" w:hAnsi="宋体" w:cs="宋体"/>
                <w:kern w:val="0"/>
                <w:sz w:val="20"/>
                <w:szCs w:val="20"/>
              </w:rPr>
            </w:pPr>
          </w:p>
        </w:tc>
      </w:tr>
      <w:tr>
        <w:tblPrEx>
          <w:tblCellMar>
            <w:top w:w="0" w:type="dxa"/>
            <w:left w:w="108" w:type="dxa"/>
            <w:bottom w:w="0" w:type="dxa"/>
            <w:right w:w="108" w:type="dxa"/>
          </w:tblCellMar>
        </w:tblPrEx>
        <w:trPr>
          <w:trHeight w:val="285" w:hRule="atLeast"/>
        </w:trPr>
        <w:tc>
          <w:tcPr>
            <w:tcW w:w="618" w:type="dxa"/>
            <w:vMerge w:val="continue"/>
            <w:tcBorders>
              <w:left w:val="single" w:color="auto" w:sz="8" w:space="0"/>
              <w:right w:val="single" w:color="auto" w:sz="4" w:space="0"/>
            </w:tcBorders>
            <w:shd w:val="clear" w:color="auto" w:fill="auto"/>
            <w:vAlign w:val="center"/>
          </w:tcPr>
          <w:p>
            <w:pPr>
              <w:jc w:val="center"/>
              <w:rPr>
                <w:rFonts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315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vMerge w:val="continue"/>
            <w:tcBorders>
              <w:left w:val="nil"/>
              <w:right w:val="single" w:color="auto" w:sz="8" w:space="0"/>
            </w:tcBorders>
            <w:shd w:val="clear" w:color="auto" w:fill="auto"/>
            <w:vAlign w:val="center"/>
          </w:tcPr>
          <w:p>
            <w:pPr>
              <w:jc w:val="left"/>
              <w:rPr>
                <w:rFonts w:ascii="宋体" w:hAnsi="宋体" w:cs="宋体"/>
                <w:kern w:val="0"/>
                <w:sz w:val="20"/>
                <w:szCs w:val="20"/>
              </w:rPr>
            </w:pPr>
          </w:p>
        </w:tc>
      </w:tr>
      <w:tr>
        <w:tblPrEx>
          <w:tblCellMar>
            <w:top w:w="0" w:type="dxa"/>
            <w:left w:w="108" w:type="dxa"/>
            <w:bottom w:w="0" w:type="dxa"/>
            <w:right w:w="108" w:type="dxa"/>
          </w:tblCellMar>
        </w:tblPrEx>
        <w:trPr>
          <w:trHeight w:val="285" w:hRule="atLeast"/>
        </w:trPr>
        <w:tc>
          <w:tcPr>
            <w:tcW w:w="618" w:type="dxa"/>
            <w:vMerge w:val="continue"/>
            <w:tcBorders>
              <w:left w:val="single" w:color="auto" w:sz="8" w:space="0"/>
              <w:right w:val="single" w:color="auto" w:sz="4" w:space="0"/>
            </w:tcBorders>
            <w:shd w:val="clear" w:color="auto" w:fill="auto"/>
            <w:vAlign w:val="center"/>
          </w:tcPr>
          <w:p>
            <w:pPr>
              <w:jc w:val="center"/>
              <w:rPr>
                <w:rFonts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315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vMerge w:val="continue"/>
            <w:tcBorders>
              <w:left w:val="nil"/>
              <w:right w:val="single" w:color="auto" w:sz="8" w:space="0"/>
            </w:tcBorders>
            <w:shd w:val="clear" w:color="auto" w:fill="auto"/>
            <w:vAlign w:val="center"/>
          </w:tcPr>
          <w:p>
            <w:pPr>
              <w:jc w:val="left"/>
              <w:rPr>
                <w:rFonts w:ascii="宋体" w:hAnsi="宋体" w:cs="宋体"/>
                <w:kern w:val="0"/>
                <w:sz w:val="20"/>
                <w:szCs w:val="20"/>
              </w:rPr>
            </w:pPr>
          </w:p>
        </w:tc>
      </w:tr>
      <w:tr>
        <w:tblPrEx>
          <w:tblCellMar>
            <w:top w:w="0" w:type="dxa"/>
            <w:left w:w="108" w:type="dxa"/>
            <w:bottom w:w="0" w:type="dxa"/>
            <w:right w:w="108" w:type="dxa"/>
          </w:tblCellMar>
        </w:tblPrEx>
        <w:trPr>
          <w:trHeight w:val="285" w:hRule="atLeast"/>
        </w:trPr>
        <w:tc>
          <w:tcPr>
            <w:tcW w:w="618" w:type="dxa"/>
            <w:vMerge w:val="continue"/>
            <w:tcBorders>
              <w:left w:val="single" w:color="auto" w:sz="8" w:space="0"/>
              <w:right w:val="single" w:color="auto" w:sz="4" w:space="0"/>
            </w:tcBorders>
            <w:shd w:val="clear" w:color="auto" w:fill="auto"/>
            <w:vAlign w:val="center"/>
          </w:tcPr>
          <w:p>
            <w:pPr>
              <w:jc w:val="center"/>
              <w:rPr>
                <w:rFonts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315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vMerge w:val="continue"/>
            <w:tcBorders>
              <w:left w:val="nil"/>
              <w:right w:val="single" w:color="auto" w:sz="8" w:space="0"/>
            </w:tcBorders>
            <w:shd w:val="clear" w:color="auto" w:fill="auto"/>
            <w:vAlign w:val="center"/>
          </w:tcPr>
          <w:p>
            <w:pPr>
              <w:jc w:val="left"/>
              <w:rPr>
                <w:rFonts w:ascii="宋体" w:hAnsi="宋体" w:cs="宋体"/>
                <w:kern w:val="0"/>
                <w:sz w:val="20"/>
                <w:szCs w:val="20"/>
              </w:rPr>
            </w:pPr>
          </w:p>
        </w:tc>
      </w:tr>
      <w:tr>
        <w:tblPrEx>
          <w:tblCellMar>
            <w:top w:w="0" w:type="dxa"/>
            <w:left w:w="108" w:type="dxa"/>
            <w:bottom w:w="0" w:type="dxa"/>
            <w:right w:w="108" w:type="dxa"/>
          </w:tblCellMar>
        </w:tblPrEx>
        <w:trPr>
          <w:trHeight w:val="285" w:hRule="atLeast"/>
        </w:trPr>
        <w:tc>
          <w:tcPr>
            <w:tcW w:w="618" w:type="dxa"/>
            <w:vMerge w:val="continue"/>
            <w:tcBorders>
              <w:left w:val="single" w:color="auto" w:sz="8" w:space="0"/>
              <w:right w:val="single" w:color="auto" w:sz="4" w:space="0"/>
            </w:tcBorders>
            <w:shd w:val="clear" w:color="auto" w:fill="auto"/>
            <w:vAlign w:val="center"/>
          </w:tcPr>
          <w:p>
            <w:pPr>
              <w:jc w:val="center"/>
              <w:rPr>
                <w:rFonts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315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vMerge w:val="continue"/>
            <w:tcBorders>
              <w:left w:val="nil"/>
              <w:bottom w:val="single" w:color="auto" w:sz="4" w:space="0"/>
              <w:right w:val="single" w:color="auto" w:sz="8" w:space="0"/>
            </w:tcBorders>
            <w:shd w:val="clear" w:color="auto" w:fill="auto"/>
            <w:vAlign w:val="center"/>
          </w:tcPr>
          <w:p>
            <w:pPr>
              <w:widowControl/>
              <w:jc w:val="left"/>
              <w:rPr>
                <w:rFonts w:ascii="宋体" w:hAnsi="宋体" w:cs="宋体"/>
                <w:kern w:val="0"/>
                <w:sz w:val="20"/>
                <w:szCs w:val="20"/>
              </w:rPr>
            </w:pPr>
          </w:p>
        </w:tc>
      </w:tr>
      <w:tr>
        <w:tblPrEx>
          <w:tblCellMar>
            <w:top w:w="0" w:type="dxa"/>
            <w:left w:w="108" w:type="dxa"/>
            <w:bottom w:w="0" w:type="dxa"/>
            <w:right w:w="108" w:type="dxa"/>
          </w:tblCellMar>
        </w:tblPrEx>
        <w:trPr>
          <w:trHeight w:val="285" w:hRule="atLeast"/>
        </w:trPr>
        <w:tc>
          <w:tcPr>
            <w:tcW w:w="618" w:type="dxa"/>
            <w:vMerge w:val="continue"/>
            <w:tcBorders>
              <w:left w:val="single" w:color="auto" w:sz="8" w:space="0"/>
              <w:bottom w:val="single" w:color="auto" w:sz="4" w:space="0"/>
              <w:right w:val="single" w:color="auto" w:sz="4" w:space="0"/>
            </w:tcBorders>
            <w:shd w:val="clear" w:color="000000" w:fill="FFFFFF"/>
            <w:vAlign w:val="center"/>
          </w:tcPr>
          <w:p>
            <w:pPr>
              <w:widowControl/>
              <w:jc w:val="center"/>
              <w:rPr>
                <w:rFonts w:ascii="宋体" w:hAnsi="宋体" w:cs="宋体"/>
                <w:kern w:val="0"/>
                <w:sz w:val="20"/>
                <w:szCs w:val="20"/>
              </w:rPr>
            </w:pPr>
          </w:p>
        </w:tc>
        <w:tc>
          <w:tcPr>
            <w:tcW w:w="4168"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w:t>
            </w:r>
            <w:r>
              <w:rPr>
                <w:rFonts w:ascii="宋体" w:hAnsi="宋体" w:cs="宋体"/>
                <w:kern w:val="0"/>
                <w:sz w:val="20"/>
                <w:szCs w:val="20"/>
              </w:rPr>
              <w:t>*</w:t>
            </w:r>
            <w:r>
              <w:rPr>
                <w:rFonts w:hint="eastAsia" w:ascii="宋体" w:hAnsi="宋体" w:cs="宋体"/>
                <w:kern w:val="0"/>
                <w:sz w:val="20"/>
                <w:szCs w:val="20"/>
              </w:rPr>
              <w:t>费用小计</w:t>
            </w: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285" w:hRule="atLeast"/>
        </w:trPr>
        <w:tc>
          <w:tcPr>
            <w:tcW w:w="618" w:type="dxa"/>
            <w:vMerge w:val="restart"/>
            <w:tcBorders>
              <w:top w:val="nil"/>
              <w:left w:val="single" w:color="auto" w:sz="8" w:space="0"/>
              <w:right w:val="single" w:color="auto"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三</w:t>
            </w:r>
          </w:p>
        </w:tc>
        <w:tc>
          <w:tcPr>
            <w:tcW w:w="1016"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其他费用</w:t>
            </w:r>
          </w:p>
        </w:tc>
        <w:tc>
          <w:tcPr>
            <w:tcW w:w="3152"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w:t>
            </w:r>
            <w:r>
              <w:rPr>
                <w:rFonts w:ascii="宋体" w:hAnsi="宋体" w:cs="宋体"/>
                <w:kern w:val="0"/>
                <w:sz w:val="20"/>
                <w:szCs w:val="20"/>
              </w:rPr>
              <w:t>*</w:t>
            </w: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pPr>
              <w:widowControl/>
              <w:jc w:val="left"/>
              <w:rPr>
                <w:rFonts w:ascii="宋体" w:hAnsi="宋体" w:cs="宋体"/>
                <w:kern w:val="0"/>
                <w:sz w:val="20"/>
                <w:szCs w:val="20"/>
              </w:rPr>
            </w:pPr>
          </w:p>
        </w:tc>
      </w:tr>
      <w:tr>
        <w:tblPrEx>
          <w:tblCellMar>
            <w:top w:w="0" w:type="dxa"/>
            <w:left w:w="108" w:type="dxa"/>
            <w:bottom w:w="0" w:type="dxa"/>
            <w:right w:w="108" w:type="dxa"/>
          </w:tblCellMar>
        </w:tblPrEx>
        <w:trPr>
          <w:trHeight w:val="285" w:hRule="atLeast"/>
        </w:trPr>
        <w:tc>
          <w:tcPr>
            <w:tcW w:w="618" w:type="dxa"/>
            <w:vMerge w:val="continue"/>
            <w:tcBorders>
              <w:left w:val="single" w:color="auto" w:sz="8" w:space="0"/>
              <w:right w:val="single" w:color="auto" w:sz="4" w:space="0"/>
            </w:tcBorders>
            <w:shd w:val="clear" w:color="000000" w:fill="FFFFFF"/>
            <w:vAlign w:val="center"/>
          </w:tcPr>
          <w:p>
            <w:pPr>
              <w:jc w:val="center"/>
              <w:rPr>
                <w:rFonts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3152"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 w:val="20"/>
                <w:szCs w:val="20"/>
              </w:rPr>
            </w:pP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pPr>
              <w:widowControl/>
              <w:jc w:val="left"/>
              <w:rPr>
                <w:rFonts w:ascii="宋体" w:hAnsi="宋体" w:cs="宋体"/>
                <w:kern w:val="0"/>
                <w:sz w:val="20"/>
                <w:szCs w:val="20"/>
              </w:rPr>
            </w:pPr>
          </w:p>
        </w:tc>
      </w:tr>
      <w:tr>
        <w:tblPrEx>
          <w:tblCellMar>
            <w:top w:w="0" w:type="dxa"/>
            <w:left w:w="108" w:type="dxa"/>
            <w:bottom w:w="0" w:type="dxa"/>
            <w:right w:w="108" w:type="dxa"/>
          </w:tblCellMar>
        </w:tblPrEx>
        <w:trPr>
          <w:trHeight w:val="285" w:hRule="atLeast"/>
        </w:trPr>
        <w:tc>
          <w:tcPr>
            <w:tcW w:w="618" w:type="dxa"/>
            <w:vMerge w:val="continue"/>
            <w:tcBorders>
              <w:left w:val="single" w:color="auto" w:sz="8" w:space="0"/>
              <w:bottom w:val="single" w:color="auto" w:sz="4" w:space="0"/>
              <w:right w:val="single" w:color="auto" w:sz="4" w:space="0"/>
            </w:tcBorders>
            <w:shd w:val="clear" w:color="000000" w:fill="FFFFFF"/>
            <w:vAlign w:val="center"/>
          </w:tcPr>
          <w:p>
            <w:pPr>
              <w:widowControl/>
              <w:jc w:val="center"/>
              <w:rPr>
                <w:rFonts w:ascii="宋体" w:hAnsi="宋体" w:cs="宋体"/>
                <w:kern w:val="0"/>
                <w:sz w:val="20"/>
                <w:szCs w:val="20"/>
              </w:rPr>
            </w:pPr>
          </w:p>
        </w:tc>
        <w:tc>
          <w:tcPr>
            <w:tcW w:w="4168"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其他费用小计</w:t>
            </w: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285" w:hRule="atLeast"/>
        </w:trPr>
        <w:tc>
          <w:tcPr>
            <w:tcW w:w="618" w:type="dxa"/>
            <w:tcBorders>
              <w:top w:val="nil"/>
              <w:left w:val="single" w:color="auto" w:sz="8" w:space="0"/>
              <w:bottom w:val="single" w:color="auto" w:sz="4" w:space="0"/>
              <w:right w:val="single" w:color="auto"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四</w:t>
            </w:r>
          </w:p>
        </w:tc>
        <w:tc>
          <w:tcPr>
            <w:tcW w:w="4168"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税金</w:t>
            </w:r>
          </w:p>
        </w:tc>
        <w:tc>
          <w:tcPr>
            <w:tcW w:w="1559"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285" w:hRule="atLeast"/>
        </w:trPr>
        <w:tc>
          <w:tcPr>
            <w:tcW w:w="618" w:type="dxa"/>
            <w:tcBorders>
              <w:top w:val="nil"/>
              <w:left w:val="single" w:color="auto" w:sz="8" w:space="0"/>
              <w:bottom w:val="single" w:color="auto" w:sz="4" w:space="0"/>
              <w:right w:val="single" w:color="auto" w:sz="4" w:space="0"/>
            </w:tcBorders>
            <w:shd w:val="clear" w:color="000000" w:fill="FFFFFF"/>
            <w:vAlign w:val="center"/>
          </w:tcPr>
          <w:p>
            <w:pPr>
              <w:widowControl/>
              <w:jc w:val="center"/>
              <w:rPr>
                <w:rFonts w:ascii="宋体" w:hAnsi="宋体" w:cs="宋体"/>
                <w:kern w:val="0"/>
                <w:sz w:val="20"/>
                <w:szCs w:val="20"/>
              </w:rPr>
            </w:pPr>
          </w:p>
        </w:tc>
        <w:tc>
          <w:tcPr>
            <w:tcW w:w="4168"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b/>
                <w:bCs/>
                <w:kern w:val="0"/>
                <w:sz w:val="20"/>
                <w:szCs w:val="20"/>
              </w:rPr>
              <w:t>……</w:t>
            </w:r>
          </w:p>
        </w:tc>
        <w:tc>
          <w:tcPr>
            <w:tcW w:w="1559"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kern w:val="0"/>
                <w:sz w:val="20"/>
                <w:szCs w:val="20"/>
              </w:rPr>
            </w:pPr>
          </w:p>
        </w:tc>
        <w:tc>
          <w:tcPr>
            <w:tcW w:w="2268" w:type="dxa"/>
            <w:tcBorders>
              <w:top w:val="nil"/>
              <w:left w:val="nil"/>
              <w:bottom w:val="single" w:color="auto" w:sz="4" w:space="0"/>
              <w:right w:val="single" w:color="auto" w:sz="8" w:space="0"/>
            </w:tcBorders>
            <w:shd w:val="clear" w:color="000000" w:fill="FFFFFF"/>
            <w:vAlign w:val="center"/>
          </w:tcPr>
          <w:p>
            <w:pPr>
              <w:widowControl/>
              <w:jc w:val="left"/>
              <w:rPr>
                <w:rFonts w:ascii="宋体" w:hAnsi="宋体" w:cs="宋体"/>
                <w:kern w:val="0"/>
                <w:sz w:val="20"/>
                <w:szCs w:val="20"/>
              </w:rPr>
            </w:pPr>
          </w:p>
        </w:tc>
      </w:tr>
      <w:tr>
        <w:tblPrEx>
          <w:tblCellMar>
            <w:top w:w="0" w:type="dxa"/>
            <w:left w:w="108" w:type="dxa"/>
            <w:bottom w:w="0" w:type="dxa"/>
            <w:right w:w="108" w:type="dxa"/>
          </w:tblCellMar>
        </w:tblPrEx>
        <w:trPr>
          <w:trHeight w:val="285" w:hRule="atLeast"/>
        </w:trPr>
        <w:tc>
          <w:tcPr>
            <w:tcW w:w="618" w:type="dxa"/>
            <w:tcBorders>
              <w:top w:val="nil"/>
              <w:left w:val="single" w:color="auto" w:sz="8" w:space="0"/>
              <w:bottom w:val="single" w:color="auto" w:sz="4" w:space="0"/>
              <w:right w:val="single" w:color="auto" w:sz="4" w:space="0"/>
            </w:tcBorders>
            <w:shd w:val="clear" w:color="000000" w:fill="FFFFFF"/>
            <w:vAlign w:val="center"/>
          </w:tcPr>
          <w:p>
            <w:pPr>
              <w:widowControl/>
              <w:jc w:val="center"/>
              <w:rPr>
                <w:rFonts w:ascii="宋体" w:hAnsi="宋体" w:cs="宋体"/>
                <w:kern w:val="0"/>
                <w:sz w:val="20"/>
                <w:szCs w:val="20"/>
              </w:rPr>
            </w:pPr>
          </w:p>
        </w:tc>
        <w:tc>
          <w:tcPr>
            <w:tcW w:w="4168"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合计(元)</w:t>
            </w: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b/>
                <w:bCs/>
                <w:kern w:val="0"/>
                <w:sz w:val="20"/>
                <w:szCs w:val="20"/>
              </w:rPr>
            </w:pPr>
            <w:r>
              <w:rPr>
                <w:rFonts w:hint="eastAsia" w:ascii="宋体" w:hAnsi="宋体" w:cs="宋体"/>
                <w:b/>
                <w:bCs/>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　以上各项之和</w:t>
            </w:r>
          </w:p>
        </w:tc>
      </w:tr>
    </w:tbl>
    <w:p>
      <w:pPr>
        <w:ind w:firstLine="0" w:firstLineChars="0"/>
        <w:rPr>
          <w:rFonts w:hint="eastAsia" w:asciiTheme="minorEastAsia" w:hAnsiTheme="minorEastAsia" w:eastAsiaTheme="minorEastAsia" w:cstheme="minorEastAsia"/>
          <w:b w:val="0"/>
          <w:bCs w:val="0"/>
          <w:color w:val="auto"/>
          <w:sz w:val="20"/>
          <w:szCs w:val="20"/>
          <w:lang w:val="en-US" w:eastAsia="zh-CN"/>
        </w:rPr>
      </w:pPr>
      <w:r>
        <w:rPr>
          <w:rFonts w:hint="eastAsia" w:asciiTheme="minorEastAsia" w:hAnsiTheme="minorEastAsia" w:eastAsiaTheme="minorEastAsia" w:cstheme="minorEastAsia"/>
          <w:b w:val="0"/>
          <w:bCs w:val="0"/>
          <w:color w:val="auto"/>
          <w:sz w:val="20"/>
          <w:szCs w:val="20"/>
          <w:lang w:val="en-US" w:eastAsia="zh-CN"/>
        </w:rPr>
        <w:t>注：</w:t>
      </w:r>
    </w:p>
    <w:p>
      <w:pPr>
        <w:ind w:firstLine="0" w:firstLineChars="0"/>
        <w:rPr>
          <w:rFonts w:hint="eastAsia" w:asciiTheme="minorEastAsia" w:hAnsiTheme="minorEastAsia" w:eastAsiaTheme="minorEastAsia" w:cstheme="minorEastAsia"/>
          <w:b w:val="0"/>
          <w:bCs w:val="0"/>
          <w:color w:val="auto"/>
          <w:sz w:val="20"/>
          <w:szCs w:val="20"/>
          <w:lang w:val="en-US" w:eastAsia="zh-CN"/>
        </w:rPr>
      </w:pPr>
      <w:r>
        <w:rPr>
          <w:rFonts w:hint="eastAsia" w:asciiTheme="minorEastAsia" w:hAnsiTheme="minorEastAsia" w:eastAsiaTheme="minorEastAsia" w:cstheme="minorEastAsia"/>
          <w:b w:val="0"/>
          <w:bCs w:val="0"/>
          <w:color w:val="auto"/>
          <w:sz w:val="20"/>
          <w:szCs w:val="20"/>
          <w:lang w:val="en-US" w:eastAsia="zh-CN"/>
        </w:rPr>
        <w:t>1、此表可延长，各投标人根据本项目实际涉及的所有支出项情况修改后填写。本表如有缺漏项，由投标人自行承担。</w:t>
      </w:r>
    </w:p>
    <w:p>
      <w:pPr>
        <w:ind w:firstLine="0" w:firstLineChars="0"/>
        <w:rPr>
          <w:rFonts w:hint="eastAsia" w:asciiTheme="minorEastAsia" w:hAnsiTheme="minorEastAsia" w:eastAsiaTheme="minorEastAsia" w:cstheme="minorEastAsia"/>
          <w:b w:val="0"/>
          <w:bCs w:val="0"/>
          <w:color w:val="auto"/>
          <w:sz w:val="20"/>
          <w:szCs w:val="20"/>
          <w:lang w:val="en-US" w:eastAsia="zh-CN"/>
        </w:rPr>
      </w:pPr>
      <w:r>
        <w:rPr>
          <w:rFonts w:hint="eastAsia" w:asciiTheme="minorEastAsia" w:hAnsiTheme="minorEastAsia" w:eastAsiaTheme="minorEastAsia" w:cstheme="minorEastAsia"/>
          <w:b w:val="0"/>
          <w:bCs w:val="0"/>
          <w:color w:val="auto"/>
          <w:sz w:val="20"/>
          <w:szCs w:val="20"/>
          <w:lang w:val="en-US" w:eastAsia="zh-CN"/>
        </w:rPr>
        <w:t>2、中标人签订合同前将详细的《分项报价表》递交采购单位，经采购单位审核同意后方可实施。</w:t>
      </w:r>
    </w:p>
    <w:p>
      <w:pPr>
        <w:pStyle w:val="9"/>
        <w:rPr>
          <w:rFonts w:hint="default" w:asciiTheme="minorEastAsia" w:hAnsiTheme="minorEastAsia" w:eastAsiaTheme="minorEastAsia" w:cstheme="minorEastAsia"/>
          <w:b w:val="0"/>
          <w:bCs w:val="0"/>
          <w:color w:val="auto"/>
          <w:kern w:val="2"/>
          <w:sz w:val="20"/>
          <w:szCs w:val="20"/>
          <w:lang w:val="en-US" w:eastAsia="zh-CN" w:bidi="ar-SA"/>
        </w:rPr>
      </w:pPr>
      <w:r>
        <w:rPr>
          <w:rFonts w:hint="eastAsia" w:asciiTheme="minorEastAsia" w:hAnsiTheme="minorEastAsia" w:eastAsiaTheme="minorEastAsia" w:cstheme="minorEastAsia"/>
          <w:b w:val="0"/>
          <w:bCs w:val="0"/>
          <w:color w:val="auto"/>
          <w:kern w:val="2"/>
          <w:sz w:val="20"/>
          <w:szCs w:val="20"/>
          <w:lang w:val="en-US" w:eastAsia="zh-CN" w:bidi="ar-SA"/>
        </w:rPr>
        <w:t>3、投标人的投标报价不得超过预算金额，否则将导致投标无效。</w:t>
      </w:r>
    </w:p>
    <w:p>
      <w:pPr>
        <w:tabs>
          <w:tab w:val="left" w:pos="720"/>
        </w:tabs>
        <w:jc w:val="center"/>
        <w:rPr>
          <w:b/>
          <w:sz w:val="24"/>
        </w:rPr>
      </w:pPr>
      <w:r>
        <w:rPr>
          <w:rFonts w:hint="eastAsia"/>
          <w:b/>
          <w:sz w:val="24"/>
        </w:rPr>
        <w:t>（二）</w:t>
      </w:r>
      <w:bookmarkStart w:id="41" w:name="_Hlk72073235"/>
      <w:r>
        <w:rPr>
          <w:rFonts w:hint="eastAsia"/>
          <w:b/>
          <w:sz w:val="24"/>
        </w:rPr>
        <w:t>投标人认为需要涉及的其他内容报价清单</w:t>
      </w:r>
      <w:bookmarkEnd w:id="41"/>
    </w:p>
    <w:p>
      <w:pPr>
        <w:rPr>
          <w:b/>
          <w:bCs/>
        </w:rPr>
      </w:pPr>
    </w:p>
    <w:p/>
    <w:p>
      <w:pPr>
        <w:pStyle w:val="9"/>
        <w:ind w:firstLine="0" w:firstLineChars="0"/>
      </w:pPr>
    </w:p>
    <w:p>
      <w:pPr>
        <w:pStyle w:val="14"/>
      </w:pPr>
    </w:p>
    <w:p>
      <w:pPr>
        <w:pStyle w:val="14"/>
        <w:jc w:val="center"/>
        <w:outlineLvl w:val="2"/>
        <w:rPr>
          <w:rFonts w:hint="eastAsia"/>
        </w:rPr>
      </w:pPr>
      <w:r>
        <w:rPr>
          <w:rFonts w:hint="eastAsia" w:ascii="黑体" w:hAnsi="宋体" w:eastAsia="黑体" w:cstheme="minorBidi"/>
          <w:b w:val="0"/>
          <w:bCs/>
          <w:kern w:val="2"/>
          <w:sz w:val="24"/>
          <w:szCs w:val="32"/>
          <w:lang w:val="en-US" w:eastAsia="zh-CN" w:bidi="ar-SA"/>
        </w:rPr>
        <w:t>五、投标人通过相关认证情况</w:t>
      </w:r>
    </w:p>
    <w:p>
      <w:pPr>
        <w:pStyle w:val="9"/>
        <w:rPr>
          <w:b w:val="0"/>
          <w:bCs w:val="0"/>
        </w:rPr>
      </w:pPr>
      <w:r>
        <w:rPr>
          <w:rFonts w:hint="eastAsia"/>
          <w:b w:val="0"/>
          <w:bCs w:val="0"/>
        </w:rPr>
        <w:t>（特别提示：投标人须按本招标文件评标信息中这一评审因素要求，提供证明资料）</w:t>
      </w:r>
    </w:p>
    <w:p>
      <w:pPr>
        <w:pStyle w:val="14"/>
        <w:jc w:val="center"/>
        <w:outlineLvl w:val="2"/>
      </w:pPr>
      <w:r>
        <w:rPr>
          <w:rFonts w:hint="eastAsia" w:ascii="黑体" w:hAnsi="宋体" w:eastAsia="黑体" w:cstheme="minorBidi"/>
          <w:b w:val="0"/>
          <w:bCs/>
          <w:kern w:val="2"/>
          <w:sz w:val="24"/>
          <w:szCs w:val="32"/>
          <w:lang w:val="en-US" w:eastAsia="zh-CN" w:bidi="ar-SA"/>
        </w:rPr>
        <w:t>六、投标人同类项目业绩情况</w:t>
      </w:r>
    </w:p>
    <w:p>
      <w:pPr>
        <w:pStyle w:val="9"/>
        <w:rPr>
          <w:b w:val="0"/>
          <w:bCs w:val="0"/>
        </w:rPr>
      </w:pPr>
      <w:r>
        <w:rPr>
          <w:rFonts w:hint="eastAsia"/>
          <w:b w:val="0"/>
          <w:bCs w:val="0"/>
        </w:rPr>
        <w:t>（特别提示：投标人须按本招标文件评标信息中这一评审因素要求，提供证明资料）</w:t>
      </w:r>
    </w:p>
    <w:p/>
    <w:p/>
    <w:p>
      <w:pPr>
        <w:ind w:firstLine="1446" w:firstLineChars="600"/>
        <w:rPr>
          <w:b/>
          <w:color w:val="FF0000"/>
          <w:sz w:val="24"/>
        </w:rPr>
      </w:pPr>
      <w:r>
        <w:rPr>
          <w:rFonts w:hint="eastAsia"/>
          <w:b/>
          <w:color w:val="FF0000"/>
          <w:sz w:val="24"/>
        </w:rPr>
        <w:t>（信息公开部分的内容到此为止！以下为信息不公开部分。）</w:t>
      </w: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jc w:val="center"/>
        <w:rPr>
          <w:b/>
          <w:sz w:val="32"/>
          <w:szCs w:val="32"/>
        </w:rPr>
      </w:pPr>
    </w:p>
    <w:p>
      <w:pPr>
        <w:rPr>
          <w:rFonts w:ascii="仿宋_GB2312" w:eastAsia="仿宋_GB2312"/>
          <w:b/>
          <w:sz w:val="30"/>
          <w:szCs w:val="30"/>
        </w:rPr>
      </w:pPr>
      <w:r>
        <w:rPr>
          <w:rFonts w:hint="eastAsia" w:ascii="仿宋_GB2312" w:eastAsia="仿宋_GB2312"/>
          <w:b/>
          <w:sz w:val="30"/>
          <w:szCs w:val="30"/>
        </w:rPr>
        <w:br w:type="page"/>
      </w:r>
    </w:p>
    <w:p>
      <w:pPr>
        <w:outlineLvl w:val="1"/>
        <w:rPr>
          <w:rFonts w:ascii="宋体" w:hAnsi="宋体"/>
          <w:b/>
          <w:color w:val="FF0000"/>
          <w:sz w:val="28"/>
          <w:szCs w:val="28"/>
        </w:rPr>
      </w:pPr>
      <w:r>
        <w:rPr>
          <w:rFonts w:hint="eastAsia" w:ascii="宋体" w:hAnsi="宋体"/>
          <w:b/>
          <w:color w:val="FF0000"/>
          <w:sz w:val="28"/>
          <w:szCs w:val="28"/>
        </w:rPr>
        <w:t>投标文件附件（信息不公开部分）</w:t>
      </w:r>
    </w:p>
    <w:p>
      <w:pPr>
        <w:pStyle w:val="4"/>
        <w:jc w:val="center"/>
        <w:rPr>
          <w:sz w:val="24"/>
        </w:rPr>
      </w:pPr>
      <w:r>
        <w:rPr>
          <w:rFonts w:hint="eastAsia" w:ascii="黑体" w:eastAsia="黑体"/>
          <w:b w:val="0"/>
          <w:sz w:val="24"/>
        </w:rPr>
        <w:t>一、</w:t>
      </w:r>
      <w:bookmarkStart w:id="42" w:name="_Hlk72092499"/>
      <w:r>
        <w:rPr>
          <w:rFonts w:hint="eastAsia" w:ascii="黑体" w:eastAsia="黑体"/>
          <w:b w:val="0"/>
          <w:sz w:val="24"/>
        </w:rPr>
        <w:t>供应商基本情况表</w:t>
      </w:r>
      <w:bookmarkEnd w:id="42"/>
    </w:p>
    <w:p>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20"/>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pPr>
        <w:numPr>
          <w:ilvl w:val="0"/>
          <w:numId w:val="0"/>
        </w:numPr>
        <w:spacing w:line="360" w:lineRule="auto"/>
        <w:ind w:firstLine="482" w:firstLineChars="200"/>
        <w:outlineLvl w:val="9"/>
        <w:rPr>
          <w:rFonts w:hint="eastAsia" w:eastAsia="宋体"/>
          <w:color w:val="auto"/>
          <w:szCs w:val="21"/>
          <w:lang w:eastAsia="zh-Hans"/>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pPr>
        <w:pStyle w:val="4"/>
        <w:spacing w:before="120" w:after="120"/>
        <w:jc w:val="center"/>
        <w:rPr>
          <w:rFonts w:ascii="黑体" w:eastAsia="黑体"/>
          <w:b w:val="0"/>
          <w:sz w:val="24"/>
        </w:rPr>
      </w:pPr>
      <w:r>
        <w:rPr>
          <w:rFonts w:hint="eastAsia" w:ascii="黑体" w:eastAsia="黑体"/>
          <w:b w:val="0"/>
          <w:sz w:val="24"/>
        </w:rPr>
        <w:t>二、法定代表人（负责人）证明书</w:t>
      </w:r>
    </w:p>
    <w:p>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eastAsia="宋体"/>
          <w:szCs w:val="21"/>
          <w:u w:val="none"/>
          <w:lang w:eastAsia="zh-CN"/>
        </w:rPr>
        <w:t>（</w:t>
      </w:r>
      <w:r>
        <w:rPr>
          <w:rFonts w:hint="eastAsia" w:ascii="Times New Roman" w:eastAsia="宋体"/>
          <w:szCs w:val="21"/>
          <w:u w:val="none"/>
          <w:lang w:val="en-US" w:eastAsia="zh-CN"/>
        </w:rPr>
        <w:t>姓名</w:t>
      </w:r>
      <w:r>
        <w:rPr>
          <w:rFonts w:hint="eastAsia" w:eastAsia="宋体"/>
          <w:szCs w:val="21"/>
          <w:u w:val="none"/>
          <w:lang w:eastAsia="zh-CN"/>
        </w:rPr>
        <w:t>）</w:t>
      </w:r>
      <w:r>
        <w:rPr>
          <w:rFonts w:hint="eastAsia"/>
          <w:szCs w:val="21"/>
        </w:rPr>
        <w:t>，现任我单位</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ascii="Times New Roman" w:eastAsia="宋体"/>
          <w:szCs w:val="21"/>
          <w:lang w:val="en-US" w:eastAsia="zh-CN"/>
        </w:rPr>
        <w:t>身份证件</w:t>
      </w:r>
      <w:r>
        <w:rPr>
          <w:rFonts w:hint="eastAsia"/>
          <w:szCs w:val="21"/>
        </w:rPr>
        <w:t>号</w:t>
      </w:r>
      <w:r>
        <w:rPr>
          <w:rFonts w:hint="eastAsia" w:ascii="Times New Roman" w:eastAsia="宋体"/>
          <w:szCs w:val="21"/>
          <w:lang w:val="en-US" w:eastAsia="zh-CN"/>
        </w:rPr>
        <w:t>为</w:t>
      </w:r>
      <w:r>
        <w:rPr>
          <w:rFonts w:hint="eastAsia"/>
          <w:szCs w:val="21"/>
        </w:rPr>
        <w:t>：</w:t>
      </w:r>
      <w:r>
        <w:rPr>
          <w:rFonts w:hint="eastAsia"/>
          <w:szCs w:val="21"/>
          <w:u w:val="single"/>
        </w:rPr>
        <w:t xml:space="preserve">                                     </w:t>
      </w:r>
      <w:r>
        <w:rPr>
          <w:rFonts w:hint="eastAsia" w:eastAsia="宋体"/>
          <w:szCs w:val="21"/>
          <w:u w:val="none"/>
          <w:lang w:eastAsia="zh-CN"/>
        </w:rPr>
        <w:t>，</w:t>
      </w:r>
      <w:r>
        <w:rPr>
          <w:rFonts w:hint="eastAsia"/>
          <w:szCs w:val="21"/>
        </w:rPr>
        <w:t>联系电话：</w:t>
      </w:r>
      <w:r>
        <w:rPr>
          <w:rFonts w:hint="eastAsia" w:ascii="Times New Roman" w:eastAsia="宋体"/>
          <w:szCs w:val="21"/>
          <w:u w:val="single"/>
          <w:lang w:val="en-US" w:eastAsia="zh-CN"/>
        </w:rPr>
        <w:t xml:space="preserve">                </w:t>
      </w:r>
      <w:r>
        <w:rPr>
          <w:rFonts w:hint="eastAsia" w:ascii="Times New Roman" w:eastAsia="宋体"/>
          <w:szCs w:val="21"/>
          <w:lang w:val="en-US" w:eastAsia="zh-CN"/>
        </w:rPr>
        <w:t>。</w:t>
      </w:r>
    </w:p>
    <w:p>
      <w:pPr>
        <w:spacing w:line="360" w:lineRule="auto"/>
        <w:ind w:firstLine="420" w:firstLineChars="200"/>
        <w:rPr>
          <w:szCs w:val="21"/>
        </w:rPr>
      </w:pPr>
      <w:r>
        <w:rPr>
          <w:rFonts w:hint="eastAsia"/>
          <w:szCs w:val="21"/>
        </w:rPr>
        <w:t>特此证明。</w:t>
      </w:r>
    </w:p>
    <w:p>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pPr>
        <w:numPr>
          <w:ilvl w:val="0"/>
          <w:numId w:val="3"/>
        </w:numPr>
        <w:spacing w:line="360" w:lineRule="auto"/>
        <w:ind w:firstLine="420" w:firstLineChars="200"/>
        <w:rPr>
          <w:rFonts w:hint="eastAsia"/>
          <w:color w:val="auto"/>
          <w:szCs w:val="21"/>
          <w:lang w:val="en-US" w:eastAsia="zh-CN"/>
        </w:rPr>
      </w:pPr>
      <w:r>
        <w:rPr>
          <w:rFonts w:hint="eastAsia" w:eastAsia="宋体"/>
          <w:color w:val="auto"/>
          <w:szCs w:val="21"/>
          <w:lang w:eastAsia="zh-Hans"/>
        </w:rPr>
        <w:t>本证明书要供法定代表人（负责人）</w:t>
      </w:r>
      <w:r>
        <w:rPr>
          <w:rFonts w:hint="eastAsia" w:ascii="Times New Roman" w:eastAsia="宋体"/>
          <w:color w:val="auto"/>
          <w:szCs w:val="21"/>
          <w:lang w:val="en-US" w:eastAsia="zh-CN"/>
        </w:rPr>
        <w:t>相关身份证明文件：身份证扫描件（正反两面）；港澳台居民可提供来往通行证扫描件；非中国国籍管辖范围人员，可提供公安部门认可的身份证明材料扫描件。</w:t>
      </w:r>
    </w:p>
    <w:p>
      <w:pPr>
        <w:numPr>
          <w:ilvl w:val="0"/>
          <w:numId w:val="3"/>
        </w:numPr>
        <w:spacing w:line="360" w:lineRule="auto"/>
        <w:ind w:firstLine="420" w:firstLineChars="200"/>
        <w:rPr>
          <w:szCs w:val="21"/>
        </w:rPr>
      </w:pPr>
      <w:r>
        <w:rPr>
          <w:rFonts w:hint="eastAsia" w:eastAsia="宋体"/>
          <w:color w:val="auto"/>
          <w:szCs w:val="21"/>
          <w:lang w:eastAsia="zh-Hans"/>
        </w:rPr>
        <w:t>本项目投标授权代表为法定代表人（负责人）的，无需提供</w:t>
      </w:r>
      <w:r>
        <w:rPr>
          <w:rFonts w:hint="eastAsia"/>
          <w:color w:val="auto"/>
          <w:szCs w:val="21"/>
        </w:rPr>
        <w:t>《投标文件签署授权委托书》</w:t>
      </w:r>
      <w:r>
        <w:rPr>
          <w:rFonts w:hint="eastAsia" w:eastAsia="宋体"/>
          <w:color w:val="auto"/>
          <w:szCs w:val="21"/>
          <w:lang w:eastAsia="zh-Hans"/>
        </w:rPr>
        <w:t>。</w:t>
      </w:r>
    </w:p>
    <w:p>
      <w:pPr>
        <w:numPr>
          <w:ilvl w:val="0"/>
          <w:numId w:val="3"/>
        </w:numPr>
        <w:spacing w:line="360" w:lineRule="auto"/>
        <w:ind w:firstLine="420" w:firstLineChars="200"/>
        <w:rPr>
          <w:szCs w:val="21"/>
        </w:rPr>
      </w:pPr>
      <w:r>
        <w:rPr>
          <w:rFonts w:hint="eastAsia"/>
          <w:szCs w:val="21"/>
        </w:rPr>
        <w:t>内容必须填写真实、清楚，涂改无效，不得转让、买卖。</w:t>
      </w:r>
    </w:p>
    <w:tbl>
      <w:tblPr>
        <w:tblStyle w:val="20"/>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ascii="Times New Roman" w:eastAsia="宋体"/>
                <w:lang w:val="en-US" w:eastAsia="zh-CN"/>
              </w:rPr>
              <w:t>证件扫描件正面</w:t>
            </w:r>
          </w:p>
          <w:p>
            <w:pPr>
              <w:pStyle w:val="9"/>
              <w:jc w:val="both"/>
              <w:rPr>
                <w:rFonts w:hint="eastAsia"/>
                <w:lang w:val="en-US" w:eastAsia="zh-CN"/>
              </w:rPr>
            </w:pPr>
          </w:p>
          <w:p>
            <w:pPr>
              <w:pStyle w:val="14"/>
              <w:rPr>
                <w:rFonts w:hint="eastAsia"/>
                <w:lang w:val="en-US" w:eastAsia="zh-CN"/>
              </w:rPr>
            </w:pPr>
          </w:p>
          <w:p>
            <w:pPr>
              <w:pStyle w:val="14"/>
              <w:rPr>
                <w:rFonts w:hint="default"/>
                <w:lang w:val="en-US" w:eastAsia="zh-CN"/>
              </w:rPr>
            </w:pPr>
          </w:p>
          <w:p>
            <w:pPr>
              <w:pStyle w:val="14"/>
              <w:jc w:val="both"/>
              <w:rPr>
                <w:rFonts w:hint="default"/>
                <w:lang w:val="en-US" w:eastAsia="zh-CN"/>
              </w:rPr>
            </w:pPr>
          </w:p>
        </w:tc>
        <w:tc>
          <w:tcPr>
            <w:tcW w:w="4265" w:type="dxa"/>
            <w:vAlign w:val="top"/>
          </w:tcPr>
          <w:p>
            <w:pPr>
              <w:jc w:val="center"/>
              <w:rPr>
                <w:rFonts w:hint="eastAsia"/>
                <w:lang w:val="en-US" w:eastAsia="zh-CN"/>
              </w:rPr>
            </w:pPr>
            <w:r>
              <w:rPr>
                <w:rFonts w:hint="eastAsia" w:ascii="Times New Roman" w:eastAsia="宋体"/>
                <w:lang w:val="en-US" w:eastAsia="zh-CN"/>
              </w:rPr>
              <w:t>证件扫描件反面</w:t>
            </w:r>
          </w:p>
          <w:p>
            <w:pPr>
              <w:pStyle w:val="9"/>
              <w:jc w:val="center"/>
              <w:rPr>
                <w:rFonts w:hint="eastAsia"/>
                <w:lang w:val="en-US" w:eastAsia="zh-CN"/>
              </w:rPr>
            </w:pPr>
          </w:p>
          <w:p>
            <w:pPr>
              <w:pStyle w:val="14"/>
              <w:jc w:val="center"/>
              <w:rPr>
                <w:rFonts w:hint="eastAsia"/>
                <w:sz w:val="24"/>
                <w:vertAlign w:val="baseline"/>
                <w:lang w:val="en-US" w:eastAsia="zh-CN"/>
              </w:rPr>
            </w:pPr>
          </w:p>
        </w:tc>
      </w:tr>
    </w:tbl>
    <w:p>
      <w:pPr>
        <w:pStyle w:val="38"/>
        <w:ind w:firstLine="482" w:firstLineChars="200"/>
        <w:rPr>
          <w:rFonts w:hint="eastAsia" w:ascii="黑体" w:hAnsi="黑体" w:eastAsia="黑体" w:cs="黑体"/>
          <w:b/>
          <w:bCs/>
          <w:color w:val="auto"/>
          <w:sz w:val="24"/>
          <w:szCs w:val="24"/>
          <w:u w:val="none"/>
          <w:lang w:val="en-US" w:eastAsia="zh-CN"/>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Pr>
        <w:pStyle w:val="4"/>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pPr>
        <w:spacing w:line="360" w:lineRule="auto"/>
        <w:ind w:firstLine="420" w:firstLineChars="200"/>
        <w:rPr>
          <w:rFonts w:hint="eastAsia"/>
          <w:szCs w:val="21"/>
        </w:rPr>
      </w:pPr>
      <w:r>
        <w:rPr>
          <w:rFonts w:hint="eastAsia"/>
          <w:szCs w:val="21"/>
        </w:rPr>
        <w:t>代理人无转委托权，特此委托。</w:t>
      </w:r>
    </w:p>
    <w:p>
      <w:pPr>
        <w:spacing w:line="360" w:lineRule="auto"/>
        <w:ind w:firstLine="420" w:firstLineChars="200"/>
        <w:rPr>
          <w:rFonts w:hint="eastAsia"/>
          <w:szCs w:val="21"/>
        </w:rPr>
      </w:pPr>
    </w:p>
    <w:p>
      <w:pPr>
        <w:spacing w:line="360" w:lineRule="auto"/>
        <w:ind w:firstLine="420" w:firstLineChars="200"/>
        <w:rPr>
          <w:rFonts w:hint="eastAsia"/>
          <w:szCs w:val="21"/>
          <w:u w:val="none"/>
          <w:lang w:eastAsia="zh-CN"/>
        </w:rPr>
      </w:pPr>
      <w:r>
        <w:rPr>
          <w:rFonts w:hint="eastAsia"/>
          <w:szCs w:val="21"/>
        </w:rPr>
        <w:t>代理人</w:t>
      </w:r>
      <w:r>
        <w:rPr>
          <w:rFonts w:hint="eastAsia" w:eastAsia="宋体"/>
          <w:szCs w:val="21"/>
          <w:lang w:eastAsia="zh-CN"/>
        </w:rPr>
        <w:t>：</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pPr>
        <w:spacing w:line="360" w:lineRule="auto"/>
        <w:ind w:firstLine="420" w:firstLineChars="200"/>
        <w:rPr>
          <w:rFonts w:hint="eastAsia"/>
          <w:szCs w:val="21"/>
          <w:u w:val="none"/>
          <w:lang w:eastAsia="zh-CN"/>
        </w:rPr>
      </w:pPr>
      <w:r>
        <w:rPr>
          <w:rFonts w:hint="eastAsia"/>
          <w:szCs w:val="21"/>
        </w:rPr>
        <w:t>身份</w:t>
      </w:r>
      <w:r>
        <w:rPr>
          <w:rFonts w:hint="eastAsia" w:ascii="Times New Roman" w:eastAsia="宋体"/>
          <w:szCs w:val="21"/>
          <w:lang w:val="en-US" w:eastAsia="zh-CN"/>
        </w:rPr>
        <w:t>证件号</w:t>
      </w:r>
      <w:r>
        <w:rPr>
          <w:rFonts w:hint="eastAsia"/>
          <w:szCs w:val="21"/>
        </w:rPr>
        <w:t>：</w:t>
      </w:r>
      <w:r>
        <w:rPr>
          <w:rFonts w:hint="eastAsia"/>
          <w:szCs w:val="21"/>
          <w:u w:val="single"/>
        </w:rPr>
        <w:t xml:space="preserve">                        </w:t>
      </w:r>
      <w:r>
        <w:rPr>
          <w:rFonts w:hint="eastAsia" w:eastAsia="宋体"/>
          <w:szCs w:val="21"/>
          <w:u w:val="none"/>
          <w:lang w:eastAsia="zh-CN"/>
        </w:rPr>
        <w:t>，</w:t>
      </w:r>
      <w:r>
        <w:rPr>
          <w:rFonts w:hint="eastAsia"/>
          <w:szCs w:val="21"/>
        </w:rPr>
        <w:t>职务：</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eastAsia="宋体"/>
          <w:szCs w:val="21"/>
          <w:lang w:eastAsia="zh-CN"/>
        </w:rPr>
        <w:t>，</w:t>
      </w:r>
      <w:r>
        <w:rPr>
          <w:rFonts w:hint="eastAsia"/>
          <w:szCs w:val="21"/>
        </w:rPr>
        <w:t>手机：</w:t>
      </w:r>
      <w:r>
        <w:rPr>
          <w:rFonts w:hint="eastAsia"/>
          <w:szCs w:val="21"/>
          <w:u w:val="single"/>
        </w:rPr>
        <w:t xml:space="preserve">                </w:t>
      </w:r>
      <w:r>
        <w:rPr>
          <w:rFonts w:hint="eastAsia" w:eastAsia="宋体"/>
          <w:szCs w:val="21"/>
          <w:u w:val="none"/>
          <w:lang w:eastAsia="zh-CN"/>
        </w:rPr>
        <w:t>，</w:t>
      </w:r>
      <w:r>
        <w:rPr>
          <w:rFonts w:hint="eastAsia" w:ascii="Times New Roman" w:eastAsia="宋体"/>
          <w:szCs w:val="21"/>
          <w:u w:val="none"/>
          <w:lang w:val="en-US" w:eastAsia="zh-CN"/>
        </w:rPr>
        <w:t>电子邮箱：</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eastAsia="宋体"/>
          <w:szCs w:val="21"/>
          <w:lang w:eastAsia="zh-CN"/>
        </w:rPr>
        <w:t>。</w:t>
      </w:r>
    </w:p>
    <w:p>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20"/>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ascii="Times New Roman" w:eastAsia="宋体"/>
                <w:lang w:val="en-US" w:eastAsia="zh-CN"/>
              </w:rPr>
              <w:t>证件扫描件正面</w:t>
            </w:r>
          </w:p>
          <w:p>
            <w:pPr>
              <w:pStyle w:val="9"/>
              <w:jc w:val="both"/>
              <w:rPr>
                <w:rFonts w:hint="eastAsia"/>
                <w:lang w:val="en-US" w:eastAsia="zh-CN"/>
              </w:rPr>
            </w:pPr>
          </w:p>
          <w:p>
            <w:pPr>
              <w:pStyle w:val="14"/>
              <w:rPr>
                <w:rFonts w:hint="eastAsia"/>
                <w:lang w:val="en-US" w:eastAsia="zh-CN"/>
              </w:rPr>
            </w:pPr>
          </w:p>
          <w:p>
            <w:pPr>
              <w:pStyle w:val="14"/>
              <w:rPr>
                <w:rFonts w:hint="default"/>
                <w:lang w:val="en-US" w:eastAsia="zh-CN"/>
              </w:rPr>
            </w:pPr>
          </w:p>
          <w:p>
            <w:pPr>
              <w:pStyle w:val="14"/>
              <w:jc w:val="both"/>
              <w:rPr>
                <w:rFonts w:hint="default"/>
                <w:lang w:val="en-US" w:eastAsia="zh-CN"/>
              </w:rPr>
            </w:pPr>
          </w:p>
        </w:tc>
        <w:tc>
          <w:tcPr>
            <w:tcW w:w="4265" w:type="dxa"/>
            <w:vAlign w:val="top"/>
          </w:tcPr>
          <w:p>
            <w:pPr>
              <w:jc w:val="center"/>
              <w:rPr>
                <w:rFonts w:hint="eastAsia"/>
                <w:lang w:val="en-US" w:eastAsia="zh-CN"/>
              </w:rPr>
            </w:pPr>
            <w:r>
              <w:rPr>
                <w:rFonts w:hint="eastAsia" w:ascii="Times New Roman" w:eastAsia="宋体"/>
                <w:lang w:val="en-US" w:eastAsia="zh-CN"/>
              </w:rPr>
              <w:t>证件扫描件反面</w:t>
            </w:r>
          </w:p>
          <w:p>
            <w:pPr>
              <w:pStyle w:val="9"/>
              <w:jc w:val="center"/>
              <w:rPr>
                <w:rFonts w:hint="eastAsia"/>
                <w:lang w:val="en-US" w:eastAsia="zh-CN"/>
              </w:rPr>
            </w:pPr>
          </w:p>
          <w:p>
            <w:pPr>
              <w:pStyle w:val="14"/>
              <w:jc w:val="center"/>
              <w:rPr>
                <w:rFonts w:hint="eastAsia"/>
                <w:sz w:val="24"/>
                <w:vertAlign w:val="baseline"/>
                <w:lang w:val="en-US" w:eastAsia="zh-CN"/>
              </w:rPr>
            </w:pPr>
          </w:p>
        </w:tc>
      </w:tr>
    </w:tbl>
    <w:p>
      <w:pPr>
        <w:pStyle w:val="38"/>
        <w:rPr>
          <w:rFonts w:hint="eastAsia" w:ascii="黑体" w:hAnsi="黑体" w:eastAsia="黑体" w:cs="黑体"/>
          <w:b/>
          <w:bCs/>
          <w:color w:val="auto"/>
          <w:sz w:val="24"/>
          <w:szCs w:val="24"/>
          <w:u w:val="none"/>
          <w:lang w:val="en-US" w:eastAsia="zh-CN"/>
        </w:rPr>
      </w:pPr>
    </w:p>
    <w:p>
      <w:pPr>
        <w:ind w:firstLine="482" w:firstLineChars="200"/>
        <w:rPr>
          <w:rFonts w:hint="eastAsia"/>
          <w:b/>
          <w:sz w:val="24"/>
          <w:szCs w:val="22"/>
        </w:rPr>
        <w:sectPr>
          <w:pgSz w:w="11907" w:h="16840"/>
          <w:pgMar w:top="1440" w:right="1797" w:bottom="1440" w:left="1797" w:header="851" w:footer="992" w:gutter="0"/>
          <w:cols w:space="425" w:num="1"/>
          <w:titlePg/>
          <w:docGrid w:linePitch="462" w:charSpace="0"/>
        </w:sect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Pr>
        <w:pStyle w:val="16"/>
        <w:snapToGrid w:val="0"/>
        <w:spacing w:before="0" w:after="0" w:line="240" w:lineRule="auto"/>
        <w:jc w:val="both"/>
        <w:outlineLvl w:val="9"/>
        <w:rPr>
          <w:rFonts w:hint="eastAsia" w:ascii="方正小标宋简体" w:hAnsi="方正小标宋简体" w:eastAsia="方正小标宋简体" w:cs="方正小标宋简体"/>
          <w:b w:val="0"/>
          <w:bCs w:val="0"/>
          <w:color w:val="auto"/>
          <w:sz w:val="44"/>
          <w:szCs w:val="44"/>
          <w:lang w:val="en-US" w:eastAsia="zh-CN"/>
        </w:rPr>
      </w:pPr>
    </w:p>
    <w:p>
      <w:pPr>
        <w:pStyle w:val="16"/>
        <w:snapToGrid w:val="0"/>
        <w:spacing w:before="0" w:after="0" w:line="240" w:lineRule="auto"/>
        <w:outlineLvl w:val="2"/>
        <w:rPr>
          <w:rFonts w:hint="default" w:eastAsia="宋体"/>
          <w:lang w:val="en-US" w:eastAsia="zh-CN"/>
        </w:rPr>
      </w:pPr>
      <w:r>
        <w:rPr>
          <w:rFonts w:hint="eastAsia" w:ascii="黑体" w:hAnsi="宋体" w:eastAsia="黑体" w:cs="Times New Roman"/>
          <w:b w:val="0"/>
          <w:bCs/>
          <w:kern w:val="0"/>
          <w:sz w:val="24"/>
          <w:szCs w:val="24"/>
          <w:lang w:val="en-US" w:eastAsia="zh-CN" w:bidi="ar-SA"/>
        </w:rPr>
        <w:t>四、</w:t>
      </w:r>
      <w:bookmarkStart w:id="43" w:name="_Hlk72092634"/>
      <w:r>
        <w:rPr>
          <w:rFonts w:hint="eastAsia" w:ascii="黑体" w:eastAsia="黑体"/>
          <w:b w:val="0"/>
          <w:kern w:val="0"/>
          <w:sz w:val="24"/>
          <w:szCs w:val="24"/>
        </w:rPr>
        <w:t>实质性条款响应情况表</w:t>
      </w:r>
      <w:bookmarkEnd w:id="43"/>
    </w:p>
    <w:p>
      <w:pPr>
        <w:pStyle w:val="38"/>
      </w:pPr>
    </w:p>
    <w:tbl>
      <w:tblPr>
        <w:tblStyle w:val="19"/>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788"/>
        <w:gridCol w:w="1464"/>
        <w:gridCol w:w="184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pPr>
              <w:adjustRightInd w:val="0"/>
              <w:snapToGrid w:val="0"/>
              <w:spacing w:line="360" w:lineRule="auto"/>
              <w:jc w:val="center"/>
              <w:rPr>
                <w:rFonts w:ascii="宋体" w:hAnsi="宋体"/>
                <w:kern w:val="0"/>
                <w:szCs w:val="21"/>
              </w:rPr>
            </w:pPr>
            <w:bookmarkStart w:id="44" w:name="_Hlk72092651"/>
            <w:r>
              <w:rPr>
                <w:rFonts w:hint="eastAsia" w:ascii="宋体" w:hAnsi="宋体"/>
                <w:kern w:val="0"/>
                <w:szCs w:val="21"/>
              </w:rPr>
              <w:t>序号</w:t>
            </w:r>
          </w:p>
        </w:tc>
        <w:tc>
          <w:tcPr>
            <w:tcW w:w="2788" w:type="dxa"/>
            <w:vAlign w:val="center"/>
          </w:tcPr>
          <w:p>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464" w:type="dxa"/>
            <w:vAlign w:val="center"/>
          </w:tcPr>
          <w:p>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pPr>
              <w:adjustRightInd w:val="0"/>
              <w:snapToGrid w:val="0"/>
              <w:spacing w:line="360" w:lineRule="auto"/>
              <w:jc w:val="center"/>
              <w:rPr>
                <w:rFonts w:ascii="宋体" w:hAnsi="宋体"/>
                <w:kern w:val="0"/>
                <w:szCs w:val="21"/>
              </w:rPr>
            </w:pPr>
            <w:r>
              <w:rPr>
                <w:rFonts w:hint="eastAsia"/>
              </w:rPr>
              <w:t>说明</w:t>
            </w:r>
          </w:p>
        </w:tc>
      </w:tr>
      <w:bookmarkEnd w:id="4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rPr>
                <w:rFonts w:ascii="宋体" w:hAnsi="宋体"/>
                <w:kern w:val="0"/>
                <w:szCs w:val="21"/>
              </w:rPr>
            </w:pPr>
            <w:r>
              <w:rPr>
                <w:rFonts w:hint="eastAsia" w:ascii="宋体" w:hAnsi="宋体"/>
                <w:kern w:val="0"/>
                <w:szCs w:val="21"/>
              </w:rPr>
              <w:t>1</w:t>
            </w:r>
          </w:p>
        </w:tc>
        <w:tc>
          <w:tcPr>
            <w:tcW w:w="2788" w:type="dxa"/>
            <w:vAlign w:val="center"/>
          </w:tcPr>
          <w:p>
            <w:pPr>
              <w:adjustRightInd w:val="0"/>
              <w:snapToGrid w:val="0"/>
              <w:spacing w:line="360" w:lineRule="auto"/>
              <w:jc w:val="center"/>
              <w:rPr>
                <w:rFonts w:hAnsi="宋体"/>
                <w:kern w:val="0"/>
                <w:szCs w:val="21"/>
              </w:rPr>
            </w:pPr>
            <w:r>
              <w:rPr>
                <w:rFonts w:hint="eastAsia" w:hAnsi="宋体"/>
                <w:color w:val="FF0000"/>
                <w:kern w:val="0"/>
                <w:szCs w:val="21"/>
              </w:rPr>
              <w:t>满足本项目标★的条款要求</w:t>
            </w:r>
          </w:p>
        </w:tc>
        <w:tc>
          <w:tcPr>
            <w:tcW w:w="1464" w:type="dxa"/>
          </w:tcPr>
          <w:p>
            <w:pPr>
              <w:adjustRightInd w:val="0"/>
              <w:snapToGrid w:val="0"/>
              <w:spacing w:line="360" w:lineRule="auto"/>
              <w:rPr>
                <w:rFonts w:ascii="宋体" w:hAnsi="宋体"/>
                <w:kern w:val="0"/>
                <w:szCs w:val="21"/>
              </w:rPr>
            </w:pPr>
          </w:p>
        </w:tc>
        <w:tc>
          <w:tcPr>
            <w:tcW w:w="1842" w:type="dxa"/>
          </w:tcPr>
          <w:p>
            <w:pPr>
              <w:adjustRightInd w:val="0"/>
              <w:snapToGrid w:val="0"/>
              <w:spacing w:line="360" w:lineRule="auto"/>
              <w:rPr>
                <w:rFonts w:ascii="宋体" w:hAnsi="宋体"/>
                <w:kern w:val="0"/>
                <w:szCs w:val="21"/>
              </w:rPr>
            </w:pPr>
          </w:p>
        </w:tc>
        <w:tc>
          <w:tcPr>
            <w:tcW w:w="1418" w:type="dxa"/>
          </w:tcPr>
          <w:p>
            <w:pPr>
              <w:adjustRightInd w:val="0"/>
              <w:snapToGrid w:val="0"/>
              <w:spacing w:line="360" w:lineRule="auto"/>
              <w:rPr>
                <w:rFonts w:ascii="宋体" w:hAnsi="宋体"/>
                <w:kern w:val="0"/>
                <w:szCs w:val="21"/>
              </w:rPr>
            </w:pPr>
          </w:p>
        </w:tc>
      </w:tr>
    </w:tbl>
    <w:p>
      <w:pPr>
        <w:ind w:firstLine="482" w:firstLineChars="200"/>
        <w:rPr>
          <w:b/>
          <w:sz w:val="24"/>
          <w:szCs w:val="22"/>
        </w:rPr>
      </w:pPr>
      <w:r>
        <w:rPr>
          <w:rFonts w:hint="eastAsia"/>
          <w:b/>
          <w:sz w:val="24"/>
          <w:szCs w:val="22"/>
        </w:rPr>
        <w:t>注：1.上表所列各项均为不可负偏离条款。</w:t>
      </w:r>
    </w:p>
    <w:p>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pPr>
        <w:ind w:firstLine="482" w:firstLineChars="200"/>
        <w:rPr>
          <w:b/>
          <w:sz w:val="24"/>
        </w:rPr>
      </w:pPr>
      <w:r>
        <w:rPr>
          <w:b/>
          <w:sz w:val="24"/>
        </w:rPr>
        <w:t>4.</w:t>
      </w:r>
      <w:r>
        <w:rPr>
          <w:rFonts w:hint="eastAsia"/>
          <w:b/>
          <w:sz w:val="24"/>
        </w:rPr>
        <w:t>评审委员会有权对投标响应情况作出判断（作出评审结论）。</w:t>
      </w:r>
    </w:p>
    <w:p>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pPr>
        <w:ind w:firstLine="482" w:firstLineChars="200"/>
        <w:rPr>
          <w:b/>
          <w:sz w:val="24"/>
          <w:szCs w:val="22"/>
        </w:rPr>
      </w:pPr>
      <w:r>
        <w:rPr>
          <w:rFonts w:hint="eastAsia"/>
          <w:b/>
          <w:sz w:val="24"/>
          <w:szCs w:val="22"/>
        </w:rPr>
        <w:t>6.要求提供证明资料，在“说明”一栏中列明证明资料的位置,以便评审；未要求提供证明材料的，投标人可以不提供。</w:t>
      </w:r>
    </w:p>
    <w:p>
      <w:pPr>
        <w:pStyle w:val="38"/>
        <w:sectPr>
          <w:pgSz w:w="11907" w:h="16840"/>
          <w:pgMar w:top="1440" w:right="1797" w:bottom="1440" w:left="1797" w:header="851" w:footer="992" w:gutter="0"/>
          <w:cols w:space="425" w:num="1"/>
          <w:titlePg/>
          <w:docGrid w:linePitch="462" w:charSpace="0"/>
        </w:sectPr>
      </w:pPr>
    </w:p>
    <w:p>
      <w:pPr>
        <w:pStyle w:val="4"/>
        <w:jc w:val="center"/>
        <w:rPr>
          <w:rFonts w:hint="eastAsia" w:ascii="黑体" w:hAnsi="宋体" w:eastAsia="黑体"/>
          <w:b w:val="0"/>
          <w:bCs w:val="0"/>
          <w:sz w:val="24"/>
          <w:szCs w:val="20"/>
          <w:lang w:val="en-US" w:eastAsia="zh-CN"/>
        </w:rPr>
      </w:pPr>
      <w:r>
        <w:rPr>
          <w:rFonts w:hint="eastAsia" w:ascii="黑体" w:hAnsi="宋体" w:eastAsia="黑体"/>
          <w:b w:val="0"/>
          <w:bCs w:val="0"/>
          <w:sz w:val="24"/>
          <w:szCs w:val="20"/>
          <w:lang w:val="en-US" w:eastAsia="zh-CN"/>
        </w:rPr>
        <w:t>五、服务方案；</w:t>
      </w:r>
    </w:p>
    <w:p>
      <w:pPr>
        <w:jc w:val="left"/>
        <w:outlineLvl w:val="9"/>
        <w:rPr>
          <w:rFonts w:hint="eastAsia" w:ascii="黑体" w:hAnsi="宋体" w:eastAsia="黑体"/>
          <w:b w:val="0"/>
          <w:bCs w:val="0"/>
          <w:sz w:val="24"/>
          <w:szCs w:val="20"/>
          <w:lang w:val="en-US" w:eastAsia="zh-CN"/>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pStyle w:val="4"/>
        <w:jc w:val="center"/>
        <w:rPr>
          <w:rFonts w:hint="eastAsia" w:ascii="黑体" w:hAnsi="宋体" w:eastAsia="黑体"/>
          <w:b w:val="0"/>
          <w:bCs w:val="0"/>
          <w:sz w:val="24"/>
          <w:szCs w:val="20"/>
          <w:lang w:val="en-US" w:eastAsia="zh-CN"/>
        </w:rPr>
      </w:pPr>
      <w:r>
        <w:rPr>
          <w:rFonts w:hint="eastAsia" w:ascii="黑体" w:hAnsi="宋体" w:eastAsia="黑体"/>
          <w:b w:val="0"/>
          <w:bCs w:val="0"/>
          <w:sz w:val="24"/>
          <w:szCs w:val="20"/>
          <w:lang w:val="en-US" w:eastAsia="zh-CN"/>
        </w:rPr>
        <w:t>六、质量（完成时间、安全、环保）保障措施及方案</w:t>
      </w:r>
    </w:p>
    <w:p>
      <w:pPr>
        <w:jc w:val="left"/>
        <w:outlineLvl w:val="9"/>
        <w:rPr>
          <w:rFonts w:hint="eastAsia" w:ascii="黑体" w:hAnsi="宋体" w:eastAsia="黑体"/>
          <w:b w:val="0"/>
          <w:bCs w:val="0"/>
          <w:sz w:val="24"/>
          <w:szCs w:val="20"/>
          <w:lang w:val="en-US" w:eastAsia="zh-CN"/>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jc w:val="center"/>
        <w:outlineLvl w:val="9"/>
        <w:rPr>
          <w:rFonts w:hint="eastAsia" w:ascii="黑体" w:hAnsi="宋体" w:eastAsia="黑体"/>
          <w:b w:val="0"/>
          <w:bCs w:val="0"/>
          <w:sz w:val="24"/>
          <w:szCs w:val="20"/>
          <w:lang w:val="en-US" w:eastAsia="zh-CN"/>
        </w:rPr>
      </w:pPr>
    </w:p>
    <w:p>
      <w:pPr>
        <w:pStyle w:val="4"/>
        <w:jc w:val="center"/>
        <w:rPr>
          <w:rFonts w:hint="eastAsia" w:ascii="黑体" w:hAnsi="宋体" w:eastAsia="黑体"/>
          <w:b w:val="0"/>
          <w:bCs w:val="0"/>
          <w:sz w:val="24"/>
          <w:szCs w:val="20"/>
          <w:lang w:val="en-US" w:eastAsia="zh-CN"/>
        </w:rPr>
      </w:pPr>
      <w:r>
        <w:rPr>
          <w:rFonts w:hint="eastAsia" w:ascii="黑体" w:hAnsi="宋体" w:eastAsia="黑体"/>
          <w:b w:val="0"/>
          <w:bCs w:val="0"/>
          <w:sz w:val="24"/>
          <w:szCs w:val="20"/>
          <w:lang w:val="en-US" w:eastAsia="zh-CN"/>
        </w:rPr>
        <w:t>七、拟安排的项目负责人情况（仅限一人）；</w:t>
      </w:r>
    </w:p>
    <w:p>
      <w:pPr>
        <w:jc w:val="left"/>
        <w:outlineLvl w:val="9"/>
        <w:rPr>
          <w:rFonts w:hint="eastAsia" w:ascii="黑体" w:hAnsi="宋体" w:eastAsia="黑体"/>
          <w:b w:val="0"/>
          <w:bCs w:val="0"/>
          <w:sz w:val="24"/>
          <w:szCs w:val="20"/>
          <w:lang w:val="en-US" w:eastAsia="zh-CN"/>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jc w:val="center"/>
        <w:outlineLvl w:val="9"/>
        <w:rPr>
          <w:rFonts w:hint="eastAsia" w:ascii="黑体" w:hAnsi="宋体" w:eastAsia="黑体"/>
          <w:b w:val="0"/>
          <w:bCs w:val="0"/>
          <w:sz w:val="24"/>
          <w:szCs w:val="20"/>
          <w:lang w:val="en-US" w:eastAsia="zh-CN"/>
        </w:rPr>
      </w:pPr>
    </w:p>
    <w:p>
      <w:pPr>
        <w:pStyle w:val="4"/>
        <w:jc w:val="center"/>
        <w:rPr>
          <w:rFonts w:hint="eastAsia" w:ascii="黑体" w:hAnsi="宋体" w:eastAsia="黑体"/>
          <w:b w:val="0"/>
          <w:bCs w:val="0"/>
          <w:sz w:val="24"/>
          <w:szCs w:val="20"/>
          <w:lang w:val="en-US" w:eastAsia="zh-CN"/>
        </w:rPr>
      </w:pPr>
      <w:r>
        <w:rPr>
          <w:rFonts w:hint="eastAsia" w:ascii="黑体" w:hAnsi="宋体" w:eastAsia="黑体"/>
          <w:b w:val="0"/>
          <w:bCs w:val="0"/>
          <w:sz w:val="24"/>
          <w:szCs w:val="20"/>
          <w:lang w:val="en-US" w:eastAsia="zh-CN"/>
        </w:rPr>
        <w:t>八、拟安排的项目主要团队成员情况（项目负责人除外）；</w:t>
      </w:r>
    </w:p>
    <w:p>
      <w:pPr>
        <w:jc w:val="left"/>
        <w:outlineLvl w:val="9"/>
        <w:rPr>
          <w:rFonts w:hint="eastAsia" w:ascii="黑体" w:hAnsi="宋体" w:eastAsia="黑体"/>
          <w:b w:val="0"/>
          <w:bCs w:val="0"/>
          <w:sz w:val="24"/>
          <w:szCs w:val="20"/>
          <w:lang w:val="en-US" w:eastAsia="zh-CN"/>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jc w:val="center"/>
        <w:outlineLvl w:val="9"/>
        <w:rPr>
          <w:rFonts w:hint="eastAsia" w:ascii="黑体" w:hAnsi="宋体" w:eastAsia="黑体"/>
          <w:b w:val="0"/>
          <w:bCs w:val="0"/>
          <w:sz w:val="24"/>
          <w:szCs w:val="20"/>
          <w:lang w:val="en-US" w:eastAsia="zh-CN"/>
        </w:rPr>
      </w:pPr>
    </w:p>
    <w:p>
      <w:pPr>
        <w:pStyle w:val="4"/>
        <w:jc w:val="center"/>
        <w:rPr>
          <w:rFonts w:hint="eastAsia" w:ascii="黑体" w:hAnsi="宋体" w:eastAsia="黑体"/>
          <w:b w:val="0"/>
          <w:bCs w:val="0"/>
          <w:sz w:val="24"/>
          <w:szCs w:val="20"/>
          <w:lang w:val="en-US" w:eastAsia="zh-CN"/>
        </w:rPr>
      </w:pPr>
      <w:r>
        <w:rPr>
          <w:rFonts w:hint="eastAsia" w:ascii="黑体" w:hAnsi="宋体" w:eastAsia="黑体"/>
          <w:b w:val="0"/>
          <w:bCs w:val="0"/>
          <w:sz w:val="24"/>
          <w:szCs w:val="20"/>
          <w:lang w:val="en-US" w:eastAsia="zh-CN"/>
        </w:rPr>
        <w:t>九、项目重点难点分析、应对措施及相关的合理化建议；</w:t>
      </w:r>
    </w:p>
    <w:p>
      <w:pPr>
        <w:jc w:val="left"/>
        <w:outlineLvl w:val="9"/>
        <w:rPr>
          <w:rFonts w:hint="eastAsia" w:ascii="黑体" w:hAnsi="宋体" w:eastAsia="黑体"/>
          <w:b w:val="0"/>
          <w:bCs w:val="0"/>
          <w:sz w:val="24"/>
          <w:szCs w:val="20"/>
          <w:lang w:val="en-US" w:eastAsia="zh-CN"/>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jc w:val="center"/>
        <w:outlineLvl w:val="9"/>
        <w:rPr>
          <w:rFonts w:hint="eastAsia" w:ascii="黑体" w:hAnsi="宋体" w:eastAsia="黑体"/>
          <w:b w:val="0"/>
          <w:bCs w:val="0"/>
          <w:sz w:val="24"/>
          <w:szCs w:val="20"/>
          <w:lang w:val="en-US" w:eastAsia="zh-CN"/>
        </w:rPr>
      </w:pPr>
    </w:p>
    <w:p>
      <w:pPr>
        <w:pStyle w:val="4"/>
        <w:jc w:val="center"/>
        <w:rPr>
          <w:rFonts w:hint="eastAsia" w:ascii="黑体" w:hAnsi="宋体" w:eastAsia="黑体"/>
          <w:b w:val="0"/>
          <w:bCs w:val="0"/>
          <w:sz w:val="24"/>
          <w:szCs w:val="20"/>
          <w:lang w:val="en-US" w:eastAsia="zh-CN"/>
        </w:rPr>
      </w:pPr>
      <w:r>
        <w:rPr>
          <w:rFonts w:hint="eastAsia" w:ascii="黑体" w:hAnsi="宋体" w:eastAsia="黑体"/>
          <w:b w:val="0"/>
          <w:bCs w:val="0"/>
          <w:sz w:val="24"/>
          <w:szCs w:val="20"/>
          <w:lang w:val="en-US" w:eastAsia="zh-CN"/>
        </w:rPr>
        <w:t>十、项目完成（服务期满）后的服务承诺；</w:t>
      </w:r>
    </w:p>
    <w:p>
      <w:pPr>
        <w:jc w:val="left"/>
        <w:outlineLvl w:val="9"/>
        <w:rPr>
          <w:rFonts w:hint="eastAsia" w:ascii="黑体" w:hAnsi="宋体" w:eastAsia="黑体"/>
          <w:b w:val="0"/>
          <w:bCs w:val="0"/>
          <w:sz w:val="24"/>
          <w:szCs w:val="20"/>
          <w:lang w:val="en-US" w:eastAsia="zh-CN"/>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jc w:val="center"/>
        <w:outlineLvl w:val="9"/>
        <w:rPr>
          <w:rFonts w:hint="eastAsia" w:ascii="黑体" w:hAnsi="宋体" w:eastAsia="黑体"/>
          <w:b w:val="0"/>
          <w:bCs w:val="0"/>
          <w:sz w:val="24"/>
          <w:szCs w:val="20"/>
          <w:lang w:val="en-US" w:eastAsia="zh-CN"/>
        </w:rPr>
      </w:pPr>
    </w:p>
    <w:p>
      <w:pPr>
        <w:pStyle w:val="4"/>
        <w:jc w:val="center"/>
        <w:rPr>
          <w:rFonts w:hint="eastAsia" w:ascii="黑体" w:hAnsi="宋体" w:eastAsia="黑体"/>
          <w:b w:val="0"/>
          <w:bCs w:val="0"/>
          <w:sz w:val="24"/>
          <w:szCs w:val="20"/>
          <w:lang w:val="en-US" w:eastAsia="zh-CN"/>
        </w:rPr>
      </w:pPr>
      <w:r>
        <w:rPr>
          <w:rFonts w:hint="eastAsia" w:ascii="黑体" w:hAnsi="宋体" w:eastAsia="黑体"/>
          <w:b w:val="0"/>
          <w:bCs w:val="0"/>
          <w:sz w:val="24"/>
          <w:szCs w:val="20"/>
          <w:lang w:val="en-US" w:eastAsia="zh-CN"/>
        </w:rPr>
        <w:t>十一、违约承诺；</w:t>
      </w:r>
    </w:p>
    <w:p>
      <w:pPr>
        <w:jc w:val="left"/>
        <w:outlineLvl w:val="9"/>
        <w:rPr>
          <w:rFonts w:hint="eastAsia" w:ascii="黑体" w:hAnsi="宋体" w:eastAsia="黑体"/>
          <w:b w:val="0"/>
          <w:bCs w:val="0"/>
          <w:sz w:val="24"/>
          <w:szCs w:val="20"/>
          <w:lang w:val="en-US" w:eastAsia="zh-CN"/>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jc w:val="center"/>
        <w:outlineLvl w:val="9"/>
        <w:rPr>
          <w:rFonts w:hint="eastAsia" w:ascii="黑体" w:eastAsia="黑体"/>
          <w:b w:val="0"/>
          <w:bCs w:val="0"/>
          <w:sz w:val="24"/>
          <w:szCs w:val="20"/>
          <w:lang w:val="en-US" w:eastAsia="zh-CN"/>
        </w:rPr>
      </w:pPr>
    </w:p>
    <w:p>
      <w:pPr>
        <w:pStyle w:val="4"/>
        <w:jc w:val="center"/>
        <w:rPr>
          <w:rFonts w:ascii="黑体" w:eastAsia="黑体"/>
          <w:b w:val="0"/>
          <w:bCs w:val="0"/>
          <w:sz w:val="24"/>
          <w:szCs w:val="20"/>
        </w:rPr>
      </w:pPr>
      <w:r>
        <w:rPr>
          <w:rFonts w:hint="eastAsia" w:ascii="黑体" w:eastAsia="黑体"/>
          <w:b w:val="0"/>
          <w:bCs w:val="0"/>
          <w:sz w:val="24"/>
          <w:szCs w:val="20"/>
          <w:lang w:val="en-US" w:eastAsia="zh-CN"/>
        </w:rPr>
        <w:t>十二</w:t>
      </w:r>
      <w:r>
        <w:rPr>
          <w:rFonts w:hint="eastAsia" w:ascii="黑体" w:eastAsia="黑体"/>
          <w:b w:val="0"/>
          <w:bCs w:val="0"/>
          <w:sz w:val="24"/>
          <w:szCs w:val="20"/>
        </w:rPr>
        <w:t>、</w:t>
      </w:r>
      <w:bookmarkStart w:id="45" w:name="_Hlk72062872"/>
      <w:r>
        <w:rPr>
          <w:rFonts w:hint="eastAsia" w:ascii="黑体" w:eastAsia="黑体"/>
          <w:b w:val="0"/>
          <w:bCs w:val="0"/>
          <w:sz w:val="24"/>
          <w:szCs w:val="20"/>
        </w:rPr>
        <w:t>投标人认为需要加以说明的其他内容</w:t>
      </w:r>
      <w:bookmarkEnd w:id="45"/>
    </w:p>
    <w:p>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pPr>
        <w:widowControl/>
        <w:jc w:val="center"/>
        <w:rPr>
          <w:rFonts w:ascii="黑体" w:hAnsi="宋体" w:eastAsia="黑体"/>
          <w:kern w:val="0"/>
          <w:sz w:val="24"/>
          <w:szCs w:val="20"/>
        </w:rPr>
      </w:pPr>
    </w:p>
    <w:p>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pPr>
        <w:spacing w:beforeLines="0" w:line="380" w:lineRule="exact"/>
        <w:ind w:firstLine="420" w:firstLineChars="200"/>
        <w:rPr>
          <w:color w:val="auto"/>
        </w:rPr>
      </w:pPr>
      <w:r>
        <w:rPr>
          <w:rFonts w:hint="eastAsia"/>
          <w:color w:val="auto"/>
        </w:rPr>
        <w:t>（三）项目负责人或者主要技术人员不是本单位人员的。</w:t>
      </w:r>
    </w:p>
    <w:p>
      <w:pPr>
        <w:spacing w:beforeLines="0" w:line="380" w:lineRule="exact"/>
        <w:ind w:firstLine="420" w:firstLineChars="200"/>
        <w:rPr>
          <w:color w:val="auto"/>
        </w:rPr>
      </w:pPr>
      <w:r>
        <w:rPr>
          <w:rFonts w:hint="eastAsia"/>
          <w:color w:val="auto"/>
        </w:rPr>
        <w:t>（四）投标保证金不是从投标供应商基本账户转出的。</w:t>
      </w:r>
    </w:p>
    <w:p>
      <w:pPr>
        <w:spacing w:beforeLines="0" w:line="380" w:lineRule="exact"/>
        <w:ind w:firstLine="420" w:firstLineChars="200"/>
        <w:rPr>
          <w:color w:val="auto"/>
        </w:rPr>
      </w:pPr>
      <w:r>
        <w:rPr>
          <w:rFonts w:hint="eastAsia"/>
          <w:color w:val="auto"/>
        </w:rPr>
        <w:t>（五）其他隐瞒真实情况、提供虚假资料的行为。</w:t>
      </w:r>
    </w:p>
    <w:p>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pPr>
        <w:spacing w:beforeLines="0" w:line="380" w:lineRule="exact"/>
        <w:ind w:firstLine="420" w:firstLineChars="200"/>
        <w:rPr>
          <w:color w:val="auto"/>
        </w:rPr>
      </w:pPr>
      <w:r>
        <w:rPr>
          <w:rFonts w:hint="eastAsia"/>
          <w:color w:val="auto"/>
        </w:rPr>
        <w:t>（一）投标供应商之间相互约定给予未中标的供应商利益补偿。</w:t>
      </w:r>
    </w:p>
    <w:p>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pPr>
        <w:spacing w:beforeLines="0" w:line="340" w:lineRule="exact"/>
        <w:ind w:firstLine="420" w:firstLineChars="200"/>
        <w:rPr>
          <w:color w:val="auto"/>
        </w:rPr>
      </w:pPr>
      <w:r>
        <w:rPr>
          <w:rFonts w:hint="eastAsia"/>
          <w:color w:val="auto"/>
        </w:rPr>
        <w:t>（四）不同投标供应商的投标文件或部分投标文件相互混装。</w:t>
      </w:r>
    </w:p>
    <w:p>
      <w:pPr>
        <w:spacing w:beforeLines="0" w:line="340" w:lineRule="exact"/>
        <w:ind w:firstLine="420" w:firstLineChars="200"/>
        <w:rPr>
          <w:color w:val="auto"/>
        </w:rPr>
      </w:pPr>
      <w:r>
        <w:rPr>
          <w:rFonts w:hint="eastAsia"/>
          <w:color w:val="auto"/>
        </w:rPr>
        <w:t>（五）不同投标供应商的投标文件内容存在非正常一致。</w:t>
      </w:r>
    </w:p>
    <w:p>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pPr>
        <w:spacing w:beforeLines="0" w:line="340" w:lineRule="exact"/>
        <w:ind w:firstLine="420" w:firstLineChars="200"/>
        <w:rPr>
          <w:color w:val="auto"/>
        </w:rPr>
      </w:pPr>
      <w:r>
        <w:rPr>
          <w:rFonts w:hint="eastAsia"/>
          <w:color w:val="auto"/>
        </w:rPr>
        <w:t>（七）不同投标人的投标报价呈规律性差异。</w:t>
      </w:r>
    </w:p>
    <w:p>
      <w:pPr>
        <w:spacing w:beforeLines="0" w:line="340" w:lineRule="exact"/>
        <w:ind w:firstLine="420" w:firstLineChars="200"/>
        <w:rPr>
          <w:color w:val="auto"/>
        </w:rPr>
      </w:pPr>
      <w:r>
        <w:rPr>
          <w:rFonts w:hint="eastAsia"/>
          <w:color w:val="auto"/>
        </w:rPr>
        <w:t>（八）不同投标人的投标保证金从同一单位或者个人的账户转出。</w:t>
      </w:r>
    </w:p>
    <w:p>
      <w:pPr>
        <w:spacing w:beforeLines="0" w:line="340" w:lineRule="exact"/>
        <w:ind w:firstLine="420" w:firstLineChars="200"/>
        <w:rPr>
          <w:color w:val="auto"/>
        </w:rPr>
      </w:pPr>
      <w:r>
        <w:rPr>
          <w:rFonts w:hint="eastAsia"/>
          <w:color w:val="auto"/>
        </w:rPr>
        <w:t>（九）主管部门依照法律、法规认定的其他情形。</w:t>
      </w:r>
    </w:p>
    <w:p>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pPr>
              <w:autoSpaceDE w:val="0"/>
              <w:autoSpaceDN w:val="0"/>
              <w:spacing w:line="400" w:lineRule="exact"/>
              <w:ind w:firstLine="1866"/>
              <w:rPr>
                <w:rFonts w:ascii="宋体" w:hAnsi="宋体" w:eastAsiaTheme="minorEastAsia"/>
                <w:spacing w:val="-4"/>
                <w:kern w:val="0"/>
                <w:szCs w:val="21"/>
              </w:rPr>
            </w:pPr>
          </w:p>
        </w:tc>
      </w:tr>
    </w:tbl>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pPr>
        <w:widowControl/>
        <w:autoSpaceDE w:val="0"/>
        <w:autoSpaceDN w:val="0"/>
        <w:spacing w:line="400" w:lineRule="exact"/>
        <w:ind w:firstLine="406" w:firstLineChars="200"/>
        <w:jc w:val="left"/>
        <w:rPr>
          <w:rFonts w:hint="eastAsia" w:ascii="宋体" w:hAnsi="宋体" w:eastAsiaTheme="minorEastAsia"/>
          <w:b/>
          <w:bCs/>
          <w:color w:val="FF0000"/>
          <w:spacing w:val="-4"/>
          <w:kern w:val="0"/>
          <w:szCs w:val="21"/>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r>
        <w:rPr>
          <w:rFonts w:hint="eastAsia" w:ascii="宋体" w:hAnsi="宋体" w:eastAsiaTheme="minorEastAsia"/>
          <w:b/>
          <w:bCs/>
          <w:color w:val="FF0000"/>
          <w:spacing w:val="-4"/>
          <w:kern w:val="0"/>
          <w:szCs w:val="21"/>
        </w:rPr>
        <w:t xml:space="preserve">     </w:t>
      </w:r>
    </w:p>
    <w:p>
      <w:pPr>
        <w:widowControl/>
        <w:autoSpaceDE w:val="0"/>
        <w:autoSpaceDN w:val="0"/>
        <w:spacing w:line="400" w:lineRule="exact"/>
        <w:ind w:right="1414" w:firstLine="480" w:firstLineChars="200"/>
        <w:jc w:val="right"/>
        <w:rPr>
          <w:rFonts w:eastAsiaTheme="minorEastAsia"/>
          <w:kern w:val="0"/>
          <w:sz w:val="24"/>
        </w:rPr>
      </w:pPr>
    </w:p>
    <w:p>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关于政府采购订单融资政策</w:t>
      </w:r>
    </w:p>
    <w:p>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pPr>
        <w:widowControl/>
        <w:autoSpaceDE w:val="0"/>
        <w:autoSpaceDN w:val="0"/>
        <w:spacing w:line="400" w:lineRule="exact"/>
        <w:ind w:right="1414" w:firstLine="480" w:firstLineChars="200"/>
        <w:jc w:val="right"/>
        <w:rPr>
          <w:rFonts w:eastAsiaTheme="minorEastAsia"/>
          <w:kern w:val="0"/>
          <w:sz w:val="24"/>
        </w:rPr>
      </w:pPr>
    </w:p>
    <w:p>
      <w:pPr>
        <w:widowControl/>
        <w:autoSpaceDE w:val="0"/>
        <w:autoSpaceDN w:val="0"/>
        <w:spacing w:line="400" w:lineRule="exact"/>
        <w:ind w:right="1414" w:firstLine="480" w:firstLineChars="200"/>
        <w:jc w:val="right"/>
        <w:rPr>
          <w:rFonts w:eastAsiaTheme="minorEastAsia"/>
          <w:kern w:val="0"/>
          <w:sz w:val="24"/>
        </w:rPr>
      </w:pPr>
    </w:p>
    <w:p>
      <w:pPr>
        <w:ind w:firstLine="720" w:firstLineChars="300"/>
        <w:rPr>
          <w:sz w:val="24"/>
        </w:rPr>
      </w:pPr>
    </w:p>
    <w:p>
      <w:pPr>
        <w:widowControl/>
        <w:spacing w:line="360" w:lineRule="auto"/>
        <w:jc w:val="left"/>
        <w:rPr>
          <w:rFonts w:eastAsiaTheme="minorEastAsia"/>
          <w:b/>
          <w:bCs/>
          <w:kern w:val="0"/>
          <w:sz w:val="24"/>
        </w:rPr>
      </w:pPr>
    </w:p>
    <w:p>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p>
      <w:pPr>
        <w:pStyle w:val="9"/>
        <w:sectPr>
          <w:pgSz w:w="11907" w:h="16840"/>
          <w:pgMar w:top="1440" w:right="1797" w:bottom="1440" w:left="1797" w:header="851" w:footer="992" w:gutter="0"/>
          <w:cols w:space="425" w:num="1"/>
          <w:titlePg/>
          <w:docGrid w:linePitch="462" w:charSpace="0"/>
        </w:sectPr>
      </w:pPr>
    </w:p>
    <w:p>
      <w:pPr>
        <w:pStyle w:val="9"/>
      </w:pPr>
    </w:p>
    <w:p>
      <w:pPr>
        <w:pStyle w:val="6"/>
        <w:jc w:val="center"/>
        <w:outlineLvl w:val="2"/>
      </w:pPr>
      <w:r>
        <w:rPr>
          <w:rFonts w:hint="eastAsia"/>
        </w:rPr>
        <w:t>第五章  合同条款及格式</w:t>
      </w:r>
    </w:p>
    <w:p>
      <w:pPr>
        <w:ind w:firstLine="411" w:firstLineChars="196"/>
      </w:pPr>
    </w:p>
    <w:p>
      <w:pPr>
        <w:jc w:val="center"/>
        <w:outlineLvl w:val="9"/>
      </w:pPr>
      <w:r>
        <w:rPr>
          <w:rFonts w:hint="eastAsia"/>
          <w:b/>
          <w:sz w:val="24"/>
        </w:rPr>
        <w:t>（仅供参考，具体以项目需求及采购结果为准）</w:t>
      </w:r>
    </w:p>
    <w:p>
      <w:pPr>
        <w:rPr>
          <w:rFonts w:ascii="宋体" w:hAnsi="宋体"/>
          <w:b/>
          <w:bCs/>
          <w:szCs w:val="21"/>
        </w:rPr>
      </w:pPr>
      <w:r>
        <w:rPr>
          <w:rFonts w:hint="eastAsia" w:ascii="宋体" w:hAnsi="宋体"/>
          <w:b/>
          <w:bCs/>
          <w:szCs w:val="21"/>
        </w:rPr>
        <w:t>甲方：</w:t>
      </w:r>
    </w:p>
    <w:p>
      <w:pPr>
        <w:rPr>
          <w:rFonts w:ascii="宋体" w:hAnsi="宋体"/>
          <w:szCs w:val="21"/>
        </w:rPr>
      </w:pPr>
      <w:r>
        <w:rPr>
          <w:rFonts w:hint="eastAsia" w:ascii="宋体" w:hAnsi="宋体"/>
          <w:szCs w:val="21"/>
        </w:rPr>
        <w:t>地址：</w:t>
      </w:r>
    </w:p>
    <w:p>
      <w:pPr>
        <w:rPr>
          <w:rFonts w:ascii="宋体" w:hAnsi="宋体"/>
          <w:szCs w:val="21"/>
        </w:rPr>
      </w:pPr>
      <w:r>
        <w:rPr>
          <w:rFonts w:hint="eastAsia" w:ascii="宋体" w:hAnsi="宋体"/>
          <w:szCs w:val="21"/>
        </w:rPr>
        <w:t>联系人：</w:t>
      </w:r>
      <w:r>
        <w:rPr>
          <w:rFonts w:ascii="宋体" w:hAnsi="宋体"/>
          <w:szCs w:val="21"/>
        </w:rPr>
        <w:t xml:space="preserve">                          </w:t>
      </w:r>
    </w:p>
    <w:p>
      <w:pPr>
        <w:rPr>
          <w:rFonts w:ascii="宋体" w:hAnsi="宋体"/>
          <w:b/>
          <w:bCs/>
          <w:szCs w:val="21"/>
        </w:rPr>
      </w:pPr>
      <w:r>
        <w:rPr>
          <w:rFonts w:hint="eastAsia" w:ascii="宋体" w:hAnsi="宋体"/>
          <w:szCs w:val="21"/>
        </w:rPr>
        <w:t>联系电话：</w:t>
      </w:r>
    </w:p>
    <w:p>
      <w:pPr>
        <w:rPr>
          <w:rFonts w:ascii="宋体" w:hAnsi="宋体"/>
          <w:b/>
          <w:bCs/>
          <w:szCs w:val="21"/>
        </w:rPr>
      </w:pPr>
      <w:r>
        <w:rPr>
          <w:rFonts w:ascii="宋体" w:hAnsi="宋体"/>
          <w:b/>
          <w:bCs/>
          <w:szCs w:val="21"/>
        </w:rPr>
        <w:t xml:space="preserve"> </w:t>
      </w:r>
      <w:r>
        <w:rPr>
          <w:rFonts w:hint="eastAsia" w:ascii="宋体" w:hAnsi="宋体"/>
          <w:b/>
          <w:bCs/>
          <w:szCs w:val="21"/>
        </w:rPr>
        <w:t xml:space="preserve"> </w:t>
      </w:r>
      <w:r>
        <w:rPr>
          <w:rFonts w:ascii="宋体" w:hAnsi="宋体"/>
          <w:b/>
          <w:bCs/>
          <w:szCs w:val="21"/>
        </w:rPr>
        <w:t xml:space="preserve"> </w:t>
      </w:r>
    </w:p>
    <w:p>
      <w:pPr>
        <w:rPr>
          <w:rFonts w:ascii="宋体" w:hAnsi="宋体"/>
          <w:b/>
          <w:bCs/>
          <w:szCs w:val="21"/>
        </w:rPr>
      </w:pPr>
      <w:r>
        <w:rPr>
          <w:rFonts w:hint="eastAsia" w:ascii="宋体" w:hAnsi="宋体"/>
          <w:b/>
          <w:bCs/>
          <w:szCs w:val="21"/>
        </w:rPr>
        <w:t>乙方：</w:t>
      </w:r>
    </w:p>
    <w:p>
      <w:pPr>
        <w:rPr>
          <w:rFonts w:ascii="宋体" w:hAnsi="宋体"/>
          <w:szCs w:val="21"/>
        </w:rPr>
      </w:pPr>
      <w:r>
        <w:rPr>
          <w:rFonts w:hint="eastAsia" w:ascii="宋体" w:hAnsi="宋体"/>
          <w:szCs w:val="21"/>
        </w:rPr>
        <w:t>地址：</w:t>
      </w:r>
    </w:p>
    <w:p>
      <w:pPr>
        <w:rPr>
          <w:rFonts w:ascii="宋体" w:hAnsi="宋体"/>
          <w:szCs w:val="21"/>
        </w:rPr>
      </w:pPr>
      <w:r>
        <w:rPr>
          <w:rFonts w:hint="eastAsia" w:ascii="宋体" w:hAnsi="宋体"/>
          <w:szCs w:val="21"/>
        </w:rPr>
        <w:t>联系人：</w:t>
      </w:r>
      <w:r>
        <w:rPr>
          <w:rFonts w:ascii="宋体" w:hAnsi="宋体"/>
          <w:szCs w:val="21"/>
        </w:rPr>
        <w:t xml:space="preserve">                          </w:t>
      </w:r>
    </w:p>
    <w:p>
      <w:pPr>
        <w:rPr>
          <w:rFonts w:ascii="宋体" w:hAnsi="宋体"/>
          <w:b/>
          <w:bCs/>
          <w:szCs w:val="21"/>
        </w:rPr>
      </w:pPr>
      <w:r>
        <w:rPr>
          <w:rFonts w:hint="eastAsia" w:ascii="宋体" w:hAnsi="宋体"/>
          <w:szCs w:val="21"/>
        </w:rPr>
        <w:t>联系电话：</w:t>
      </w:r>
    </w:p>
    <w:p>
      <w:pPr>
        <w:rPr>
          <w:rFonts w:ascii="宋体" w:hAnsi="宋体"/>
          <w:szCs w:val="21"/>
        </w:rPr>
      </w:pPr>
      <w:r>
        <w:rPr>
          <w:rFonts w:ascii="宋体" w:hAnsi="宋体"/>
          <w:b/>
          <w:bCs/>
          <w:szCs w:val="21"/>
        </w:rPr>
        <w:t xml:space="preserve">            </w:t>
      </w:r>
      <w:r>
        <w:rPr>
          <w:rFonts w:hint="eastAsia" w:ascii="宋体" w:hAnsi="宋体"/>
          <w:b/>
          <w:bCs/>
          <w:szCs w:val="21"/>
        </w:rPr>
        <w:t xml:space="preserve">          </w:t>
      </w:r>
    </w:p>
    <w:p>
      <w:pPr>
        <w:rPr>
          <w:rFonts w:ascii="宋体" w:hAnsi="宋体"/>
          <w:szCs w:val="21"/>
        </w:rPr>
      </w:pPr>
    </w:p>
    <w:p>
      <w:pPr>
        <w:ind w:firstLine="420" w:firstLineChars="200"/>
        <w:rPr>
          <w:rFonts w:ascii="宋体" w:hAnsi="宋体"/>
          <w:szCs w:val="21"/>
        </w:rPr>
      </w:pPr>
      <w:r>
        <w:rPr>
          <w:rFonts w:hint="eastAsia" w:ascii="宋体" w:hAnsi="宋体"/>
          <w:szCs w:val="21"/>
        </w:rPr>
        <w:t>根据深圳公共资源交易中心（</w:t>
      </w:r>
      <w:r>
        <w:rPr>
          <w:rFonts w:hint="eastAsia" w:ascii="宋体" w:hAnsi="宋体"/>
          <w:szCs w:val="21"/>
          <w:lang w:eastAsia="zh-CN"/>
        </w:rPr>
        <w:t>深圳交易集团有限公司宝安分公司</w:t>
      </w:r>
      <w:r>
        <w:rPr>
          <w:rFonts w:hint="eastAsia" w:ascii="宋体" w:hAnsi="宋体"/>
          <w:szCs w:val="21"/>
        </w:rPr>
        <w:t>）*</w:t>
      </w:r>
      <w:r>
        <w:rPr>
          <w:rFonts w:ascii="宋体" w:hAnsi="宋体"/>
          <w:szCs w:val="21"/>
        </w:rPr>
        <w:t>**</w:t>
      </w:r>
      <w:r>
        <w:rPr>
          <w:rFonts w:hint="eastAsia" w:ascii="宋体" w:hAnsi="宋体"/>
          <w:szCs w:val="21"/>
        </w:rPr>
        <w:t>号项目结果，*</w:t>
      </w:r>
      <w:r>
        <w:rPr>
          <w:rFonts w:ascii="宋体" w:hAnsi="宋体"/>
          <w:szCs w:val="21"/>
        </w:rPr>
        <w:t>**</w:t>
      </w:r>
      <w:r>
        <w:rPr>
          <w:rFonts w:hint="eastAsia" w:ascii="宋体" w:hAnsi="宋体"/>
          <w:szCs w:val="21"/>
        </w:rPr>
        <w:t>单位为中标人。按照《中华人民共和国民法典》（第三编 合同）》和《深圳经济特区政府采购条例》，经深圳市（以下简称甲方）和单位（以下简称乙方）协商，就甲方委托乙方承担</w:t>
      </w:r>
      <w:r>
        <w:rPr>
          <w:rFonts w:hint="eastAsia" w:ascii="宋体" w:hAnsi="宋体"/>
          <w:b/>
          <w:bCs/>
          <w:snapToGrid w:val="0"/>
          <w:kern w:val="0"/>
          <w:szCs w:val="21"/>
          <w:u w:val="single"/>
          <w:lang w:val="zh-CN"/>
        </w:rPr>
        <w:t xml:space="preserve">                      服务项目</w:t>
      </w:r>
      <w:r>
        <w:rPr>
          <w:rFonts w:hint="eastAsia" w:ascii="宋体" w:hAnsi="宋体"/>
          <w:szCs w:val="21"/>
        </w:rPr>
        <w:t>，达成以下合同条款：</w:t>
      </w:r>
    </w:p>
    <w:p>
      <w:pPr>
        <w:ind w:firstLine="422" w:firstLineChars="200"/>
        <w:rPr>
          <w:rFonts w:ascii="宋体" w:hAnsi="宋体"/>
          <w:b/>
          <w:bCs/>
          <w:szCs w:val="21"/>
        </w:rPr>
      </w:pPr>
      <w:r>
        <w:rPr>
          <w:rFonts w:hint="eastAsia" w:ascii="宋体" w:hAnsi="宋体"/>
          <w:b/>
          <w:bCs/>
          <w:szCs w:val="21"/>
        </w:rPr>
        <w:t>第一条　项目概况</w:t>
      </w:r>
    </w:p>
    <w:p>
      <w:pPr>
        <w:ind w:firstLine="420" w:firstLineChars="200"/>
        <w:rPr>
          <w:rFonts w:ascii="宋体" w:hAnsi="宋体"/>
          <w:szCs w:val="21"/>
        </w:rPr>
      </w:pPr>
      <w:r>
        <w:rPr>
          <w:rFonts w:hint="eastAsia" w:ascii="宋体" w:hAnsi="宋体"/>
          <w:szCs w:val="21"/>
        </w:rPr>
        <w:t xml:space="preserve">项目名称： </w:t>
      </w:r>
    </w:p>
    <w:p>
      <w:pPr>
        <w:ind w:firstLine="420" w:firstLineChars="200"/>
        <w:rPr>
          <w:rFonts w:ascii="宋体" w:hAnsi="宋体"/>
          <w:szCs w:val="21"/>
        </w:rPr>
      </w:pPr>
      <w:r>
        <w:rPr>
          <w:rFonts w:hint="eastAsia" w:ascii="宋体" w:hAnsi="宋体"/>
          <w:szCs w:val="21"/>
        </w:rPr>
        <w:t xml:space="preserve">项目内容： </w:t>
      </w:r>
    </w:p>
    <w:p>
      <w:pPr>
        <w:ind w:firstLine="420" w:firstLineChars="200"/>
        <w:rPr>
          <w:rFonts w:ascii="宋体" w:hAnsi="宋体"/>
          <w:szCs w:val="21"/>
        </w:rPr>
      </w:pPr>
      <w:r>
        <w:rPr>
          <w:rFonts w:hint="eastAsia" w:ascii="宋体" w:hAnsi="宋体"/>
          <w:szCs w:val="21"/>
        </w:rPr>
        <w:t xml:space="preserve">服务时间： </w:t>
      </w:r>
    </w:p>
    <w:p>
      <w:pPr>
        <w:ind w:firstLine="420" w:firstLineChars="200"/>
        <w:rPr>
          <w:rFonts w:ascii="宋体" w:hAnsi="宋体"/>
          <w:szCs w:val="21"/>
        </w:rPr>
      </w:pPr>
      <w:r>
        <w:rPr>
          <w:rFonts w:hint="eastAsia" w:ascii="宋体" w:hAnsi="宋体"/>
          <w:szCs w:val="21"/>
        </w:rPr>
        <w:t>合同价款：合同总价为元，含一切税、费。</w:t>
      </w:r>
      <w:r>
        <w:t>本合同总价包括</w:t>
      </w:r>
      <w:r>
        <w:rPr>
          <w:rFonts w:hint="eastAsia" w:ascii="宋体" w:hAnsi="宋体"/>
          <w:szCs w:val="21"/>
        </w:rPr>
        <w:t>乙方为实施本项目*</w:t>
      </w:r>
      <w:r>
        <w:rPr>
          <w:rFonts w:ascii="宋体" w:hAnsi="宋体"/>
          <w:szCs w:val="21"/>
        </w:rPr>
        <w:t>**</w:t>
      </w:r>
      <w:r>
        <w:rPr>
          <w:rFonts w:hint="eastAsia" w:ascii="宋体" w:hAnsi="宋体"/>
          <w:szCs w:val="21"/>
        </w:rPr>
        <w:t>所需的设备仪器费、车辆租赁费、</w:t>
      </w:r>
      <w:r>
        <w:t>服务</w:t>
      </w:r>
      <w:r>
        <w:rPr>
          <w:rFonts w:hint="eastAsia"/>
        </w:rPr>
        <w:t>和</w:t>
      </w:r>
      <w:r>
        <w:t>技术费用</w:t>
      </w:r>
      <w:r>
        <w:rPr>
          <w:rFonts w:hint="eastAsia"/>
        </w:rPr>
        <w:t>等</w:t>
      </w:r>
      <w:r>
        <w:t>，为固定不变价格，且不随通货膨胀的影响而波动。合同总价包括</w:t>
      </w:r>
      <w:r>
        <w:rPr>
          <w:rFonts w:hint="eastAsia" w:ascii="宋体" w:hAnsi="宋体"/>
          <w:szCs w:val="21"/>
        </w:rPr>
        <w:t>乙方</w:t>
      </w:r>
      <w:r>
        <w:t>履行本合同义务所发生的一切费用和支出和以各种方式寄送技术资料到</w:t>
      </w:r>
      <w:r>
        <w:rPr>
          <w:rFonts w:hint="eastAsia"/>
        </w:rPr>
        <w:t>甲</w:t>
      </w:r>
      <w:r>
        <w:t>方办公室所发生的费用。</w:t>
      </w:r>
    </w:p>
    <w:p>
      <w:pPr>
        <w:pStyle w:val="2"/>
        <w:rPr>
          <w:rFonts w:ascii="宋体" w:hAnsi="宋体"/>
          <w:szCs w:val="21"/>
        </w:rPr>
      </w:pPr>
      <w:r>
        <w:rPr>
          <w:rFonts w:hint="eastAsia" w:ascii="宋体" w:hAnsi="宋体"/>
          <w:szCs w:val="21"/>
        </w:rPr>
        <w:t>支付方式：分期支付。</w:t>
      </w:r>
    </w:p>
    <w:p>
      <w:pPr>
        <w:ind w:firstLine="422" w:firstLineChars="200"/>
        <w:rPr>
          <w:rFonts w:ascii="宋体" w:hAnsi="宋体"/>
          <w:b/>
          <w:bCs/>
          <w:szCs w:val="21"/>
        </w:rPr>
      </w:pPr>
      <w:r>
        <w:rPr>
          <w:rFonts w:hint="eastAsia" w:ascii="宋体" w:hAnsi="宋体"/>
          <w:b/>
          <w:bCs/>
          <w:szCs w:val="21"/>
        </w:rPr>
        <w:t>第二条  服务范围</w:t>
      </w:r>
    </w:p>
    <w:p>
      <w:pPr>
        <w:ind w:firstLine="420" w:firstLineChars="200"/>
        <w:rPr>
          <w:rFonts w:ascii="宋体" w:hAnsi="宋体"/>
          <w:szCs w:val="21"/>
        </w:rPr>
      </w:pPr>
      <w:r>
        <w:rPr>
          <w:rFonts w:hint="eastAsia" w:ascii="宋体" w:hAnsi="宋体"/>
          <w:szCs w:val="21"/>
        </w:rPr>
        <w:t xml:space="preserve">1、  </w:t>
      </w:r>
    </w:p>
    <w:p>
      <w:pPr>
        <w:ind w:firstLine="420" w:firstLineChars="200"/>
        <w:rPr>
          <w:rFonts w:ascii="宋体" w:hAnsi="宋体"/>
          <w:szCs w:val="21"/>
        </w:rPr>
      </w:pPr>
      <w:r>
        <w:rPr>
          <w:rFonts w:hint="eastAsia" w:ascii="宋体" w:hAnsi="宋体"/>
          <w:szCs w:val="21"/>
        </w:rPr>
        <w:t xml:space="preserve">2、  </w:t>
      </w:r>
    </w:p>
    <w:p>
      <w:pPr>
        <w:ind w:firstLine="420" w:firstLineChars="200"/>
        <w:rPr>
          <w:rFonts w:ascii="宋体" w:hAnsi="宋体"/>
          <w:szCs w:val="21"/>
        </w:rPr>
      </w:pPr>
      <w:r>
        <w:rPr>
          <w:rFonts w:hint="eastAsia" w:ascii="宋体" w:hAnsi="宋体"/>
          <w:szCs w:val="21"/>
        </w:rPr>
        <w:t xml:space="preserve">3、  </w:t>
      </w:r>
    </w:p>
    <w:p>
      <w:pPr>
        <w:ind w:firstLine="420" w:firstLineChars="200"/>
        <w:rPr>
          <w:rFonts w:ascii="宋体" w:hAnsi="宋体"/>
          <w:szCs w:val="21"/>
        </w:rPr>
      </w:pPr>
      <w:r>
        <w:rPr>
          <w:rFonts w:hint="eastAsia" w:ascii="宋体" w:hAnsi="宋体"/>
          <w:szCs w:val="21"/>
        </w:rPr>
        <w:t>4、 其他合同未明示的相关工作。</w:t>
      </w:r>
    </w:p>
    <w:p>
      <w:pPr>
        <w:ind w:firstLine="422" w:firstLineChars="200"/>
        <w:rPr>
          <w:rFonts w:ascii="宋体" w:hAnsi="宋体"/>
          <w:b/>
          <w:bCs/>
          <w:szCs w:val="21"/>
        </w:rPr>
      </w:pPr>
      <w:r>
        <w:rPr>
          <w:rFonts w:hint="eastAsia" w:ascii="宋体" w:hAnsi="宋体"/>
          <w:b/>
          <w:bCs/>
          <w:szCs w:val="21"/>
        </w:rPr>
        <w:t>第三条  时间要求及阶段成果</w:t>
      </w:r>
    </w:p>
    <w:p>
      <w:pPr>
        <w:ind w:firstLine="420" w:firstLineChars="200"/>
        <w:rPr>
          <w:rFonts w:ascii="宋体" w:hAnsi="宋体"/>
          <w:szCs w:val="21"/>
        </w:rPr>
      </w:pPr>
      <w:r>
        <w:rPr>
          <w:rFonts w:hint="eastAsia" w:ascii="宋体" w:hAnsi="宋体"/>
          <w:szCs w:val="21"/>
        </w:rPr>
        <w:t>1、合同签订天内完成项目实施的准备工作，包括工作大纲和试验细则的编制；</w:t>
      </w:r>
    </w:p>
    <w:p>
      <w:pPr>
        <w:ind w:firstLine="420" w:firstLineChars="200"/>
        <w:rPr>
          <w:rFonts w:ascii="宋体" w:hAnsi="宋体"/>
          <w:szCs w:val="21"/>
        </w:rPr>
      </w:pPr>
      <w:r>
        <w:rPr>
          <w:rFonts w:hint="eastAsia" w:ascii="宋体" w:hAnsi="宋体"/>
          <w:szCs w:val="21"/>
        </w:rPr>
        <w:t xml:space="preserve">2、 </w:t>
      </w:r>
    </w:p>
    <w:p>
      <w:pPr>
        <w:ind w:firstLine="420" w:firstLineChars="200"/>
        <w:rPr>
          <w:rFonts w:ascii="宋体" w:hAnsi="宋体"/>
          <w:szCs w:val="21"/>
        </w:rPr>
      </w:pPr>
      <w:r>
        <w:rPr>
          <w:rFonts w:hint="eastAsia" w:ascii="宋体" w:hAnsi="宋体"/>
          <w:szCs w:val="21"/>
        </w:rPr>
        <w:t>3、</w:t>
      </w:r>
    </w:p>
    <w:p>
      <w:pPr>
        <w:ind w:firstLine="420" w:firstLineChars="200"/>
        <w:rPr>
          <w:rFonts w:ascii="宋体" w:hAnsi="宋体"/>
          <w:szCs w:val="21"/>
        </w:rPr>
      </w:pPr>
      <w:r>
        <w:rPr>
          <w:rFonts w:hint="eastAsia" w:ascii="宋体" w:hAnsi="宋体"/>
          <w:szCs w:val="21"/>
        </w:rPr>
        <w:t>4、</w:t>
      </w:r>
    </w:p>
    <w:p>
      <w:pPr>
        <w:ind w:firstLine="422" w:firstLineChars="200"/>
        <w:rPr>
          <w:rFonts w:ascii="宋体" w:hAnsi="宋体"/>
          <w:b/>
          <w:bCs/>
          <w:szCs w:val="21"/>
        </w:rPr>
      </w:pPr>
      <w:r>
        <w:rPr>
          <w:rFonts w:hint="eastAsia" w:ascii="宋体" w:hAnsi="宋体"/>
          <w:b/>
          <w:bCs/>
          <w:szCs w:val="21"/>
        </w:rPr>
        <w:t>第四条  服务资料归属</w:t>
      </w:r>
    </w:p>
    <w:p>
      <w:pPr>
        <w:ind w:firstLine="420" w:firstLineChars="200"/>
      </w:pPr>
      <w:r>
        <w:t>1</w:t>
      </w:r>
      <w:r>
        <w:rPr>
          <w:rFonts w:hint="eastAsia"/>
        </w:rPr>
        <w:t>、</w:t>
      </w:r>
      <w:r>
        <w:t>所有提交给</w:t>
      </w:r>
      <w:r>
        <w:rPr>
          <w:rFonts w:hint="eastAsia"/>
        </w:rPr>
        <w:t>甲</w:t>
      </w:r>
      <w:r>
        <w:t>方的服务</w:t>
      </w:r>
      <w:r>
        <w:rPr>
          <w:rFonts w:hint="eastAsia"/>
        </w:rPr>
        <w:t>文件</w:t>
      </w:r>
      <w:r>
        <w:t>及相关的资料的最后文本，包括为履行技术服务范围所编制的图纸、计划和证明资料等，都属于</w:t>
      </w:r>
      <w:r>
        <w:rPr>
          <w:rFonts w:hint="eastAsia"/>
        </w:rPr>
        <w:t>甲</w:t>
      </w:r>
      <w:r>
        <w:t>方的财产，</w:t>
      </w:r>
      <w:r>
        <w:rPr>
          <w:rFonts w:hint="eastAsia" w:ascii="宋体" w:hAnsi="宋体"/>
          <w:szCs w:val="21"/>
        </w:rPr>
        <w:t>乙</w:t>
      </w:r>
      <w:r>
        <w:t>方在提交给</w:t>
      </w:r>
      <w:r>
        <w:rPr>
          <w:rFonts w:hint="eastAsia"/>
        </w:rPr>
        <w:t>甲</w:t>
      </w:r>
      <w:r>
        <w:t>方之前应将上述资料进行整理归类和编制索引</w:t>
      </w:r>
      <w:r>
        <w:rPr>
          <w:rFonts w:hint="eastAsia"/>
        </w:rPr>
        <w:t>。</w:t>
      </w:r>
    </w:p>
    <w:p>
      <w:pPr>
        <w:ind w:firstLine="420" w:firstLineChars="200"/>
      </w:pPr>
      <w:r>
        <w:t>2</w:t>
      </w:r>
      <w:r>
        <w:rPr>
          <w:rFonts w:hint="eastAsia"/>
        </w:rPr>
        <w:t>、</w:t>
      </w:r>
      <w:r>
        <w:rPr>
          <w:rFonts w:hint="eastAsia" w:ascii="宋体" w:hAnsi="宋体"/>
          <w:szCs w:val="21"/>
        </w:rPr>
        <w:t>乙</w:t>
      </w:r>
      <w:r>
        <w:t>方未经</w:t>
      </w:r>
      <w:r>
        <w:rPr>
          <w:rFonts w:hint="eastAsia"/>
        </w:rPr>
        <w:t>甲</w:t>
      </w:r>
      <w:r>
        <w:t>方的书面同意，不得将上述资料用于与本服务项目之外的任何项目</w:t>
      </w:r>
      <w:r>
        <w:rPr>
          <w:rFonts w:hint="eastAsia"/>
        </w:rPr>
        <w:t>。</w:t>
      </w:r>
    </w:p>
    <w:p>
      <w:pPr>
        <w:ind w:firstLine="420" w:firstLineChars="200"/>
      </w:pPr>
      <w:r>
        <w:rPr>
          <w:rFonts w:hint="eastAsia"/>
        </w:rPr>
        <w:t>3、</w:t>
      </w:r>
      <w:r>
        <w:t>合同履行</w:t>
      </w:r>
      <w:r>
        <w:rPr>
          <w:rFonts w:hint="eastAsia"/>
        </w:rPr>
        <w:t>完毕，</w:t>
      </w:r>
      <w:r>
        <w:t>未经</w:t>
      </w:r>
      <w:r>
        <w:rPr>
          <w:rFonts w:hint="eastAsia"/>
        </w:rPr>
        <w:t>甲</w:t>
      </w:r>
      <w:r>
        <w:t>方的书面同意</w:t>
      </w:r>
      <w:r>
        <w:rPr>
          <w:rFonts w:hint="eastAsia"/>
        </w:rPr>
        <w:t>，</w:t>
      </w:r>
      <w:r>
        <w:rPr>
          <w:rFonts w:hint="eastAsia" w:ascii="宋体" w:hAnsi="宋体"/>
          <w:szCs w:val="21"/>
        </w:rPr>
        <w:t>乙</w:t>
      </w:r>
      <w:r>
        <w:t>方</w:t>
      </w:r>
      <w:r>
        <w:rPr>
          <w:rFonts w:hint="eastAsia"/>
        </w:rPr>
        <w:t>不得保存在</w:t>
      </w:r>
      <w:r>
        <w:t>履行合同过程中所获得或接触到的任何</w:t>
      </w:r>
      <w:r>
        <w:rPr>
          <w:rFonts w:hint="eastAsia" w:ascii="宋体" w:hAnsi="宋体"/>
          <w:szCs w:val="21"/>
        </w:rPr>
        <w:t>内部数据资料。</w:t>
      </w:r>
    </w:p>
    <w:p>
      <w:pPr>
        <w:ind w:firstLine="422" w:firstLineChars="200"/>
        <w:rPr>
          <w:rFonts w:ascii="宋体" w:hAnsi="宋体"/>
          <w:b/>
          <w:bCs/>
          <w:szCs w:val="21"/>
        </w:rPr>
      </w:pPr>
      <w:r>
        <w:rPr>
          <w:rFonts w:hint="eastAsia" w:ascii="宋体" w:hAnsi="宋体"/>
          <w:b/>
          <w:bCs/>
          <w:szCs w:val="21"/>
        </w:rPr>
        <w:t>第五条  甲方的义务</w:t>
      </w:r>
    </w:p>
    <w:p>
      <w:pPr>
        <w:ind w:firstLine="420" w:firstLineChars="200"/>
        <w:rPr>
          <w:rFonts w:ascii="宋体" w:hAnsi="宋体"/>
          <w:szCs w:val="21"/>
        </w:rPr>
      </w:pPr>
      <w:r>
        <w:rPr>
          <w:rFonts w:hint="eastAsia" w:ascii="宋体" w:hAnsi="宋体"/>
          <w:szCs w:val="21"/>
        </w:rPr>
        <w:t>1、负责与本服务项目有关的第三方的协调，提供开展服务工作的外部条件。</w:t>
      </w:r>
    </w:p>
    <w:p>
      <w:pPr>
        <w:ind w:firstLine="420" w:firstLineChars="200"/>
        <w:rPr>
          <w:rFonts w:ascii="宋体" w:hAnsi="宋体"/>
          <w:szCs w:val="21"/>
        </w:rPr>
      </w:pPr>
      <w:r>
        <w:rPr>
          <w:rFonts w:hint="eastAsia" w:ascii="宋体" w:hAnsi="宋体"/>
          <w:szCs w:val="21"/>
        </w:rPr>
        <w:t>2、向乙方提供与本项目服务工作有关的资料。</w:t>
      </w:r>
    </w:p>
    <w:p>
      <w:pPr>
        <w:ind w:firstLine="420" w:firstLineChars="200"/>
        <w:rPr>
          <w:rFonts w:ascii="宋体" w:hAnsi="宋体"/>
          <w:szCs w:val="21"/>
        </w:rPr>
      </w:pPr>
      <w:r>
        <w:rPr>
          <w:rFonts w:hint="eastAsia" w:ascii="宋体" w:hAnsi="宋体"/>
          <w:szCs w:val="21"/>
        </w:rPr>
        <w:t>3、负责组织有关专家对项目试验成果评估报告的评审。</w:t>
      </w:r>
    </w:p>
    <w:p>
      <w:pPr>
        <w:ind w:firstLine="422" w:firstLineChars="200"/>
        <w:rPr>
          <w:rFonts w:ascii="宋体" w:hAnsi="宋体"/>
          <w:b/>
          <w:bCs/>
          <w:szCs w:val="21"/>
        </w:rPr>
      </w:pPr>
      <w:r>
        <w:rPr>
          <w:rFonts w:hint="eastAsia" w:ascii="宋体" w:hAnsi="宋体"/>
          <w:b/>
          <w:bCs/>
          <w:szCs w:val="21"/>
        </w:rPr>
        <w:t>第六条　乙方的义务</w:t>
      </w:r>
    </w:p>
    <w:p>
      <w:pPr>
        <w:ind w:firstLine="420" w:firstLineChars="200"/>
        <w:rPr>
          <w:rFonts w:ascii="宋体" w:hAnsi="宋体"/>
          <w:szCs w:val="21"/>
        </w:rPr>
      </w:pPr>
      <w:r>
        <w:rPr>
          <w:rFonts w:hint="eastAsia" w:ascii="宋体" w:hAnsi="宋体"/>
          <w:szCs w:val="21"/>
        </w:rPr>
        <w:t>１、应按照招标文件、投标文件要求按期完成本项目服务工作。</w:t>
      </w:r>
    </w:p>
    <w:p>
      <w:pPr>
        <w:ind w:firstLine="420" w:firstLineChars="200"/>
        <w:rPr>
          <w:rFonts w:ascii="宋体" w:hAnsi="宋体"/>
          <w:szCs w:val="21"/>
        </w:rPr>
      </w:pPr>
      <w:r>
        <w:rPr>
          <w:rFonts w:hint="eastAsia" w:ascii="宋体" w:hAnsi="宋体"/>
          <w:szCs w:val="21"/>
        </w:rPr>
        <w:t>2、负责组织项目的实施，保证工程进度和成桥荷载试验工作质量，并满足交通部交工验收相关标准。</w:t>
      </w:r>
    </w:p>
    <w:p>
      <w:pPr>
        <w:ind w:firstLine="420" w:firstLineChars="200"/>
        <w:rPr>
          <w:rFonts w:ascii="宋体" w:hAnsi="宋体"/>
          <w:szCs w:val="21"/>
        </w:rPr>
      </w:pPr>
      <w:r>
        <w:rPr>
          <w:rFonts w:hint="eastAsia" w:ascii="宋体" w:hAnsi="宋体"/>
          <w:szCs w:val="21"/>
        </w:rPr>
        <w:t>3、</w:t>
      </w:r>
      <w:r>
        <w:rPr>
          <w:rFonts w:hint="eastAsia" w:ascii="宋体" w:hAnsi="宋体"/>
        </w:rPr>
        <w:t>向甲方提交检测资料等各套，一套电子版文件。</w:t>
      </w:r>
    </w:p>
    <w:p>
      <w:pPr>
        <w:ind w:firstLine="420" w:firstLineChars="200"/>
        <w:rPr>
          <w:rFonts w:ascii="宋体" w:hAnsi="宋体"/>
          <w:szCs w:val="21"/>
        </w:rPr>
      </w:pPr>
      <w:r>
        <w:rPr>
          <w:rFonts w:hint="eastAsia" w:ascii="宋体" w:hAnsi="宋体"/>
          <w:szCs w:val="21"/>
        </w:rPr>
        <w:t>4、在履行合同期间或合同规定期限内，不得泄露与本合同规定业务活动有关的保密资料。</w:t>
      </w:r>
    </w:p>
    <w:p>
      <w:pPr>
        <w:ind w:firstLine="422" w:firstLineChars="200"/>
        <w:rPr>
          <w:rFonts w:ascii="宋体" w:hAnsi="宋体"/>
          <w:b/>
          <w:bCs/>
          <w:szCs w:val="21"/>
        </w:rPr>
      </w:pPr>
      <w:r>
        <w:rPr>
          <w:rFonts w:hint="eastAsia" w:ascii="宋体" w:hAnsi="宋体"/>
          <w:b/>
          <w:bCs/>
          <w:szCs w:val="21"/>
        </w:rPr>
        <w:t>第七条  甲方的权利</w:t>
      </w:r>
    </w:p>
    <w:p>
      <w:pPr>
        <w:ind w:firstLine="420" w:firstLineChars="200"/>
        <w:rPr>
          <w:rFonts w:ascii="宋体" w:hAnsi="宋体"/>
          <w:szCs w:val="21"/>
        </w:rPr>
      </w:pPr>
      <w:r>
        <w:rPr>
          <w:rFonts w:ascii="宋体" w:hAnsi="宋体"/>
          <w:szCs w:val="21"/>
        </w:rPr>
        <w:t>1</w:t>
      </w:r>
      <w:r>
        <w:rPr>
          <w:rFonts w:hint="eastAsia" w:ascii="宋体" w:hAnsi="宋体"/>
          <w:szCs w:val="21"/>
        </w:rPr>
        <w:t>、有权向乙方询问工作进展情况及相关的内容。</w:t>
      </w:r>
    </w:p>
    <w:p>
      <w:pPr>
        <w:ind w:firstLine="420" w:firstLineChars="200"/>
        <w:rPr>
          <w:rFonts w:ascii="宋体" w:hAnsi="宋体"/>
          <w:szCs w:val="21"/>
        </w:rPr>
      </w:pPr>
      <w:r>
        <w:rPr>
          <w:rFonts w:ascii="宋体" w:hAnsi="宋体"/>
          <w:szCs w:val="21"/>
        </w:rPr>
        <w:t>2</w:t>
      </w:r>
      <w:r>
        <w:rPr>
          <w:rFonts w:hint="eastAsia" w:ascii="宋体" w:hAnsi="宋体"/>
          <w:szCs w:val="21"/>
        </w:rPr>
        <w:t>、有权阐述对具体问题的意见和建议。</w:t>
      </w:r>
    </w:p>
    <w:p>
      <w:pPr>
        <w:ind w:firstLine="420" w:firstLineChars="200"/>
        <w:rPr>
          <w:rFonts w:ascii="宋体" w:hAnsi="宋体"/>
          <w:szCs w:val="21"/>
        </w:rPr>
      </w:pPr>
      <w:r>
        <w:rPr>
          <w:rFonts w:ascii="宋体" w:hAnsi="宋体"/>
          <w:szCs w:val="21"/>
        </w:rPr>
        <w:t>3</w:t>
      </w:r>
      <w:r>
        <w:rPr>
          <w:rFonts w:hint="eastAsia" w:ascii="宋体" w:hAnsi="宋体"/>
          <w:szCs w:val="21"/>
        </w:rPr>
        <w:t>、当甲方认定乙方人员不按合同履行其职责，或与第三人串通给甲方造成经济损失的，甲方有权要求更换人员，直至终止合同并要求乙方承担相应的赔偿责任。</w:t>
      </w:r>
    </w:p>
    <w:p>
      <w:pPr>
        <w:ind w:firstLine="422" w:firstLineChars="200"/>
        <w:rPr>
          <w:rFonts w:ascii="宋体" w:hAnsi="宋体"/>
          <w:b/>
          <w:bCs/>
          <w:szCs w:val="21"/>
        </w:rPr>
      </w:pPr>
      <w:r>
        <w:rPr>
          <w:rFonts w:hint="eastAsia" w:ascii="宋体" w:hAnsi="宋体"/>
          <w:b/>
          <w:bCs/>
          <w:szCs w:val="21"/>
        </w:rPr>
        <w:t>第八条  乙方的权利</w:t>
      </w:r>
    </w:p>
    <w:p>
      <w:pPr>
        <w:ind w:firstLine="420" w:firstLineChars="200"/>
        <w:rPr>
          <w:rFonts w:ascii="宋体" w:hAnsi="宋体"/>
          <w:szCs w:val="21"/>
        </w:rPr>
      </w:pPr>
      <w:r>
        <w:rPr>
          <w:rFonts w:ascii="宋体" w:hAnsi="宋体"/>
          <w:szCs w:val="21"/>
        </w:rPr>
        <w:t>1</w:t>
      </w:r>
      <w:r>
        <w:rPr>
          <w:rFonts w:hint="eastAsia" w:ascii="宋体" w:hAnsi="宋体"/>
          <w:szCs w:val="21"/>
        </w:rPr>
        <w:t>、乙方在本项目服务过程中，如甲方提供的资料不明确时可向甲方提出书面报告。</w:t>
      </w:r>
    </w:p>
    <w:p>
      <w:pPr>
        <w:ind w:firstLine="420" w:firstLineChars="200"/>
        <w:rPr>
          <w:rFonts w:ascii="宋体" w:hAnsi="宋体"/>
          <w:szCs w:val="21"/>
        </w:rPr>
      </w:pPr>
      <w:r>
        <w:rPr>
          <w:rFonts w:ascii="宋体" w:hAnsi="宋体"/>
          <w:szCs w:val="21"/>
        </w:rPr>
        <w:t>2</w:t>
      </w:r>
      <w:r>
        <w:rPr>
          <w:rFonts w:hint="eastAsia" w:ascii="宋体" w:hAnsi="宋体"/>
          <w:szCs w:val="21"/>
        </w:rPr>
        <w:t>、乙方在本项目服务过程中，有权对第三方提出与本服务业务有关的问题进行核对或查问。</w:t>
      </w:r>
    </w:p>
    <w:p>
      <w:pPr>
        <w:ind w:firstLine="420" w:firstLineChars="200"/>
        <w:rPr>
          <w:rFonts w:ascii="宋体" w:hAnsi="宋体"/>
          <w:szCs w:val="21"/>
        </w:rPr>
      </w:pPr>
      <w:r>
        <w:rPr>
          <w:rFonts w:ascii="宋体" w:hAnsi="宋体"/>
          <w:szCs w:val="21"/>
        </w:rPr>
        <w:t>3</w:t>
      </w:r>
      <w:r>
        <w:rPr>
          <w:rFonts w:hint="eastAsia" w:ascii="宋体" w:hAnsi="宋体"/>
          <w:szCs w:val="21"/>
        </w:rPr>
        <w:t>、乙方在本项目服务过程中，有到工程现场勘察的权利。</w:t>
      </w:r>
    </w:p>
    <w:p>
      <w:pPr>
        <w:ind w:firstLine="422" w:firstLineChars="200"/>
        <w:rPr>
          <w:rFonts w:ascii="宋体" w:hAnsi="宋体"/>
          <w:b/>
          <w:bCs/>
          <w:szCs w:val="21"/>
        </w:rPr>
      </w:pPr>
      <w:r>
        <w:rPr>
          <w:rFonts w:hint="eastAsia" w:ascii="宋体" w:hAnsi="宋体"/>
          <w:b/>
          <w:bCs/>
          <w:szCs w:val="21"/>
        </w:rPr>
        <w:t>第九条  甲方的责任</w:t>
      </w:r>
    </w:p>
    <w:p>
      <w:pPr>
        <w:ind w:firstLine="420" w:firstLineChars="200"/>
        <w:rPr>
          <w:rFonts w:ascii="宋体" w:hAnsi="宋体"/>
          <w:szCs w:val="21"/>
        </w:rPr>
      </w:pPr>
      <w:r>
        <w:rPr>
          <w:rFonts w:hint="eastAsia" w:ascii="宋体" w:hAnsi="宋体"/>
          <w:szCs w:val="21"/>
        </w:rPr>
        <w:t>1、应当履行本合同约定的义务，如有违反则应当承担违约责任，赔偿给乙方造成的损失。</w:t>
      </w:r>
    </w:p>
    <w:p>
      <w:pPr>
        <w:ind w:firstLine="420" w:firstLineChars="200"/>
        <w:rPr>
          <w:rFonts w:ascii="宋体" w:hAnsi="宋体"/>
          <w:szCs w:val="21"/>
        </w:rPr>
      </w:pPr>
      <w:r>
        <w:rPr>
          <w:rFonts w:hint="eastAsia" w:ascii="宋体" w:hAnsi="宋体"/>
          <w:szCs w:val="21"/>
        </w:rPr>
        <w:t>2、甲方向乙方提出赔偿要求不能成立时，则应补偿由于该赔偿或其他要求所导致乙方的各种费用的支出。</w:t>
      </w:r>
    </w:p>
    <w:p>
      <w:pPr>
        <w:ind w:firstLine="422" w:firstLineChars="200"/>
        <w:rPr>
          <w:rFonts w:ascii="宋体" w:hAnsi="宋体"/>
          <w:b/>
          <w:bCs/>
          <w:szCs w:val="21"/>
        </w:rPr>
      </w:pPr>
      <w:r>
        <w:rPr>
          <w:rFonts w:hint="eastAsia" w:ascii="宋体" w:hAnsi="宋体"/>
          <w:b/>
          <w:bCs/>
          <w:szCs w:val="21"/>
        </w:rPr>
        <w:t>第十条  乙方的责任</w:t>
      </w:r>
    </w:p>
    <w:p>
      <w:pPr>
        <w:ind w:firstLine="420" w:firstLineChars="200"/>
        <w:rPr>
          <w:rFonts w:ascii="宋体" w:hAnsi="宋体"/>
          <w:szCs w:val="21"/>
        </w:rPr>
      </w:pPr>
      <w:r>
        <w:rPr>
          <w:rFonts w:hint="eastAsia" w:ascii="宋体" w:hAnsi="宋体"/>
          <w:szCs w:val="21"/>
        </w:rPr>
        <w:t>1、乙方的责任期即本合同有效期。如因非乙方的责任造成进度的推迟或延误而超过约定的日期，双方应进一步约定相应延长合同有效期。</w:t>
      </w:r>
    </w:p>
    <w:p>
      <w:pPr>
        <w:ind w:firstLine="420" w:firstLineChars="200"/>
        <w:rPr>
          <w:rFonts w:ascii="宋体" w:hAnsi="宋体"/>
          <w:szCs w:val="21"/>
        </w:rPr>
      </w:pPr>
      <w:r>
        <w:rPr>
          <w:rFonts w:hint="eastAsia" w:ascii="宋体" w:hAnsi="宋体"/>
          <w:szCs w:val="21"/>
        </w:rPr>
        <w:t>2、乙方的责任期内，应当履行本合同中约定的义务，因乙方的单方过失造成的经济损失，应当向甲方进行赔偿。</w:t>
      </w:r>
    </w:p>
    <w:p>
      <w:pPr>
        <w:ind w:firstLine="420" w:firstLineChars="200"/>
        <w:rPr>
          <w:rFonts w:ascii="宋体" w:hAnsi="宋体"/>
          <w:szCs w:val="21"/>
        </w:rPr>
      </w:pPr>
      <w:r>
        <w:rPr>
          <w:rFonts w:hint="eastAsia" w:ascii="宋体" w:hAnsi="宋体"/>
          <w:szCs w:val="21"/>
        </w:rPr>
        <w:t>3、乙方对甲方或第三方所提出的问题不能及时核对或答复，导致合同不能全部或部分履行，乙方应承担责任。</w:t>
      </w:r>
    </w:p>
    <w:p>
      <w:pPr>
        <w:ind w:firstLine="420" w:firstLineChars="200"/>
        <w:rPr>
          <w:rFonts w:ascii="宋体" w:hAnsi="宋体"/>
          <w:szCs w:val="21"/>
        </w:rPr>
      </w:pPr>
      <w:r>
        <w:rPr>
          <w:rFonts w:hint="eastAsia" w:ascii="宋体" w:hAnsi="宋体"/>
          <w:szCs w:val="21"/>
        </w:rPr>
        <w:t>4、乙方向甲方提出赔偿要求不能成立时，则应补偿由于该赔偿或其他要求所导致甲方的各种费用的支出。</w:t>
      </w:r>
    </w:p>
    <w:p>
      <w:pPr>
        <w:ind w:firstLine="422" w:firstLineChars="200"/>
        <w:rPr>
          <w:rFonts w:ascii="宋体" w:hAnsi="宋体"/>
          <w:b/>
          <w:bCs/>
          <w:szCs w:val="21"/>
        </w:rPr>
      </w:pPr>
      <w:r>
        <w:rPr>
          <w:rFonts w:hint="eastAsia" w:ascii="宋体" w:hAnsi="宋体"/>
          <w:b/>
          <w:bCs/>
          <w:szCs w:val="21"/>
        </w:rPr>
        <w:t>第十一条  人员要求</w:t>
      </w:r>
    </w:p>
    <w:p>
      <w:pPr>
        <w:ind w:firstLine="420" w:firstLineChars="200"/>
        <w:rPr>
          <w:rFonts w:ascii="宋体" w:hAnsi="宋体"/>
          <w:szCs w:val="21"/>
        </w:rPr>
      </w:pPr>
      <w:r>
        <w:rPr>
          <w:rFonts w:hint="eastAsia" w:ascii="宋体" w:hAnsi="宋体"/>
          <w:szCs w:val="21"/>
        </w:rPr>
        <w:t>1、参加本项目试验的人员必须具有国家和有关部门规定的相应资质。</w:t>
      </w:r>
    </w:p>
    <w:p>
      <w:pPr>
        <w:ind w:firstLine="420" w:firstLineChars="200"/>
        <w:rPr>
          <w:rFonts w:ascii="宋体" w:hAnsi="宋体"/>
          <w:szCs w:val="21"/>
        </w:rPr>
      </w:pPr>
      <w:r>
        <w:rPr>
          <w:rFonts w:hint="eastAsia" w:ascii="宋体" w:hAnsi="宋体"/>
          <w:szCs w:val="21"/>
        </w:rPr>
        <w:t>2、 参加本项目的试验人员的配置必须与投标文件中的服务承诺书和试验服务组织实施方案一致。</w:t>
      </w:r>
    </w:p>
    <w:p>
      <w:pPr>
        <w:ind w:firstLine="420" w:firstLineChars="200"/>
        <w:rPr>
          <w:rFonts w:ascii="宋体" w:hAnsi="宋体"/>
          <w:szCs w:val="21"/>
        </w:rPr>
      </w:pPr>
      <w:r>
        <w:rPr>
          <w:rFonts w:hint="eastAsia" w:ascii="宋体" w:hAnsi="宋体"/>
          <w:szCs w:val="21"/>
        </w:rPr>
        <w:t>3、必须以直属试验人员参与本项目服务，不得使用挂靠队伍。</w:t>
      </w:r>
    </w:p>
    <w:p>
      <w:pPr>
        <w:ind w:firstLine="422" w:firstLineChars="200"/>
        <w:rPr>
          <w:rFonts w:ascii="宋体" w:hAnsi="宋体"/>
          <w:b/>
          <w:bCs/>
          <w:szCs w:val="21"/>
        </w:rPr>
      </w:pPr>
      <w:r>
        <w:rPr>
          <w:rFonts w:hint="eastAsia" w:ascii="宋体" w:hAnsi="宋体"/>
          <w:b/>
          <w:bCs/>
          <w:szCs w:val="21"/>
        </w:rPr>
        <w:t>第十二条  乙方服务工具要求</w:t>
      </w:r>
    </w:p>
    <w:p>
      <w:pPr>
        <w:ind w:firstLine="420" w:firstLineChars="200"/>
        <w:rPr>
          <w:rFonts w:ascii="宋体" w:hAnsi="宋体"/>
          <w:szCs w:val="21"/>
        </w:rPr>
      </w:pPr>
      <w:r>
        <w:rPr>
          <w:rFonts w:hint="eastAsia" w:ascii="宋体" w:hAnsi="宋体"/>
          <w:szCs w:val="21"/>
        </w:rPr>
        <w:t>1、乙方应配备中标项目所需的足够数量的仪器、仪表以及工具等设备。用户不需向乙方提供施工工具和仪器、仪表。</w:t>
      </w:r>
    </w:p>
    <w:p>
      <w:pPr>
        <w:ind w:firstLine="420" w:firstLineChars="200"/>
        <w:rPr>
          <w:rFonts w:ascii="宋体" w:hAnsi="宋体"/>
          <w:szCs w:val="21"/>
        </w:rPr>
      </w:pPr>
      <w:r>
        <w:rPr>
          <w:rFonts w:hint="eastAsia" w:ascii="宋体" w:hAnsi="宋体"/>
          <w:szCs w:val="21"/>
        </w:rPr>
        <w:t>2、乙方在提供服务过程中应自备车辆。</w:t>
      </w:r>
    </w:p>
    <w:p>
      <w:pPr>
        <w:ind w:firstLine="422" w:firstLineChars="200"/>
        <w:rPr>
          <w:rFonts w:ascii="宋体" w:hAnsi="宋体"/>
          <w:b/>
          <w:bCs/>
          <w:szCs w:val="21"/>
        </w:rPr>
      </w:pPr>
      <w:r>
        <w:rPr>
          <w:rFonts w:hint="eastAsia" w:ascii="宋体" w:hAnsi="宋体"/>
          <w:b/>
          <w:bCs/>
          <w:szCs w:val="21"/>
        </w:rPr>
        <w:t>第十三条  保密要求</w:t>
      </w:r>
    </w:p>
    <w:p>
      <w:pPr>
        <w:ind w:firstLine="420" w:firstLineChars="200"/>
        <w:rPr>
          <w:rFonts w:ascii="宋体" w:hAnsi="宋体"/>
          <w:szCs w:val="21"/>
        </w:rPr>
      </w:pPr>
      <w:r>
        <w:rPr>
          <w:rFonts w:hint="eastAsia" w:ascii="宋体" w:hAnsi="宋体"/>
          <w:szCs w:val="21"/>
        </w:rPr>
        <w:t>1、</w:t>
      </w:r>
      <w:r>
        <w:rPr>
          <w:rFonts w:ascii="宋体" w:hAnsi="宋体"/>
          <w:szCs w:val="21"/>
        </w:rPr>
        <w:t>由甲方收集的、开发的、整理的、复制的、研究的和准备的与本合同项下工作有关的所有资料在提供给乙方时，均被视为保密的，不得泄漏给除甲方或其指定的代表之外的任何人、企业或公司，不管本合同因何种原因终止，本条款一直约束乙方。</w:t>
      </w:r>
    </w:p>
    <w:p>
      <w:pPr>
        <w:ind w:firstLine="420" w:firstLineChars="200"/>
        <w:rPr>
          <w:rFonts w:ascii="宋体" w:hAnsi="宋体"/>
          <w:szCs w:val="21"/>
        </w:rPr>
      </w:pPr>
      <w:r>
        <w:rPr>
          <w:rFonts w:hint="eastAsia" w:ascii="宋体" w:hAnsi="宋体"/>
          <w:szCs w:val="21"/>
        </w:rPr>
        <w:t>2、</w:t>
      </w:r>
      <w:r>
        <w:rPr>
          <w:rFonts w:ascii="宋体" w:hAnsi="宋体"/>
          <w:szCs w:val="21"/>
        </w:rPr>
        <w:t>乙方在履行合同过程中所获得或接触到的任何</w:t>
      </w:r>
      <w:r>
        <w:rPr>
          <w:rFonts w:hint="eastAsia" w:ascii="宋体" w:hAnsi="宋体"/>
          <w:szCs w:val="21"/>
        </w:rPr>
        <w:t>内部数据资料，未经甲方同意，不得向第三方透露。</w:t>
      </w:r>
    </w:p>
    <w:p>
      <w:pPr>
        <w:ind w:firstLine="420" w:firstLineChars="200"/>
        <w:rPr>
          <w:rFonts w:ascii="宋体" w:hAnsi="宋体"/>
          <w:szCs w:val="21"/>
        </w:rPr>
      </w:pPr>
      <w:r>
        <w:rPr>
          <w:rFonts w:hint="eastAsia" w:ascii="宋体" w:hAnsi="宋体"/>
          <w:szCs w:val="21"/>
        </w:rPr>
        <w:t>3、</w:t>
      </w:r>
      <w:r>
        <w:rPr>
          <w:rFonts w:ascii="宋体" w:hAnsi="宋体"/>
          <w:szCs w:val="21"/>
        </w:rPr>
        <w:t>乙方</w:t>
      </w:r>
      <w:r>
        <w:rPr>
          <w:rFonts w:hint="eastAsia" w:ascii="宋体" w:hAnsi="宋体"/>
          <w:szCs w:val="21"/>
        </w:rPr>
        <w:t>实施项目的一切程序都应符合国家安全、保密的有关规定和标准。</w:t>
      </w:r>
    </w:p>
    <w:p>
      <w:pPr>
        <w:ind w:firstLine="420" w:firstLineChars="200"/>
        <w:rPr>
          <w:rFonts w:ascii="宋体" w:hAnsi="宋体"/>
          <w:szCs w:val="21"/>
        </w:rPr>
      </w:pPr>
      <w:r>
        <w:rPr>
          <w:rFonts w:hint="eastAsia" w:ascii="宋体" w:hAnsi="宋体"/>
          <w:szCs w:val="21"/>
        </w:rPr>
        <w:t>4、</w:t>
      </w:r>
      <w:r>
        <w:rPr>
          <w:rFonts w:ascii="宋体" w:hAnsi="宋体"/>
          <w:szCs w:val="21"/>
        </w:rPr>
        <w:t>乙方</w:t>
      </w:r>
      <w:r>
        <w:rPr>
          <w:rFonts w:hint="eastAsia" w:ascii="宋体" w:hAnsi="宋体"/>
          <w:szCs w:val="21"/>
        </w:rPr>
        <w:t>参加项目的有关人员均需同甲方签订保密协议。</w:t>
      </w:r>
    </w:p>
    <w:p>
      <w:pPr>
        <w:ind w:firstLine="422" w:firstLineChars="200"/>
        <w:rPr>
          <w:rFonts w:ascii="宋体" w:hAnsi="宋体"/>
          <w:b/>
          <w:bCs/>
          <w:szCs w:val="21"/>
        </w:rPr>
      </w:pPr>
      <w:r>
        <w:rPr>
          <w:rFonts w:hint="eastAsia" w:ascii="宋体" w:hAnsi="宋体"/>
          <w:b/>
          <w:bCs/>
          <w:szCs w:val="21"/>
        </w:rPr>
        <w:t xml:space="preserve">第十四条  验收     </w:t>
      </w:r>
    </w:p>
    <w:p>
      <w:pPr>
        <w:ind w:firstLine="420" w:firstLineChars="200"/>
        <w:rPr>
          <w:rFonts w:ascii="宋体" w:hAnsi="宋体"/>
          <w:szCs w:val="21"/>
        </w:rPr>
      </w:pPr>
      <w:r>
        <w:rPr>
          <w:rFonts w:hint="eastAsia" w:ascii="宋体" w:hAnsi="宋体"/>
          <w:szCs w:val="21"/>
        </w:rPr>
        <w:t>1、下列文件的验收分为</w:t>
      </w:r>
      <w:r>
        <w:rPr>
          <w:rFonts w:hint="eastAsia" w:ascii="宋体" w:hAnsi="宋体"/>
          <w:szCs w:val="21"/>
          <w:u w:val="single"/>
        </w:rPr>
        <w:t xml:space="preserve">          三</w:t>
      </w:r>
      <w:r>
        <w:rPr>
          <w:rFonts w:hint="eastAsia" w:ascii="宋体" w:hAnsi="宋体"/>
          <w:szCs w:val="21"/>
        </w:rPr>
        <w:t>个阶段:</w:t>
      </w:r>
    </w:p>
    <w:p>
      <w:pPr>
        <w:ind w:firstLine="420" w:firstLineChars="200"/>
        <w:rPr>
          <w:rFonts w:ascii="宋体" w:hAnsi="宋体"/>
          <w:szCs w:val="21"/>
        </w:rPr>
      </w:pPr>
      <w:r>
        <w:rPr>
          <w:rFonts w:hint="eastAsia" w:ascii="宋体" w:hAnsi="宋体"/>
          <w:szCs w:val="21"/>
        </w:rPr>
        <w:t>2、其余文件和工作由用户组织有关技术人员根据国家和行业有关规范、规程、标准和用户需求直接验收。</w:t>
      </w:r>
    </w:p>
    <w:p>
      <w:pPr>
        <w:ind w:firstLine="420" w:firstLineChars="200"/>
        <w:rPr>
          <w:rFonts w:ascii="宋体" w:hAnsi="宋体"/>
          <w:szCs w:val="21"/>
        </w:rPr>
      </w:pPr>
      <w:r>
        <w:rPr>
          <w:rFonts w:hint="eastAsia" w:ascii="宋体" w:hAnsi="宋体"/>
          <w:szCs w:val="21"/>
        </w:rPr>
        <w:t>3、验收依据为招标文件、投标文件，国家和行业有关规范、规程和标准。</w:t>
      </w:r>
    </w:p>
    <w:p>
      <w:pPr>
        <w:ind w:firstLine="422" w:firstLineChars="200"/>
        <w:rPr>
          <w:rFonts w:ascii="宋体" w:hAnsi="宋体"/>
          <w:b/>
          <w:bCs/>
          <w:szCs w:val="21"/>
        </w:rPr>
      </w:pPr>
      <w:r>
        <w:rPr>
          <w:rFonts w:hint="eastAsia" w:ascii="宋体" w:hAnsi="宋体"/>
          <w:b/>
          <w:bCs/>
          <w:szCs w:val="21"/>
        </w:rPr>
        <w:t>第十五条  付款方式</w:t>
      </w:r>
    </w:p>
    <w:p>
      <w:pPr>
        <w:ind w:firstLine="420" w:firstLineChars="200"/>
        <w:rPr>
          <w:rFonts w:ascii="宋体" w:hAnsi="宋体"/>
          <w:szCs w:val="21"/>
        </w:rPr>
      </w:pPr>
      <w:r>
        <w:rPr>
          <w:rFonts w:hint="eastAsia" w:ascii="宋体" w:hAnsi="宋体"/>
          <w:szCs w:val="21"/>
        </w:rPr>
        <w:t>1、合同签订后   天内乙方向甲方开具合法有效的发票后，甲方于   天内向乙方支付合同总价%的款项。</w:t>
      </w:r>
    </w:p>
    <w:p>
      <w:pPr>
        <w:ind w:firstLine="420" w:firstLineChars="200"/>
        <w:rPr>
          <w:rFonts w:ascii="宋体" w:hAnsi="宋体"/>
          <w:szCs w:val="21"/>
        </w:rPr>
      </w:pPr>
      <w:r>
        <w:rPr>
          <w:rFonts w:hint="eastAsia" w:ascii="宋体" w:hAnsi="宋体"/>
          <w:szCs w:val="21"/>
        </w:rPr>
        <w:t>2、检测完成并提交评估报告后  天内，乙方向甲方开具合法有效发票后 天，甲方向乙方支付合同总价%的款项。</w:t>
      </w:r>
    </w:p>
    <w:p>
      <w:pPr>
        <w:ind w:firstLine="420" w:firstLineChars="200"/>
        <w:rPr>
          <w:rFonts w:ascii="宋体" w:hAnsi="宋体"/>
          <w:szCs w:val="21"/>
        </w:rPr>
      </w:pPr>
      <w:r>
        <w:rPr>
          <w:rFonts w:hint="eastAsia" w:ascii="宋体" w:hAnsi="宋体"/>
          <w:szCs w:val="21"/>
        </w:rPr>
        <w:t>3、报告通过专家评审后，甲方向乙方支付合同总价%的款项。</w:t>
      </w:r>
    </w:p>
    <w:p>
      <w:pPr>
        <w:ind w:firstLine="422" w:firstLineChars="200"/>
        <w:rPr>
          <w:rFonts w:ascii="宋体" w:hAnsi="宋体"/>
          <w:b/>
          <w:bCs/>
          <w:szCs w:val="21"/>
        </w:rPr>
      </w:pPr>
      <w:r>
        <w:rPr>
          <w:rFonts w:hint="eastAsia" w:ascii="宋体" w:hAnsi="宋体"/>
          <w:b/>
          <w:bCs/>
          <w:szCs w:val="21"/>
        </w:rPr>
        <w:t>第十六条  争议解决办法</w:t>
      </w:r>
    </w:p>
    <w:p>
      <w:pPr>
        <w:ind w:firstLine="420" w:firstLineChars="200"/>
        <w:rPr>
          <w:rFonts w:ascii="宋体" w:hAnsi="宋体"/>
          <w:szCs w:val="21"/>
        </w:rPr>
      </w:pPr>
      <w:r>
        <w:rPr>
          <w:rFonts w:hint="eastAsia" w:ascii="宋体" w:hAnsi="宋体"/>
          <w:szCs w:val="21"/>
        </w:rPr>
        <w:t>执行本合同发生的争议，由甲乙双方协商解决，如协商不成的，应提交甲方所在地人民法院诉讼解决。</w:t>
      </w:r>
    </w:p>
    <w:p>
      <w:pPr>
        <w:ind w:firstLine="422" w:firstLineChars="200"/>
        <w:rPr>
          <w:rFonts w:ascii="宋体" w:hAnsi="宋体"/>
          <w:b/>
          <w:bCs/>
          <w:szCs w:val="21"/>
        </w:rPr>
      </w:pPr>
      <w:r>
        <w:rPr>
          <w:rFonts w:hint="eastAsia" w:ascii="宋体" w:hAnsi="宋体"/>
          <w:b/>
          <w:bCs/>
          <w:szCs w:val="21"/>
        </w:rPr>
        <w:t>第十七条  风险责任</w:t>
      </w:r>
    </w:p>
    <w:p>
      <w:pPr>
        <w:ind w:firstLine="420" w:firstLineChars="200"/>
        <w:rPr>
          <w:rFonts w:ascii="宋体" w:hAnsi="宋体"/>
          <w:szCs w:val="21"/>
        </w:rPr>
      </w:pPr>
      <w:r>
        <w:rPr>
          <w:rFonts w:hint="eastAsia" w:ascii="宋体" w:hAnsi="宋体"/>
          <w:szCs w:val="21"/>
        </w:rPr>
        <w:t>１、乙方应完全地按照招标文件的要求和乙方投标文件的承诺完成本项目，出于自身财务、技术、人力等原因导致项目失败的，应承担全部责任。</w:t>
      </w:r>
    </w:p>
    <w:p>
      <w:pPr>
        <w:ind w:firstLine="420" w:firstLineChars="200"/>
        <w:rPr>
          <w:rFonts w:ascii="宋体" w:hAnsi="宋体"/>
          <w:szCs w:val="21"/>
        </w:rPr>
      </w:pPr>
      <w:r>
        <w:rPr>
          <w:rFonts w:hint="eastAsia" w:ascii="宋体" w:hAnsi="宋体"/>
          <w:szCs w:val="21"/>
        </w:rPr>
        <w:t>2、乙方在实施荷载试验过程中应对自身的安全生产负责，若非因甲方原因发生的各种事故甲方不承担任何责任。</w:t>
      </w:r>
    </w:p>
    <w:p>
      <w:pPr>
        <w:ind w:firstLine="422" w:firstLineChars="200"/>
        <w:rPr>
          <w:rFonts w:ascii="宋体" w:hAnsi="宋体"/>
          <w:b/>
          <w:bCs/>
          <w:szCs w:val="21"/>
        </w:rPr>
      </w:pPr>
      <w:r>
        <w:rPr>
          <w:rFonts w:hint="eastAsia" w:ascii="宋体" w:hAnsi="宋体"/>
          <w:b/>
          <w:bCs/>
          <w:szCs w:val="21"/>
        </w:rPr>
        <w:t>第十八条  违约责任</w:t>
      </w:r>
    </w:p>
    <w:p>
      <w:pPr>
        <w:pStyle w:val="10"/>
        <w:spacing w:line="240" w:lineRule="auto"/>
        <w:rPr>
          <w:rFonts w:ascii="宋体" w:hAnsi="宋体"/>
          <w:szCs w:val="21"/>
        </w:rPr>
      </w:pPr>
      <w:r>
        <w:rPr>
          <w:rFonts w:hint="eastAsia" w:ascii="宋体" w:hAnsi="宋体"/>
          <w:szCs w:val="21"/>
        </w:rPr>
        <w:t>１、因乙方原因，未能按规定时间完成有关工作的，每延误一天，甲方可在支付合同余款中扣除合同价款千分之一。</w:t>
      </w:r>
    </w:p>
    <w:p>
      <w:pPr>
        <w:ind w:firstLine="420" w:firstLineChars="200"/>
        <w:rPr>
          <w:rFonts w:ascii="宋体" w:hAnsi="宋体"/>
          <w:szCs w:val="21"/>
        </w:rPr>
      </w:pPr>
      <w:r>
        <w:rPr>
          <w:rFonts w:hint="eastAsia" w:ascii="宋体" w:hAnsi="宋体"/>
          <w:szCs w:val="21"/>
        </w:rPr>
        <w:t>2、由于乙方原因造成试验成果质量低劣，不能满足大纲要求时，应继续完善试验工作，其费用由乙方承担。</w:t>
      </w:r>
    </w:p>
    <w:p>
      <w:pPr>
        <w:ind w:firstLine="420" w:firstLineChars="200"/>
        <w:rPr>
          <w:rFonts w:ascii="宋体" w:hAnsi="宋体"/>
          <w:szCs w:val="21"/>
        </w:rPr>
      </w:pPr>
      <w:r>
        <w:rPr>
          <w:rFonts w:hint="eastAsia" w:ascii="宋体" w:hAnsi="宋体"/>
          <w:szCs w:val="21"/>
        </w:rPr>
        <w:t>3、乙方交付的成果经验收不合格，应于7日内无条件修改，费用由乙方自行承担，在甲方要求整改后再次验收不合格的，甲方有权解除合同、要求乙方返还甲方已支付的合同款项，并有权要求乙方按合同总额   %支付违约金。。</w:t>
      </w:r>
    </w:p>
    <w:p>
      <w:pPr>
        <w:ind w:firstLine="420" w:firstLineChars="200"/>
        <w:rPr>
          <w:rFonts w:ascii="宋体" w:hAnsi="宋体"/>
          <w:szCs w:val="21"/>
        </w:rPr>
      </w:pPr>
      <w:r>
        <w:rPr>
          <w:rFonts w:hint="eastAsia" w:ascii="宋体" w:hAnsi="宋体"/>
          <w:szCs w:val="21"/>
        </w:rPr>
        <w:t>4、若甲方发现乙方派出的试验服务人员或提供的试验仪器设备不符合合同要求，乙方应在3天之内按要求派出人员或提供满足投标文件承诺的仪器设备，否则甲方有权终止合同，并保留追究乙方责任及要求赔偿损失的权利。</w:t>
      </w:r>
    </w:p>
    <w:p>
      <w:pPr>
        <w:ind w:firstLine="420" w:firstLineChars="200"/>
        <w:rPr>
          <w:rFonts w:ascii="宋体" w:hAnsi="宋体"/>
          <w:szCs w:val="21"/>
        </w:rPr>
      </w:pPr>
      <w:r>
        <w:rPr>
          <w:rFonts w:hint="eastAsia" w:ascii="宋体" w:hAnsi="宋体"/>
          <w:szCs w:val="21"/>
        </w:rPr>
        <w:t>5、乙方或其工作人员违反本合同约定的保密义务，甲方有权要求乙方按合同总额   %支付违约金；造成不良影响或对甲方造成损失的，甲方有权要求乙方消除影响，承担赔偿责任，并有权解除合同。</w:t>
      </w:r>
    </w:p>
    <w:p>
      <w:pPr>
        <w:ind w:firstLine="420" w:firstLineChars="200"/>
        <w:rPr>
          <w:rFonts w:ascii="宋体" w:hAnsi="宋体"/>
          <w:szCs w:val="21"/>
        </w:rPr>
      </w:pPr>
      <w:r>
        <w:rPr>
          <w:rFonts w:hint="eastAsia" w:ascii="宋体" w:hAnsi="宋体"/>
          <w:szCs w:val="21"/>
        </w:rPr>
        <w:t>6、因乙方提供的服务成果受到侵权指控或者引发法律纠纷，影响甲方使用服务成果或者导致合同目的不能实现的，甲方有权要求乙方按合同总额   %支付违约金，并有权解除合同。</w:t>
      </w:r>
    </w:p>
    <w:p>
      <w:pPr>
        <w:ind w:firstLine="422" w:firstLineChars="200"/>
        <w:rPr>
          <w:rFonts w:ascii="宋体" w:hAnsi="宋体"/>
          <w:b/>
          <w:bCs/>
          <w:szCs w:val="21"/>
        </w:rPr>
      </w:pPr>
      <w:r>
        <w:rPr>
          <w:rFonts w:hint="eastAsia" w:ascii="宋体" w:hAnsi="宋体"/>
          <w:b/>
          <w:bCs/>
          <w:szCs w:val="21"/>
        </w:rPr>
        <w:t>第十九条  其他</w:t>
      </w:r>
    </w:p>
    <w:p>
      <w:pPr>
        <w:ind w:firstLine="420" w:firstLineChars="200"/>
        <w:rPr>
          <w:rFonts w:hint="eastAsia" w:ascii="宋体" w:hAnsi="宋体"/>
          <w:szCs w:val="21"/>
        </w:rPr>
      </w:pPr>
      <w:r>
        <w:rPr>
          <w:rFonts w:hint="eastAsia" w:ascii="宋体" w:hAnsi="宋体"/>
          <w:szCs w:val="21"/>
        </w:rPr>
        <w:t>1、本协议书与下列文件一起构成合同文件，如下述文件之间有任何抵触、矛盾或歧义，应按以下顺序解释：</w:t>
      </w:r>
    </w:p>
    <w:p>
      <w:pPr>
        <w:ind w:firstLine="420" w:firstLineChars="200"/>
        <w:rPr>
          <w:rFonts w:hint="eastAsia" w:ascii="宋体" w:hAnsi="宋体"/>
          <w:szCs w:val="21"/>
        </w:rPr>
      </w:pPr>
      <w:r>
        <w:rPr>
          <w:rFonts w:hint="eastAsia" w:ascii="宋体" w:hAnsi="宋体"/>
          <w:szCs w:val="21"/>
        </w:rPr>
        <w:t>（1）政府采购合同协议书及其变更、补充协议</w:t>
      </w:r>
    </w:p>
    <w:p>
      <w:pPr>
        <w:ind w:firstLine="420" w:firstLineChars="200"/>
        <w:rPr>
          <w:rFonts w:hint="eastAsia" w:ascii="宋体" w:hAnsi="宋体"/>
          <w:szCs w:val="21"/>
        </w:rPr>
      </w:pPr>
      <w:r>
        <w:rPr>
          <w:rFonts w:hint="eastAsia" w:ascii="宋体" w:hAnsi="宋体"/>
          <w:szCs w:val="21"/>
        </w:rPr>
        <w:t>（2）政府采购合同专用条款</w:t>
      </w:r>
    </w:p>
    <w:p>
      <w:pPr>
        <w:ind w:firstLine="420" w:firstLineChars="200"/>
        <w:rPr>
          <w:rFonts w:hint="eastAsia" w:ascii="宋体" w:hAnsi="宋体"/>
          <w:szCs w:val="21"/>
        </w:rPr>
      </w:pPr>
      <w:r>
        <w:rPr>
          <w:rFonts w:hint="eastAsia" w:ascii="宋体" w:hAnsi="宋体"/>
          <w:szCs w:val="21"/>
        </w:rPr>
        <w:t>（3）政府采购合同通用条款</w:t>
      </w:r>
    </w:p>
    <w:p>
      <w:pPr>
        <w:ind w:firstLine="420" w:firstLineChars="200"/>
        <w:rPr>
          <w:rFonts w:hint="eastAsia" w:ascii="宋体" w:hAnsi="宋体"/>
          <w:szCs w:val="21"/>
        </w:rPr>
      </w:pPr>
      <w:r>
        <w:rPr>
          <w:rFonts w:hint="eastAsia" w:ascii="宋体" w:hAnsi="宋体"/>
          <w:szCs w:val="21"/>
        </w:rPr>
        <w:t>（4）中标（成交）通知书</w:t>
      </w:r>
    </w:p>
    <w:p>
      <w:pPr>
        <w:ind w:firstLine="420" w:firstLineChars="200"/>
        <w:rPr>
          <w:rFonts w:hint="eastAsia" w:ascii="宋体" w:hAnsi="宋体"/>
          <w:szCs w:val="21"/>
        </w:rPr>
      </w:pPr>
      <w:r>
        <w:rPr>
          <w:rFonts w:hint="eastAsia" w:ascii="宋体" w:hAnsi="宋体"/>
          <w:szCs w:val="21"/>
        </w:rPr>
        <w:t>（5）投标（响应）文件</w:t>
      </w:r>
    </w:p>
    <w:p>
      <w:pPr>
        <w:ind w:firstLine="420" w:firstLineChars="200"/>
        <w:rPr>
          <w:rFonts w:hint="eastAsia" w:ascii="宋体" w:hAnsi="宋体"/>
          <w:szCs w:val="21"/>
        </w:rPr>
      </w:pPr>
      <w:r>
        <w:rPr>
          <w:rFonts w:hint="eastAsia" w:ascii="宋体" w:hAnsi="宋体"/>
          <w:szCs w:val="21"/>
        </w:rPr>
        <w:t>（6）采购文件</w:t>
      </w:r>
    </w:p>
    <w:p>
      <w:pPr>
        <w:ind w:firstLine="420" w:firstLineChars="200"/>
        <w:rPr>
          <w:rFonts w:hint="eastAsia" w:ascii="宋体" w:hAnsi="宋体"/>
          <w:szCs w:val="21"/>
        </w:rPr>
      </w:pPr>
      <w:r>
        <w:rPr>
          <w:rFonts w:hint="eastAsia" w:ascii="宋体" w:hAnsi="宋体"/>
          <w:szCs w:val="21"/>
        </w:rPr>
        <w:t>（7）有关技术文件，图纸</w:t>
      </w:r>
    </w:p>
    <w:p>
      <w:pPr>
        <w:ind w:firstLine="420" w:firstLineChars="200"/>
        <w:rPr>
          <w:rFonts w:ascii="宋体" w:hAnsi="宋体"/>
          <w:szCs w:val="21"/>
        </w:rPr>
      </w:pPr>
      <w:r>
        <w:rPr>
          <w:rFonts w:hint="eastAsia" w:ascii="宋体" w:hAnsi="宋体"/>
          <w:szCs w:val="21"/>
        </w:rPr>
        <w:t>（8）国家法律、行政法规和规章制度规定或合同约定的作为合同组成部分的其他文件。</w:t>
      </w:r>
    </w:p>
    <w:p>
      <w:pPr>
        <w:ind w:firstLine="420" w:firstLineChars="200"/>
        <w:rPr>
          <w:rFonts w:ascii="宋体" w:hAnsi="宋体"/>
          <w:szCs w:val="21"/>
        </w:rPr>
      </w:pPr>
      <w:r>
        <w:rPr>
          <w:rFonts w:hint="eastAsia" w:ascii="宋体" w:hAnsi="宋体"/>
          <w:szCs w:val="21"/>
        </w:rPr>
        <w:t>2、下列文件均为本合同的组成部分：</w:t>
      </w:r>
    </w:p>
    <w:p>
      <w:pPr>
        <w:ind w:firstLine="420" w:firstLineChars="200"/>
        <w:rPr>
          <w:rFonts w:ascii="宋体" w:hAnsi="宋体"/>
          <w:szCs w:val="21"/>
        </w:rPr>
      </w:pPr>
      <w:r>
        <w:rPr>
          <w:rFonts w:hint="eastAsia" w:ascii="宋体" w:hAnsi="宋体"/>
          <w:szCs w:val="21"/>
        </w:rPr>
        <w:t>（1）号招标文件、答疑及补充通知；</w:t>
      </w:r>
    </w:p>
    <w:p>
      <w:pPr>
        <w:ind w:firstLine="420" w:firstLineChars="200"/>
        <w:rPr>
          <w:rFonts w:ascii="宋体" w:hAnsi="宋体"/>
          <w:szCs w:val="21"/>
        </w:rPr>
      </w:pPr>
      <w:r>
        <w:rPr>
          <w:rFonts w:hint="eastAsia" w:ascii="宋体" w:hAnsi="宋体"/>
          <w:szCs w:val="21"/>
        </w:rPr>
        <w:t>（2）投标文件；</w:t>
      </w:r>
    </w:p>
    <w:p>
      <w:pPr>
        <w:ind w:firstLine="420" w:firstLineChars="200"/>
        <w:rPr>
          <w:rFonts w:ascii="宋体" w:hAnsi="宋体"/>
          <w:szCs w:val="21"/>
        </w:rPr>
      </w:pPr>
      <w:r>
        <w:rPr>
          <w:rFonts w:hint="eastAsia" w:ascii="宋体" w:hAnsi="宋体"/>
          <w:szCs w:val="21"/>
        </w:rPr>
        <w:t>（3）本合同执行中共同签署的补充与修正文件。</w:t>
      </w:r>
    </w:p>
    <w:p>
      <w:pPr>
        <w:ind w:firstLine="420" w:firstLineChars="200"/>
        <w:rPr>
          <w:rFonts w:ascii="宋体" w:hAnsi="宋体"/>
          <w:szCs w:val="21"/>
        </w:rPr>
      </w:pPr>
      <w:r>
        <w:rPr>
          <w:rFonts w:hint="eastAsia" w:ascii="宋体" w:hAnsi="宋体"/>
          <w:szCs w:val="21"/>
        </w:rPr>
        <w:t>本合同一式份，甲、乙方双方各执份，具有同等法律效力。本合同自双方法人代表签字（盖章）认可之日起生效。</w:t>
      </w:r>
    </w:p>
    <w:p>
      <w:pPr>
        <w:ind w:firstLine="420" w:firstLineChars="200"/>
        <w:rPr>
          <w:rFonts w:ascii="宋体" w:hAnsi="宋体"/>
          <w:szCs w:val="21"/>
        </w:rPr>
      </w:pPr>
      <w:r>
        <w:rPr>
          <w:rFonts w:hint="eastAsia" w:ascii="宋体" w:hAnsi="宋体"/>
          <w:szCs w:val="21"/>
        </w:rPr>
        <w:t>本合同未尽事宜，双方友好协商，达成解决方案，经双方签字后，可作为本合同的有效附件。</w:t>
      </w:r>
    </w:p>
    <w:p>
      <w:pPr>
        <w:ind w:firstLine="420" w:firstLineChars="200"/>
        <w:rPr>
          <w:rFonts w:ascii="宋体" w:hAnsi="宋体"/>
          <w:szCs w:val="21"/>
        </w:rPr>
      </w:pPr>
    </w:p>
    <w:p>
      <w:pPr>
        <w:ind w:firstLine="420" w:firstLineChars="200"/>
        <w:rPr>
          <w:rFonts w:ascii="宋体" w:hAnsi="宋体"/>
          <w:szCs w:val="21"/>
        </w:rPr>
      </w:pPr>
    </w:p>
    <w:p>
      <w:pPr>
        <w:spacing w:line="360" w:lineRule="auto"/>
        <w:ind w:firstLine="560"/>
        <w:jc w:val="left"/>
        <w:rPr>
          <w:rFonts w:ascii="宋体" w:hAnsi="宋体"/>
          <w:szCs w:val="21"/>
        </w:rPr>
      </w:pPr>
      <w:r>
        <w:rPr>
          <w:rFonts w:hint="eastAsia" w:ascii="宋体" w:hAnsi="宋体"/>
          <w:szCs w:val="21"/>
        </w:rPr>
        <w:t>甲方（采购人）：   （盖章）       乙方（供应商）：    （盖章）</w:t>
      </w:r>
    </w:p>
    <w:p>
      <w:pPr>
        <w:spacing w:line="360" w:lineRule="auto"/>
        <w:ind w:firstLine="560"/>
        <w:jc w:val="left"/>
        <w:rPr>
          <w:rFonts w:ascii="宋体" w:hAnsi="宋体"/>
          <w:szCs w:val="21"/>
        </w:rPr>
      </w:pPr>
      <w:r>
        <w:rPr>
          <w:rFonts w:hint="eastAsia" w:ascii="宋体" w:hAnsi="宋体"/>
          <w:szCs w:val="21"/>
        </w:rPr>
        <w:t xml:space="preserve">法定代表人：                     法定代表人： </w:t>
      </w:r>
    </w:p>
    <w:p>
      <w:pPr>
        <w:spacing w:line="360" w:lineRule="auto"/>
        <w:ind w:firstLine="560"/>
        <w:jc w:val="left"/>
        <w:rPr>
          <w:rFonts w:ascii="宋体" w:hAnsi="宋体"/>
          <w:szCs w:val="21"/>
        </w:rPr>
      </w:pPr>
      <w:r>
        <w:rPr>
          <w:rFonts w:hint="eastAsia" w:ascii="宋体" w:hAnsi="宋体"/>
          <w:szCs w:val="21"/>
        </w:rPr>
        <w:t>委托代理人：                     委托代理人：</w:t>
      </w:r>
    </w:p>
    <w:p>
      <w:pPr>
        <w:ind w:firstLine="420" w:firstLineChars="200"/>
        <w:rPr>
          <w:rFonts w:ascii="宋体" w:hAnsi="宋体"/>
          <w:szCs w:val="21"/>
        </w:rPr>
      </w:pPr>
      <w:r>
        <w:rPr>
          <w:rFonts w:hint="eastAsia" w:ascii="宋体" w:hAnsi="宋体"/>
          <w:szCs w:val="21"/>
        </w:rPr>
        <w:t>日期：   年     月    日         日期：   年     月    日</w:t>
      </w:r>
    </w:p>
    <w:p>
      <w:pPr>
        <w:ind w:firstLine="420" w:firstLineChars="200"/>
        <w:rPr>
          <w:rFonts w:ascii="宋体" w:hAnsi="宋体"/>
          <w:szCs w:val="21"/>
        </w:rPr>
      </w:pPr>
    </w:p>
    <w:p>
      <w:pPr>
        <w:ind w:firstLine="420" w:firstLineChars="200"/>
        <w:rPr>
          <w:rFonts w:ascii="宋体" w:hAnsi="宋体"/>
          <w:szCs w:val="21"/>
        </w:rPr>
      </w:pPr>
    </w:p>
    <w:p>
      <w:pPr>
        <w:ind w:firstLine="420" w:firstLineChars="200"/>
        <w:rPr>
          <w:rFonts w:ascii="宋体" w:hAnsi="宋体"/>
          <w:szCs w:val="21"/>
        </w:rPr>
      </w:pPr>
    </w:p>
    <w:p>
      <w:pPr>
        <w:ind w:firstLine="420" w:firstLineChars="200"/>
        <w:rPr>
          <w:rFonts w:ascii="宋体" w:hAnsi="宋体"/>
          <w:szCs w:val="21"/>
        </w:rPr>
      </w:pPr>
    </w:p>
    <w:p>
      <w:pPr>
        <w:ind w:firstLine="420" w:firstLineChars="200"/>
        <w:rPr>
          <w:rFonts w:ascii="宋体" w:hAnsi="宋体"/>
          <w:szCs w:val="21"/>
        </w:rPr>
      </w:pPr>
    </w:p>
    <w:p>
      <w:pPr>
        <w:widowControl/>
        <w:jc w:val="left"/>
        <w:rPr>
          <w:rFonts w:ascii="宋体" w:hAnsi="宋体"/>
          <w:szCs w:val="21"/>
        </w:rPr>
      </w:pPr>
      <w:r>
        <w:rPr>
          <w:rFonts w:ascii="宋体" w:hAnsi="宋体"/>
          <w:szCs w:val="21"/>
        </w:rPr>
        <w:br w:type="page"/>
      </w:r>
    </w:p>
    <w:p>
      <w:pPr>
        <w:pStyle w:val="6"/>
        <w:spacing w:before="120" w:beforeLines="50" w:after="120" w:afterLines="50"/>
        <w:ind w:left="562"/>
        <w:jc w:val="center"/>
        <w:rPr>
          <w:sz w:val="28"/>
          <w:szCs w:val="28"/>
        </w:rPr>
      </w:pPr>
      <w:r>
        <w:rPr>
          <w:rFonts w:hint="eastAsia"/>
          <w:sz w:val="28"/>
          <w:szCs w:val="28"/>
        </w:rPr>
        <w:t>第二册  通用条款（公开招标）</w:t>
      </w:r>
    </w:p>
    <w:p>
      <w:pPr>
        <w:pStyle w:val="31"/>
        <w:keepNext/>
        <w:keepLines/>
        <w:numPr>
          <w:ilvl w:val="0"/>
          <w:numId w:val="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46" w:name="_Hlk72399513"/>
      <w:bookmarkStart w:id="47" w:name="_Hlk72439706"/>
      <w:r>
        <w:rPr>
          <w:rFonts w:hint="eastAsia" w:asciiTheme="majorHAnsi" w:hAnsiTheme="majorHAnsi" w:eastAsiaTheme="majorEastAsia" w:cstheme="majorBidi"/>
          <w:b/>
          <w:bCs/>
          <w:sz w:val="28"/>
          <w:szCs w:val="28"/>
        </w:rPr>
        <w:t>总则</w:t>
      </w:r>
    </w:p>
    <w:bookmarkEnd w:id="46"/>
    <w:p>
      <w:pPr>
        <w:ind w:firstLine="420" w:firstLineChars="200"/>
        <w:rPr>
          <w:rFonts w:ascii="黑体" w:hAnsi="宋体" w:eastAsia="黑体"/>
          <w:szCs w:val="21"/>
        </w:rPr>
      </w:pPr>
      <w:r>
        <w:rPr>
          <w:rFonts w:hint="eastAsia" w:ascii="黑体" w:hAnsi="宋体" w:eastAsia="黑体"/>
          <w:szCs w:val="21"/>
        </w:rPr>
        <w:t>1. 通用条款说明</w:t>
      </w:r>
    </w:p>
    <w:p>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48" w:name="_Hlk72399729"/>
      <w:r>
        <w:rPr>
          <w:rFonts w:hint="eastAsia" w:ascii="宋体" w:hAnsi="宋体"/>
          <w:szCs w:val="21"/>
        </w:rPr>
        <w:t>如有需要，政府集中采购机构可以对通用条款的内容进行补充。</w:t>
      </w:r>
      <w:bookmarkEnd w:id="48"/>
    </w:p>
    <w:p>
      <w:pPr>
        <w:ind w:firstLine="420" w:firstLineChars="200"/>
        <w:rPr>
          <w:rFonts w:ascii="宋体" w:hAnsi="宋体"/>
          <w:szCs w:val="21"/>
        </w:rPr>
      </w:pPr>
      <w:r>
        <w:rPr>
          <w:rFonts w:hint="eastAsia" w:ascii="宋体" w:hAnsi="宋体"/>
          <w:szCs w:val="21"/>
        </w:rPr>
        <w:t>1.2招标文件分为第一册“专用条款”和第二册“通用条款”。</w:t>
      </w:r>
    </w:p>
    <w:p>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pPr>
        <w:ind w:firstLine="420" w:firstLineChars="200"/>
        <w:rPr>
          <w:rFonts w:ascii="宋体" w:hAnsi="宋体"/>
          <w:szCs w:val="21"/>
        </w:rPr>
      </w:pPr>
      <w:r>
        <w:rPr>
          <w:rFonts w:hint="eastAsia" w:ascii="宋体" w:hAnsi="宋体"/>
          <w:szCs w:val="21"/>
        </w:rPr>
        <w:t>1.5 “专用条款”和“通用条款”表述不一致或有冲突时，以“专用条款”为准。</w:t>
      </w:r>
    </w:p>
    <w:p>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pPr>
        <w:ind w:firstLine="420" w:firstLineChars="200"/>
        <w:rPr>
          <w:rFonts w:ascii="黑体" w:hAnsi="宋体" w:eastAsia="黑体"/>
          <w:szCs w:val="21"/>
        </w:rPr>
      </w:pPr>
      <w:r>
        <w:rPr>
          <w:rFonts w:hint="eastAsia" w:ascii="黑体" w:hAnsi="宋体" w:eastAsia="黑体"/>
          <w:szCs w:val="21"/>
        </w:rPr>
        <w:t>3．定义</w:t>
      </w:r>
    </w:p>
    <w:p>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pPr>
        <w:ind w:firstLine="420" w:firstLineChars="200"/>
        <w:rPr>
          <w:rFonts w:ascii="宋体" w:hAnsi="宋体"/>
          <w:szCs w:val="21"/>
        </w:rPr>
      </w:pPr>
      <w:r>
        <w:rPr>
          <w:rFonts w:hint="eastAsia" w:ascii="宋体" w:hAnsi="宋体"/>
          <w:szCs w:val="21"/>
        </w:rPr>
        <w:t>3.6“合同”指由本次招标所产生的合同或合约文件；</w:t>
      </w:r>
    </w:p>
    <w:p>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pPr>
        <w:ind w:firstLine="420" w:firstLineChars="200"/>
        <w:rPr>
          <w:rFonts w:ascii="黑体" w:hAnsi="宋体" w:eastAsia="黑体"/>
          <w:szCs w:val="21"/>
        </w:rPr>
      </w:pPr>
      <w:r>
        <w:rPr>
          <w:rFonts w:hint="eastAsia" w:ascii="黑体" w:hAnsi="宋体" w:eastAsia="黑体"/>
          <w:szCs w:val="21"/>
        </w:rPr>
        <w:t xml:space="preserve">4. </w:t>
      </w:r>
      <w:bookmarkStart w:id="49" w:name="_Hlk72398643"/>
      <w:r>
        <w:rPr>
          <w:rFonts w:hint="eastAsia" w:ascii="黑体" w:hAnsi="宋体" w:eastAsia="黑体"/>
          <w:szCs w:val="21"/>
        </w:rPr>
        <w:t>自行采购供应商责任</w:t>
      </w:r>
    </w:p>
    <w:p>
      <w:pPr>
        <w:ind w:firstLine="420" w:firstLineChars="200"/>
        <w:rPr>
          <w:rFonts w:ascii="宋体" w:hAnsi="宋体"/>
          <w:szCs w:val="21"/>
        </w:rPr>
      </w:pPr>
      <w:r>
        <w:rPr>
          <w:rFonts w:hint="eastAsia" w:ascii="宋体" w:hAnsi="宋体"/>
          <w:szCs w:val="21"/>
        </w:rPr>
        <w:t>4.1欢迎诚信、有实力和有社会责任心的供应商参与自行采购事业。</w:t>
      </w:r>
    </w:p>
    <w:p>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pPr>
        <w:ind w:firstLine="420" w:firstLineChars="200"/>
        <w:rPr>
          <w:rFonts w:ascii="黑体" w:hAnsi="宋体" w:eastAsia="黑体"/>
          <w:szCs w:val="21"/>
        </w:rPr>
      </w:pPr>
      <w:r>
        <w:rPr>
          <w:rFonts w:hint="eastAsia" w:ascii="黑体" w:hAnsi="宋体" w:eastAsia="黑体"/>
          <w:szCs w:val="21"/>
        </w:rPr>
        <w:t>5．投标人参加自行采购的条件</w:t>
      </w:r>
    </w:p>
    <w:p>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pPr>
        <w:ind w:firstLine="420" w:firstLineChars="200"/>
        <w:rPr>
          <w:rFonts w:ascii="宋体" w:hAnsi="宋体"/>
          <w:szCs w:val="21"/>
        </w:rPr>
      </w:pPr>
      <w:r>
        <w:rPr>
          <w:rFonts w:hint="eastAsia" w:ascii="宋体" w:hAnsi="宋体"/>
          <w:szCs w:val="21"/>
        </w:rPr>
        <w:t>5.2投标人资格要求</w:t>
      </w:r>
    </w:p>
    <w:p>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pPr>
        <w:ind w:firstLine="420" w:firstLineChars="200"/>
        <w:rPr>
          <w:rFonts w:ascii="宋体" w:hAnsi="宋体"/>
          <w:szCs w:val="21"/>
        </w:rPr>
      </w:pPr>
      <w:r>
        <w:rPr>
          <w:rFonts w:hint="eastAsia" w:ascii="宋体" w:hAnsi="宋体"/>
          <w:szCs w:val="21"/>
        </w:rPr>
        <w:t>5.3联合体投标</w:t>
      </w:r>
    </w:p>
    <w:p>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pPr>
        <w:ind w:firstLine="420" w:firstLineChars="200"/>
        <w:rPr>
          <w:rFonts w:ascii="黑体" w:hAnsi="宋体" w:eastAsia="黑体"/>
          <w:szCs w:val="21"/>
        </w:rPr>
      </w:pPr>
      <w:r>
        <w:rPr>
          <w:rFonts w:hint="eastAsia" w:ascii="黑体" w:hAnsi="宋体" w:eastAsia="黑体"/>
          <w:szCs w:val="21"/>
        </w:rPr>
        <w:t>6．政策导向</w:t>
      </w:r>
    </w:p>
    <w:p>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50"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50"/>
    </w:p>
    <w:p>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pPr>
        <w:ind w:firstLine="420" w:firstLineChars="200"/>
        <w:rPr>
          <w:rFonts w:ascii="黑体" w:hAnsi="宋体" w:eastAsia="黑体"/>
          <w:szCs w:val="21"/>
        </w:rPr>
      </w:pPr>
      <w:r>
        <w:rPr>
          <w:rFonts w:hint="eastAsia" w:ascii="黑体" w:hAnsi="宋体" w:eastAsia="黑体"/>
          <w:szCs w:val="21"/>
        </w:rPr>
        <w:t>8．投标费用</w:t>
      </w:r>
    </w:p>
    <w:p>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pPr>
        <w:ind w:firstLine="420" w:firstLineChars="200"/>
        <w:rPr>
          <w:rFonts w:ascii="黑体" w:hAnsi="宋体" w:eastAsia="黑体"/>
          <w:szCs w:val="21"/>
        </w:rPr>
      </w:pPr>
      <w:r>
        <w:rPr>
          <w:rFonts w:hint="eastAsia" w:ascii="黑体" w:hAnsi="宋体" w:eastAsia="黑体"/>
          <w:szCs w:val="21"/>
        </w:rPr>
        <w:t>9．踏勘现场</w:t>
      </w:r>
    </w:p>
    <w:p>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49"/>
    <w:p>
      <w:pPr>
        <w:ind w:firstLine="411" w:firstLineChars="196"/>
        <w:rPr>
          <w:rFonts w:ascii="宋体" w:hAnsi="宋体"/>
        </w:rPr>
      </w:pPr>
    </w:p>
    <w:p>
      <w:pPr>
        <w:pStyle w:val="31"/>
        <w:keepNext/>
        <w:keepLines/>
        <w:numPr>
          <w:ilvl w:val="0"/>
          <w:numId w:val="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51" w:name="_Hlk72399819"/>
      <w:r>
        <w:rPr>
          <w:rFonts w:hint="eastAsia" w:ascii="黑体" w:hAnsi="宋体" w:eastAsia="黑体"/>
          <w:szCs w:val="21"/>
        </w:rPr>
        <w:t>招标文件的编制与组成</w:t>
      </w:r>
    </w:p>
    <w:p>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pPr>
        <w:ind w:firstLine="420" w:firstLineChars="200"/>
        <w:rPr>
          <w:rFonts w:ascii="宋体" w:hAnsi="宋体"/>
          <w:szCs w:val="21"/>
        </w:rPr>
      </w:pPr>
      <w:r>
        <w:rPr>
          <w:rFonts w:hint="eastAsia" w:ascii="宋体" w:hAnsi="宋体"/>
          <w:szCs w:val="21"/>
        </w:rPr>
        <w:t>招标文件包括下列内容：</w:t>
      </w:r>
    </w:p>
    <w:p>
      <w:pPr>
        <w:ind w:firstLine="422" w:firstLineChars="200"/>
        <w:rPr>
          <w:rFonts w:ascii="宋体" w:hAnsi="宋体"/>
          <w:b/>
          <w:szCs w:val="21"/>
        </w:rPr>
      </w:pPr>
      <w:r>
        <w:rPr>
          <w:rFonts w:hint="eastAsia" w:ascii="宋体" w:hAnsi="宋体"/>
          <w:b/>
          <w:szCs w:val="21"/>
        </w:rPr>
        <w:t>第一册  专用条款</w:t>
      </w:r>
    </w:p>
    <w:p>
      <w:pPr>
        <w:ind w:firstLine="422" w:firstLineChars="200"/>
        <w:rPr>
          <w:rFonts w:ascii="宋体" w:hAnsi="宋体"/>
          <w:b/>
          <w:szCs w:val="21"/>
        </w:rPr>
      </w:pPr>
      <w:r>
        <w:rPr>
          <w:rFonts w:hint="eastAsia" w:ascii="宋体" w:hAnsi="宋体"/>
          <w:b/>
          <w:szCs w:val="21"/>
        </w:rPr>
        <w:t>关键信息</w:t>
      </w:r>
    </w:p>
    <w:p>
      <w:pPr>
        <w:ind w:firstLine="420" w:firstLineChars="200"/>
        <w:rPr>
          <w:rFonts w:ascii="宋体" w:hAnsi="宋体"/>
          <w:szCs w:val="21"/>
        </w:rPr>
      </w:pPr>
      <w:r>
        <w:rPr>
          <w:rFonts w:hint="eastAsia" w:ascii="宋体" w:hAnsi="宋体"/>
          <w:szCs w:val="21"/>
        </w:rPr>
        <w:t>第一章  招标公告</w:t>
      </w:r>
    </w:p>
    <w:p>
      <w:pPr>
        <w:ind w:firstLine="420" w:firstLineChars="200"/>
        <w:rPr>
          <w:rFonts w:ascii="宋体" w:hAnsi="宋体"/>
          <w:szCs w:val="21"/>
        </w:rPr>
      </w:pPr>
      <w:r>
        <w:rPr>
          <w:rFonts w:hint="eastAsia" w:ascii="宋体" w:hAnsi="宋体"/>
          <w:szCs w:val="21"/>
        </w:rPr>
        <w:t>第二章  对通用条款的补充内容及其他关键信息</w:t>
      </w:r>
    </w:p>
    <w:p>
      <w:pPr>
        <w:ind w:firstLine="420" w:firstLineChars="200"/>
        <w:rPr>
          <w:rFonts w:ascii="宋体" w:hAnsi="宋体"/>
          <w:szCs w:val="21"/>
        </w:rPr>
      </w:pPr>
      <w:r>
        <w:rPr>
          <w:rFonts w:hint="eastAsia" w:ascii="宋体" w:hAnsi="宋体"/>
          <w:szCs w:val="21"/>
        </w:rPr>
        <w:t>第三章  用户需求书</w:t>
      </w:r>
    </w:p>
    <w:p>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pPr>
        <w:ind w:firstLine="420" w:firstLineChars="200"/>
        <w:rPr>
          <w:rFonts w:ascii="宋体" w:hAnsi="宋体"/>
          <w:szCs w:val="21"/>
        </w:rPr>
      </w:pPr>
      <w:r>
        <w:rPr>
          <w:rFonts w:hint="eastAsia" w:ascii="宋体" w:hAnsi="宋体"/>
          <w:szCs w:val="21"/>
        </w:rPr>
        <w:t>第五章  合同条款及格式</w:t>
      </w:r>
    </w:p>
    <w:p>
      <w:pPr>
        <w:ind w:firstLine="422" w:firstLineChars="200"/>
        <w:rPr>
          <w:rFonts w:ascii="宋体" w:hAnsi="宋体"/>
          <w:b/>
          <w:szCs w:val="21"/>
        </w:rPr>
      </w:pPr>
      <w:r>
        <w:rPr>
          <w:rFonts w:hint="eastAsia" w:ascii="宋体" w:hAnsi="宋体"/>
          <w:b/>
          <w:szCs w:val="21"/>
        </w:rPr>
        <w:t>第二册  通用条款</w:t>
      </w:r>
    </w:p>
    <w:p>
      <w:pPr>
        <w:ind w:firstLine="420" w:firstLineChars="200"/>
        <w:rPr>
          <w:rFonts w:ascii="宋体" w:hAnsi="宋体"/>
          <w:szCs w:val="21"/>
        </w:rPr>
      </w:pPr>
      <w:r>
        <w:rPr>
          <w:rFonts w:hint="eastAsia" w:ascii="宋体" w:hAnsi="宋体"/>
          <w:szCs w:val="21"/>
        </w:rPr>
        <w:t>第一章  总则</w:t>
      </w:r>
    </w:p>
    <w:p>
      <w:pPr>
        <w:ind w:firstLine="420" w:firstLineChars="200"/>
        <w:rPr>
          <w:rFonts w:ascii="宋体" w:hAnsi="宋体"/>
          <w:szCs w:val="21"/>
        </w:rPr>
      </w:pPr>
      <w:r>
        <w:rPr>
          <w:rFonts w:hint="eastAsia" w:ascii="宋体" w:hAnsi="宋体"/>
          <w:szCs w:val="21"/>
        </w:rPr>
        <w:t>第二章  招标文件</w:t>
      </w:r>
    </w:p>
    <w:p>
      <w:pPr>
        <w:ind w:firstLine="420" w:firstLineChars="200"/>
        <w:rPr>
          <w:rFonts w:ascii="宋体" w:hAnsi="宋体"/>
          <w:szCs w:val="21"/>
        </w:rPr>
      </w:pPr>
      <w:r>
        <w:rPr>
          <w:rFonts w:hint="eastAsia" w:ascii="宋体" w:hAnsi="宋体"/>
          <w:szCs w:val="21"/>
        </w:rPr>
        <w:t>第三章  投标文件的编制</w:t>
      </w:r>
    </w:p>
    <w:p>
      <w:pPr>
        <w:ind w:firstLine="420" w:firstLineChars="200"/>
        <w:rPr>
          <w:rFonts w:ascii="宋体" w:hAnsi="宋体"/>
          <w:szCs w:val="21"/>
        </w:rPr>
      </w:pPr>
      <w:r>
        <w:rPr>
          <w:rFonts w:hint="eastAsia" w:ascii="宋体" w:hAnsi="宋体"/>
          <w:szCs w:val="21"/>
        </w:rPr>
        <w:t>第四章  投标文件的递交</w:t>
      </w:r>
    </w:p>
    <w:p>
      <w:pPr>
        <w:ind w:firstLine="420" w:firstLineChars="200"/>
        <w:rPr>
          <w:rFonts w:ascii="宋体" w:hAnsi="宋体"/>
          <w:szCs w:val="21"/>
        </w:rPr>
      </w:pPr>
      <w:r>
        <w:rPr>
          <w:rFonts w:hint="eastAsia" w:ascii="宋体" w:hAnsi="宋体"/>
          <w:szCs w:val="21"/>
        </w:rPr>
        <w:t>第五章  开标</w:t>
      </w:r>
    </w:p>
    <w:p>
      <w:pPr>
        <w:ind w:firstLine="420" w:firstLineChars="200"/>
        <w:rPr>
          <w:rFonts w:ascii="宋体" w:hAnsi="宋体"/>
          <w:szCs w:val="21"/>
        </w:rPr>
      </w:pPr>
      <w:r>
        <w:rPr>
          <w:rFonts w:hint="eastAsia" w:ascii="宋体" w:hAnsi="宋体"/>
          <w:szCs w:val="21"/>
        </w:rPr>
        <w:t>第六章  评审要求</w:t>
      </w:r>
    </w:p>
    <w:p>
      <w:pPr>
        <w:ind w:firstLine="420" w:firstLineChars="200"/>
        <w:rPr>
          <w:rFonts w:ascii="宋体" w:hAnsi="宋体"/>
          <w:szCs w:val="21"/>
        </w:rPr>
      </w:pPr>
      <w:r>
        <w:rPr>
          <w:rFonts w:hint="eastAsia" w:ascii="宋体" w:hAnsi="宋体"/>
          <w:szCs w:val="21"/>
        </w:rPr>
        <w:t>第七章  评审程序及评审方法</w:t>
      </w:r>
    </w:p>
    <w:p>
      <w:pPr>
        <w:ind w:firstLine="420" w:firstLineChars="200"/>
        <w:rPr>
          <w:rFonts w:ascii="宋体" w:hAnsi="宋体"/>
          <w:szCs w:val="21"/>
        </w:rPr>
      </w:pPr>
      <w:r>
        <w:rPr>
          <w:rFonts w:hint="eastAsia" w:ascii="宋体" w:hAnsi="宋体"/>
          <w:szCs w:val="21"/>
        </w:rPr>
        <w:t>第八章  定标及公示</w:t>
      </w:r>
    </w:p>
    <w:p>
      <w:pPr>
        <w:ind w:firstLine="420" w:firstLineChars="200"/>
        <w:rPr>
          <w:rFonts w:ascii="宋体" w:hAnsi="宋体"/>
          <w:szCs w:val="21"/>
        </w:rPr>
      </w:pPr>
      <w:r>
        <w:rPr>
          <w:rFonts w:hint="eastAsia" w:ascii="宋体" w:hAnsi="宋体"/>
          <w:szCs w:val="21"/>
        </w:rPr>
        <w:t>第九章  公开招标失败的后续处理</w:t>
      </w:r>
    </w:p>
    <w:p>
      <w:pPr>
        <w:ind w:firstLine="420" w:firstLineChars="200"/>
        <w:rPr>
          <w:rFonts w:ascii="宋体" w:hAnsi="宋体"/>
          <w:szCs w:val="21"/>
        </w:rPr>
      </w:pPr>
      <w:r>
        <w:rPr>
          <w:rFonts w:hint="eastAsia" w:ascii="宋体" w:hAnsi="宋体"/>
          <w:szCs w:val="21"/>
        </w:rPr>
        <w:t>第十章  合同的授予与备案</w:t>
      </w:r>
    </w:p>
    <w:p>
      <w:pPr>
        <w:ind w:firstLine="420" w:firstLineChars="200"/>
        <w:rPr>
          <w:rFonts w:ascii="宋体" w:hAnsi="宋体"/>
          <w:szCs w:val="21"/>
        </w:rPr>
      </w:pPr>
      <w:r>
        <w:rPr>
          <w:rFonts w:hint="eastAsia" w:ascii="宋体" w:hAnsi="宋体"/>
          <w:szCs w:val="21"/>
        </w:rPr>
        <w:t>第十一章  质疑处理</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51"/>
    </w:p>
    <w:p>
      <w:pPr>
        <w:rPr>
          <w:rFonts w:ascii="宋体" w:hAnsi="宋体"/>
          <w:szCs w:val="21"/>
        </w:rPr>
      </w:pPr>
    </w:p>
    <w:p>
      <w:pPr>
        <w:pStyle w:val="31"/>
        <w:keepNext/>
        <w:keepLines/>
        <w:numPr>
          <w:ilvl w:val="0"/>
          <w:numId w:val="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pPr>
        <w:ind w:firstLine="420" w:firstLineChars="200"/>
        <w:rPr>
          <w:rFonts w:ascii="黑体" w:hAnsi="宋体" w:eastAsia="黑体"/>
          <w:szCs w:val="21"/>
        </w:rPr>
      </w:pPr>
      <w:r>
        <w:rPr>
          <w:rFonts w:hint="eastAsia" w:ascii="黑体" w:hAnsi="宋体" w:eastAsia="黑体"/>
          <w:szCs w:val="21"/>
        </w:rPr>
        <w:t>14．</w:t>
      </w:r>
      <w:bookmarkStart w:id="52" w:name="_Hlk72400236"/>
      <w:r>
        <w:rPr>
          <w:rFonts w:hint="eastAsia" w:ascii="黑体" w:hAnsi="宋体" w:eastAsia="黑体"/>
          <w:szCs w:val="21"/>
        </w:rPr>
        <w:t>投标文件的语言及度量单位</w:t>
      </w:r>
    </w:p>
    <w:p>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52"/>
    <w:p>
      <w:pPr>
        <w:ind w:firstLine="420" w:firstLineChars="200"/>
        <w:rPr>
          <w:rFonts w:ascii="黑体" w:hAnsi="宋体" w:eastAsia="黑体"/>
          <w:szCs w:val="21"/>
        </w:rPr>
      </w:pPr>
      <w:r>
        <w:rPr>
          <w:rFonts w:hint="eastAsia" w:ascii="黑体" w:hAnsi="宋体" w:eastAsia="黑体"/>
          <w:szCs w:val="21"/>
        </w:rPr>
        <w:t>15．</w:t>
      </w:r>
      <w:bookmarkStart w:id="53" w:name="_Hlk72401567"/>
      <w:r>
        <w:rPr>
          <w:rFonts w:hint="eastAsia" w:ascii="黑体" w:hAnsi="宋体" w:eastAsia="黑体"/>
          <w:szCs w:val="21"/>
        </w:rPr>
        <w:t>投标文件的组成</w:t>
      </w:r>
    </w:p>
    <w:p>
      <w:pPr>
        <w:ind w:firstLine="420" w:firstLineChars="200"/>
        <w:rPr>
          <w:rFonts w:ascii="宋体" w:hAnsi="宋体"/>
          <w:szCs w:val="21"/>
        </w:rPr>
      </w:pPr>
      <w:r>
        <w:rPr>
          <w:rFonts w:hint="eastAsia" w:ascii="宋体" w:hAnsi="宋体"/>
          <w:szCs w:val="21"/>
        </w:rPr>
        <w:t>具体内容在招标文件专用条款中进行规定。</w:t>
      </w:r>
    </w:p>
    <w:p>
      <w:pPr>
        <w:ind w:firstLine="420" w:firstLineChars="200"/>
        <w:rPr>
          <w:rFonts w:ascii="黑体" w:hAnsi="宋体" w:eastAsia="黑体"/>
          <w:szCs w:val="21"/>
        </w:rPr>
      </w:pPr>
      <w:r>
        <w:rPr>
          <w:rFonts w:ascii="黑体" w:hAnsi="宋体" w:eastAsia="黑体"/>
          <w:szCs w:val="21"/>
        </w:rPr>
        <w:t>16．投标文件格式</w:t>
      </w:r>
    </w:p>
    <w:p>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pPr>
        <w:ind w:firstLine="420" w:firstLineChars="200"/>
        <w:rPr>
          <w:rFonts w:ascii="黑体" w:hAnsi="宋体" w:eastAsia="黑体"/>
          <w:szCs w:val="21"/>
        </w:rPr>
      </w:pPr>
      <w:r>
        <w:rPr>
          <w:rFonts w:hint="eastAsia" w:ascii="黑体" w:hAnsi="宋体" w:eastAsia="黑体"/>
          <w:szCs w:val="21"/>
        </w:rPr>
        <w:t>17．投标货币</w:t>
      </w:r>
    </w:p>
    <w:p>
      <w:pPr>
        <w:ind w:firstLine="420" w:firstLineChars="200"/>
        <w:rPr>
          <w:rFonts w:ascii="宋体" w:hAnsi="宋体"/>
          <w:szCs w:val="21"/>
        </w:rPr>
      </w:pPr>
      <w:r>
        <w:rPr>
          <w:rFonts w:hint="eastAsia" w:ascii="宋体" w:hAnsi="宋体"/>
          <w:szCs w:val="21"/>
        </w:rPr>
        <w:t>本项目的投标报价应以人民币计。</w:t>
      </w:r>
    </w:p>
    <w:bookmarkEnd w:id="53"/>
    <w:p>
      <w:pPr>
        <w:ind w:firstLine="420" w:firstLineChars="200"/>
        <w:rPr>
          <w:rFonts w:ascii="黑体" w:hAnsi="宋体" w:eastAsia="黑体"/>
          <w:szCs w:val="21"/>
        </w:rPr>
      </w:pPr>
      <w:r>
        <w:rPr>
          <w:rFonts w:hint="eastAsia" w:ascii="黑体" w:hAnsi="宋体" w:eastAsia="黑体"/>
          <w:szCs w:val="21"/>
        </w:rPr>
        <w:t>18．</w:t>
      </w:r>
      <w:bookmarkStart w:id="54" w:name="_Hlk72401735"/>
      <w:r>
        <w:rPr>
          <w:rFonts w:hint="eastAsia" w:ascii="黑体" w:hAnsi="宋体" w:eastAsia="黑体"/>
          <w:szCs w:val="21"/>
        </w:rPr>
        <w:t>证明投标文件投标技术方案的合格性和符合招标文件规定的文件要求</w:t>
      </w:r>
    </w:p>
    <w:p>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pPr>
        <w:ind w:firstLine="420" w:firstLineChars="200"/>
        <w:rPr>
          <w:rFonts w:ascii="宋体" w:hAnsi="宋体"/>
          <w:szCs w:val="21"/>
        </w:rPr>
      </w:pPr>
      <w:r>
        <w:rPr>
          <w:rFonts w:hint="eastAsia" w:ascii="宋体" w:hAnsi="宋体"/>
          <w:szCs w:val="21"/>
        </w:rPr>
        <w:t>18.2.1主要技术指标和性能的详细说明。</w:t>
      </w:r>
    </w:p>
    <w:p>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54"/>
    <w:p>
      <w:pPr>
        <w:ind w:firstLine="420" w:firstLineChars="200"/>
        <w:rPr>
          <w:rFonts w:ascii="黑体" w:hAnsi="宋体" w:eastAsia="黑体"/>
          <w:szCs w:val="21"/>
        </w:rPr>
      </w:pPr>
      <w:r>
        <w:rPr>
          <w:rFonts w:hint="eastAsia" w:ascii="黑体" w:hAnsi="宋体" w:eastAsia="黑体"/>
          <w:szCs w:val="21"/>
        </w:rPr>
        <w:t>19．</w:t>
      </w:r>
      <w:bookmarkStart w:id="55" w:name="_Hlk72402034"/>
      <w:r>
        <w:rPr>
          <w:rFonts w:hint="eastAsia" w:ascii="黑体" w:hAnsi="宋体" w:eastAsia="黑体"/>
          <w:szCs w:val="21"/>
        </w:rPr>
        <w:t>投标文件其他证明文件的要求</w:t>
      </w:r>
    </w:p>
    <w:p>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56" w:name="_Hlk71407299"/>
    </w:p>
    <w:bookmarkEnd w:id="56"/>
    <w:p>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pPr>
        <w:ind w:firstLine="420" w:firstLineChars="200"/>
        <w:rPr>
          <w:rFonts w:ascii="黑体" w:hAnsi="宋体" w:eastAsia="黑体"/>
          <w:szCs w:val="21"/>
        </w:rPr>
      </w:pPr>
      <w:r>
        <w:rPr>
          <w:rFonts w:hint="eastAsia" w:ascii="黑体" w:hAnsi="宋体" w:eastAsia="黑体"/>
          <w:szCs w:val="21"/>
        </w:rPr>
        <w:t>20．投标有效期</w:t>
      </w:r>
    </w:p>
    <w:bookmarkEnd w:id="55"/>
    <w:p>
      <w:pPr>
        <w:ind w:firstLine="420" w:firstLineChars="200"/>
        <w:rPr>
          <w:rFonts w:ascii="宋体" w:hAnsi="宋体"/>
          <w:szCs w:val="21"/>
        </w:rPr>
      </w:pPr>
      <w:bookmarkStart w:id="57"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57"/>
    <w:p>
      <w:pPr>
        <w:ind w:firstLine="420" w:firstLineChars="200"/>
        <w:rPr>
          <w:rFonts w:ascii="黑体" w:hAnsi="宋体" w:eastAsia="黑体"/>
          <w:szCs w:val="21"/>
        </w:rPr>
      </w:pPr>
      <w:r>
        <w:rPr>
          <w:rFonts w:hint="eastAsia" w:ascii="黑体" w:hAnsi="宋体" w:eastAsia="黑体"/>
          <w:szCs w:val="21"/>
        </w:rPr>
        <w:t>21．</w:t>
      </w:r>
      <w:bookmarkStart w:id="58" w:name="_Hlk72402325"/>
      <w:r>
        <w:rPr>
          <w:rFonts w:hint="eastAsia" w:ascii="黑体" w:hAnsi="宋体" w:eastAsia="黑体"/>
          <w:szCs w:val="21"/>
        </w:rPr>
        <w:t xml:space="preserve">关于投标保证金 </w:t>
      </w:r>
    </w:p>
    <w:p>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pPr>
        <w:ind w:firstLine="420" w:firstLineChars="200"/>
        <w:rPr>
          <w:rFonts w:ascii="黑体" w:hAnsi="宋体" w:eastAsia="黑体"/>
          <w:szCs w:val="21"/>
        </w:rPr>
      </w:pPr>
      <w:r>
        <w:rPr>
          <w:rFonts w:hint="eastAsia" w:ascii="黑体" w:hAnsi="宋体" w:eastAsia="黑体"/>
          <w:szCs w:val="21"/>
        </w:rPr>
        <w:t>22．投标人的替代方案</w:t>
      </w:r>
    </w:p>
    <w:p>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58"/>
    <w:p>
      <w:pPr>
        <w:ind w:firstLine="420" w:firstLineChars="200"/>
        <w:rPr>
          <w:rFonts w:ascii="黑体" w:hAnsi="宋体" w:eastAsia="黑体"/>
          <w:szCs w:val="21"/>
        </w:rPr>
      </w:pPr>
      <w:r>
        <w:rPr>
          <w:rFonts w:hint="eastAsia" w:ascii="黑体" w:hAnsi="宋体" w:eastAsia="黑体"/>
          <w:szCs w:val="21"/>
        </w:rPr>
        <w:t>23．</w:t>
      </w:r>
      <w:bookmarkStart w:id="59"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pPr>
        <w:ind w:firstLine="420" w:firstLineChars="200"/>
        <w:rPr>
          <w:rFonts w:ascii="宋体" w:hAnsi="宋体"/>
          <w:szCs w:val="21"/>
        </w:rPr>
      </w:pPr>
      <w:r>
        <w:rPr>
          <w:rFonts w:hint="eastAsia" w:ascii="宋体" w:hAnsi="宋体"/>
          <w:szCs w:val="21"/>
        </w:rPr>
        <w:t>23.1投标人应准备所投项目的电子投标文件一份。</w:t>
      </w:r>
    </w:p>
    <w:p>
      <w:pPr>
        <w:ind w:firstLine="420" w:firstLineChars="200"/>
        <w:rPr>
          <w:rFonts w:ascii="宋体" w:hAnsi="宋体"/>
          <w:szCs w:val="21"/>
        </w:rPr>
      </w:pPr>
      <w:r>
        <w:rPr>
          <w:rFonts w:hint="eastAsia" w:ascii="宋体" w:hAnsi="宋体"/>
          <w:szCs w:val="21"/>
        </w:rPr>
        <w:t>23.2投标人在使用《投标书编制软件》编制投标书时须注意：</w:t>
      </w:r>
    </w:p>
    <w:p>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pPr>
        <w:ind w:firstLine="420" w:firstLineChars="200"/>
        <w:rPr>
          <w:rFonts w:ascii="宋体" w:hAnsi="宋体"/>
          <w:szCs w:val="21"/>
        </w:rPr>
      </w:pPr>
      <w:r>
        <w:rPr>
          <w:rFonts w:hint="eastAsia" w:ascii="宋体" w:hAnsi="宋体"/>
          <w:szCs w:val="21"/>
        </w:rPr>
        <w:t>23.3电报、电话、传真形式的投标概不接受。</w:t>
      </w:r>
    </w:p>
    <w:p>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59"/>
    </w:p>
    <w:p>
      <w:pPr>
        <w:ind w:firstLine="411" w:firstLineChars="196"/>
        <w:rPr>
          <w:rFonts w:ascii="宋体" w:hAnsi="宋体"/>
          <w:szCs w:val="21"/>
        </w:rPr>
      </w:pPr>
    </w:p>
    <w:p>
      <w:pPr>
        <w:pStyle w:val="31"/>
        <w:keepNext/>
        <w:keepLines/>
        <w:numPr>
          <w:ilvl w:val="0"/>
          <w:numId w:val="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pPr>
        <w:ind w:firstLine="420" w:firstLineChars="200"/>
        <w:rPr>
          <w:rFonts w:ascii="黑体" w:hAnsi="宋体" w:eastAsia="黑体"/>
          <w:szCs w:val="21"/>
        </w:rPr>
      </w:pPr>
      <w:bookmarkStart w:id="60" w:name="_Hlk72405459"/>
      <w:r>
        <w:rPr>
          <w:rFonts w:hint="eastAsia" w:ascii="黑体" w:hAnsi="宋体" w:eastAsia="黑体"/>
          <w:szCs w:val="21"/>
        </w:rPr>
        <w:t>24．投标文件的保密</w:t>
      </w:r>
    </w:p>
    <w:p>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pPr>
        <w:ind w:firstLine="422" w:firstLineChars="200"/>
        <w:rPr>
          <w:rFonts w:ascii="宋体" w:hAnsi="宋体"/>
          <w:b/>
          <w:szCs w:val="21"/>
        </w:rPr>
      </w:pPr>
      <w:r>
        <w:rPr>
          <w:rFonts w:hint="eastAsia" w:ascii="宋体" w:hAnsi="宋体"/>
          <w:b/>
          <w:szCs w:val="21"/>
        </w:rPr>
        <w:t>24.2若采购项目出现延期情况：</w:t>
      </w:r>
    </w:p>
    <w:p>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pPr>
        <w:ind w:firstLine="420" w:firstLineChars="200"/>
        <w:rPr>
          <w:rFonts w:ascii="黑体" w:hAnsi="宋体" w:eastAsia="黑体"/>
          <w:szCs w:val="21"/>
        </w:rPr>
      </w:pPr>
      <w:r>
        <w:rPr>
          <w:rFonts w:hint="eastAsia" w:ascii="黑体" w:hAnsi="宋体" w:eastAsia="黑体"/>
          <w:szCs w:val="21"/>
        </w:rPr>
        <w:t>25．上传投标文件及投标截止日期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60"/>
    <w:p>
      <w:pPr>
        <w:ind w:firstLine="420" w:firstLineChars="200"/>
        <w:rPr>
          <w:rFonts w:ascii="黑体" w:hAnsi="宋体" w:eastAsia="黑体"/>
          <w:szCs w:val="21"/>
        </w:rPr>
      </w:pPr>
      <w:r>
        <w:rPr>
          <w:rFonts w:hint="eastAsia" w:ascii="黑体" w:hAnsi="宋体" w:eastAsia="黑体"/>
          <w:szCs w:val="21"/>
        </w:rPr>
        <w:t>26. 样品、现场演示、方案讲解</w:t>
      </w:r>
    </w:p>
    <w:p>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pPr>
        <w:ind w:firstLine="420" w:firstLineChars="200"/>
        <w:rPr>
          <w:rFonts w:ascii="黑体" w:hAnsi="宋体" w:eastAsia="黑体"/>
          <w:szCs w:val="21"/>
        </w:rPr>
      </w:pPr>
      <w:bookmarkStart w:id="61"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61"/>
    <w:p>
      <w:pPr>
        <w:pStyle w:val="31"/>
        <w:keepNext/>
        <w:keepLines/>
        <w:numPr>
          <w:ilvl w:val="0"/>
          <w:numId w:val="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pPr>
        <w:ind w:firstLine="420" w:firstLineChars="200"/>
        <w:rPr>
          <w:rFonts w:ascii="黑体" w:hAnsi="宋体" w:eastAsia="黑体"/>
          <w:szCs w:val="21"/>
        </w:rPr>
      </w:pPr>
      <w:r>
        <w:rPr>
          <w:rFonts w:hint="eastAsia" w:ascii="黑体" w:hAnsi="宋体" w:eastAsia="黑体"/>
          <w:szCs w:val="21"/>
        </w:rPr>
        <w:t>28．开标</w:t>
      </w:r>
    </w:p>
    <w:p>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pPr>
        <w:ind w:firstLine="315" w:firstLineChars="150"/>
        <w:rPr>
          <w:rFonts w:ascii="宋体" w:hAnsi="宋体"/>
          <w:szCs w:val="21"/>
        </w:rPr>
      </w:pPr>
    </w:p>
    <w:p>
      <w:pPr>
        <w:pStyle w:val="31"/>
        <w:keepNext/>
        <w:keepLines/>
        <w:numPr>
          <w:ilvl w:val="0"/>
          <w:numId w:val="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pPr>
        <w:ind w:firstLine="420" w:firstLineChars="200"/>
        <w:rPr>
          <w:rFonts w:ascii="黑体" w:hAnsi="宋体" w:eastAsia="黑体"/>
          <w:szCs w:val="21"/>
        </w:rPr>
      </w:pPr>
      <w:r>
        <w:rPr>
          <w:rFonts w:hint="eastAsia" w:ascii="黑体" w:hAnsi="宋体" w:eastAsia="黑体"/>
          <w:szCs w:val="21"/>
        </w:rPr>
        <w:t>29．评审委员会组成</w:t>
      </w:r>
    </w:p>
    <w:p>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pPr>
        <w:ind w:firstLine="420" w:firstLineChars="200"/>
        <w:rPr>
          <w:rFonts w:ascii="宋体" w:hAnsi="宋体"/>
          <w:szCs w:val="21"/>
        </w:rPr>
      </w:pPr>
      <w:bookmarkStart w:id="62"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62"/>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pPr>
        <w:ind w:firstLine="420" w:firstLineChars="200"/>
        <w:rPr>
          <w:rFonts w:ascii="宋体" w:hAnsi="宋体"/>
          <w:szCs w:val="21"/>
        </w:rPr>
      </w:pPr>
      <w:r>
        <w:rPr>
          <w:rFonts w:hint="eastAsia" w:ascii="宋体" w:hAnsi="宋体"/>
          <w:szCs w:val="21"/>
        </w:rPr>
        <w:t>29.2评审定标应当遵循公平、公正、科学、择优的原则。</w:t>
      </w:r>
    </w:p>
    <w:p>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pPr>
        <w:ind w:firstLine="420" w:firstLineChars="200"/>
        <w:rPr>
          <w:rFonts w:ascii="黑体" w:hAnsi="宋体" w:eastAsia="黑体"/>
          <w:szCs w:val="21"/>
        </w:rPr>
      </w:pPr>
      <w:r>
        <w:rPr>
          <w:rFonts w:hint="eastAsia" w:ascii="黑体" w:hAnsi="宋体" w:eastAsia="黑体"/>
          <w:szCs w:val="21"/>
        </w:rPr>
        <w:t>30．向评审委员会提供的资料</w:t>
      </w:r>
    </w:p>
    <w:p>
      <w:pPr>
        <w:ind w:firstLine="420" w:firstLineChars="200"/>
        <w:rPr>
          <w:rFonts w:ascii="宋体" w:hAnsi="宋体"/>
          <w:szCs w:val="21"/>
        </w:rPr>
      </w:pPr>
      <w:r>
        <w:rPr>
          <w:rFonts w:hint="eastAsia" w:ascii="宋体" w:hAnsi="宋体"/>
          <w:szCs w:val="21"/>
        </w:rPr>
        <w:t>30.1公开发布的招标文件，包括图纸、服务清单、答疑文件等；</w:t>
      </w:r>
    </w:p>
    <w:p>
      <w:pPr>
        <w:ind w:firstLine="420" w:firstLineChars="200"/>
        <w:rPr>
          <w:rFonts w:ascii="宋体" w:hAnsi="宋体"/>
          <w:szCs w:val="21"/>
        </w:rPr>
      </w:pPr>
      <w:r>
        <w:rPr>
          <w:rFonts w:hint="eastAsia" w:ascii="宋体" w:hAnsi="宋体"/>
          <w:szCs w:val="21"/>
        </w:rPr>
        <w:t>30.2其他评标必须的资料。</w:t>
      </w:r>
    </w:p>
    <w:p>
      <w:pPr>
        <w:ind w:firstLine="420" w:firstLineChars="200"/>
        <w:rPr>
          <w:rFonts w:ascii="宋体" w:hAnsi="宋体"/>
          <w:szCs w:val="21"/>
        </w:rPr>
      </w:pPr>
      <w:r>
        <w:rPr>
          <w:rFonts w:hint="eastAsia" w:ascii="宋体" w:hAnsi="宋体"/>
          <w:szCs w:val="21"/>
        </w:rPr>
        <w:t>30.3评审委员会应当认真研究招标文件，至少应了解熟悉以下内容：</w:t>
      </w:r>
    </w:p>
    <w:p>
      <w:pPr>
        <w:ind w:firstLine="420" w:firstLineChars="200"/>
        <w:rPr>
          <w:rFonts w:ascii="宋体" w:hAnsi="宋体"/>
          <w:szCs w:val="21"/>
        </w:rPr>
      </w:pPr>
      <w:r>
        <w:rPr>
          <w:rFonts w:hint="eastAsia" w:ascii="宋体" w:hAnsi="宋体"/>
          <w:szCs w:val="21"/>
        </w:rPr>
        <w:t>（1）招标的目的；</w:t>
      </w:r>
    </w:p>
    <w:p>
      <w:pPr>
        <w:ind w:firstLine="420" w:firstLineChars="200"/>
        <w:rPr>
          <w:rFonts w:ascii="宋体" w:hAnsi="宋体"/>
          <w:szCs w:val="21"/>
        </w:rPr>
      </w:pPr>
      <w:r>
        <w:rPr>
          <w:rFonts w:hint="eastAsia" w:ascii="宋体" w:hAnsi="宋体"/>
          <w:szCs w:val="21"/>
        </w:rPr>
        <w:t>（2）招标项目需求的范围和性质；</w:t>
      </w:r>
    </w:p>
    <w:p>
      <w:pPr>
        <w:ind w:firstLine="420" w:firstLineChars="200"/>
        <w:rPr>
          <w:rFonts w:ascii="宋体" w:hAnsi="宋体"/>
          <w:szCs w:val="21"/>
        </w:rPr>
      </w:pPr>
      <w:r>
        <w:rPr>
          <w:rFonts w:hint="eastAsia" w:ascii="宋体" w:hAnsi="宋体"/>
          <w:szCs w:val="21"/>
        </w:rPr>
        <w:t>（3）招标文件规定的投标人的资格、财政预算限额、商务条款；</w:t>
      </w:r>
    </w:p>
    <w:p>
      <w:pPr>
        <w:ind w:firstLine="420" w:firstLineChars="200"/>
        <w:rPr>
          <w:rFonts w:ascii="宋体" w:hAnsi="宋体"/>
          <w:szCs w:val="21"/>
        </w:rPr>
      </w:pPr>
      <w:r>
        <w:rPr>
          <w:rFonts w:hint="eastAsia" w:ascii="宋体" w:hAnsi="宋体"/>
          <w:szCs w:val="21"/>
        </w:rPr>
        <w:t>（4）招标文件规定的评标程序、评标方法和评标因素；</w:t>
      </w:r>
    </w:p>
    <w:p>
      <w:pPr>
        <w:ind w:firstLine="420" w:firstLineChars="200"/>
        <w:rPr>
          <w:rFonts w:ascii="宋体" w:hAnsi="宋体"/>
          <w:szCs w:val="21"/>
        </w:rPr>
      </w:pPr>
      <w:r>
        <w:rPr>
          <w:rFonts w:hint="eastAsia" w:ascii="宋体" w:hAnsi="宋体"/>
          <w:szCs w:val="21"/>
        </w:rPr>
        <w:t>（5）招标文件所列示的资格性审查表及符合性审查表。</w:t>
      </w:r>
    </w:p>
    <w:p>
      <w:pPr>
        <w:ind w:firstLine="420" w:firstLineChars="200"/>
        <w:rPr>
          <w:rFonts w:ascii="黑体" w:hAnsi="宋体" w:eastAsia="黑体"/>
          <w:szCs w:val="21"/>
        </w:rPr>
      </w:pPr>
      <w:r>
        <w:rPr>
          <w:rFonts w:hint="eastAsia" w:ascii="黑体" w:hAnsi="宋体" w:eastAsia="黑体"/>
          <w:szCs w:val="21"/>
        </w:rPr>
        <w:t>31．独立评审</w:t>
      </w:r>
    </w:p>
    <w:p>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pPr>
        <w:ind w:firstLine="411" w:firstLineChars="196"/>
        <w:rPr>
          <w:rFonts w:ascii="宋体" w:hAnsi="宋体"/>
          <w:bCs/>
          <w:szCs w:val="21"/>
        </w:rPr>
      </w:pPr>
    </w:p>
    <w:p>
      <w:pPr>
        <w:pStyle w:val="31"/>
        <w:keepNext/>
        <w:keepLines/>
        <w:numPr>
          <w:ilvl w:val="0"/>
          <w:numId w:val="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pPr>
        <w:ind w:firstLine="420" w:firstLineChars="200"/>
        <w:rPr>
          <w:rFonts w:ascii="黑体" w:hAnsi="宋体" w:eastAsia="黑体"/>
          <w:szCs w:val="21"/>
        </w:rPr>
      </w:pPr>
      <w:r>
        <w:rPr>
          <w:rFonts w:hint="eastAsia" w:ascii="黑体" w:hAnsi="宋体" w:eastAsia="黑体"/>
          <w:szCs w:val="21"/>
        </w:rPr>
        <w:t>32．投标文件初审</w:t>
      </w:r>
    </w:p>
    <w:p>
      <w:pPr>
        <w:ind w:firstLine="420" w:firstLineChars="200"/>
        <w:rPr>
          <w:rFonts w:ascii="宋体" w:hAnsi="宋体"/>
          <w:szCs w:val="21"/>
        </w:rPr>
      </w:pPr>
      <w:r>
        <w:rPr>
          <w:rFonts w:hint="eastAsia" w:ascii="宋体" w:hAnsi="宋体"/>
          <w:szCs w:val="21"/>
        </w:rPr>
        <w:t>32.1投标文件初审包括资格性审查和符合性审查。</w:t>
      </w:r>
    </w:p>
    <w:p>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pPr>
        <w:ind w:firstLine="420" w:firstLineChars="200"/>
        <w:rPr>
          <w:rFonts w:ascii="宋体" w:hAnsi="宋体"/>
          <w:bCs/>
          <w:szCs w:val="21"/>
        </w:rPr>
      </w:pPr>
      <w:r>
        <w:rPr>
          <w:rFonts w:hint="eastAsia" w:ascii="宋体" w:hAnsi="宋体"/>
          <w:bCs/>
          <w:szCs w:val="21"/>
        </w:rPr>
        <w:t>32.3 投标文件初审中关于供应商家数的计算:</w:t>
      </w:r>
    </w:p>
    <w:p>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pPr>
        <w:ind w:firstLine="420" w:firstLineChars="200"/>
        <w:rPr>
          <w:rFonts w:ascii="宋体" w:hAnsi="宋体"/>
          <w:szCs w:val="21"/>
        </w:rPr>
      </w:pPr>
      <w:r>
        <w:rPr>
          <w:rFonts w:hint="eastAsia" w:ascii="宋体" w:hAnsi="宋体"/>
          <w:szCs w:val="21"/>
        </w:rPr>
        <w:t>32.4投标人投标文件作无效处理的情形，具体包括但不限于以下：</w:t>
      </w:r>
    </w:p>
    <w:p>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pPr>
        <w:ind w:firstLine="420" w:firstLineChars="200"/>
        <w:rPr>
          <w:rFonts w:ascii="宋体" w:hAnsi="宋体"/>
          <w:szCs w:val="21"/>
        </w:rPr>
      </w:pPr>
      <w:r>
        <w:rPr>
          <w:rFonts w:hint="eastAsia" w:ascii="宋体" w:hAnsi="宋体"/>
          <w:szCs w:val="21"/>
        </w:rPr>
        <w:t>32.4.4不同投标人的投标文件异常一致或者投标报价呈规律性差异；</w:t>
      </w:r>
    </w:p>
    <w:p>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pPr>
        <w:ind w:firstLine="420" w:firstLineChars="200"/>
        <w:rPr>
          <w:rFonts w:ascii="宋体" w:hAnsi="宋体"/>
          <w:szCs w:val="21"/>
        </w:rPr>
      </w:pPr>
      <w:r>
        <w:rPr>
          <w:rFonts w:hint="eastAsia" w:ascii="宋体" w:hAnsi="宋体"/>
          <w:szCs w:val="21"/>
        </w:rPr>
        <w:t>32.4.6投标供应商之间相互约定给予未中标的供应商利益补偿；</w:t>
      </w:r>
    </w:p>
    <w:p>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pPr>
        <w:ind w:firstLine="420" w:firstLineChars="200"/>
        <w:rPr>
          <w:rFonts w:ascii="宋体" w:hAnsi="宋体"/>
          <w:szCs w:val="21"/>
        </w:rPr>
      </w:pPr>
      <w:r>
        <w:rPr>
          <w:rFonts w:hint="eastAsia" w:ascii="宋体" w:hAnsi="宋体"/>
          <w:szCs w:val="21"/>
        </w:rPr>
        <w:t>32.4.8不同投标供应商的投标文件内容存在非正常一致；</w:t>
      </w:r>
    </w:p>
    <w:p>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pPr>
        <w:ind w:firstLine="420" w:firstLineChars="200"/>
        <w:rPr>
          <w:rFonts w:ascii="宋体" w:hAnsi="宋体"/>
          <w:szCs w:val="21"/>
        </w:rPr>
      </w:pPr>
      <w:r>
        <w:rPr>
          <w:rFonts w:hint="eastAsia" w:ascii="宋体" w:hAnsi="宋体"/>
          <w:szCs w:val="21"/>
        </w:rPr>
        <w:t>32.4.10主管部门依照法律、法规认定的其他情形。</w:t>
      </w:r>
    </w:p>
    <w:p>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pPr>
        <w:ind w:firstLine="420" w:firstLineChars="200"/>
        <w:rPr>
          <w:rFonts w:ascii="黑体" w:hAnsi="宋体" w:eastAsia="黑体"/>
          <w:szCs w:val="21"/>
        </w:rPr>
      </w:pPr>
      <w:r>
        <w:rPr>
          <w:rFonts w:hint="eastAsia" w:ascii="黑体" w:hAnsi="宋体" w:eastAsia="黑体"/>
          <w:szCs w:val="21"/>
        </w:rPr>
        <w:t>33．澄清有关问题</w:t>
      </w:r>
    </w:p>
    <w:p>
      <w:pPr>
        <w:ind w:firstLine="420" w:firstLineChars="200"/>
        <w:rPr>
          <w:rFonts w:ascii="宋体" w:hAnsi="宋体"/>
          <w:szCs w:val="21"/>
        </w:rPr>
      </w:pPr>
      <w:bookmarkStart w:id="63"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63"/>
    </w:p>
    <w:p>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pPr>
        <w:ind w:firstLine="420" w:firstLineChars="200"/>
        <w:rPr>
          <w:rFonts w:ascii="黑体" w:hAnsi="宋体" w:eastAsia="黑体"/>
          <w:szCs w:val="21"/>
        </w:rPr>
      </w:pPr>
      <w:bookmarkStart w:id="64" w:name="_Toc73521581"/>
      <w:bookmarkStart w:id="65" w:name="_Toc73517673"/>
      <w:bookmarkStart w:id="66" w:name="_Toc100052400"/>
      <w:bookmarkStart w:id="67" w:name="_Toc73521669"/>
      <w:bookmarkStart w:id="68" w:name="_Toc73518151"/>
      <w:r>
        <w:rPr>
          <w:rFonts w:hint="eastAsia" w:ascii="黑体" w:hAnsi="宋体" w:eastAsia="黑体"/>
          <w:szCs w:val="21"/>
        </w:rPr>
        <w:t>34．错误的修正</w:t>
      </w:r>
      <w:bookmarkEnd w:id="64"/>
      <w:bookmarkEnd w:id="65"/>
      <w:bookmarkEnd w:id="66"/>
      <w:bookmarkEnd w:id="67"/>
      <w:bookmarkEnd w:id="68"/>
    </w:p>
    <w:p>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pPr>
        <w:ind w:firstLine="420" w:firstLineChars="200"/>
        <w:rPr>
          <w:rFonts w:ascii="宋体" w:hAnsi="宋体"/>
          <w:szCs w:val="21"/>
        </w:rPr>
      </w:pPr>
      <w:r>
        <w:rPr>
          <w:rFonts w:hint="eastAsia" w:ascii="宋体" w:hAnsi="宋体"/>
          <w:szCs w:val="21"/>
        </w:rPr>
        <w:t>34.2大写金额和小写金额不一致的，以大写金额为准；</w:t>
      </w:r>
    </w:p>
    <w:p>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pPr>
        <w:ind w:firstLine="420" w:firstLineChars="200"/>
        <w:rPr>
          <w:rFonts w:ascii="宋体" w:hAnsi="宋体"/>
          <w:szCs w:val="21"/>
        </w:rPr>
      </w:pPr>
      <w:r>
        <w:rPr>
          <w:rFonts w:hint="eastAsia" w:ascii="宋体" w:hAnsi="宋体"/>
          <w:szCs w:val="21"/>
        </w:rPr>
        <w:t>34.4总价金额与按单价汇总金额不一致的，以单价金额计算结果为准。</w:t>
      </w:r>
    </w:p>
    <w:p>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pPr>
        <w:ind w:firstLine="420" w:firstLineChars="200"/>
        <w:rPr>
          <w:rFonts w:ascii="黑体" w:hAnsi="宋体" w:eastAsia="黑体"/>
          <w:szCs w:val="21"/>
        </w:rPr>
      </w:pPr>
      <w:r>
        <w:rPr>
          <w:rFonts w:hint="eastAsia" w:ascii="黑体" w:hAnsi="宋体" w:eastAsia="黑体"/>
          <w:szCs w:val="21"/>
        </w:rPr>
        <w:t>35．投标文件的比较与评价</w:t>
      </w:r>
    </w:p>
    <w:p>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pPr>
        <w:ind w:firstLine="420" w:firstLineChars="200"/>
        <w:rPr>
          <w:rFonts w:ascii="黑体" w:hAnsi="宋体" w:eastAsia="黑体"/>
          <w:szCs w:val="21"/>
        </w:rPr>
      </w:pPr>
      <w:r>
        <w:rPr>
          <w:rFonts w:hint="eastAsia" w:ascii="黑体" w:hAnsi="宋体" w:eastAsia="黑体"/>
          <w:szCs w:val="21"/>
        </w:rPr>
        <w:t>36. 实地考察或资料查验</w:t>
      </w:r>
    </w:p>
    <w:p>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pPr>
        <w:ind w:firstLine="420" w:firstLineChars="200"/>
        <w:rPr>
          <w:rFonts w:ascii="黑体" w:hAnsi="宋体" w:eastAsia="黑体"/>
          <w:szCs w:val="21"/>
        </w:rPr>
      </w:pPr>
      <w:r>
        <w:rPr>
          <w:rFonts w:hint="eastAsia" w:ascii="黑体" w:hAnsi="宋体" w:eastAsia="黑体"/>
          <w:szCs w:val="21"/>
        </w:rPr>
        <w:t>37．评审方法</w:t>
      </w:r>
    </w:p>
    <w:p>
      <w:pPr>
        <w:ind w:firstLine="422" w:firstLineChars="200"/>
        <w:rPr>
          <w:rFonts w:ascii="宋体" w:hAnsi="宋体"/>
          <w:b/>
          <w:bCs/>
          <w:szCs w:val="21"/>
        </w:rPr>
      </w:pPr>
      <w:r>
        <w:rPr>
          <w:rFonts w:hint="eastAsia" w:ascii="宋体" w:hAnsi="宋体"/>
          <w:b/>
          <w:bCs/>
          <w:szCs w:val="21"/>
        </w:rPr>
        <w:t>37.1.1最低价法</w:t>
      </w:r>
    </w:p>
    <w:p>
      <w:pPr>
        <w:ind w:firstLine="420" w:firstLineChars="200"/>
        <w:rPr>
          <w:rFonts w:ascii="ˎ̥" w:hAnsi="ˎ̥"/>
          <w:szCs w:val="21"/>
        </w:rPr>
      </w:pPr>
      <w:bookmarkStart w:id="69"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pPr>
        <w:ind w:firstLine="422" w:firstLineChars="200"/>
        <w:rPr>
          <w:rFonts w:ascii="宋体" w:hAnsi="宋体"/>
          <w:b/>
          <w:bCs/>
          <w:szCs w:val="21"/>
        </w:rPr>
      </w:pPr>
      <w:r>
        <w:rPr>
          <w:rFonts w:hint="eastAsia" w:ascii="宋体" w:hAnsi="宋体"/>
          <w:b/>
          <w:bCs/>
          <w:szCs w:val="21"/>
        </w:rPr>
        <w:t>37.1.2综合评分法</w:t>
      </w:r>
    </w:p>
    <w:p>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69"/>
      <w:r>
        <w:rPr>
          <w:rFonts w:hint="eastAsia" w:ascii="宋体" w:hAnsi="宋体"/>
          <w:bCs/>
          <w:color w:val="FF0000"/>
          <w:szCs w:val="21"/>
        </w:rPr>
        <w:t xml:space="preserve">  </w:t>
      </w:r>
      <w:r>
        <w:rPr>
          <w:rFonts w:hint="eastAsia" w:ascii="宋体" w:hAnsi="宋体"/>
          <w:bCs/>
          <w:szCs w:val="21"/>
        </w:rPr>
        <w:t xml:space="preserve">                                                                                                                                                                                                                                                                                                                                                                                                                                                                                                                                                                                                                                                                                                                                                                                                                                                                                                                                                                                                                                                                                                                                                                                                                                                                                                                                                                                                                                                                                                                                                                                                                                                                                                                                                                                                                                                                                                                                                                                                                                                                                                                                                                                                                                                                                                                                                                                                                                                                                                                                                                                                                                                                                                                                                                                                                                                                                                                                                                                                                           </w:t>
      </w:r>
    </w:p>
    <w:p>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pPr>
        <w:ind w:firstLine="422" w:firstLineChars="200"/>
        <w:rPr>
          <w:rFonts w:ascii="宋体" w:hAnsi="宋体"/>
          <w:b/>
          <w:bCs/>
          <w:szCs w:val="21"/>
        </w:rPr>
      </w:pPr>
      <w:r>
        <w:rPr>
          <w:rFonts w:hint="eastAsia" w:ascii="宋体" w:hAnsi="宋体"/>
          <w:b/>
          <w:bCs/>
          <w:szCs w:val="21"/>
        </w:rPr>
        <w:t>37.3重新评审的情形</w:t>
      </w:r>
    </w:p>
    <w:p>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pPr>
        <w:ind w:firstLine="420" w:firstLineChars="200"/>
        <w:rPr>
          <w:rFonts w:ascii="宋体" w:hAnsi="宋体" w:cs="宋体"/>
          <w:kern w:val="0"/>
          <w:szCs w:val="21"/>
        </w:rPr>
      </w:pPr>
      <w:r>
        <w:rPr>
          <w:rFonts w:hint="eastAsia" w:ascii="宋体" w:hAnsi="宋体" w:cs="宋体"/>
          <w:kern w:val="0"/>
          <w:szCs w:val="21"/>
        </w:rPr>
        <w:t>37.3.1分值汇总计算错误的；</w:t>
      </w:r>
    </w:p>
    <w:p>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pPr>
        <w:ind w:firstLine="422" w:firstLineChars="200"/>
        <w:rPr>
          <w:rFonts w:ascii="宋体" w:hAnsi="宋体"/>
          <w:b/>
          <w:bCs/>
          <w:szCs w:val="21"/>
        </w:rPr>
      </w:pPr>
      <w:r>
        <w:rPr>
          <w:rFonts w:hint="eastAsia" w:ascii="宋体" w:hAnsi="宋体"/>
          <w:b/>
          <w:bCs/>
          <w:szCs w:val="21"/>
        </w:rPr>
        <w:t xml:space="preserve"> 37.4重新组建评审委员会的情形</w:t>
      </w:r>
    </w:p>
    <w:p>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pPr>
        <w:ind w:firstLine="411" w:firstLineChars="196"/>
        <w:rPr>
          <w:rFonts w:ascii="宋体" w:hAnsi="宋体"/>
          <w:szCs w:val="21"/>
        </w:rPr>
      </w:pPr>
    </w:p>
    <w:p>
      <w:pPr>
        <w:pStyle w:val="31"/>
        <w:keepNext/>
        <w:keepLines/>
        <w:numPr>
          <w:ilvl w:val="0"/>
          <w:numId w:val="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pPr>
        <w:ind w:firstLine="420" w:firstLineChars="200"/>
        <w:rPr>
          <w:rFonts w:ascii="黑体" w:hAnsi="宋体" w:eastAsia="黑体"/>
          <w:szCs w:val="21"/>
        </w:rPr>
      </w:pPr>
      <w:r>
        <w:rPr>
          <w:rFonts w:hint="eastAsia" w:ascii="黑体" w:hAnsi="宋体" w:eastAsia="黑体"/>
          <w:szCs w:val="21"/>
        </w:rPr>
        <w:t>38．定标方法</w:t>
      </w:r>
    </w:p>
    <w:p>
      <w:pPr>
        <w:ind w:firstLine="420" w:firstLineChars="200"/>
        <w:rPr>
          <w:rFonts w:ascii="宋体" w:hAnsi="宋体"/>
          <w:szCs w:val="21"/>
        </w:rPr>
      </w:pPr>
      <w:bookmarkStart w:id="70" w:name="_Hlk73782795"/>
      <w:r>
        <w:rPr>
          <w:rFonts w:hint="eastAsia" w:ascii="宋体" w:hAnsi="宋体"/>
          <w:szCs w:val="21"/>
        </w:rPr>
        <w:t>38.1非评定分离项目定标方法</w:t>
      </w:r>
    </w:p>
    <w:p>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71" w:name="_Hlk73821177"/>
      <w:r>
        <w:rPr>
          <w:rFonts w:hint="eastAsia" w:ascii="ˎ̥" w:hAnsi="ˎ̥"/>
          <w:szCs w:val="21"/>
        </w:rPr>
        <w:t>唯一候选中标供应商</w:t>
      </w:r>
      <w:bookmarkEnd w:id="71"/>
      <w:r>
        <w:rPr>
          <w:rFonts w:ascii="ˎ̥" w:hAnsi="ˎ̥"/>
          <w:szCs w:val="21"/>
        </w:rPr>
        <w:t>。</w:t>
      </w:r>
    </w:p>
    <w:p>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pPr>
        <w:ind w:firstLine="420" w:firstLineChars="200"/>
        <w:rPr>
          <w:rFonts w:ascii="宋体" w:hAnsi="宋体"/>
          <w:szCs w:val="21"/>
        </w:rPr>
      </w:pPr>
      <w:r>
        <w:rPr>
          <w:rFonts w:hint="eastAsia" w:ascii="宋体" w:hAnsi="宋体"/>
          <w:szCs w:val="21"/>
        </w:rPr>
        <w:t>38.2评定分离项目定标方法</w:t>
      </w:r>
    </w:p>
    <w:p>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pPr>
        <w:ind w:firstLine="420" w:firstLineChars="200"/>
        <w:rPr>
          <w:szCs w:val="21"/>
        </w:rPr>
      </w:pPr>
      <w:r>
        <w:rPr>
          <w:rFonts w:ascii="宋体" w:hAnsi="宋体"/>
          <w:szCs w:val="21"/>
        </w:rPr>
        <w:t xml:space="preserve">38.2.2 </w:t>
      </w:r>
      <w:bookmarkStart w:id="72"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pPr>
        <w:ind w:firstLine="420" w:firstLineChars="200"/>
        <w:rPr>
          <w:rFonts w:ascii="宋体" w:hAnsi="宋体"/>
          <w:szCs w:val="21"/>
        </w:rPr>
      </w:pPr>
      <w:r>
        <w:rPr>
          <w:rFonts w:hint="eastAsia" w:ascii="宋体" w:hAnsi="宋体"/>
          <w:szCs w:val="21"/>
        </w:rPr>
        <w:t>38.2.3</w:t>
      </w:r>
      <w:bookmarkStart w:id="73"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72"/>
      <w:bookmarkEnd w:id="73"/>
    </w:p>
    <w:p>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pPr>
        <w:ind w:firstLine="420" w:firstLineChars="200"/>
        <w:rPr>
          <w:rFonts w:ascii="宋体" w:hAnsi="宋体"/>
          <w:szCs w:val="21"/>
        </w:rPr>
      </w:pPr>
      <w:r>
        <w:rPr>
          <w:rFonts w:hint="eastAsia" w:ascii="宋体" w:hAnsi="宋体"/>
          <w:szCs w:val="21"/>
        </w:rPr>
        <w:t>说明：采购人及投标供应商应按照上述方法提前做好相关准备。</w:t>
      </w:r>
    </w:p>
    <w:p>
      <w:pPr>
        <w:ind w:firstLine="420" w:firstLineChars="200"/>
        <w:rPr>
          <w:rFonts w:ascii="宋体" w:hAnsi="宋体"/>
          <w:szCs w:val="21"/>
        </w:rPr>
      </w:pPr>
      <w:r>
        <w:rPr>
          <w:rFonts w:hint="eastAsia" w:ascii="宋体" w:hAnsi="宋体"/>
          <w:szCs w:val="21"/>
        </w:rPr>
        <w:t>38.3专用条款另有规定的，按专用条款相关要求定标。</w:t>
      </w:r>
      <w:bookmarkEnd w:id="70"/>
    </w:p>
    <w:p>
      <w:pPr>
        <w:ind w:firstLine="420" w:firstLineChars="200"/>
        <w:rPr>
          <w:rFonts w:ascii="黑体" w:hAnsi="宋体" w:eastAsia="黑体"/>
          <w:szCs w:val="21"/>
        </w:rPr>
      </w:pPr>
      <w:r>
        <w:rPr>
          <w:rFonts w:hint="eastAsia" w:ascii="黑体" w:hAnsi="宋体" w:eastAsia="黑体"/>
          <w:szCs w:val="21"/>
        </w:rPr>
        <w:t>39．编写评审报告</w:t>
      </w:r>
    </w:p>
    <w:p>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ind w:firstLine="420" w:firstLineChars="200"/>
        <w:rPr>
          <w:rFonts w:ascii="黑体" w:hAnsi="宋体" w:eastAsia="黑体"/>
          <w:szCs w:val="21"/>
        </w:rPr>
      </w:pPr>
      <w:r>
        <w:rPr>
          <w:rFonts w:hint="eastAsia" w:ascii="黑体" w:hAnsi="宋体" w:eastAsia="黑体"/>
          <w:szCs w:val="21"/>
        </w:rPr>
        <w:t>40．中标（成交）公告</w:t>
      </w:r>
    </w:p>
    <w:p>
      <w:pPr>
        <w:ind w:firstLine="420" w:firstLineChars="200"/>
        <w:rPr>
          <w:rFonts w:ascii="宋体" w:hAnsi="宋体"/>
          <w:szCs w:val="21"/>
        </w:rPr>
      </w:pPr>
      <w:r>
        <w:rPr>
          <w:rFonts w:hint="eastAsia" w:ascii="宋体" w:hAnsi="宋体"/>
          <w:szCs w:val="21"/>
        </w:rPr>
        <w:t>40.1</w:t>
      </w:r>
      <w:bookmarkStart w:id="74"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74"/>
      <w:bookmarkStart w:id="75"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75"/>
    <w:p>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pPr>
        <w:ind w:firstLine="420" w:firstLineChars="200"/>
        <w:rPr>
          <w:rFonts w:ascii="黑体" w:hAnsi="宋体" w:eastAsia="黑体"/>
          <w:szCs w:val="21"/>
        </w:rPr>
      </w:pPr>
      <w:r>
        <w:rPr>
          <w:rFonts w:hint="eastAsia" w:ascii="黑体" w:hAnsi="宋体" w:eastAsia="黑体"/>
          <w:szCs w:val="21"/>
        </w:rPr>
        <w:t>41．中标通知书</w:t>
      </w:r>
    </w:p>
    <w:p>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76"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76"/>
    </w:p>
    <w:p>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pPr>
        <w:ind w:firstLine="420" w:firstLineChars="200"/>
        <w:rPr>
          <w:rFonts w:ascii="宋体" w:hAnsi="宋体"/>
          <w:szCs w:val="21"/>
        </w:rPr>
      </w:pPr>
      <w:bookmarkStart w:id="77" w:name="_Hlk71407340"/>
      <w:r>
        <w:rPr>
          <w:rFonts w:hint="eastAsia" w:ascii="宋体" w:hAnsi="宋体"/>
          <w:szCs w:val="21"/>
        </w:rPr>
        <w:t>41.3因质疑投诉或其他原因导致项目结果变更或采购终止的，政府集中采购机构有权吊销中标通知书。</w:t>
      </w:r>
    </w:p>
    <w:bookmarkEnd w:id="77"/>
    <w:p>
      <w:pPr>
        <w:ind w:firstLine="411" w:firstLineChars="196"/>
        <w:rPr>
          <w:rFonts w:ascii="宋体" w:hAnsi="宋体"/>
          <w:szCs w:val="21"/>
        </w:rPr>
      </w:pPr>
    </w:p>
    <w:p>
      <w:pPr>
        <w:pStyle w:val="31"/>
        <w:keepNext/>
        <w:keepLines/>
        <w:numPr>
          <w:ilvl w:val="0"/>
          <w:numId w:val="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pPr>
        <w:ind w:firstLine="420" w:firstLineChars="200"/>
        <w:rPr>
          <w:rFonts w:ascii="黑体" w:hAnsi="宋体" w:eastAsia="黑体"/>
          <w:szCs w:val="21"/>
        </w:rPr>
      </w:pPr>
      <w:r>
        <w:rPr>
          <w:rFonts w:hint="eastAsia" w:ascii="黑体" w:hAnsi="宋体" w:eastAsia="黑体"/>
          <w:szCs w:val="21"/>
        </w:rPr>
        <w:t>42．公开招标失败的处理</w:t>
      </w:r>
    </w:p>
    <w:p>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pPr>
        <w:ind w:firstLine="411" w:firstLineChars="196"/>
        <w:rPr>
          <w:rFonts w:ascii="宋体" w:hAnsi="宋体"/>
          <w:szCs w:val="21"/>
        </w:rPr>
      </w:pPr>
      <w:r>
        <w:rPr>
          <w:rFonts w:hint="eastAsia" w:ascii="宋体" w:hAnsi="宋体"/>
          <w:szCs w:val="21"/>
        </w:rPr>
        <w:t>42.3重新组织采购有以下两种组织形式：</w:t>
      </w:r>
    </w:p>
    <w:p>
      <w:pPr>
        <w:ind w:firstLine="411" w:firstLineChars="196"/>
        <w:rPr>
          <w:rFonts w:ascii="宋体" w:hAnsi="宋体"/>
        </w:rPr>
      </w:pPr>
      <w:r>
        <w:rPr>
          <w:rFonts w:hint="eastAsia" w:ascii="宋体" w:hAnsi="宋体"/>
        </w:rPr>
        <w:t>（1）由政府集中采购机构重新组织公开招标；</w:t>
      </w:r>
    </w:p>
    <w:p>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pPr>
        <w:ind w:firstLine="420" w:firstLineChars="200"/>
        <w:rPr>
          <w:rFonts w:ascii="宋体" w:hAnsi="宋体"/>
          <w:szCs w:val="21"/>
        </w:rPr>
      </w:pPr>
    </w:p>
    <w:p>
      <w:pPr>
        <w:rPr>
          <w:rFonts w:ascii="黑体" w:hAnsi="宋体" w:eastAsia="黑体"/>
          <w:sz w:val="24"/>
        </w:rPr>
      </w:pPr>
    </w:p>
    <w:p>
      <w:pPr>
        <w:pStyle w:val="31"/>
        <w:keepNext/>
        <w:keepLines/>
        <w:numPr>
          <w:ilvl w:val="0"/>
          <w:numId w:val="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78" w:name="_Hlk72439043"/>
      <w:r>
        <w:rPr>
          <w:rFonts w:hint="eastAsia" w:asciiTheme="majorHAnsi" w:hAnsiTheme="majorHAnsi" w:eastAsiaTheme="majorEastAsia" w:cstheme="majorBidi"/>
          <w:b/>
          <w:bCs/>
          <w:sz w:val="28"/>
          <w:szCs w:val="28"/>
        </w:rPr>
        <w:t>合同的授予与备案</w:t>
      </w:r>
      <w:bookmarkEnd w:id="78"/>
    </w:p>
    <w:p>
      <w:pPr>
        <w:ind w:firstLine="420" w:firstLineChars="200"/>
        <w:rPr>
          <w:rFonts w:ascii="黑体" w:hAnsi="宋体" w:eastAsia="黑体"/>
          <w:szCs w:val="21"/>
        </w:rPr>
      </w:pPr>
      <w:bookmarkStart w:id="79" w:name="_Toc73521674"/>
      <w:bookmarkStart w:id="80" w:name="_Toc100052408"/>
      <w:bookmarkStart w:id="81" w:name="_Toc73518157"/>
      <w:bookmarkStart w:id="82" w:name="_Toc73521586"/>
      <w:bookmarkStart w:id="83" w:name="_Toc73517679"/>
      <w:bookmarkStart w:id="84" w:name="_Hlk72439088"/>
      <w:r>
        <w:rPr>
          <w:rFonts w:hint="eastAsia" w:ascii="黑体" w:hAnsi="宋体" w:eastAsia="黑体"/>
          <w:szCs w:val="21"/>
        </w:rPr>
        <w:t>43．合同授予标准</w:t>
      </w:r>
      <w:bookmarkEnd w:id="79"/>
      <w:bookmarkEnd w:id="80"/>
      <w:bookmarkEnd w:id="81"/>
      <w:bookmarkEnd w:id="82"/>
      <w:bookmarkEnd w:id="83"/>
    </w:p>
    <w:p>
      <w:pPr>
        <w:ind w:firstLine="420" w:firstLineChars="200"/>
        <w:rPr>
          <w:rFonts w:ascii="宋体" w:hAnsi="宋体"/>
          <w:szCs w:val="21"/>
        </w:rPr>
      </w:pPr>
      <w:r>
        <w:rPr>
          <w:rFonts w:hint="eastAsia" w:ascii="宋体" w:hAnsi="宋体"/>
          <w:szCs w:val="21"/>
        </w:rPr>
        <w:t>本项目的合同将授予经本招标文件规定评审确定的中标供应商。</w:t>
      </w:r>
    </w:p>
    <w:p>
      <w:pPr>
        <w:ind w:firstLine="420" w:firstLineChars="200"/>
        <w:rPr>
          <w:rFonts w:ascii="黑体" w:hAnsi="宋体" w:eastAsia="黑体"/>
          <w:szCs w:val="21"/>
        </w:rPr>
      </w:pPr>
      <w:bookmarkStart w:id="85" w:name="_Toc100052409"/>
      <w:bookmarkStart w:id="86" w:name="_Toc73521587"/>
      <w:bookmarkStart w:id="87" w:name="_Toc73521675"/>
      <w:bookmarkStart w:id="88" w:name="_Toc73517680"/>
      <w:bookmarkStart w:id="89" w:name="_Toc73518158"/>
      <w:r>
        <w:rPr>
          <w:rFonts w:hint="eastAsia" w:ascii="黑体" w:hAnsi="宋体" w:eastAsia="黑体"/>
          <w:szCs w:val="21"/>
        </w:rPr>
        <w:t>44．</w:t>
      </w:r>
      <w:bookmarkEnd w:id="85"/>
      <w:bookmarkEnd w:id="86"/>
      <w:bookmarkEnd w:id="87"/>
      <w:bookmarkEnd w:id="88"/>
      <w:bookmarkEnd w:id="89"/>
      <w:r>
        <w:rPr>
          <w:rFonts w:hint="eastAsia" w:ascii="黑体" w:hAnsi="宋体" w:eastAsia="黑体"/>
          <w:szCs w:val="21"/>
        </w:rPr>
        <w:t>接受和拒绝任何或所有投标的权力</w:t>
      </w:r>
    </w:p>
    <w:p>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pPr>
        <w:ind w:firstLine="420" w:firstLineChars="200"/>
        <w:rPr>
          <w:rFonts w:ascii="黑体" w:hAnsi="宋体" w:eastAsia="黑体"/>
          <w:szCs w:val="21"/>
        </w:rPr>
      </w:pPr>
      <w:bookmarkStart w:id="90" w:name="_Toc73518160"/>
      <w:bookmarkStart w:id="91" w:name="_Toc100052410"/>
      <w:bookmarkStart w:id="92" w:name="_Toc73517682"/>
      <w:bookmarkStart w:id="93" w:name="_Toc73521589"/>
      <w:bookmarkStart w:id="94" w:name="_Toc73521677"/>
      <w:r>
        <w:rPr>
          <w:rFonts w:hint="eastAsia" w:ascii="黑体" w:hAnsi="宋体" w:eastAsia="黑体"/>
          <w:szCs w:val="21"/>
        </w:rPr>
        <w:t>45．合同的签订</w:t>
      </w:r>
      <w:bookmarkEnd w:id="90"/>
      <w:bookmarkEnd w:id="91"/>
      <w:bookmarkEnd w:id="92"/>
      <w:bookmarkEnd w:id="93"/>
      <w:bookmarkEnd w:id="94"/>
    </w:p>
    <w:p>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pPr>
        <w:ind w:firstLine="420" w:firstLineChars="200"/>
        <w:rPr>
          <w:rFonts w:ascii="黑体" w:hAnsi="宋体" w:eastAsia="黑体"/>
          <w:szCs w:val="21"/>
        </w:rPr>
      </w:pPr>
      <w:bookmarkStart w:id="95" w:name="_Toc73518161"/>
      <w:bookmarkStart w:id="96" w:name="_Toc73521590"/>
      <w:bookmarkStart w:id="97" w:name="_Toc73521678"/>
      <w:bookmarkStart w:id="98" w:name="_Toc100052411"/>
      <w:bookmarkStart w:id="99" w:name="_Toc73517683"/>
      <w:r>
        <w:rPr>
          <w:rFonts w:hint="eastAsia" w:ascii="黑体" w:hAnsi="宋体" w:eastAsia="黑体"/>
          <w:szCs w:val="21"/>
        </w:rPr>
        <w:t>46．履约担保</w:t>
      </w:r>
      <w:bookmarkEnd w:id="95"/>
      <w:bookmarkEnd w:id="96"/>
      <w:bookmarkEnd w:id="97"/>
      <w:bookmarkEnd w:id="98"/>
      <w:bookmarkEnd w:id="99"/>
    </w:p>
    <w:p>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pPr>
        <w:ind w:firstLine="420" w:firstLineChars="200"/>
        <w:rPr>
          <w:rFonts w:ascii="黑体" w:hAnsi="宋体" w:eastAsia="黑体"/>
          <w:szCs w:val="21"/>
        </w:rPr>
      </w:pPr>
      <w:r>
        <w:rPr>
          <w:rFonts w:hint="eastAsia" w:ascii="黑体" w:hAnsi="宋体" w:eastAsia="黑体"/>
          <w:szCs w:val="21"/>
        </w:rPr>
        <w:t>47. 合同备案</w:t>
      </w:r>
    </w:p>
    <w:p>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pPr>
        <w:ind w:firstLine="420" w:firstLineChars="200"/>
        <w:rPr>
          <w:rFonts w:ascii="黑体" w:hAnsi="宋体" w:eastAsia="黑体"/>
          <w:szCs w:val="21"/>
        </w:rPr>
      </w:pPr>
      <w:r>
        <w:rPr>
          <w:rFonts w:hint="eastAsia" w:ascii="黑体" w:hAnsi="宋体" w:eastAsia="黑体"/>
          <w:szCs w:val="21"/>
        </w:rPr>
        <w:t>48. 合同变更</w:t>
      </w:r>
    </w:p>
    <w:p>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pPr>
        <w:ind w:firstLine="420" w:firstLineChars="200"/>
        <w:rPr>
          <w:rFonts w:ascii="黑体" w:hAnsi="宋体" w:eastAsia="黑体"/>
          <w:szCs w:val="21"/>
        </w:rPr>
      </w:pPr>
      <w:r>
        <w:rPr>
          <w:rFonts w:hint="eastAsia" w:ascii="黑体" w:hAnsi="宋体" w:eastAsia="黑体"/>
          <w:szCs w:val="21"/>
        </w:rPr>
        <w:t>49. 项目验收</w:t>
      </w:r>
    </w:p>
    <w:p>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pPr>
        <w:ind w:firstLine="420" w:firstLineChars="200"/>
        <w:rPr>
          <w:rFonts w:ascii="黑体" w:hAnsi="宋体" w:eastAsia="黑体"/>
          <w:szCs w:val="21"/>
        </w:rPr>
      </w:pPr>
      <w:r>
        <w:rPr>
          <w:rFonts w:hint="eastAsia" w:ascii="黑体" w:hAnsi="宋体" w:eastAsia="黑体"/>
          <w:szCs w:val="21"/>
        </w:rPr>
        <w:t>50. 宣传</w:t>
      </w:r>
    </w:p>
    <w:p>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pPr>
        <w:ind w:firstLine="420" w:firstLineChars="200"/>
        <w:rPr>
          <w:rFonts w:ascii="宋体" w:hAnsi="宋体"/>
          <w:szCs w:val="21"/>
        </w:rPr>
      </w:pPr>
      <w:r>
        <w:rPr>
          <w:rFonts w:hint="eastAsia" w:ascii="宋体" w:hAnsi="宋体"/>
          <w:szCs w:val="21"/>
        </w:rPr>
        <w:t>a.名片、宣传册、广告标语等；</w:t>
      </w:r>
    </w:p>
    <w:p>
      <w:pPr>
        <w:ind w:firstLine="420" w:firstLineChars="200"/>
        <w:rPr>
          <w:rFonts w:ascii="宋体" w:hAnsi="宋体"/>
          <w:szCs w:val="21"/>
        </w:rPr>
      </w:pPr>
      <w:r>
        <w:rPr>
          <w:rFonts w:hint="eastAsia" w:ascii="宋体" w:hAnsi="宋体"/>
          <w:szCs w:val="21"/>
        </w:rPr>
        <w:t>b.案例介绍、推广等；</w:t>
      </w:r>
    </w:p>
    <w:p>
      <w:pPr>
        <w:ind w:firstLine="420" w:firstLineChars="200"/>
        <w:rPr>
          <w:rFonts w:ascii="宋体" w:hAnsi="宋体"/>
          <w:szCs w:val="21"/>
        </w:rPr>
      </w:pPr>
      <w:r>
        <w:rPr>
          <w:rFonts w:hint="eastAsia" w:ascii="宋体" w:hAnsi="宋体"/>
          <w:szCs w:val="21"/>
        </w:rPr>
        <w:t>c.工作人员向其他消费群体宣传。</w:t>
      </w:r>
    </w:p>
    <w:p>
      <w:pPr>
        <w:ind w:firstLine="420" w:firstLineChars="200"/>
        <w:rPr>
          <w:rFonts w:ascii="黑体" w:hAnsi="宋体" w:eastAsia="黑体"/>
          <w:szCs w:val="21"/>
        </w:rPr>
      </w:pPr>
      <w:r>
        <w:rPr>
          <w:rFonts w:hint="eastAsia" w:ascii="黑体" w:hAnsi="宋体" w:eastAsia="黑体"/>
          <w:szCs w:val="21"/>
        </w:rPr>
        <w:t>51. 供应商违法责任</w:t>
      </w:r>
    </w:p>
    <w:p>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ind w:firstLine="420" w:firstLineChars="200"/>
        <w:rPr>
          <w:rFonts w:ascii="宋体" w:hAnsi="宋体"/>
          <w:szCs w:val="21"/>
        </w:rPr>
      </w:pPr>
      <w:r>
        <w:rPr>
          <w:rFonts w:hint="eastAsia" w:ascii="宋体" w:hAnsi="宋体"/>
          <w:szCs w:val="21"/>
        </w:rPr>
        <w:t>（1）在采购活动中应当回避而未回避的；</w:t>
      </w:r>
    </w:p>
    <w:p>
      <w:pPr>
        <w:ind w:firstLine="420" w:firstLineChars="200"/>
        <w:rPr>
          <w:rFonts w:ascii="宋体" w:hAnsi="宋体"/>
          <w:szCs w:val="21"/>
        </w:rPr>
      </w:pPr>
      <w:r>
        <w:rPr>
          <w:rFonts w:hint="eastAsia" w:ascii="宋体" w:hAnsi="宋体"/>
          <w:szCs w:val="21"/>
        </w:rPr>
        <w:t>（2）未按本条例规定签订、履行采购合同，造成严重后果的；</w:t>
      </w:r>
    </w:p>
    <w:p>
      <w:pPr>
        <w:ind w:firstLine="420" w:firstLineChars="200"/>
        <w:rPr>
          <w:rFonts w:ascii="宋体" w:hAnsi="宋体"/>
          <w:szCs w:val="21"/>
        </w:rPr>
      </w:pPr>
      <w:r>
        <w:rPr>
          <w:rFonts w:hint="eastAsia" w:ascii="宋体" w:hAnsi="宋体"/>
          <w:szCs w:val="21"/>
        </w:rPr>
        <w:t>（3）隐瞒真实情况，提供虚假资料的；</w:t>
      </w:r>
    </w:p>
    <w:p>
      <w:pPr>
        <w:ind w:firstLine="420" w:firstLineChars="200"/>
        <w:rPr>
          <w:rFonts w:ascii="宋体" w:hAnsi="宋体"/>
          <w:szCs w:val="21"/>
        </w:rPr>
      </w:pPr>
      <w:r>
        <w:rPr>
          <w:rFonts w:hint="eastAsia" w:ascii="宋体" w:hAnsi="宋体"/>
          <w:szCs w:val="21"/>
        </w:rPr>
        <w:t>（4）以非法手段排斥其他供应商参与竞争的；</w:t>
      </w:r>
    </w:p>
    <w:p>
      <w:pPr>
        <w:ind w:firstLine="420" w:firstLineChars="200"/>
        <w:rPr>
          <w:rFonts w:ascii="宋体" w:hAnsi="宋体"/>
          <w:szCs w:val="21"/>
        </w:rPr>
      </w:pPr>
      <w:r>
        <w:rPr>
          <w:rFonts w:hint="eastAsia" w:ascii="宋体" w:hAnsi="宋体"/>
          <w:szCs w:val="21"/>
        </w:rPr>
        <w:t>（5）与其他采购参加人串通投标的；</w:t>
      </w:r>
    </w:p>
    <w:p>
      <w:pPr>
        <w:ind w:firstLine="420" w:firstLineChars="200"/>
        <w:rPr>
          <w:rFonts w:ascii="宋体" w:hAnsi="宋体"/>
          <w:szCs w:val="21"/>
        </w:rPr>
      </w:pPr>
      <w:r>
        <w:rPr>
          <w:rFonts w:hint="eastAsia" w:ascii="宋体" w:hAnsi="宋体"/>
          <w:szCs w:val="21"/>
        </w:rPr>
        <w:t>（6）恶意投诉的；</w:t>
      </w:r>
    </w:p>
    <w:p>
      <w:pPr>
        <w:ind w:firstLine="420" w:firstLineChars="200"/>
        <w:rPr>
          <w:rFonts w:ascii="宋体" w:hAnsi="宋体"/>
          <w:szCs w:val="21"/>
        </w:rPr>
      </w:pPr>
      <w:r>
        <w:rPr>
          <w:rFonts w:hint="eastAsia" w:ascii="宋体" w:hAnsi="宋体"/>
          <w:szCs w:val="21"/>
        </w:rPr>
        <w:t>（7）向采购项目相关人行贿或者提供其他不当利益的；</w:t>
      </w:r>
    </w:p>
    <w:p>
      <w:pPr>
        <w:ind w:firstLine="420" w:firstLineChars="200"/>
        <w:rPr>
          <w:rFonts w:ascii="宋体" w:hAnsi="宋体"/>
          <w:szCs w:val="21"/>
        </w:rPr>
      </w:pPr>
      <w:r>
        <w:rPr>
          <w:rFonts w:hint="eastAsia" w:ascii="宋体" w:hAnsi="宋体"/>
          <w:szCs w:val="21"/>
        </w:rPr>
        <w:t>（8）阻碍、抗拒主管部门监督检查的；</w:t>
      </w:r>
    </w:p>
    <w:p>
      <w:pPr>
        <w:ind w:firstLine="420" w:firstLineChars="200"/>
        <w:rPr>
          <w:rFonts w:ascii="宋体" w:hAnsi="宋体"/>
          <w:szCs w:val="21"/>
        </w:rPr>
      </w:pPr>
      <w:r>
        <w:rPr>
          <w:rFonts w:hint="eastAsia" w:ascii="宋体" w:hAnsi="宋体"/>
          <w:szCs w:val="21"/>
        </w:rPr>
        <w:t>（9）其他违反本条例规定的行为。</w:t>
      </w:r>
    </w:p>
    <w:p>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00" w:name="_Hlk72440769"/>
      <w:r>
        <w:rPr>
          <w:rFonts w:hint="eastAsia" w:ascii="宋体" w:hAnsi="宋体"/>
          <w:szCs w:val="21"/>
        </w:rPr>
        <w:t>政府集中采购机构或采购人不予退还其交纳的谈判保证金，情节严重的，并由主管部门</w:t>
      </w:r>
      <w:bookmarkEnd w:id="100"/>
      <w:r>
        <w:rPr>
          <w:rFonts w:hint="eastAsia" w:ascii="宋体" w:hAnsi="宋体"/>
          <w:szCs w:val="21"/>
        </w:rPr>
        <w:t>记入供应商诚信档案，予以通报：</w:t>
      </w:r>
    </w:p>
    <w:p>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pPr>
        <w:pStyle w:val="9"/>
      </w:pPr>
    </w:p>
    <w:bookmarkEnd w:id="84"/>
    <w:p>
      <w:pPr>
        <w:pStyle w:val="31"/>
        <w:keepNext/>
        <w:keepLines/>
        <w:numPr>
          <w:ilvl w:val="0"/>
          <w:numId w:val="4"/>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pPr>
        <w:ind w:firstLine="420" w:firstLineChars="200"/>
        <w:rPr>
          <w:rFonts w:ascii="黑体" w:hAnsi="宋体" w:eastAsia="黑体"/>
          <w:szCs w:val="21"/>
        </w:rPr>
      </w:pPr>
      <w:r>
        <w:rPr>
          <w:rFonts w:hint="eastAsia" w:ascii="黑体" w:hAnsi="宋体" w:eastAsia="黑体"/>
          <w:szCs w:val="21"/>
        </w:rPr>
        <w:t>52.质疑提出与答复</w:t>
      </w:r>
    </w:p>
    <w:p>
      <w:pPr>
        <w:ind w:firstLine="420" w:firstLineChars="200"/>
        <w:rPr>
          <w:rFonts w:ascii="宋体" w:hAnsi="宋体"/>
          <w:szCs w:val="21"/>
        </w:rPr>
      </w:pPr>
      <w:r>
        <w:rPr>
          <w:rFonts w:hint="eastAsia" w:ascii="宋体" w:hAnsi="宋体"/>
          <w:szCs w:val="21"/>
        </w:rPr>
        <w:t>52.1提出质疑</w:t>
      </w:r>
    </w:p>
    <w:p>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pPr>
        <w:ind w:firstLine="420" w:firstLineChars="200"/>
        <w:rPr>
          <w:rFonts w:ascii="宋体" w:hAnsi="宋体"/>
          <w:szCs w:val="21"/>
        </w:rPr>
      </w:pPr>
      <w:r>
        <w:rPr>
          <w:rFonts w:hint="eastAsia" w:ascii="宋体" w:hAnsi="宋体"/>
          <w:szCs w:val="21"/>
        </w:rPr>
        <w:t>52.2</w:t>
      </w:r>
      <w:r>
        <w:rPr>
          <w:rFonts w:ascii="宋体" w:hAnsi="宋体"/>
          <w:szCs w:val="21"/>
        </w:rPr>
        <w:t>法律依据</w:t>
      </w:r>
    </w:p>
    <w:p>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pPr>
        <w:ind w:firstLine="420" w:firstLineChars="200"/>
        <w:rPr>
          <w:rFonts w:ascii="宋体" w:hAnsi="宋体"/>
          <w:szCs w:val="21"/>
        </w:rPr>
      </w:pPr>
      <w:r>
        <w:rPr>
          <w:rFonts w:hint="eastAsia" w:ascii="宋体" w:hAnsi="宋体"/>
          <w:szCs w:val="21"/>
        </w:rPr>
        <w:t>52.3质疑条件</w:t>
      </w:r>
    </w:p>
    <w:p>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01" w:name="_Hlk75374941"/>
      <w:r>
        <w:rPr>
          <w:rFonts w:hint="eastAsia" w:ascii="宋体" w:hAnsi="宋体"/>
          <w:szCs w:val="21"/>
        </w:rPr>
        <w:t>以联合体形式参与的，质疑应当由组成联合体的所有成员共同提出</w:t>
      </w:r>
      <w:bookmarkEnd w:id="101"/>
      <w:r>
        <w:rPr>
          <w:rFonts w:hint="eastAsia" w:ascii="宋体" w:hAnsi="宋体"/>
          <w:szCs w:val="21"/>
        </w:rPr>
        <w:t>；</w:t>
      </w:r>
    </w:p>
    <w:p>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（1）供应商的名称（或者姓名）、地址、邮编、邮箱、联系人及联系电话；</w:t>
      </w:r>
    </w:p>
    <w:p>
      <w:pPr>
        <w:ind w:firstLine="420" w:firstLineChars="200"/>
        <w:rPr>
          <w:rFonts w:ascii="宋体" w:hAnsi="宋体"/>
          <w:szCs w:val="21"/>
        </w:rPr>
      </w:pPr>
      <w:r>
        <w:rPr>
          <w:rFonts w:hint="eastAsia" w:ascii="宋体" w:hAnsi="宋体"/>
          <w:szCs w:val="21"/>
        </w:rPr>
        <w:t>（2）质疑项目的名称、编号；</w:t>
      </w:r>
    </w:p>
    <w:p>
      <w:pPr>
        <w:ind w:firstLine="420" w:firstLineChars="200"/>
        <w:rPr>
          <w:rFonts w:ascii="宋体" w:hAnsi="宋体"/>
          <w:szCs w:val="21"/>
        </w:rPr>
      </w:pPr>
      <w:r>
        <w:rPr>
          <w:rFonts w:hint="eastAsia" w:ascii="宋体" w:hAnsi="宋体"/>
          <w:szCs w:val="21"/>
        </w:rPr>
        <w:t>（3）具体、明确的质疑对象、质疑事项和质疑请求；</w:t>
      </w:r>
    </w:p>
    <w:p>
      <w:pPr>
        <w:ind w:firstLine="420" w:firstLineChars="200"/>
        <w:rPr>
          <w:rFonts w:ascii="宋体" w:hAnsi="宋体"/>
          <w:szCs w:val="21"/>
        </w:rPr>
      </w:pPr>
      <w:r>
        <w:rPr>
          <w:rFonts w:hint="eastAsia" w:ascii="宋体" w:hAnsi="宋体"/>
          <w:szCs w:val="21"/>
        </w:rPr>
        <w:t>（4）因质疑事项而受损害的权益；</w:t>
      </w:r>
    </w:p>
    <w:p>
      <w:pPr>
        <w:ind w:firstLine="420" w:firstLineChars="200"/>
        <w:rPr>
          <w:rFonts w:ascii="宋体" w:hAnsi="宋体"/>
          <w:szCs w:val="21"/>
        </w:rPr>
      </w:pPr>
      <w:r>
        <w:rPr>
          <w:rFonts w:hint="eastAsia" w:ascii="宋体" w:hAnsi="宋体"/>
          <w:szCs w:val="21"/>
        </w:rPr>
        <w:t>（5）事实依据；</w:t>
      </w:r>
    </w:p>
    <w:p>
      <w:pPr>
        <w:ind w:firstLine="420" w:firstLineChars="200"/>
        <w:rPr>
          <w:rFonts w:ascii="宋体" w:hAnsi="宋体"/>
          <w:szCs w:val="21"/>
        </w:rPr>
      </w:pPr>
      <w:r>
        <w:rPr>
          <w:rFonts w:hint="eastAsia" w:ascii="宋体" w:hAnsi="宋体"/>
          <w:szCs w:val="21"/>
        </w:rPr>
        <w:t>（6）必要的法律依据；</w:t>
      </w:r>
    </w:p>
    <w:p>
      <w:pPr>
        <w:ind w:firstLine="420" w:firstLineChars="200"/>
        <w:rPr>
          <w:rFonts w:ascii="宋体" w:hAnsi="宋体"/>
          <w:szCs w:val="21"/>
        </w:rPr>
      </w:pPr>
      <w:r>
        <w:rPr>
          <w:rFonts w:hint="eastAsia" w:ascii="宋体" w:hAnsi="宋体"/>
          <w:szCs w:val="21"/>
        </w:rPr>
        <w:t>（7）提出质疑的日期。</w:t>
      </w:r>
    </w:p>
    <w:p>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pPr>
        <w:ind w:firstLine="420" w:firstLineChars="200"/>
        <w:rPr>
          <w:rFonts w:ascii="宋体" w:hAnsi="宋体"/>
          <w:szCs w:val="21"/>
        </w:rPr>
      </w:pPr>
      <w:r>
        <w:rPr>
          <w:rFonts w:hint="eastAsia" w:ascii="宋体" w:hAnsi="宋体"/>
          <w:szCs w:val="21"/>
        </w:rPr>
        <w:t>52.4提交</w:t>
      </w:r>
      <w:r>
        <w:rPr>
          <w:rFonts w:ascii="宋体" w:hAnsi="宋体"/>
          <w:szCs w:val="21"/>
        </w:rPr>
        <w:t>材料</w:t>
      </w:r>
    </w:p>
    <w:p>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pPr>
        <w:ind w:firstLine="420" w:firstLineChars="200"/>
        <w:rPr>
          <w:rFonts w:ascii="宋体" w:hAnsi="宋体"/>
          <w:szCs w:val="21"/>
        </w:rPr>
      </w:pPr>
      <w:r>
        <w:rPr>
          <w:rFonts w:hint="eastAsia" w:ascii="宋体" w:hAnsi="宋体"/>
          <w:szCs w:val="21"/>
        </w:rPr>
        <w:t>52.5收文地点</w:t>
      </w:r>
    </w:p>
    <w:p>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pPr>
        <w:ind w:firstLine="420" w:firstLineChars="200"/>
        <w:rPr>
          <w:rFonts w:ascii="宋体" w:hAnsi="宋体"/>
          <w:szCs w:val="21"/>
        </w:rPr>
      </w:pPr>
      <w:r>
        <w:rPr>
          <w:rFonts w:hint="eastAsia" w:ascii="宋体" w:hAnsi="宋体"/>
          <w:szCs w:val="21"/>
        </w:rPr>
        <w:t>供应商提交的质疑存在下列情形之一的，不予受理：</w:t>
      </w:r>
    </w:p>
    <w:p>
      <w:pPr>
        <w:ind w:firstLine="420" w:firstLineChars="200"/>
        <w:rPr>
          <w:rFonts w:ascii="宋体" w:hAnsi="宋体"/>
          <w:szCs w:val="21"/>
        </w:rPr>
      </w:pPr>
      <w:r>
        <w:rPr>
          <w:rFonts w:hint="eastAsia" w:ascii="宋体" w:hAnsi="宋体"/>
          <w:szCs w:val="21"/>
        </w:rPr>
        <w:t>（1）质疑主体不满足要求的；</w:t>
      </w:r>
    </w:p>
    <w:p>
      <w:pPr>
        <w:ind w:firstLine="420" w:firstLineChars="200"/>
        <w:rPr>
          <w:rFonts w:ascii="宋体" w:hAnsi="宋体"/>
          <w:szCs w:val="21"/>
        </w:rPr>
      </w:pPr>
      <w:r>
        <w:rPr>
          <w:rFonts w:hint="eastAsia" w:ascii="宋体" w:hAnsi="宋体"/>
          <w:szCs w:val="21"/>
        </w:rPr>
        <w:t>（2）供应商自身权益未受到损害的；</w:t>
      </w:r>
    </w:p>
    <w:p>
      <w:pPr>
        <w:ind w:firstLine="420" w:firstLineChars="200"/>
        <w:rPr>
          <w:rFonts w:ascii="宋体" w:hAnsi="宋体"/>
          <w:szCs w:val="21"/>
        </w:rPr>
      </w:pPr>
      <w:r>
        <w:rPr>
          <w:rFonts w:hint="eastAsia" w:ascii="宋体" w:hAnsi="宋体"/>
          <w:szCs w:val="21"/>
        </w:rPr>
        <w:t>（3）供应商未在法定质疑期限内提出质疑的；</w:t>
      </w:r>
    </w:p>
    <w:p>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pPr>
        <w:ind w:firstLine="420" w:firstLineChars="200"/>
        <w:rPr>
          <w:rFonts w:ascii="宋体" w:hAnsi="宋体"/>
          <w:szCs w:val="21"/>
        </w:rPr>
      </w:pPr>
      <w:r>
        <w:rPr>
          <w:rFonts w:hint="eastAsia" w:ascii="宋体" w:hAnsi="宋体"/>
          <w:szCs w:val="21"/>
        </w:rPr>
        <w:t>（5）其他不符合受理条件情形的。</w:t>
      </w:r>
    </w:p>
    <w:p>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pPr>
        <w:ind w:firstLine="420" w:firstLineChars="200"/>
        <w:rPr>
          <w:rFonts w:ascii="宋体" w:hAnsi="宋体"/>
          <w:szCs w:val="21"/>
        </w:rPr>
      </w:pPr>
      <w:r>
        <w:rPr>
          <w:rFonts w:hint="eastAsia" w:ascii="宋体" w:hAnsi="宋体"/>
          <w:szCs w:val="21"/>
        </w:rPr>
        <w:t>52.7质疑答复时限</w:t>
      </w:r>
    </w:p>
    <w:p>
      <w:pPr>
        <w:ind w:firstLine="420" w:firstLineChars="200"/>
        <w:rPr>
          <w:rFonts w:ascii="宋体" w:hAnsi="宋体"/>
          <w:szCs w:val="21"/>
        </w:rPr>
      </w:pPr>
      <w:r>
        <w:rPr>
          <w:rFonts w:hint="eastAsia" w:ascii="宋体" w:hAnsi="宋体"/>
          <w:szCs w:val="21"/>
        </w:rPr>
        <w:t>自收文之日起七个工作日内。</w:t>
      </w:r>
    </w:p>
    <w:p>
      <w:pPr>
        <w:ind w:firstLine="420" w:firstLineChars="200"/>
        <w:rPr>
          <w:rFonts w:ascii="宋体" w:hAnsi="宋体"/>
          <w:szCs w:val="21"/>
        </w:rPr>
      </w:pPr>
      <w:r>
        <w:rPr>
          <w:rFonts w:hint="eastAsia" w:ascii="宋体" w:hAnsi="宋体"/>
          <w:szCs w:val="21"/>
        </w:rPr>
        <w:t>52.8争议（投诉）</w:t>
      </w:r>
    </w:p>
    <w:p>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pPr>
        <w:ind w:firstLine="420" w:firstLineChars="200"/>
        <w:rPr>
          <w:rFonts w:ascii="黑体" w:hAnsi="宋体" w:eastAsia="黑体"/>
          <w:szCs w:val="21"/>
        </w:rPr>
      </w:pPr>
      <w:r>
        <w:rPr>
          <w:rFonts w:hint="eastAsia" w:ascii="黑体" w:hAnsi="宋体" w:eastAsia="黑体"/>
          <w:szCs w:val="21"/>
        </w:rPr>
        <w:t>53. 质疑后续处理</w:t>
      </w:r>
    </w:p>
    <w:p>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pPr>
        <w:jc w:val="center"/>
      </w:pPr>
      <w:r>
        <w:t>---- END ----</w:t>
      </w:r>
      <w:bookmarkEnd w:id="47"/>
    </w:p>
    <w:p>
      <w:pPr>
        <w:ind w:firstLine="420" w:firstLineChars="200"/>
        <w:rPr>
          <w:rFonts w:ascii="宋体" w:hAnsi="宋体"/>
          <w:szCs w:val="21"/>
        </w:rPr>
      </w:pPr>
    </w:p>
    <w:p/>
    <w:sectPr>
      <w:headerReference r:id="rId8" w:type="first"/>
      <w:footerReference r:id="rId11" w:type="first"/>
      <w:headerReference r:id="rId6" w:type="default"/>
      <w:footerReference r:id="rId9" w:type="default"/>
      <w:headerReference r:id="rId7" w:type="even"/>
      <w:footerReference r:id="rId10"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0FCD271-0535-4E82-A958-E26DB625EEB4}"/>
  </w:font>
  <w:font w:name="Arial">
    <w:panose1 w:val="020B0604020202020204"/>
    <w:charset w:val="01"/>
    <w:family w:val="swiss"/>
    <w:pitch w:val="default"/>
    <w:sig w:usb0="E0002EFF" w:usb1="C000785B" w:usb2="00000009" w:usb3="00000000" w:csb0="400001FF" w:csb1="FFFF0000"/>
    <w:embedRegular r:id="rId2" w:fontKey="{090B276C-5827-4258-B218-D6D2941B58D4}"/>
  </w:font>
  <w:font w:name="黑体">
    <w:panose1 w:val="02010609060101010101"/>
    <w:charset w:val="86"/>
    <w:family w:val="auto"/>
    <w:pitch w:val="default"/>
    <w:sig w:usb0="800002BF" w:usb1="38CF7CFA" w:usb2="00000016" w:usb3="00000000" w:csb0="00040001" w:csb1="00000000"/>
    <w:embedRegular r:id="rId3" w:fontKey="{FD4F6889-8E0D-4A9F-A887-D8170BBC739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CBCAE5EF-7502-47AF-9204-4F0821C79109}"/>
  </w:font>
  <w:font w:name="Cambria">
    <w:panose1 w:val="02040503050406030204"/>
    <w:charset w:val="00"/>
    <w:family w:val="roman"/>
    <w:pitch w:val="default"/>
    <w:sig w:usb0="E00006FF" w:usb1="420024FF" w:usb2="02000000" w:usb3="00000000" w:csb0="2000019F" w:csb1="00000000"/>
    <w:embedRegular r:id="rId5" w:fontKey="{39590B56-0A52-489C-B190-B5015B742AFA}"/>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6" w:fontKey="{52D3781E-4B73-46E9-BE62-E29049BBDC0E}"/>
  </w:font>
  <w:font w:name="华文仿宋">
    <w:panose1 w:val="02010600040101010101"/>
    <w:charset w:val="86"/>
    <w:family w:val="auto"/>
    <w:pitch w:val="default"/>
    <w:sig w:usb0="00000287" w:usb1="080F0000" w:usb2="00000000" w:usb3="00000000" w:csb0="0004009F" w:csb1="DFD70000"/>
    <w:embedRegular r:id="rId7" w:fontKey="{F67B00F1-5EB0-46FB-A29F-F3EAF763A6E2}"/>
  </w:font>
  <w:font w:name="方正仿宋_GBK">
    <w:panose1 w:val="02000000000000000000"/>
    <w:charset w:val="86"/>
    <w:family w:val="auto"/>
    <w:pitch w:val="default"/>
    <w:sig w:usb0="A00002BF" w:usb1="38CF7CFA" w:usb2="00082016" w:usb3="00000000" w:csb0="00040001" w:csb1="00000000"/>
    <w:embedRegular r:id="rId8" w:fontKey="{F8FE24D6-01B1-49E3-8EBF-2ECDB8BBDDC7}"/>
  </w:font>
  <w:font w:name="方正小标宋简体">
    <w:panose1 w:val="02010601030101010101"/>
    <w:charset w:val="86"/>
    <w:family w:val="script"/>
    <w:pitch w:val="default"/>
    <w:sig w:usb0="00000001" w:usb1="080E0000" w:usb2="00000000" w:usb3="00000000" w:csb0="00040000" w:csb1="00000000"/>
  </w:font>
  <w:font w:name="ˎ̥">
    <w:altName w:val="Times New Roman"/>
    <w:panose1 w:val="00000000000000000000"/>
    <w:charset w:val="00"/>
    <w:family w:val="auto"/>
    <w:pitch w:val="default"/>
    <w:sig w:usb0="00000000" w:usb1="00000000" w:usb2="00000000" w:usb3="00000000" w:csb0="00040001" w:csb1="00000000"/>
    <w:embedRegular r:id="rId9" w:fontKey="{605ABC60-62EF-4C13-9CAB-5D9EDE30414B}"/>
  </w:font>
  <w:font w:name="仿宋">
    <w:panose1 w:val="02010609060101010101"/>
    <w:charset w:val="86"/>
    <w:family w:val="modern"/>
    <w:pitch w:val="default"/>
    <w:sig w:usb0="800002BF" w:usb1="38CF7CFA" w:usb2="00000016" w:usb3="00000000" w:csb0="00040001" w:csb1="00000000"/>
    <w:embedRegular r:id="rId10" w:fontKey="{7127541D-786B-46E6-87B3-B518CDAED297}"/>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2"/>
      </w:rPr>
    </w:pPr>
    <w:r>
      <w:t xml:space="preserve">- </w:t>
    </w:r>
    <w:r>
      <w:fldChar w:fldCharType="begin"/>
    </w:r>
    <w:r>
      <w:instrText xml:space="preserve"> PAGE </w:instrText>
    </w:r>
    <w:r>
      <w:fldChar w:fldCharType="separate"/>
    </w:r>
    <w:r>
      <w:t>29</w:t>
    </w:r>
    <w:r>
      <w:fldChar w:fldCharType="end"/>
    </w:r>
    <w:r>
      <w:t xml:space="preserve"> -</w:t>
    </w: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2"/>
      </w:rPr>
    </w:pPr>
    <w:r>
      <w:rPr>
        <w:rStyle w:val="22"/>
      </w:rPr>
      <w:fldChar w:fldCharType="begin"/>
    </w:r>
    <w:r>
      <w:rPr>
        <w:rStyle w:val="22"/>
      </w:rPr>
      <w:instrText xml:space="preserve">PAGE  </w:instrText>
    </w:r>
    <w:r>
      <w:rPr>
        <w:rStyle w:val="22"/>
      </w:rPr>
      <w:fldChar w:fldCharType="end"/>
    </w:r>
  </w:p>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64242"/>
      <w:docPartObj>
        <w:docPartGallery w:val="autotext"/>
      </w:docPartObj>
    </w:sdtPr>
    <w:sdtContent>
      <w:p>
        <w:pPr>
          <w:pStyle w:val="12"/>
          <w:jc w:val="center"/>
        </w:pPr>
        <w:r>
          <w:fldChar w:fldCharType="begin"/>
        </w:r>
        <w:r>
          <w:instrText xml:space="preserve"> PAGE   \* MERGEFORMAT </w:instrText>
        </w:r>
        <w:r>
          <w:fldChar w:fldCharType="separate"/>
        </w:r>
        <w:r>
          <w:rPr>
            <w:lang w:val="zh-CN"/>
          </w:rPr>
          <w:t>40</w:t>
        </w:r>
        <w:r>
          <w:rPr>
            <w:lang w:val="zh-CN"/>
          </w:rPr>
          <w:fldChar w:fldCharType="end"/>
        </w:r>
      </w:p>
    </w:sdtContent>
  </w:sdt>
  <w:p>
    <w:pPr>
      <w:pStyle w:val="12"/>
      <w:spacing w:after="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02A6DD"/>
    <w:multiLevelType w:val="singleLevel"/>
    <w:tmpl w:val="A702A6DD"/>
    <w:lvl w:ilvl="0" w:tentative="0">
      <w:start w:val="1"/>
      <w:numFmt w:val="decimal"/>
      <w:suff w:val="nothing"/>
      <w:lvlText w:val="%1、"/>
      <w:lvlJc w:val="left"/>
    </w:lvl>
  </w:abstractNum>
  <w:abstractNum w:abstractNumId="1">
    <w:nsid w:val="B4F30691"/>
    <w:multiLevelType w:val="singleLevel"/>
    <w:tmpl w:val="B4F30691"/>
    <w:lvl w:ilvl="0" w:tentative="0">
      <w:start w:val="3"/>
      <w:numFmt w:val="decimal"/>
      <w:suff w:val="nothing"/>
      <w:lvlText w:val="（%1）"/>
      <w:lvlJc w:val="left"/>
    </w:lvl>
  </w:abstractNum>
  <w:abstractNum w:abstractNumId="2">
    <w:nsid w:val="B9358C2E"/>
    <w:multiLevelType w:val="singleLevel"/>
    <w:tmpl w:val="B9358C2E"/>
    <w:lvl w:ilvl="0" w:tentative="0">
      <w:start w:val="2"/>
      <w:numFmt w:val="decimal"/>
      <w:suff w:val="nothing"/>
      <w:lvlText w:val="%1、"/>
      <w:lvlJc w:val="left"/>
    </w:lvl>
  </w:abstractNum>
  <w:abstractNum w:abstractNumId="3">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doNotDisplayPageBoundaries w:val="1"/>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GI0ZDhmOTgzNWU2NGM4YzU2NjlhMmU2ZTI3MWU4NmUifQ=="/>
    <w:docVar w:name="KSO_WPS_MARK_KEY" w:val="2f9ed4fd-8025-4770-8d27-b1f50e703a93"/>
  </w:docVars>
  <w:rsids>
    <w:rsidRoot w:val="002B296E"/>
    <w:rsid w:val="00002E60"/>
    <w:rsid w:val="000048FF"/>
    <w:rsid w:val="00004FA5"/>
    <w:rsid w:val="0000723B"/>
    <w:rsid w:val="000114D0"/>
    <w:rsid w:val="00012263"/>
    <w:rsid w:val="00015C20"/>
    <w:rsid w:val="000165A0"/>
    <w:rsid w:val="00017ECC"/>
    <w:rsid w:val="00024DCF"/>
    <w:rsid w:val="00026B1C"/>
    <w:rsid w:val="0002788F"/>
    <w:rsid w:val="00027E40"/>
    <w:rsid w:val="00030854"/>
    <w:rsid w:val="00030B9F"/>
    <w:rsid w:val="000325CA"/>
    <w:rsid w:val="0003474D"/>
    <w:rsid w:val="00035243"/>
    <w:rsid w:val="000354DF"/>
    <w:rsid w:val="000413CE"/>
    <w:rsid w:val="00041760"/>
    <w:rsid w:val="00046AE3"/>
    <w:rsid w:val="00047161"/>
    <w:rsid w:val="00047CFA"/>
    <w:rsid w:val="00047F90"/>
    <w:rsid w:val="000509B8"/>
    <w:rsid w:val="000549AF"/>
    <w:rsid w:val="00055C90"/>
    <w:rsid w:val="000572C4"/>
    <w:rsid w:val="0008028B"/>
    <w:rsid w:val="00082568"/>
    <w:rsid w:val="000839B0"/>
    <w:rsid w:val="00083BC2"/>
    <w:rsid w:val="00083FD9"/>
    <w:rsid w:val="000844B8"/>
    <w:rsid w:val="0008773C"/>
    <w:rsid w:val="0009130D"/>
    <w:rsid w:val="00091343"/>
    <w:rsid w:val="00094FCC"/>
    <w:rsid w:val="000A7A9D"/>
    <w:rsid w:val="000B5D94"/>
    <w:rsid w:val="000B6946"/>
    <w:rsid w:val="000C0D21"/>
    <w:rsid w:val="000C0E1A"/>
    <w:rsid w:val="000C106C"/>
    <w:rsid w:val="000C4236"/>
    <w:rsid w:val="000D406E"/>
    <w:rsid w:val="000D4A50"/>
    <w:rsid w:val="000D4B12"/>
    <w:rsid w:val="000D6122"/>
    <w:rsid w:val="000E13A3"/>
    <w:rsid w:val="000F1328"/>
    <w:rsid w:val="000F34B2"/>
    <w:rsid w:val="000F4368"/>
    <w:rsid w:val="000F50E1"/>
    <w:rsid w:val="000F6FF0"/>
    <w:rsid w:val="001031B0"/>
    <w:rsid w:val="0010408D"/>
    <w:rsid w:val="001053A0"/>
    <w:rsid w:val="001063E2"/>
    <w:rsid w:val="00110CBD"/>
    <w:rsid w:val="00111349"/>
    <w:rsid w:val="00112D2A"/>
    <w:rsid w:val="00113412"/>
    <w:rsid w:val="00114DD8"/>
    <w:rsid w:val="00115E40"/>
    <w:rsid w:val="00115FE9"/>
    <w:rsid w:val="00116C4B"/>
    <w:rsid w:val="00121E98"/>
    <w:rsid w:val="00122F53"/>
    <w:rsid w:val="00123D4F"/>
    <w:rsid w:val="00126CD8"/>
    <w:rsid w:val="00130EED"/>
    <w:rsid w:val="001318CF"/>
    <w:rsid w:val="0013313E"/>
    <w:rsid w:val="00135D16"/>
    <w:rsid w:val="001405FA"/>
    <w:rsid w:val="001423E8"/>
    <w:rsid w:val="00142726"/>
    <w:rsid w:val="00143A07"/>
    <w:rsid w:val="0014406D"/>
    <w:rsid w:val="00147326"/>
    <w:rsid w:val="001477E0"/>
    <w:rsid w:val="001478A4"/>
    <w:rsid w:val="0015184C"/>
    <w:rsid w:val="00152E85"/>
    <w:rsid w:val="00154E87"/>
    <w:rsid w:val="00155971"/>
    <w:rsid w:val="001559D5"/>
    <w:rsid w:val="00156956"/>
    <w:rsid w:val="00170A76"/>
    <w:rsid w:val="00171482"/>
    <w:rsid w:val="001776D1"/>
    <w:rsid w:val="00184554"/>
    <w:rsid w:val="00184F4C"/>
    <w:rsid w:val="001872EC"/>
    <w:rsid w:val="00190D4E"/>
    <w:rsid w:val="00191DBC"/>
    <w:rsid w:val="00192AD1"/>
    <w:rsid w:val="00196ADD"/>
    <w:rsid w:val="001A4CD3"/>
    <w:rsid w:val="001A5C09"/>
    <w:rsid w:val="001A6041"/>
    <w:rsid w:val="001B0953"/>
    <w:rsid w:val="001B1074"/>
    <w:rsid w:val="001B150F"/>
    <w:rsid w:val="001B51BE"/>
    <w:rsid w:val="001B5B31"/>
    <w:rsid w:val="001B77F3"/>
    <w:rsid w:val="001B7F44"/>
    <w:rsid w:val="001C09D9"/>
    <w:rsid w:val="001C2014"/>
    <w:rsid w:val="001C2B16"/>
    <w:rsid w:val="001C3631"/>
    <w:rsid w:val="001D0EB9"/>
    <w:rsid w:val="001D33A2"/>
    <w:rsid w:val="001E10E8"/>
    <w:rsid w:val="001E12CE"/>
    <w:rsid w:val="001E18EF"/>
    <w:rsid w:val="001E2BD6"/>
    <w:rsid w:val="001E76F0"/>
    <w:rsid w:val="001E7CA2"/>
    <w:rsid w:val="001E7E39"/>
    <w:rsid w:val="001F0086"/>
    <w:rsid w:val="001F0952"/>
    <w:rsid w:val="001F2FF4"/>
    <w:rsid w:val="001F3848"/>
    <w:rsid w:val="001F3DC3"/>
    <w:rsid w:val="001F587F"/>
    <w:rsid w:val="001F6634"/>
    <w:rsid w:val="0020017A"/>
    <w:rsid w:val="00201302"/>
    <w:rsid w:val="002051F9"/>
    <w:rsid w:val="00205AF2"/>
    <w:rsid w:val="0020663F"/>
    <w:rsid w:val="00207A91"/>
    <w:rsid w:val="00210E25"/>
    <w:rsid w:val="00212161"/>
    <w:rsid w:val="0021479B"/>
    <w:rsid w:val="002177DC"/>
    <w:rsid w:val="0022303D"/>
    <w:rsid w:val="00223EEB"/>
    <w:rsid w:val="002244C7"/>
    <w:rsid w:val="00225DED"/>
    <w:rsid w:val="002278BD"/>
    <w:rsid w:val="00227BC5"/>
    <w:rsid w:val="00231E55"/>
    <w:rsid w:val="00232987"/>
    <w:rsid w:val="0023517A"/>
    <w:rsid w:val="002378E5"/>
    <w:rsid w:val="0024137C"/>
    <w:rsid w:val="002425D6"/>
    <w:rsid w:val="00244C00"/>
    <w:rsid w:val="00246372"/>
    <w:rsid w:val="002505A6"/>
    <w:rsid w:val="0025158C"/>
    <w:rsid w:val="00254904"/>
    <w:rsid w:val="00262AF1"/>
    <w:rsid w:val="00263E6E"/>
    <w:rsid w:val="0026418F"/>
    <w:rsid w:val="0026450A"/>
    <w:rsid w:val="00267A80"/>
    <w:rsid w:val="002709A8"/>
    <w:rsid w:val="00273346"/>
    <w:rsid w:val="002746A1"/>
    <w:rsid w:val="00276D6D"/>
    <w:rsid w:val="002805D4"/>
    <w:rsid w:val="00282867"/>
    <w:rsid w:val="00284C24"/>
    <w:rsid w:val="00285DE2"/>
    <w:rsid w:val="002933B7"/>
    <w:rsid w:val="00293B10"/>
    <w:rsid w:val="002942A3"/>
    <w:rsid w:val="0029795C"/>
    <w:rsid w:val="002A0ED3"/>
    <w:rsid w:val="002A29E5"/>
    <w:rsid w:val="002A758C"/>
    <w:rsid w:val="002B0948"/>
    <w:rsid w:val="002B296E"/>
    <w:rsid w:val="002B5C22"/>
    <w:rsid w:val="002B6F9C"/>
    <w:rsid w:val="002C3F0A"/>
    <w:rsid w:val="002C3FC4"/>
    <w:rsid w:val="002C500F"/>
    <w:rsid w:val="002D2996"/>
    <w:rsid w:val="002D4DB4"/>
    <w:rsid w:val="002D5EB6"/>
    <w:rsid w:val="002D67D0"/>
    <w:rsid w:val="002E1005"/>
    <w:rsid w:val="002E6F35"/>
    <w:rsid w:val="002F019C"/>
    <w:rsid w:val="002F218D"/>
    <w:rsid w:val="002F3F2C"/>
    <w:rsid w:val="002F4FC9"/>
    <w:rsid w:val="002F7BA0"/>
    <w:rsid w:val="00305131"/>
    <w:rsid w:val="003075D2"/>
    <w:rsid w:val="00307991"/>
    <w:rsid w:val="00311E94"/>
    <w:rsid w:val="00315035"/>
    <w:rsid w:val="0031695C"/>
    <w:rsid w:val="00317044"/>
    <w:rsid w:val="00321622"/>
    <w:rsid w:val="0032311B"/>
    <w:rsid w:val="00323813"/>
    <w:rsid w:val="00324CB2"/>
    <w:rsid w:val="00331FE7"/>
    <w:rsid w:val="00334D55"/>
    <w:rsid w:val="00335A76"/>
    <w:rsid w:val="00340524"/>
    <w:rsid w:val="00342876"/>
    <w:rsid w:val="0034457F"/>
    <w:rsid w:val="00345849"/>
    <w:rsid w:val="00347ADA"/>
    <w:rsid w:val="003553CD"/>
    <w:rsid w:val="00356426"/>
    <w:rsid w:val="00356A28"/>
    <w:rsid w:val="00362CA7"/>
    <w:rsid w:val="0036622C"/>
    <w:rsid w:val="003706DD"/>
    <w:rsid w:val="0037109F"/>
    <w:rsid w:val="00372805"/>
    <w:rsid w:val="00372E27"/>
    <w:rsid w:val="00373CC6"/>
    <w:rsid w:val="00376180"/>
    <w:rsid w:val="00376EF5"/>
    <w:rsid w:val="003802A7"/>
    <w:rsid w:val="003811DD"/>
    <w:rsid w:val="00384539"/>
    <w:rsid w:val="00386271"/>
    <w:rsid w:val="003876BD"/>
    <w:rsid w:val="00387C79"/>
    <w:rsid w:val="00391E72"/>
    <w:rsid w:val="003936FB"/>
    <w:rsid w:val="003938DE"/>
    <w:rsid w:val="00395B93"/>
    <w:rsid w:val="003977F7"/>
    <w:rsid w:val="003A283F"/>
    <w:rsid w:val="003A5619"/>
    <w:rsid w:val="003A6825"/>
    <w:rsid w:val="003B1124"/>
    <w:rsid w:val="003B2CDB"/>
    <w:rsid w:val="003B2D06"/>
    <w:rsid w:val="003B3F59"/>
    <w:rsid w:val="003C7B60"/>
    <w:rsid w:val="003D016D"/>
    <w:rsid w:val="003E1A20"/>
    <w:rsid w:val="003E3A5C"/>
    <w:rsid w:val="003E3CEC"/>
    <w:rsid w:val="003F0736"/>
    <w:rsid w:val="003F0EBF"/>
    <w:rsid w:val="003F1B3F"/>
    <w:rsid w:val="003F385B"/>
    <w:rsid w:val="003F3E0E"/>
    <w:rsid w:val="003F3FB9"/>
    <w:rsid w:val="003F5EFA"/>
    <w:rsid w:val="003F5F84"/>
    <w:rsid w:val="003F6980"/>
    <w:rsid w:val="003F6F74"/>
    <w:rsid w:val="0040232B"/>
    <w:rsid w:val="00411AD4"/>
    <w:rsid w:val="004155CD"/>
    <w:rsid w:val="0041767A"/>
    <w:rsid w:val="004208A5"/>
    <w:rsid w:val="00420DE3"/>
    <w:rsid w:val="0042513B"/>
    <w:rsid w:val="004338D4"/>
    <w:rsid w:val="004340BA"/>
    <w:rsid w:val="00434434"/>
    <w:rsid w:val="00434C62"/>
    <w:rsid w:val="004370D7"/>
    <w:rsid w:val="00440482"/>
    <w:rsid w:val="004437AE"/>
    <w:rsid w:val="00444582"/>
    <w:rsid w:val="00446748"/>
    <w:rsid w:val="0045104F"/>
    <w:rsid w:val="004515EE"/>
    <w:rsid w:val="004519A1"/>
    <w:rsid w:val="00451D23"/>
    <w:rsid w:val="00460ABA"/>
    <w:rsid w:val="00460E5B"/>
    <w:rsid w:val="00463379"/>
    <w:rsid w:val="0046375D"/>
    <w:rsid w:val="00463D37"/>
    <w:rsid w:val="00471274"/>
    <w:rsid w:val="00471E81"/>
    <w:rsid w:val="00473EA5"/>
    <w:rsid w:val="0047463B"/>
    <w:rsid w:val="004747A0"/>
    <w:rsid w:val="00480F0D"/>
    <w:rsid w:val="00482482"/>
    <w:rsid w:val="00487E35"/>
    <w:rsid w:val="00492CAF"/>
    <w:rsid w:val="00493F5B"/>
    <w:rsid w:val="004A019E"/>
    <w:rsid w:val="004A19DD"/>
    <w:rsid w:val="004A20E5"/>
    <w:rsid w:val="004B294D"/>
    <w:rsid w:val="004B30D9"/>
    <w:rsid w:val="004B3548"/>
    <w:rsid w:val="004B3730"/>
    <w:rsid w:val="004B5FA8"/>
    <w:rsid w:val="004B6143"/>
    <w:rsid w:val="004C2208"/>
    <w:rsid w:val="004C3ADD"/>
    <w:rsid w:val="004C3E0E"/>
    <w:rsid w:val="004C44EC"/>
    <w:rsid w:val="004D1052"/>
    <w:rsid w:val="004D7F2E"/>
    <w:rsid w:val="004E00DC"/>
    <w:rsid w:val="004E0362"/>
    <w:rsid w:val="004E3FBD"/>
    <w:rsid w:val="004E5F98"/>
    <w:rsid w:val="004E714A"/>
    <w:rsid w:val="004E7B5C"/>
    <w:rsid w:val="004F29F5"/>
    <w:rsid w:val="004F7062"/>
    <w:rsid w:val="00500956"/>
    <w:rsid w:val="00501787"/>
    <w:rsid w:val="00501B5F"/>
    <w:rsid w:val="005038E9"/>
    <w:rsid w:val="00504893"/>
    <w:rsid w:val="00506897"/>
    <w:rsid w:val="005129E6"/>
    <w:rsid w:val="00513456"/>
    <w:rsid w:val="0051395D"/>
    <w:rsid w:val="00516147"/>
    <w:rsid w:val="0052007E"/>
    <w:rsid w:val="005252BE"/>
    <w:rsid w:val="00526A79"/>
    <w:rsid w:val="00532047"/>
    <w:rsid w:val="00532FBA"/>
    <w:rsid w:val="00535134"/>
    <w:rsid w:val="00536A0C"/>
    <w:rsid w:val="00537AA3"/>
    <w:rsid w:val="00537F1E"/>
    <w:rsid w:val="00540B12"/>
    <w:rsid w:val="00542681"/>
    <w:rsid w:val="005436FB"/>
    <w:rsid w:val="00543EBF"/>
    <w:rsid w:val="00545710"/>
    <w:rsid w:val="00546A86"/>
    <w:rsid w:val="00546E60"/>
    <w:rsid w:val="00552DE9"/>
    <w:rsid w:val="00553482"/>
    <w:rsid w:val="005537A7"/>
    <w:rsid w:val="005568B0"/>
    <w:rsid w:val="00557C1B"/>
    <w:rsid w:val="00563968"/>
    <w:rsid w:val="005668BA"/>
    <w:rsid w:val="00566A6A"/>
    <w:rsid w:val="00575109"/>
    <w:rsid w:val="005755D6"/>
    <w:rsid w:val="00576EAB"/>
    <w:rsid w:val="00581EE1"/>
    <w:rsid w:val="00582807"/>
    <w:rsid w:val="00582ECC"/>
    <w:rsid w:val="00582FA7"/>
    <w:rsid w:val="0058780A"/>
    <w:rsid w:val="00590EB6"/>
    <w:rsid w:val="00591BAF"/>
    <w:rsid w:val="00594D4B"/>
    <w:rsid w:val="00596152"/>
    <w:rsid w:val="005965FD"/>
    <w:rsid w:val="005A482C"/>
    <w:rsid w:val="005A6D72"/>
    <w:rsid w:val="005B1875"/>
    <w:rsid w:val="005B28C9"/>
    <w:rsid w:val="005B3AB8"/>
    <w:rsid w:val="005B749E"/>
    <w:rsid w:val="005B7B25"/>
    <w:rsid w:val="005C09EC"/>
    <w:rsid w:val="005C26DC"/>
    <w:rsid w:val="005C4B92"/>
    <w:rsid w:val="005C5083"/>
    <w:rsid w:val="005C5333"/>
    <w:rsid w:val="005C5ED0"/>
    <w:rsid w:val="005D1B8A"/>
    <w:rsid w:val="005D5EB2"/>
    <w:rsid w:val="005E24CF"/>
    <w:rsid w:val="005E27B2"/>
    <w:rsid w:val="005E513F"/>
    <w:rsid w:val="005E6307"/>
    <w:rsid w:val="005E7861"/>
    <w:rsid w:val="005F0ACD"/>
    <w:rsid w:val="005F0B55"/>
    <w:rsid w:val="005F1D5B"/>
    <w:rsid w:val="005F378B"/>
    <w:rsid w:val="005F4CF2"/>
    <w:rsid w:val="00603B6D"/>
    <w:rsid w:val="00604DC0"/>
    <w:rsid w:val="00607011"/>
    <w:rsid w:val="006137B4"/>
    <w:rsid w:val="00613CE9"/>
    <w:rsid w:val="00622334"/>
    <w:rsid w:val="006279EE"/>
    <w:rsid w:val="0063107F"/>
    <w:rsid w:val="00631EC8"/>
    <w:rsid w:val="006322DC"/>
    <w:rsid w:val="006331E8"/>
    <w:rsid w:val="00633C10"/>
    <w:rsid w:val="00634CA8"/>
    <w:rsid w:val="00634D11"/>
    <w:rsid w:val="006357F8"/>
    <w:rsid w:val="00636B59"/>
    <w:rsid w:val="0063769B"/>
    <w:rsid w:val="00637C05"/>
    <w:rsid w:val="006416BE"/>
    <w:rsid w:val="00650F5B"/>
    <w:rsid w:val="006529BC"/>
    <w:rsid w:val="00652E82"/>
    <w:rsid w:val="006530D0"/>
    <w:rsid w:val="0065516B"/>
    <w:rsid w:val="0066606D"/>
    <w:rsid w:val="00666B5D"/>
    <w:rsid w:val="0067242A"/>
    <w:rsid w:val="00673CED"/>
    <w:rsid w:val="00674722"/>
    <w:rsid w:val="006749FE"/>
    <w:rsid w:val="006801A9"/>
    <w:rsid w:val="00681D73"/>
    <w:rsid w:val="006821DB"/>
    <w:rsid w:val="00684C4D"/>
    <w:rsid w:val="00691817"/>
    <w:rsid w:val="0069374B"/>
    <w:rsid w:val="00696FD7"/>
    <w:rsid w:val="006A5F3A"/>
    <w:rsid w:val="006A6F0A"/>
    <w:rsid w:val="006B00E1"/>
    <w:rsid w:val="006B1578"/>
    <w:rsid w:val="006B6920"/>
    <w:rsid w:val="006B6BCB"/>
    <w:rsid w:val="006C01D1"/>
    <w:rsid w:val="006C13B8"/>
    <w:rsid w:val="006C5B1E"/>
    <w:rsid w:val="006C5C51"/>
    <w:rsid w:val="006C5CD4"/>
    <w:rsid w:val="006D4663"/>
    <w:rsid w:val="006D5BEC"/>
    <w:rsid w:val="006D6273"/>
    <w:rsid w:val="006F3A9D"/>
    <w:rsid w:val="006F6AAD"/>
    <w:rsid w:val="006F77AA"/>
    <w:rsid w:val="00701EE1"/>
    <w:rsid w:val="00702DD5"/>
    <w:rsid w:val="007037E0"/>
    <w:rsid w:val="00715EA0"/>
    <w:rsid w:val="00716DDE"/>
    <w:rsid w:val="00721211"/>
    <w:rsid w:val="0072143A"/>
    <w:rsid w:val="00722517"/>
    <w:rsid w:val="00722B3F"/>
    <w:rsid w:val="00725998"/>
    <w:rsid w:val="00725B12"/>
    <w:rsid w:val="007311C0"/>
    <w:rsid w:val="00731E2A"/>
    <w:rsid w:val="00734FD4"/>
    <w:rsid w:val="00740FDB"/>
    <w:rsid w:val="0074155C"/>
    <w:rsid w:val="00742715"/>
    <w:rsid w:val="0074419A"/>
    <w:rsid w:val="00744AC7"/>
    <w:rsid w:val="0074718B"/>
    <w:rsid w:val="00752F41"/>
    <w:rsid w:val="00755821"/>
    <w:rsid w:val="00756CF3"/>
    <w:rsid w:val="00760711"/>
    <w:rsid w:val="00764256"/>
    <w:rsid w:val="0076454F"/>
    <w:rsid w:val="00767B75"/>
    <w:rsid w:val="007700F8"/>
    <w:rsid w:val="007764F5"/>
    <w:rsid w:val="0078066F"/>
    <w:rsid w:val="0078157F"/>
    <w:rsid w:val="00781A4A"/>
    <w:rsid w:val="0079172F"/>
    <w:rsid w:val="00791C67"/>
    <w:rsid w:val="00793C07"/>
    <w:rsid w:val="007941DC"/>
    <w:rsid w:val="00794DAC"/>
    <w:rsid w:val="007958AE"/>
    <w:rsid w:val="0079703B"/>
    <w:rsid w:val="0079727B"/>
    <w:rsid w:val="007A0D34"/>
    <w:rsid w:val="007A5852"/>
    <w:rsid w:val="007A5F9B"/>
    <w:rsid w:val="007A7C7A"/>
    <w:rsid w:val="007B6A73"/>
    <w:rsid w:val="007C175B"/>
    <w:rsid w:val="007C3FAA"/>
    <w:rsid w:val="007D3AB6"/>
    <w:rsid w:val="007D4637"/>
    <w:rsid w:val="007D4C6C"/>
    <w:rsid w:val="007D569A"/>
    <w:rsid w:val="007D64F6"/>
    <w:rsid w:val="007D7F8F"/>
    <w:rsid w:val="007E4C94"/>
    <w:rsid w:val="007E5F04"/>
    <w:rsid w:val="007F2B36"/>
    <w:rsid w:val="007F2C2A"/>
    <w:rsid w:val="007F360E"/>
    <w:rsid w:val="007F4A22"/>
    <w:rsid w:val="007F5365"/>
    <w:rsid w:val="00800B76"/>
    <w:rsid w:val="00812DDE"/>
    <w:rsid w:val="008140E8"/>
    <w:rsid w:val="00815186"/>
    <w:rsid w:val="00816199"/>
    <w:rsid w:val="00816284"/>
    <w:rsid w:val="00817DB8"/>
    <w:rsid w:val="008223B6"/>
    <w:rsid w:val="008234AD"/>
    <w:rsid w:val="00824D57"/>
    <w:rsid w:val="00830E2C"/>
    <w:rsid w:val="00831A8D"/>
    <w:rsid w:val="00835FB6"/>
    <w:rsid w:val="008401DA"/>
    <w:rsid w:val="00844AC5"/>
    <w:rsid w:val="00845602"/>
    <w:rsid w:val="00846672"/>
    <w:rsid w:val="00847099"/>
    <w:rsid w:val="00853091"/>
    <w:rsid w:val="00861B0D"/>
    <w:rsid w:val="00864234"/>
    <w:rsid w:val="008642D5"/>
    <w:rsid w:val="00865A6F"/>
    <w:rsid w:val="00867AC8"/>
    <w:rsid w:val="0087133C"/>
    <w:rsid w:val="00872B38"/>
    <w:rsid w:val="008801A3"/>
    <w:rsid w:val="00880599"/>
    <w:rsid w:val="00882212"/>
    <w:rsid w:val="00883AA8"/>
    <w:rsid w:val="008853B1"/>
    <w:rsid w:val="0088696D"/>
    <w:rsid w:val="00887B87"/>
    <w:rsid w:val="00890BC9"/>
    <w:rsid w:val="0089165B"/>
    <w:rsid w:val="008920BC"/>
    <w:rsid w:val="00893242"/>
    <w:rsid w:val="008944F3"/>
    <w:rsid w:val="008A06BA"/>
    <w:rsid w:val="008A06DF"/>
    <w:rsid w:val="008A2AD6"/>
    <w:rsid w:val="008A2E3D"/>
    <w:rsid w:val="008A2FC0"/>
    <w:rsid w:val="008A59E6"/>
    <w:rsid w:val="008A6F34"/>
    <w:rsid w:val="008B2078"/>
    <w:rsid w:val="008B5366"/>
    <w:rsid w:val="008C3CB6"/>
    <w:rsid w:val="008C4241"/>
    <w:rsid w:val="008C444B"/>
    <w:rsid w:val="008C60E7"/>
    <w:rsid w:val="008D1150"/>
    <w:rsid w:val="008D16DC"/>
    <w:rsid w:val="008D1E2F"/>
    <w:rsid w:val="008E1FB9"/>
    <w:rsid w:val="008E3462"/>
    <w:rsid w:val="008E58D8"/>
    <w:rsid w:val="008E6A1B"/>
    <w:rsid w:val="008E6B4B"/>
    <w:rsid w:val="008F615A"/>
    <w:rsid w:val="008F6B49"/>
    <w:rsid w:val="0090150F"/>
    <w:rsid w:val="009025C1"/>
    <w:rsid w:val="009047BE"/>
    <w:rsid w:val="00904AF7"/>
    <w:rsid w:val="009059F6"/>
    <w:rsid w:val="00905EC4"/>
    <w:rsid w:val="00906E89"/>
    <w:rsid w:val="00914845"/>
    <w:rsid w:val="009159E1"/>
    <w:rsid w:val="00926143"/>
    <w:rsid w:val="0092669F"/>
    <w:rsid w:val="00932626"/>
    <w:rsid w:val="00937032"/>
    <w:rsid w:val="00937148"/>
    <w:rsid w:val="00941419"/>
    <w:rsid w:val="00942353"/>
    <w:rsid w:val="009437A8"/>
    <w:rsid w:val="00946EFC"/>
    <w:rsid w:val="00946F9D"/>
    <w:rsid w:val="00952D54"/>
    <w:rsid w:val="00953043"/>
    <w:rsid w:val="00954CB2"/>
    <w:rsid w:val="00960804"/>
    <w:rsid w:val="00960E38"/>
    <w:rsid w:val="00967D3B"/>
    <w:rsid w:val="00970EA5"/>
    <w:rsid w:val="00971A55"/>
    <w:rsid w:val="00972180"/>
    <w:rsid w:val="00973CA7"/>
    <w:rsid w:val="0097679F"/>
    <w:rsid w:val="00984C36"/>
    <w:rsid w:val="00986108"/>
    <w:rsid w:val="00987D22"/>
    <w:rsid w:val="00991008"/>
    <w:rsid w:val="009929A4"/>
    <w:rsid w:val="009963B1"/>
    <w:rsid w:val="009A0EA8"/>
    <w:rsid w:val="009A1BDE"/>
    <w:rsid w:val="009A4B3F"/>
    <w:rsid w:val="009A7DA8"/>
    <w:rsid w:val="009B352B"/>
    <w:rsid w:val="009B39E3"/>
    <w:rsid w:val="009B5D6F"/>
    <w:rsid w:val="009C3B31"/>
    <w:rsid w:val="009C4A73"/>
    <w:rsid w:val="009C5CF6"/>
    <w:rsid w:val="009C75DB"/>
    <w:rsid w:val="009D062B"/>
    <w:rsid w:val="009D1E75"/>
    <w:rsid w:val="009D389A"/>
    <w:rsid w:val="009D61CA"/>
    <w:rsid w:val="009E3496"/>
    <w:rsid w:val="009E444A"/>
    <w:rsid w:val="009E44D1"/>
    <w:rsid w:val="009F0561"/>
    <w:rsid w:val="009F1C8C"/>
    <w:rsid w:val="009F249A"/>
    <w:rsid w:val="009F6A79"/>
    <w:rsid w:val="00A00532"/>
    <w:rsid w:val="00A027FE"/>
    <w:rsid w:val="00A049ED"/>
    <w:rsid w:val="00A13FD3"/>
    <w:rsid w:val="00A15662"/>
    <w:rsid w:val="00A15B4D"/>
    <w:rsid w:val="00A17A05"/>
    <w:rsid w:val="00A201BA"/>
    <w:rsid w:val="00A20B5D"/>
    <w:rsid w:val="00A23F78"/>
    <w:rsid w:val="00A26C10"/>
    <w:rsid w:val="00A32364"/>
    <w:rsid w:val="00A32B12"/>
    <w:rsid w:val="00A332CD"/>
    <w:rsid w:val="00A33AC6"/>
    <w:rsid w:val="00A35840"/>
    <w:rsid w:val="00A43C61"/>
    <w:rsid w:val="00A44087"/>
    <w:rsid w:val="00A50064"/>
    <w:rsid w:val="00A50762"/>
    <w:rsid w:val="00A50EFB"/>
    <w:rsid w:val="00A51785"/>
    <w:rsid w:val="00A518CC"/>
    <w:rsid w:val="00A51DA0"/>
    <w:rsid w:val="00A52400"/>
    <w:rsid w:val="00A53AEC"/>
    <w:rsid w:val="00A5552F"/>
    <w:rsid w:val="00A557BC"/>
    <w:rsid w:val="00A57FA5"/>
    <w:rsid w:val="00A63D89"/>
    <w:rsid w:val="00A64913"/>
    <w:rsid w:val="00A66F56"/>
    <w:rsid w:val="00A70FB7"/>
    <w:rsid w:val="00A73159"/>
    <w:rsid w:val="00A90CAD"/>
    <w:rsid w:val="00A91710"/>
    <w:rsid w:val="00A921BD"/>
    <w:rsid w:val="00A925B1"/>
    <w:rsid w:val="00A92A0C"/>
    <w:rsid w:val="00A95ABA"/>
    <w:rsid w:val="00A96575"/>
    <w:rsid w:val="00AA1DA9"/>
    <w:rsid w:val="00AA3C1D"/>
    <w:rsid w:val="00AA470C"/>
    <w:rsid w:val="00AA6718"/>
    <w:rsid w:val="00AA733B"/>
    <w:rsid w:val="00AB0EAD"/>
    <w:rsid w:val="00AB2F6A"/>
    <w:rsid w:val="00AB686A"/>
    <w:rsid w:val="00AC108C"/>
    <w:rsid w:val="00AC1A00"/>
    <w:rsid w:val="00AC2AA0"/>
    <w:rsid w:val="00AC4E3E"/>
    <w:rsid w:val="00AD1041"/>
    <w:rsid w:val="00AD273D"/>
    <w:rsid w:val="00AD518D"/>
    <w:rsid w:val="00AD5200"/>
    <w:rsid w:val="00AD5F49"/>
    <w:rsid w:val="00AE19A1"/>
    <w:rsid w:val="00AE7D66"/>
    <w:rsid w:val="00AF0598"/>
    <w:rsid w:val="00AF15DE"/>
    <w:rsid w:val="00AF1826"/>
    <w:rsid w:val="00AF6FAC"/>
    <w:rsid w:val="00B00551"/>
    <w:rsid w:val="00B053A8"/>
    <w:rsid w:val="00B1021A"/>
    <w:rsid w:val="00B1504B"/>
    <w:rsid w:val="00B153BA"/>
    <w:rsid w:val="00B16372"/>
    <w:rsid w:val="00B16D72"/>
    <w:rsid w:val="00B176D7"/>
    <w:rsid w:val="00B200B5"/>
    <w:rsid w:val="00B20E1B"/>
    <w:rsid w:val="00B21432"/>
    <w:rsid w:val="00B232BF"/>
    <w:rsid w:val="00B246C8"/>
    <w:rsid w:val="00B2524F"/>
    <w:rsid w:val="00B2636C"/>
    <w:rsid w:val="00B26C75"/>
    <w:rsid w:val="00B31267"/>
    <w:rsid w:val="00B316F7"/>
    <w:rsid w:val="00B36C6F"/>
    <w:rsid w:val="00B44A67"/>
    <w:rsid w:val="00B45AD9"/>
    <w:rsid w:val="00B46B50"/>
    <w:rsid w:val="00B46F12"/>
    <w:rsid w:val="00B50FAF"/>
    <w:rsid w:val="00B56DC4"/>
    <w:rsid w:val="00B63EEA"/>
    <w:rsid w:val="00B64301"/>
    <w:rsid w:val="00B64CA6"/>
    <w:rsid w:val="00B64F0D"/>
    <w:rsid w:val="00B652C9"/>
    <w:rsid w:val="00B66291"/>
    <w:rsid w:val="00B6685C"/>
    <w:rsid w:val="00B67E44"/>
    <w:rsid w:val="00B70889"/>
    <w:rsid w:val="00B72209"/>
    <w:rsid w:val="00B723C4"/>
    <w:rsid w:val="00B73AEF"/>
    <w:rsid w:val="00B73D7A"/>
    <w:rsid w:val="00B759D9"/>
    <w:rsid w:val="00B75E35"/>
    <w:rsid w:val="00B762CF"/>
    <w:rsid w:val="00B8127D"/>
    <w:rsid w:val="00B8450A"/>
    <w:rsid w:val="00B94787"/>
    <w:rsid w:val="00B95FA8"/>
    <w:rsid w:val="00B96E1B"/>
    <w:rsid w:val="00B97368"/>
    <w:rsid w:val="00B97861"/>
    <w:rsid w:val="00B97CCE"/>
    <w:rsid w:val="00BA0C36"/>
    <w:rsid w:val="00BB22AB"/>
    <w:rsid w:val="00BB4B9A"/>
    <w:rsid w:val="00BB5734"/>
    <w:rsid w:val="00BB612C"/>
    <w:rsid w:val="00BB61A5"/>
    <w:rsid w:val="00BB74E8"/>
    <w:rsid w:val="00BC2E32"/>
    <w:rsid w:val="00BC3A0B"/>
    <w:rsid w:val="00BC4919"/>
    <w:rsid w:val="00BC7592"/>
    <w:rsid w:val="00BC79A5"/>
    <w:rsid w:val="00BD00BC"/>
    <w:rsid w:val="00BD3394"/>
    <w:rsid w:val="00BD4173"/>
    <w:rsid w:val="00BD4618"/>
    <w:rsid w:val="00BD4F05"/>
    <w:rsid w:val="00BD69D0"/>
    <w:rsid w:val="00BD72CF"/>
    <w:rsid w:val="00BD7899"/>
    <w:rsid w:val="00BE3DF4"/>
    <w:rsid w:val="00BE6581"/>
    <w:rsid w:val="00BE7E28"/>
    <w:rsid w:val="00BF0E74"/>
    <w:rsid w:val="00BF3488"/>
    <w:rsid w:val="00BF55BD"/>
    <w:rsid w:val="00C02333"/>
    <w:rsid w:val="00C05D05"/>
    <w:rsid w:val="00C06DAA"/>
    <w:rsid w:val="00C14B6A"/>
    <w:rsid w:val="00C15825"/>
    <w:rsid w:val="00C169A3"/>
    <w:rsid w:val="00C20E8D"/>
    <w:rsid w:val="00C217C3"/>
    <w:rsid w:val="00C225A6"/>
    <w:rsid w:val="00C23C13"/>
    <w:rsid w:val="00C240A7"/>
    <w:rsid w:val="00C25258"/>
    <w:rsid w:val="00C255CE"/>
    <w:rsid w:val="00C27BEA"/>
    <w:rsid w:val="00C3712E"/>
    <w:rsid w:val="00C40B64"/>
    <w:rsid w:val="00C435E6"/>
    <w:rsid w:val="00C443E4"/>
    <w:rsid w:val="00C446EE"/>
    <w:rsid w:val="00C4660F"/>
    <w:rsid w:val="00C471AC"/>
    <w:rsid w:val="00C476C8"/>
    <w:rsid w:val="00C51754"/>
    <w:rsid w:val="00C51F32"/>
    <w:rsid w:val="00C547A9"/>
    <w:rsid w:val="00C56E41"/>
    <w:rsid w:val="00C57192"/>
    <w:rsid w:val="00C609D6"/>
    <w:rsid w:val="00C64BB6"/>
    <w:rsid w:val="00C67553"/>
    <w:rsid w:val="00C67EFD"/>
    <w:rsid w:val="00C705B3"/>
    <w:rsid w:val="00C719FB"/>
    <w:rsid w:val="00C71C81"/>
    <w:rsid w:val="00C71F2E"/>
    <w:rsid w:val="00C72BA4"/>
    <w:rsid w:val="00C7311A"/>
    <w:rsid w:val="00C778D5"/>
    <w:rsid w:val="00C803D0"/>
    <w:rsid w:val="00C80A7E"/>
    <w:rsid w:val="00C85D36"/>
    <w:rsid w:val="00C867A5"/>
    <w:rsid w:val="00C86A3C"/>
    <w:rsid w:val="00C86FA4"/>
    <w:rsid w:val="00C87D50"/>
    <w:rsid w:val="00C90586"/>
    <w:rsid w:val="00C9432C"/>
    <w:rsid w:val="00C95401"/>
    <w:rsid w:val="00CA6AFC"/>
    <w:rsid w:val="00CA717E"/>
    <w:rsid w:val="00CB1580"/>
    <w:rsid w:val="00CB2684"/>
    <w:rsid w:val="00CB327E"/>
    <w:rsid w:val="00CB4CF4"/>
    <w:rsid w:val="00CB6D8B"/>
    <w:rsid w:val="00CB757F"/>
    <w:rsid w:val="00CB7714"/>
    <w:rsid w:val="00CB7888"/>
    <w:rsid w:val="00CC0D34"/>
    <w:rsid w:val="00CC1F52"/>
    <w:rsid w:val="00CC3CEC"/>
    <w:rsid w:val="00CC5650"/>
    <w:rsid w:val="00CC601E"/>
    <w:rsid w:val="00CD0810"/>
    <w:rsid w:val="00CD0871"/>
    <w:rsid w:val="00CD15AC"/>
    <w:rsid w:val="00CD16EF"/>
    <w:rsid w:val="00CD6E04"/>
    <w:rsid w:val="00CE0038"/>
    <w:rsid w:val="00CE00DF"/>
    <w:rsid w:val="00CE0EE9"/>
    <w:rsid w:val="00CE2815"/>
    <w:rsid w:val="00CE4363"/>
    <w:rsid w:val="00CE6145"/>
    <w:rsid w:val="00CE7493"/>
    <w:rsid w:val="00CF1384"/>
    <w:rsid w:val="00CF31A3"/>
    <w:rsid w:val="00CF5029"/>
    <w:rsid w:val="00D0005C"/>
    <w:rsid w:val="00D03E68"/>
    <w:rsid w:val="00D0649F"/>
    <w:rsid w:val="00D101DB"/>
    <w:rsid w:val="00D10EC7"/>
    <w:rsid w:val="00D14647"/>
    <w:rsid w:val="00D14DA8"/>
    <w:rsid w:val="00D152BD"/>
    <w:rsid w:val="00D1696C"/>
    <w:rsid w:val="00D173FA"/>
    <w:rsid w:val="00D17566"/>
    <w:rsid w:val="00D20765"/>
    <w:rsid w:val="00D20FE1"/>
    <w:rsid w:val="00D22980"/>
    <w:rsid w:val="00D251EF"/>
    <w:rsid w:val="00D25271"/>
    <w:rsid w:val="00D26AD1"/>
    <w:rsid w:val="00D27104"/>
    <w:rsid w:val="00D30143"/>
    <w:rsid w:val="00D31DD4"/>
    <w:rsid w:val="00D348B0"/>
    <w:rsid w:val="00D3713E"/>
    <w:rsid w:val="00D40793"/>
    <w:rsid w:val="00D436C6"/>
    <w:rsid w:val="00D463F3"/>
    <w:rsid w:val="00D47072"/>
    <w:rsid w:val="00D514DB"/>
    <w:rsid w:val="00D51D5A"/>
    <w:rsid w:val="00D526AB"/>
    <w:rsid w:val="00D54B44"/>
    <w:rsid w:val="00D558E1"/>
    <w:rsid w:val="00D57026"/>
    <w:rsid w:val="00D627C9"/>
    <w:rsid w:val="00D71828"/>
    <w:rsid w:val="00D800DA"/>
    <w:rsid w:val="00D8218E"/>
    <w:rsid w:val="00D8346E"/>
    <w:rsid w:val="00D86650"/>
    <w:rsid w:val="00D86D55"/>
    <w:rsid w:val="00D921FE"/>
    <w:rsid w:val="00D9496D"/>
    <w:rsid w:val="00D95BB3"/>
    <w:rsid w:val="00D97380"/>
    <w:rsid w:val="00DA044F"/>
    <w:rsid w:val="00DA105C"/>
    <w:rsid w:val="00DA2163"/>
    <w:rsid w:val="00DA28B2"/>
    <w:rsid w:val="00DA6C09"/>
    <w:rsid w:val="00DA6ECE"/>
    <w:rsid w:val="00DA7095"/>
    <w:rsid w:val="00DA72AF"/>
    <w:rsid w:val="00DB223F"/>
    <w:rsid w:val="00DB57BB"/>
    <w:rsid w:val="00DB6A83"/>
    <w:rsid w:val="00DC0B27"/>
    <w:rsid w:val="00DC3998"/>
    <w:rsid w:val="00DC4475"/>
    <w:rsid w:val="00DC5E9F"/>
    <w:rsid w:val="00DC7567"/>
    <w:rsid w:val="00DD645B"/>
    <w:rsid w:val="00DE1A22"/>
    <w:rsid w:val="00DE1CCA"/>
    <w:rsid w:val="00DE6729"/>
    <w:rsid w:val="00DE7E2D"/>
    <w:rsid w:val="00DF193F"/>
    <w:rsid w:val="00DF25E1"/>
    <w:rsid w:val="00DF3523"/>
    <w:rsid w:val="00E01458"/>
    <w:rsid w:val="00E0332B"/>
    <w:rsid w:val="00E036CD"/>
    <w:rsid w:val="00E049D9"/>
    <w:rsid w:val="00E07100"/>
    <w:rsid w:val="00E07FC2"/>
    <w:rsid w:val="00E10C3F"/>
    <w:rsid w:val="00E13124"/>
    <w:rsid w:val="00E153BB"/>
    <w:rsid w:val="00E21413"/>
    <w:rsid w:val="00E22D57"/>
    <w:rsid w:val="00E22EBC"/>
    <w:rsid w:val="00E251C7"/>
    <w:rsid w:val="00E278B7"/>
    <w:rsid w:val="00E30D44"/>
    <w:rsid w:val="00E329CC"/>
    <w:rsid w:val="00E37343"/>
    <w:rsid w:val="00E45FFA"/>
    <w:rsid w:val="00E50F9B"/>
    <w:rsid w:val="00E54396"/>
    <w:rsid w:val="00E5578E"/>
    <w:rsid w:val="00E604F1"/>
    <w:rsid w:val="00E61654"/>
    <w:rsid w:val="00E6680C"/>
    <w:rsid w:val="00E66C37"/>
    <w:rsid w:val="00E7270D"/>
    <w:rsid w:val="00E737A3"/>
    <w:rsid w:val="00E7592D"/>
    <w:rsid w:val="00E81AF6"/>
    <w:rsid w:val="00E826CD"/>
    <w:rsid w:val="00E843C6"/>
    <w:rsid w:val="00E85903"/>
    <w:rsid w:val="00E85964"/>
    <w:rsid w:val="00E85CA9"/>
    <w:rsid w:val="00E86560"/>
    <w:rsid w:val="00E86589"/>
    <w:rsid w:val="00E90411"/>
    <w:rsid w:val="00E90B57"/>
    <w:rsid w:val="00E90E77"/>
    <w:rsid w:val="00E91D47"/>
    <w:rsid w:val="00E950F7"/>
    <w:rsid w:val="00E9738B"/>
    <w:rsid w:val="00E97ED5"/>
    <w:rsid w:val="00EA2A02"/>
    <w:rsid w:val="00EA3FB7"/>
    <w:rsid w:val="00EA4881"/>
    <w:rsid w:val="00EA6339"/>
    <w:rsid w:val="00EB0F3C"/>
    <w:rsid w:val="00EB13A1"/>
    <w:rsid w:val="00EB1B29"/>
    <w:rsid w:val="00EB1F22"/>
    <w:rsid w:val="00EB4289"/>
    <w:rsid w:val="00EB5885"/>
    <w:rsid w:val="00EB6854"/>
    <w:rsid w:val="00EB75BE"/>
    <w:rsid w:val="00EC1352"/>
    <w:rsid w:val="00EC2549"/>
    <w:rsid w:val="00EC2883"/>
    <w:rsid w:val="00EC2BB5"/>
    <w:rsid w:val="00EC3810"/>
    <w:rsid w:val="00EC40A2"/>
    <w:rsid w:val="00EC4B4C"/>
    <w:rsid w:val="00EC4D83"/>
    <w:rsid w:val="00EC5F28"/>
    <w:rsid w:val="00EC69E5"/>
    <w:rsid w:val="00EE126C"/>
    <w:rsid w:val="00EE32ED"/>
    <w:rsid w:val="00EE7E2F"/>
    <w:rsid w:val="00EF31F9"/>
    <w:rsid w:val="00EF4E8F"/>
    <w:rsid w:val="00EF5AA6"/>
    <w:rsid w:val="00EF6661"/>
    <w:rsid w:val="00F02D10"/>
    <w:rsid w:val="00F0669D"/>
    <w:rsid w:val="00F07E14"/>
    <w:rsid w:val="00F10E50"/>
    <w:rsid w:val="00F211FE"/>
    <w:rsid w:val="00F224EF"/>
    <w:rsid w:val="00F234A7"/>
    <w:rsid w:val="00F238BB"/>
    <w:rsid w:val="00F2456F"/>
    <w:rsid w:val="00F261FD"/>
    <w:rsid w:val="00F27DDA"/>
    <w:rsid w:val="00F37F8A"/>
    <w:rsid w:val="00F42EDE"/>
    <w:rsid w:val="00F43EFC"/>
    <w:rsid w:val="00F446EB"/>
    <w:rsid w:val="00F46B36"/>
    <w:rsid w:val="00F47157"/>
    <w:rsid w:val="00F5336A"/>
    <w:rsid w:val="00F54C2B"/>
    <w:rsid w:val="00F567E7"/>
    <w:rsid w:val="00F571BE"/>
    <w:rsid w:val="00F5795E"/>
    <w:rsid w:val="00F57A49"/>
    <w:rsid w:val="00F61B76"/>
    <w:rsid w:val="00F643A2"/>
    <w:rsid w:val="00F643F2"/>
    <w:rsid w:val="00F65F03"/>
    <w:rsid w:val="00F6601D"/>
    <w:rsid w:val="00F673CB"/>
    <w:rsid w:val="00F67588"/>
    <w:rsid w:val="00F70F4B"/>
    <w:rsid w:val="00F72D0E"/>
    <w:rsid w:val="00F758CB"/>
    <w:rsid w:val="00F76A4D"/>
    <w:rsid w:val="00F8221A"/>
    <w:rsid w:val="00F87178"/>
    <w:rsid w:val="00F87390"/>
    <w:rsid w:val="00F90B59"/>
    <w:rsid w:val="00F91549"/>
    <w:rsid w:val="00F9208B"/>
    <w:rsid w:val="00F93EE8"/>
    <w:rsid w:val="00F943BD"/>
    <w:rsid w:val="00FA440F"/>
    <w:rsid w:val="00FA6888"/>
    <w:rsid w:val="00FB762C"/>
    <w:rsid w:val="00FC18D7"/>
    <w:rsid w:val="00FC6BE7"/>
    <w:rsid w:val="00FC7535"/>
    <w:rsid w:val="00FD0135"/>
    <w:rsid w:val="00FD028C"/>
    <w:rsid w:val="00FD2052"/>
    <w:rsid w:val="00FE0575"/>
    <w:rsid w:val="00FE26CC"/>
    <w:rsid w:val="00FE78A2"/>
    <w:rsid w:val="00FF3E28"/>
    <w:rsid w:val="00FF77D0"/>
    <w:rsid w:val="00FF7C8C"/>
    <w:rsid w:val="01BC29A8"/>
    <w:rsid w:val="01DA23AF"/>
    <w:rsid w:val="025739FF"/>
    <w:rsid w:val="02581525"/>
    <w:rsid w:val="02971D9B"/>
    <w:rsid w:val="02B15283"/>
    <w:rsid w:val="03305DB8"/>
    <w:rsid w:val="040F20B8"/>
    <w:rsid w:val="04A120E1"/>
    <w:rsid w:val="05521B7E"/>
    <w:rsid w:val="05CF5FA2"/>
    <w:rsid w:val="05D610DF"/>
    <w:rsid w:val="060C467C"/>
    <w:rsid w:val="062A31D9"/>
    <w:rsid w:val="062F259D"/>
    <w:rsid w:val="06654211"/>
    <w:rsid w:val="068C25DB"/>
    <w:rsid w:val="06AE79A3"/>
    <w:rsid w:val="06B47C7B"/>
    <w:rsid w:val="06EB2968"/>
    <w:rsid w:val="06ED4932"/>
    <w:rsid w:val="07106873"/>
    <w:rsid w:val="071C0D73"/>
    <w:rsid w:val="07504EC1"/>
    <w:rsid w:val="07EE41F1"/>
    <w:rsid w:val="080324F7"/>
    <w:rsid w:val="082F13F4"/>
    <w:rsid w:val="08381BDD"/>
    <w:rsid w:val="083D1CD8"/>
    <w:rsid w:val="087516B5"/>
    <w:rsid w:val="09A10A0F"/>
    <w:rsid w:val="0A1C72DC"/>
    <w:rsid w:val="0AC37758"/>
    <w:rsid w:val="0AF25588"/>
    <w:rsid w:val="0B154457"/>
    <w:rsid w:val="0B212DFC"/>
    <w:rsid w:val="0B3E2722"/>
    <w:rsid w:val="0B91507D"/>
    <w:rsid w:val="0BBA6DAD"/>
    <w:rsid w:val="0C2543D3"/>
    <w:rsid w:val="0C27455C"/>
    <w:rsid w:val="0C610D37"/>
    <w:rsid w:val="0D0F2768"/>
    <w:rsid w:val="0D270955"/>
    <w:rsid w:val="0D33216F"/>
    <w:rsid w:val="0D8458C4"/>
    <w:rsid w:val="0E1704E7"/>
    <w:rsid w:val="0FDD1D3C"/>
    <w:rsid w:val="102B5847"/>
    <w:rsid w:val="10B169D0"/>
    <w:rsid w:val="10B72ECD"/>
    <w:rsid w:val="10F90F82"/>
    <w:rsid w:val="111019FE"/>
    <w:rsid w:val="11627CCB"/>
    <w:rsid w:val="1283393D"/>
    <w:rsid w:val="130D3C66"/>
    <w:rsid w:val="134358DA"/>
    <w:rsid w:val="134C478E"/>
    <w:rsid w:val="13533D6F"/>
    <w:rsid w:val="13A9398F"/>
    <w:rsid w:val="13BF03CA"/>
    <w:rsid w:val="140B464A"/>
    <w:rsid w:val="143851FF"/>
    <w:rsid w:val="148B578A"/>
    <w:rsid w:val="1510485B"/>
    <w:rsid w:val="151E215B"/>
    <w:rsid w:val="15853F88"/>
    <w:rsid w:val="16157E2D"/>
    <w:rsid w:val="16393F65"/>
    <w:rsid w:val="168313B6"/>
    <w:rsid w:val="16866209"/>
    <w:rsid w:val="173F0C07"/>
    <w:rsid w:val="174727ED"/>
    <w:rsid w:val="17D66D1D"/>
    <w:rsid w:val="18F25DD8"/>
    <w:rsid w:val="1945415A"/>
    <w:rsid w:val="196C5B8A"/>
    <w:rsid w:val="199F50F2"/>
    <w:rsid w:val="19AC5F87"/>
    <w:rsid w:val="19B328DA"/>
    <w:rsid w:val="19CF7EC7"/>
    <w:rsid w:val="1A134258"/>
    <w:rsid w:val="1A27385F"/>
    <w:rsid w:val="1A396A26"/>
    <w:rsid w:val="1A3D3083"/>
    <w:rsid w:val="1AB75623"/>
    <w:rsid w:val="1B297ECA"/>
    <w:rsid w:val="1BA91321"/>
    <w:rsid w:val="1C422BD3"/>
    <w:rsid w:val="1C4C57FF"/>
    <w:rsid w:val="1C56667E"/>
    <w:rsid w:val="1C607754"/>
    <w:rsid w:val="1CA266AD"/>
    <w:rsid w:val="1CE27F12"/>
    <w:rsid w:val="1CF75746"/>
    <w:rsid w:val="1D686669"/>
    <w:rsid w:val="1DD82FFB"/>
    <w:rsid w:val="1E4F15D7"/>
    <w:rsid w:val="1E571888"/>
    <w:rsid w:val="1ECC7CDD"/>
    <w:rsid w:val="1EFA59E6"/>
    <w:rsid w:val="1FFB5111"/>
    <w:rsid w:val="20DB53A4"/>
    <w:rsid w:val="20E650B5"/>
    <w:rsid w:val="218B4956"/>
    <w:rsid w:val="21AB2FC8"/>
    <w:rsid w:val="21F104B3"/>
    <w:rsid w:val="22552F34"/>
    <w:rsid w:val="22843E91"/>
    <w:rsid w:val="22E906BC"/>
    <w:rsid w:val="23256E5B"/>
    <w:rsid w:val="23A943F2"/>
    <w:rsid w:val="23BF77F9"/>
    <w:rsid w:val="242F7EE0"/>
    <w:rsid w:val="24A02B8C"/>
    <w:rsid w:val="253756B8"/>
    <w:rsid w:val="25BF7042"/>
    <w:rsid w:val="25C26B32"/>
    <w:rsid w:val="25E8116C"/>
    <w:rsid w:val="262B0B7B"/>
    <w:rsid w:val="26322DB0"/>
    <w:rsid w:val="263E1924"/>
    <w:rsid w:val="270D0281"/>
    <w:rsid w:val="27677991"/>
    <w:rsid w:val="27EC23B7"/>
    <w:rsid w:val="282447EB"/>
    <w:rsid w:val="28CD68E9"/>
    <w:rsid w:val="292D1901"/>
    <w:rsid w:val="2A7B2E88"/>
    <w:rsid w:val="2AAC55EE"/>
    <w:rsid w:val="2B1241D5"/>
    <w:rsid w:val="2B1E480B"/>
    <w:rsid w:val="2B3D1DC1"/>
    <w:rsid w:val="2B886128"/>
    <w:rsid w:val="2C023A0C"/>
    <w:rsid w:val="2C475F3C"/>
    <w:rsid w:val="2CEB4BC0"/>
    <w:rsid w:val="2D170DFB"/>
    <w:rsid w:val="2D6B72D5"/>
    <w:rsid w:val="2D88240F"/>
    <w:rsid w:val="2DA51213"/>
    <w:rsid w:val="2E150147"/>
    <w:rsid w:val="2E4F4001"/>
    <w:rsid w:val="2EF36F14"/>
    <w:rsid w:val="2FA17BFB"/>
    <w:rsid w:val="2FC841E5"/>
    <w:rsid w:val="2FFA56D7"/>
    <w:rsid w:val="300852DE"/>
    <w:rsid w:val="301B3177"/>
    <w:rsid w:val="303F76FD"/>
    <w:rsid w:val="31992E3D"/>
    <w:rsid w:val="31E06CBE"/>
    <w:rsid w:val="321335A7"/>
    <w:rsid w:val="32160E27"/>
    <w:rsid w:val="32236BAB"/>
    <w:rsid w:val="3244289A"/>
    <w:rsid w:val="32B97377"/>
    <w:rsid w:val="33941B0E"/>
    <w:rsid w:val="33C91D38"/>
    <w:rsid w:val="34291934"/>
    <w:rsid w:val="348D06FD"/>
    <w:rsid w:val="34CC177B"/>
    <w:rsid w:val="34DF325D"/>
    <w:rsid w:val="35B61246"/>
    <w:rsid w:val="362E697F"/>
    <w:rsid w:val="362F1FC2"/>
    <w:rsid w:val="37144761"/>
    <w:rsid w:val="375A6BCB"/>
    <w:rsid w:val="37AB5678"/>
    <w:rsid w:val="37C24F6B"/>
    <w:rsid w:val="37D7173E"/>
    <w:rsid w:val="37F17D73"/>
    <w:rsid w:val="382F48C6"/>
    <w:rsid w:val="38312021"/>
    <w:rsid w:val="38B817B4"/>
    <w:rsid w:val="38C05153"/>
    <w:rsid w:val="393B4A71"/>
    <w:rsid w:val="398E34A3"/>
    <w:rsid w:val="3A7E52C6"/>
    <w:rsid w:val="3A8F1281"/>
    <w:rsid w:val="3A9B5E78"/>
    <w:rsid w:val="3AAC1E33"/>
    <w:rsid w:val="3AB17F7A"/>
    <w:rsid w:val="3ACA22B9"/>
    <w:rsid w:val="3B0E58C7"/>
    <w:rsid w:val="3B304812"/>
    <w:rsid w:val="3BCE7B87"/>
    <w:rsid w:val="3C033730"/>
    <w:rsid w:val="3C333E8E"/>
    <w:rsid w:val="3C746980"/>
    <w:rsid w:val="3D406863"/>
    <w:rsid w:val="3DDF607B"/>
    <w:rsid w:val="3E260CC7"/>
    <w:rsid w:val="3EB92A82"/>
    <w:rsid w:val="3EB968CD"/>
    <w:rsid w:val="3EF8229A"/>
    <w:rsid w:val="3F446ADE"/>
    <w:rsid w:val="3F4563B2"/>
    <w:rsid w:val="40356427"/>
    <w:rsid w:val="40A35A86"/>
    <w:rsid w:val="40D93256"/>
    <w:rsid w:val="41540906"/>
    <w:rsid w:val="418961FE"/>
    <w:rsid w:val="41C2018E"/>
    <w:rsid w:val="42103A4A"/>
    <w:rsid w:val="42764E69"/>
    <w:rsid w:val="427D5E63"/>
    <w:rsid w:val="42D55C9F"/>
    <w:rsid w:val="434370AD"/>
    <w:rsid w:val="434E7F08"/>
    <w:rsid w:val="4416031D"/>
    <w:rsid w:val="44315157"/>
    <w:rsid w:val="44B10046"/>
    <w:rsid w:val="450811BF"/>
    <w:rsid w:val="452614AD"/>
    <w:rsid w:val="45823E47"/>
    <w:rsid w:val="46B17C96"/>
    <w:rsid w:val="46B300A5"/>
    <w:rsid w:val="46B8390E"/>
    <w:rsid w:val="471E5E67"/>
    <w:rsid w:val="47721D0E"/>
    <w:rsid w:val="47C754C6"/>
    <w:rsid w:val="47D71C0C"/>
    <w:rsid w:val="486E0FF2"/>
    <w:rsid w:val="486F44A0"/>
    <w:rsid w:val="49680B13"/>
    <w:rsid w:val="49D7054F"/>
    <w:rsid w:val="4AFC1D27"/>
    <w:rsid w:val="4B7B3A94"/>
    <w:rsid w:val="4BA12BC2"/>
    <w:rsid w:val="4BCC5404"/>
    <w:rsid w:val="4C15710C"/>
    <w:rsid w:val="4C6C1422"/>
    <w:rsid w:val="4C7812B7"/>
    <w:rsid w:val="4CE2651F"/>
    <w:rsid w:val="4D0553D3"/>
    <w:rsid w:val="4D346757"/>
    <w:rsid w:val="4D3B1D7F"/>
    <w:rsid w:val="4E896D6E"/>
    <w:rsid w:val="4EDD03B5"/>
    <w:rsid w:val="4F6C6B6D"/>
    <w:rsid w:val="50487D45"/>
    <w:rsid w:val="50F639B0"/>
    <w:rsid w:val="51121E6C"/>
    <w:rsid w:val="514C35D0"/>
    <w:rsid w:val="5176064D"/>
    <w:rsid w:val="52533F75"/>
    <w:rsid w:val="52C84ED8"/>
    <w:rsid w:val="52CA126A"/>
    <w:rsid w:val="52DB2E5E"/>
    <w:rsid w:val="530103EA"/>
    <w:rsid w:val="531445C2"/>
    <w:rsid w:val="53650979"/>
    <w:rsid w:val="53A07C03"/>
    <w:rsid w:val="54006EBD"/>
    <w:rsid w:val="540208BE"/>
    <w:rsid w:val="542425E2"/>
    <w:rsid w:val="550E3F9A"/>
    <w:rsid w:val="55766E6E"/>
    <w:rsid w:val="559B2D78"/>
    <w:rsid w:val="559B53B0"/>
    <w:rsid w:val="55B81234"/>
    <w:rsid w:val="55FE01DE"/>
    <w:rsid w:val="565F3711"/>
    <w:rsid w:val="567F7FA4"/>
    <w:rsid w:val="56951575"/>
    <w:rsid w:val="56B17AF5"/>
    <w:rsid w:val="56D7393C"/>
    <w:rsid w:val="57672F12"/>
    <w:rsid w:val="57F16C7F"/>
    <w:rsid w:val="57F95B34"/>
    <w:rsid w:val="5831398B"/>
    <w:rsid w:val="58756F84"/>
    <w:rsid w:val="58E10F36"/>
    <w:rsid w:val="591075D9"/>
    <w:rsid w:val="59BA5EBD"/>
    <w:rsid w:val="59CA6C37"/>
    <w:rsid w:val="59DD51A2"/>
    <w:rsid w:val="5A241C82"/>
    <w:rsid w:val="5A48337E"/>
    <w:rsid w:val="5A655703"/>
    <w:rsid w:val="5AC8016B"/>
    <w:rsid w:val="5ACD1DFE"/>
    <w:rsid w:val="5AE605F2"/>
    <w:rsid w:val="5B165FB6"/>
    <w:rsid w:val="5B2D7FCE"/>
    <w:rsid w:val="5BBB6B38"/>
    <w:rsid w:val="5D0631CD"/>
    <w:rsid w:val="5D3445F3"/>
    <w:rsid w:val="5E1A49DB"/>
    <w:rsid w:val="5E4717A2"/>
    <w:rsid w:val="5E487850"/>
    <w:rsid w:val="5E4A70E9"/>
    <w:rsid w:val="5E6A778C"/>
    <w:rsid w:val="5EDB41E5"/>
    <w:rsid w:val="5F2B2A77"/>
    <w:rsid w:val="5FD35B6B"/>
    <w:rsid w:val="5FDE3F8D"/>
    <w:rsid w:val="609A4358"/>
    <w:rsid w:val="61665FE8"/>
    <w:rsid w:val="61BC56D7"/>
    <w:rsid w:val="62A3501A"/>
    <w:rsid w:val="62C25F1E"/>
    <w:rsid w:val="6445282D"/>
    <w:rsid w:val="64DA7491"/>
    <w:rsid w:val="652D4363"/>
    <w:rsid w:val="65BE5407"/>
    <w:rsid w:val="65CB6AD7"/>
    <w:rsid w:val="67065B78"/>
    <w:rsid w:val="67310E46"/>
    <w:rsid w:val="674F751F"/>
    <w:rsid w:val="675D6C23"/>
    <w:rsid w:val="67843818"/>
    <w:rsid w:val="67D77C40"/>
    <w:rsid w:val="67DA328C"/>
    <w:rsid w:val="686448FE"/>
    <w:rsid w:val="6881130A"/>
    <w:rsid w:val="68C06BF6"/>
    <w:rsid w:val="696B1E57"/>
    <w:rsid w:val="69E0280F"/>
    <w:rsid w:val="6A99742E"/>
    <w:rsid w:val="6AF405C0"/>
    <w:rsid w:val="6B555802"/>
    <w:rsid w:val="6CE013DA"/>
    <w:rsid w:val="6CF5724A"/>
    <w:rsid w:val="6D315DE7"/>
    <w:rsid w:val="6E14501E"/>
    <w:rsid w:val="6E971ED7"/>
    <w:rsid w:val="6EB15DD3"/>
    <w:rsid w:val="6EC91D52"/>
    <w:rsid w:val="6ED07E1A"/>
    <w:rsid w:val="6EE85353"/>
    <w:rsid w:val="6EF32E85"/>
    <w:rsid w:val="6F7A7850"/>
    <w:rsid w:val="703D7D6C"/>
    <w:rsid w:val="703E1014"/>
    <w:rsid w:val="70CE05A3"/>
    <w:rsid w:val="71107D1F"/>
    <w:rsid w:val="71213CDA"/>
    <w:rsid w:val="71A50ADE"/>
    <w:rsid w:val="73DD5247"/>
    <w:rsid w:val="73EF2A80"/>
    <w:rsid w:val="742064CB"/>
    <w:rsid w:val="7476258E"/>
    <w:rsid w:val="748F01F5"/>
    <w:rsid w:val="75357D54"/>
    <w:rsid w:val="755A5A0C"/>
    <w:rsid w:val="75C80BC8"/>
    <w:rsid w:val="762A72B5"/>
    <w:rsid w:val="762B1157"/>
    <w:rsid w:val="768F16E6"/>
    <w:rsid w:val="76AD7DBE"/>
    <w:rsid w:val="76EE4427"/>
    <w:rsid w:val="77183DD1"/>
    <w:rsid w:val="77F71C38"/>
    <w:rsid w:val="78AA314A"/>
    <w:rsid w:val="78C25DA2"/>
    <w:rsid w:val="78CD0CE6"/>
    <w:rsid w:val="792A3948"/>
    <w:rsid w:val="79D07A75"/>
    <w:rsid w:val="79FB4704"/>
    <w:rsid w:val="7A1F0A71"/>
    <w:rsid w:val="7A3A5E0C"/>
    <w:rsid w:val="7A71379F"/>
    <w:rsid w:val="7BC566B5"/>
    <w:rsid w:val="7DCB394B"/>
    <w:rsid w:val="7DCC1471"/>
    <w:rsid w:val="7E70572F"/>
    <w:rsid w:val="7E7A031E"/>
    <w:rsid w:val="7F041331"/>
    <w:rsid w:val="7F482D79"/>
    <w:rsid w:val="7F820039"/>
    <w:rsid w:val="7FFF16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30"/>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6">
    <w:name w:val="heading 2"/>
    <w:basedOn w:val="4"/>
    <w:next w:val="5"/>
    <w:link w:val="33"/>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4">
    <w:name w:val="heading 3"/>
    <w:basedOn w:val="5"/>
    <w:next w:val="1"/>
    <w:qFormat/>
    <w:uiPriority w:val="9"/>
    <w:pPr>
      <w:spacing w:before="260" w:after="260" w:line="240" w:lineRule="auto"/>
      <w:outlineLvl w:val="2"/>
    </w:pPr>
    <w:rPr>
      <w:rFonts w:ascii="宋体" w:hAnsi="宋体" w:eastAsia="宋体"/>
      <w:szCs w:val="32"/>
    </w:rPr>
  </w:style>
  <w:style w:type="paragraph" w:styleId="5">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21">
    <w:name w:val="Default Paragraph Font"/>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pPr>
    <w:rPr>
      <w:szCs w:val="20"/>
    </w:rPr>
  </w:style>
  <w:style w:type="paragraph" w:styleId="7">
    <w:name w:val="Document Map"/>
    <w:basedOn w:val="1"/>
    <w:link w:val="32"/>
    <w:semiHidden/>
    <w:unhideWhenUsed/>
    <w:qFormat/>
    <w:uiPriority w:val="99"/>
    <w:rPr>
      <w:rFonts w:ascii="宋体" w:eastAsia="宋体"/>
      <w:sz w:val="18"/>
      <w:szCs w:val="18"/>
    </w:rPr>
  </w:style>
  <w:style w:type="paragraph" w:styleId="8">
    <w:name w:val="annotation text"/>
    <w:basedOn w:val="1"/>
    <w:link w:val="34"/>
    <w:semiHidden/>
    <w:unhideWhenUsed/>
    <w:qFormat/>
    <w:uiPriority w:val="99"/>
    <w:pPr>
      <w:jc w:val="left"/>
    </w:pPr>
  </w:style>
  <w:style w:type="paragraph" w:styleId="9">
    <w:name w:val="Body Text"/>
    <w:basedOn w:val="1"/>
    <w:next w:val="1"/>
    <w:qFormat/>
    <w:uiPriority w:val="0"/>
    <w:pPr>
      <w:spacing w:line="360" w:lineRule="auto"/>
    </w:pPr>
    <w:rPr>
      <w:b/>
      <w:bCs/>
      <w:sz w:val="24"/>
    </w:rPr>
  </w:style>
  <w:style w:type="paragraph" w:styleId="10">
    <w:name w:val="Body Text Indent"/>
    <w:basedOn w:val="1"/>
    <w:qFormat/>
    <w:uiPriority w:val="0"/>
    <w:pPr>
      <w:spacing w:line="360" w:lineRule="auto"/>
      <w:ind w:firstLine="420" w:firstLineChars="200"/>
    </w:pPr>
  </w:style>
  <w:style w:type="paragraph" w:styleId="11">
    <w:name w:val="Balloon Text"/>
    <w:basedOn w:val="1"/>
    <w:link w:val="28"/>
    <w:semiHidden/>
    <w:unhideWhenUsed/>
    <w:qFormat/>
    <w:uiPriority w:val="99"/>
    <w:rPr>
      <w:sz w:val="18"/>
      <w:szCs w:val="18"/>
    </w:rPr>
  </w:style>
  <w:style w:type="paragraph" w:styleId="12">
    <w:name w:val="footer"/>
    <w:basedOn w:val="1"/>
    <w:link w:val="27"/>
    <w:unhideWhenUsed/>
    <w:qFormat/>
    <w:uiPriority w:val="99"/>
    <w:pPr>
      <w:tabs>
        <w:tab w:val="center" w:pos="4153"/>
        <w:tab w:val="right" w:pos="8306"/>
      </w:tabs>
      <w:snapToGrid w:val="0"/>
      <w:jc w:val="left"/>
    </w:pPr>
    <w:rPr>
      <w:sz w:val="18"/>
      <w:szCs w:val="18"/>
    </w:rPr>
  </w:style>
  <w:style w:type="paragraph" w:styleId="13">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Body Text 2"/>
    <w:basedOn w:val="1"/>
    <w:qFormat/>
    <w:uiPriority w:val="0"/>
    <w:pPr>
      <w:spacing w:line="360" w:lineRule="auto"/>
    </w:pPr>
    <w:rPr>
      <w:sz w:val="24"/>
    </w:rPr>
  </w:style>
  <w:style w:type="paragraph" w:styleId="15">
    <w:name w:val="Normal (Web)"/>
    <w:basedOn w:val="1"/>
    <w:link w:val="29"/>
    <w:qFormat/>
    <w:uiPriority w:val="99"/>
    <w:pPr>
      <w:widowControl/>
      <w:spacing w:before="100" w:beforeAutospacing="1" w:afterAutospacing="1"/>
      <w:jc w:val="left"/>
    </w:pPr>
    <w:rPr>
      <w:rFonts w:ascii="宋体" w:hAnsi="宋体"/>
      <w:sz w:val="24"/>
      <w:szCs w:val="24"/>
    </w:rPr>
  </w:style>
  <w:style w:type="paragraph" w:styleId="16">
    <w:name w:val="Title"/>
    <w:basedOn w:val="1"/>
    <w:next w:val="1"/>
    <w:qFormat/>
    <w:uiPriority w:val="0"/>
    <w:pPr>
      <w:spacing w:before="240" w:after="60"/>
      <w:jc w:val="center"/>
      <w:outlineLvl w:val="0"/>
    </w:pPr>
    <w:rPr>
      <w:rFonts w:ascii="Arial" w:hAnsi="Arial" w:eastAsia="隶书" w:cs="Arial"/>
      <w:b/>
      <w:bCs/>
      <w:sz w:val="32"/>
      <w:szCs w:val="32"/>
    </w:rPr>
  </w:style>
  <w:style w:type="paragraph" w:styleId="17">
    <w:name w:val="annotation subject"/>
    <w:basedOn w:val="8"/>
    <w:next w:val="8"/>
    <w:link w:val="36"/>
    <w:semiHidden/>
    <w:unhideWhenUsed/>
    <w:qFormat/>
    <w:uiPriority w:val="99"/>
    <w:rPr>
      <w:b/>
      <w:bCs/>
    </w:rPr>
  </w:style>
  <w:style w:type="paragraph" w:styleId="18">
    <w:name w:val="Body Text First Indent 2"/>
    <w:basedOn w:val="10"/>
    <w:qFormat/>
    <w:uiPriority w:val="0"/>
    <w:pPr>
      <w:spacing w:after="120" w:line="360" w:lineRule="auto"/>
      <w:ind w:left="420" w:leftChars="200" w:firstLine="420" w:firstLineChars="200"/>
    </w:pPr>
    <w:rPr>
      <w:rFonts w:ascii="Calibri" w:hAnsi="Calibri" w:eastAsia="宋体" w:cs="Times New Roman"/>
      <w:szCs w:val="21"/>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page number"/>
    <w:basedOn w:val="21"/>
    <w:qFormat/>
    <w:uiPriority w:val="0"/>
  </w:style>
  <w:style w:type="character" w:styleId="23">
    <w:name w:val="FollowedHyperlink"/>
    <w:basedOn w:val="21"/>
    <w:semiHidden/>
    <w:unhideWhenUsed/>
    <w:qFormat/>
    <w:uiPriority w:val="99"/>
    <w:rPr>
      <w:color w:val="800080" w:themeColor="followedHyperlink"/>
      <w:u w:val="single"/>
    </w:rPr>
  </w:style>
  <w:style w:type="character" w:styleId="24">
    <w:name w:val="Hyperlink"/>
    <w:basedOn w:val="21"/>
    <w:unhideWhenUsed/>
    <w:qFormat/>
    <w:uiPriority w:val="99"/>
    <w:rPr>
      <w:color w:val="0000FF" w:themeColor="hyperlink"/>
      <w:u w:val="single"/>
    </w:rPr>
  </w:style>
  <w:style w:type="character" w:styleId="25">
    <w:name w:val="annotation reference"/>
    <w:basedOn w:val="21"/>
    <w:semiHidden/>
    <w:unhideWhenUsed/>
    <w:qFormat/>
    <w:uiPriority w:val="99"/>
    <w:rPr>
      <w:sz w:val="21"/>
      <w:szCs w:val="21"/>
    </w:rPr>
  </w:style>
  <w:style w:type="character" w:customStyle="1" w:styleId="26">
    <w:name w:val="页眉 Char"/>
    <w:basedOn w:val="21"/>
    <w:link w:val="13"/>
    <w:semiHidden/>
    <w:qFormat/>
    <w:uiPriority w:val="99"/>
    <w:rPr>
      <w:sz w:val="18"/>
      <w:szCs w:val="18"/>
    </w:rPr>
  </w:style>
  <w:style w:type="character" w:customStyle="1" w:styleId="27">
    <w:name w:val="页脚 Char"/>
    <w:basedOn w:val="21"/>
    <w:link w:val="12"/>
    <w:qFormat/>
    <w:uiPriority w:val="99"/>
    <w:rPr>
      <w:sz w:val="18"/>
      <w:szCs w:val="18"/>
    </w:rPr>
  </w:style>
  <w:style w:type="character" w:customStyle="1" w:styleId="28">
    <w:name w:val="批注框文本 Char"/>
    <w:basedOn w:val="21"/>
    <w:link w:val="11"/>
    <w:semiHidden/>
    <w:qFormat/>
    <w:uiPriority w:val="99"/>
    <w:rPr>
      <w:sz w:val="18"/>
      <w:szCs w:val="18"/>
    </w:rPr>
  </w:style>
  <w:style w:type="character" w:customStyle="1" w:styleId="29">
    <w:name w:val="普通(网站) Char"/>
    <w:link w:val="15"/>
    <w:qFormat/>
    <w:uiPriority w:val="99"/>
    <w:rPr>
      <w:rFonts w:ascii="宋体" w:hAnsi="宋体"/>
      <w:sz w:val="24"/>
      <w:szCs w:val="24"/>
    </w:rPr>
  </w:style>
  <w:style w:type="character" w:customStyle="1" w:styleId="30">
    <w:name w:val="标题 1 Char"/>
    <w:basedOn w:val="21"/>
    <w:link w:val="3"/>
    <w:qFormat/>
    <w:uiPriority w:val="0"/>
    <w:rPr>
      <w:rFonts w:ascii="Arial" w:hAnsi="Arial" w:eastAsia="宋体" w:cs="Times New Roman"/>
      <w:b/>
      <w:bCs/>
      <w:kern w:val="44"/>
      <w:sz w:val="44"/>
      <w:szCs w:val="44"/>
    </w:rPr>
  </w:style>
  <w:style w:type="paragraph" w:styleId="31">
    <w:name w:val="List Paragraph"/>
    <w:basedOn w:val="1"/>
    <w:qFormat/>
    <w:uiPriority w:val="34"/>
    <w:pPr>
      <w:ind w:firstLine="420" w:firstLineChars="200"/>
    </w:pPr>
  </w:style>
  <w:style w:type="character" w:customStyle="1" w:styleId="32">
    <w:name w:val="文档结构图 Char"/>
    <w:basedOn w:val="21"/>
    <w:link w:val="7"/>
    <w:semiHidden/>
    <w:qFormat/>
    <w:uiPriority w:val="99"/>
    <w:rPr>
      <w:rFonts w:ascii="宋体" w:eastAsia="宋体"/>
      <w:sz w:val="18"/>
      <w:szCs w:val="18"/>
    </w:rPr>
  </w:style>
  <w:style w:type="character" w:customStyle="1" w:styleId="33">
    <w:name w:val="标题 2 Char"/>
    <w:basedOn w:val="21"/>
    <w:link w:val="6"/>
    <w:semiHidden/>
    <w:qFormat/>
    <w:uiPriority w:val="9"/>
    <w:rPr>
      <w:rFonts w:asciiTheme="majorHAnsi" w:hAnsiTheme="majorHAnsi" w:eastAsiaTheme="majorEastAsia" w:cstheme="majorBidi"/>
      <w:b/>
      <w:bCs/>
      <w:sz w:val="32"/>
      <w:szCs w:val="32"/>
    </w:rPr>
  </w:style>
  <w:style w:type="character" w:customStyle="1" w:styleId="34">
    <w:name w:val="批注文字 Char"/>
    <w:basedOn w:val="21"/>
    <w:link w:val="8"/>
    <w:semiHidden/>
    <w:qFormat/>
    <w:uiPriority w:val="99"/>
  </w:style>
  <w:style w:type="character" w:customStyle="1" w:styleId="35">
    <w:name w:val="标题 3 Char"/>
    <w:qFormat/>
    <w:uiPriority w:val="0"/>
    <w:rPr>
      <w:rFonts w:ascii="黑体" w:eastAsia="黑体"/>
      <w:bCs/>
      <w:sz w:val="30"/>
    </w:rPr>
  </w:style>
  <w:style w:type="character" w:customStyle="1" w:styleId="36">
    <w:name w:val="批注主题 Char"/>
    <w:basedOn w:val="34"/>
    <w:link w:val="17"/>
    <w:semiHidden/>
    <w:qFormat/>
    <w:uiPriority w:val="99"/>
    <w:rPr>
      <w:b/>
      <w:bCs/>
      <w:kern w:val="2"/>
      <w:sz w:val="21"/>
      <w:szCs w:val="22"/>
    </w:rPr>
  </w:style>
  <w:style w:type="table" w:customStyle="1" w:styleId="37">
    <w:name w:val="网格型1"/>
    <w:basedOn w:val="19"/>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38">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51</Pages>
  <Words>12021</Words>
  <Characters>12707</Characters>
  <Lines>316</Lines>
  <Paragraphs>89</Paragraphs>
  <TotalTime>27</TotalTime>
  <ScaleCrop>false</ScaleCrop>
  <LinksUpToDate>false</LinksUpToDate>
  <CharactersWithSpaces>12909</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青山绿水</cp:lastModifiedBy>
  <cp:lastPrinted>2021-01-15T01:17:00Z</cp:lastPrinted>
  <dcterms:modified xsi:type="dcterms:W3CDTF">2025-08-10T07:58:53Z</dcterms:modified>
  <cp:revision>708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CFE91CA4ECE649769A50C56CCE24D2C7</vt:lpwstr>
  </property>
  <property fmtid="{D5CDD505-2E9C-101B-9397-08002B2CF9AE}" pid="4" name="KSOTemplateDocerSaveRecord">
    <vt:lpwstr>eyJoZGlkIjoiNGE3ZjU2M2NjZmFlYmQwYTc0ZDZkMjFmM2ExNmI5ZTQiLCJ1c2VySWQiOiIyMjQxNTg5MDcifQ==</vt:lpwstr>
  </property>
</Properties>
</file>