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25"/>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highlight w:val="none"/>
              </w:rPr>
            </w:pPr>
            <w:r>
              <w:rPr>
                <w:rFonts w:ascii="宋体" w:hAnsi="宋体" w:cs="宋体"/>
                <w:kern w:val="0"/>
                <w:sz w:val="30"/>
                <w:szCs w:val="30"/>
                <w:highlight w:val="none"/>
                <w:lang w:bidi="ar"/>
              </w:rPr>
              <w:t>项目编号：</w:t>
            </w:r>
          </w:p>
        </w:tc>
        <w:tc>
          <w:tcPr>
            <w:tcW w:w="5220" w:type="dxa"/>
            <w:shd w:val="clear" w:color="auto" w:fill="auto"/>
            <w:vAlign w:val="center"/>
          </w:tcPr>
          <w:p>
            <w:pPr>
              <w:rPr>
                <w:sz w:val="30"/>
                <w:szCs w:val="30"/>
                <w:highlight w:val="none"/>
              </w:rPr>
            </w:pPr>
            <w:r>
              <w:rPr>
                <w:rFonts w:hint="eastAsia"/>
                <w:sz w:val="30"/>
                <w:szCs w:val="30"/>
                <w:highlight w:val="none"/>
              </w:rPr>
              <w:t>BAZXCG-2025-00146</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sz w:val="30"/>
                <w:szCs w:val="30"/>
              </w:rPr>
            </w:pPr>
            <w:r>
              <w:rPr>
                <w:rFonts w:hint="eastAsia"/>
                <w:sz w:val="30"/>
                <w:szCs w:val="30"/>
              </w:rPr>
              <w:t>深圳市宝安区智造城实验学校课桌椅采购项目</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4"/>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4"/>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4"/>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pPr>
        <w:pStyle w:val="14"/>
        <w:widowControl/>
        <w:jc w:val="center"/>
        <w:outlineLvl w:val="1"/>
        <w:rPr>
          <w:rFonts w:ascii="黑体" w:hAnsi="宋体" w:eastAsia="黑体" w:cs="黑体"/>
          <w:sz w:val="40"/>
          <w:szCs w:val="40"/>
        </w:rPr>
      </w:pPr>
      <w:bookmarkStart w:id="139" w:name="_GoBack"/>
      <w:bookmarkEnd w:id="139"/>
      <w:r>
        <w:rPr>
          <w:rFonts w:hint="eastAsia" w:ascii="黑体" w:hAnsi="宋体" w:eastAsia="黑体" w:cs="黑体"/>
          <w:sz w:val="40"/>
          <w:szCs w:val="40"/>
        </w:rPr>
        <w:t>评标信息</w:t>
      </w:r>
    </w:p>
    <w:tbl>
      <w:tblPr>
        <w:tblStyle w:val="17"/>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jc w:val="left"/>
              <w:rPr>
                <w:rFonts w:ascii="宋体"/>
                <w:b/>
                <w:bCs/>
                <w:sz w:val="24"/>
              </w:rPr>
            </w:pPr>
            <w:r>
              <w:rPr>
                <w:b/>
                <w:bCs/>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pPr>
              <w:pStyle w:val="14"/>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bookmarkStart w:id="2" w:name="_Hlk72360569"/>
            <w:r>
              <w:rPr>
                <w:rFonts w:ascii="宋体" w:hAnsi="宋体" w:cs="宋体"/>
                <w:b/>
                <w:bCs/>
                <w:kern w:val="0"/>
                <w:sz w:val="24"/>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b/>
                <w:bCs/>
                <w:color w:val="0000FF"/>
                <w:sz w:val="24"/>
                <w:lang w:val="en-US"/>
              </w:rPr>
            </w:pPr>
            <w:r>
              <w:rPr>
                <w:rFonts w:hint="eastAsia" w:ascii="宋体" w:hAnsi="宋体" w:cs="宋体"/>
                <w:b/>
                <w:bCs/>
                <w:color w:val="0000FF"/>
                <w:kern w:val="0"/>
                <w:sz w:val="24"/>
                <w:lang w:val="en-US" w:eastAsia="zh-CN"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Theme="minorEastAsia"/>
                <w:b/>
                <w:bCs/>
                <w:color w:val="0000FF"/>
                <w:sz w:val="24"/>
                <w:lang w:val="en-US" w:eastAsia="zh-CN"/>
              </w:rPr>
            </w:pPr>
            <w:r>
              <w:rPr>
                <w:rFonts w:hint="eastAsia"/>
                <w:b/>
                <w:bCs/>
                <w:color w:val="0000FF"/>
                <w:sz w:val="24"/>
                <w:lang w:val="en-US" w:eastAsia="zh-CN"/>
              </w:rPr>
              <w:t>54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ascii="宋体" w:hAnsi="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b/>
                <w:kern w:val="2"/>
                <w:sz w:val="21"/>
                <w:szCs w:val="21"/>
                <w:lang w:val="en-US" w:eastAsia="zh-CN" w:bidi="ar-SA"/>
              </w:rPr>
            </w:pPr>
            <w:r>
              <w:rPr>
                <w:rFonts w:hint="eastAsia" w:ascii="宋体" w:hAnsi="宋体" w:eastAsia="宋体"/>
                <w:bCs/>
                <w:szCs w:val="21"/>
              </w:rPr>
              <w:t>“▲”参数响应</w:t>
            </w:r>
            <w:r>
              <w:rPr>
                <w:rFonts w:hint="default" w:ascii="宋体" w:hAnsi="宋体" w:eastAsia="宋体"/>
                <w:bCs/>
                <w:szCs w:val="21"/>
              </w:rPr>
              <w:t>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32</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val="0"/>
              <w:spacing w:line="288" w:lineRule="auto"/>
              <w:textAlignment w:val="auto"/>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pPr>
              <w:keepNext w:val="0"/>
              <w:keepLines w:val="0"/>
              <w:pageBreakBefore w:val="0"/>
              <w:widowControl w:val="0"/>
              <w:kinsoku/>
              <w:wordWrap/>
              <w:overflowPunct/>
              <w:topLinePunct w:val="0"/>
              <w:autoSpaceDE/>
              <w:autoSpaceDN/>
              <w:bidi w:val="0"/>
              <w:adjustRightInd/>
              <w:snapToGrid w:val="0"/>
              <w:spacing w:line="288" w:lineRule="auto"/>
              <w:textAlignment w:val="auto"/>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pPr>
              <w:keepNext w:val="0"/>
              <w:keepLines w:val="0"/>
              <w:pageBreakBefore w:val="0"/>
              <w:widowControl w:val="0"/>
              <w:kinsoku/>
              <w:wordWrap/>
              <w:overflowPunct/>
              <w:topLinePunct w:val="0"/>
              <w:autoSpaceDE/>
              <w:autoSpaceDN/>
              <w:bidi w:val="0"/>
              <w:adjustRightInd/>
              <w:snapToGrid w:val="0"/>
              <w:spacing w:line="288" w:lineRule="auto"/>
              <w:textAlignment w:val="auto"/>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pPr>
              <w:keepNext w:val="0"/>
              <w:keepLines w:val="0"/>
              <w:pageBreakBefore w:val="0"/>
              <w:widowControl w:val="0"/>
              <w:kinsoku/>
              <w:wordWrap/>
              <w:overflowPunct/>
              <w:topLinePunct w:val="0"/>
              <w:autoSpaceDE/>
              <w:autoSpaceDN/>
              <w:bidi w:val="0"/>
              <w:adjustRightInd/>
              <w:snapToGrid w:val="0"/>
              <w:spacing w:line="288"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eastAsia="宋体" w:cs="宋体"/>
                <w:color w:val="0000FF"/>
                <w:kern w:val="0"/>
                <w:szCs w:val="21"/>
                <w:highlight w:val="none"/>
                <w:lang w:val="en-US" w:eastAsia="zh-CN"/>
              </w:rPr>
              <w:t>12.5</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10</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bidi w:val="0"/>
              <w:snapToGrid/>
              <w:spacing w:before="0" w:beforeAutospacing="0" w:after="0" w:afterAutospacing="0" w:line="288" w:lineRule="auto"/>
              <w:ind w:left="0" w:right="0"/>
              <w:jc w:val="left"/>
              <w:textAlignment w:val="auto"/>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pageBreakBefore w:val="0"/>
              <w:widowControl/>
              <w:suppressLineNumbers w:val="0"/>
              <w:kinsoku/>
              <w:wordWrap/>
              <w:overflowPunct/>
              <w:topLinePunct w:val="0"/>
              <w:bidi w:val="0"/>
              <w:snapToGrid/>
              <w:spacing w:before="0" w:beforeAutospacing="0" w:after="0" w:afterAutospacing="0" w:line="288" w:lineRule="auto"/>
              <w:ind w:left="0" w:right="0"/>
              <w:jc w:val="left"/>
              <w:textAlignment w:val="auto"/>
              <w:rPr>
                <w:rFonts w:hint="default"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pPr>
              <w:keepNext w:val="0"/>
              <w:keepLines w:val="0"/>
              <w:pageBreakBefore w:val="0"/>
              <w:suppressLineNumbers w:val="0"/>
              <w:kinsoku/>
              <w:wordWrap/>
              <w:overflowPunct/>
              <w:topLinePunct w:val="0"/>
              <w:bidi w:val="0"/>
              <w:snapToGrid/>
              <w:spacing w:before="0" w:beforeAutospacing="0" w:after="0" w:afterAutospacing="0" w:line="288" w:lineRule="auto"/>
              <w:ind w:left="0" w:right="0"/>
              <w:textAlignment w:val="auto"/>
              <w:rPr>
                <w:rFonts w:hint="default"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pPr>
              <w:keepNext w:val="0"/>
              <w:keepLines w:val="0"/>
              <w:pageBreakBefore w:val="0"/>
              <w:kinsoku/>
              <w:wordWrap/>
              <w:overflowPunct/>
              <w:topLinePunct w:val="0"/>
              <w:autoSpaceDE w:val="0"/>
              <w:autoSpaceDN w:val="0"/>
              <w:bidi w:val="0"/>
              <w:adjustRightInd w:val="0"/>
              <w:snapToGrid/>
              <w:spacing w:line="288"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eastAsia="宋体" w:cs="宋体"/>
                <w:color w:val="0000FF"/>
                <w:kern w:val="0"/>
                <w:szCs w:val="21"/>
                <w:highlight w:val="none"/>
                <w:lang w:val="en-US" w:eastAsia="zh-CN"/>
              </w:rPr>
              <w:t>4</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szCs w:val="21"/>
                <w:lang w:val="en-US" w:eastAsia="zh-CN"/>
              </w:rPr>
            </w:pPr>
            <w:r>
              <w:rPr>
                <w:rFonts w:hint="eastAsia" w:ascii="Times New Roman" w:eastAsia="宋体"/>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left"/>
              <w:textAlignment w:val="auto"/>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pageBreakBefore w:val="0"/>
              <w:kinsoku/>
              <w:wordWrap/>
              <w:overflowPunct/>
              <w:topLinePunct w:val="0"/>
              <w:autoSpaceDE/>
              <w:autoSpaceDN/>
              <w:bidi w:val="0"/>
              <w:adjustRightInd/>
              <w:snapToGrid w:val="0"/>
              <w:spacing w:line="288" w:lineRule="auto"/>
              <w:jc w:val="both"/>
              <w:textAlignment w:val="auto"/>
              <w:rPr>
                <w:rFonts w:hint="eastAsia"/>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keepNext w:val="0"/>
              <w:keepLines w:val="0"/>
              <w:pageBreakBefore w:val="0"/>
              <w:suppressLineNumbers w:val="0"/>
              <w:kinsoku/>
              <w:wordWrap/>
              <w:overflowPunct/>
              <w:topLinePunct w:val="0"/>
              <w:autoSpaceDE/>
              <w:autoSpaceDN/>
              <w:bidi w:val="0"/>
              <w:adjustRightInd/>
              <w:spacing w:before="0" w:beforeAutospacing="0" w:after="0" w:afterAutospacing="0" w:line="288" w:lineRule="auto"/>
              <w:ind w:left="0" w:right="0"/>
              <w:textAlignment w:val="auto"/>
              <w:rPr>
                <w:rFonts w:hint="default" w:ascii="宋体" w:hAnsi="宋体" w:eastAsia="宋体" w:cs="宋体"/>
                <w:kern w:val="0"/>
                <w:szCs w:val="21"/>
                <w:highlight w:val="none"/>
              </w:rPr>
            </w:pPr>
            <w:r>
              <w:rPr>
                <w:rFonts w:hint="eastAsia" w:ascii="宋体" w:hAnsi="宋体" w:eastAsia="宋体" w:cs="宋体"/>
                <w:color w:val="0000FF"/>
                <w:szCs w:val="21"/>
                <w:highlight w:val="none"/>
              </w:rPr>
              <w:t>（二）评审依据：</w:t>
            </w:r>
          </w:p>
          <w:p>
            <w:pPr>
              <w:keepNext w:val="0"/>
              <w:keepLines w:val="0"/>
              <w:pageBreakBefore w:val="0"/>
              <w:kinsoku/>
              <w:wordWrap/>
              <w:overflowPunct/>
              <w:topLinePunct w:val="0"/>
              <w:autoSpaceDE/>
              <w:autoSpaceDN/>
              <w:bidi w:val="0"/>
              <w:adjustRightInd/>
              <w:snapToGrid w:val="0"/>
              <w:spacing w:line="288" w:lineRule="auto"/>
              <w:jc w:val="both"/>
              <w:textAlignment w:val="auto"/>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szCs w:val="21"/>
                <w:highlight w:val="none"/>
              </w:rPr>
              <w:t>投标人提供符合相关要求的承诺函</w:t>
            </w:r>
            <w:r>
              <w:rPr>
                <w:rFonts w:hint="eastAsia" w:ascii="宋体" w:hAnsi="宋体" w:eastAsia="宋体" w:cs="宋体"/>
                <w:color w:val="0000FF"/>
                <w:szCs w:val="21"/>
                <w:highlight w:val="none"/>
                <w:lang w:val="en-US" w:eastAsia="zh-CN"/>
              </w:rPr>
              <w:t>得100分</w:t>
            </w:r>
            <w:r>
              <w:rPr>
                <w:rFonts w:hint="eastAsia" w:ascii="宋体" w:hAnsi="宋体" w:eastAsia="宋体" w:cs="宋体"/>
                <w:color w:val="0000FF"/>
                <w:szCs w:val="21"/>
                <w:highlight w:val="none"/>
              </w:rPr>
              <w:t>（格式自定，</w:t>
            </w:r>
            <w:r>
              <w:rPr>
                <w:rFonts w:hint="eastAsia" w:ascii="宋体" w:hAnsi="宋体" w:eastAsia="宋体" w:cs="宋体"/>
                <w:color w:val="0000FF"/>
                <w:szCs w:val="21"/>
                <w:highlight w:val="none"/>
                <w:lang w:val="en-US" w:eastAsia="zh-CN"/>
              </w:rPr>
              <w:t>应在《自行采购投标及履约承诺函》外另起承诺函）可视为符合规定，</w:t>
            </w:r>
            <w:r>
              <w:rPr>
                <w:rFonts w:hint="eastAsia" w:ascii="宋体" w:hAnsi="宋体" w:eastAsia="宋体" w:cs="宋体"/>
                <w:color w:val="0000FF"/>
                <w:szCs w:val="21"/>
                <w:highlight w:val="none"/>
              </w:rPr>
              <w:t>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cs="宋体"/>
                <w:kern w:val="0"/>
                <w:szCs w:val="21"/>
                <w:lang w:val="en-US" w:eastAsia="zh-CN" w:bidi="ar"/>
              </w:rPr>
            </w:pPr>
            <w:r>
              <w:rPr>
                <w:rFonts w:hint="eastAsia" w:ascii="宋体" w:hAnsi="宋体" w:cs="宋体"/>
                <w:kern w:val="0"/>
                <w:szCs w:val="21"/>
                <w:lang w:val="en-US" w:eastAsia="zh-CN" w:bidi="ar"/>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pageBreakBefore w:val="0"/>
              <w:widowControl/>
              <w:numPr>
                <w:ilvl w:val="0"/>
                <w:numId w:val="0"/>
              </w:numPr>
              <w:kinsoku/>
              <w:wordWrap w:val="0"/>
              <w:overflowPunct/>
              <w:topLinePunct w:val="0"/>
              <w:autoSpaceDE/>
              <w:autoSpaceDN/>
              <w:bidi w:val="0"/>
              <w:adjustRightInd/>
              <w:spacing w:line="288" w:lineRule="auto"/>
              <w:jc w:val="left"/>
              <w:textAlignment w:val="top"/>
              <w:rPr>
                <w:rFonts w:hint="eastAsia" w:ascii="宋体" w:hAnsi="宋体" w:cs="宋体"/>
                <w:kern w:val="0"/>
                <w:szCs w:val="21"/>
                <w:lang w:val="en-US" w:eastAsia="zh-CN" w:bidi="ar"/>
              </w:rPr>
            </w:pPr>
            <w:r>
              <w:rPr>
                <w:rFonts w:hint="eastAsia" w:ascii="宋体" w:hAnsi="宋体" w:cs="宋体" w:eastAsiaTheme="minorEastAsia"/>
                <w:kern w:val="0"/>
                <w:sz w:val="21"/>
                <w:szCs w:val="21"/>
                <w:lang w:val="en-US" w:eastAsia="zh-CN" w:bidi="ar"/>
              </w:rPr>
              <w:t>（一）</w:t>
            </w:r>
            <w:r>
              <w:rPr>
                <w:rFonts w:hint="eastAsia" w:ascii="宋体" w:hAnsi="宋体" w:cs="宋体"/>
                <w:kern w:val="0"/>
                <w:szCs w:val="21"/>
                <w:lang w:val="en-US" w:eastAsia="zh-CN" w:bidi="ar"/>
              </w:rPr>
              <w:t>评审内容：</w:t>
            </w:r>
          </w:p>
          <w:p>
            <w:pPr>
              <w:keepNext w:val="0"/>
              <w:keepLines w:val="0"/>
              <w:pageBreakBefore w:val="0"/>
              <w:widowControl/>
              <w:numPr>
                <w:ilvl w:val="0"/>
                <w:numId w:val="0"/>
              </w:numPr>
              <w:kinsoku/>
              <w:wordWrap w:val="0"/>
              <w:overflowPunct/>
              <w:topLinePunct w:val="0"/>
              <w:autoSpaceDE/>
              <w:autoSpaceDN/>
              <w:bidi w:val="0"/>
              <w:adjustRightInd/>
              <w:spacing w:line="288" w:lineRule="auto"/>
              <w:jc w:val="left"/>
              <w:textAlignment w:val="top"/>
              <w:rPr>
                <w:rFonts w:hint="eastAsia" w:ascii="宋体" w:hAnsi="宋体" w:cs="宋体"/>
                <w:kern w:val="0"/>
                <w:szCs w:val="21"/>
                <w:lang w:val="en-US" w:eastAsia="zh-CN" w:bidi="ar"/>
              </w:rPr>
            </w:pPr>
            <w:r>
              <w:rPr>
                <w:rFonts w:hint="eastAsia" w:ascii="宋体" w:hAnsi="宋体" w:cs="宋体"/>
                <w:kern w:val="0"/>
                <w:szCs w:val="21"/>
                <w:lang w:val="en-US" w:eastAsia="zh-CN" w:bidi="ar"/>
              </w:rPr>
              <w:t xml:space="preserve">投标人提供本项目的组织实施方案，方案中应包含 </w:t>
            </w:r>
          </w:p>
          <w:p>
            <w:pPr>
              <w:keepNext w:val="0"/>
              <w:keepLines w:val="0"/>
              <w:pageBreakBefore w:val="0"/>
              <w:widowControl/>
              <w:numPr>
                <w:ilvl w:val="0"/>
                <w:numId w:val="1"/>
              </w:numPr>
              <w:kinsoku/>
              <w:wordWrap w:val="0"/>
              <w:overflowPunct/>
              <w:topLinePunct w:val="0"/>
              <w:autoSpaceDE/>
              <w:autoSpaceDN/>
              <w:bidi w:val="0"/>
              <w:adjustRightInd/>
              <w:spacing w:line="288" w:lineRule="auto"/>
              <w:ind w:left="425" w:leftChars="0" w:hanging="425" w:firstLineChars="0"/>
              <w:jc w:val="left"/>
              <w:textAlignment w:val="top"/>
              <w:rPr>
                <w:rFonts w:hint="eastAsia" w:ascii="宋体" w:hAnsi="宋体" w:cs="宋体"/>
                <w:kern w:val="0"/>
                <w:szCs w:val="21"/>
                <w:lang w:val="en-US" w:eastAsia="zh-CN" w:bidi="ar"/>
              </w:rPr>
            </w:pPr>
            <w:r>
              <w:rPr>
                <w:rFonts w:hint="eastAsia" w:ascii="宋体" w:hAnsi="宋体" w:cs="宋体"/>
                <w:kern w:val="0"/>
                <w:szCs w:val="21"/>
                <w:lang w:val="en-US" w:eastAsia="zh-CN" w:bidi="ar"/>
              </w:rPr>
              <w:t xml:space="preserve">项目进度计划安排 </w:t>
            </w:r>
          </w:p>
          <w:p>
            <w:pPr>
              <w:keepNext w:val="0"/>
              <w:keepLines w:val="0"/>
              <w:pageBreakBefore w:val="0"/>
              <w:widowControl/>
              <w:numPr>
                <w:ilvl w:val="0"/>
                <w:numId w:val="1"/>
              </w:numPr>
              <w:kinsoku/>
              <w:wordWrap w:val="0"/>
              <w:overflowPunct/>
              <w:topLinePunct w:val="0"/>
              <w:autoSpaceDE/>
              <w:autoSpaceDN/>
              <w:bidi w:val="0"/>
              <w:adjustRightInd/>
              <w:spacing w:line="288" w:lineRule="auto"/>
              <w:ind w:left="425" w:leftChars="0" w:hanging="425" w:firstLineChars="0"/>
              <w:jc w:val="left"/>
              <w:textAlignment w:val="top"/>
              <w:rPr>
                <w:rFonts w:hint="eastAsia" w:ascii="宋体" w:hAnsi="宋体" w:cs="宋体"/>
                <w:kern w:val="0"/>
                <w:szCs w:val="21"/>
                <w:lang w:val="en-US" w:eastAsia="zh-CN" w:bidi="ar"/>
              </w:rPr>
            </w:pPr>
            <w:r>
              <w:rPr>
                <w:rFonts w:hint="eastAsia" w:ascii="宋体" w:hAnsi="宋体" w:cs="宋体"/>
                <w:kern w:val="0"/>
                <w:szCs w:val="21"/>
                <w:lang w:val="en-US" w:eastAsia="zh-CN" w:bidi="ar"/>
              </w:rPr>
              <w:t xml:space="preserve">施工组织计划 </w:t>
            </w:r>
          </w:p>
          <w:p>
            <w:pPr>
              <w:keepNext w:val="0"/>
              <w:keepLines w:val="0"/>
              <w:pageBreakBefore w:val="0"/>
              <w:widowControl/>
              <w:numPr>
                <w:ilvl w:val="0"/>
                <w:numId w:val="1"/>
              </w:numPr>
              <w:kinsoku/>
              <w:wordWrap w:val="0"/>
              <w:overflowPunct/>
              <w:topLinePunct w:val="0"/>
              <w:autoSpaceDE/>
              <w:autoSpaceDN/>
              <w:bidi w:val="0"/>
              <w:adjustRightInd/>
              <w:spacing w:line="288" w:lineRule="auto"/>
              <w:ind w:left="425" w:leftChars="0" w:hanging="425" w:firstLineChars="0"/>
              <w:jc w:val="left"/>
              <w:textAlignment w:val="top"/>
              <w:rPr>
                <w:rFonts w:hint="eastAsia" w:ascii="宋体" w:hAnsi="宋体" w:cs="宋体"/>
                <w:kern w:val="0"/>
                <w:szCs w:val="21"/>
                <w:lang w:val="en-US" w:eastAsia="zh-CN" w:bidi="ar"/>
              </w:rPr>
            </w:pPr>
            <w:r>
              <w:rPr>
                <w:rFonts w:hint="eastAsia" w:ascii="宋体" w:hAnsi="宋体" w:cs="宋体"/>
                <w:kern w:val="0"/>
                <w:szCs w:val="21"/>
                <w:lang w:val="en-US" w:eastAsia="zh-CN" w:bidi="ar"/>
              </w:rPr>
              <w:t>验收组织计划</w:t>
            </w:r>
          </w:p>
          <w:p>
            <w:pPr>
              <w:keepNext w:val="0"/>
              <w:keepLines w:val="0"/>
              <w:pageBreakBefore w:val="0"/>
              <w:widowControl/>
              <w:numPr>
                <w:ilvl w:val="0"/>
                <w:numId w:val="1"/>
              </w:numPr>
              <w:kinsoku/>
              <w:wordWrap w:val="0"/>
              <w:overflowPunct/>
              <w:topLinePunct w:val="0"/>
              <w:autoSpaceDE/>
              <w:autoSpaceDN/>
              <w:bidi w:val="0"/>
              <w:adjustRightInd/>
              <w:spacing w:line="288" w:lineRule="auto"/>
              <w:ind w:left="425" w:leftChars="0" w:hanging="425" w:firstLineChars="0"/>
              <w:jc w:val="left"/>
              <w:textAlignment w:val="top"/>
              <w:rPr>
                <w:rFonts w:hint="eastAsia" w:ascii="宋体" w:hAnsi="宋体" w:cs="宋体"/>
                <w:kern w:val="0"/>
                <w:szCs w:val="21"/>
                <w:lang w:val="en-US" w:eastAsia="zh-CN" w:bidi="ar"/>
              </w:rPr>
            </w:pPr>
            <w:r>
              <w:rPr>
                <w:rFonts w:hint="eastAsia" w:ascii="宋体" w:hAnsi="宋体" w:cs="宋体"/>
                <w:kern w:val="0"/>
                <w:szCs w:val="21"/>
                <w:lang w:val="en-US" w:eastAsia="zh-CN" w:bidi="ar"/>
              </w:rPr>
              <w:t xml:space="preserve">产品培训方案 </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left="0" w:leftChars="0" w:firstLine="0" w:firstLineChars="0"/>
              <w:jc w:val="both"/>
              <w:textAlignment w:val="auto"/>
              <w:rPr>
                <w:rFonts w:hint="eastAsia" w:ascii="宋体" w:hAnsi="宋体" w:eastAsia="宋体" w:cs="宋体"/>
                <w:color w:val="0000FF"/>
                <w:szCs w:val="21"/>
                <w:highlight w:val="none"/>
                <w:lang w:val="en-US" w:eastAsia="zh-CN"/>
              </w:rPr>
            </w:pPr>
            <w:r>
              <w:rPr>
                <w:rFonts w:hint="eastAsia" w:ascii="宋体" w:hAnsi="宋体" w:eastAsia="宋体" w:cs="宋体"/>
                <w:color w:val="0000FF"/>
                <w:kern w:val="2"/>
                <w:sz w:val="21"/>
                <w:szCs w:val="21"/>
                <w:lang w:val="en-US" w:eastAsia="zh-CN" w:bidi="ar-SA"/>
              </w:rPr>
              <w:t>（二）</w:t>
            </w:r>
            <w:r>
              <w:rPr>
                <w:rFonts w:hint="eastAsia" w:ascii="宋体" w:hAnsi="宋体" w:eastAsia="宋体" w:cs="宋体"/>
                <w:color w:val="0000FF"/>
                <w:szCs w:val="21"/>
                <w:highlight w:val="none"/>
              </w:rPr>
              <w:t>评审依据：</w:t>
            </w:r>
          </w:p>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both"/>
              <w:textAlignment w:val="auto"/>
              <w:rPr>
                <w:rFonts w:hint="eastAsia" w:ascii="宋体" w:hAnsi="宋体" w:eastAsia="宋体" w:cs="宋体"/>
                <w:color w:val="0000FF"/>
                <w:szCs w:val="21"/>
                <w:highlight w:val="none"/>
                <w:lang w:val="en-US" w:eastAsia="zh-CN"/>
              </w:rPr>
            </w:pPr>
            <w:r>
              <w:rPr>
                <w:rFonts w:hint="eastAsia" w:ascii="宋体" w:hAnsi="宋体" w:eastAsia="宋体" w:cs="宋体"/>
                <w:color w:val="0000FF"/>
                <w:szCs w:val="21"/>
                <w:highlight w:val="none"/>
                <w:lang w:val="en-US" w:eastAsia="zh-CN"/>
              </w:rPr>
              <w:t>1.方案中含有上述一个内容得15分。</w:t>
            </w:r>
          </w:p>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both"/>
              <w:textAlignment w:val="auto"/>
              <w:rPr>
                <w:rFonts w:hint="eastAsia"/>
                <w:lang w:val="en-US" w:eastAsia="zh-CN"/>
              </w:rPr>
            </w:pPr>
            <w:r>
              <w:rPr>
                <w:rFonts w:hint="eastAsia" w:ascii="宋体" w:hAnsi="宋体" w:eastAsia="宋体" w:cs="宋体"/>
                <w:color w:val="0000FF"/>
                <w:szCs w:val="21"/>
                <w:highlight w:val="none"/>
                <w:lang w:val="en-US" w:eastAsia="zh-CN"/>
              </w:rPr>
              <w:t>2.在此基础上，由评审委员会对具体响应内容进一步评审：</w:t>
            </w:r>
          </w:p>
          <w:p>
            <w:pPr>
              <w:keepNext w:val="0"/>
              <w:keepLines w:val="0"/>
              <w:pageBreakBefore w:val="0"/>
              <w:widowControl w:val="0"/>
              <w:numPr>
                <w:ilvl w:val="0"/>
                <w:numId w:val="2"/>
              </w:numPr>
              <w:kinsoku/>
              <w:wordWrap/>
              <w:overflowPunct/>
              <w:topLinePunct w:val="0"/>
              <w:autoSpaceDE/>
              <w:autoSpaceDN/>
              <w:bidi w:val="0"/>
              <w:adjustRightInd/>
              <w:snapToGrid w:val="0"/>
              <w:spacing w:line="288" w:lineRule="auto"/>
              <w:ind w:left="0" w:leftChars="0" w:firstLine="0" w:firstLineChars="0"/>
              <w:jc w:val="left"/>
              <w:textAlignment w:val="auto"/>
              <w:rPr>
                <w:rFonts w:hint="eastAsia" w:ascii="宋体" w:hAnsi="宋体" w:eastAsia="宋体" w:cs="宋体"/>
                <w:color w:val="0000FF"/>
                <w:szCs w:val="21"/>
                <w:highlight w:val="none"/>
                <w:lang w:val="en-US" w:eastAsia="zh-CN"/>
              </w:rPr>
            </w:pPr>
            <w:r>
              <w:rPr>
                <w:rFonts w:hint="eastAsia" w:ascii="宋体" w:hAnsi="宋体" w:eastAsia="宋体" w:cs="宋体"/>
                <w:color w:val="0000FF"/>
                <w:szCs w:val="21"/>
                <w:highlight w:val="none"/>
                <w:lang w:val="en-US" w:eastAsia="zh-CN"/>
              </w:rPr>
              <w:t xml:space="preserve">方案清晰周密、合理可行、表述完整、方法得当、技术先进、符合相关规范要求得40分。 </w:t>
            </w:r>
          </w:p>
          <w:p>
            <w:pPr>
              <w:keepNext w:val="0"/>
              <w:keepLines w:val="0"/>
              <w:pageBreakBefore w:val="0"/>
              <w:widowControl w:val="0"/>
              <w:numPr>
                <w:ilvl w:val="0"/>
                <w:numId w:val="2"/>
              </w:numPr>
              <w:kinsoku/>
              <w:wordWrap/>
              <w:overflowPunct/>
              <w:topLinePunct w:val="0"/>
              <w:autoSpaceDE/>
              <w:autoSpaceDN/>
              <w:bidi w:val="0"/>
              <w:adjustRightInd/>
              <w:snapToGrid w:val="0"/>
              <w:spacing w:line="288" w:lineRule="auto"/>
              <w:ind w:left="0" w:leftChars="0" w:firstLine="0" w:firstLineChars="0"/>
              <w:jc w:val="left"/>
              <w:textAlignment w:val="auto"/>
              <w:rPr>
                <w:rFonts w:hint="eastAsia" w:ascii="宋体" w:hAnsi="宋体" w:eastAsia="宋体" w:cs="宋体"/>
                <w:color w:val="0000FF"/>
                <w:szCs w:val="21"/>
                <w:highlight w:val="none"/>
                <w:lang w:val="en-US" w:eastAsia="zh-CN"/>
              </w:rPr>
            </w:pPr>
            <w:r>
              <w:rPr>
                <w:rFonts w:hint="eastAsia" w:ascii="宋体" w:hAnsi="宋体" w:eastAsia="宋体" w:cs="宋体"/>
                <w:color w:val="0000FF"/>
                <w:szCs w:val="21"/>
                <w:highlight w:val="none"/>
                <w:lang w:val="en-US" w:eastAsia="zh-CN"/>
              </w:rPr>
              <w:t xml:space="preserve">方案基本可行表述基本完整得20分。 </w:t>
            </w:r>
          </w:p>
          <w:p>
            <w:pPr>
              <w:keepNext w:val="0"/>
              <w:keepLines w:val="0"/>
              <w:pageBreakBefore w:val="0"/>
              <w:widowControl w:val="0"/>
              <w:numPr>
                <w:ilvl w:val="0"/>
                <w:numId w:val="2"/>
              </w:numPr>
              <w:kinsoku/>
              <w:wordWrap/>
              <w:overflowPunct/>
              <w:topLinePunct w:val="0"/>
              <w:autoSpaceDE/>
              <w:autoSpaceDN/>
              <w:bidi w:val="0"/>
              <w:adjustRightInd/>
              <w:snapToGrid w:val="0"/>
              <w:spacing w:line="288" w:lineRule="auto"/>
              <w:ind w:left="0" w:leftChars="0" w:firstLine="0" w:firstLineChars="0"/>
              <w:jc w:val="left"/>
              <w:textAlignment w:val="auto"/>
              <w:rPr>
                <w:rFonts w:hint="eastAsia" w:ascii="宋体" w:hAnsi="宋体" w:cs="宋体"/>
                <w:kern w:val="0"/>
                <w:szCs w:val="21"/>
                <w:lang w:val="en-US" w:eastAsia="zh-CN" w:bidi="ar"/>
              </w:rPr>
            </w:pPr>
            <w:r>
              <w:rPr>
                <w:rFonts w:hint="eastAsia" w:ascii="宋体" w:hAnsi="宋体" w:eastAsia="宋体" w:cs="宋体"/>
                <w:color w:val="0000FF"/>
                <w:szCs w:val="21"/>
                <w:highlight w:val="none"/>
                <w:lang w:val="en-US" w:eastAsia="zh-CN"/>
              </w:rPr>
              <w:t>未提供或方案计划不切合本项目的实际情况、合理完善性差、可行性差的对应项不得分。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kinsoku/>
              <w:overflowPunct/>
              <w:topLinePunct w:val="0"/>
              <w:bidi w:val="0"/>
              <w:snapToGrid w:val="0"/>
              <w:spacing w:line="360" w:lineRule="auto"/>
              <w:jc w:val="center"/>
              <w:rPr>
                <w:rFonts w:hint="eastAsia" w:ascii="宋体" w:hAnsi="宋体" w:cs="宋体"/>
                <w:kern w:val="0"/>
                <w:szCs w:val="21"/>
                <w:lang w:val="en-US" w:eastAsia="zh-CN" w:bidi="ar"/>
              </w:rPr>
            </w:pPr>
            <w:r>
              <w:rPr>
                <w:rFonts w:hint="eastAsia" w:ascii="宋体" w:hAnsi="宋体" w:eastAsia="宋体" w:cs="宋体"/>
                <w:kern w:val="2"/>
                <w:sz w:val="21"/>
                <w:szCs w:val="21"/>
                <w:lang w:val="en-US" w:eastAsia="zh-CN" w:bidi="ar-SA"/>
              </w:rPr>
              <w:t>售后服务评价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val="0"/>
              <w:overflowPunct/>
              <w:topLinePunct w:val="0"/>
              <w:bidi w:val="0"/>
              <w:spacing w:line="360" w:lineRule="auto"/>
              <w:jc w:val="center"/>
              <w:textAlignment w:val="top"/>
              <w:rPr>
                <w:rFonts w:hint="eastAsia" w:ascii="宋体" w:hAnsi="宋体" w:cs="宋体"/>
                <w:kern w:val="0"/>
                <w:szCs w:val="21"/>
                <w:lang w:val="en-US" w:eastAsia="zh-CN" w:bidi="ar"/>
              </w:rPr>
            </w:pPr>
            <w:r>
              <w:rPr>
                <w:rFonts w:hint="eastAsia" w:ascii="宋体" w:hAnsi="宋体" w:eastAsia="宋体" w:cs="宋体"/>
                <w:sz w:val="21"/>
                <w:szCs w:val="21"/>
                <w:lang w:val="en-US" w:eastAsia="zh-CN"/>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0" w:firstLineChars="0"/>
              <w:jc w:val="lef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（一）评审内容：</w:t>
            </w:r>
          </w:p>
          <w:p>
            <w:pPr>
              <w:keepNext w:val="0"/>
              <w:keepLines w:val="0"/>
              <w:pageBreakBefore w:val="0"/>
              <w:kinsoku/>
              <w:wordWrap/>
              <w:overflowPunct/>
              <w:topLinePunct w:val="0"/>
              <w:autoSpaceDE/>
              <w:autoSpaceDN/>
              <w:bidi w:val="0"/>
              <w:adjustRightInd/>
              <w:snapToGrid w:val="0"/>
              <w:spacing w:line="360" w:lineRule="auto"/>
              <w:ind w:firstLine="0" w:firstLineChars="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030405"/>
                <w:kern w:val="0"/>
                <w:sz w:val="21"/>
                <w:szCs w:val="21"/>
              </w:rPr>
              <w:t>投标人提供本项目的售后服务方案，</w:t>
            </w:r>
            <w:r>
              <w:rPr>
                <w:rFonts w:hint="eastAsia" w:ascii="宋体" w:hAnsi="宋体" w:eastAsia="宋体" w:cs="宋体"/>
                <w:kern w:val="0"/>
                <w:sz w:val="21"/>
                <w:szCs w:val="21"/>
                <w:lang w:val="en-US" w:eastAsia="zh-CN"/>
              </w:rPr>
              <w:t>包括</w:t>
            </w:r>
            <w:r>
              <w:rPr>
                <w:rFonts w:hint="eastAsia" w:ascii="宋体" w:hAnsi="宋体" w:eastAsia="宋体" w:cs="宋体"/>
                <w:color w:val="auto"/>
                <w:kern w:val="0"/>
                <w:sz w:val="21"/>
                <w:szCs w:val="21"/>
                <w:lang w:val="en-US" w:eastAsia="zh-CN"/>
              </w:rPr>
              <w:t>但不限于以下内容：</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（1）售后服务内容；</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（2）售后维修应急方案；</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（3）售后培训计划；</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（4）售后其他特色服务。</w:t>
            </w:r>
          </w:p>
          <w:p>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color w:val="0000FF"/>
                <w:sz w:val="21"/>
                <w:szCs w:val="21"/>
                <w:highlight w:val="none"/>
              </w:rPr>
              <w:t>（二）评审依据：</w:t>
            </w:r>
          </w:p>
          <w:p>
            <w:pPr>
              <w:keepNext w:val="0"/>
              <w:keepLines w:val="0"/>
              <w:pageBreakBefore w:val="0"/>
              <w:kinsoku/>
              <w:wordWrap/>
              <w:overflowPunct/>
              <w:topLinePunct w:val="0"/>
              <w:autoSpaceDE/>
              <w:autoSpaceDN/>
              <w:bidi w:val="0"/>
              <w:adjustRightInd/>
              <w:snapToGrid w:val="0"/>
              <w:spacing w:line="288" w:lineRule="auto"/>
              <w:ind w:firstLine="0" w:firstLineChars="0"/>
              <w:jc w:val="both"/>
              <w:textAlignment w:val="auto"/>
              <w:rPr>
                <w:rFonts w:hint="eastAsia" w:ascii="宋体" w:hAnsi="宋体" w:eastAsia="宋体" w:cs="宋体"/>
                <w:color w:val="0000FF"/>
                <w:szCs w:val="21"/>
                <w:highlight w:val="none"/>
                <w:lang w:val="en-US" w:eastAsia="zh-CN"/>
              </w:rPr>
            </w:pPr>
            <w:r>
              <w:rPr>
                <w:rFonts w:hint="eastAsia" w:ascii="宋体" w:hAnsi="宋体" w:eastAsia="宋体" w:cs="宋体"/>
                <w:color w:val="0000FF"/>
                <w:szCs w:val="21"/>
                <w:highlight w:val="none"/>
                <w:lang w:val="en-US" w:eastAsia="zh-CN"/>
              </w:rPr>
              <w:t>1、方案内容每包含以上一项内容，得15分，本项最高得60分。</w:t>
            </w:r>
          </w:p>
          <w:p>
            <w:pPr>
              <w:keepNext w:val="0"/>
              <w:keepLines w:val="0"/>
              <w:pageBreakBefore w:val="0"/>
              <w:kinsoku/>
              <w:wordWrap/>
              <w:overflowPunct/>
              <w:topLinePunct w:val="0"/>
              <w:autoSpaceDE/>
              <w:autoSpaceDN/>
              <w:bidi w:val="0"/>
              <w:adjustRightInd/>
              <w:snapToGrid w:val="0"/>
              <w:spacing w:line="288" w:lineRule="auto"/>
              <w:ind w:firstLine="0" w:firstLineChars="0"/>
              <w:jc w:val="both"/>
              <w:textAlignment w:val="auto"/>
              <w:rPr>
                <w:rFonts w:hint="eastAsia" w:ascii="宋体" w:hAnsi="宋体" w:eastAsia="宋体" w:cs="宋体"/>
                <w:color w:val="0000FF"/>
                <w:szCs w:val="21"/>
                <w:highlight w:val="none"/>
                <w:lang w:val="en-US" w:eastAsia="zh-CN"/>
              </w:rPr>
            </w:pPr>
            <w:r>
              <w:rPr>
                <w:rFonts w:hint="eastAsia" w:ascii="宋体" w:hAnsi="宋体" w:eastAsia="宋体" w:cs="宋体"/>
                <w:color w:val="0000FF"/>
                <w:szCs w:val="21"/>
                <w:highlight w:val="none"/>
                <w:lang w:val="en-US" w:eastAsia="zh-CN"/>
              </w:rPr>
              <w:t>2、在此基础上，由评审委员会对具体响应内容进一步评审：</w:t>
            </w:r>
          </w:p>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both"/>
              <w:textAlignment w:val="auto"/>
              <w:rPr>
                <w:rFonts w:hint="eastAsia" w:ascii="宋体" w:hAnsi="宋体" w:eastAsia="宋体" w:cs="宋体"/>
                <w:color w:val="0000FF"/>
                <w:szCs w:val="21"/>
                <w:highlight w:val="none"/>
                <w:lang w:val="en-US" w:eastAsia="zh-CN"/>
              </w:rPr>
            </w:pPr>
            <w:r>
              <w:rPr>
                <w:rFonts w:hint="eastAsia" w:ascii="宋体" w:hAnsi="宋体" w:eastAsia="宋体" w:cs="宋体"/>
                <w:color w:val="0000FF"/>
                <w:szCs w:val="21"/>
                <w:highlight w:val="none"/>
                <w:lang w:val="en-US" w:eastAsia="zh-CN"/>
              </w:rPr>
              <w:t>(1)售后服务方案非常详细，保障措施完善可行的，评审为优，得40分；</w:t>
            </w:r>
          </w:p>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both"/>
              <w:textAlignment w:val="auto"/>
              <w:rPr>
                <w:rFonts w:hint="eastAsia" w:ascii="宋体" w:hAnsi="宋体" w:eastAsia="宋体" w:cs="宋体"/>
                <w:color w:val="0000FF"/>
                <w:szCs w:val="21"/>
                <w:highlight w:val="none"/>
                <w:lang w:val="en-US" w:eastAsia="zh-CN"/>
              </w:rPr>
            </w:pPr>
            <w:r>
              <w:rPr>
                <w:rFonts w:hint="eastAsia" w:ascii="宋体" w:hAnsi="宋体" w:eastAsia="宋体" w:cs="宋体"/>
                <w:color w:val="0000FF"/>
                <w:szCs w:val="21"/>
                <w:highlight w:val="none"/>
                <w:lang w:val="en-US" w:eastAsia="zh-CN"/>
              </w:rPr>
              <w:t>(2)售后服务方案比较具体，保障措施比较完善可行的，评审为良，得20分；</w:t>
            </w:r>
          </w:p>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both"/>
              <w:textAlignment w:val="auto"/>
              <w:rPr>
                <w:rFonts w:hint="eastAsia" w:ascii="宋体" w:hAnsi="宋体" w:eastAsia="宋体" w:cs="宋体"/>
                <w:color w:val="0000FF"/>
                <w:szCs w:val="21"/>
                <w:highlight w:val="none"/>
                <w:lang w:val="en-US" w:eastAsia="zh-CN"/>
              </w:rPr>
            </w:pPr>
            <w:r>
              <w:rPr>
                <w:rFonts w:hint="eastAsia" w:ascii="宋体" w:hAnsi="宋体" w:eastAsia="宋体" w:cs="宋体"/>
                <w:color w:val="0000FF"/>
                <w:szCs w:val="21"/>
                <w:highlight w:val="none"/>
                <w:lang w:val="en-US" w:eastAsia="zh-CN"/>
              </w:rPr>
              <w:t>(3)未提供售后服务方案和措施或方案不详细、可行性较差的，评审为差，不得分。</w:t>
            </w:r>
          </w:p>
          <w:p>
            <w:pPr>
              <w:keepNext w:val="0"/>
              <w:keepLines w:val="0"/>
              <w:pageBreakBefore w:val="0"/>
              <w:widowControl w:val="0"/>
              <w:kinsoku/>
              <w:wordWrap/>
              <w:overflowPunct/>
              <w:topLinePunct w:val="0"/>
              <w:autoSpaceDE/>
              <w:autoSpaceDN/>
              <w:bidi w:val="0"/>
              <w:adjustRightInd/>
              <w:snapToGrid w:val="0"/>
              <w:spacing w:line="288" w:lineRule="auto"/>
              <w:ind w:firstLine="0" w:firstLineChars="0"/>
              <w:jc w:val="both"/>
              <w:textAlignment w:val="auto"/>
              <w:rPr>
                <w:rFonts w:hint="eastAsia" w:ascii="宋体" w:hAnsi="宋体" w:eastAsia="宋体" w:cs="宋体"/>
                <w:color w:val="0000FF"/>
                <w:szCs w:val="21"/>
                <w:highlight w:val="none"/>
                <w:lang w:val="en-US" w:eastAsia="zh-CN"/>
              </w:rPr>
            </w:pPr>
            <w:r>
              <w:rPr>
                <w:rFonts w:hint="eastAsia" w:ascii="宋体" w:hAnsi="宋体" w:eastAsia="宋体" w:cs="宋体"/>
                <w:color w:val="0000FF"/>
                <w:szCs w:val="21"/>
                <w:highlight w:val="none"/>
                <w:lang w:val="en-US" w:eastAsia="zh-CN"/>
              </w:rPr>
              <w:t>以上累计得分，最高得100分。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6</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cs="宋体"/>
                <w:kern w:val="0"/>
                <w:szCs w:val="21"/>
                <w:lang w:val="en-US" w:eastAsia="zh-CN" w:bidi="ar"/>
              </w:rPr>
            </w:pPr>
            <w:r>
              <w:rPr>
                <w:rFonts w:hint="eastAsia" w:ascii="宋体" w:hAnsi="宋体" w:cs="宋体"/>
                <w:kern w:val="0"/>
                <w:szCs w:val="21"/>
                <w:lang w:val="en-US" w:eastAsia="zh-CN" w:bidi="ar"/>
              </w:rPr>
              <w:t>样品情况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cs="宋体"/>
                <w:kern w:val="0"/>
                <w:szCs w:val="21"/>
                <w:lang w:val="en-US" w:eastAsia="zh-CN" w:bidi="ar"/>
              </w:rPr>
            </w:pPr>
            <w:r>
              <w:rPr>
                <w:rFonts w:hint="eastAsia" w:ascii="宋体" w:hAnsi="宋体" w:cs="宋体"/>
                <w:kern w:val="0"/>
                <w:szCs w:val="21"/>
                <w:lang w:val="en-US" w:eastAsia="zh-CN" w:bidi="ar"/>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pageBreakBefore w:val="0"/>
              <w:widowControl/>
              <w:numPr>
                <w:ilvl w:val="0"/>
                <w:numId w:val="0"/>
              </w:numPr>
              <w:kinsoku/>
              <w:overflowPunct/>
              <w:topLinePunct w:val="0"/>
              <w:autoSpaceDE/>
              <w:autoSpaceDN/>
              <w:bidi w:val="0"/>
              <w:adjustRightInd/>
              <w:snapToGrid/>
              <w:spacing w:line="288" w:lineRule="auto"/>
              <w:jc w:val="left"/>
              <w:textAlignment w:val="center"/>
              <w:rPr>
                <w:rFonts w:hint="eastAsia" w:ascii="宋体" w:hAnsi="宋体" w:eastAsia="宋体" w:cs="宋体"/>
                <w:b/>
                <w:bCs/>
                <w:sz w:val="21"/>
                <w:szCs w:val="21"/>
                <w:lang w:eastAsia="zh-CN" w:bidi="ar"/>
              </w:rPr>
            </w:pPr>
            <w:r>
              <w:rPr>
                <w:rFonts w:hint="eastAsia" w:ascii="宋体" w:hAnsi="宋体" w:eastAsia="宋体" w:cs="宋体"/>
                <w:b/>
                <w:bCs/>
                <w:kern w:val="2"/>
                <w:sz w:val="21"/>
                <w:szCs w:val="21"/>
                <w:lang w:val="en-US" w:eastAsia="zh-CN" w:bidi="ar"/>
              </w:rPr>
              <w:t>一、</w:t>
            </w:r>
            <w:r>
              <w:rPr>
                <w:rFonts w:hint="eastAsia" w:ascii="宋体" w:hAnsi="宋体" w:eastAsia="宋体" w:cs="宋体"/>
                <w:b/>
                <w:bCs/>
                <w:sz w:val="21"/>
                <w:szCs w:val="21"/>
                <w:lang w:eastAsia="zh-CN" w:bidi="ar"/>
              </w:rPr>
              <w:t>评审标准：</w:t>
            </w:r>
          </w:p>
          <w:p>
            <w:pPr>
              <w:keepNext w:val="0"/>
              <w:keepLines w:val="0"/>
              <w:pageBreakBefore w:val="0"/>
              <w:widowControl/>
              <w:kinsoku/>
              <w:overflowPunct/>
              <w:topLinePunct w:val="0"/>
              <w:autoSpaceDE/>
              <w:autoSpaceDN/>
              <w:bidi w:val="0"/>
              <w:adjustRightInd/>
              <w:snapToGrid/>
              <w:spacing w:line="288" w:lineRule="auto"/>
              <w:jc w:val="left"/>
              <w:textAlignment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评审委员会根据“</w:t>
            </w:r>
            <w:r>
              <w:rPr>
                <w:rFonts w:hint="eastAsia" w:ascii="宋体" w:hAnsi="宋体" w:eastAsia="宋体" w:cs="宋体"/>
                <w:b/>
                <w:bCs/>
                <w:sz w:val="21"/>
                <w:szCs w:val="21"/>
                <w:lang w:eastAsia="zh-CN" w:bidi="ar"/>
              </w:rPr>
              <w:t>第一册第三章“六、样品要求”</w:t>
            </w:r>
            <w:r>
              <w:rPr>
                <w:rFonts w:hint="eastAsia" w:ascii="宋体" w:hAnsi="宋体" w:eastAsia="宋体" w:cs="宋体"/>
                <w:sz w:val="21"/>
                <w:szCs w:val="21"/>
                <w:lang w:eastAsia="zh-CN" w:bidi="ar"/>
              </w:rPr>
              <w:t>对投标人提供的样品进行打分。</w:t>
            </w:r>
          </w:p>
          <w:p>
            <w:pPr>
              <w:keepNext w:val="0"/>
              <w:keepLines w:val="0"/>
              <w:pageBreakBefore w:val="0"/>
              <w:widowControl/>
              <w:kinsoku/>
              <w:overflowPunct/>
              <w:topLinePunct w:val="0"/>
              <w:autoSpaceDE/>
              <w:autoSpaceDN/>
              <w:bidi w:val="0"/>
              <w:adjustRightInd/>
              <w:snapToGrid/>
              <w:spacing w:line="288" w:lineRule="auto"/>
              <w:jc w:val="left"/>
              <w:textAlignment w:val="center"/>
              <w:rPr>
                <w:rFonts w:hint="eastAsia" w:ascii="宋体" w:hAnsi="宋体" w:eastAsia="宋体" w:cs="宋体"/>
                <w:b/>
                <w:bCs/>
                <w:color w:val="0000FF"/>
                <w:sz w:val="21"/>
                <w:szCs w:val="21"/>
                <w:lang w:eastAsia="zh-CN" w:bidi="ar"/>
              </w:rPr>
            </w:pPr>
            <w:r>
              <w:rPr>
                <w:rFonts w:hint="eastAsia" w:ascii="宋体" w:hAnsi="宋体" w:eastAsia="宋体" w:cs="宋体"/>
                <w:b/>
                <w:bCs/>
                <w:color w:val="0000FF"/>
                <w:sz w:val="21"/>
                <w:szCs w:val="21"/>
                <w:lang w:eastAsia="zh-CN" w:bidi="ar"/>
              </w:rPr>
              <w:t>二、</w:t>
            </w:r>
            <w:r>
              <w:rPr>
                <w:rFonts w:hint="eastAsia" w:ascii="宋体" w:hAnsi="宋体" w:eastAsia="宋体" w:cs="宋体"/>
                <w:color w:val="0000FF"/>
                <w:szCs w:val="21"/>
                <w:highlight w:val="none"/>
              </w:rPr>
              <w:t>评审依据</w:t>
            </w:r>
            <w:r>
              <w:rPr>
                <w:rFonts w:hint="eastAsia" w:ascii="宋体" w:hAnsi="宋体" w:eastAsia="宋体" w:cs="宋体"/>
                <w:b/>
                <w:bCs/>
                <w:color w:val="0000FF"/>
                <w:sz w:val="21"/>
                <w:szCs w:val="21"/>
                <w:lang w:eastAsia="zh-CN" w:bidi="ar"/>
              </w:rPr>
              <w:t>:</w:t>
            </w:r>
          </w:p>
          <w:p>
            <w:pPr>
              <w:keepNext w:val="0"/>
              <w:keepLines w:val="0"/>
              <w:pageBreakBefore w:val="0"/>
              <w:widowControl/>
              <w:kinsoku/>
              <w:overflowPunct/>
              <w:topLinePunct w:val="0"/>
              <w:autoSpaceDE/>
              <w:autoSpaceDN/>
              <w:bidi w:val="0"/>
              <w:adjustRightInd/>
              <w:snapToGrid/>
              <w:spacing w:line="288" w:lineRule="auto"/>
              <w:jc w:val="left"/>
              <w:textAlignment w:val="center"/>
              <w:rPr>
                <w:rFonts w:hint="eastAsia" w:ascii="宋体" w:hAnsi="宋体" w:eastAsia="宋体" w:cs="宋体"/>
                <w:color w:val="0000FF"/>
                <w:sz w:val="21"/>
                <w:szCs w:val="21"/>
                <w:lang w:eastAsia="zh-CN" w:bidi="ar"/>
              </w:rPr>
            </w:pPr>
            <w:r>
              <w:rPr>
                <w:rFonts w:hint="eastAsia" w:ascii="宋体" w:hAnsi="宋体" w:eastAsia="宋体" w:cs="宋体"/>
                <w:color w:val="0000FF"/>
                <w:sz w:val="21"/>
                <w:szCs w:val="21"/>
                <w:lang w:eastAsia="zh-CN" w:bidi="ar"/>
              </w:rPr>
              <w:t>1、投标人提供符合《样品要求表》中要求的所有样品得60分，每少提供一项符合要求的样品扣50分，未提供样品不得分。</w:t>
            </w:r>
          </w:p>
          <w:p>
            <w:pPr>
              <w:keepNext w:val="0"/>
              <w:keepLines w:val="0"/>
              <w:pageBreakBefore w:val="0"/>
              <w:widowControl/>
              <w:kinsoku/>
              <w:overflowPunct/>
              <w:topLinePunct w:val="0"/>
              <w:autoSpaceDE/>
              <w:autoSpaceDN/>
              <w:bidi w:val="0"/>
              <w:adjustRightInd/>
              <w:snapToGrid/>
              <w:spacing w:line="288" w:lineRule="auto"/>
              <w:jc w:val="left"/>
              <w:textAlignment w:val="center"/>
              <w:rPr>
                <w:rFonts w:hint="eastAsia" w:ascii="宋体" w:hAnsi="宋体" w:eastAsia="宋体" w:cs="宋体"/>
                <w:color w:val="0000FF"/>
                <w:sz w:val="21"/>
                <w:szCs w:val="21"/>
                <w:lang w:eastAsia="zh-CN" w:bidi="ar"/>
              </w:rPr>
            </w:pPr>
            <w:r>
              <w:rPr>
                <w:rFonts w:hint="eastAsia" w:ascii="宋体" w:hAnsi="宋体" w:eastAsia="宋体" w:cs="宋体"/>
                <w:color w:val="0000FF"/>
                <w:sz w:val="21"/>
                <w:szCs w:val="21"/>
                <w:lang w:eastAsia="zh-CN" w:bidi="ar"/>
              </w:rPr>
              <w:t>2、在第1项基础上，专家根据各投标人提供的样品具体响应内容（材质、工艺、性能等）进一步评审：</w:t>
            </w:r>
          </w:p>
          <w:p>
            <w:pPr>
              <w:keepNext w:val="0"/>
              <w:keepLines w:val="0"/>
              <w:pageBreakBefore w:val="0"/>
              <w:widowControl/>
              <w:kinsoku/>
              <w:overflowPunct/>
              <w:topLinePunct w:val="0"/>
              <w:autoSpaceDE/>
              <w:autoSpaceDN/>
              <w:bidi w:val="0"/>
              <w:adjustRightInd/>
              <w:snapToGrid/>
              <w:spacing w:line="288" w:lineRule="auto"/>
              <w:jc w:val="left"/>
              <w:textAlignment w:val="center"/>
              <w:rPr>
                <w:rFonts w:hint="eastAsia" w:ascii="宋体" w:hAnsi="宋体" w:eastAsia="宋体" w:cs="宋体"/>
                <w:color w:val="0000FF"/>
                <w:sz w:val="21"/>
                <w:szCs w:val="21"/>
                <w:lang w:eastAsia="zh-CN" w:bidi="ar"/>
              </w:rPr>
            </w:pPr>
            <w:r>
              <w:rPr>
                <w:rFonts w:hint="eastAsia" w:ascii="宋体" w:hAnsi="宋体" w:eastAsia="宋体" w:cs="宋体"/>
                <w:color w:val="0000FF"/>
                <w:sz w:val="21"/>
                <w:szCs w:val="21"/>
                <w:lang w:eastAsia="zh-CN" w:bidi="ar"/>
              </w:rPr>
              <w:t>（1）优：样品材质和工艺质量好，且制作工艺和设计合理精美，满足采购人实际需求的，加40分；</w:t>
            </w:r>
          </w:p>
          <w:p>
            <w:pPr>
              <w:keepNext w:val="0"/>
              <w:keepLines w:val="0"/>
              <w:pageBreakBefore w:val="0"/>
              <w:widowControl/>
              <w:kinsoku/>
              <w:overflowPunct/>
              <w:topLinePunct w:val="0"/>
              <w:autoSpaceDE/>
              <w:autoSpaceDN/>
              <w:bidi w:val="0"/>
              <w:adjustRightInd/>
              <w:snapToGrid/>
              <w:spacing w:line="288" w:lineRule="auto"/>
              <w:jc w:val="left"/>
              <w:textAlignment w:val="center"/>
              <w:rPr>
                <w:rFonts w:hint="eastAsia" w:ascii="宋体" w:hAnsi="宋体" w:eastAsia="宋体" w:cs="宋体"/>
                <w:color w:val="0000FF"/>
                <w:sz w:val="21"/>
                <w:szCs w:val="21"/>
                <w:lang w:eastAsia="zh-CN" w:bidi="ar"/>
              </w:rPr>
            </w:pPr>
            <w:r>
              <w:rPr>
                <w:rFonts w:hint="eastAsia" w:ascii="宋体" w:hAnsi="宋体" w:eastAsia="宋体" w:cs="宋体"/>
                <w:color w:val="0000FF"/>
                <w:sz w:val="21"/>
                <w:szCs w:val="21"/>
                <w:lang w:eastAsia="zh-CN" w:bidi="ar"/>
              </w:rPr>
              <w:t>（2）良：样品材质和工艺质量较好，且制作工艺和设计较合理精美的，较能满足采购人实际需求的，加20分；</w:t>
            </w:r>
          </w:p>
          <w:p>
            <w:pPr>
              <w:keepNext w:val="0"/>
              <w:keepLines w:val="0"/>
              <w:pageBreakBefore w:val="0"/>
              <w:widowControl/>
              <w:kinsoku/>
              <w:overflowPunct/>
              <w:topLinePunct w:val="0"/>
              <w:autoSpaceDE/>
              <w:autoSpaceDN/>
              <w:bidi w:val="0"/>
              <w:adjustRightInd/>
              <w:snapToGrid/>
              <w:spacing w:line="288" w:lineRule="auto"/>
              <w:jc w:val="left"/>
              <w:textAlignment w:val="center"/>
              <w:rPr>
                <w:rFonts w:hint="eastAsia" w:ascii="宋体" w:hAnsi="宋体" w:eastAsia="宋体" w:cs="宋体"/>
                <w:color w:val="0000FF"/>
                <w:sz w:val="21"/>
                <w:szCs w:val="21"/>
                <w:lang w:eastAsia="zh-CN" w:bidi="ar"/>
              </w:rPr>
            </w:pPr>
            <w:r>
              <w:rPr>
                <w:rFonts w:hint="eastAsia" w:ascii="宋体" w:hAnsi="宋体" w:eastAsia="宋体" w:cs="宋体"/>
                <w:color w:val="0000FF"/>
                <w:sz w:val="21"/>
                <w:szCs w:val="21"/>
                <w:lang w:eastAsia="zh-CN" w:bidi="ar"/>
              </w:rPr>
              <w:t>（3）中：样品材质和工艺质量一般，且制作工艺和设计基本合理精美的，基本能满足采购人实际需求的，加10分；</w:t>
            </w:r>
          </w:p>
          <w:p>
            <w:pPr>
              <w:keepNext w:val="0"/>
              <w:keepLines w:val="0"/>
              <w:pageBreakBefore w:val="0"/>
              <w:widowControl/>
              <w:kinsoku/>
              <w:overflowPunct/>
              <w:topLinePunct w:val="0"/>
              <w:autoSpaceDE/>
              <w:autoSpaceDN/>
              <w:bidi w:val="0"/>
              <w:adjustRightInd/>
              <w:snapToGrid/>
              <w:spacing w:line="288" w:lineRule="auto"/>
              <w:jc w:val="left"/>
              <w:textAlignment w:val="center"/>
              <w:rPr>
                <w:rFonts w:hint="eastAsia" w:ascii="宋体" w:hAnsi="宋体" w:eastAsia="宋体" w:cs="宋体"/>
                <w:color w:val="0000FF"/>
                <w:sz w:val="21"/>
                <w:szCs w:val="21"/>
                <w:lang w:eastAsia="zh-CN" w:bidi="ar"/>
              </w:rPr>
            </w:pPr>
            <w:r>
              <w:rPr>
                <w:rFonts w:hint="eastAsia" w:ascii="宋体" w:hAnsi="宋体" w:eastAsia="宋体" w:cs="宋体"/>
                <w:color w:val="0000FF"/>
                <w:sz w:val="21"/>
                <w:szCs w:val="21"/>
                <w:lang w:eastAsia="zh-CN" w:bidi="ar"/>
              </w:rPr>
              <w:t>（4）差：样品材质和工艺质量差，且制作工艺和设计不合理精美，不能满足采购人实际需求的不加分。</w:t>
            </w:r>
          </w:p>
          <w:p>
            <w:pPr>
              <w:keepNext w:val="0"/>
              <w:keepLines w:val="0"/>
              <w:pageBreakBefore w:val="0"/>
              <w:widowControl/>
              <w:kinsoku/>
              <w:wordWrap w:val="0"/>
              <w:overflowPunct/>
              <w:topLinePunct w:val="0"/>
              <w:autoSpaceDE/>
              <w:autoSpaceDN/>
              <w:bidi w:val="0"/>
              <w:adjustRightInd/>
              <w:snapToGrid/>
              <w:spacing w:line="288" w:lineRule="auto"/>
              <w:jc w:val="center"/>
              <w:textAlignment w:val="top"/>
              <w:rPr>
                <w:rFonts w:hint="eastAsia" w:ascii="宋体" w:hAnsi="宋体" w:cs="宋体"/>
                <w:kern w:val="0"/>
                <w:szCs w:val="21"/>
                <w:lang w:val="en-US" w:eastAsia="zh-CN" w:bidi="ar"/>
              </w:rPr>
            </w:pPr>
            <w:r>
              <w:rPr>
                <w:rFonts w:hint="eastAsia" w:ascii="宋体" w:hAnsi="宋体" w:eastAsia="宋体" w:cs="宋体"/>
                <w:b/>
                <w:bCs/>
                <w:color w:val="0000FF"/>
                <w:sz w:val="21"/>
                <w:szCs w:val="21"/>
                <w:lang w:eastAsia="zh-CN" w:bidi="ar"/>
              </w:rPr>
              <w:t>以上2项得分累计，最高得100分。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商务</w:t>
            </w:r>
            <w:r>
              <w:rPr>
                <w:rFonts w:hint="eastAsia" w:ascii="宋体" w:hAnsi="宋体" w:cs="宋体"/>
                <w:b/>
                <w:bCs/>
                <w:color w:val="0000FF"/>
                <w:kern w:val="0"/>
                <w:sz w:val="24"/>
                <w:lang w:bidi="ar"/>
              </w:rPr>
              <w:t>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Theme="minorEastAsia"/>
                <w:b/>
                <w:bCs/>
                <w:color w:val="0000FF"/>
                <w:sz w:val="24"/>
                <w:lang w:val="en-US" w:eastAsia="zh-CN"/>
              </w:rPr>
            </w:pPr>
            <w:r>
              <w:rPr>
                <w:rFonts w:hint="eastAsia"/>
                <w:b/>
                <w:bCs/>
                <w:color w:val="0000FF"/>
                <w:sz w:val="24"/>
                <w:lang w:val="en-US" w:eastAsia="zh-CN"/>
              </w:rPr>
              <w:t>11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eastAsiaTheme="minorEastAsia"/>
                <w:szCs w:val="21"/>
                <w:lang w:val="en-US" w:eastAsia="zh-CN"/>
              </w:rPr>
            </w:pPr>
            <w:r>
              <w:rPr>
                <w:rFonts w:hint="eastAsia"/>
                <w:szCs w:val="21"/>
                <w:lang w:val="en-US" w:eastAsia="zh-CN"/>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 w:val="21"/>
                <w:szCs w:val="21"/>
                <w:lang w:bidi="ar"/>
              </w:rPr>
              <w:t>经验评价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szCs w:val="21"/>
                <w:lang w:eastAsia="zh-CN"/>
              </w:rPr>
            </w:pPr>
            <w:r>
              <w:rPr>
                <w:rFonts w:hint="eastAsia" w:ascii="宋体" w:hAnsi="宋体" w:eastAsia="宋体" w:cs="宋体"/>
                <w:kern w:val="0"/>
                <w:sz w:val="21"/>
                <w:szCs w:val="21"/>
                <w:lang w:val="en-US" w:eastAsia="zh-CN" w:bidi="ar"/>
              </w:rPr>
              <w:t>4</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jc w:val="left"/>
              <w:textAlignment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一、评审内容：</w:t>
            </w:r>
          </w:p>
          <w:p>
            <w:pPr>
              <w:pStyle w:val="10"/>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2022年1月1日（以合同签订日期为准）以后</w:t>
            </w:r>
            <w:r>
              <w:rPr>
                <w:rFonts w:hint="eastAsia" w:ascii="宋体" w:hAnsi="宋体" w:eastAsia="宋体" w:cs="宋体"/>
                <w:kern w:val="0"/>
                <w:sz w:val="21"/>
                <w:szCs w:val="21"/>
                <w:lang w:val="en-US" w:eastAsia="zh-CN" w:bidi="ar"/>
              </w:rPr>
              <w:t>：</w:t>
            </w:r>
          </w:p>
          <w:p>
            <w:pPr>
              <w:pStyle w:val="10"/>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投标人具有与本项目</w:t>
            </w:r>
            <w:r>
              <w:rPr>
                <w:rFonts w:hint="eastAsia" w:ascii="宋体" w:hAnsi="宋体" w:eastAsia="宋体" w:cs="宋体"/>
                <w:b/>
                <w:bCs/>
                <w:kern w:val="0"/>
                <w:sz w:val="21"/>
                <w:szCs w:val="21"/>
                <w:lang w:bidi="ar"/>
              </w:rPr>
              <w:t>同类（课桌椅类）项目</w:t>
            </w:r>
            <w:r>
              <w:rPr>
                <w:rFonts w:hint="eastAsia" w:ascii="宋体" w:hAnsi="宋体" w:eastAsia="宋体" w:cs="宋体"/>
                <w:kern w:val="0"/>
                <w:sz w:val="21"/>
                <w:szCs w:val="21"/>
                <w:lang w:bidi="ar"/>
              </w:rPr>
              <w:t>经验，且履约评价为优或满意（或同等评价），每提供一个得</w:t>
            </w:r>
            <w:r>
              <w:rPr>
                <w:rFonts w:hint="eastAsia" w:ascii="宋体" w:hAnsi="宋体" w:eastAsia="宋体" w:cs="宋体"/>
                <w:kern w:val="0"/>
                <w:sz w:val="21"/>
                <w:szCs w:val="21"/>
                <w:lang w:val="en-US" w:eastAsia="zh-CN" w:bidi="ar"/>
              </w:rPr>
              <w:t>25</w:t>
            </w:r>
            <w:r>
              <w:rPr>
                <w:rFonts w:hint="eastAsia" w:ascii="宋体" w:hAnsi="宋体" w:eastAsia="宋体" w:cs="宋体"/>
                <w:kern w:val="0"/>
                <w:sz w:val="21"/>
                <w:szCs w:val="21"/>
                <w:lang w:eastAsia="zh-CN" w:bidi="ar"/>
              </w:rPr>
              <w:t>分</w:t>
            </w:r>
            <w:r>
              <w:rPr>
                <w:rFonts w:hint="eastAsia" w:ascii="宋体" w:hAnsi="宋体" w:eastAsia="宋体" w:cs="宋体"/>
                <w:kern w:val="0"/>
                <w:sz w:val="21"/>
                <w:szCs w:val="21"/>
                <w:lang w:bidi="ar"/>
              </w:rPr>
              <w:t>，最高得100分。</w:t>
            </w:r>
          </w:p>
          <w:p>
            <w:pPr>
              <w:pStyle w:val="10"/>
              <w:rPr>
                <w:rFonts w:hint="eastAsia" w:ascii="宋体" w:hAnsi="宋体" w:eastAsia="宋体" w:cs="宋体"/>
                <w:color w:val="0000FF"/>
                <w:kern w:val="0"/>
                <w:sz w:val="21"/>
                <w:szCs w:val="21"/>
                <w:lang w:bidi="ar"/>
              </w:rPr>
            </w:pPr>
            <w:r>
              <w:rPr>
                <w:rFonts w:hint="eastAsia" w:ascii="宋体" w:hAnsi="宋体" w:eastAsia="宋体" w:cs="宋体"/>
                <w:b/>
                <w:bCs/>
                <w:color w:val="0000FF"/>
                <w:sz w:val="21"/>
                <w:szCs w:val="21"/>
                <w:highlight w:val="none"/>
                <w:lang w:eastAsia="zh-CN"/>
              </w:rPr>
              <w:t>二、评审依据</w:t>
            </w:r>
            <w:r>
              <w:rPr>
                <w:rFonts w:hint="eastAsia" w:ascii="宋体" w:hAnsi="宋体" w:eastAsia="宋体" w:cs="宋体"/>
                <w:color w:val="0000FF"/>
                <w:kern w:val="0"/>
                <w:sz w:val="21"/>
                <w:szCs w:val="21"/>
                <w:lang w:bidi="ar"/>
              </w:rPr>
              <w:t>：</w:t>
            </w:r>
          </w:p>
          <w:p>
            <w:pPr>
              <w:numPr>
                <w:ilvl w:val="0"/>
                <w:numId w:val="3"/>
              </w:numPr>
              <w:rPr>
                <w:rFonts w:hint="eastAsia" w:ascii="宋体" w:hAnsi="宋体" w:eastAsia="宋体" w:cs="宋体"/>
              </w:rPr>
            </w:pPr>
            <w:r>
              <w:rPr>
                <w:rFonts w:hint="eastAsia" w:ascii="宋体" w:hAnsi="宋体" w:eastAsia="宋体" w:cs="宋体"/>
              </w:rPr>
              <w:t>投标人同时提供：</w:t>
            </w:r>
          </w:p>
          <w:p>
            <w:pPr>
              <w:numPr>
                <w:ilvl w:val="0"/>
                <w:numId w:val="0"/>
              </w:numPr>
              <w:rPr>
                <w:rFonts w:hint="eastAsia" w:ascii="宋体" w:hAnsi="宋体" w:eastAsia="宋体" w:cs="宋体"/>
              </w:rPr>
            </w:pPr>
            <w:r>
              <w:rPr>
                <w:rFonts w:hint="eastAsia" w:ascii="宋体" w:hAnsi="宋体" w:eastAsia="宋体" w:cs="宋体"/>
              </w:rPr>
              <w:t>①合同关键页（内容至少包括合同首页、合同签约主体名称、采购内容页、与含签订合同双方的落款盖章、签订日期的关键页）扫描件；</w:t>
            </w:r>
          </w:p>
          <w:p>
            <w:pPr>
              <w:numPr>
                <w:ilvl w:val="0"/>
                <w:numId w:val="0"/>
              </w:numPr>
              <w:rPr>
                <w:rFonts w:hint="eastAsia" w:ascii="宋体" w:hAnsi="宋体" w:eastAsia="宋体" w:cs="宋体"/>
                <w:highlight w:val="none"/>
              </w:rPr>
            </w:pPr>
            <w:r>
              <w:rPr>
                <w:rFonts w:hint="eastAsia" w:ascii="宋体" w:hAnsi="宋体" w:eastAsia="宋体" w:cs="宋体"/>
              </w:rPr>
              <w:t>②设备配置清单扫描件</w:t>
            </w:r>
            <w:r>
              <w:rPr>
                <w:rFonts w:hint="eastAsia" w:ascii="宋体" w:hAnsi="宋体" w:eastAsia="宋体" w:cs="宋体"/>
                <w:highlight w:val="none"/>
              </w:rPr>
              <w:t>；</w:t>
            </w:r>
          </w:p>
          <w:p>
            <w:pPr>
              <w:numPr>
                <w:ilvl w:val="0"/>
                <w:numId w:val="0"/>
              </w:numPr>
              <w:rPr>
                <w:rFonts w:hint="eastAsia" w:ascii="宋体" w:hAnsi="宋体" w:eastAsia="宋体" w:cs="宋体"/>
                <w:highlight w:val="none"/>
                <w:lang w:eastAsia="zh-CN"/>
              </w:rPr>
            </w:pPr>
            <w:r>
              <w:rPr>
                <w:rFonts w:hint="eastAsia" w:ascii="宋体" w:hAnsi="宋体" w:eastAsia="宋体" w:cs="宋体"/>
                <w:highlight w:val="none"/>
              </w:rPr>
              <w:t>③验收报告</w:t>
            </w:r>
            <w:r>
              <w:rPr>
                <w:rFonts w:hint="eastAsia" w:ascii="宋体" w:hAnsi="宋体" w:eastAsia="宋体" w:cs="宋体"/>
                <w:highlight w:val="none"/>
                <w:lang w:val="en-US" w:eastAsia="zh-CN"/>
              </w:rPr>
              <w:t>或</w:t>
            </w:r>
            <w:r>
              <w:rPr>
                <w:rFonts w:hint="eastAsia" w:ascii="宋体" w:hAnsi="宋体" w:eastAsia="宋体" w:cs="宋体"/>
                <w:highlight w:val="none"/>
              </w:rPr>
              <w:t>履约评价证明</w:t>
            </w:r>
            <w:r>
              <w:rPr>
                <w:rFonts w:hint="eastAsia" w:ascii="宋体" w:hAnsi="宋体" w:eastAsia="宋体" w:cs="宋体"/>
                <w:highlight w:val="none"/>
                <w:lang w:eastAsia="zh-CN"/>
              </w:rPr>
              <w:t>，</w:t>
            </w:r>
            <w:r>
              <w:rPr>
                <w:rFonts w:hint="eastAsia" w:ascii="宋体" w:hAnsi="宋体" w:eastAsia="宋体" w:cs="宋体"/>
              </w:rPr>
              <w:t>需加盖合同甲方（合同相对方）公章（或业务章）</w:t>
            </w:r>
            <w:r>
              <w:rPr>
                <w:rFonts w:hint="eastAsia" w:ascii="宋体" w:hAnsi="宋体" w:eastAsia="宋体" w:cs="宋体"/>
                <w:lang w:eastAsia="zh-CN"/>
              </w:rPr>
              <w:t>。</w:t>
            </w:r>
          </w:p>
          <w:p>
            <w:pPr>
              <w:pStyle w:val="10"/>
              <w:rPr>
                <w:rFonts w:hint="eastAsia" w:ascii="宋体" w:hAnsi="宋体" w:eastAsia="宋体" w:cs="宋体"/>
                <w:szCs w:val="21"/>
              </w:rPr>
            </w:pPr>
            <w:r>
              <w:rPr>
                <w:rFonts w:hint="eastAsia" w:ascii="宋体" w:hAnsi="宋体" w:eastAsia="宋体" w:cs="宋体"/>
              </w:rPr>
              <w:t>2、未按要求提供证明材料（或证明材料无法判断是否符合评分要求）的不得分，原件备查。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szCs w:val="21"/>
                <w:lang w:val="en-US" w:eastAsia="zh-CN"/>
              </w:rPr>
            </w:pPr>
            <w:r>
              <w:rPr>
                <w:rFonts w:hint="eastAsia"/>
                <w:szCs w:val="21"/>
                <w:lang w:val="en-US" w:eastAsia="zh-CN"/>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sz w:val="21"/>
                <w:szCs w:val="21"/>
                <w:lang w:eastAsia="zh-CN"/>
              </w:rPr>
              <w:t>产品质量评价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bidi="ar"/>
              </w:rPr>
              <w:t>7</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jc w:val="left"/>
              <w:textAlignment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一、评审内容：</w:t>
            </w:r>
          </w:p>
          <w:p>
            <w:pPr>
              <w:keepNext w:val="0"/>
              <w:keepLines w:val="0"/>
              <w:pageBreakBefore w:val="0"/>
              <w:widowControl/>
              <w:kinsoku/>
              <w:wordWrap/>
              <w:overflowPunct/>
              <w:topLinePunct w:val="0"/>
              <w:autoSpaceDE/>
              <w:autoSpaceDN/>
              <w:bidi w:val="0"/>
              <w:adjustRightInd/>
              <w:snapToGrid/>
              <w:spacing w:line="288" w:lineRule="auto"/>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投标人所投产品具有以下认证证书，每提供一个得 50分，最高得100分： </w:t>
            </w:r>
          </w:p>
          <w:p>
            <w:pPr>
              <w:keepNext w:val="0"/>
              <w:keepLines w:val="0"/>
              <w:pageBreakBefore w:val="0"/>
              <w:widowControl/>
              <w:kinsoku/>
              <w:wordWrap/>
              <w:overflowPunct/>
              <w:topLinePunct w:val="0"/>
              <w:autoSpaceDE/>
              <w:autoSpaceDN/>
              <w:bidi w:val="0"/>
              <w:adjustRightInd/>
              <w:snapToGrid/>
              <w:spacing w:line="288" w:lineRule="auto"/>
              <w:jc w:val="left"/>
              <w:textAlignment w:val="center"/>
              <w:rPr>
                <w:rFonts w:hint="eastAsia" w:ascii="宋体" w:hAnsi="宋体" w:eastAsia="宋体" w:cs="宋体"/>
                <w:b/>
                <w:bCs/>
                <w:sz w:val="21"/>
                <w:szCs w:val="21"/>
                <w:highlight w:val="none"/>
                <w:lang w:eastAsia="zh-CN"/>
              </w:rPr>
            </w:pPr>
            <w:r>
              <w:rPr>
                <w:rFonts w:hint="eastAsia" w:ascii="宋体" w:hAnsi="宋体" w:eastAsia="宋体" w:cs="宋体"/>
                <w:b/>
                <w:bCs/>
                <w:sz w:val="21"/>
                <w:szCs w:val="21"/>
                <w:highlight w:val="none"/>
                <w:lang w:eastAsia="zh-CN"/>
              </w:rPr>
              <w:t xml:space="preserve">1.CQC中国环保产品认证证书（认证范围需包含塑料教学家具、金属教室家具相关内容）； </w:t>
            </w:r>
          </w:p>
          <w:p>
            <w:pPr>
              <w:keepNext w:val="0"/>
              <w:keepLines w:val="0"/>
              <w:pageBreakBefore w:val="0"/>
              <w:widowControl/>
              <w:kinsoku/>
              <w:wordWrap/>
              <w:overflowPunct/>
              <w:topLinePunct w:val="0"/>
              <w:autoSpaceDE/>
              <w:autoSpaceDN/>
              <w:bidi w:val="0"/>
              <w:adjustRightInd/>
              <w:snapToGrid/>
              <w:spacing w:line="288" w:lineRule="auto"/>
              <w:jc w:val="left"/>
              <w:textAlignment w:val="center"/>
              <w:rPr>
                <w:rFonts w:hint="eastAsia" w:ascii="宋体" w:hAnsi="宋体" w:eastAsia="宋体" w:cs="宋体"/>
                <w:b/>
                <w:bCs/>
                <w:sz w:val="21"/>
                <w:szCs w:val="21"/>
                <w:highlight w:val="none"/>
                <w:lang w:eastAsia="zh-CN"/>
              </w:rPr>
            </w:pPr>
            <w:r>
              <w:rPr>
                <w:rFonts w:hint="eastAsia" w:ascii="宋体" w:hAnsi="宋体" w:eastAsia="宋体" w:cs="宋体"/>
                <w:b/>
                <w:bCs/>
                <w:sz w:val="21"/>
                <w:szCs w:val="21"/>
                <w:highlight w:val="none"/>
                <w:lang w:eastAsia="zh-CN"/>
              </w:rPr>
              <w:t xml:space="preserve">2.中国绿色产品认证证书（认证范围需包含金属家具、塑料家具相关内容）。 </w:t>
            </w:r>
          </w:p>
          <w:p>
            <w:pPr>
              <w:keepNext w:val="0"/>
              <w:keepLines w:val="0"/>
              <w:pageBreakBefore w:val="0"/>
              <w:widowControl/>
              <w:kinsoku/>
              <w:wordWrap/>
              <w:overflowPunct/>
              <w:topLinePunct w:val="0"/>
              <w:autoSpaceDE/>
              <w:autoSpaceDN/>
              <w:bidi w:val="0"/>
              <w:adjustRightInd/>
              <w:snapToGrid/>
              <w:spacing w:line="288" w:lineRule="auto"/>
              <w:jc w:val="left"/>
              <w:textAlignment w:val="center"/>
              <w:rPr>
                <w:rFonts w:hint="eastAsia" w:ascii="宋体" w:hAnsi="宋体" w:eastAsia="宋体" w:cs="宋体"/>
                <w:b/>
                <w:bCs/>
                <w:color w:val="0000FF"/>
                <w:sz w:val="21"/>
                <w:szCs w:val="21"/>
                <w:highlight w:val="none"/>
                <w:lang w:eastAsia="zh-CN"/>
              </w:rPr>
            </w:pPr>
            <w:r>
              <w:rPr>
                <w:rFonts w:hint="eastAsia" w:ascii="宋体" w:hAnsi="宋体" w:eastAsia="宋体" w:cs="宋体"/>
                <w:b/>
                <w:bCs/>
                <w:color w:val="0000FF"/>
                <w:sz w:val="21"/>
                <w:szCs w:val="21"/>
                <w:highlight w:val="none"/>
                <w:lang w:eastAsia="zh-CN"/>
              </w:rPr>
              <w:t xml:space="preserve">二、评审依据： </w:t>
            </w:r>
          </w:p>
          <w:p>
            <w:pPr>
              <w:keepNext w:val="0"/>
              <w:keepLines w:val="0"/>
              <w:pageBreakBefore w:val="0"/>
              <w:widowControl/>
              <w:kinsoku/>
              <w:wordWrap/>
              <w:overflowPunct/>
              <w:topLinePunct w:val="0"/>
              <w:autoSpaceDE/>
              <w:autoSpaceDN/>
              <w:bidi w:val="0"/>
              <w:adjustRightInd/>
              <w:snapToGrid/>
              <w:spacing w:line="288" w:lineRule="auto"/>
              <w:jc w:val="left"/>
              <w:textAlignment w:val="center"/>
              <w:rPr>
                <w:rFonts w:hint="eastAsia" w:ascii="宋体" w:hAnsi="宋体" w:eastAsia="宋体" w:cs="宋体"/>
                <w:color w:val="0000FF"/>
                <w:sz w:val="21"/>
                <w:szCs w:val="21"/>
                <w:lang w:eastAsia="zh-CN"/>
              </w:rPr>
            </w:pPr>
            <w:r>
              <w:rPr>
                <w:rFonts w:hint="eastAsia" w:ascii="宋体" w:hAnsi="宋体" w:eastAsia="宋体" w:cs="宋体"/>
                <w:color w:val="0000FF"/>
                <w:sz w:val="21"/>
                <w:szCs w:val="21"/>
                <w:highlight w:val="none"/>
                <w:lang w:eastAsia="zh-CN"/>
              </w:rPr>
              <w:t>提供相关认证机构颁发的有效期内的认证证书扫描件及认证信息查询截图（截图需显示证书状态为有效）。说</w:t>
            </w:r>
            <w:r>
              <w:rPr>
                <w:rFonts w:hint="eastAsia" w:ascii="宋体" w:hAnsi="宋体" w:eastAsia="宋体" w:cs="宋体"/>
                <w:color w:val="0000FF"/>
                <w:sz w:val="21"/>
                <w:szCs w:val="21"/>
                <w:lang w:eastAsia="zh-CN"/>
              </w:rPr>
              <w:t>明：</w:t>
            </w:r>
          </w:p>
          <w:p>
            <w:pPr>
              <w:keepNext w:val="0"/>
              <w:keepLines w:val="0"/>
              <w:pageBreakBefore w:val="0"/>
              <w:widowControl/>
              <w:numPr>
                <w:ilvl w:val="0"/>
                <w:numId w:val="4"/>
              </w:numPr>
              <w:kinsoku/>
              <w:wordWrap/>
              <w:overflowPunct/>
              <w:topLinePunct w:val="0"/>
              <w:autoSpaceDE/>
              <w:autoSpaceDN/>
              <w:bidi w:val="0"/>
              <w:adjustRightInd/>
              <w:snapToGrid/>
              <w:spacing w:line="288" w:lineRule="auto"/>
              <w:ind w:left="0" w:leftChars="0" w:firstLine="0" w:firstLineChars="0"/>
              <w:jc w:val="left"/>
              <w:textAlignment w:val="center"/>
              <w:rPr>
                <w:rFonts w:hint="eastAsia" w:ascii="宋体" w:hAnsi="宋体" w:eastAsia="宋体" w:cs="宋体"/>
                <w:color w:val="0000FF"/>
                <w:sz w:val="21"/>
                <w:szCs w:val="21"/>
                <w:lang w:eastAsia="zh-CN"/>
              </w:rPr>
            </w:pPr>
            <w:r>
              <w:rPr>
                <w:rFonts w:hint="eastAsia" w:ascii="宋体" w:hAnsi="宋体" w:eastAsia="宋体" w:cs="宋体"/>
                <w:color w:val="0000FF"/>
                <w:sz w:val="21"/>
                <w:szCs w:val="21"/>
                <w:lang w:eastAsia="zh-CN"/>
              </w:rPr>
              <w:t>证书与查询信息截图必须同时提供，缺一不可。未同时提供的不得分，后果由投标人自行承担。</w:t>
            </w:r>
          </w:p>
          <w:p>
            <w:pPr>
              <w:keepNext w:val="0"/>
              <w:keepLines w:val="0"/>
              <w:pageBreakBefore w:val="0"/>
              <w:widowControl/>
              <w:numPr>
                <w:ilvl w:val="0"/>
                <w:numId w:val="4"/>
              </w:numPr>
              <w:kinsoku/>
              <w:wordWrap/>
              <w:overflowPunct/>
              <w:topLinePunct w:val="0"/>
              <w:autoSpaceDE/>
              <w:autoSpaceDN/>
              <w:bidi w:val="0"/>
              <w:adjustRightInd/>
              <w:snapToGrid/>
              <w:spacing w:line="288" w:lineRule="auto"/>
              <w:ind w:left="0" w:leftChars="0" w:firstLine="0" w:firstLineChars="0"/>
              <w:jc w:val="left"/>
              <w:textAlignment w:val="center"/>
              <w:rPr>
                <w:rFonts w:hint="eastAsia" w:ascii="宋体" w:hAnsi="宋体" w:eastAsia="宋体" w:cs="宋体"/>
                <w:color w:val="0000FF"/>
                <w:sz w:val="21"/>
                <w:szCs w:val="21"/>
                <w:lang w:eastAsia="zh-CN"/>
              </w:rPr>
            </w:pPr>
            <w:r>
              <w:rPr>
                <w:rFonts w:hint="eastAsia" w:ascii="宋体" w:hAnsi="宋体" w:eastAsia="宋体" w:cs="宋体"/>
                <w:color w:val="0000FF"/>
                <w:sz w:val="21"/>
                <w:szCs w:val="21"/>
                <w:lang w:eastAsia="zh-CN"/>
              </w:rPr>
              <w:t>投标人应确保认证证书在开标当天仍处于有效状态，并对所提供的证书及查询截图的真实性负责，如出现与事实不符的情形，视同隐瞒真实情况，提供虚假资料，将依法承担相应的法律责任。</w:t>
            </w:r>
          </w:p>
          <w:p>
            <w:pPr>
              <w:keepNext w:val="0"/>
              <w:keepLines w:val="0"/>
              <w:pageBreakBefore w:val="0"/>
              <w:widowControl/>
              <w:numPr>
                <w:ilvl w:val="0"/>
                <w:numId w:val="4"/>
              </w:numPr>
              <w:kinsoku/>
              <w:wordWrap/>
              <w:overflowPunct/>
              <w:topLinePunct w:val="0"/>
              <w:autoSpaceDE/>
              <w:autoSpaceDN/>
              <w:bidi w:val="0"/>
              <w:adjustRightInd/>
              <w:snapToGrid/>
              <w:spacing w:line="288" w:lineRule="auto"/>
              <w:ind w:left="0" w:leftChars="0" w:firstLine="0" w:firstLineChars="0"/>
              <w:jc w:val="left"/>
              <w:textAlignment w:val="center"/>
              <w:rPr>
                <w:rFonts w:hint="eastAsia" w:ascii="宋体" w:hAnsi="宋体" w:eastAsia="宋体" w:cs="宋体"/>
              </w:rPr>
            </w:pPr>
            <w:r>
              <w:rPr>
                <w:rFonts w:hint="eastAsia" w:ascii="宋体" w:hAnsi="宋体" w:eastAsia="宋体" w:cs="宋体"/>
                <w:b w:val="0"/>
                <w:bCs w:val="0"/>
                <w:color w:val="0000FF"/>
                <w:sz w:val="21"/>
                <w:szCs w:val="21"/>
                <w:lang w:eastAsia="zh-CN"/>
              </w:rPr>
              <w:t>质疑投诉处理中对证书是否有效的认定，以国家认监委网站【全国认证认可信息公共服务平台（</w:t>
            </w:r>
            <w:r>
              <w:rPr>
                <w:rFonts w:hint="eastAsia" w:ascii="宋体" w:hAnsi="宋体" w:eastAsia="宋体" w:cs="宋体"/>
                <w:color w:val="0000FF"/>
                <w:sz w:val="21"/>
                <w:szCs w:val="21"/>
                <w:lang w:eastAsia="zh-CN"/>
              </w:rPr>
              <w:t>//cx.cnca.cn）】查询结果为准。未按要求提供相关材料或不清晰导致无法判断内容的不得分，原件备查。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eastAsia="zh-CN"/>
              </w:rPr>
            </w:pPr>
            <w:r>
              <w:rPr>
                <w:rFonts w:hint="eastAsia" w:ascii="宋体" w:hAnsi="宋体" w:cs="宋体"/>
                <w:b/>
                <w:bCs/>
                <w:color w:val="0000FF"/>
                <w:kern w:val="0"/>
                <w:sz w:val="24"/>
                <w:lang w:val="en-US" w:eastAsia="zh-CN"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宋体"/>
                <w:b/>
                <w:bCs/>
                <w:color w:val="0000FF"/>
                <w:sz w:val="24"/>
                <w:lang w:val="en-US" w:eastAsia="zh-CN"/>
              </w:rPr>
            </w:pPr>
            <w:r>
              <w:rPr>
                <w:rFonts w:hint="eastAsia"/>
                <w:b/>
                <w:bCs/>
                <w:color w:val="0000FF"/>
                <w:sz w:val="24"/>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 w:val="21"/>
                <w:szCs w:val="21"/>
              </w:rPr>
            </w:pPr>
            <w:r>
              <w:rPr>
                <w:rFonts w:hint="eastAsia" w:ascii="宋体" w:hAnsi="宋体" w:eastAsia="宋体" w:cs="宋体"/>
                <w:sz w:val="21"/>
                <w:szCs w:val="21"/>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 w:val="21"/>
                <w:szCs w:val="21"/>
              </w:rPr>
            </w:pPr>
            <w:r>
              <w:rPr>
                <w:rFonts w:hint="eastAsia" w:ascii="宋体" w:hAnsi="宋体" w:eastAsia="宋体" w:cs="宋体"/>
                <w:sz w:val="21"/>
                <w:szCs w:val="21"/>
                <w:lang w:val="en-US" w:eastAsia="zh-CN"/>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pStyle w:val="7"/>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宋体" w:hAnsi="宋体" w:eastAsia="宋体" w:cs="宋体"/>
                <w:b w:val="0"/>
                <w:bCs w:val="0"/>
                <w:sz w:val="21"/>
                <w:szCs w:val="21"/>
                <w:lang w:val="en-US" w:eastAsia="zh-CN"/>
              </w:rPr>
              <w:t>有关</w:t>
            </w:r>
            <w:r>
              <w:rPr>
                <w:rFonts w:hint="eastAsia" w:ascii="宋体" w:hAnsi="宋体" w:eastAsia="宋体" w:cs="宋体"/>
                <w:b w:val="0"/>
                <w:bCs w:val="0"/>
                <w:sz w:val="21"/>
                <w:szCs w:val="21"/>
              </w:rPr>
              <w:t>供应商诚信查询结果。</w:t>
            </w:r>
          </w:p>
          <w:p>
            <w:pPr>
              <w:pStyle w:val="7"/>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p>
      <w:pPr>
        <w:pStyle w:val="8"/>
        <w:rPr>
          <w:ins w:id="0" w:author="苏艺" w:date="2024-05-12T09:35:07Z"/>
        </w:rPr>
      </w:pPr>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rFonts w:hint="eastAsia" w:eastAsiaTheme="minorEastAsia"/>
          <w:b/>
          <w:sz w:val="120"/>
          <w:szCs w:val="120"/>
          <w:lang w:eastAsia="zh-CN"/>
        </w:rPr>
      </w:pPr>
      <w:r>
        <w:rPr>
          <w:rFonts w:hint="eastAsia"/>
          <w:b/>
          <w:sz w:val="120"/>
          <w:szCs w:val="120"/>
          <w:lang w:eastAsia="zh-CN"/>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3"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pPr>
        <w:widowControl/>
        <w:jc w:val="center"/>
      </w:pPr>
    </w:p>
    <w:p>
      <w:pPr>
        <w:widowControl/>
        <w:jc w:val="center"/>
      </w:pPr>
      <w:r>
        <w:br w:type="page"/>
      </w:r>
    </w:p>
    <w:p>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rPr>
          <w:rFonts w:hint="eastAsia"/>
        </w:rPr>
      </w:pPr>
      <w:r>
        <w:rPr>
          <w:rFonts w:hint="eastAsia"/>
        </w:rPr>
        <w:t>第十一章  质疑处理</w:t>
      </w:r>
    </w:p>
    <w:p>
      <w:pPr>
        <w:pStyle w:val="7"/>
        <w:rPr>
          <w:rFonts w:hint="eastAsia"/>
        </w:rPr>
      </w:pPr>
    </w:p>
    <w:p>
      <w:pPr>
        <w:pStyle w:val="8"/>
        <w:rPr>
          <w:rFonts w:hint="eastAsia"/>
        </w:rPr>
      </w:pPr>
    </w:p>
    <w:p>
      <w:pPr>
        <w:pStyle w:val="8"/>
        <w:rPr>
          <w:rFonts w:hint="eastAsia"/>
        </w:rPr>
      </w:pPr>
    </w:p>
    <w:p>
      <w:pPr>
        <w:pStyle w:val="7"/>
        <w:rPr>
          <w:rFonts w:hint="eastAsia"/>
        </w:rPr>
        <w:sectPr>
          <w:pgSz w:w="11907" w:h="16840"/>
          <w:pgMar w:top="1440" w:right="1797" w:bottom="1440" w:left="1797" w:header="851" w:footer="992" w:gutter="0"/>
          <w:cols w:space="425" w:num="1"/>
          <w:titlePg/>
          <w:docGrid w:linePitch="462" w:charSpace="0"/>
        </w:sectPr>
      </w:pPr>
    </w:p>
    <w:bookmarkEnd w:id="4"/>
    <w:p>
      <w:pPr>
        <w:pStyle w:val="2"/>
        <w:jc w:val="center"/>
        <w:rPr>
          <w:color w:val="FF0000"/>
          <w:sz w:val="24"/>
        </w:rPr>
      </w:pPr>
      <w:bookmarkStart w:id="6" w:name="bt其他资料2"/>
      <w:bookmarkEnd w:id="6"/>
      <w:bookmarkStart w:id="7" w:name="bt商务标投标文件格式"/>
      <w:bookmarkEnd w:id="7"/>
      <w:bookmarkStart w:id="8" w:name="合同格式"/>
      <w:bookmarkEnd w:id="8"/>
      <w:bookmarkStart w:id="9" w:name="bt合同格式"/>
      <w:bookmarkEnd w:id="9"/>
      <w:bookmarkStart w:id="10" w:name="bt投标人须知"/>
      <w:bookmarkEnd w:id="10"/>
      <w:bookmarkStart w:id="11" w:name="bt项目管理班子配备情况"/>
      <w:bookmarkEnd w:id="11"/>
      <w:bookmarkStart w:id="12" w:name="bt合同条款及格式"/>
      <w:bookmarkEnd w:id="12"/>
      <w:bookmarkStart w:id="13" w:name="bt合同条款"/>
      <w:bookmarkEnd w:id="13"/>
      <w:bookmarkStart w:id="14" w:name="bt开标一览表"/>
      <w:bookmarkEnd w:id="14"/>
      <w:bookmarkStart w:id="15" w:name="bt投标文件签署授权委托书"/>
      <w:bookmarkEnd w:id="15"/>
      <w:bookmarkStart w:id="16" w:name="bt投标人情况介绍"/>
      <w:bookmarkEnd w:id="16"/>
      <w:bookmarkStart w:id="17" w:name="bt技术标投标文件格式"/>
      <w:bookmarkEnd w:id="17"/>
      <w:bookmarkStart w:id="18" w:name="bt说明"/>
      <w:bookmarkEnd w:id="18"/>
      <w:bookmarkStart w:id="19" w:name="bt投标报价汇总表"/>
      <w:bookmarkEnd w:id="19"/>
      <w:bookmarkStart w:id="20" w:name="bt投标函"/>
      <w:bookmarkEnd w:id="20"/>
      <w:bookmarkStart w:id="21" w:name="bt本工程承诺书"/>
      <w:bookmarkEnd w:id="21"/>
      <w:bookmarkStart w:id="22" w:name="bt其他资料由投标人自定"/>
      <w:bookmarkEnd w:id="22"/>
      <w:r>
        <w:rPr>
          <w:rFonts w:hint="eastAsia"/>
        </w:rPr>
        <w:t>第一册  专用条款</w:t>
      </w:r>
    </w:p>
    <w:p>
      <w:pPr>
        <w:pStyle w:val="5"/>
        <w:jc w:val="center"/>
        <w:rPr>
          <w:b/>
          <w:bCs/>
          <w:sz w:val="28"/>
          <w:szCs w:val="28"/>
        </w:rPr>
      </w:pPr>
      <w:r>
        <w:rPr>
          <w:rFonts w:hint="eastAsia"/>
          <w:b/>
          <w:bCs/>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highlight w:val="none"/>
          <w:lang w:eastAsia="zh-CN"/>
        </w:rPr>
      </w:pPr>
      <w:r>
        <w:rPr>
          <w:rFonts w:hint="eastAsia" w:ascii="宋体" w:hAnsi="宋体" w:cs="宋体"/>
          <w:kern w:val="0"/>
          <w:szCs w:val="21"/>
          <w:highlight w:val="none"/>
        </w:rPr>
        <w:t>1</w:t>
      </w:r>
      <w:r>
        <w:rPr>
          <w:rFonts w:ascii="宋体" w:hAnsi="宋体" w:cs="宋体"/>
          <w:kern w:val="0"/>
          <w:szCs w:val="21"/>
          <w:highlight w:val="none"/>
        </w:rPr>
        <w:t>.</w:t>
      </w:r>
      <w:r>
        <w:rPr>
          <w:rFonts w:hint="eastAsia" w:ascii="宋体" w:hAnsi="宋体" w:cs="宋体"/>
          <w:kern w:val="0"/>
          <w:szCs w:val="21"/>
          <w:highlight w:val="none"/>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highlight w:val="none"/>
        </w:rPr>
      </w:pPr>
      <w:r>
        <w:rPr>
          <w:rFonts w:hint="eastAsia" w:ascii="宋体" w:hAnsi="宋体" w:cs="宋体"/>
          <w:color w:val="FF0000"/>
          <w:kern w:val="0"/>
          <w:szCs w:val="21"/>
          <w:highlight w:val="none"/>
        </w:rPr>
        <w:t>2.本项目不接受联合体投标，不接受投标人选用进口产品参与投标（由供应商在《</w:t>
      </w:r>
      <w:r>
        <w:rPr>
          <w:rFonts w:hint="eastAsia" w:ascii="宋体" w:hAnsi="宋体" w:cs="宋体"/>
          <w:color w:val="FF0000"/>
          <w:kern w:val="0"/>
          <w:szCs w:val="21"/>
          <w:highlight w:val="none"/>
          <w:lang w:eastAsia="zh-CN"/>
        </w:rPr>
        <w:t>自行采购投标及履约承诺函</w:t>
      </w:r>
      <w:r>
        <w:rPr>
          <w:rFonts w:hint="eastAsia" w:ascii="宋体" w:hAnsi="宋体" w:cs="宋体"/>
          <w:color w:val="FF0000"/>
          <w:kern w:val="0"/>
          <w:szCs w:val="21"/>
          <w:highlight w:val="none"/>
        </w:rPr>
        <w:t>》中作出声明；</w:t>
      </w:r>
    </w:p>
    <w:p>
      <w:pPr>
        <w:ind w:firstLine="420" w:firstLineChars="200"/>
        <w:rPr>
          <w:rFonts w:ascii="宋体" w:hAnsi="宋体" w:cs="宋体"/>
          <w:kern w:val="0"/>
          <w:szCs w:val="21"/>
          <w:highlight w:val="none"/>
        </w:rPr>
      </w:pPr>
      <w:r>
        <w:rPr>
          <w:rFonts w:hint="eastAsia" w:ascii="宋体" w:hAnsi="宋体" w:cs="宋体"/>
          <w:kern w:val="0"/>
          <w:szCs w:val="21"/>
          <w:highlight w:val="none"/>
        </w:rPr>
        <w:t>3</w:t>
      </w:r>
      <w:r>
        <w:rPr>
          <w:rFonts w:ascii="宋体" w:hAnsi="宋体" w:cs="宋体"/>
          <w:kern w:val="0"/>
          <w:szCs w:val="21"/>
          <w:highlight w:val="none"/>
        </w:rPr>
        <w:t>.</w:t>
      </w:r>
      <w:r>
        <w:rPr>
          <w:rFonts w:hint="eastAsia" w:ascii="宋体" w:hAnsi="宋体" w:cs="宋体"/>
          <w:kern w:val="0"/>
          <w:szCs w:val="21"/>
          <w:highlight w:val="none"/>
        </w:rPr>
        <w:t>参与本项目</w:t>
      </w:r>
      <w:r>
        <w:rPr>
          <w:rFonts w:hint="eastAsia" w:ascii="宋体" w:hAnsi="宋体" w:cs="宋体"/>
          <w:kern w:val="0"/>
          <w:szCs w:val="21"/>
          <w:highlight w:val="none"/>
          <w:lang w:eastAsia="zh-CN"/>
        </w:rPr>
        <w:t>政府采购（自行采购）</w:t>
      </w:r>
      <w:r>
        <w:rPr>
          <w:rFonts w:hint="eastAsia" w:ascii="宋体" w:hAnsi="宋体" w:cs="宋体"/>
          <w:kern w:val="0"/>
          <w:szCs w:val="21"/>
          <w:highlight w:val="none"/>
        </w:rPr>
        <w:t>活动时不存在被有关部门禁止参与</w:t>
      </w:r>
      <w:r>
        <w:rPr>
          <w:rFonts w:hint="eastAsia" w:ascii="宋体" w:hAnsi="宋体" w:cs="宋体"/>
          <w:kern w:val="0"/>
          <w:szCs w:val="21"/>
          <w:highlight w:val="none"/>
          <w:lang w:eastAsia="zh-CN"/>
        </w:rPr>
        <w:t>政府采购（自行采购）</w:t>
      </w:r>
      <w:r>
        <w:rPr>
          <w:rFonts w:hint="eastAsia" w:ascii="宋体" w:hAnsi="宋体" w:cs="宋体"/>
          <w:kern w:val="0"/>
          <w:szCs w:val="21"/>
          <w:highlight w:val="none"/>
        </w:rPr>
        <w:t>活动且在有效期内的情况（由供应商在《</w:t>
      </w:r>
      <w:r>
        <w:rPr>
          <w:rFonts w:hint="eastAsia" w:ascii="宋体" w:hAnsi="宋体" w:cs="宋体"/>
          <w:kern w:val="0"/>
          <w:szCs w:val="21"/>
          <w:highlight w:val="none"/>
          <w:lang w:eastAsia="zh-CN"/>
        </w:rPr>
        <w:t>自行采购投标及履约承诺函</w:t>
      </w:r>
      <w:r>
        <w:rPr>
          <w:rFonts w:hint="eastAsia" w:ascii="宋体" w:hAnsi="宋体" w:cs="宋体"/>
          <w:kern w:val="0"/>
          <w:szCs w:val="21"/>
          <w:highlight w:val="none"/>
        </w:rPr>
        <w:t>》中作出声明）；</w:t>
      </w:r>
    </w:p>
    <w:p>
      <w:pPr>
        <w:ind w:firstLine="420" w:firstLineChars="200"/>
        <w:rPr>
          <w:rFonts w:ascii="宋体" w:hAnsi="宋体" w:cs="宋体"/>
          <w:kern w:val="0"/>
          <w:szCs w:val="21"/>
          <w:highlight w:val="none"/>
        </w:rPr>
      </w:pPr>
      <w:r>
        <w:rPr>
          <w:rFonts w:hint="eastAsia" w:ascii="宋体" w:hAnsi="宋体" w:cs="宋体"/>
          <w:kern w:val="0"/>
          <w:szCs w:val="21"/>
          <w:highlight w:val="none"/>
          <w:lang w:val="en-US" w:eastAsia="zh-CN"/>
        </w:rPr>
        <w:t>4</w:t>
      </w:r>
      <w:r>
        <w:rPr>
          <w:rFonts w:ascii="宋体" w:hAnsi="宋体" w:cs="宋体"/>
          <w:kern w:val="0"/>
          <w:szCs w:val="21"/>
          <w:highlight w:val="none"/>
        </w:rPr>
        <w:t>.</w:t>
      </w:r>
      <w:r>
        <w:rPr>
          <w:rFonts w:hint="eastAsia" w:ascii="宋体" w:hAnsi="宋体" w:cs="宋体"/>
          <w:kern w:val="0"/>
          <w:szCs w:val="21"/>
          <w:highlight w:val="none"/>
        </w:rPr>
        <w:t>具备《中华人民共和国政府采购法》第二十二条第一款的条件（由供应商在《</w:t>
      </w:r>
      <w:r>
        <w:rPr>
          <w:rFonts w:hint="eastAsia" w:ascii="宋体" w:hAnsi="宋体" w:cs="宋体"/>
          <w:kern w:val="0"/>
          <w:szCs w:val="21"/>
          <w:highlight w:val="none"/>
          <w:lang w:eastAsia="zh-CN"/>
        </w:rPr>
        <w:t>自行采购投标及履约承诺函</w:t>
      </w:r>
      <w:r>
        <w:rPr>
          <w:rFonts w:hint="eastAsia" w:ascii="宋体" w:hAnsi="宋体" w:cs="宋体"/>
          <w:kern w:val="0"/>
          <w:szCs w:val="21"/>
          <w:highlight w:val="none"/>
        </w:rPr>
        <w:t>》中作出声明）；</w:t>
      </w:r>
    </w:p>
    <w:p>
      <w:pPr>
        <w:ind w:firstLine="420" w:firstLineChars="200"/>
        <w:rPr>
          <w:rFonts w:hint="eastAsia" w:ascii="宋体" w:hAnsi="宋体" w:cs="宋体"/>
          <w:kern w:val="0"/>
          <w:szCs w:val="21"/>
          <w:highlight w:val="none"/>
          <w:lang w:val="en-US" w:eastAsia="zh-CN"/>
        </w:rPr>
      </w:pPr>
      <w:r>
        <w:rPr>
          <w:rFonts w:hint="eastAsia" w:ascii="宋体" w:hAnsi="宋体" w:cs="宋体"/>
          <w:kern w:val="0"/>
          <w:szCs w:val="21"/>
          <w:highlight w:val="none"/>
          <w:lang w:val="en-US" w:eastAsia="zh-CN"/>
        </w:rPr>
        <w:t>5</w:t>
      </w:r>
      <w:r>
        <w:rPr>
          <w:rFonts w:ascii="宋体" w:hAnsi="宋体" w:cs="宋体"/>
          <w:kern w:val="0"/>
          <w:szCs w:val="21"/>
          <w:highlight w:val="none"/>
        </w:rPr>
        <w:t>.</w:t>
      </w:r>
      <w:r>
        <w:rPr>
          <w:rFonts w:hint="eastAsia" w:ascii="宋体" w:hAnsi="宋体" w:cs="宋体"/>
          <w:kern w:val="0"/>
          <w:szCs w:val="21"/>
          <w:highlight w:val="none"/>
        </w:rPr>
        <w:t>未被列入失信被执行人、重大税收违法案件当事人名单、</w:t>
      </w:r>
      <w:r>
        <w:rPr>
          <w:rFonts w:hint="eastAsia" w:ascii="宋体" w:hAnsi="宋体" w:cs="宋体"/>
          <w:kern w:val="0"/>
          <w:szCs w:val="21"/>
          <w:highlight w:val="none"/>
          <w:lang w:eastAsia="zh-CN"/>
        </w:rPr>
        <w:t>政府采购（自行采购）</w:t>
      </w:r>
      <w:r>
        <w:rPr>
          <w:rFonts w:hint="eastAsia" w:ascii="宋体" w:hAnsi="宋体" w:cs="宋体"/>
          <w:kern w:val="0"/>
          <w:szCs w:val="21"/>
          <w:highlight w:val="none"/>
        </w:rPr>
        <w:t>严重违法失信行为记录名单（由供应商在《</w:t>
      </w:r>
      <w:r>
        <w:rPr>
          <w:rFonts w:hint="eastAsia" w:ascii="宋体" w:hAnsi="宋体" w:cs="宋体"/>
          <w:kern w:val="0"/>
          <w:szCs w:val="21"/>
          <w:highlight w:val="none"/>
          <w:lang w:eastAsia="zh-CN"/>
        </w:rPr>
        <w:t>自行采购投标及履约承诺函</w:t>
      </w:r>
      <w:r>
        <w:rPr>
          <w:rFonts w:hint="eastAsia" w:ascii="宋体" w:hAnsi="宋体" w:cs="宋体"/>
          <w:kern w:val="0"/>
          <w:szCs w:val="21"/>
          <w:highlight w:val="none"/>
        </w:rPr>
        <w:t>》中作出声明）</w:t>
      </w:r>
      <w:r>
        <w:rPr>
          <w:rFonts w:hint="eastAsia" w:ascii="宋体" w:hAnsi="宋体" w:cs="宋体"/>
          <w:kern w:val="0"/>
          <w:szCs w:val="21"/>
          <w:highlight w:val="none"/>
          <w:lang w:val="en-US" w:eastAsia="zh-CN"/>
        </w:rPr>
        <w:t>；</w:t>
      </w:r>
    </w:p>
    <w:p>
      <w:pPr>
        <w:ind w:firstLine="420" w:firstLineChars="200"/>
        <w:rPr>
          <w:rFonts w:hint="default" w:ascii="宋体" w:hAnsi="宋体" w:cs="宋体"/>
          <w:color w:val="FF0000"/>
          <w:kern w:val="0"/>
          <w:szCs w:val="21"/>
          <w:highlight w:val="none"/>
          <w:lang w:val="en-US" w:eastAsia="zh-CN"/>
        </w:rPr>
      </w:pPr>
      <w:r>
        <w:rPr>
          <w:rFonts w:hint="eastAsia" w:ascii="宋体" w:hAnsi="宋体" w:cs="宋体"/>
          <w:color w:val="FF0000"/>
          <w:kern w:val="0"/>
          <w:szCs w:val="21"/>
          <w:highlight w:val="none"/>
          <w:lang w:val="en-US" w:eastAsia="zh-CN"/>
        </w:rPr>
        <w:t>6.不存在《深圳市财政局政府采购供应商信用信息管理办法》（深财规〔2023〕3号）列明的严重违法失信行为</w:t>
      </w:r>
      <w:r>
        <w:rPr>
          <w:rFonts w:hint="eastAsia" w:ascii="宋体" w:hAnsi="宋体" w:cs="宋体"/>
          <w:color w:val="FF0000"/>
          <w:kern w:val="0"/>
          <w:szCs w:val="21"/>
          <w:highlight w:val="none"/>
        </w:rPr>
        <w:t>（由供应商在《</w:t>
      </w:r>
      <w:r>
        <w:rPr>
          <w:rFonts w:hint="eastAsia" w:ascii="宋体" w:hAnsi="宋体" w:cs="宋体"/>
          <w:color w:val="FF0000"/>
          <w:kern w:val="0"/>
          <w:szCs w:val="21"/>
          <w:highlight w:val="none"/>
          <w:lang w:eastAsia="zh-CN"/>
        </w:rPr>
        <w:t>自行采购投标及履约承诺函</w:t>
      </w:r>
      <w:r>
        <w:rPr>
          <w:rFonts w:hint="eastAsia" w:ascii="宋体" w:hAnsi="宋体" w:cs="宋体"/>
          <w:color w:val="FF0000"/>
          <w:kern w:val="0"/>
          <w:szCs w:val="21"/>
          <w:highlight w:val="none"/>
        </w:rPr>
        <w:t>》中作出声明）</w:t>
      </w:r>
      <w:r>
        <w:rPr>
          <w:rFonts w:hint="eastAsia" w:ascii="宋体" w:hAnsi="宋体" w:cs="宋体"/>
          <w:color w:val="FF0000"/>
          <w:kern w:val="0"/>
          <w:szCs w:val="21"/>
          <w:highlight w:val="none"/>
          <w:lang w:val="en-US" w:eastAsia="zh-CN"/>
        </w:rPr>
        <w:t>；</w:t>
      </w:r>
    </w:p>
    <w:p>
      <w:pPr>
        <w:ind w:firstLine="420" w:firstLineChars="200"/>
        <w:rPr>
          <w:rFonts w:hint="eastAsia" w:ascii="宋体" w:hAnsi="宋体" w:cs="宋体"/>
          <w:kern w:val="0"/>
          <w:szCs w:val="21"/>
          <w:highlight w:val="none"/>
          <w:lang w:val="en-US" w:eastAsia="zh-CN"/>
        </w:rPr>
      </w:pPr>
      <w:r>
        <w:rPr>
          <w:rFonts w:hint="eastAsia" w:ascii="宋体" w:hAnsi="宋体" w:cs="宋体"/>
          <w:kern w:val="0"/>
          <w:szCs w:val="21"/>
          <w:highlight w:val="none"/>
          <w:lang w:val="en-US" w:eastAsia="zh-CN"/>
        </w:rPr>
        <w:t>7</w:t>
      </w:r>
      <w:r>
        <w:rPr>
          <w:rFonts w:hint="eastAsia" w:ascii="宋体" w:hAnsi="宋体" w:cs="宋体"/>
          <w:kern w:val="0"/>
          <w:szCs w:val="21"/>
          <w:highlight w:val="none"/>
        </w:rPr>
        <w:t>.单位负责人为同一人或者存在直接控股、管理关系的不同供应商，不得参加同一合同项下的</w:t>
      </w:r>
      <w:r>
        <w:rPr>
          <w:rFonts w:hint="eastAsia" w:ascii="宋体" w:hAnsi="宋体" w:cs="宋体"/>
          <w:kern w:val="0"/>
          <w:szCs w:val="21"/>
          <w:highlight w:val="none"/>
          <w:lang w:eastAsia="zh-CN"/>
        </w:rPr>
        <w:t>政府采购（自行采购）</w:t>
      </w:r>
      <w:r>
        <w:rPr>
          <w:rFonts w:hint="eastAsia" w:ascii="宋体" w:hAnsi="宋体" w:cs="宋体"/>
          <w:kern w:val="0"/>
          <w:szCs w:val="21"/>
          <w:highlight w:val="none"/>
        </w:rPr>
        <w:t>活动；为采购项目提供整体设计、规范编制或者项目管理、监理、检测等服务的供应商，不得再参加该采购项目的其他采购活动（由供应商在《</w:t>
      </w:r>
      <w:r>
        <w:rPr>
          <w:rFonts w:hint="eastAsia" w:ascii="宋体" w:hAnsi="宋体" w:cs="宋体"/>
          <w:kern w:val="0"/>
          <w:szCs w:val="21"/>
          <w:highlight w:val="none"/>
          <w:lang w:eastAsia="zh-CN"/>
        </w:rPr>
        <w:t>自行采购投标及履约承诺函</w:t>
      </w:r>
      <w:r>
        <w:rPr>
          <w:rFonts w:hint="eastAsia" w:ascii="宋体" w:hAnsi="宋体" w:cs="宋体"/>
          <w:kern w:val="0"/>
          <w:szCs w:val="21"/>
          <w:highlight w:val="none"/>
        </w:rPr>
        <w:t>》中作出声明）</w:t>
      </w:r>
      <w:r>
        <w:rPr>
          <w:rFonts w:hint="eastAsia" w:ascii="宋体" w:hAnsi="宋体" w:cs="宋体"/>
          <w:kern w:val="0"/>
          <w:szCs w:val="21"/>
          <w:highlight w:val="none"/>
          <w:lang w:val="en-US" w:eastAsia="zh-CN"/>
        </w:rPr>
        <w:t>；</w:t>
      </w:r>
    </w:p>
    <w:p>
      <w:pPr>
        <w:pStyle w:val="2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highlight w:val="none"/>
          <w:lang w:eastAsia="zh-CN"/>
        </w:rPr>
      </w:pPr>
      <w:r>
        <w:rPr>
          <w:rFonts w:hint="eastAsia" w:ascii="宋体" w:hAnsi="宋体" w:cs="宋体"/>
          <w:color w:val="FF0000"/>
          <w:kern w:val="0"/>
          <w:sz w:val="22"/>
          <w:szCs w:val="20"/>
          <w:highlight w:val="none"/>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hint="eastAsia" w:ascii="宋体" w:hAnsi="宋体" w:cs="宋体"/>
          <w:kern w:val="0"/>
          <w:szCs w:val="21"/>
          <w:lang w:eastAsia="zh-CN"/>
        </w:rPr>
      </w:pPr>
      <w:r>
        <w:rPr>
          <w:rFonts w:hint="eastAsia" w:ascii="宋体" w:hAnsi="宋体" w:cs="宋体"/>
          <w:kern w:val="0"/>
          <w:szCs w:val="21"/>
          <w:highlight w:val="none"/>
          <w:lang w:val="en-US" w:eastAsia="zh-CN"/>
        </w:rPr>
        <w:t>9</w:t>
      </w:r>
      <w:r>
        <w:rPr>
          <w:rFonts w:hint="eastAsia" w:ascii="宋体" w:hAnsi="宋体" w:cs="宋体"/>
          <w:kern w:val="0"/>
          <w:szCs w:val="21"/>
          <w:highlight w:val="none"/>
        </w:rPr>
        <w:t>.本项目</w:t>
      </w:r>
      <w:r>
        <w:rPr>
          <w:rFonts w:hint="eastAsia" w:ascii="宋体" w:hAnsi="宋体" w:cs="宋体"/>
          <w:kern w:val="0"/>
          <w:szCs w:val="21"/>
          <w:highlight w:val="none"/>
          <w:lang w:val="en-US" w:eastAsia="zh-CN"/>
        </w:rPr>
        <w:t>全部</w:t>
      </w:r>
      <w:r>
        <w:rPr>
          <w:rFonts w:hint="eastAsia" w:ascii="宋体" w:hAnsi="宋体" w:cs="宋体"/>
          <w:kern w:val="0"/>
          <w:szCs w:val="21"/>
          <w:highlight w:val="none"/>
        </w:rPr>
        <w:t>专门面向中小企业采购：是，供应商提供的货物全部由符合政策要求的中小微企业、残疾人福利性单位或监狱企业制造（由供应商在《中小企业声明函、残疾人福利性单位声明函及监狱企业声明函》中作出声明；未提供声明函或声明函不符合政策要求的，按资格审查不通过处理）</w:t>
      </w:r>
      <w:r>
        <w:rPr>
          <w:rFonts w:hint="eastAsia" w:ascii="宋体" w:hAnsi="宋体" w:cs="宋体"/>
          <w:kern w:val="0"/>
          <w:szCs w:val="21"/>
          <w:highlight w:val="none"/>
          <w:lang w:eastAsia="zh-CN"/>
        </w:rPr>
        <w:t>。</w:t>
      </w:r>
    </w:p>
    <w:p>
      <w:pPr>
        <w:ind w:firstLine="420" w:firstLineChars="200"/>
        <w:rPr>
          <w:rFonts w:hint="default" w:eastAsia="宋体"/>
          <w:lang w:val="en-US" w:eastAsia="zh-CN"/>
        </w:rPr>
      </w:pP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5"/>
        <w:jc w:val="center"/>
        <w:rPr>
          <w:b/>
          <w:bCs/>
          <w:sz w:val="28"/>
          <w:szCs w:val="28"/>
        </w:rPr>
      </w:pPr>
      <w:r>
        <w:rPr>
          <w:rFonts w:hint="eastAsia"/>
          <w:b/>
          <w:bCs/>
          <w:sz w:val="28"/>
          <w:szCs w:val="28"/>
        </w:rPr>
        <w:t xml:space="preserve">第二章 </w:t>
      </w:r>
      <w:bookmarkStart w:id="23" w:name="_Hlk71926094"/>
      <w:r>
        <w:rPr>
          <w:rFonts w:hint="eastAsia"/>
          <w:b/>
          <w:bCs/>
          <w:sz w:val="28"/>
          <w:szCs w:val="28"/>
        </w:rPr>
        <w:t>对通用条款的补充内容及其他关键信息</w:t>
      </w:r>
      <w:bookmarkEnd w:id="23"/>
    </w:p>
    <w:p>
      <w:pPr>
        <w:pStyle w:val="5"/>
        <w:spacing w:before="120" w:beforeLines="50" w:after="120" w:afterLines="50"/>
        <w:jc w:val="center"/>
        <w:rPr>
          <w:b/>
          <w:bCs/>
          <w:szCs w:val="24"/>
        </w:rPr>
      </w:pPr>
      <w:bookmarkStart w:id="24" w:name="_Toc73518117"/>
      <w:bookmarkStart w:id="25" w:name="_Toc100052364"/>
      <w:bookmarkStart w:id="26" w:name="_Toc73521635"/>
      <w:bookmarkStart w:id="27" w:name="_Toc101074876"/>
      <w:bookmarkStart w:id="28" w:name="_Toc60631620"/>
      <w:bookmarkStart w:id="29" w:name="_Toc60560625"/>
      <w:bookmarkStart w:id="30" w:name="_Toc73517639"/>
      <w:bookmarkStart w:id="31" w:name="_Toc73521547"/>
      <w:r>
        <w:rPr>
          <w:rFonts w:hint="eastAsia"/>
          <w:b/>
          <w:bCs/>
          <w:szCs w:val="24"/>
        </w:rPr>
        <w:t>一、对通用条款的补充内容</w:t>
      </w:r>
    </w:p>
    <w:bookmarkEnd w:id="24"/>
    <w:bookmarkEnd w:id="25"/>
    <w:bookmarkEnd w:id="26"/>
    <w:bookmarkEnd w:id="27"/>
    <w:bookmarkEnd w:id="28"/>
    <w:bookmarkEnd w:id="29"/>
    <w:bookmarkEnd w:id="30"/>
    <w:bookmarkEnd w:id="31"/>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pPr>
              <w:jc w:val="center"/>
              <w:rPr>
                <w:rFonts w:ascii="宋体" w:hAnsi="宋体"/>
                <w:b/>
                <w:bCs/>
              </w:rPr>
            </w:pPr>
            <w:r>
              <w:rPr>
                <w:rFonts w:hint="eastAsia" w:ascii="宋体" w:hAnsi="宋体"/>
                <w:b/>
                <w:bCs/>
              </w:rPr>
              <w:t>涉及事项</w:t>
            </w:r>
          </w:p>
        </w:tc>
        <w:tc>
          <w:tcPr>
            <w:tcW w:w="4980" w:type="dxa"/>
            <w:noWrap w:val="0"/>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.1</w:t>
            </w:r>
          </w:p>
        </w:tc>
        <w:tc>
          <w:tcPr>
            <w:tcW w:w="2409" w:type="dxa"/>
            <w:noWrap w:val="0"/>
            <w:vAlign w:val="center"/>
          </w:tcPr>
          <w:p>
            <w:pPr>
              <w:jc w:val="center"/>
            </w:pPr>
            <w:r>
              <w:rPr>
                <w:rFonts w:hint="eastAsia"/>
              </w:rPr>
              <w:t>采购人</w:t>
            </w:r>
          </w:p>
        </w:tc>
        <w:tc>
          <w:tcPr>
            <w:tcW w:w="4980" w:type="dxa"/>
            <w:noWrap w:val="0"/>
            <w:vAlign w:val="center"/>
          </w:tcPr>
          <w:p>
            <w:pPr>
              <w:jc w:val="center"/>
              <w:rPr>
                <w:rFonts w:ascii="宋体" w:hAnsi="宋体"/>
              </w:rPr>
            </w:pPr>
            <w:r>
              <w:rPr>
                <w:rFonts w:hint="eastAsia" w:ascii="宋体" w:hAnsi="宋体" w:eastAsia="宋体" w:cs="Arial"/>
                <w:b/>
                <w:szCs w:val="21"/>
              </w:rPr>
              <w:t>深圳市宝安区智造城实验学校</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.2</w:t>
            </w:r>
          </w:p>
        </w:tc>
        <w:tc>
          <w:tcPr>
            <w:tcW w:w="2409" w:type="dxa"/>
            <w:noWrap w:val="0"/>
            <w:vAlign w:val="center"/>
          </w:tcPr>
          <w:p>
            <w:pPr>
              <w:jc w:val="center"/>
              <w:rPr>
                <w:rFonts w:ascii="宋体" w:hAnsi="宋体"/>
              </w:rPr>
            </w:pPr>
            <w:r>
              <w:rPr>
                <w:rFonts w:hint="eastAsia" w:ascii="宋体" w:hAnsi="宋体"/>
              </w:rPr>
              <w:t>政府集中采购机构</w:t>
            </w:r>
          </w:p>
        </w:tc>
        <w:tc>
          <w:tcPr>
            <w:tcW w:w="4980" w:type="dxa"/>
            <w:noWrap w:val="0"/>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9</w:t>
            </w:r>
          </w:p>
        </w:tc>
        <w:tc>
          <w:tcPr>
            <w:tcW w:w="2409" w:type="dxa"/>
            <w:noWrap w:val="0"/>
            <w:vAlign w:val="center"/>
          </w:tcPr>
          <w:p>
            <w:pPr>
              <w:jc w:val="center"/>
              <w:rPr>
                <w:rFonts w:ascii="宋体" w:hAnsi="宋体"/>
              </w:rPr>
            </w:pPr>
            <w:r>
              <w:rPr>
                <w:rFonts w:hint="eastAsia" w:ascii="宋体" w:hAnsi="宋体"/>
              </w:rPr>
              <w:t>踏勘现场</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0</w:t>
            </w:r>
          </w:p>
        </w:tc>
        <w:tc>
          <w:tcPr>
            <w:tcW w:w="2409" w:type="dxa"/>
            <w:noWrap w:val="0"/>
            <w:vAlign w:val="center"/>
          </w:tcPr>
          <w:p>
            <w:pPr>
              <w:jc w:val="center"/>
              <w:rPr>
                <w:rFonts w:ascii="宋体" w:hAnsi="宋体"/>
              </w:rPr>
            </w:pPr>
            <w:r>
              <w:rPr>
                <w:rFonts w:hint="eastAsia" w:ascii="宋体" w:hAnsi="宋体"/>
              </w:rPr>
              <w:t>标前会议</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pPr>
              <w:jc w:val="center"/>
              <w:rPr>
                <w:rFonts w:ascii="宋体" w:hAnsi="宋体"/>
              </w:rPr>
            </w:pPr>
            <w:r>
              <w:rPr>
                <w:rFonts w:hint="eastAsia" w:ascii="宋体" w:hAnsi="宋体"/>
              </w:rPr>
              <w:t>招标文件的澄清和修改</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0</w:t>
            </w:r>
          </w:p>
        </w:tc>
        <w:tc>
          <w:tcPr>
            <w:tcW w:w="2409" w:type="dxa"/>
            <w:noWrap w:val="0"/>
            <w:vAlign w:val="center"/>
          </w:tcPr>
          <w:p>
            <w:pPr>
              <w:jc w:val="center"/>
              <w:rPr>
                <w:rFonts w:ascii="宋体" w:hAnsi="宋体"/>
              </w:rPr>
            </w:pPr>
            <w:r>
              <w:rPr>
                <w:rFonts w:hint="eastAsia" w:ascii="宋体" w:hAnsi="宋体"/>
              </w:rPr>
              <w:t>投标有效期</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2</w:t>
            </w:r>
          </w:p>
        </w:tc>
        <w:tc>
          <w:tcPr>
            <w:tcW w:w="2409" w:type="dxa"/>
            <w:noWrap w:val="0"/>
            <w:vAlign w:val="center"/>
          </w:tcPr>
          <w:p>
            <w:pPr>
              <w:jc w:val="center"/>
              <w:rPr>
                <w:rFonts w:ascii="宋体" w:hAnsi="宋体"/>
              </w:rPr>
            </w:pPr>
            <w:r>
              <w:rPr>
                <w:rFonts w:hint="eastAsia" w:ascii="宋体" w:hAnsi="宋体"/>
              </w:rPr>
              <w:t>投标人的替代方案</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5</w:t>
            </w:r>
          </w:p>
        </w:tc>
        <w:tc>
          <w:tcPr>
            <w:tcW w:w="2409" w:type="dxa"/>
            <w:noWrap w:val="0"/>
            <w:vAlign w:val="center"/>
          </w:tcPr>
          <w:p>
            <w:pPr>
              <w:jc w:val="center"/>
              <w:rPr>
                <w:rFonts w:ascii="宋体" w:hAnsi="宋体"/>
              </w:rPr>
            </w:pPr>
            <w:r>
              <w:rPr>
                <w:rFonts w:hint="eastAsia" w:ascii="宋体" w:hAnsi="宋体"/>
              </w:rPr>
              <w:t>投标文件的大小</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6</w:t>
            </w:r>
          </w:p>
        </w:tc>
        <w:tc>
          <w:tcPr>
            <w:tcW w:w="2409" w:type="dxa"/>
            <w:noWrap w:val="0"/>
            <w:vAlign w:val="center"/>
          </w:tcPr>
          <w:p>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7</w:t>
            </w:r>
          </w:p>
        </w:tc>
        <w:tc>
          <w:tcPr>
            <w:tcW w:w="2409" w:type="dxa"/>
            <w:noWrap w:val="0"/>
            <w:vAlign w:val="center"/>
          </w:tcPr>
          <w:p>
            <w:pPr>
              <w:jc w:val="center"/>
              <w:rPr>
                <w:rFonts w:ascii="宋体" w:hAnsi="宋体"/>
              </w:rPr>
            </w:pPr>
            <w:r>
              <w:rPr>
                <w:rFonts w:hint="eastAsia" w:ascii="宋体" w:hAnsi="宋体"/>
              </w:rPr>
              <w:t>评审方法</w:t>
            </w:r>
          </w:p>
        </w:tc>
        <w:tc>
          <w:tcPr>
            <w:tcW w:w="4980" w:type="dxa"/>
            <w:noWrap w:val="0"/>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8</w:t>
            </w:r>
          </w:p>
        </w:tc>
        <w:tc>
          <w:tcPr>
            <w:tcW w:w="2409" w:type="dxa"/>
            <w:noWrap w:val="0"/>
            <w:vAlign w:val="center"/>
          </w:tcPr>
          <w:p>
            <w:pPr>
              <w:jc w:val="center"/>
              <w:rPr>
                <w:rFonts w:ascii="宋体" w:hAnsi="宋体"/>
              </w:rPr>
            </w:pPr>
            <w:r>
              <w:rPr>
                <w:rFonts w:hint="eastAsia" w:ascii="宋体" w:hAnsi="宋体"/>
              </w:rPr>
              <w:t>定标方法</w:t>
            </w:r>
          </w:p>
        </w:tc>
        <w:tc>
          <w:tcPr>
            <w:tcW w:w="4980" w:type="dxa"/>
            <w:noWrap w:val="0"/>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4</w:t>
            </w:r>
            <w:r>
              <w:rPr>
                <w:rFonts w:ascii="宋体" w:hAnsi="宋体"/>
              </w:rPr>
              <w:t>6</w:t>
            </w:r>
          </w:p>
        </w:tc>
        <w:tc>
          <w:tcPr>
            <w:tcW w:w="2409" w:type="dxa"/>
            <w:noWrap w:val="0"/>
            <w:vAlign w:val="center"/>
          </w:tcPr>
          <w:p>
            <w:pPr>
              <w:jc w:val="center"/>
              <w:rPr>
                <w:rFonts w:ascii="宋体" w:hAnsi="宋体"/>
              </w:rPr>
            </w:pPr>
            <w:r>
              <w:rPr>
                <w:rFonts w:hint="eastAsia" w:ascii="宋体" w:hAnsi="宋体"/>
              </w:rPr>
              <w:t>履约担保</w:t>
            </w:r>
          </w:p>
        </w:tc>
        <w:tc>
          <w:tcPr>
            <w:tcW w:w="4980" w:type="dxa"/>
            <w:noWrap w:val="0"/>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2"/>
    <w:p>
      <w:pPr>
        <w:pStyle w:val="5"/>
        <w:spacing w:before="120" w:beforeLines="50" w:after="120" w:afterLines="50"/>
        <w:jc w:val="center"/>
        <w:rPr>
          <w:b/>
          <w:bCs/>
          <w:szCs w:val="24"/>
        </w:rPr>
      </w:pPr>
      <w:bookmarkStart w:id="34" w:name="_Hlk72218117"/>
      <w:r>
        <w:rPr>
          <w:rFonts w:hint="eastAsia"/>
          <w:b/>
          <w:bCs/>
          <w:szCs w:val="24"/>
        </w:rPr>
        <w:t>二、其他关键信息</w:t>
      </w:r>
    </w:p>
    <w:p>
      <w:pPr>
        <w:ind w:firstLine="422" w:firstLineChars="200"/>
        <w:rPr>
          <w:b/>
          <w:bCs/>
        </w:rPr>
      </w:pPr>
      <w:bookmarkStart w:id="35" w:name="_Hlk72579427"/>
      <w:r>
        <w:rPr>
          <w:rFonts w:hint="eastAsia"/>
          <w:b/>
          <w:bCs/>
        </w:rPr>
        <w:t>（一）与“对通用条款的补充内容”章节相关的事项</w:t>
      </w:r>
    </w:p>
    <w:p>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评标方法</w:t>
            </w:r>
          </w:p>
        </w:tc>
        <w:tc>
          <w:tcPr>
            <w:tcW w:w="3235" w:type="dxa"/>
            <w:noWrap w:val="0"/>
            <w:vAlign w:val="top"/>
          </w:tcPr>
          <w:p>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候选中标供应商家数</w:t>
            </w:r>
          </w:p>
        </w:tc>
        <w:tc>
          <w:tcPr>
            <w:tcW w:w="3235" w:type="dxa"/>
            <w:noWrap w:val="0"/>
            <w:vAlign w:val="top"/>
          </w:tcPr>
          <w:p>
            <w:pPr>
              <w:jc w:val="center"/>
              <w:rPr>
                <w:rFonts w:hint="default" w:eastAsia="宋体"/>
                <w:lang w:val="en-US" w:eastAsia="zh-CN"/>
              </w:rPr>
            </w:pPr>
            <w:r>
              <w:rPr>
                <w:rFonts w:hint="eastAsia"/>
              </w:rPr>
              <w:t>1</w:t>
            </w:r>
          </w:p>
        </w:tc>
        <w:tc>
          <w:tcPr>
            <w:tcW w:w="2450" w:type="dxa"/>
            <w:noWrap w:val="0"/>
            <w:vAlign w:val="top"/>
          </w:tcPr>
          <w:p>
            <w:pPr>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中标供应商家数</w:t>
            </w:r>
          </w:p>
        </w:tc>
        <w:tc>
          <w:tcPr>
            <w:tcW w:w="3235" w:type="dxa"/>
            <w:noWrap w:val="0"/>
            <w:vAlign w:val="top"/>
          </w:tcPr>
          <w:p>
            <w:pPr>
              <w:jc w:val="center"/>
            </w:pPr>
            <w:r>
              <w:rPr>
                <w:rFonts w:hint="eastAsia"/>
              </w:rPr>
              <w:t>1</w:t>
            </w:r>
          </w:p>
        </w:tc>
        <w:tc>
          <w:tcPr>
            <w:tcW w:w="2450" w:type="dxa"/>
            <w:noWrap w:val="0"/>
            <w:vAlign w:val="top"/>
          </w:tcPr>
          <w:p>
            <w:pPr>
              <w:jc w:val="center"/>
              <w:rPr>
                <w:rFonts w:hint="eastAsia"/>
              </w:rPr>
            </w:pPr>
            <w:r>
              <w:rPr>
                <w:rFonts w:hint="eastAsia"/>
              </w:rPr>
              <w:t>1</w:t>
            </w:r>
          </w:p>
        </w:tc>
      </w:tr>
    </w:tbl>
    <w:p>
      <w:pPr>
        <w:pStyle w:val="8"/>
      </w:pPr>
    </w:p>
    <w:bookmarkEnd w:id="35"/>
    <w:p>
      <w:pPr>
        <w:ind w:firstLine="422" w:firstLineChars="200"/>
        <w:rPr>
          <w:b/>
        </w:rPr>
      </w:pPr>
      <w:r>
        <w:rPr>
          <w:rFonts w:hint="eastAsia"/>
          <w:b/>
        </w:rPr>
        <w:t>（二）其他事项</w:t>
      </w:r>
    </w:p>
    <w:p>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numPr>
          <w:ilvl w:val="0"/>
          <w:numId w:val="0"/>
        </w:numPr>
        <w:ind w:left="0" w:leftChars="0" w:firstLine="420" w:firstLineChars="200"/>
        <w:rPr>
          <w:rFonts w:hint="default" w:eastAsia="宋体"/>
          <w:lang w:val="en-US" w:eastAsia="zh-CN"/>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pPr>
        <w:spacing w:before="0" w:after="0"/>
        <w:jc w:val="both"/>
        <w:outlineLvl w:val="9"/>
      </w:pP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pStyle w:val="7"/>
        <w:rPr>
          <w:b/>
        </w:rPr>
      </w:pPr>
    </w:p>
    <w:p>
      <w:pPr>
        <w:pStyle w:val="8"/>
        <w:rPr>
          <w:b/>
        </w:rPr>
      </w:pPr>
    </w:p>
    <w:p>
      <w:pPr>
        <w:pStyle w:val="8"/>
        <w:rPr>
          <w:b/>
        </w:rPr>
      </w:pPr>
    </w:p>
    <w:p>
      <w:pPr>
        <w:pStyle w:val="8"/>
        <w:rPr>
          <w:b/>
        </w:rPr>
        <w:sectPr>
          <w:pgSz w:w="11907" w:h="16840"/>
          <w:pgMar w:top="1440" w:right="1797" w:bottom="1440" w:left="1797" w:header="851" w:footer="992" w:gutter="0"/>
          <w:cols w:space="425" w:num="1"/>
          <w:titlePg/>
          <w:docGrid w:linePitch="462" w:charSpace="0"/>
        </w:sectPr>
      </w:pPr>
    </w:p>
    <w:bookmarkEnd w:id="34"/>
    <w:p>
      <w:pPr>
        <w:pStyle w:val="5"/>
        <w:spacing w:before="120" w:beforeLines="50" w:after="120" w:afterLines="50"/>
        <w:jc w:val="center"/>
        <w:rPr>
          <w:rFonts w:hint="eastAsia"/>
          <w:b/>
          <w:bCs/>
          <w:szCs w:val="24"/>
        </w:rPr>
      </w:pPr>
      <w:r>
        <w:rPr>
          <w:rFonts w:hint="eastAsia"/>
          <w:b/>
          <w:bCs/>
          <w:szCs w:val="24"/>
        </w:rPr>
        <w:t>第三章 用户需求书</w:t>
      </w:r>
    </w:p>
    <w:p>
      <w:pPr>
        <w:pStyle w:val="5"/>
        <w:spacing w:before="120" w:beforeLines="50" w:after="120" w:afterLines="50"/>
        <w:jc w:val="center"/>
        <w:rPr>
          <w:rFonts w:hint="eastAsia"/>
          <w:b/>
          <w:bCs/>
          <w:sz w:val="28"/>
          <w:szCs w:val="28"/>
        </w:rPr>
      </w:pPr>
      <w:r>
        <w:rPr>
          <w:rFonts w:hint="eastAsia"/>
          <w:b/>
          <w:bCs/>
          <w:sz w:val="28"/>
          <w:szCs w:val="28"/>
        </w:rPr>
        <w:t>一、项目基本信息</w:t>
      </w:r>
    </w:p>
    <w:tbl>
      <w:tblPr>
        <w:tblStyle w:val="17"/>
        <w:tblW w:w="8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535"/>
        <w:gridCol w:w="3226"/>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50" w:type="dxa"/>
            <w:vAlign w:val="center"/>
          </w:tcPr>
          <w:p>
            <w:pPr>
              <w:jc w:val="center"/>
              <w:rPr>
                <w:b w:val="0"/>
                <w:bCs w:val="0"/>
                <w:sz w:val="24"/>
                <w:szCs w:val="28"/>
              </w:rPr>
            </w:pPr>
            <w:r>
              <w:rPr>
                <w:rFonts w:hint="eastAsia"/>
                <w:b w:val="0"/>
                <w:bCs w:val="0"/>
                <w:sz w:val="24"/>
                <w:szCs w:val="28"/>
              </w:rPr>
              <w:t>序号</w:t>
            </w:r>
          </w:p>
        </w:tc>
        <w:tc>
          <w:tcPr>
            <w:tcW w:w="2535" w:type="dxa"/>
            <w:vAlign w:val="center"/>
          </w:tcPr>
          <w:p>
            <w:pPr>
              <w:jc w:val="center"/>
              <w:rPr>
                <w:b w:val="0"/>
                <w:bCs w:val="0"/>
                <w:sz w:val="24"/>
                <w:szCs w:val="28"/>
              </w:rPr>
            </w:pPr>
            <w:r>
              <w:rPr>
                <w:rFonts w:hint="eastAsia"/>
                <w:b w:val="0"/>
                <w:bCs w:val="0"/>
                <w:sz w:val="24"/>
                <w:szCs w:val="28"/>
              </w:rPr>
              <w:t>采购计划编号</w:t>
            </w:r>
          </w:p>
        </w:tc>
        <w:tc>
          <w:tcPr>
            <w:tcW w:w="3226" w:type="dxa"/>
            <w:vAlign w:val="center"/>
          </w:tcPr>
          <w:p>
            <w:pPr>
              <w:jc w:val="center"/>
              <w:rPr>
                <w:b w:val="0"/>
                <w:bCs w:val="0"/>
                <w:sz w:val="24"/>
                <w:szCs w:val="28"/>
              </w:rPr>
            </w:pPr>
            <w:r>
              <w:rPr>
                <w:rFonts w:hint="eastAsia"/>
                <w:b w:val="0"/>
                <w:bCs w:val="0"/>
                <w:sz w:val="24"/>
                <w:szCs w:val="28"/>
              </w:rPr>
              <w:t>采购项目名称</w:t>
            </w:r>
          </w:p>
        </w:tc>
        <w:tc>
          <w:tcPr>
            <w:tcW w:w="2355" w:type="dxa"/>
            <w:vAlign w:val="center"/>
          </w:tcPr>
          <w:p>
            <w:pPr>
              <w:jc w:val="center"/>
              <w:rPr>
                <w:b w:val="0"/>
                <w:bCs w:val="0"/>
                <w:sz w:val="24"/>
                <w:szCs w:val="28"/>
              </w:rPr>
            </w:pPr>
            <w:r>
              <w:rPr>
                <w:rFonts w:hint="eastAsia"/>
                <w:b w:val="0"/>
                <w:bCs w:val="0"/>
                <w:sz w:val="24"/>
                <w:szCs w:val="28"/>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0" w:type="dxa"/>
            <w:vAlign w:val="center"/>
          </w:tcPr>
          <w:p>
            <w:pPr>
              <w:jc w:val="center"/>
              <w:rPr>
                <w:bCs/>
                <w:color w:val="FF0000"/>
                <w:szCs w:val="21"/>
              </w:rPr>
            </w:pPr>
            <w:r>
              <w:rPr>
                <w:rFonts w:hint="eastAsia"/>
                <w:b w:val="0"/>
                <w:bCs w:val="0"/>
                <w:sz w:val="24"/>
                <w:szCs w:val="28"/>
              </w:rPr>
              <w:t>1</w:t>
            </w:r>
          </w:p>
        </w:tc>
        <w:tc>
          <w:tcPr>
            <w:tcW w:w="2535" w:type="dxa"/>
            <w:vAlign w:val="center"/>
          </w:tcPr>
          <w:p>
            <w:pPr>
              <w:jc w:val="center"/>
              <w:rPr>
                <w:rFonts w:hint="eastAsia"/>
                <w:b w:val="0"/>
                <w:bCs w:val="0"/>
                <w:sz w:val="24"/>
                <w:szCs w:val="28"/>
              </w:rPr>
            </w:pPr>
            <w:r>
              <w:rPr>
                <w:rFonts w:hint="eastAsia"/>
                <w:b w:val="0"/>
                <w:bCs w:val="0"/>
                <w:sz w:val="24"/>
                <w:szCs w:val="28"/>
              </w:rPr>
              <w:t>BAJYJ2025052607062A</w:t>
            </w:r>
          </w:p>
        </w:tc>
        <w:tc>
          <w:tcPr>
            <w:tcW w:w="3226" w:type="dxa"/>
            <w:vAlign w:val="center"/>
          </w:tcPr>
          <w:p>
            <w:pPr>
              <w:jc w:val="center"/>
              <w:rPr>
                <w:rFonts w:hint="eastAsia"/>
                <w:b w:val="0"/>
                <w:bCs w:val="0"/>
                <w:sz w:val="24"/>
                <w:szCs w:val="28"/>
              </w:rPr>
            </w:pPr>
            <w:r>
              <w:rPr>
                <w:rFonts w:hint="eastAsia"/>
                <w:b w:val="0"/>
                <w:bCs w:val="0"/>
                <w:sz w:val="24"/>
                <w:szCs w:val="28"/>
              </w:rPr>
              <w:t>深圳市宝安区智造城实验学校课桌椅采购项目</w:t>
            </w:r>
          </w:p>
        </w:tc>
        <w:tc>
          <w:tcPr>
            <w:tcW w:w="2355" w:type="dxa"/>
            <w:vAlign w:val="center"/>
          </w:tcPr>
          <w:p>
            <w:pPr>
              <w:jc w:val="center"/>
              <w:rPr>
                <w:bCs/>
                <w:color w:val="FF0000"/>
                <w:szCs w:val="21"/>
              </w:rPr>
            </w:pPr>
            <w:r>
              <w:rPr>
                <w:rFonts w:hint="eastAsia" w:ascii="仿宋_GB2312" w:hAnsi="华文仿宋" w:eastAsia="仿宋_GB2312"/>
                <w:sz w:val="28"/>
                <w:szCs w:val="28"/>
              </w:rPr>
              <w:t>324000.00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11" w:type="dxa"/>
            <w:gridSpan w:val="3"/>
            <w:vAlign w:val="center"/>
          </w:tcPr>
          <w:p>
            <w:pPr>
              <w:jc w:val="center"/>
              <w:rPr>
                <w:b/>
                <w:bCs/>
                <w:color w:val="FF0000"/>
                <w:szCs w:val="21"/>
              </w:rPr>
            </w:pPr>
            <w:r>
              <w:rPr>
                <w:rFonts w:hint="eastAsia"/>
                <w:b w:val="0"/>
                <w:bCs w:val="0"/>
                <w:highlight w:val="none"/>
                <w:lang w:val="en-US" w:eastAsia="zh-CN"/>
              </w:rPr>
              <w:t>合计（元）</w:t>
            </w:r>
          </w:p>
        </w:tc>
        <w:tc>
          <w:tcPr>
            <w:tcW w:w="2355" w:type="dxa"/>
            <w:vAlign w:val="center"/>
          </w:tcPr>
          <w:p>
            <w:pPr>
              <w:jc w:val="center"/>
              <w:rPr>
                <w:bCs/>
                <w:color w:val="FF0000"/>
                <w:szCs w:val="21"/>
              </w:rPr>
            </w:pPr>
            <w:r>
              <w:rPr>
                <w:rFonts w:hint="eastAsia" w:ascii="仿宋_GB2312" w:hAnsi="华文仿宋" w:eastAsia="仿宋_GB2312"/>
                <w:sz w:val="28"/>
                <w:szCs w:val="28"/>
              </w:rPr>
              <w:t>324000.00</w:t>
            </w:r>
          </w:p>
        </w:tc>
      </w:tr>
    </w:tbl>
    <w:p/>
    <w:p>
      <w:pPr>
        <w:pStyle w:val="5"/>
        <w:spacing w:before="120" w:beforeLines="50" w:after="120" w:afterLines="50"/>
        <w:jc w:val="center"/>
        <w:rPr>
          <w:rFonts w:hint="eastAsia"/>
          <w:b/>
          <w:bCs/>
          <w:sz w:val="28"/>
          <w:szCs w:val="28"/>
        </w:rPr>
      </w:pPr>
      <w:bookmarkStart w:id="37" w:name="_Hlk72258617"/>
      <w:r>
        <w:rPr>
          <w:rFonts w:hint="eastAsia"/>
          <w:b/>
          <w:bCs/>
          <w:sz w:val="28"/>
          <w:szCs w:val="28"/>
        </w:rPr>
        <w:t>二、</w:t>
      </w:r>
      <w:bookmarkStart w:id="38" w:name="_Hlk72073432"/>
      <w:r>
        <w:rPr>
          <w:rFonts w:hint="eastAsia"/>
          <w:b/>
          <w:bCs/>
          <w:sz w:val="28"/>
          <w:szCs w:val="28"/>
        </w:rPr>
        <w:t>货物需求明细</w:t>
      </w:r>
      <w:bookmarkEnd w:id="38"/>
    </w:p>
    <w:tbl>
      <w:tblPr>
        <w:tblStyle w:val="17"/>
        <w:tblW w:w="54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385"/>
        <w:gridCol w:w="1700"/>
        <w:gridCol w:w="757"/>
        <w:gridCol w:w="696"/>
        <w:gridCol w:w="1202"/>
        <w:gridCol w:w="1343"/>
        <w:gridCol w:w="1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369" w:type="pct"/>
            <w:vAlign w:val="center"/>
          </w:tcPr>
          <w:p>
            <w:pPr>
              <w:jc w:val="center"/>
              <w:rPr>
                <w:rFonts w:hint="eastAsia" w:ascii="宋体" w:hAnsi="宋体" w:eastAsia="宋体" w:cs="宋体"/>
                <w:b w:val="0"/>
                <w:bCs/>
                <w:color w:val="auto"/>
                <w:szCs w:val="21"/>
              </w:rPr>
            </w:pPr>
            <w:r>
              <w:rPr>
                <w:rFonts w:hint="eastAsia" w:ascii="宋体" w:hAnsi="宋体" w:eastAsia="宋体" w:cs="宋体"/>
                <w:b w:val="0"/>
                <w:bCs/>
                <w:color w:val="auto"/>
                <w:szCs w:val="21"/>
              </w:rPr>
              <w:t>序号</w:t>
            </w:r>
          </w:p>
        </w:tc>
        <w:tc>
          <w:tcPr>
            <w:tcW w:w="745" w:type="pct"/>
            <w:vAlign w:val="center"/>
          </w:tcPr>
          <w:p>
            <w:pPr>
              <w:jc w:val="center"/>
              <w:rPr>
                <w:rFonts w:hint="eastAsia" w:ascii="宋体" w:hAnsi="宋体" w:eastAsia="宋体" w:cs="宋体"/>
                <w:b w:val="0"/>
                <w:bCs/>
                <w:color w:val="auto"/>
                <w:szCs w:val="21"/>
              </w:rPr>
            </w:pPr>
            <w:r>
              <w:rPr>
                <w:rFonts w:hint="eastAsia"/>
                <w:szCs w:val="21"/>
              </w:rPr>
              <w:t>采购计划编号</w:t>
            </w:r>
          </w:p>
        </w:tc>
        <w:tc>
          <w:tcPr>
            <w:tcW w:w="914" w:type="pct"/>
            <w:vAlign w:val="center"/>
          </w:tcPr>
          <w:p>
            <w:pPr>
              <w:jc w:val="center"/>
              <w:rPr>
                <w:rFonts w:hint="eastAsia" w:ascii="宋体" w:hAnsi="宋体" w:eastAsia="宋体" w:cs="宋体"/>
                <w:b w:val="0"/>
                <w:bCs/>
                <w:color w:val="auto"/>
                <w:szCs w:val="21"/>
              </w:rPr>
            </w:pPr>
            <w:r>
              <w:rPr>
                <w:rFonts w:hint="eastAsia" w:ascii="宋体" w:hAnsi="宋体" w:eastAsia="宋体" w:cs="宋体"/>
                <w:b w:val="0"/>
                <w:bCs/>
                <w:color w:val="auto"/>
                <w:szCs w:val="21"/>
              </w:rPr>
              <w:t>货物名称（标的名称）</w:t>
            </w:r>
          </w:p>
        </w:tc>
        <w:tc>
          <w:tcPr>
            <w:tcW w:w="407" w:type="pct"/>
            <w:vAlign w:val="center"/>
          </w:tcPr>
          <w:p>
            <w:pPr>
              <w:jc w:val="center"/>
              <w:rPr>
                <w:rFonts w:hint="eastAsia" w:ascii="宋体" w:hAnsi="宋体" w:eastAsia="宋体" w:cs="宋体"/>
                <w:b w:val="0"/>
                <w:bCs/>
                <w:color w:val="auto"/>
                <w:szCs w:val="21"/>
              </w:rPr>
            </w:pPr>
            <w:r>
              <w:rPr>
                <w:rFonts w:hint="eastAsia" w:ascii="宋体" w:hAnsi="宋体" w:eastAsia="宋体" w:cs="宋体"/>
                <w:b w:val="0"/>
                <w:bCs/>
                <w:color w:val="auto"/>
                <w:szCs w:val="21"/>
              </w:rPr>
              <w:t>数量</w:t>
            </w:r>
          </w:p>
        </w:tc>
        <w:tc>
          <w:tcPr>
            <w:tcW w:w="374" w:type="pct"/>
            <w:vAlign w:val="center"/>
          </w:tcPr>
          <w:p>
            <w:pPr>
              <w:jc w:val="center"/>
              <w:rPr>
                <w:rFonts w:hint="eastAsia" w:ascii="宋体" w:hAnsi="宋体" w:eastAsia="宋体" w:cs="宋体"/>
                <w:b w:val="0"/>
                <w:bCs/>
                <w:color w:val="auto"/>
                <w:szCs w:val="21"/>
              </w:rPr>
            </w:pPr>
            <w:r>
              <w:rPr>
                <w:rFonts w:hint="eastAsia" w:ascii="宋体" w:hAnsi="宋体" w:eastAsia="宋体" w:cs="宋体"/>
                <w:b w:val="0"/>
                <w:bCs/>
                <w:color w:val="auto"/>
                <w:szCs w:val="21"/>
              </w:rPr>
              <w:t>单位</w:t>
            </w:r>
          </w:p>
        </w:tc>
        <w:tc>
          <w:tcPr>
            <w:tcW w:w="646" w:type="pct"/>
            <w:vAlign w:val="center"/>
          </w:tcPr>
          <w:p>
            <w:pPr>
              <w:jc w:val="center"/>
              <w:rPr>
                <w:rFonts w:hint="eastAsia" w:ascii="宋体" w:hAnsi="宋体" w:eastAsia="宋体" w:cs="宋体"/>
                <w:b/>
                <w:bCs w:val="0"/>
                <w:color w:val="FF0000"/>
                <w:szCs w:val="21"/>
                <w:lang w:val="en-US" w:eastAsia="zh-CN"/>
              </w:rPr>
            </w:pPr>
            <w:r>
              <w:rPr>
                <w:rFonts w:hint="eastAsia" w:ascii="宋体" w:hAnsi="宋体" w:eastAsia="宋体" w:cs="宋体"/>
                <w:b/>
                <w:bCs w:val="0"/>
                <w:color w:val="FF0000"/>
                <w:szCs w:val="21"/>
                <w:lang w:val="en-US" w:eastAsia="zh-CN"/>
              </w:rPr>
              <w:t>是否接受进口</w:t>
            </w:r>
          </w:p>
        </w:tc>
        <w:tc>
          <w:tcPr>
            <w:tcW w:w="722" w:type="pct"/>
            <w:vAlign w:val="center"/>
          </w:tcPr>
          <w:p>
            <w:pPr>
              <w:jc w:val="center"/>
              <w:rPr>
                <w:rFonts w:hint="eastAsia" w:ascii="宋体" w:hAnsi="宋体" w:eastAsia="宋体" w:cs="宋体"/>
                <w:b/>
                <w:bCs w:val="0"/>
                <w:color w:val="FF0000"/>
                <w:szCs w:val="21"/>
                <w:lang w:val="en-US" w:eastAsia="zh-CN"/>
              </w:rPr>
            </w:pPr>
            <w:r>
              <w:rPr>
                <w:rFonts w:hint="eastAsia" w:ascii="宋体" w:hAnsi="宋体" w:eastAsia="宋体" w:cs="宋体"/>
                <w:b/>
                <w:bCs w:val="0"/>
                <w:color w:val="FF0000"/>
                <w:szCs w:val="21"/>
                <w:lang w:val="en-US" w:eastAsia="zh-CN"/>
              </w:rPr>
              <w:t>是否专门面向中小企业</w:t>
            </w:r>
          </w:p>
        </w:tc>
        <w:tc>
          <w:tcPr>
            <w:tcW w:w="819" w:type="pct"/>
            <w:vAlign w:val="center"/>
          </w:tcPr>
          <w:p>
            <w:pPr>
              <w:jc w:val="center"/>
              <w:rPr>
                <w:rFonts w:hint="eastAsia" w:ascii="宋体" w:hAnsi="宋体" w:eastAsia="宋体" w:cs="宋体"/>
                <w:b/>
                <w:bCs w:val="0"/>
                <w:color w:val="FF0000"/>
                <w:szCs w:val="21"/>
                <w:lang w:val="en-US" w:eastAsia="zh-CN"/>
              </w:rPr>
            </w:pPr>
            <w:r>
              <w:rPr>
                <w:rFonts w:hint="eastAsia" w:ascii="宋体" w:hAnsi="宋体" w:eastAsia="宋体" w:cs="宋体"/>
                <w:b/>
                <w:bCs w:val="0"/>
                <w:color w:val="FF0000"/>
                <w:szCs w:val="21"/>
                <w:lang w:val="en-US" w:eastAsia="zh-CN"/>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36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color w:val="auto"/>
                <w:szCs w:val="21"/>
              </w:rPr>
            </w:pPr>
            <w:r>
              <w:rPr>
                <w:rFonts w:hint="eastAsia" w:ascii="宋体" w:hAnsi="宋体" w:eastAsia="宋体" w:cs="宋体"/>
                <w:b w:val="0"/>
                <w:bCs/>
                <w:color w:val="auto"/>
                <w:szCs w:val="21"/>
              </w:rPr>
              <w:t>1</w:t>
            </w:r>
          </w:p>
        </w:tc>
        <w:tc>
          <w:tcPr>
            <w:tcW w:w="745" w:type="pct"/>
            <w:vMerge w:val="restart"/>
            <w:vAlign w:val="center"/>
          </w:tcPr>
          <w:p>
            <w:pPr>
              <w:jc w:val="center"/>
              <w:rPr>
                <w:rFonts w:hint="eastAsia" w:ascii="宋体" w:hAnsi="宋体" w:eastAsia="宋体" w:cs="宋体"/>
                <w:i w:val="0"/>
                <w:iCs w:val="0"/>
                <w:color w:val="000000"/>
                <w:sz w:val="21"/>
                <w:szCs w:val="21"/>
                <w:u w:val="none"/>
                <w:lang w:val="en-US" w:eastAsia="zh-CN"/>
              </w:rPr>
            </w:pPr>
            <w:r>
              <w:rPr>
                <w:rFonts w:hint="eastAsia"/>
                <w:b w:val="0"/>
                <w:bCs w:val="0"/>
                <w:sz w:val="24"/>
                <w:szCs w:val="28"/>
              </w:rPr>
              <w:t>BAJYJ2025052607062A</w:t>
            </w:r>
          </w:p>
        </w:tc>
        <w:tc>
          <w:tcPr>
            <w:tcW w:w="91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手摇升降课桌</w:t>
            </w:r>
          </w:p>
        </w:tc>
        <w:tc>
          <w:tcPr>
            <w:tcW w:w="40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600</w:t>
            </w:r>
          </w:p>
        </w:tc>
        <w:tc>
          <w:tcPr>
            <w:tcW w:w="37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张</w:t>
            </w:r>
          </w:p>
        </w:tc>
        <w:tc>
          <w:tcPr>
            <w:tcW w:w="64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i w:val="0"/>
                <w:iCs w:val="0"/>
                <w:color w:val="FF0000"/>
                <w:sz w:val="21"/>
                <w:szCs w:val="21"/>
                <w:u w:val="none"/>
                <w:lang w:val="en-US" w:eastAsia="zh-CN"/>
              </w:rPr>
            </w:pPr>
            <w:r>
              <w:rPr>
                <w:rFonts w:hint="eastAsia" w:ascii="宋体" w:hAnsi="宋体" w:eastAsia="宋体" w:cs="宋体"/>
                <w:b/>
                <w:bCs w:val="0"/>
                <w:i w:val="0"/>
                <w:iCs w:val="0"/>
                <w:color w:val="FF0000"/>
                <w:sz w:val="21"/>
                <w:szCs w:val="21"/>
                <w:u w:val="none"/>
                <w:lang w:val="en-US" w:eastAsia="zh-CN"/>
              </w:rPr>
              <w:t>拒绝进口</w:t>
            </w:r>
          </w:p>
        </w:tc>
        <w:tc>
          <w:tcPr>
            <w:tcW w:w="72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i w:val="0"/>
                <w:iCs w:val="0"/>
                <w:color w:val="FF0000"/>
                <w:sz w:val="21"/>
                <w:szCs w:val="21"/>
                <w:u w:val="none"/>
                <w:lang w:val="en-US" w:eastAsia="zh-CN"/>
              </w:rPr>
            </w:pPr>
            <w:r>
              <w:rPr>
                <w:rFonts w:hint="eastAsia" w:ascii="宋体" w:hAnsi="宋体" w:eastAsia="宋体" w:cs="宋体"/>
                <w:b/>
                <w:bCs w:val="0"/>
                <w:i w:val="0"/>
                <w:iCs w:val="0"/>
                <w:color w:val="FF0000"/>
                <w:sz w:val="21"/>
                <w:szCs w:val="21"/>
                <w:u w:val="none"/>
                <w:lang w:val="en-US" w:eastAsia="zh-CN"/>
              </w:rPr>
              <w:t>是</w:t>
            </w:r>
          </w:p>
        </w:tc>
        <w:tc>
          <w:tcPr>
            <w:tcW w:w="81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i w:val="0"/>
                <w:iCs w:val="0"/>
                <w:color w:val="FF0000"/>
                <w:sz w:val="21"/>
                <w:szCs w:val="21"/>
                <w:u w:val="none"/>
                <w:lang w:val="en-US" w:eastAsia="zh-CN"/>
              </w:rPr>
            </w:pPr>
            <w:r>
              <w:rPr>
                <w:rFonts w:hint="eastAsia" w:ascii="宋体" w:hAnsi="宋体" w:eastAsia="宋体" w:cs="宋体"/>
                <w:b/>
                <w:bCs w:val="0"/>
                <w:i w:val="0"/>
                <w:iCs w:val="0"/>
                <w:color w:val="FF0000"/>
                <w:sz w:val="21"/>
                <w:szCs w:val="21"/>
                <w:u w:val="no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6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color w:val="auto"/>
                <w:szCs w:val="21"/>
              </w:rPr>
            </w:pPr>
            <w:r>
              <w:rPr>
                <w:rFonts w:hint="eastAsia" w:ascii="宋体" w:hAnsi="宋体" w:eastAsia="宋体" w:cs="宋体"/>
                <w:b w:val="0"/>
                <w:bCs/>
                <w:color w:val="auto"/>
                <w:szCs w:val="21"/>
              </w:rPr>
              <w:t>2</w:t>
            </w:r>
          </w:p>
        </w:tc>
        <w:tc>
          <w:tcPr>
            <w:tcW w:w="745" w:type="pct"/>
            <w:vMerge w:val="continue"/>
            <w:vAlign w:val="center"/>
          </w:tcPr>
          <w:p>
            <w:pPr>
              <w:jc w:val="center"/>
              <w:rPr>
                <w:rFonts w:hint="eastAsia" w:ascii="宋体" w:hAnsi="宋体" w:eastAsia="宋体" w:cs="宋体"/>
                <w:i w:val="0"/>
                <w:iCs w:val="0"/>
                <w:color w:val="000000"/>
                <w:sz w:val="21"/>
                <w:szCs w:val="21"/>
                <w:u w:val="none"/>
                <w:lang w:val="en-US" w:eastAsia="zh-CN"/>
              </w:rPr>
            </w:pPr>
          </w:p>
        </w:tc>
        <w:tc>
          <w:tcPr>
            <w:tcW w:w="91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手摇升降课椅</w:t>
            </w:r>
          </w:p>
        </w:tc>
        <w:tc>
          <w:tcPr>
            <w:tcW w:w="40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600</w:t>
            </w:r>
          </w:p>
        </w:tc>
        <w:tc>
          <w:tcPr>
            <w:tcW w:w="37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张</w:t>
            </w:r>
          </w:p>
        </w:tc>
        <w:tc>
          <w:tcPr>
            <w:tcW w:w="64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i w:val="0"/>
                <w:iCs w:val="0"/>
                <w:color w:val="FF0000"/>
                <w:sz w:val="21"/>
                <w:szCs w:val="21"/>
                <w:u w:val="none"/>
                <w:lang w:val="en-US" w:eastAsia="zh-CN"/>
              </w:rPr>
            </w:pPr>
            <w:r>
              <w:rPr>
                <w:rFonts w:hint="eastAsia" w:ascii="宋体" w:hAnsi="宋体" w:eastAsia="宋体" w:cs="宋体"/>
                <w:b/>
                <w:bCs w:val="0"/>
                <w:i w:val="0"/>
                <w:iCs w:val="0"/>
                <w:color w:val="FF0000"/>
                <w:sz w:val="21"/>
                <w:szCs w:val="21"/>
                <w:u w:val="none"/>
                <w:lang w:val="en-US" w:eastAsia="zh-CN"/>
              </w:rPr>
              <w:t>拒绝进口</w:t>
            </w:r>
          </w:p>
        </w:tc>
        <w:tc>
          <w:tcPr>
            <w:tcW w:w="72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i w:val="0"/>
                <w:iCs w:val="0"/>
                <w:color w:val="FF0000"/>
                <w:sz w:val="21"/>
                <w:szCs w:val="21"/>
                <w:u w:val="none"/>
                <w:lang w:val="en-US" w:eastAsia="zh-CN"/>
              </w:rPr>
            </w:pPr>
            <w:r>
              <w:rPr>
                <w:rFonts w:hint="eastAsia" w:ascii="宋体" w:hAnsi="宋体" w:eastAsia="宋体" w:cs="宋体"/>
                <w:b/>
                <w:bCs w:val="0"/>
                <w:i w:val="0"/>
                <w:iCs w:val="0"/>
                <w:color w:val="FF0000"/>
                <w:sz w:val="21"/>
                <w:szCs w:val="21"/>
                <w:u w:val="none"/>
                <w:lang w:val="en-US" w:eastAsia="zh-CN"/>
              </w:rPr>
              <w:t>是</w:t>
            </w:r>
          </w:p>
        </w:tc>
        <w:tc>
          <w:tcPr>
            <w:tcW w:w="81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i w:val="0"/>
                <w:iCs w:val="0"/>
                <w:color w:val="FF0000"/>
                <w:sz w:val="21"/>
                <w:szCs w:val="21"/>
                <w:u w:val="none"/>
                <w:lang w:val="en-US" w:eastAsia="zh-CN"/>
              </w:rPr>
            </w:pPr>
            <w:r>
              <w:rPr>
                <w:rFonts w:hint="eastAsia" w:ascii="宋体" w:hAnsi="宋体" w:eastAsia="宋体" w:cs="宋体"/>
                <w:b/>
                <w:bCs w:val="0"/>
                <w:i w:val="0"/>
                <w:iCs w:val="0"/>
                <w:color w:val="FF0000"/>
                <w:sz w:val="21"/>
                <w:szCs w:val="21"/>
                <w:u w:val="none"/>
                <w:lang w:val="en-US" w:eastAsia="zh-CN"/>
              </w:rPr>
              <w:t>工业</w:t>
            </w:r>
          </w:p>
        </w:tc>
      </w:tr>
    </w:tbl>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numPr>
          <w:ilvl w:val="0"/>
          <w:numId w:val="5"/>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numPr>
          <w:ilvl w:val="0"/>
          <w:numId w:val="5"/>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pPr>
        <w:numPr>
          <w:ilvl w:val="0"/>
          <w:numId w:val="5"/>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pPr>
        <w:numPr>
          <w:ilvl w:val="0"/>
          <w:numId w:val="0"/>
        </w:numPr>
        <w:rPr>
          <w:rFonts w:hint="eastAsia" w:ascii="宋体" w:hAnsi="宋体" w:eastAsia="宋体" w:cs="Times New Roman"/>
          <w:b/>
          <w:color w:val="FF0000"/>
          <w:szCs w:val="21"/>
        </w:rPr>
      </w:pPr>
    </w:p>
    <w:p>
      <w:pPr>
        <w:numPr>
          <w:ilvl w:val="0"/>
          <w:numId w:val="5"/>
        </w:numPr>
        <w:ind w:firstLine="422" w:firstLineChars="200"/>
        <w:rPr>
          <w:rFonts w:ascii="宋体" w:hAnsi="宋体"/>
          <w:b/>
          <w:color w:val="FF0000"/>
          <w:szCs w:val="21"/>
        </w:rPr>
      </w:pPr>
      <w:r>
        <w:rPr>
          <w:rFonts w:hint="eastAsia" w:ascii="宋体" w:hAnsi="宋体"/>
          <w:b/>
          <w:color w:val="FF0000"/>
          <w:szCs w:val="21"/>
        </w:rPr>
        <w:t>本项目核心产品为：</w:t>
      </w:r>
      <w:r>
        <w:rPr>
          <w:rFonts w:hint="eastAsia" w:ascii="宋体" w:hAnsi="宋体"/>
          <w:b/>
          <w:color w:val="FF0000"/>
          <w:szCs w:val="21"/>
          <w:u w:val="single"/>
        </w:rPr>
        <w:t xml:space="preserve"> </w:t>
      </w:r>
      <w:r>
        <w:rPr>
          <w:rFonts w:hint="eastAsia" w:ascii="宋体" w:hAnsi="宋体" w:eastAsia="宋体" w:cs="宋体"/>
          <w:i w:val="0"/>
          <w:iCs w:val="0"/>
          <w:color w:val="000000"/>
          <w:sz w:val="28"/>
          <w:szCs w:val="28"/>
          <w:highlight w:val="yellow"/>
          <w:u w:val="single"/>
          <w:lang w:val="en-US" w:eastAsia="zh-CN"/>
        </w:rPr>
        <w:t>手摇升降课桌</w:t>
      </w:r>
      <w:r>
        <w:rPr>
          <w:rFonts w:hint="eastAsia" w:ascii="宋体" w:hAnsi="宋体"/>
          <w:b/>
          <w:color w:val="FF0000"/>
          <w:sz w:val="28"/>
          <w:szCs w:val="28"/>
          <w:u w:val="single"/>
        </w:rPr>
        <w:t xml:space="preserve"> </w:t>
      </w:r>
      <w:r>
        <w:rPr>
          <w:rFonts w:hint="eastAsia" w:ascii="宋体" w:hAnsi="宋体"/>
          <w:b/>
          <w:color w:val="FF0000"/>
          <w:sz w:val="28"/>
          <w:szCs w:val="28"/>
        </w:rPr>
        <w:t>。</w:t>
      </w:r>
    </w:p>
    <w:bookmarkEnd w:id="37"/>
    <w:p>
      <w:pPr>
        <w:rPr>
          <w:rFonts w:ascii="宋体" w:hAnsi="宋体"/>
          <w:b/>
          <w:color w:val="FF0000"/>
          <w:szCs w:val="21"/>
        </w:rPr>
      </w:pPr>
    </w:p>
    <w:p>
      <w:pPr>
        <w:pStyle w:val="5"/>
        <w:spacing w:before="120" w:beforeLines="50" w:after="120" w:afterLines="50"/>
        <w:jc w:val="center"/>
        <w:rPr>
          <w:b/>
          <w:bCs/>
          <w:sz w:val="28"/>
          <w:szCs w:val="28"/>
        </w:rPr>
      </w:pPr>
      <w:bookmarkStart w:id="39" w:name="_Toc128884461"/>
      <w:r>
        <w:rPr>
          <w:rFonts w:hint="eastAsia"/>
          <w:b/>
          <w:bCs/>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r>
              <w:rPr>
                <w:rFonts w:hint="eastAsia"/>
              </w:rPr>
              <w:t>序号</w:t>
            </w:r>
          </w:p>
        </w:tc>
        <w:tc>
          <w:tcPr>
            <w:tcW w:w="7832" w:type="dxa"/>
            <w:noWrap w:val="0"/>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pPr>
              <w:jc w:val="center"/>
            </w:pPr>
            <w:r>
              <w:rPr>
                <w:rFonts w:hint="eastAsia"/>
              </w:rPr>
              <w:t>1</w:t>
            </w:r>
          </w:p>
        </w:tc>
        <w:tc>
          <w:tcPr>
            <w:tcW w:w="7832" w:type="dxa"/>
            <w:noWrap w:val="0"/>
            <w:vAlign w:val="top"/>
          </w:tcPr>
          <w:p>
            <w:pPr>
              <w:jc w:val="center"/>
              <w:rPr>
                <w:rFonts w:hint="eastAsia" w:eastAsia="宋体"/>
                <w:lang w:eastAsia="zh-CN"/>
              </w:rPr>
            </w:pPr>
            <w:r>
              <w:rPr>
                <w:rFonts w:hint="eastAsia"/>
              </w:rPr>
              <w:t>本项目招标文件中所有带★号条款</w:t>
            </w:r>
            <w:r>
              <w:rPr>
                <w:rFonts w:hint="eastAsia"/>
                <w:lang w:val="en-US" w:eastAsia="zh-CN"/>
              </w:rPr>
              <w:t>内容</w:t>
            </w:r>
          </w:p>
        </w:tc>
      </w:tr>
    </w:tbl>
    <w:p>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pPr>
        <w:spacing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5"/>
        <w:spacing w:before="120" w:beforeLines="50" w:after="120" w:afterLines="50"/>
        <w:jc w:val="center"/>
        <w:rPr>
          <w:b/>
          <w:bCs/>
          <w:sz w:val="28"/>
          <w:szCs w:val="28"/>
        </w:rPr>
      </w:pPr>
      <w:r>
        <w:rPr>
          <w:rFonts w:hint="eastAsia"/>
          <w:b/>
          <w:bCs/>
          <w:sz w:val="28"/>
          <w:szCs w:val="28"/>
          <w:lang w:val="en-US" w:eastAsia="zh-CN"/>
        </w:rPr>
        <w:t>四</w:t>
      </w:r>
      <w:r>
        <w:rPr>
          <w:rFonts w:hint="eastAsia"/>
          <w:b/>
          <w:bCs/>
          <w:sz w:val="28"/>
          <w:szCs w:val="28"/>
        </w:rPr>
        <w:t>、技术要求</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tbl>
      <w:tblPr>
        <w:tblStyle w:val="17"/>
        <w:tblW w:w="8544"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0"/>
        <w:gridCol w:w="1190"/>
        <w:gridCol w:w="65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货物名称</w:t>
            </w:r>
          </w:p>
        </w:tc>
        <w:tc>
          <w:tcPr>
            <w:tcW w:w="653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招标技术要求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1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手摇升降课桌</w:t>
            </w:r>
          </w:p>
        </w:tc>
        <w:tc>
          <w:tcPr>
            <w:tcW w:w="653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A.注塑封边桌面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材质：采用高密度中纤板，厚度≥17mm，四边注塑封边；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 规格：（630W*430Dmm）±5mm；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numPr>
                <w:ilvl w:val="0"/>
                <w:numId w:val="0"/>
              </w:numPr>
              <w:suppressLineNumbers w:val="0"/>
              <w:ind w:leftChars="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3.▲注塑封边桌面：</w:t>
            </w:r>
          </w:p>
          <w:p>
            <w:pPr>
              <w:keepNext w:val="0"/>
              <w:keepLines w:val="0"/>
              <w:widowControl/>
              <w:numPr>
                <w:ilvl w:val="0"/>
                <w:numId w:val="0"/>
              </w:numPr>
              <w:suppressLineNumbers w:val="0"/>
              <w:ind w:leftChars="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检测项目</w:t>
            </w:r>
            <w:r>
              <w:rPr>
                <w:rFonts w:hint="eastAsia" w:ascii="宋体" w:hAnsi="宋体" w:eastAsia="宋体" w:cs="宋体"/>
                <w:i w:val="0"/>
                <w:iCs w:val="0"/>
                <w:color w:val="000000"/>
                <w:kern w:val="0"/>
                <w:sz w:val="21"/>
                <w:szCs w:val="21"/>
                <w:u w:val="none"/>
                <w:lang w:val="en-US" w:eastAsia="zh-CN" w:bidi="ar"/>
              </w:rPr>
              <w:t>包括但不限于：耐热性、耐磨性、耐开裂性、耐老化、表面胶合强度、含水率、封边条剥离强度、可迁移元素（铅、镉、铬、汞、砷、钡、锑、硒）、邻苯二甲酸酯（DBP、BBP、DEHP、DNOP、DINP和DIDP的总量）、甲醛释放量（ENF级）、苯、甲苯、二甲苯、总挥发性有机化合物（TVOC）释放量，</w:t>
            </w:r>
            <w:r>
              <w:rPr>
                <w:rFonts w:hint="eastAsia" w:ascii="宋体" w:hAnsi="宋体" w:eastAsia="宋体" w:cs="宋体"/>
                <w:b/>
                <w:bCs/>
                <w:i w:val="0"/>
                <w:iCs w:val="0"/>
                <w:color w:val="000000"/>
                <w:kern w:val="0"/>
                <w:sz w:val="21"/>
                <w:szCs w:val="21"/>
                <w:u w:val="none"/>
                <w:lang w:val="en-US" w:eastAsia="zh-CN" w:bidi="ar"/>
              </w:rPr>
              <w:t>以上内容检测合格。</w:t>
            </w:r>
          </w:p>
          <w:p>
            <w:pPr>
              <w:keepNext w:val="0"/>
              <w:keepLines w:val="0"/>
              <w:widowControl/>
              <w:numPr>
                <w:ilvl w:val="0"/>
                <w:numId w:val="0"/>
              </w:numPr>
              <w:suppressLineNumbers w:val="0"/>
              <w:ind w:leftChars="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检测依据</w:t>
            </w:r>
            <w:r>
              <w:rPr>
                <w:rFonts w:hint="eastAsia" w:ascii="宋体" w:hAnsi="宋体" w:eastAsia="宋体" w:cs="宋体"/>
                <w:i w:val="0"/>
                <w:iCs w:val="0"/>
                <w:color w:val="000000"/>
                <w:kern w:val="0"/>
                <w:sz w:val="21"/>
                <w:szCs w:val="21"/>
                <w:u w:val="none"/>
                <w:lang w:val="en-US" w:eastAsia="zh-CN" w:bidi="ar"/>
              </w:rPr>
              <w:t>包括但不限于GB/T 15102-2017《浸渍胶膜纸饰面纤维板和刨花板》、QB/T 4071-2021《课桌椅》、QB/T 4463-2013《家具用封边条技术条件》、GB/T 35601-2024《绿色产品评价 人造板和木质地板》标准。</w:t>
            </w:r>
          </w:p>
          <w:p>
            <w:pPr>
              <w:keepNext w:val="0"/>
              <w:keepLines w:val="0"/>
              <w:widowControl/>
              <w:numPr>
                <w:ilvl w:val="0"/>
                <w:numId w:val="0"/>
              </w:numPr>
              <w:suppressLineNumbers w:val="0"/>
              <w:ind w:leftChars="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B.书箱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 材质： 采用环保PP工程塑料一体注塑成型；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7"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 规格：</w:t>
            </w:r>
          </w:p>
          <w:p>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（1）200个书箱尺寸≥473W*325D*103Hmm；</w:t>
            </w:r>
          </w:p>
          <w:p>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（2）400个书箱尺寸≥430W*300D*96Hmm；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8"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numPr>
                <w:ilvl w:val="0"/>
                <w:numId w:val="6"/>
              </w:numPr>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▲书箱：</w:t>
            </w:r>
          </w:p>
          <w:p>
            <w:pPr>
              <w:keepNext w:val="0"/>
              <w:keepLines w:val="0"/>
              <w:widowControl/>
              <w:numPr>
                <w:ilvl w:val="0"/>
                <w:numId w:val="0"/>
              </w:numPr>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检测项目</w:t>
            </w:r>
            <w:r>
              <w:rPr>
                <w:rFonts w:hint="eastAsia" w:ascii="宋体" w:hAnsi="宋体" w:eastAsia="宋体" w:cs="宋体"/>
                <w:i w:val="0"/>
                <w:iCs w:val="0"/>
                <w:color w:val="000000"/>
                <w:kern w:val="0"/>
                <w:sz w:val="21"/>
                <w:szCs w:val="21"/>
                <w:u w:val="none"/>
                <w:lang w:val="en-US" w:eastAsia="zh-CN" w:bidi="ar"/>
              </w:rPr>
              <w:t>包含但不限于：邻苯二甲酸酯（DBP、BBP、DEHP、DNOP、DINP、DIDP）、重金属（可溶性铅、可溶性镉、可溶性铬、可溶性汞）、多环芳烃【苯并[α]芘、16种多环芳烃（PAH）总量】、多溴联苯、多溴二苯醚，</w:t>
            </w:r>
            <w:r>
              <w:rPr>
                <w:rFonts w:hint="eastAsia" w:ascii="宋体" w:hAnsi="宋体" w:eastAsia="宋体" w:cs="宋体"/>
                <w:b/>
                <w:bCs/>
                <w:i w:val="0"/>
                <w:iCs w:val="0"/>
                <w:color w:val="000000"/>
                <w:kern w:val="0"/>
                <w:sz w:val="21"/>
                <w:szCs w:val="21"/>
                <w:u w:val="none"/>
                <w:lang w:val="en-US" w:eastAsia="zh-CN" w:bidi="ar"/>
              </w:rPr>
              <w:t>以上内容检测合格。</w:t>
            </w:r>
          </w:p>
          <w:p>
            <w:pPr>
              <w:keepNext w:val="0"/>
              <w:keepLines w:val="0"/>
              <w:widowControl/>
              <w:numPr>
                <w:ilvl w:val="0"/>
                <w:numId w:val="0"/>
              </w:numPr>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检测依据</w:t>
            </w:r>
            <w:r>
              <w:rPr>
                <w:rFonts w:hint="eastAsia" w:ascii="宋体" w:hAnsi="宋体" w:eastAsia="宋体" w:cs="宋体"/>
                <w:i w:val="0"/>
                <w:iCs w:val="0"/>
                <w:color w:val="000000"/>
                <w:kern w:val="0"/>
                <w:sz w:val="21"/>
                <w:szCs w:val="21"/>
                <w:u w:val="none"/>
                <w:lang w:val="en-US" w:eastAsia="zh-CN" w:bidi="ar"/>
              </w:rPr>
              <w:t>包括但不限于：GB/T 32487-2016 《塑料家具通用技术条件》标准。</w:t>
            </w:r>
          </w:p>
          <w:p>
            <w:pPr>
              <w:keepNext w:val="0"/>
              <w:keepLines w:val="0"/>
              <w:widowControl/>
              <w:numPr>
                <w:ilvl w:val="0"/>
                <w:numId w:val="0"/>
              </w:numPr>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C.桌脚钢架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3"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 材质及规格:</w:t>
            </w:r>
          </w:p>
          <w:p>
            <w:pPr>
              <w:keepNext w:val="0"/>
              <w:keepLines w:val="0"/>
              <w:pageBreakBefore w:val="0"/>
              <w:widowControl/>
              <w:suppressLineNumbers w:val="0"/>
              <w:kinsoku/>
              <w:wordWrap/>
              <w:overflowPunct/>
              <w:topLinePunct w:val="0"/>
              <w:autoSpaceDE/>
              <w:autoSpaceDN/>
              <w:bidi w:val="0"/>
              <w:adjustRightInd/>
              <w:snapToGrid/>
              <w:ind w:firstLineChars="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桌脚立柱:采用（50*30mm）±5mm椭圆形冷轧钢管，壁厚≥1.3mm；</w:t>
            </w:r>
          </w:p>
          <w:p>
            <w:pPr>
              <w:keepNext w:val="0"/>
              <w:keepLines w:val="0"/>
              <w:pageBreakBefore w:val="0"/>
              <w:widowControl/>
              <w:suppressLineNumbers w:val="0"/>
              <w:kinsoku/>
              <w:wordWrap/>
              <w:overflowPunct/>
              <w:topLinePunct w:val="0"/>
              <w:autoSpaceDE/>
              <w:autoSpaceDN/>
              <w:bidi w:val="0"/>
              <w:adjustRightInd/>
              <w:snapToGrid/>
              <w:ind w:firstLineChars="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桌脚升降立柱：采用（42*22mm）±5mm椭圆形冷轧钢管，壁厚≥1.3mm，外侧方配有激光雕刻成型的国标刻度；</w:t>
            </w:r>
          </w:p>
          <w:p>
            <w:pPr>
              <w:keepNext w:val="0"/>
              <w:keepLines w:val="0"/>
              <w:pageBreakBefore w:val="0"/>
              <w:widowControl/>
              <w:suppressLineNumbers w:val="0"/>
              <w:kinsoku/>
              <w:wordWrap/>
              <w:overflowPunct/>
              <w:topLinePunct w:val="0"/>
              <w:autoSpaceDE/>
              <w:autoSpaceDN/>
              <w:bidi w:val="0"/>
              <w:adjustRightInd/>
              <w:snapToGrid/>
              <w:ind w:firstLineChars="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桌脚拉杆：采用直径（20*40mm）±5mmD形冷轧钢管，壁厚为≥1.3mm；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 形状：钢架立柱底部和底柱前端采用斜角焊接设计，增大腿部活动空间；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工艺：钢材焊接采用二氧化碳亚弧焊接，焊接表面波纹均匀，并保证焊处无夹渣、气孔、焊瘤、焊丝头咬边和飞溅，无脱焊、虚焊、焊穿等现象，所有焊接口打磨光滑平整；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3"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numPr>
                <w:ilvl w:val="0"/>
                <w:numId w:val="7"/>
              </w:numPr>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▲课桌支架：</w:t>
            </w:r>
          </w:p>
          <w:p>
            <w:pPr>
              <w:keepNext w:val="0"/>
              <w:keepLines w:val="0"/>
              <w:widowControl/>
              <w:numPr>
                <w:ilvl w:val="0"/>
                <w:numId w:val="0"/>
              </w:numPr>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检测项目</w:t>
            </w:r>
            <w:r>
              <w:rPr>
                <w:rFonts w:hint="eastAsia" w:ascii="宋体" w:hAnsi="宋体" w:eastAsia="宋体" w:cs="宋体"/>
                <w:i w:val="0"/>
                <w:iCs w:val="0"/>
                <w:color w:val="000000"/>
                <w:kern w:val="0"/>
                <w:sz w:val="21"/>
                <w:szCs w:val="21"/>
                <w:u w:val="none"/>
                <w:lang w:val="en-US" w:eastAsia="zh-CN" w:bidi="ar"/>
              </w:rPr>
              <w:t>包括但不限于：耐腐蚀试验（铜盐加速乙酸盐雾试验240h-镀（涂）层本身的耐腐蚀等级不低于10级、铜盐加速乙酸盐雾试验240h-镀（涂）层基体的保护等级不低于10级）、金属喷漆（塑）层-硬度不小于5H、金属喷涂层-涂层厚度不低于80μm，</w:t>
            </w:r>
            <w:r>
              <w:rPr>
                <w:rFonts w:hint="eastAsia" w:ascii="宋体" w:hAnsi="宋体" w:eastAsia="宋体" w:cs="宋体"/>
                <w:b/>
                <w:bCs/>
                <w:i w:val="0"/>
                <w:iCs w:val="0"/>
                <w:color w:val="000000"/>
                <w:kern w:val="0"/>
                <w:sz w:val="21"/>
                <w:szCs w:val="21"/>
                <w:u w:val="none"/>
                <w:lang w:val="en-US" w:eastAsia="zh-CN" w:bidi="ar"/>
              </w:rPr>
              <w:t>以上内容检测合格。</w:t>
            </w:r>
          </w:p>
          <w:p>
            <w:pPr>
              <w:keepNext w:val="0"/>
              <w:keepLines w:val="0"/>
              <w:widowControl/>
              <w:numPr>
                <w:ilvl w:val="0"/>
                <w:numId w:val="0"/>
              </w:numPr>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检测依据</w:t>
            </w:r>
            <w:r>
              <w:rPr>
                <w:rFonts w:hint="eastAsia" w:ascii="宋体" w:hAnsi="宋体" w:eastAsia="宋体" w:cs="宋体"/>
                <w:i w:val="0"/>
                <w:iCs w:val="0"/>
                <w:color w:val="000000"/>
                <w:kern w:val="0"/>
                <w:sz w:val="21"/>
                <w:szCs w:val="21"/>
                <w:u w:val="none"/>
                <w:lang w:val="en-US" w:eastAsia="zh-CN" w:bidi="ar"/>
              </w:rPr>
              <w:t>包括但不限于：QB/T 1951.2-2013《金属家具 质量检验及质量评定》、QB/T4767-2014《家具用钢构件》、QB/T3828-1999《轻工产品金属镀层和化学处理层的耐腐蚀试验方法 铜盐加速乙酸盐雾试验法》标准。</w:t>
            </w:r>
          </w:p>
          <w:p>
            <w:pPr>
              <w:keepNext w:val="0"/>
              <w:keepLines w:val="0"/>
              <w:widowControl/>
              <w:numPr>
                <w:ilvl w:val="0"/>
                <w:numId w:val="0"/>
              </w:numPr>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D.前后脚垫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 材质：采用环保聚丙烯共聚塑料注塑成型；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 前脚垫尺寸：（104mm*45mm*95mm）±5mm；</w:t>
            </w:r>
          </w:p>
          <w:p>
            <w:pPr>
              <w:keepNext w:val="0"/>
              <w:keepLines w:val="0"/>
              <w:widowControl/>
              <w:suppressLineNumbers w:val="0"/>
              <w:ind w:firstLine="420" w:firstLineChars="20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后脚垫尺寸：（73mm*38mm*60mm）±5mm；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 功能：脚套底部可加软质防滑脚垫及防倾倒功能设计。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84"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numPr>
                <w:ilvl w:val="0"/>
                <w:numId w:val="8"/>
              </w:numPr>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▲脚垫：</w:t>
            </w:r>
          </w:p>
          <w:p>
            <w:pPr>
              <w:keepNext w:val="0"/>
              <w:keepLines w:val="0"/>
              <w:widowControl/>
              <w:numPr>
                <w:ilvl w:val="0"/>
                <w:numId w:val="0"/>
              </w:numPr>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检测项目</w:t>
            </w:r>
            <w:r>
              <w:rPr>
                <w:rFonts w:hint="eastAsia" w:ascii="宋体" w:hAnsi="宋体" w:eastAsia="宋体" w:cs="宋体"/>
                <w:i w:val="0"/>
                <w:iCs w:val="0"/>
                <w:color w:val="000000"/>
                <w:kern w:val="0"/>
                <w:sz w:val="21"/>
                <w:szCs w:val="21"/>
                <w:u w:val="none"/>
                <w:lang w:val="en-US" w:eastAsia="zh-CN" w:bidi="ar"/>
              </w:rPr>
              <w:t>包括但不限于：邻苯二甲酸二丁酯、邻苯二甲酸丁酯芐酯、邻苯二甲酸-2-乙基己基酯、邻苯二甲酸二正辛酯、邻苯二甲酸二异壬酯、邻苯二甲酸二异癸酯、可溶性铅、可溶性镉、可溶性铬、可溶性汞、苯并芘、16种多环芳烃总量、耐冷热循环，</w:t>
            </w:r>
            <w:r>
              <w:rPr>
                <w:rFonts w:hint="eastAsia" w:ascii="宋体" w:hAnsi="宋体" w:eastAsia="宋体" w:cs="宋体"/>
                <w:b/>
                <w:bCs/>
                <w:i w:val="0"/>
                <w:iCs w:val="0"/>
                <w:color w:val="000000"/>
                <w:kern w:val="0"/>
                <w:sz w:val="21"/>
                <w:szCs w:val="21"/>
                <w:u w:val="none"/>
                <w:lang w:val="en-US" w:eastAsia="zh-CN" w:bidi="ar"/>
              </w:rPr>
              <w:t>以上内容检测合格。</w:t>
            </w:r>
          </w:p>
          <w:p>
            <w:pPr>
              <w:keepNext w:val="0"/>
              <w:keepLines w:val="0"/>
              <w:widowControl/>
              <w:numPr>
                <w:ilvl w:val="0"/>
                <w:numId w:val="0"/>
              </w:numPr>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检测依据</w:t>
            </w:r>
            <w:r>
              <w:rPr>
                <w:rFonts w:hint="eastAsia" w:ascii="宋体" w:hAnsi="宋体" w:eastAsia="宋体" w:cs="宋体"/>
                <w:i w:val="0"/>
                <w:iCs w:val="0"/>
                <w:color w:val="000000"/>
                <w:kern w:val="0"/>
                <w:sz w:val="21"/>
                <w:szCs w:val="21"/>
                <w:u w:val="none"/>
                <w:lang w:val="en-US" w:eastAsia="zh-CN" w:bidi="ar"/>
              </w:rPr>
              <w:t>包括但不限于： GB/T32487-2016《塑料家具通用技术条件》标准。</w:t>
            </w:r>
          </w:p>
          <w:p>
            <w:pPr>
              <w:keepNext w:val="0"/>
              <w:keepLines w:val="0"/>
              <w:widowControl/>
              <w:numPr>
                <w:ilvl w:val="0"/>
                <w:numId w:val="0"/>
              </w:numPr>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E.挂钩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 材质：采用环保PP（聚丙烯）塑料注塑成型；功能：挂钩整体为蘑菇形外观设计，与钢管穿入式连接，底部与钢管螺丝锁定，安全牢固</w:t>
            </w:r>
            <w:r>
              <w:rPr>
                <w:rFonts w:hint="eastAsia" w:ascii="宋体" w:hAnsi="宋体" w:eastAsia="宋体" w:cs="宋体"/>
                <w:b/>
                <w:bCs/>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 挂钩尺寸：（φ30 mm*20mm ） ±5mm；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0"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numPr>
                <w:ilvl w:val="0"/>
                <w:numId w:val="9"/>
              </w:numPr>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▲PP塑料：</w:t>
            </w:r>
          </w:p>
          <w:p>
            <w:pPr>
              <w:keepNext w:val="0"/>
              <w:keepLines w:val="0"/>
              <w:widowControl/>
              <w:numPr>
                <w:ilvl w:val="0"/>
                <w:numId w:val="0"/>
              </w:numPr>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检测项目</w:t>
            </w:r>
            <w:r>
              <w:rPr>
                <w:rFonts w:hint="eastAsia" w:ascii="宋体" w:hAnsi="宋体" w:eastAsia="宋体" w:cs="宋体"/>
                <w:i w:val="0"/>
                <w:iCs w:val="0"/>
                <w:color w:val="000000"/>
                <w:kern w:val="0"/>
                <w:sz w:val="21"/>
                <w:szCs w:val="21"/>
                <w:u w:val="none"/>
                <w:lang w:val="en-US" w:eastAsia="zh-CN" w:bidi="ar"/>
              </w:rPr>
              <w:t>包括但不限于：邻苯二甲酸酯（DBP、BBP、DEHP、DNOP、DINP、DIDP），</w:t>
            </w:r>
            <w:r>
              <w:rPr>
                <w:rFonts w:hint="eastAsia" w:ascii="宋体" w:hAnsi="宋体" w:eastAsia="宋体" w:cs="宋体"/>
                <w:b/>
                <w:bCs/>
                <w:i w:val="0"/>
                <w:iCs w:val="0"/>
                <w:color w:val="000000"/>
                <w:kern w:val="0"/>
                <w:sz w:val="21"/>
                <w:szCs w:val="21"/>
                <w:u w:val="none"/>
                <w:lang w:val="en-US" w:eastAsia="zh-CN" w:bidi="ar"/>
              </w:rPr>
              <w:t>以上内容检测合格。</w:t>
            </w:r>
          </w:p>
          <w:p>
            <w:pPr>
              <w:keepNext w:val="0"/>
              <w:keepLines w:val="0"/>
              <w:widowControl/>
              <w:numPr>
                <w:ilvl w:val="0"/>
                <w:numId w:val="0"/>
              </w:numPr>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检测依据</w:t>
            </w:r>
            <w:r>
              <w:rPr>
                <w:rFonts w:hint="eastAsia" w:ascii="宋体" w:hAnsi="宋体" w:eastAsia="宋体" w:cs="宋体"/>
                <w:i w:val="0"/>
                <w:iCs w:val="0"/>
                <w:color w:val="000000"/>
                <w:kern w:val="0"/>
                <w:sz w:val="21"/>
                <w:szCs w:val="21"/>
                <w:u w:val="none"/>
                <w:lang w:val="en-US" w:eastAsia="zh-CN" w:bidi="ar"/>
              </w:rPr>
              <w:t>包括但不限于：《塑料家具中有害物质限量》标准。</w:t>
            </w:r>
          </w:p>
          <w:p>
            <w:pPr>
              <w:keepNext w:val="0"/>
              <w:keepLines w:val="0"/>
              <w:widowControl/>
              <w:numPr>
                <w:ilvl w:val="0"/>
                <w:numId w:val="0"/>
              </w:numPr>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F. 其他配件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5"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numPr>
                <w:ilvl w:val="0"/>
                <w:numId w:val="9"/>
              </w:numPr>
              <w:suppressLineNumbers w:val="0"/>
              <w:ind w:left="0" w:leftChars="0" w:firstLine="0" w:firstLineChars="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调节机构：采用手摇隐藏螺杆机械式调节机构调节高低，可调节高度分别为：</w:t>
            </w:r>
          </w:p>
          <w:p>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200张课桌可调节高度670mm-790mm；</w:t>
            </w:r>
          </w:p>
          <w:p>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 400张课桌可调节高度610mm-730mm。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1"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numPr>
                <w:ilvl w:val="0"/>
                <w:numId w:val="9"/>
              </w:numPr>
              <w:suppressLineNumbers w:val="0"/>
              <w:ind w:left="0" w:leftChars="0" w:firstLine="0" w:firstLineChars="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▲手摇升降课桌椅系统：</w:t>
            </w:r>
          </w:p>
          <w:p>
            <w:pPr>
              <w:keepNext w:val="0"/>
              <w:keepLines w:val="0"/>
              <w:widowControl/>
              <w:numPr>
                <w:ilvl w:val="0"/>
                <w:numId w:val="0"/>
              </w:numPr>
              <w:suppressLineNumbers w:val="0"/>
              <w:ind w:leftChars="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检测项目</w:t>
            </w:r>
            <w:r>
              <w:rPr>
                <w:rFonts w:hint="eastAsia" w:ascii="宋体" w:hAnsi="宋体" w:eastAsia="宋体" w:cs="宋体"/>
                <w:i w:val="0"/>
                <w:iCs w:val="0"/>
                <w:color w:val="000000"/>
                <w:kern w:val="0"/>
                <w:sz w:val="21"/>
                <w:szCs w:val="21"/>
                <w:u w:val="none"/>
                <w:lang w:val="en-US" w:eastAsia="zh-CN" w:bidi="ar"/>
              </w:rPr>
              <w:t>包括但不限于：垂直耐久性试验（4级：加载力：≥300N；循环次数：≥20000次）、其他桌面的垂直冲击试验（4级：冲击高度：≥180mm）、升降机构耐久性试验（4级：负载：30KG；循环次数：≥10000次），</w:t>
            </w:r>
            <w:r>
              <w:rPr>
                <w:rFonts w:hint="eastAsia" w:ascii="宋体" w:hAnsi="宋体" w:eastAsia="宋体" w:cs="宋体"/>
                <w:b/>
                <w:bCs/>
                <w:i w:val="0"/>
                <w:iCs w:val="0"/>
                <w:color w:val="000000"/>
                <w:kern w:val="0"/>
                <w:sz w:val="21"/>
                <w:szCs w:val="21"/>
                <w:u w:val="none"/>
                <w:lang w:val="en-US" w:eastAsia="zh-CN" w:bidi="ar"/>
              </w:rPr>
              <w:t>以上内容检测合格。</w:t>
            </w:r>
          </w:p>
          <w:p>
            <w:pPr>
              <w:keepNext w:val="0"/>
              <w:keepLines w:val="0"/>
              <w:widowControl/>
              <w:numPr>
                <w:ilvl w:val="0"/>
                <w:numId w:val="0"/>
              </w:numPr>
              <w:suppressLineNumbers w:val="0"/>
              <w:ind w:leftChars="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检测依据</w:t>
            </w:r>
            <w:r>
              <w:rPr>
                <w:rFonts w:hint="eastAsia" w:ascii="宋体" w:hAnsi="宋体" w:eastAsia="宋体" w:cs="宋体"/>
                <w:i w:val="0"/>
                <w:iCs w:val="0"/>
                <w:color w:val="000000"/>
                <w:kern w:val="0"/>
                <w:sz w:val="21"/>
                <w:szCs w:val="21"/>
                <w:u w:val="none"/>
                <w:lang w:val="en-US" w:eastAsia="zh-CN" w:bidi="ar"/>
              </w:rPr>
              <w:t>包括但不限于：GB/T 10357.1-2024《家具力学性能试验 第1部分：桌类强度和耐久性》标准。</w:t>
            </w:r>
          </w:p>
          <w:p>
            <w:pPr>
              <w:keepNext w:val="0"/>
              <w:keepLines w:val="0"/>
              <w:widowControl/>
              <w:numPr>
                <w:ilvl w:val="0"/>
                <w:numId w:val="0"/>
              </w:numPr>
              <w:suppressLineNumbers w:val="0"/>
              <w:ind w:leftChars="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1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手摇升降课椅</w:t>
            </w:r>
          </w:p>
        </w:tc>
        <w:tc>
          <w:tcPr>
            <w:tcW w:w="653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G.靠背：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 材质：采用环保聚丙烯共聚塑料注塑成型；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 尺寸：（410W*360Dmm）±5mm；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H.椅板：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5"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 材质：采用环保聚丙烯共聚塑料经模具注塑成型，包裹底部连接杆；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 尺寸：（415W*410Dmm）±5mm；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8"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numPr>
                <w:ilvl w:val="0"/>
                <w:numId w:val="1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▲椅板：</w:t>
            </w:r>
          </w:p>
          <w:p>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检测项目</w:t>
            </w:r>
            <w:r>
              <w:rPr>
                <w:rFonts w:hint="eastAsia" w:ascii="宋体" w:hAnsi="宋体" w:eastAsia="宋体" w:cs="宋体"/>
                <w:i w:val="0"/>
                <w:iCs w:val="0"/>
                <w:color w:val="000000"/>
                <w:kern w:val="0"/>
                <w:sz w:val="21"/>
                <w:szCs w:val="21"/>
                <w:u w:val="none"/>
                <w:lang w:val="en-US" w:eastAsia="zh-CN" w:bidi="ar"/>
              </w:rPr>
              <w:t>包含但不限于：邻苯二甲酸酯（</w:t>
            </w:r>
            <w:r>
              <w:rPr>
                <w:rStyle w:val="44"/>
                <w:lang w:val="en-US" w:eastAsia="zh-CN" w:bidi="ar"/>
              </w:rPr>
              <w:t>DBP</w:t>
            </w:r>
            <w:r>
              <w:rPr>
                <w:rFonts w:hint="eastAsia" w:ascii="宋体" w:hAnsi="宋体" w:eastAsia="宋体" w:cs="宋体"/>
                <w:i w:val="0"/>
                <w:iCs w:val="0"/>
                <w:color w:val="000000"/>
                <w:kern w:val="0"/>
                <w:sz w:val="21"/>
                <w:szCs w:val="21"/>
                <w:u w:val="none"/>
                <w:lang w:val="en-US" w:eastAsia="zh-CN" w:bidi="ar"/>
              </w:rPr>
              <w:t>、</w:t>
            </w:r>
            <w:r>
              <w:rPr>
                <w:rStyle w:val="44"/>
                <w:lang w:val="en-US" w:eastAsia="zh-CN" w:bidi="ar"/>
              </w:rPr>
              <w:t>BBP</w:t>
            </w:r>
            <w:r>
              <w:rPr>
                <w:rFonts w:hint="eastAsia" w:ascii="宋体" w:hAnsi="宋体" w:eastAsia="宋体" w:cs="宋体"/>
                <w:i w:val="0"/>
                <w:iCs w:val="0"/>
                <w:color w:val="000000"/>
                <w:kern w:val="0"/>
                <w:sz w:val="21"/>
                <w:szCs w:val="21"/>
                <w:u w:val="none"/>
                <w:lang w:val="en-US" w:eastAsia="zh-CN" w:bidi="ar"/>
              </w:rPr>
              <w:t>、</w:t>
            </w:r>
            <w:r>
              <w:rPr>
                <w:rStyle w:val="44"/>
                <w:lang w:val="en-US" w:eastAsia="zh-CN" w:bidi="ar"/>
              </w:rPr>
              <w:t>DEHP</w:t>
            </w:r>
            <w:r>
              <w:rPr>
                <w:rFonts w:hint="eastAsia" w:ascii="宋体" w:hAnsi="宋体" w:eastAsia="宋体" w:cs="宋体"/>
                <w:i w:val="0"/>
                <w:iCs w:val="0"/>
                <w:color w:val="000000"/>
                <w:kern w:val="0"/>
                <w:sz w:val="21"/>
                <w:szCs w:val="21"/>
                <w:u w:val="none"/>
                <w:lang w:val="en-US" w:eastAsia="zh-CN" w:bidi="ar"/>
              </w:rPr>
              <w:t>、</w:t>
            </w:r>
            <w:r>
              <w:rPr>
                <w:rStyle w:val="44"/>
                <w:lang w:val="en-US" w:eastAsia="zh-CN" w:bidi="ar"/>
              </w:rPr>
              <w:t>DNOP</w:t>
            </w:r>
            <w:r>
              <w:rPr>
                <w:rFonts w:hint="eastAsia" w:ascii="宋体" w:hAnsi="宋体" w:eastAsia="宋体" w:cs="宋体"/>
                <w:i w:val="0"/>
                <w:iCs w:val="0"/>
                <w:color w:val="000000"/>
                <w:kern w:val="0"/>
                <w:sz w:val="21"/>
                <w:szCs w:val="21"/>
                <w:u w:val="none"/>
                <w:lang w:val="en-US" w:eastAsia="zh-CN" w:bidi="ar"/>
              </w:rPr>
              <w:t>、</w:t>
            </w:r>
            <w:r>
              <w:rPr>
                <w:rStyle w:val="44"/>
                <w:lang w:val="en-US" w:eastAsia="zh-CN" w:bidi="ar"/>
              </w:rPr>
              <w:t>DINP</w:t>
            </w:r>
            <w:r>
              <w:rPr>
                <w:rFonts w:hint="eastAsia" w:ascii="宋体" w:hAnsi="宋体" w:eastAsia="宋体" w:cs="宋体"/>
                <w:i w:val="0"/>
                <w:iCs w:val="0"/>
                <w:color w:val="000000"/>
                <w:kern w:val="0"/>
                <w:sz w:val="21"/>
                <w:szCs w:val="21"/>
                <w:u w:val="none"/>
                <w:lang w:val="en-US" w:eastAsia="zh-CN" w:bidi="ar"/>
              </w:rPr>
              <w:t>、</w:t>
            </w:r>
            <w:r>
              <w:rPr>
                <w:rStyle w:val="44"/>
                <w:lang w:val="en-US" w:eastAsia="zh-CN" w:bidi="ar"/>
              </w:rPr>
              <w:t>DIDP</w:t>
            </w:r>
            <w:r>
              <w:rPr>
                <w:rFonts w:hint="eastAsia" w:ascii="宋体" w:hAnsi="宋体" w:eastAsia="宋体" w:cs="宋体"/>
                <w:i w:val="0"/>
                <w:iCs w:val="0"/>
                <w:color w:val="000000"/>
                <w:kern w:val="0"/>
                <w:sz w:val="21"/>
                <w:szCs w:val="21"/>
                <w:u w:val="none"/>
                <w:lang w:val="en-US" w:eastAsia="zh-CN" w:bidi="ar"/>
              </w:rPr>
              <w:t>）、重金属（可溶性铅、可溶性镉、可溶性铬、可溶性汞）、多环芳烃【苯并</w:t>
            </w:r>
            <w:r>
              <w:rPr>
                <w:rStyle w:val="44"/>
                <w:lang w:val="en-US" w:eastAsia="zh-CN" w:bidi="ar"/>
              </w:rPr>
              <w:t>[</w:t>
            </w:r>
            <w:r>
              <w:rPr>
                <w:rFonts w:hint="eastAsia" w:ascii="宋体" w:hAnsi="宋体" w:eastAsia="宋体" w:cs="宋体"/>
                <w:i w:val="0"/>
                <w:iCs w:val="0"/>
                <w:color w:val="000000"/>
                <w:kern w:val="0"/>
                <w:sz w:val="21"/>
                <w:szCs w:val="21"/>
                <w:u w:val="none"/>
                <w:lang w:val="en-US" w:eastAsia="zh-CN" w:bidi="ar"/>
              </w:rPr>
              <w:t>α</w:t>
            </w:r>
            <w:r>
              <w:rPr>
                <w:rStyle w:val="44"/>
                <w:lang w:val="en-US" w:eastAsia="zh-CN" w:bidi="ar"/>
              </w:rPr>
              <w:t>]</w:t>
            </w:r>
            <w:r>
              <w:rPr>
                <w:rFonts w:hint="eastAsia" w:ascii="宋体" w:hAnsi="宋体" w:eastAsia="宋体" w:cs="宋体"/>
                <w:i w:val="0"/>
                <w:iCs w:val="0"/>
                <w:color w:val="000000"/>
                <w:kern w:val="0"/>
                <w:sz w:val="21"/>
                <w:szCs w:val="21"/>
                <w:u w:val="none"/>
                <w:lang w:val="en-US" w:eastAsia="zh-CN" w:bidi="ar"/>
              </w:rPr>
              <w:t>芘、</w:t>
            </w:r>
            <w:r>
              <w:rPr>
                <w:rStyle w:val="44"/>
                <w:lang w:val="en-US" w:eastAsia="zh-CN" w:bidi="ar"/>
              </w:rPr>
              <w:t>16</w:t>
            </w:r>
            <w:r>
              <w:rPr>
                <w:rFonts w:hint="eastAsia" w:ascii="宋体" w:hAnsi="宋体" w:eastAsia="宋体" w:cs="宋体"/>
                <w:i w:val="0"/>
                <w:iCs w:val="0"/>
                <w:color w:val="000000"/>
                <w:kern w:val="0"/>
                <w:sz w:val="21"/>
                <w:szCs w:val="21"/>
                <w:u w:val="none"/>
                <w:lang w:val="en-US" w:eastAsia="zh-CN" w:bidi="ar"/>
              </w:rPr>
              <w:t>种多环芳烃（</w:t>
            </w:r>
            <w:r>
              <w:rPr>
                <w:rStyle w:val="44"/>
                <w:lang w:val="en-US" w:eastAsia="zh-CN" w:bidi="ar"/>
              </w:rPr>
              <w:t>PAH</w:t>
            </w:r>
            <w:r>
              <w:rPr>
                <w:rFonts w:hint="eastAsia" w:ascii="宋体" w:hAnsi="宋体" w:eastAsia="宋体" w:cs="宋体"/>
                <w:i w:val="0"/>
                <w:iCs w:val="0"/>
                <w:color w:val="000000"/>
                <w:kern w:val="0"/>
                <w:sz w:val="21"/>
                <w:szCs w:val="21"/>
                <w:u w:val="none"/>
                <w:lang w:val="en-US" w:eastAsia="zh-CN" w:bidi="ar"/>
              </w:rPr>
              <w:t>）总量】、多溴联苯、多溴二苯醚，</w:t>
            </w:r>
            <w:r>
              <w:rPr>
                <w:rFonts w:hint="eastAsia" w:ascii="宋体" w:hAnsi="宋体" w:eastAsia="宋体" w:cs="宋体"/>
                <w:b/>
                <w:bCs/>
                <w:i w:val="0"/>
                <w:iCs w:val="0"/>
                <w:color w:val="000000"/>
                <w:kern w:val="0"/>
                <w:sz w:val="21"/>
                <w:szCs w:val="21"/>
                <w:u w:val="none"/>
                <w:lang w:val="en-US" w:eastAsia="zh-CN" w:bidi="ar"/>
              </w:rPr>
              <w:t>以上内容检测合格。</w:t>
            </w:r>
          </w:p>
          <w:p>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检测依据</w:t>
            </w:r>
            <w:r>
              <w:rPr>
                <w:rFonts w:hint="eastAsia" w:ascii="宋体" w:hAnsi="宋体" w:eastAsia="宋体" w:cs="宋体"/>
                <w:i w:val="0"/>
                <w:iCs w:val="0"/>
                <w:color w:val="000000"/>
                <w:kern w:val="0"/>
                <w:sz w:val="21"/>
                <w:szCs w:val="21"/>
                <w:u w:val="none"/>
                <w:lang w:val="en-US" w:eastAsia="zh-CN" w:bidi="ar"/>
              </w:rPr>
              <w:t>包括但不限于：</w:t>
            </w:r>
            <w:r>
              <w:rPr>
                <w:rStyle w:val="44"/>
                <w:lang w:val="en-US" w:eastAsia="zh-CN" w:bidi="ar"/>
              </w:rPr>
              <w:t xml:space="preserve">GB/T 32487-2016 </w:t>
            </w:r>
            <w:r>
              <w:rPr>
                <w:rFonts w:hint="eastAsia" w:ascii="宋体" w:hAnsi="宋体" w:eastAsia="宋体" w:cs="宋体"/>
                <w:i w:val="0"/>
                <w:iCs w:val="0"/>
                <w:color w:val="000000"/>
                <w:kern w:val="0"/>
                <w:sz w:val="21"/>
                <w:szCs w:val="21"/>
                <w:u w:val="none"/>
                <w:lang w:val="en-US" w:eastAsia="zh-CN" w:bidi="ar"/>
              </w:rPr>
              <w:t>《塑料家具通用技术条件》标准。</w:t>
            </w:r>
          </w:p>
          <w:p>
            <w:pPr>
              <w:keepNext w:val="0"/>
              <w:keepLines w:val="0"/>
              <w:widowControl/>
              <w:numPr>
                <w:ilvl w:val="0"/>
                <w:numId w:val="0"/>
              </w:numPr>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I.椅腿钢架：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7"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 材质及规格:</w:t>
            </w:r>
          </w:p>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立柱:采用（50*30mm）±5mm椭圆形冷轧钢管，壁厚≥1.3mm；</w:t>
            </w:r>
          </w:p>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升降立柱：采用（42*22mm）±5mm椭圆形冷轧钢管，壁厚为≥1.3mm，外侧方配有激光雕刻成型的国标刻度；</w:t>
            </w:r>
          </w:p>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椅脚拉杆：采用（20*40mm）±5mmD形冷轧钢管，壁厚为≥1.3mm；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7"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tabs>
                <w:tab w:val="left" w:pos="3360"/>
              </w:tabs>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 形状： 钢架立柱底部和底柱后端采用斜角焊接设计；</w:t>
            </w:r>
          </w:p>
          <w:p>
            <w:pPr>
              <w:keepNext w:val="0"/>
              <w:keepLines w:val="0"/>
              <w:widowControl/>
              <w:suppressLineNumbers w:val="0"/>
              <w:tabs>
                <w:tab w:val="left" w:pos="3360"/>
              </w:tabs>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工艺：钢材焊接采用二氧化碳亚弧焊接，焊接表面波纹均匀，并保证焊处无夹渣、气孔、焊瘤、焊丝头咬边和飞溅，无脱焊、虚焊、焊穿等现象，所有焊接口打磨光滑平整；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6"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numPr>
                <w:ilvl w:val="0"/>
                <w:numId w:val="11"/>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▲手摇升降课桌椅：</w:t>
            </w:r>
          </w:p>
          <w:p>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检测项目</w:t>
            </w:r>
            <w:r>
              <w:rPr>
                <w:rFonts w:hint="eastAsia" w:ascii="宋体" w:hAnsi="宋体" w:eastAsia="宋体" w:cs="宋体"/>
                <w:i w:val="0"/>
                <w:iCs w:val="0"/>
                <w:color w:val="000000"/>
                <w:kern w:val="0"/>
                <w:sz w:val="21"/>
                <w:szCs w:val="21"/>
                <w:u w:val="none"/>
                <w:lang w:val="en-US" w:eastAsia="zh-CN" w:bidi="ar"/>
              </w:rPr>
              <w:t>包括但不限于：主要尺寸和尺寸偏差，形状与位置公差、安装尺寸偏差，软、硬质覆面理化性能，金属件喷涂层，塑料桌/椅面理化性能（耐老化），封边条（剥离强度），安全要求，课桌力学性能，课椅力学性能，邻苯二甲酸酯（DBP、BBP、DEHP、DNOP、DINP、和DIDP的总量），多环芳烃{苯并【a】芘、16种多环芳烃（PAH）总量}，多溴联苯（PBB），多溴二苯醚（PBDE），标志，甲醛释放量、苯、甲苯、二甲苯、TVOC，防霉等级（黑曲霉、球毛壳霉、宛氏拟青霉、绳状青霉、长枝木霉）＜1级，</w:t>
            </w:r>
            <w:r>
              <w:rPr>
                <w:rFonts w:hint="eastAsia" w:ascii="宋体" w:hAnsi="宋体" w:eastAsia="宋体" w:cs="宋体"/>
                <w:b/>
                <w:bCs/>
                <w:i w:val="0"/>
                <w:iCs w:val="0"/>
                <w:color w:val="000000"/>
                <w:kern w:val="0"/>
                <w:sz w:val="21"/>
                <w:szCs w:val="21"/>
                <w:u w:val="none"/>
                <w:lang w:val="en-US" w:eastAsia="zh-CN" w:bidi="ar"/>
              </w:rPr>
              <w:t>以上内容检测合格。</w:t>
            </w:r>
          </w:p>
          <w:p>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检测依据</w:t>
            </w:r>
            <w:r>
              <w:rPr>
                <w:rFonts w:hint="eastAsia" w:ascii="宋体" w:hAnsi="宋体" w:eastAsia="宋体" w:cs="宋体"/>
                <w:i w:val="0"/>
                <w:iCs w:val="0"/>
                <w:color w:val="000000"/>
                <w:kern w:val="0"/>
                <w:sz w:val="21"/>
                <w:szCs w:val="21"/>
                <w:u w:val="none"/>
                <w:lang w:val="en-US" w:eastAsia="zh-CN" w:bidi="ar"/>
              </w:rPr>
              <w:t>包括但不限于：QB/T 4071-2021《课桌椅》、GB/T 24128-2018《塑料 塑料防霉剂的防霉效果评估》标准。</w:t>
            </w:r>
          </w:p>
          <w:p>
            <w:pPr>
              <w:keepNext w:val="0"/>
              <w:keepLines w:val="0"/>
              <w:widowControl/>
              <w:numPr>
                <w:ilvl w:val="0"/>
                <w:numId w:val="0"/>
              </w:numPr>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J.前后脚垫: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 材质：采用环保聚丙烯共聚塑料注塑成型；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 前脚垫尺寸：（73mm*38mm*60mm）±5mm；</w:t>
            </w:r>
          </w:p>
          <w:p>
            <w:pPr>
              <w:keepNext w:val="0"/>
              <w:keepLines w:val="0"/>
              <w:widowControl/>
              <w:suppressLineNumbers w:val="0"/>
              <w:ind w:firstLineChars="20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后脚垫尺寸：（104mm*45mm*95mm）±5mm；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 功能：脚套底部可加软质防滑脚垫及防倾倒功能设计；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K.置物篮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 材质：采用环保聚丙烯共聚塑料注塑成型；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 尺寸：（360mm*300mm*120mm）±5mm；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 样式：底部全透气椭圆孔设计，四棱角做半圆弧边处理；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L.其他配件: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4" w:hRule="atLeast"/>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53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 调节机构：采用手摇隐藏螺杆机械式调节机构调节高低，可调节高度分别为：</w:t>
            </w:r>
          </w:p>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200张课椅可调节高度380mm-460mm；</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 400张课椅可调节高度340mm-420mm。</w:t>
            </w:r>
          </w:p>
        </w:tc>
      </w:tr>
    </w:tbl>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p>
    <w:p>
      <w:pPr>
        <w:ind w:firstLine="422" w:firstLineChars="200"/>
        <w:rPr>
          <w:rFonts w:hint="eastAsia"/>
          <w:b/>
          <w:szCs w:val="21"/>
        </w:rPr>
      </w:pPr>
    </w:p>
    <w:bookmarkEnd w:id="40"/>
    <w:p>
      <w:pPr>
        <w:rPr>
          <w:b/>
          <w:szCs w:val="21"/>
        </w:rPr>
      </w:pPr>
    </w:p>
    <w:p>
      <w:pPr>
        <w:pStyle w:val="5"/>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17"/>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577"/>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noWrap w:val="0"/>
            <w:vAlign w:val="center"/>
          </w:tcPr>
          <w:p>
            <w:pPr>
              <w:jc w:val="center"/>
              <w:rPr>
                <w:b/>
              </w:rPr>
            </w:pPr>
            <w:r>
              <w:rPr>
                <w:rFonts w:hint="eastAsia"/>
                <w:b/>
              </w:rPr>
              <w:t>序号</w:t>
            </w:r>
          </w:p>
        </w:tc>
        <w:tc>
          <w:tcPr>
            <w:tcW w:w="1577" w:type="dxa"/>
            <w:noWrap w:val="0"/>
            <w:vAlign w:val="center"/>
          </w:tcPr>
          <w:p>
            <w:pPr>
              <w:jc w:val="center"/>
              <w:rPr>
                <w:b/>
              </w:rPr>
            </w:pPr>
            <w:r>
              <w:rPr>
                <w:rFonts w:hint="eastAsia"/>
                <w:b/>
              </w:rPr>
              <w:t>商务需求项</w:t>
            </w:r>
          </w:p>
        </w:tc>
        <w:tc>
          <w:tcPr>
            <w:tcW w:w="6523" w:type="dxa"/>
            <w:noWrap w:val="0"/>
            <w:vAlign w:val="center"/>
          </w:tcPr>
          <w:p>
            <w:pPr>
              <w:jc w:val="center"/>
              <w:rPr>
                <w:b/>
              </w:rPr>
            </w:pPr>
            <w:r>
              <w:rPr>
                <w:rFonts w:hint="eastAsia"/>
                <w:b/>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vAlign w:val="top"/>
          </w:tcPr>
          <w:p>
            <w:pPr>
              <w:rPr>
                <w:b/>
              </w:rPr>
            </w:pPr>
            <w:r>
              <w:rPr>
                <w:rFonts w:hint="eastAsia"/>
                <w:b/>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noWrap w:val="0"/>
            <w:vAlign w:val="center"/>
          </w:tcPr>
          <w:p>
            <w:pPr>
              <w:jc w:val="center"/>
              <w:rPr>
                <w:bCs/>
              </w:rPr>
            </w:pPr>
            <w:r>
              <w:rPr>
                <w:rFonts w:hint="eastAsia"/>
                <w:bCs/>
              </w:rPr>
              <w:t>1</w:t>
            </w:r>
          </w:p>
        </w:tc>
        <w:tc>
          <w:tcPr>
            <w:tcW w:w="1577" w:type="dxa"/>
            <w:noWrap w:val="0"/>
            <w:vAlign w:val="top"/>
          </w:tcPr>
          <w:p>
            <w:pPr>
              <w:jc w:val="center"/>
            </w:pPr>
            <w:r>
              <w:rPr>
                <w:rFonts w:hint="eastAsia"/>
              </w:rPr>
              <w:t>维修响应及故障解决时间</w:t>
            </w:r>
          </w:p>
        </w:tc>
        <w:tc>
          <w:tcPr>
            <w:tcW w:w="6523" w:type="dxa"/>
            <w:noWrap w:val="0"/>
            <w:vAlign w:val="top"/>
          </w:tcPr>
          <w:p>
            <w:pPr>
              <w:rPr>
                <w:b/>
              </w:rPr>
            </w:pPr>
            <w:r>
              <w:rPr>
                <w:rFonts w:hint="eastAsia"/>
                <w:bCs/>
                <w:szCs w:val="21"/>
              </w:rPr>
              <w:t>在免费保修期内，一旦发生质量问题，中标人保证在接到通知</w:t>
            </w:r>
            <w:r>
              <w:rPr>
                <w:rFonts w:hint="eastAsia"/>
                <w:bCs/>
                <w:szCs w:val="21"/>
                <w:u w:val="none"/>
                <w:lang w:val="en-US" w:eastAsia="zh-CN"/>
              </w:rPr>
              <w:t>24</w:t>
            </w:r>
            <w:r>
              <w:rPr>
                <w:rFonts w:hint="eastAsia"/>
                <w:bCs/>
                <w:szCs w:val="21"/>
              </w:rPr>
              <w:t>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20" w:type="dxa"/>
            <w:vMerge w:val="restart"/>
            <w:noWrap w:val="0"/>
            <w:vAlign w:val="center"/>
          </w:tcPr>
          <w:p>
            <w:pPr>
              <w:jc w:val="center"/>
              <w:rPr>
                <w:szCs w:val="21"/>
              </w:rPr>
            </w:pPr>
            <w:r>
              <w:rPr>
                <w:rFonts w:hint="eastAsia"/>
                <w:szCs w:val="21"/>
              </w:rPr>
              <w:t>2</w:t>
            </w:r>
          </w:p>
        </w:tc>
        <w:tc>
          <w:tcPr>
            <w:tcW w:w="1577" w:type="dxa"/>
            <w:vMerge w:val="restart"/>
            <w:noWrap w:val="0"/>
            <w:vAlign w:val="center"/>
          </w:tcPr>
          <w:p>
            <w:pPr>
              <w:jc w:val="center"/>
              <w:rPr>
                <w:szCs w:val="21"/>
              </w:rPr>
            </w:pPr>
            <w:r>
              <w:rPr>
                <w:rFonts w:hint="eastAsia"/>
                <w:szCs w:val="21"/>
              </w:rPr>
              <w:t>免费保修期</w:t>
            </w:r>
          </w:p>
        </w:tc>
        <w:tc>
          <w:tcPr>
            <w:tcW w:w="6523" w:type="dxa"/>
            <w:noWrap w:val="0"/>
            <w:vAlign w:val="top"/>
          </w:tcPr>
          <w:p>
            <w:pPr>
              <w:rPr>
                <w:b/>
                <w:szCs w:val="21"/>
              </w:rPr>
            </w:pPr>
            <w:r>
              <w:rPr>
                <w:rFonts w:hint="eastAsia"/>
                <w:bCs/>
                <w:szCs w:val="21"/>
              </w:rPr>
              <w:t>1</w:t>
            </w:r>
            <w:r>
              <w:rPr>
                <w:bCs/>
                <w:szCs w:val="21"/>
              </w:rPr>
              <w:t>.</w:t>
            </w:r>
            <w:r>
              <w:rPr>
                <w:rFonts w:hint="eastAsia"/>
                <w:bCs/>
                <w:szCs w:val="21"/>
              </w:rPr>
              <w:t>货物免费保修期</w:t>
            </w:r>
            <w:r>
              <w:rPr>
                <w:rFonts w:hint="eastAsia"/>
                <w:bCs/>
                <w:color w:val="FF0000"/>
                <w:szCs w:val="21"/>
                <w:highlight w:val="yellow"/>
                <w:u w:val="single"/>
              </w:rPr>
              <w:t xml:space="preserve"> </w:t>
            </w:r>
            <w:r>
              <w:rPr>
                <w:rFonts w:hint="eastAsia"/>
                <w:bCs/>
                <w:color w:val="FF0000"/>
                <w:szCs w:val="21"/>
                <w:highlight w:val="yellow"/>
                <w:u w:val="single"/>
                <w:lang w:val="en-US" w:eastAsia="zh-CN"/>
              </w:rPr>
              <w:t>5</w:t>
            </w:r>
            <w:r>
              <w:rPr>
                <w:rFonts w:hint="eastAsia"/>
                <w:bCs/>
                <w:color w:val="FF0000"/>
                <w:szCs w:val="21"/>
                <w:highlight w:val="yellow"/>
                <w:u w:val="single"/>
              </w:rPr>
              <w:t xml:space="preserve">  </w:t>
            </w:r>
            <w:r>
              <w:rPr>
                <w:rFonts w:hint="eastAsia"/>
                <w:bCs/>
                <w:color w:val="FF0000"/>
                <w:szCs w:val="21"/>
              </w:rPr>
              <w:t>年，</w:t>
            </w:r>
            <w:r>
              <w:rPr>
                <w:rFonts w:hint="eastAsia"/>
                <w:bCs/>
                <w:szCs w:val="21"/>
              </w:rPr>
              <w:t>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720" w:type="dxa"/>
            <w:vMerge w:val="continue"/>
            <w:noWrap w:val="0"/>
            <w:vAlign w:val="center"/>
          </w:tcPr>
          <w:p>
            <w:pPr>
              <w:jc w:val="center"/>
              <w:rPr>
                <w:b/>
              </w:rPr>
            </w:pPr>
          </w:p>
        </w:tc>
        <w:tc>
          <w:tcPr>
            <w:tcW w:w="1577" w:type="dxa"/>
            <w:vMerge w:val="continue"/>
            <w:noWrap w:val="0"/>
            <w:vAlign w:val="center"/>
          </w:tcPr>
          <w:p/>
        </w:tc>
        <w:tc>
          <w:tcPr>
            <w:tcW w:w="6523" w:type="dxa"/>
            <w:noWrap w:val="0"/>
            <w:vAlign w:val="center"/>
          </w:tcPr>
          <w:p>
            <w:pPr>
              <w:rPr>
                <w:bCs/>
                <w:szCs w:val="21"/>
              </w:rPr>
            </w:pPr>
            <w:r>
              <w:rPr>
                <w:rFonts w:hint="eastAsia"/>
                <w:bCs/>
                <w:szCs w:val="21"/>
              </w:rPr>
              <w:t>2</w:t>
            </w:r>
            <w:r>
              <w:rPr>
                <w:bCs/>
                <w:szCs w:val="21"/>
              </w:rPr>
              <w:t>.</w:t>
            </w:r>
            <w:r>
              <w:rPr>
                <w:rFonts w:hint="eastAsia"/>
                <w:bCs/>
                <w:szCs w:val="21"/>
              </w:rPr>
              <w:t>免费保修期内，</w:t>
            </w:r>
            <w:r>
              <w:rPr>
                <w:rFonts w:hint="eastAsia"/>
                <w:color w:val="000000"/>
                <w:szCs w:val="21"/>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noWrap w:val="0"/>
            <w:vAlign w:val="center"/>
          </w:tcPr>
          <w:p>
            <w:pPr>
              <w:jc w:val="center"/>
              <w:rPr>
                <w:b/>
              </w:rPr>
            </w:pPr>
            <w:r>
              <w:rPr>
                <w:rFonts w:hint="eastAsia"/>
                <w:szCs w:val="21"/>
              </w:rPr>
              <w:t>3</w:t>
            </w:r>
          </w:p>
        </w:tc>
        <w:tc>
          <w:tcPr>
            <w:tcW w:w="1577" w:type="dxa"/>
            <w:noWrap w:val="0"/>
            <w:vAlign w:val="center"/>
          </w:tcPr>
          <w:p>
            <w:pPr>
              <w:jc w:val="center"/>
              <w:rPr>
                <w:b/>
              </w:rPr>
            </w:pPr>
            <w:r>
              <w:rPr>
                <w:rFonts w:hint="eastAsia"/>
                <w:szCs w:val="21"/>
              </w:rPr>
              <w:t>技术文件</w:t>
            </w:r>
          </w:p>
        </w:tc>
        <w:tc>
          <w:tcPr>
            <w:tcW w:w="6523" w:type="dxa"/>
            <w:noWrap w:val="0"/>
            <w:vAlign w:val="center"/>
          </w:tcPr>
          <w:p>
            <w:pPr>
              <w:rPr>
                <w:bCs/>
              </w:rPr>
            </w:pPr>
            <w:r>
              <w:rPr>
                <w:rFonts w:hint="eastAsia"/>
                <w:bCs/>
              </w:rPr>
              <w:t>供应商应提供全套、完整的书面技术资料，包括仪器说明书、操作手册、简单维修说明、图纸等。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20" w:type="dxa"/>
            <w:noWrap w:val="0"/>
            <w:vAlign w:val="center"/>
          </w:tcPr>
          <w:p>
            <w:pPr>
              <w:jc w:val="center"/>
              <w:rPr>
                <w:bCs/>
              </w:rPr>
            </w:pPr>
            <w:r>
              <w:rPr>
                <w:rFonts w:hint="eastAsia"/>
                <w:bCs/>
              </w:rPr>
              <w:t>4</w:t>
            </w:r>
          </w:p>
        </w:tc>
        <w:tc>
          <w:tcPr>
            <w:tcW w:w="1577" w:type="dxa"/>
            <w:noWrap w:val="0"/>
            <w:vAlign w:val="center"/>
          </w:tcPr>
          <w:p>
            <w:pPr>
              <w:jc w:val="center"/>
              <w:rPr>
                <w:bCs/>
              </w:rPr>
            </w:pPr>
            <w:r>
              <w:rPr>
                <w:rFonts w:hint="eastAsia"/>
                <w:szCs w:val="21"/>
              </w:rPr>
              <w:t>安装调试</w:t>
            </w:r>
          </w:p>
        </w:tc>
        <w:tc>
          <w:tcPr>
            <w:tcW w:w="6523" w:type="dxa"/>
            <w:noWrap w:val="0"/>
            <w:vAlign w:val="center"/>
          </w:tcPr>
          <w:p>
            <w:pPr>
              <w:rPr>
                <w:rFonts w:hint="default" w:eastAsiaTheme="minorEastAsia"/>
                <w:bCs/>
                <w:szCs w:val="21"/>
                <w:lang w:val="en-US" w:eastAsia="zh-CN"/>
              </w:rPr>
            </w:pPr>
            <w:r>
              <w:rPr>
                <w:rFonts w:hint="eastAsia" w:ascii="宋体" w:hAnsi="宋体" w:eastAsia="宋体" w:cs="宋体"/>
                <w:bCs/>
                <w:sz w:val="21"/>
                <w:szCs w:val="21"/>
              </w:rPr>
              <w:t>供应商</w:t>
            </w:r>
            <w:r>
              <w:rPr>
                <w:rFonts w:hint="eastAsia"/>
              </w:rPr>
              <w:t>必须完成所有设备的安装调试工作，包括设备安装</w:t>
            </w:r>
            <w:r>
              <w:rPr>
                <w:rFonts w:hint="eastAsia"/>
                <w:lang w:eastAsia="zh-CN"/>
              </w:rPr>
              <w:t>、</w:t>
            </w:r>
            <w:r>
              <w:rPr>
                <w:rFonts w:hint="eastAsia"/>
                <w:lang w:val="en-US" w:eastAsia="zh-CN"/>
              </w:rPr>
              <w:t>摆放等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b/>
              </w:rPr>
            </w:pPr>
            <w:r>
              <w:rPr>
                <w:rFonts w:hint="eastAsia" w:ascii="宋体" w:hAnsi="宋体"/>
                <w:b/>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dxa"/>
            <w:noWrap w:val="0"/>
            <w:vAlign w:val="center"/>
          </w:tcPr>
          <w:p>
            <w:pPr>
              <w:spacing w:line="360" w:lineRule="exact"/>
              <w:jc w:val="center"/>
              <w:rPr>
                <w:rFonts w:ascii="宋体" w:hAnsi="宋体"/>
                <w:b/>
                <w:sz w:val="20"/>
                <w:szCs w:val="20"/>
              </w:rPr>
            </w:pPr>
            <w:r>
              <w:rPr>
                <w:rFonts w:hint="eastAsia" w:ascii="宋体" w:hAnsi="宋体"/>
                <w:b/>
                <w:sz w:val="20"/>
                <w:szCs w:val="20"/>
              </w:rPr>
              <w:t>1</w:t>
            </w:r>
          </w:p>
        </w:tc>
        <w:tc>
          <w:tcPr>
            <w:tcW w:w="1577" w:type="dxa"/>
            <w:noWrap w:val="0"/>
            <w:vAlign w:val="center"/>
          </w:tcPr>
          <w:p>
            <w:pPr>
              <w:spacing w:line="360" w:lineRule="exact"/>
              <w:jc w:val="center"/>
              <w:rPr>
                <w:rFonts w:ascii="宋体" w:hAnsi="宋体"/>
                <w:b/>
                <w:color w:val="000000"/>
                <w:sz w:val="20"/>
                <w:szCs w:val="20"/>
              </w:rPr>
            </w:pPr>
            <w:r>
              <w:rPr>
                <w:rStyle w:val="20"/>
                <w:rFonts w:hint="eastAsia" w:ascii="宋体" w:hAnsi="宋体" w:cs="宋体"/>
                <w:color w:val="000000"/>
                <w:sz w:val="20"/>
                <w:szCs w:val="20"/>
              </w:rPr>
              <w:t>维修零配件、消耗品和延续保修合同的报价</w:t>
            </w:r>
          </w:p>
        </w:tc>
        <w:tc>
          <w:tcPr>
            <w:tcW w:w="6523" w:type="dxa"/>
            <w:noWrap w:val="0"/>
            <w:vAlign w:val="center"/>
          </w:tcPr>
          <w:p>
            <w:pPr>
              <w:spacing w:line="360" w:lineRule="exact"/>
              <w:rPr>
                <w:rFonts w:ascii="宋体" w:hAnsi="宋体"/>
                <w:b/>
                <w:color w:val="000000"/>
              </w:rPr>
            </w:pPr>
            <w:r>
              <w:rPr>
                <w:rFonts w:hint="eastAsia" w:ascii="宋体" w:hAnsi="宋体" w:cs="宋体"/>
                <w:color w:val="000000"/>
                <w:sz w:val="20"/>
                <w:szCs w:val="20"/>
              </w:rPr>
              <w:t>1.1由设备制造商提供售后服务，</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 xml:space="preserve">1 </w:t>
            </w:r>
            <w:r>
              <w:rPr>
                <w:rFonts w:hint="eastAsia" w:ascii="宋体" w:hAnsi="宋体" w:cs="宋体"/>
                <w:color w:val="000000"/>
                <w:sz w:val="20"/>
                <w:szCs w:val="20"/>
              </w:rPr>
              <w:t>小时内响应，</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24</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b/>
              </w:rPr>
            </w:pPr>
            <w:r>
              <w:rPr>
                <w:rFonts w:hint="eastAsia" w:ascii="宋体" w:hAnsi="宋体"/>
                <w:b/>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eastAsia="zh-CN"/>
              </w:rPr>
              <w:t>1</w:t>
            </w:r>
          </w:p>
        </w:tc>
        <w:tc>
          <w:tcPr>
            <w:tcW w:w="1577" w:type="dxa"/>
            <w:vMerge w:val="restart"/>
            <w:noWrap w:val="0"/>
            <w:vAlign w:val="center"/>
          </w:tcPr>
          <w:p>
            <w:pPr>
              <w:spacing w:line="360" w:lineRule="exact"/>
              <w:jc w:val="center"/>
              <w:rPr>
                <w:rFonts w:hint="eastAsia" w:ascii="宋体" w:hAnsi="宋体"/>
                <w:b/>
                <w:sz w:val="20"/>
                <w:szCs w:val="20"/>
              </w:rPr>
            </w:pPr>
            <w:r>
              <w:rPr>
                <w:rFonts w:hint="eastAsia" w:ascii="宋体" w:hAnsi="宋体"/>
                <w:b/>
                <w:sz w:val="20"/>
                <w:szCs w:val="20"/>
              </w:rPr>
              <w:t>违约责任</w:t>
            </w: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.1中标人不能交货的，需偿付不能交货部分货款的</w:t>
            </w:r>
            <w:r>
              <w:rPr>
                <w:rFonts w:hint="eastAsia" w:ascii="宋体" w:hAnsi="宋体" w:cs="宋体"/>
                <w:color w:val="000000"/>
                <w:sz w:val="20"/>
                <w:szCs w:val="20"/>
                <w:u w:val="single"/>
              </w:rPr>
              <w:t xml:space="preserve"> </w:t>
            </w:r>
            <w:r>
              <w:rPr>
                <w:rFonts w:hint="eastAsia" w:ascii="宋体" w:hAnsi="宋体" w:cs="宋体"/>
                <w:color w:val="000000"/>
                <w:sz w:val="20"/>
                <w:szCs w:val="20"/>
                <w:highlight w:val="yellow"/>
                <w:u w:val="single"/>
                <w:lang w:val="en-US" w:eastAsia="zh-CN"/>
              </w:rPr>
              <w:t>5</w:t>
            </w:r>
            <w:r>
              <w:rPr>
                <w:rFonts w:hint="eastAsia" w:ascii="宋体" w:hAnsi="宋体" w:cs="宋体"/>
                <w:color w:val="000000"/>
                <w:sz w:val="20"/>
                <w:szCs w:val="20"/>
                <w:highlight w:val="yellow"/>
                <w:u w:val="single"/>
              </w:rPr>
              <w:t xml:space="preserve"> %</w:t>
            </w:r>
            <w:r>
              <w:rPr>
                <w:rFonts w:hint="eastAsia" w:ascii="宋体" w:hAnsi="宋体" w:cs="宋体"/>
                <w:color w:val="000000"/>
                <w:sz w:val="20"/>
                <w:szCs w:val="20"/>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dxa"/>
            <w:vMerge w:val="continue"/>
            <w:noWrap w:val="0"/>
            <w:vAlign w:val="center"/>
          </w:tcPr>
          <w:p>
            <w:pPr>
              <w:spacing w:line="360" w:lineRule="exact"/>
              <w:jc w:val="center"/>
              <w:rPr>
                <w:rFonts w:hint="eastAsia" w:ascii="宋体" w:hAnsi="宋体"/>
                <w:b/>
                <w:sz w:val="20"/>
                <w:szCs w:val="20"/>
              </w:rPr>
            </w:pPr>
          </w:p>
        </w:tc>
        <w:tc>
          <w:tcPr>
            <w:tcW w:w="1577" w:type="dxa"/>
            <w:vMerge w:val="continue"/>
            <w:noWrap w:val="0"/>
            <w:vAlign w:val="center"/>
          </w:tcPr>
          <w:p>
            <w:pPr>
              <w:spacing w:line="360" w:lineRule="exact"/>
              <w:jc w:val="center"/>
              <w:rPr>
                <w:rFonts w:hint="eastAsia" w:ascii="宋体" w:hAnsi="宋体"/>
                <w:b/>
                <w:sz w:val="20"/>
                <w:szCs w:val="20"/>
              </w:rPr>
            </w:pP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.2中标人逾期交货的，应当承担继续履行、采取补救措施或者赔偿损失等违约责任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dxa"/>
            <w:vMerge w:val="continue"/>
            <w:noWrap w:val="0"/>
            <w:vAlign w:val="center"/>
          </w:tcPr>
          <w:p>
            <w:pPr>
              <w:spacing w:line="360" w:lineRule="exact"/>
              <w:jc w:val="center"/>
              <w:rPr>
                <w:rFonts w:hint="eastAsia" w:ascii="宋体" w:hAnsi="宋体"/>
                <w:b/>
                <w:sz w:val="20"/>
                <w:szCs w:val="20"/>
              </w:rPr>
            </w:pPr>
          </w:p>
        </w:tc>
        <w:tc>
          <w:tcPr>
            <w:tcW w:w="1577" w:type="dxa"/>
            <w:vMerge w:val="continue"/>
            <w:noWrap w:val="0"/>
            <w:vAlign w:val="center"/>
          </w:tcPr>
          <w:p>
            <w:pPr>
              <w:spacing w:line="360" w:lineRule="exact"/>
              <w:jc w:val="center"/>
              <w:rPr>
                <w:rFonts w:hint="eastAsia" w:ascii="宋体" w:hAnsi="宋体"/>
                <w:b/>
                <w:sz w:val="20"/>
                <w:szCs w:val="20"/>
              </w:rPr>
            </w:pP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.3中标人所交付产品、工程或服务不符合其投标承诺的，或在投标阶段为了中标而盲目虚假承诺、低价恶性竞争，在履约阶段则通过偷工减料、以次充好而获取利润的，</w:t>
            </w:r>
            <w:r>
              <w:rPr>
                <w:rFonts w:hint="eastAsia" w:ascii="宋体" w:hAnsi="宋体" w:cs="宋体"/>
                <w:color w:val="000000"/>
                <w:sz w:val="20"/>
                <w:szCs w:val="20"/>
                <w:lang w:val="en-US" w:eastAsia="zh-CN"/>
              </w:rPr>
              <w:t>采购人</w:t>
            </w:r>
            <w:r>
              <w:rPr>
                <w:rFonts w:hint="eastAsia" w:ascii="宋体" w:hAnsi="宋体" w:cs="宋体"/>
                <w:color w:val="000000"/>
                <w:sz w:val="20"/>
                <w:szCs w:val="20"/>
              </w:rPr>
              <w:t>将根据标的的性质以及损失的大小，可以合理选择要求</w:t>
            </w:r>
            <w:r>
              <w:rPr>
                <w:rFonts w:hint="eastAsia" w:ascii="宋体" w:hAnsi="宋体" w:cs="宋体"/>
                <w:color w:val="000000"/>
                <w:sz w:val="20"/>
                <w:szCs w:val="20"/>
                <w:lang w:val="en-US" w:eastAsia="zh-CN"/>
              </w:rPr>
              <w:t>中标人</w:t>
            </w:r>
            <w:r>
              <w:rPr>
                <w:rFonts w:hint="eastAsia" w:ascii="宋体" w:hAnsi="宋体" w:cs="宋体"/>
                <w:color w:val="000000"/>
                <w:sz w:val="20"/>
                <w:szCs w:val="20"/>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dxa"/>
            <w:vMerge w:val="restart"/>
            <w:noWrap w:val="0"/>
            <w:vAlign w:val="center"/>
          </w:tcPr>
          <w:p>
            <w:pPr>
              <w:spacing w:line="360" w:lineRule="exact"/>
              <w:jc w:val="center"/>
              <w:rPr>
                <w:rFonts w:hint="eastAsia" w:asciiTheme="minorEastAsia" w:hAnsiTheme="minorEastAsia" w:eastAsiaTheme="minorEastAsia" w:cstheme="minorEastAsia"/>
                <w:b/>
                <w:bCs w:val="0"/>
                <w:sz w:val="20"/>
                <w:szCs w:val="20"/>
                <w:lang w:eastAsia="zh-CN"/>
              </w:rPr>
            </w:pPr>
            <w:r>
              <w:rPr>
                <w:rFonts w:hint="eastAsia" w:asciiTheme="minorEastAsia" w:hAnsiTheme="minorEastAsia" w:eastAsiaTheme="minorEastAsia" w:cstheme="minorEastAsia"/>
                <w:b/>
                <w:bCs w:val="0"/>
                <w:sz w:val="20"/>
                <w:szCs w:val="20"/>
                <w:lang w:val="en-US" w:eastAsia="zh-CN"/>
              </w:rPr>
              <w:t>2</w:t>
            </w:r>
          </w:p>
        </w:tc>
        <w:tc>
          <w:tcPr>
            <w:tcW w:w="1577" w:type="dxa"/>
            <w:vMerge w:val="restart"/>
            <w:noWrap w:val="0"/>
            <w:vAlign w:val="center"/>
          </w:tcPr>
          <w:p>
            <w:pPr>
              <w:spacing w:line="360" w:lineRule="exact"/>
              <w:jc w:val="center"/>
              <w:rPr>
                <w:rFonts w:hint="eastAsia" w:asciiTheme="minorEastAsia" w:hAnsiTheme="minorEastAsia" w:eastAsiaTheme="minorEastAsia" w:cstheme="minorEastAsia"/>
                <w:b/>
                <w:bCs w:val="0"/>
                <w:sz w:val="20"/>
                <w:szCs w:val="20"/>
                <w:lang w:val="en-US" w:eastAsia="zh-CN"/>
              </w:rPr>
            </w:pPr>
            <w:r>
              <w:rPr>
                <w:rFonts w:hint="eastAsia" w:asciiTheme="minorEastAsia" w:hAnsiTheme="minorEastAsia" w:eastAsiaTheme="minorEastAsia" w:cstheme="minorEastAsia"/>
                <w:b/>
                <w:bCs w:val="0"/>
                <w:sz w:val="20"/>
                <w:szCs w:val="20"/>
              </w:rPr>
              <w:t>交货</w:t>
            </w:r>
            <w:r>
              <w:rPr>
                <w:rFonts w:hint="eastAsia" w:asciiTheme="minorEastAsia" w:hAnsiTheme="minorEastAsia" w:eastAsiaTheme="minorEastAsia" w:cstheme="minorEastAsia"/>
                <w:b/>
                <w:bCs w:val="0"/>
                <w:sz w:val="20"/>
                <w:szCs w:val="20"/>
                <w:lang w:val="en-US" w:eastAsia="zh-CN"/>
              </w:rPr>
              <w:t>及付款要求</w:t>
            </w:r>
          </w:p>
        </w:tc>
        <w:tc>
          <w:tcPr>
            <w:tcW w:w="6523" w:type="dxa"/>
            <w:noWrap w:val="0"/>
            <w:vAlign w:val="center"/>
          </w:tcPr>
          <w:p>
            <w:pPr>
              <w:pStyle w:val="7"/>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2</w:t>
            </w:r>
            <w:r>
              <w:rPr>
                <w:rFonts w:hint="eastAsia" w:asciiTheme="minorEastAsia" w:hAnsiTheme="minorEastAsia" w:eastAsiaTheme="minorEastAsia" w:cstheme="minorEastAsia"/>
                <w:sz w:val="20"/>
                <w:szCs w:val="20"/>
              </w:rPr>
              <w:t>.1履约时间和地点：投标供应商在</w:t>
            </w:r>
            <w:r>
              <w:rPr>
                <w:rFonts w:hint="eastAsia" w:asciiTheme="minorEastAsia" w:hAnsiTheme="minorEastAsia" w:cstheme="minorEastAsia"/>
                <w:sz w:val="20"/>
                <w:szCs w:val="20"/>
                <w:lang w:val="en-US" w:eastAsia="zh-CN"/>
              </w:rPr>
              <w:t>约定进场</w:t>
            </w:r>
            <w:r>
              <w:rPr>
                <w:rFonts w:hint="eastAsia" w:asciiTheme="minorEastAsia" w:hAnsiTheme="minorEastAsia" w:eastAsiaTheme="minorEastAsia" w:cstheme="minorEastAsia"/>
                <w:sz w:val="20"/>
                <w:szCs w:val="20"/>
              </w:rPr>
              <w:t>之日起30天内交货，交货地点为</w:t>
            </w:r>
            <w:r>
              <w:rPr>
                <w:rFonts w:hint="eastAsia" w:asciiTheme="minorEastAsia" w:hAnsiTheme="minorEastAsia" w:eastAsiaTheme="minorEastAsia" w:cstheme="minorEastAsia"/>
                <w:sz w:val="20"/>
                <w:szCs w:val="20"/>
                <w:lang w:eastAsia="zh-CN"/>
              </w:rPr>
              <w:t>：</w:t>
            </w:r>
            <w:r>
              <w:rPr>
                <w:rFonts w:hint="eastAsia" w:asciiTheme="minorEastAsia" w:hAnsiTheme="minorEastAsia" w:cstheme="minorEastAsia"/>
                <w:sz w:val="20"/>
                <w:szCs w:val="20"/>
                <w:lang w:val="en-US" w:eastAsia="zh-CN"/>
              </w:rPr>
              <w:t>深圳市宝安区智造城实验学校</w:t>
            </w:r>
            <w:r>
              <w:rPr>
                <w:rFonts w:hint="eastAsia" w:asciiTheme="minorEastAsia" w:hAnsiTheme="minorEastAsia" w:eastAsiaTheme="minorEastAsia" w:cstheme="minorEastAsia"/>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trPr>
        <w:tc>
          <w:tcPr>
            <w:tcW w:w="720" w:type="dxa"/>
            <w:vMerge w:val="continue"/>
            <w:noWrap w:val="0"/>
            <w:vAlign w:val="center"/>
          </w:tcPr>
          <w:p>
            <w:pPr>
              <w:spacing w:line="360" w:lineRule="exact"/>
              <w:jc w:val="center"/>
              <w:rPr>
                <w:rFonts w:hint="eastAsia" w:asciiTheme="minorEastAsia" w:hAnsiTheme="minorEastAsia" w:eastAsiaTheme="minorEastAsia" w:cstheme="minorEastAsia"/>
                <w:b/>
                <w:bCs w:val="0"/>
                <w:sz w:val="20"/>
                <w:szCs w:val="20"/>
              </w:rPr>
            </w:pPr>
          </w:p>
        </w:tc>
        <w:tc>
          <w:tcPr>
            <w:tcW w:w="1577" w:type="dxa"/>
            <w:vMerge w:val="continue"/>
            <w:noWrap w:val="0"/>
            <w:vAlign w:val="center"/>
          </w:tcPr>
          <w:p>
            <w:pPr>
              <w:spacing w:line="360" w:lineRule="exact"/>
              <w:jc w:val="center"/>
              <w:rPr>
                <w:rFonts w:hint="eastAsia" w:asciiTheme="minorEastAsia" w:hAnsiTheme="minorEastAsia" w:eastAsiaTheme="minorEastAsia" w:cstheme="minorEastAsia"/>
                <w:b/>
                <w:bCs w:val="0"/>
                <w:sz w:val="20"/>
                <w:szCs w:val="20"/>
              </w:rPr>
            </w:pPr>
          </w:p>
        </w:tc>
        <w:tc>
          <w:tcPr>
            <w:tcW w:w="6523" w:type="dxa"/>
            <w:noWrap w:val="0"/>
            <w:vAlign w:val="center"/>
          </w:tcPr>
          <w:p>
            <w:pPr>
              <w:jc w:val="left"/>
              <w:rPr>
                <w:rFonts w:hint="eastAsia"/>
                <w:szCs w:val="21"/>
                <w:lang w:val="en-US" w:eastAsia="zh-CN"/>
              </w:rPr>
            </w:pPr>
            <w:r>
              <w:rPr>
                <w:rFonts w:hint="eastAsia"/>
                <w:szCs w:val="21"/>
                <w:lang w:val="en-US" w:eastAsia="zh-CN"/>
              </w:rPr>
              <w:t>2</w:t>
            </w:r>
            <w:r>
              <w:rPr>
                <w:rFonts w:hint="eastAsia"/>
                <w:szCs w:val="21"/>
              </w:rPr>
              <w:t>.2付款期限和方式：本项目</w:t>
            </w:r>
            <w:bookmarkStart w:id="41" w:name="OLE_LINK3"/>
            <w:r>
              <w:rPr>
                <w:rFonts w:hint="eastAsia"/>
                <w:szCs w:val="21"/>
              </w:rPr>
              <w:t>完成并经验收合格</w:t>
            </w:r>
            <w:bookmarkEnd w:id="41"/>
            <w:r>
              <w:rPr>
                <w:rFonts w:hint="eastAsia"/>
                <w:szCs w:val="21"/>
              </w:rPr>
              <w:t>后，对于满足合同约定支付条件的，采购人应当自收到发票后15日内将资金支付到合同约定的中标供应商账户。但若因财政资金未及时到位，付款时间相应顺延，</w:t>
            </w:r>
            <w:r>
              <w:rPr>
                <w:rFonts w:hint="eastAsia"/>
                <w:szCs w:val="21"/>
                <w:lang w:val="en-US" w:eastAsia="zh-CN"/>
              </w:rPr>
              <w:t>采购人</w:t>
            </w:r>
            <w:r>
              <w:rPr>
                <w:rFonts w:hint="eastAsia"/>
                <w:szCs w:val="21"/>
              </w:rPr>
              <w:t>不承担违约责任。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dxa"/>
            <w:noWrap w:val="0"/>
            <w:vAlign w:val="center"/>
          </w:tcPr>
          <w:p>
            <w:pPr>
              <w:spacing w:line="360" w:lineRule="exact"/>
              <w:jc w:val="center"/>
              <w:rPr>
                <w:rFonts w:hint="eastAsia" w:asciiTheme="minorEastAsia" w:hAnsiTheme="minorEastAsia" w:eastAsiaTheme="minorEastAsia" w:cstheme="minorEastAsia"/>
                <w:b/>
                <w:bCs w:val="0"/>
                <w:sz w:val="20"/>
                <w:szCs w:val="20"/>
                <w:lang w:val="en-US" w:eastAsia="zh-CN"/>
              </w:rPr>
            </w:pPr>
            <w:r>
              <w:rPr>
                <w:rFonts w:hint="eastAsia" w:asciiTheme="minorEastAsia" w:hAnsiTheme="minorEastAsia" w:eastAsiaTheme="minorEastAsia" w:cstheme="minorEastAsia"/>
                <w:b/>
                <w:bCs w:val="0"/>
                <w:sz w:val="20"/>
                <w:szCs w:val="20"/>
                <w:lang w:val="en-US" w:eastAsia="zh-CN"/>
              </w:rPr>
              <w:t>3</w:t>
            </w:r>
          </w:p>
        </w:tc>
        <w:tc>
          <w:tcPr>
            <w:tcW w:w="1577" w:type="dxa"/>
            <w:noWrap w:val="0"/>
            <w:vAlign w:val="center"/>
          </w:tcPr>
          <w:p>
            <w:pPr>
              <w:spacing w:line="360" w:lineRule="exact"/>
              <w:jc w:val="center"/>
              <w:rPr>
                <w:rStyle w:val="20"/>
                <w:rFonts w:hint="eastAsia" w:asciiTheme="minorEastAsia" w:hAnsiTheme="minorEastAsia" w:eastAsiaTheme="minorEastAsia" w:cstheme="minorEastAsia"/>
                <w:b/>
                <w:bCs w:val="0"/>
                <w:color w:val="000000"/>
                <w:sz w:val="20"/>
                <w:szCs w:val="20"/>
              </w:rPr>
            </w:pPr>
            <w:r>
              <w:rPr>
                <w:rFonts w:hint="eastAsia" w:asciiTheme="minorEastAsia" w:hAnsiTheme="minorEastAsia" w:eastAsiaTheme="minorEastAsia" w:cstheme="minorEastAsia"/>
                <w:b/>
                <w:bCs w:val="0"/>
                <w:color w:val="000000"/>
                <w:sz w:val="20"/>
                <w:szCs w:val="20"/>
              </w:rPr>
              <w:t>验收条件</w:t>
            </w:r>
          </w:p>
        </w:tc>
        <w:tc>
          <w:tcPr>
            <w:tcW w:w="6523" w:type="dxa"/>
            <w:noWrap w:val="0"/>
            <w:vAlign w:val="center"/>
          </w:tcPr>
          <w:p>
            <w:pPr>
              <w:jc w:val="left"/>
              <w:rPr>
                <w:rFonts w:hint="eastAsia"/>
                <w:szCs w:val="21"/>
                <w:lang w:val="en-US" w:eastAsia="zh-CN"/>
              </w:rPr>
            </w:pPr>
            <w:r>
              <w:rPr>
                <w:rFonts w:hint="eastAsia"/>
                <w:szCs w:val="21"/>
                <w:lang w:val="en-US" w:eastAsia="zh-CN"/>
              </w:rPr>
              <w:t>投标供应商应在到货后3日内向甲方发出验收申请。甲方应当在收到申请3日内组织验收，验收合格的，由甲方向投标供应商签署货物验收单。甲方逾期未组织验收，也未提出异议的，视为验收合格。需要安装调试的，安装调试完毕验收合格后才视为最终验收合格和满足付款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dxa"/>
            <w:noWrap w:val="0"/>
            <w:vAlign w:val="center"/>
          </w:tcPr>
          <w:p>
            <w:pPr>
              <w:spacing w:line="360" w:lineRule="exact"/>
              <w:jc w:val="center"/>
              <w:rPr>
                <w:rFonts w:hint="eastAsia" w:asciiTheme="minorEastAsia" w:hAnsiTheme="minorEastAsia" w:eastAsiaTheme="minorEastAsia" w:cstheme="minorEastAsia"/>
                <w:b/>
                <w:bCs w:val="0"/>
                <w:sz w:val="20"/>
                <w:szCs w:val="20"/>
                <w:lang w:val="en-US" w:eastAsia="zh-CN"/>
              </w:rPr>
            </w:pPr>
            <w:r>
              <w:rPr>
                <w:rFonts w:hint="eastAsia" w:asciiTheme="minorEastAsia" w:hAnsiTheme="minorEastAsia" w:eastAsiaTheme="minorEastAsia" w:cstheme="minorEastAsia"/>
                <w:b/>
                <w:bCs w:val="0"/>
                <w:sz w:val="20"/>
                <w:szCs w:val="20"/>
                <w:lang w:val="en-US" w:eastAsia="zh-CN"/>
              </w:rPr>
              <w:t>4</w:t>
            </w:r>
          </w:p>
        </w:tc>
        <w:tc>
          <w:tcPr>
            <w:tcW w:w="1577" w:type="dxa"/>
            <w:noWrap w:val="0"/>
            <w:vAlign w:val="center"/>
          </w:tcPr>
          <w:p>
            <w:pPr>
              <w:spacing w:line="360" w:lineRule="exact"/>
              <w:jc w:val="center"/>
              <w:rPr>
                <w:rStyle w:val="20"/>
                <w:rFonts w:hint="eastAsia" w:asciiTheme="minorEastAsia" w:hAnsiTheme="minorEastAsia" w:eastAsiaTheme="minorEastAsia" w:cstheme="minorEastAsia"/>
                <w:b/>
                <w:bCs w:val="0"/>
                <w:color w:val="000000"/>
                <w:sz w:val="20"/>
                <w:szCs w:val="20"/>
              </w:rPr>
            </w:pPr>
            <w:r>
              <w:rPr>
                <w:rFonts w:hint="eastAsia" w:asciiTheme="minorEastAsia" w:hAnsiTheme="minorEastAsia" w:eastAsiaTheme="minorEastAsia" w:cstheme="minorEastAsia"/>
                <w:b/>
                <w:bCs w:val="0"/>
                <w:color w:val="000000"/>
                <w:sz w:val="20"/>
                <w:szCs w:val="20"/>
              </w:rPr>
              <w:t>争议解决方法</w:t>
            </w:r>
          </w:p>
        </w:tc>
        <w:tc>
          <w:tcPr>
            <w:tcW w:w="6523" w:type="dxa"/>
            <w:noWrap w:val="0"/>
            <w:vAlign w:val="center"/>
          </w:tcPr>
          <w:p>
            <w:pPr>
              <w:jc w:val="left"/>
              <w:rPr>
                <w:rFonts w:hint="eastAsia"/>
                <w:szCs w:val="21"/>
                <w:lang w:val="en-US" w:eastAsia="zh-CN"/>
              </w:rPr>
            </w:pPr>
            <w:r>
              <w:rPr>
                <w:rFonts w:hint="eastAsia"/>
                <w:szCs w:val="21"/>
                <w:lang w:val="en-US" w:eastAsia="zh-CN"/>
              </w:rPr>
              <w:t>因货物的质量问题发生争议的，应当邀请国家认可的质量检测机构对货物质量进行鉴定。货物符合标准的，鉴定费由甲方承担；货物不符合质量标准的，鉴定费由乙方承担。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dxa"/>
            <w:noWrap w:val="0"/>
            <w:vAlign w:val="center"/>
          </w:tcPr>
          <w:p>
            <w:pPr>
              <w:spacing w:line="360" w:lineRule="exact"/>
              <w:jc w:val="center"/>
              <w:rPr>
                <w:rFonts w:hint="eastAsia" w:asciiTheme="minorEastAsia" w:hAnsiTheme="minorEastAsia" w:eastAsiaTheme="minorEastAsia" w:cstheme="minorEastAsia"/>
                <w:b/>
                <w:sz w:val="20"/>
                <w:szCs w:val="20"/>
                <w:lang w:eastAsia="zh-CN"/>
              </w:rPr>
            </w:pPr>
            <w:r>
              <w:rPr>
                <w:rFonts w:hint="eastAsia" w:asciiTheme="minorEastAsia" w:hAnsiTheme="minorEastAsia" w:eastAsiaTheme="minorEastAsia" w:cstheme="minorEastAsia"/>
                <w:b/>
                <w:sz w:val="20"/>
                <w:szCs w:val="20"/>
                <w:lang w:val="en-US" w:eastAsia="zh-CN"/>
              </w:rPr>
              <w:t>5</w:t>
            </w:r>
          </w:p>
        </w:tc>
        <w:tc>
          <w:tcPr>
            <w:tcW w:w="1577" w:type="dxa"/>
            <w:noWrap w:val="0"/>
            <w:vAlign w:val="center"/>
          </w:tcPr>
          <w:p>
            <w:pPr>
              <w:spacing w:line="360" w:lineRule="exact"/>
              <w:jc w:val="center"/>
              <w:rPr>
                <w:rFonts w:hint="eastAsia" w:asciiTheme="minorEastAsia" w:hAnsiTheme="minorEastAsia" w:eastAsiaTheme="minorEastAsia" w:cstheme="minorEastAsia"/>
                <w:color w:val="000000"/>
                <w:sz w:val="20"/>
                <w:szCs w:val="20"/>
              </w:rPr>
            </w:pPr>
            <w:r>
              <w:rPr>
                <w:rStyle w:val="20"/>
                <w:rFonts w:hint="eastAsia" w:asciiTheme="minorEastAsia" w:hAnsiTheme="minorEastAsia" w:eastAsiaTheme="minorEastAsia" w:cstheme="minorEastAsia"/>
                <w:color w:val="000000"/>
                <w:sz w:val="20"/>
                <w:szCs w:val="20"/>
              </w:rPr>
              <w:t>运输、安装条件</w:t>
            </w:r>
          </w:p>
        </w:tc>
        <w:tc>
          <w:tcPr>
            <w:tcW w:w="6523" w:type="dxa"/>
            <w:noWrap w:val="0"/>
            <w:vAlign w:val="center"/>
          </w:tcPr>
          <w:p>
            <w:pPr>
              <w:jc w:val="left"/>
              <w:rPr>
                <w:rFonts w:hint="eastAsia"/>
                <w:szCs w:val="21"/>
              </w:rPr>
            </w:pPr>
            <w:r>
              <w:rPr>
                <w:rFonts w:hint="eastAsia"/>
                <w:szCs w:val="21"/>
                <w:lang w:val="en-US" w:eastAsia="zh-CN"/>
              </w:rPr>
              <w:t>5</w:t>
            </w:r>
            <w:r>
              <w:rPr>
                <w:rFonts w:hint="eastAsia"/>
                <w:szCs w:val="21"/>
              </w:rPr>
              <w:t>.1 投标供应商须在签订合同之日起 3天内向采购人提供设备的运行、安装、使用环境要求。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dxa"/>
            <w:noWrap w:val="0"/>
            <w:vAlign w:val="center"/>
          </w:tcPr>
          <w:p>
            <w:pPr>
              <w:spacing w:line="360" w:lineRule="exact"/>
              <w:jc w:val="center"/>
              <w:rPr>
                <w:rFonts w:hint="eastAsia" w:asciiTheme="minorEastAsia" w:hAnsiTheme="minorEastAsia" w:eastAsiaTheme="minorEastAsia" w:cstheme="minorEastAsia"/>
                <w:b/>
                <w:sz w:val="20"/>
                <w:szCs w:val="20"/>
                <w:lang w:eastAsia="zh-CN"/>
              </w:rPr>
            </w:pPr>
            <w:r>
              <w:rPr>
                <w:rFonts w:hint="eastAsia" w:asciiTheme="minorEastAsia" w:hAnsiTheme="minorEastAsia" w:eastAsiaTheme="minorEastAsia" w:cstheme="minorEastAsia"/>
                <w:b/>
                <w:sz w:val="20"/>
                <w:szCs w:val="20"/>
                <w:lang w:val="en-US" w:eastAsia="zh-CN"/>
              </w:rPr>
              <w:t>6</w:t>
            </w:r>
          </w:p>
        </w:tc>
        <w:tc>
          <w:tcPr>
            <w:tcW w:w="1577" w:type="dxa"/>
            <w:noWrap w:val="0"/>
            <w:vAlign w:val="center"/>
          </w:tcPr>
          <w:p>
            <w:pPr>
              <w:spacing w:line="360" w:lineRule="exact"/>
              <w:jc w:val="center"/>
              <w:rPr>
                <w:rFonts w:hint="eastAsia" w:asciiTheme="minorEastAsia" w:hAnsiTheme="minorEastAsia" w:eastAsiaTheme="minorEastAsia" w:cstheme="minorEastAsia"/>
                <w:b/>
                <w:sz w:val="20"/>
                <w:szCs w:val="20"/>
              </w:rPr>
            </w:pPr>
            <w:r>
              <w:rPr>
                <w:rFonts w:hint="eastAsia" w:asciiTheme="minorEastAsia" w:hAnsiTheme="minorEastAsia" w:eastAsiaTheme="minorEastAsia" w:cstheme="minorEastAsia"/>
                <w:b/>
                <w:sz w:val="20"/>
                <w:szCs w:val="20"/>
              </w:rPr>
              <w:t>培训</w:t>
            </w:r>
          </w:p>
        </w:tc>
        <w:tc>
          <w:tcPr>
            <w:tcW w:w="6523" w:type="dxa"/>
            <w:noWrap w:val="0"/>
            <w:vAlign w:val="top"/>
          </w:tcPr>
          <w:p>
            <w:pPr>
              <w:jc w:val="left"/>
              <w:rPr>
                <w:rFonts w:hint="eastAsia"/>
                <w:szCs w:val="21"/>
              </w:rPr>
            </w:pPr>
            <w:r>
              <w:rPr>
                <w:rFonts w:hint="eastAsia"/>
                <w:szCs w:val="21"/>
              </w:rPr>
              <w:t>要求中标方在交货完成后一周内，免费向用户方进行技术培训工作，保证使用人员正常操作设备的各种功能。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dxa"/>
            <w:vMerge w:val="restart"/>
            <w:noWrap w:val="0"/>
            <w:vAlign w:val="center"/>
          </w:tcPr>
          <w:p>
            <w:pPr>
              <w:spacing w:line="360" w:lineRule="exact"/>
              <w:jc w:val="center"/>
              <w:rPr>
                <w:rFonts w:hint="eastAsia" w:asciiTheme="minorEastAsia" w:hAnsiTheme="minorEastAsia" w:eastAsiaTheme="minorEastAsia" w:cstheme="minorEastAsia"/>
                <w:b/>
                <w:sz w:val="20"/>
                <w:szCs w:val="20"/>
                <w:lang w:eastAsia="zh-CN"/>
              </w:rPr>
            </w:pPr>
            <w:r>
              <w:rPr>
                <w:rFonts w:hint="eastAsia" w:asciiTheme="minorEastAsia" w:hAnsiTheme="minorEastAsia" w:eastAsiaTheme="minorEastAsia" w:cstheme="minorEastAsia"/>
                <w:b/>
                <w:sz w:val="20"/>
                <w:szCs w:val="20"/>
                <w:lang w:val="en-US" w:eastAsia="zh-CN"/>
              </w:rPr>
              <w:t>7</w:t>
            </w:r>
          </w:p>
        </w:tc>
        <w:tc>
          <w:tcPr>
            <w:tcW w:w="1577" w:type="dxa"/>
            <w:vMerge w:val="restart"/>
            <w:noWrap w:val="0"/>
            <w:vAlign w:val="center"/>
          </w:tcPr>
          <w:p>
            <w:pPr>
              <w:spacing w:line="360" w:lineRule="exact"/>
              <w:jc w:val="center"/>
              <w:rPr>
                <w:rFonts w:hint="eastAsia" w:asciiTheme="minorEastAsia" w:hAnsiTheme="minorEastAsia" w:eastAsiaTheme="minorEastAsia" w:cstheme="minorEastAsia"/>
                <w:b/>
                <w:sz w:val="20"/>
                <w:szCs w:val="20"/>
              </w:rPr>
            </w:pPr>
            <w:r>
              <w:rPr>
                <w:rFonts w:hint="eastAsia" w:asciiTheme="minorEastAsia" w:hAnsiTheme="minorEastAsia" w:eastAsiaTheme="minorEastAsia" w:cstheme="minorEastAsia"/>
                <w:b/>
                <w:sz w:val="20"/>
                <w:szCs w:val="20"/>
              </w:rPr>
              <w:t>知识产权</w:t>
            </w:r>
          </w:p>
        </w:tc>
        <w:tc>
          <w:tcPr>
            <w:tcW w:w="6523" w:type="dxa"/>
            <w:noWrap w:val="0"/>
            <w:vAlign w:val="top"/>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z w:val="20"/>
                <w:szCs w:val="20"/>
                <w:lang w:val="en-US" w:eastAsia="zh-CN"/>
              </w:rPr>
              <w:t>7</w:t>
            </w:r>
            <w:r>
              <w:rPr>
                <w:rFonts w:hint="eastAsia" w:asciiTheme="minorEastAsia" w:hAnsiTheme="minorEastAsia" w:eastAsiaTheme="minorEastAsia" w:cstheme="minorEastAsia"/>
                <w:color w:val="000000"/>
                <w:sz w:val="20"/>
                <w:szCs w:val="20"/>
              </w:rPr>
              <w:t>.1涉及采购标的的知识产权归属、处理的，</w:t>
            </w:r>
            <w:r>
              <w:rPr>
                <w:rFonts w:hint="eastAsia" w:asciiTheme="minorEastAsia" w:hAnsiTheme="minorEastAsia" w:eastAsiaTheme="minorEastAsia" w:cstheme="minorEastAsia"/>
                <w:color w:val="000000"/>
                <w:sz w:val="20"/>
                <w:szCs w:val="20"/>
                <w:lang w:val="en-US" w:eastAsia="zh-CN"/>
              </w:rPr>
              <w:t>应</w:t>
            </w:r>
            <w:r>
              <w:rPr>
                <w:rFonts w:hint="eastAsia" w:asciiTheme="minorEastAsia" w:hAnsiTheme="minorEastAsia" w:eastAsiaTheme="minorEastAsia" w:cstheme="minorEastAsia"/>
                <w:color w:val="000000"/>
                <w:sz w:val="20"/>
                <w:szCs w:val="20"/>
              </w:rPr>
              <w:t>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dxa"/>
            <w:vMerge w:val="continue"/>
            <w:noWrap w:val="0"/>
            <w:vAlign w:val="center"/>
          </w:tcPr>
          <w:p>
            <w:pPr>
              <w:spacing w:line="360" w:lineRule="exact"/>
              <w:jc w:val="center"/>
              <w:rPr>
                <w:rFonts w:hint="eastAsia" w:asciiTheme="minorEastAsia" w:hAnsiTheme="minorEastAsia" w:eastAsiaTheme="minorEastAsia" w:cstheme="minorEastAsia"/>
                <w:b/>
                <w:sz w:val="20"/>
                <w:szCs w:val="20"/>
              </w:rPr>
            </w:pPr>
          </w:p>
        </w:tc>
        <w:tc>
          <w:tcPr>
            <w:tcW w:w="1577" w:type="dxa"/>
            <w:vMerge w:val="continue"/>
            <w:noWrap w:val="0"/>
            <w:vAlign w:val="center"/>
          </w:tcPr>
          <w:p>
            <w:pPr>
              <w:spacing w:line="360" w:lineRule="exact"/>
              <w:rPr>
                <w:rFonts w:hint="eastAsia" w:asciiTheme="minorEastAsia" w:hAnsiTheme="minorEastAsia" w:eastAsiaTheme="minorEastAsia" w:cstheme="minorEastAsia"/>
                <w:b/>
                <w:sz w:val="20"/>
                <w:szCs w:val="20"/>
              </w:rPr>
            </w:pPr>
          </w:p>
        </w:tc>
        <w:tc>
          <w:tcPr>
            <w:tcW w:w="6523" w:type="dxa"/>
            <w:noWrap w:val="0"/>
            <w:vAlign w:val="top"/>
          </w:tcPr>
          <w:p>
            <w:pPr>
              <w:widowControl/>
              <w:jc w:val="left"/>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sz w:val="20"/>
                <w:szCs w:val="20"/>
                <w:lang w:val="en-US" w:eastAsia="zh-CN"/>
              </w:rPr>
              <w:t>7</w:t>
            </w:r>
            <w:r>
              <w:rPr>
                <w:rFonts w:hint="eastAsia" w:asciiTheme="minorEastAsia" w:hAnsiTheme="minorEastAsia" w:eastAsiaTheme="minorEastAsia" w:cstheme="minorEastAsia"/>
                <w:color w:val="000000"/>
                <w:sz w:val="20"/>
                <w:szCs w:val="20"/>
              </w:rPr>
              <w:t>.2采购人购买产品后，有权对该产品与其他设备进行配套、整合或适当改进，而免受侵犯专利权的起诉。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dxa"/>
            <w:noWrap w:val="0"/>
            <w:vAlign w:val="center"/>
          </w:tcPr>
          <w:p>
            <w:pPr>
              <w:spacing w:line="360" w:lineRule="exact"/>
              <w:jc w:val="center"/>
              <w:rPr>
                <w:rFonts w:hint="eastAsia" w:asciiTheme="minorEastAsia" w:hAnsiTheme="minorEastAsia" w:eastAsiaTheme="minorEastAsia" w:cstheme="minorEastAsia"/>
                <w:b/>
                <w:sz w:val="20"/>
                <w:szCs w:val="20"/>
                <w:lang w:eastAsia="zh-CN"/>
              </w:rPr>
            </w:pPr>
            <w:r>
              <w:rPr>
                <w:rFonts w:hint="eastAsia" w:asciiTheme="minorEastAsia" w:hAnsiTheme="minorEastAsia" w:eastAsiaTheme="minorEastAsia" w:cstheme="minorEastAsia"/>
                <w:b/>
                <w:sz w:val="20"/>
                <w:szCs w:val="20"/>
                <w:lang w:val="en-US" w:eastAsia="zh-CN"/>
              </w:rPr>
              <w:t>8</w:t>
            </w:r>
          </w:p>
        </w:tc>
        <w:tc>
          <w:tcPr>
            <w:tcW w:w="1577" w:type="dxa"/>
            <w:noWrap w:val="0"/>
            <w:vAlign w:val="center"/>
          </w:tcPr>
          <w:p>
            <w:pPr>
              <w:spacing w:line="360" w:lineRule="exact"/>
              <w:jc w:val="center"/>
              <w:rPr>
                <w:rFonts w:hint="eastAsia" w:asciiTheme="minorEastAsia" w:hAnsiTheme="minorEastAsia" w:eastAsiaTheme="minorEastAsia" w:cstheme="minorEastAsia"/>
                <w:b/>
                <w:color w:val="auto"/>
                <w:sz w:val="20"/>
                <w:szCs w:val="20"/>
              </w:rPr>
            </w:pPr>
            <w:r>
              <w:rPr>
                <w:rFonts w:hint="eastAsia" w:asciiTheme="minorEastAsia" w:hAnsiTheme="minorEastAsia" w:eastAsiaTheme="minorEastAsia" w:cstheme="minorEastAsia"/>
                <w:b/>
                <w:color w:val="auto"/>
                <w:sz w:val="20"/>
                <w:szCs w:val="20"/>
              </w:rPr>
              <w:t>其他</w:t>
            </w:r>
          </w:p>
        </w:tc>
        <w:tc>
          <w:tcPr>
            <w:tcW w:w="6523" w:type="dxa"/>
            <w:noWrap w:val="0"/>
            <w:vAlign w:val="top"/>
          </w:tcPr>
          <w:p>
            <w:pPr>
              <w:spacing w:after="60" w:afterLines="25" w:line="300" w:lineRule="exact"/>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（1）中标</w:t>
            </w:r>
            <w:r>
              <w:rPr>
                <w:rFonts w:hint="eastAsia" w:asciiTheme="minorEastAsia" w:hAnsiTheme="minorEastAsia" w:cstheme="minorEastAsia"/>
                <w:color w:val="auto"/>
                <w:sz w:val="20"/>
                <w:szCs w:val="20"/>
                <w:lang w:eastAsia="zh-CN"/>
              </w:rPr>
              <w:t>人</w:t>
            </w:r>
            <w:r>
              <w:rPr>
                <w:rFonts w:hint="eastAsia" w:asciiTheme="minorEastAsia" w:hAnsiTheme="minorEastAsia" w:eastAsiaTheme="minorEastAsia" w:cstheme="minorEastAsia"/>
                <w:color w:val="auto"/>
                <w:sz w:val="20"/>
                <w:szCs w:val="20"/>
              </w:rPr>
              <w:t>在签订合同时应提供投标文件打印稿贰份，并加盖公章（一份交给监理公司，一份交给学校），同时提供投标文件的OFFICE文档。</w:t>
            </w:r>
          </w:p>
          <w:p>
            <w:pPr>
              <w:spacing w:after="60" w:afterLines="25" w:line="300" w:lineRule="exact"/>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2）根据政府采购相关规定，本项目不涉及政府集中采购目录中的任何货物。供应商以任何形式的政府集中采购目录中的货物投标，一经核实，将导致投标无效；若在验收阶段发现的，将导致项目不能通过验收，相关后果由中标公司承担。</w:t>
            </w:r>
          </w:p>
          <w:p>
            <w:pPr>
              <w:spacing w:after="60" w:afterLines="25" w:line="300" w:lineRule="exact"/>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（3）</w:t>
            </w:r>
            <w:r>
              <w:rPr>
                <w:rFonts w:hint="eastAsia" w:asciiTheme="minorEastAsia" w:hAnsiTheme="minorEastAsia" w:eastAsiaTheme="minorEastAsia" w:cstheme="minorEastAsia"/>
                <w:b w:val="0"/>
                <w:bCs w:val="0"/>
                <w:color w:val="auto"/>
                <w:sz w:val="20"/>
                <w:szCs w:val="20"/>
              </w:rPr>
              <w:t>上报验收报告时，除了表格中写明的材料外，还需要提交验收记录表、产品三证（产品合格证、供货凭证（含生产厂家或代理商证明）、产品检测证明（含第三方有资质检测机构出具的有效检测报告）、合同及附件；有害物质限量检测报告（现场抽样）</w:t>
            </w:r>
            <w:r>
              <w:rPr>
                <w:rFonts w:hint="eastAsia" w:asciiTheme="minorEastAsia" w:hAnsiTheme="minorEastAsia" w:eastAsiaTheme="minorEastAsia" w:cstheme="minorEastAsia"/>
                <w:b/>
                <w:bCs/>
                <w:color w:val="auto"/>
                <w:sz w:val="20"/>
                <w:szCs w:val="20"/>
              </w:rPr>
              <w:t>。</w:t>
            </w:r>
          </w:p>
          <w:p>
            <w:pPr>
              <w:spacing w:after="60" w:afterLines="25" w:line="300" w:lineRule="exact"/>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（4）</w:t>
            </w:r>
            <w:r>
              <w:rPr>
                <w:rFonts w:hint="eastAsia" w:asciiTheme="minorEastAsia" w:hAnsiTheme="minorEastAsia" w:cstheme="minorEastAsia"/>
                <w:color w:val="auto"/>
                <w:sz w:val="20"/>
                <w:szCs w:val="20"/>
                <w:lang w:val="en-US" w:eastAsia="zh-CN"/>
              </w:rPr>
              <w:t>中</w:t>
            </w:r>
            <w:r>
              <w:rPr>
                <w:rFonts w:hint="eastAsia" w:asciiTheme="minorEastAsia" w:hAnsiTheme="minorEastAsia" w:eastAsiaTheme="minorEastAsia" w:cstheme="minorEastAsia"/>
                <w:color w:val="auto"/>
                <w:sz w:val="20"/>
                <w:szCs w:val="20"/>
              </w:rPr>
              <w:t>标</w:t>
            </w:r>
            <w:r>
              <w:rPr>
                <w:rFonts w:hint="eastAsia" w:asciiTheme="minorEastAsia" w:hAnsiTheme="minorEastAsia" w:cstheme="minorEastAsia"/>
                <w:color w:val="auto"/>
                <w:sz w:val="20"/>
                <w:szCs w:val="20"/>
                <w:lang w:eastAsia="zh-CN"/>
              </w:rPr>
              <w:t>人</w:t>
            </w:r>
            <w:r>
              <w:rPr>
                <w:rFonts w:hint="eastAsia" w:asciiTheme="minorEastAsia" w:hAnsiTheme="minorEastAsia" w:eastAsiaTheme="minorEastAsia" w:cstheme="minorEastAsia"/>
                <w:color w:val="auto"/>
                <w:sz w:val="20"/>
                <w:szCs w:val="20"/>
              </w:rPr>
              <w:t>必须确保中标后提供的货物为正规渠道供货，不存在违反国家法律、法规的情况。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dxa"/>
            <w:noWrap w:val="0"/>
            <w:vAlign w:val="center"/>
          </w:tcPr>
          <w:p>
            <w:pPr>
              <w:spacing w:line="360" w:lineRule="exact"/>
              <w:jc w:val="center"/>
              <w:rPr>
                <w:rFonts w:hint="default" w:asciiTheme="minorEastAsia" w:hAnsiTheme="minorEastAsia" w:eastAsiaTheme="minorEastAsia" w:cstheme="minorEastAsia"/>
                <w:b/>
                <w:sz w:val="20"/>
                <w:szCs w:val="20"/>
                <w:lang w:val="en-US" w:eastAsia="zh-CN"/>
              </w:rPr>
            </w:pPr>
            <w:r>
              <w:rPr>
                <w:rFonts w:hint="eastAsia" w:asciiTheme="minorEastAsia" w:hAnsiTheme="minorEastAsia" w:cstheme="minorEastAsia"/>
                <w:b/>
                <w:sz w:val="20"/>
                <w:szCs w:val="20"/>
                <w:lang w:val="en-US" w:eastAsia="zh-CN"/>
              </w:rPr>
              <w:t>9</w:t>
            </w:r>
          </w:p>
        </w:tc>
        <w:tc>
          <w:tcPr>
            <w:tcW w:w="1577" w:type="dxa"/>
            <w:noWrap w:val="0"/>
            <w:vAlign w:val="center"/>
          </w:tcPr>
          <w:p>
            <w:pPr>
              <w:spacing w:line="360" w:lineRule="exact"/>
              <w:jc w:val="center"/>
              <w:rPr>
                <w:rFonts w:hint="default" w:asciiTheme="minorEastAsia" w:hAnsiTheme="minorEastAsia" w:eastAsiaTheme="minorEastAsia" w:cstheme="minorEastAsia"/>
                <w:b/>
                <w:color w:val="auto"/>
                <w:sz w:val="20"/>
                <w:szCs w:val="20"/>
                <w:lang w:val="en-US" w:eastAsia="zh-CN"/>
              </w:rPr>
            </w:pPr>
            <w:r>
              <w:rPr>
                <w:rFonts w:hint="eastAsia" w:asciiTheme="minorEastAsia" w:hAnsiTheme="minorEastAsia" w:cstheme="minorEastAsia"/>
                <w:b/>
                <w:color w:val="auto"/>
                <w:sz w:val="20"/>
                <w:szCs w:val="20"/>
                <w:lang w:val="en-US" w:eastAsia="zh-CN"/>
              </w:rPr>
              <w:t>项目要求</w:t>
            </w:r>
          </w:p>
        </w:tc>
        <w:tc>
          <w:tcPr>
            <w:tcW w:w="6523" w:type="dxa"/>
            <w:noWrap w:val="0"/>
            <w:vAlign w:val="top"/>
          </w:tcPr>
          <w:p>
            <w:pPr>
              <w:spacing w:line="360" w:lineRule="exac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现场抽检：家具（含课桌椅）类货物应提供有害物质检测报告。根据深圳经济特区技术规范《家具成品及原辅材料中有害物质限量》（SZJG52-2016）的规定，需根据现场抽样并对以下项目进行检验且合格</w:t>
            </w:r>
          </w:p>
          <w:tbl>
            <w:tblPr>
              <w:tblStyle w:val="17"/>
              <w:tblW w:w="5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1719"/>
              <w:gridCol w:w="1135"/>
              <w:gridCol w:w="826"/>
              <w:gridCol w:w="1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4" w:hRule="atLeast"/>
                <w:tblHeader/>
                <w:jc w:val="center"/>
              </w:trPr>
              <w:tc>
                <w:tcPr>
                  <w:tcW w:w="617" w:type="dxa"/>
                  <w:noWrap w:val="0"/>
                  <w:vAlign w:val="center"/>
                </w:tcPr>
                <w:p>
                  <w:pPr>
                    <w:snapToGrid w:val="0"/>
                    <w:jc w:val="center"/>
                    <w:rPr>
                      <w:rFonts w:ascii="宋体" w:hAnsi="宋体"/>
                      <w:sz w:val="21"/>
                      <w:szCs w:val="21"/>
                    </w:rPr>
                  </w:pPr>
                  <w:r>
                    <w:rPr>
                      <w:rFonts w:hint="eastAsia" w:ascii="宋体" w:hAnsi="宋体"/>
                      <w:sz w:val="21"/>
                      <w:szCs w:val="21"/>
                    </w:rPr>
                    <w:t>序号</w:t>
                  </w:r>
                </w:p>
              </w:tc>
              <w:tc>
                <w:tcPr>
                  <w:tcW w:w="1719" w:type="dxa"/>
                  <w:noWrap w:val="0"/>
                  <w:vAlign w:val="center"/>
                </w:tcPr>
                <w:p>
                  <w:pPr>
                    <w:snapToGrid w:val="0"/>
                    <w:jc w:val="center"/>
                    <w:rPr>
                      <w:rFonts w:ascii="宋体" w:hAnsi="宋体"/>
                      <w:sz w:val="21"/>
                      <w:szCs w:val="21"/>
                    </w:rPr>
                  </w:pPr>
                  <w:r>
                    <w:rPr>
                      <w:rFonts w:hint="eastAsia" w:ascii="宋体" w:hAnsi="宋体"/>
                      <w:sz w:val="21"/>
                      <w:szCs w:val="21"/>
                    </w:rPr>
                    <w:t>检验项目</w:t>
                  </w:r>
                </w:p>
              </w:tc>
              <w:tc>
                <w:tcPr>
                  <w:tcW w:w="1135" w:type="dxa"/>
                  <w:noWrap w:val="0"/>
                  <w:vAlign w:val="center"/>
                </w:tcPr>
                <w:p>
                  <w:pPr>
                    <w:snapToGrid w:val="0"/>
                    <w:jc w:val="center"/>
                    <w:rPr>
                      <w:rFonts w:ascii="宋体" w:hAnsi="宋体"/>
                      <w:sz w:val="21"/>
                      <w:szCs w:val="21"/>
                    </w:rPr>
                  </w:pPr>
                  <w:r>
                    <w:rPr>
                      <w:rFonts w:hint="eastAsia" w:ascii="宋体" w:hAnsi="宋体"/>
                      <w:sz w:val="21"/>
                      <w:szCs w:val="21"/>
                    </w:rPr>
                    <w:t>依据法律法规或标准条款</w:t>
                  </w:r>
                </w:p>
              </w:tc>
              <w:tc>
                <w:tcPr>
                  <w:tcW w:w="826" w:type="dxa"/>
                  <w:noWrap w:val="0"/>
                  <w:vAlign w:val="center"/>
                </w:tcPr>
                <w:p>
                  <w:pPr>
                    <w:snapToGrid w:val="0"/>
                    <w:jc w:val="center"/>
                    <w:rPr>
                      <w:rFonts w:ascii="宋体" w:hAnsi="宋体"/>
                      <w:sz w:val="21"/>
                      <w:szCs w:val="21"/>
                    </w:rPr>
                  </w:pPr>
                  <w:r>
                    <w:rPr>
                      <w:rFonts w:hint="eastAsia" w:ascii="宋体" w:hAnsi="宋体"/>
                      <w:sz w:val="21"/>
                      <w:szCs w:val="21"/>
                    </w:rPr>
                    <w:t>强制性/推荐性</w:t>
                  </w:r>
                </w:p>
              </w:tc>
              <w:tc>
                <w:tcPr>
                  <w:tcW w:w="1506" w:type="dxa"/>
                  <w:noWrap w:val="0"/>
                  <w:vAlign w:val="center"/>
                </w:tcPr>
                <w:p>
                  <w:pPr>
                    <w:snapToGrid w:val="0"/>
                    <w:jc w:val="center"/>
                    <w:rPr>
                      <w:rFonts w:ascii="宋体" w:hAnsi="宋体"/>
                      <w:sz w:val="21"/>
                      <w:szCs w:val="21"/>
                    </w:rPr>
                  </w:pPr>
                  <w:r>
                    <w:rPr>
                      <w:rFonts w:hint="eastAsia" w:ascii="宋体" w:hAnsi="宋体"/>
                      <w:sz w:val="21"/>
                      <w:szCs w:val="21"/>
                    </w:rPr>
                    <w:t>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617" w:type="dxa"/>
                  <w:noWrap w:val="0"/>
                  <w:vAlign w:val="top"/>
                </w:tcPr>
                <w:p>
                  <w:pPr>
                    <w:jc w:val="center"/>
                    <w:rPr>
                      <w:rFonts w:ascii="宋体" w:hAnsi="宋体"/>
                      <w:sz w:val="21"/>
                      <w:szCs w:val="21"/>
                    </w:rPr>
                  </w:pPr>
                  <w:r>
                    <w:rPr>
                      <w:rFonts w:hint="eastAsia" w:ascii="宋体" w:hAnsi="宋体"/>
                      <w:sz w:val="21"/>
                      <w:szCs w:val="21"/>
                    </w:rPr>
                    <w:t>1</w:t>
                  </w:r>
                </w:p>
              </w:tc>
              <w:tc>
                <w:tcPr>
                  <w:tcW w:w="1719" w:type="dxa"/>
                  <w:noWrap w:val="0"/>
                  <w:vAlign w:val="center"/>
                </w:tcPr>
                <w:p>
                  <w:pPr>
                    <w:rPr>
                      <w:rFonts w:ascii="宋体" w:hAnsi="宋体"/>
                      <w:sz w:val="21"/>
                      <w:szCs w:val="21"/>
                    </w:rPr>
                  </w:pPr>
                  <w:r>
                    <w:rPr>
                      <w:rFonts w:hint="eastAsia" w:ascii="宋体" w:hAnsi="宋体"/>
                      <w:sz w:val="21"/>
                      <w:szCs w:val="21"/>
                    </w:rPr>
                    <w:t>甲醛释放量</w:t>
                  </w:r>
                </w:p>
              </w:tc>
              <w:tc>
                <w:tcPr>
                  <w:tcW w:w="1135" w:type="dxa"/>
                  <w:noWrap w:val="0"/>
                  <w:vAlign w:val="center"/>
                </w:tcPr>
                <w:p>
                  <w:pPr>
                    <w:rPr>
                      <w:rFonts w:ascii="宋体" w:hAnsi="宋体"/>
                      <w:sz w:val="21"/>
                      <w:szCs w:val="21"/>
                    </w:rPr>
                  </w:pPr>
                  <w:r>
                    <w:rPr>
                      <w:rFonts w:ascii="宋体" w:hAnsi="宋体"/>
                      <w:sz w:val="21"/>
                      <w:szCs w:val="21"/>
                    </w:rPr>
                    <w:t>SZJG52-2016</w:t>
                  </w:r>
                </w:p>
              </w:tc>
              <w:tc>
                <w:tcPr>
                  <w:tcW w:w="826" w:type="dxa"/>
                  <w:noWrap w:val="0"/>
                  <w:vAlign w:val="center"/>
                </w:tcPr>
                <w:p>
                  <w:pPr>
                    <w:rPr>
                      <w:rFonts w:ascii="宋体" w:hAnsi="宋体"/>
                      <w:sz w:val="21"/>
                      <w:szCs w:val="21"/>
                    </w:rPr>
                  </w:pPr>
                  <w:r>
                    <w:rPr>
                      <w:rFonts w:hint="eastAsia" w:ascii="宋体" w:hAnsi="宋体"/>
                      <w:sz w:val="21"/>
                      <w:szCs w:val="21"/>
                    </w:rPr>
                    <w:t>强制性</w:t>
                  </w:r>
                </w:p>
              </w:tc>
              <w:tc>
                <w:tcPr>
                  <w:tcW w:w="1506" w:type="dxa"/>
                  <w:noWrap w:val="0"/>
                  <w:vAlign w:val="center"/>
                </w:tcPr>
                <w:p>
                  <w:pPr>
                    <w:rPr>
                      <w:rFonts w:ascii="宋体" w:hAnsi="宋体"/>
                      <w:sz w:val="21"/>
                      <w:szCs w:val="21"/>
                    </w:rPr>
                  </w:pPr>
                  <w:r>
                    <w:rPr>
                      <w:rFonts w:ascii="宋体" w:hAnsi="宋体"/>
                      <w:sz w:val="21"/>
                      <w:szCs w:val="21"/>
                    </w:rPr>
                    <w:t>SZJG52-2016</w:t>
                  </w:r>
                  <w:r>
                    <w:rPr>
                      <w:rFonts w:hint="eastAsia" w:ascii="宋体" w:hAnsi="宋体"/>
                      <w:sz w:val="21"/>
                      <w:szCs w:val="21"/>
                    </w:rPr>
                    <w:t xml:space="preserve">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617" w:type="dxa"/>
                  <w:noWrap w:val="0"/>
                  <w:vAlign w:val="top"/>
                </w:tcPr>
                <w:p>
                  <w:pPr>
                    <w:jc w:val="center"/>
                    <w:rPr>
                      <w:rFonts w:ascii="宋体" w:hAnsi="宋体"/>
                      <w:sz w:val="21"/>
                      <w:szCs w:val="21"/>
                    </w:rPr>
                  </w:pPr>
                  <w:r>
                    <w:rPr>
                      <w:rFonts w:hint="eastAsia" w:ascii="宋体" w:hAnsi="宋体"/>
                      <w:sz w:val="21"/>
                      <w:szCs w:val="21"/>
                    </w:rPr>
                    <w:t>2</w:t>
                  </w:r>
                </w:p>
              </w:tc>
              <w:tc>
                <w:tcPr>
                  <w:tcW w:w="1719" w:type="dxa"/>
                  <w:noWrap w:val="0"/>
                  <w:vAlign w:val="center"/>
                </w:tcPr>
                <w:p>
                  <w:pPr>
                    <w:rPr>
                      <w:rFonts w:ascii="宋体" w:hAnsi="宋体"/>
                      <w:sz w:val="21"/>
                      <w:szCs w:val="21"/>
                    </w:rPr>
                  </w:pPr>
                  <w:r>
                    <w:rPr>
                      <w:rFonts w:hint="eastAsia" w:ascii="宋体" w:hAnsi="宋体"/>
                      <w:sz w:val="21"/>
                      <w:szCs w:val="21"/>
                    </w:rPr>
                    <w:t>苯释放量</w:t>
                  </w:r>
                </w:p>
              </w:tc>
              <w:tc>
                <w:tcPr>
                  <w:tcW w:w="1135" w:type="dxa"/>
                  <w:noWrap w:val="0"/>
                  <w:vAlign w:val="center"/>
                </w:tcPr>
                <w:p>
                  <w:pPr>
                    <w:rPr>
                      <w:rFonts w:ascii="宋体" w:hAnsi="宋体"/>
                      <w:sz w:val="21"/>
                      <w:szCs w:val="21"/>
                    </w:rPr>
                  </w:pPr>
                  <w:r>
                    <w:rPr>
                      <w:rFonts w:ascii="宋体" w:hAnsi="宋体"/>
                      <w:sz w:val="21"/>
                      <w:szCs w:val="21"/>
                    </w:rPr>
                    <w:t>SZJG52-2016</w:t>
                  </w:r>
                </w:p>
              </w:tc>
              <w:tc>
                <w:tcPr>
                  <w:tcW w:w="826" w:type="dxa"/>
                  <w:noWrap w:val="0"/>
                  <w:vAlign w:val="center"/>
                </w:tcPr>
                <w:p>
                  <w:pPr>
                    <w:rPr>
                      <w:rFonts w:ascii="宋体" w:hAnsi="宋体"/>
                      <w:sz w:val="21"/>
                      <w:szCs w:val="21"/>
                    </w:rPr>
                  </w:pPr>
                  <w:r>
                    <w:rPr>
                      <w:rFonts w:hint="eastAsia" w:ascii="宋体" w:hAnsi="宋体"/>
                      <w:sz w:val="21"/>
                      <w:szCs w:val="21"/>
                    </w:rPr>
                    <w:t>强制性</w:t>
                  </w:r>
                </w:p>
              </w:tc>
              <w:tc>
                <w:tcPr>
                  <w:tcW w:w="1506" w:type="dxa"/>
                  <w:noWrap w:val="0"/>
                  <w:vAlign w:val="center"/>
                </w:tcPr>
                <w:p>
                  <w:pPr>
                    <w:rPr>
                      <w:rFonts w:ascii="宋体" w:hAnsi="宋体"/>
                      <w:sz w:val="21"/>
                      <w:szCs w:val="21"/>
                    </w:rPr>
                  </w:pPr>
                  <w:r>
                    <w:rPr>
                      <w:rFonts w:ascii="宋体" w:hAnsi="宋体"/>
                      <w:sz w:val="21"/>
                      <w:szCs w:val="21"/>
                    </w:rPr>
                    <w:t>SZJG52-2016</w:t>
                  </w:r>
                  <w:r>
                    <w:rPr>
                      <w:rFonts w:hint="eastAsia" w:ascii="宋体" w:hAnsi="宋体"/>
                      <w:sz w:val="21"/>
                      <w:szCs w:val="21"/>
                    </w:rPr>
                    <w:t xml:space="preserve">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617" w:type="dxa"/>
                  <w:noWrap w:val="0"/>
                  <w:vAlign w:val="top"/>
                </w:tcPr>
                <w:p>
                  <w:pPr>
                    <w:jc w:val="center"/>
                    <w:rPr>
                      <w:rFonts w:ascii="宋体" w:hAnsi="宋体"/>
                      <w:sz w:val="21"/>
                      <w:szCs w:val="21"/>
                    </w:rPr>
                  </w:pPr>
                  <w:r>
                    <w:rPr>
                      <w:rFonts w:hint="eastAsia" w:ascii="宋体" w:hAnsi="宋体"/>
                      <w:sz w:val="21"/>
                      <w:szCs w:val="21"/>
                    </w:rPr>
                    <w:t>3</w:t>
                  </w:r>
                </w:p>
              </w:tc>
              <w:tc>
                <w:tcPr>
                  <w:tcW w:w="1719" w:type="dxa"/>
                  <w:noWrap w:val="0"/>
                  <w:vAlign w:val="center"/>
                </w:tcPr>
                <w:p>
                  <w:pPr>
                    <w:rPr>
                      <w:rFonts w:ascii="宋体" w:hAnsi="宋体"/>
                      <w:sz w:val="21"/>
                      <w:szCs w:val="21"/>
                    </w:rPr>
                  </w:pPr>
                  <w:r>
                    <w:rPr>
                      <w:rFonts w:hint="eastAsia" w:ascii="宋体" w:hAnsi="宋体"/>
                      <w:sz w:val="21"/>
                      <w:szCs w:val="21"/>
                    </w:rPr>
                    <w:t>甲苯释放量</w:t>
                  </w:r>
                </w:p>
              </w:tc>
              <w:tc>
                <w:tcPr>
                  <w:tcW w:w="1135" w:type="dxa"/>
                  <w:noWrap w:val="0"/>
                  <w:vAlign w:val="center"/>
                </w:tcPr>
                <w:p>
                  <w:pPr>
                    <w:rPr>
                      <w:rFonts w:ascii="宋体" w:hAnsi="宋体"/>
                      <w:sz w:val="21"/>
                      <w:szCs w:val="21"/>
                    </w:rPr>
                  </w:pPr>
                  <w:r>
                    <w:rPr>
                      <w:rFonts w:ascii="宋体" w:hAnsi="宋体"/>
                      <w:sz w:val="21"/>
                      <w:szCs w:val="21"/>
                    </w:rPr>
                    <w:t>SZJG52-2016</w:t>
                  </w:r>
                </w:p>
              </w:tc>
              <w:tc>
                <w:tcPr>
                  <w:tcW w:w="826" w:type="dxa"/>
                  <w:noWrap w:val="0"/>
                  <w:vAlign w:val="center"/>
                </w:tcPr>
                <w:p>
                  <w:pPr>
                    <w:rPr>
                      <w:rFonts w:ascii="宋体" w:hAnsi="宋体"/>
                      <w:sz w:val="21"/>
                      <w:szCs w:val="21"/>
                    </w:rPr>
                  </w:pPr>
                  <w:r>
                    <w:rPr>
                      <w:rFonts w:hint="eastAsia" w:ascii="宋体" w:hAnsi="宋体"/>
                      <w:sz w:val="21"/>
                      <w:szCs w:val="21"/>
                    </w:rPr>
                    <w:t>强制性</w:t>
                  </w:r>
                </w:p>
              </w:tc>
              <w:tc>
                <w:tcPr>
                  <w:tcW w:w="1506" w:type="dxa"/>
                  <w:noWrap w:val="0"/>
                  <w:vAlign w:val="center"/>
                </w:tcPr>
                <w:p>
                  <w:pPr>
                    <w:rPr>
                      <w:rFonts w:ascii="宋体" w:hAnsi="宋体"/>
                      <w:sz w:val="21"/>
                      <w:szCs w:val="21"/>
                    </w:rPr>
                  </w:pPr>
                  <w:r>
                    <w:rPr>
                      <w:rFonts w:ascii="宋体" w:hAnsi="宋体"/>
                      <w:sz w:val="21"/>
                      <w:szCs w:val="21"/>
                    </w:rPr>
                    <w:t>SZJG52-2016</w:t>
                  </w:r>
                  <w:r>
                    <w:rPr>
                      <w:rFonts w:hint="eastAsia" w:ascii="宋体" w:hAnsi="宋体"/>
                      <w:sz w:val="21"/>
                      <w:szCs w:val="21"/>
                    </w:rPr>
                    <w:t xml:space="preserve">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617" w:type="dxa"/>
                  <w:noWrap w:val="0"/>
                  <w:vAlign w:val="top"/>
                </w:tcPr>
                <w:p>
                  <w:pPr>
                    <w:jc w:val="center"/>
                    <w:rPr>
                      <w:rFonts w:ascii="宋体" w:hAnsi="宋体"/>
                      <w:sz w:val="21"/>
                      <w:szCs w:val="21"/>
                    </w:rPr>
                  </w:pPr>
                  <w:r>
                    <w:rPr>
                      <w:rFonts w:hint="eastAsia" w:ascii="宋体" w:hAnsi="宋体"/>
                      <w:sz w:val="21"/>
                      <w:szCs w:val="21"/>
                    </w:rPr>
                    <w:t>4</w:t>
                  </w:r>
                </w:p>
              </w:tc>
              <w:tc>
                <w:tcPr>
                  <w:tcW w:w="1719" w:type="dxa"/>
                  <w:noWrap w:val="0"/>
                  <w:vAlign w:val="center"/>
                </w:tcPr>
                <w:p>
                  <w:pPr>
                    <w:rPr>
                      <w:rFonts w:ascii="宋体" w:hAnsi="宋体"/>
                      <w:sz w:val="21"/>
                      <w:szCs w:val="21"/>
                    </w:rPr>
                  </w:pPr>
                  <w:r>
                    <w:rPr>
                      <w:rFonts w:hint="eastAsia" w:ascii="宋体" w:hAnsi="宋体"/>
                      <w:sz w:val="21"/>
                      <w:szCs w:val="21"/>
                    </w:rPr>
                    <w:t>二甲苯释放量</w:t>
                  </w:r>
                </w:p>
              </w:tc>
              <w:tc>
                <w:tcPr>
                  <w:tcW w:w="1135" w:type="dxa"/>
                  <w:noWrap w:val="0"/>
                  <w:vAlign w:val="center"/>
                </w:tcPr>
                <w:p>
                  <w:pPr>
                    <w:rPr>
                      <w:rFonts w:ascii="宋体" w:hAnsi="宋体"/>
                      <w:sz w:val="21"/>
                      <w:szCs w:val="21"/>
                    </w:rPr>
                  </w:pPr>
                  <w:r>
                    <w:rPr>
                      <w:rFonts w:ascii="宋体" w:hAnsi="宋体"/>
                      <w:sz w:val="21"/>
                      <w:szCs w:val="21"/>
                    </w:rPr>
                    <w:t>SZJG52-2016</w:t>
                  </w:r>
                </w:p>
              </w:tc>
              <w:tc>
                <w:tcPr>
                  <w:tcW w:w="826" w:type="dxa"/>
                  <w:noWrap w:val="0"/>
                  <w:vAlign w:val="center"/>
                </w:tcPr>
                <w:p>
                  <w:pPr>
                    <w:rPr>
                      <w:rFonts w:ascii="宋体" w:hAnsi="宋体"/>
                      <w:sz w:val="21"/>
                      <w:szCs w:val="21"/>
                    </w:rPr>
                  </w:pPr>
                  <w:r>
                    <w:rPr>
                      <w:rFonts w:hint="eastAsia" w:ascii="宋体" w:hAnsi="宋体"/>
                      <w:sz w:val="21"/>
                      <w:szCs w:val="21"/>
                    </w:rPr>
                    <w:t>强制性</w:t>
                  </w:r>
                </w:p>
              </w:tc>
              <w:tc>
                <w:tcPr>
                  <w:tcW w:w="1506" w:type="dxa"/>
                  <w:noWrap w:val="0"/>
                  <w:vAlign w:val="center"/>
                </w:tcPr>
                <w:p>
                  <w:pPr>
                    <w:rPr>
                      <w:rFonts w:ascii="宋体" w:hAnsi="宋体"/>
                      <w:sz w:val="21"/>
                      <w:szCs w:val="21"/>
                    </w:rPr>
                  </w:pPr>
                  <w:r>
                    <w:rPr>
                      <w:rFonts w:ascii="宋体" w:hAnsi="宋体"/>
                      <w:sz w:val="21"/>
                      <w:szCs w:val="21"/>
                    </w:rPr>
                    <w:t>SZJG52-2016</w:t>
                  </w:r>
                  <w:r>
                    <w:rPr>
                      <w:rFonts w:hint="eastAsia" w:ascii="宋体" w:hAnsi="宋体"/>
                      <w:sz w:val="21"/>
                      <w:szCs w:val="21"/>
                    </w:rPr>
                    <w:t xml:space="preserve">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5" w:hRule="atLeast"/>
                <w:jc w:val="center"/>
              </w:trPr>
              <w:tc>
                <w:tcPr>
                  <w:tcW w:w="617" w:type="dxa"/>
                  <w:noWrap w:val="0"/>
                  <w:vAlign w:val="top"/>
                </w:tcPr>
                <w:p>
                  <w:pPr>
                    <w:jc w:val="center"/>
                    <w:rPr>
                      <w:rFonts w:ascii="宋体" w:hAnsi="宋体"/>
                      <w:sz w:val="21"/>
                      <w:szCs w:val="21"/>
                    </w:rPr>
                  </w:pPr>
                  <w:r>
                    <w:rPr>
                      <w:rFonts w:hint="eastAsia" w:ascii="宋体" w:hAnsi="宋体"/>
                      <w:sz w:val="21"/>
                      <w:szCs w:val="21"/>
                    </w:rPr>
                    <w:t>5</w:t>
                  </w:r>
                </w:p>
              </w:tc>
              <w:tc>
                <w:tcPr>
                  <w:tcW w:w="1719" w:type="dxa"/>
                  <w:noWrap w:val="0"/>
                  <w:vAlign w:val="center"/>
                </w:tcPr>
                <w:p>
                  <w:pPr>
                    <w:rPr>
                      <w:rFonts w:ascii="宋体" w:hAnsi="宋体"/>
                      <w:sz w:val="21"/>
                      <w:szCs w:val="21"/>
                    </w:rPr>
                  </w:pPr>
                  <w:r>
                    <w:rPr>
                      <w:rFonts w:hint="eastAsia" w:ascii="宋体" w:hAnsi="宋体"/>
                      <w:sz w:val="21"/>
                      <w:szCs w:val="21"/>
                    </w:rPr>
                    <w:t>总挥发性有机化合物（TVOC</w:t>
                  </w:r>
                  <w:r>
                    <w:rPr>
                      <w:rFonts w:ascii="宋体" w:hAnsi="宋体"/>
                      <w:sz w:val="21"/>
                      <w:szCs w:val="21"/>
                    </w:rPr>
                    <w:t>）</w:t>
                  </w:r>
                  <w:r>
                    <w:rPr>
                      <w:rFonts w:hint="eastAsia" w:ascii="宋体" w:hAnsi="宋体"/>
                      <w:sz w:val="21"/>
                      <w:szCs w:val="21"/>
                    </w:rPr>
                    <w:t>释放量</w:t>
                  </w:r>
                </w:p>
              </w:tc>
              <w:tc>
                <w:tcPr>
                  <w:tcW w:w="1135" w:type="dxa"/>
                  <w:noWrap w:val="0"/>
                  <w:vAlign w:val="center"/>
                </w:tcPr>
                <w:p>
                  <w:pPr>
                    <w:rPr>
                      <w:rFonts w:ascii="宋体" w:hAnsi="宋体"/>
                      <w:sz w:val="21"/>
                      <w:szCs w:val="21"/>
                    </w:rPr>
                  </w:pPr>
                  <w:r>
                    <w:rPr>
                      <w:rFonts w:ascii="宋体" w:hAnsi="宋体"/>
                      <w:sz w:val="21"/>
                      <w:szCs w:val="21"/>
                    </w:rPr>
                    <w:t>SZJG52-2016</w:t>
                  </w:r>
                </w:p>
              </w:tc>
              <w:tc>
                <w:tcPr>
                  <w:tcW w:w="826" w:type="dxa"/>
                  <w:noWrap w:val="0"/>
                  <w:vAlign w:val="center"/>
                </w:tcPr>
                <w:p>
                  <w:pPr>
                    <w:rPr>
                      <w:rFonts w:ascii="宋体" w:hAnsi="宋体"/>
                      <w:sz w:val="21"/>
                      <w:szCs w:val="21"/>
                    </w:rPr>
                  </w:pPr>
                  <w:r>
                    <w:rPr>
                      <w:rFonts w:hint="eastAsia" w:ascii="宋体" w:hAnsi="宋体"/>
                      <w:sz w:val="21"/>
                      <w:szCs w:val="21"/>
                    </w:rPr>
                    <w:t>强制性</w:t>
                  </w:r>
                </w:p>
              </w:tc>
              <w:tc>
                <w:tcPr>
                  <w:tcW w:w="1506" w:type="dxa"/>
                  <w:noWrap w:val="0"/>
                  <w:vAlign w:val="center"/>
                </w:tcPr>
                <w:p>
                  <w:pPr>
                    <w:rPr>
                      <w:rFonts w:ascii="宋体" w:hAnsi="宋体"/>
                      <w:sz w:val="21"/>
                      <w:szCs w:val="21"/>
                    </w:rPr>
                  </w:pPr>
                  <w:r>
                    <w:rPr>
                      <w:rFonts w:ascii="宋体" w:hAnsi="宋体"/>
                      <w:sz w:val="21"/>
                      <w:szCs w:val="21"/>
                    </w:rPr>
                    <w:t>SZJG52-2016</w:t>
                  </w:r>
                  <w:r>
                    <w:rPr>
                      <w:rFonts w:hint="eastAsia" w:ascii="宋体" w:hAnsi="宋体"/>
                      <w:sz w:val="21"/>
                      <w:szCs w:val="21"/>
                    </w:rPr>
                    <w:t xml:space="preserve"> GB/T31106-2014</w:t>
                  </w:r>
                </w:p>
              </w:tc>
            </w:tr>
          </w:tbl>
          <w:p>
            <w:pPr>
              <w:spacing w:after="60" w:afterLines="25" w:line="300" w:lineRule="exact"/>
              <w:rPr>
                <w:rFonts w:hint="eastAsia" w:asciiTheme="minorEastAsia" w:hAnsiTheme="minorEastAsia" w:eastAsiaTheme="minorEastAsia" w:cstheme="minorEastAsia"/>
                <w:color w:val="auto"/>
                <w:sz w:val="20"/>
                <w:szCs w:val="20"/>
              </w:rPr>
            </w:pPr>
          </w:p>
        </w:tc>
      </w:tr>
    </w:tbl>
    <w:p>
      <w:pPr>
        <w:rPr>
          <w:rFonts w:hint="eastAsia" w:asciiTheme="minorEastAsia" w:hAnsiTheme="minorEastAsia" w:eastAsiaTheme="minorEastAsia" w:cstheme="minorEastAsia"/>
          <w:b/>
          <w:sz w:val="20"/>
          <w:szCs w:val="20"/>
        </w:rPr>
      </w:pPr>
    </w:p>
    <w:p>
      <w:pPr>
        <w:pStyle w:val="6"/>
        <w:spacing w:before="60" w:beforeLines="25" w:after="60" w:afterLines="25"/>
        <w:ind w:firstLine="0" w:firstLineChars="0"/>
        <w:rPr>
          <w:rFonts w:ascii="宋体" w:hAnsi="宋体"/>
          <w:szCs w:val="21"/>
        </w:rPr>
      </w:pPr>
    </w:p>
    <w:p>
      <w:pPr>
        <w:pStyle w:val="6"/>
        <w:spacing w:before="60" w:beforeLines="25" w:after="60" w:afterLines="25"/>
        <w:ind w:firstLine="0" w:firstLineChars="0"/>
        <w:rPr>
          <w:rFonts w:ascii="宋体" w:hAnsi="宋体"/>
          <w:szCs w:val="21"/>
        </w:rPr>
      </w:pPr>
    </w:p>
    <w:p>
      <w:pPr>
        <w:pStyle w:val="6"/>
        <w:spacing w:before="60" w:beforeLines="25" w:after="60" w:afterLines="25"/>
        <w:ind w:firstLine="0" w:firstLineChars="0"/>
        <w:jc w:val="center"/>
        <w:outlineLvl w:val="1"/>
        <w:rPr>
          <w:rFonts w:ascii="宋体" w:hAnsi="宋体"/>
          <w:szCs w:val="21"/>
        </w:rPr>
      </w:pPr>
      <w:r>
        <w:rPr>
          <w:rFonts w:hint="eastAsia" w:ascii="Arial" w:hAnsi="Arial" w:eastAsia="宋体" w:cs="Times New Roman"/>
          <w:b/>
          <w:bCs/>
          <w:sz w:val="32"/>
          <w:szCs w:val="32"/>
          <w:lang w:val="en-US" w:eastAsia="zh-CN"/>
        </w:rPr>
        <w:t>六、样品</w:t>
      </w:r>
      <w:r>
        <w:rPr>
          <w:rFonts w:hint="eastAsia" w:ascii="Arial" w:hAnsi="Arial" w:cs="Times New Roman"/>
          <w:b/>
          <w:bCs/>
          <w:sz w:val="32"/>
          <w:szCs w:val="32"/>
          <w:lang w:val="en-US" w:eastAsia="zh-CN"/>
        </w:rPr>
        <w:t>提供</w:t>
      </w:r>
      <w:r>
        <w:rPr>
          <w:rFonts w:hint="eastAsia" w:ascii="Arial" w:hAnsi="Arial" w:eastAsia="宋体" w:cs="Times New Roman"/>
          <w:b/>
          <w:bCs/>
          <w:sz w:val="32"/>
          <w:szCs w:val="32"/>
          <w:lang w:val="en-US" w:eastAsia="zh-CN"/>
        </w:rPr>
        <w:t>要求</w:t>
      </w:r>
    </w:p>
    <w:p>
      <w:pPr>
        <w:pageBreakBefore w:val="0"/>
        <w:widowControl w:val="0"/>
        <w:kinsoku/>
        <w:overflowPunct/>
        <w:topLinePunct w:val="0"/>
        <w:autoSpaceDE/>
        <w:autoSpaceDN/>
        <w:bidi w:val="0"/>
        <w:snapToGrid/>
        <w:spacing w:line="540" w:lineRule="exact"/>
        <w:ind w:firstLine="480" w:firstLineChars="200"/>
        <w:rPr>
          <w:rFonts w:hint="eastAsia" w:ascii="楷体_GB2312" w:hAnsi="楷体_GB2312" w:eastAsia="楷体_GB2312" w:cs="楷体_GB2312"/>
          <w:kern w:val="0"/>
          <w:sz w:val="24"/>
          <w:szCs w:val="24"/>
        </w:rPr>
      </w:pPr>
      <w:r>
        <w:rPr>
          <w:rFonts w:hint="eastAsia" w:ascii="楷体_GB2312" w:hAnsi="楷体_GB2312" w:eastAsia="楷体_GB2312" w:cs="楷体_GB2312"/>
          <w:kern w:val="0"/>
          <w:sz w:val="24"/>
          <w:szCs w:val="24"/>
        </w:rPr>
        <w:t>（一）一般性规定和要求</w:t>
      </w:r>
    </w:p>
    <w:p>
      <w:pPr>
        <w:pageBreakBefore w:val="0"/>
        <w:widowControl w:val="0"/>
        <w:kinsoku/>
        <w:overflowPunct/>
        <w:topLinePunct w:val="0"/>
        <w:autoSpaceDE/>
        <w:autoSpaceDN/>
        <w:bidi w:val="0"/>
        <w:snapToGrid/>
        <w:spacing w:line="540" w:lineRule="exact"/>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r>
        <w:rPr>
          <w:rFonts w:hint="default" w:ascii="仿宋_GB2312" w:hAnsi="仿宋_GB2312" w:eastAsia="仿宋_GB2312" w:cs="仿宋_GB2312"/>
          <w:kern w:val="0"/>
          <w:sz w:val="24"/>
          <w:szCs w:val="24"/>
        </w:rPr>
        <w:t>.</w:t>
      </w:r>
      <w:r>
        <w:rPr>
          <w:rFonts w:hint="eastAsia" w:ascii="仿宋_GB2312" w:hAnsi="仿宋_GB2312" w:eastAsia="仿宋_GB2312" w:cs="仿宋_GB2312"/>
          <w:kern w:val="0"/>
          <w:sz w:val="24"/>
          <w:szCs w:val="24"/>
        </w:rPr>
        <w:t>样品上应当标注“项目名称及项目编号、样品编号、样品名称”等信息，但不得显示指向任何供应商的信息、生产厂家的商标，或者其他的标记标识。需要安装的样品必须为安装完整的成品，由供应商自行组织安装。</w:t>
      </w:r>
    </w:p>
    <w:p>
      <w:pPr>
        <w:keepNext w:val="0"/>
        <w:keepLines w:val="0"/>
        <w:pageBreakBefore w:val="0"/>
        <w:widowControl w:val="0"/>
        <w:kinsoku/>
        <w:wordWrap/>
        <w:overflowPunct/>
        <w:topLinePunct w:val="0"/>
        <w:autoSpaceDE/>
        <w:autoSpaceDN/>
        <w:bidi w:val="0"/>
        <w:adjustRightInd w:val="0"/>
        <w:snapToGrid/>
        <w:spacing w:line="540" w:lineRule="exact"/>
        <w:jc w:val="left"/>
        <w:textAlignment w:val="baseline"/>
        <w:outlineLvl w:val="9"/>
        <w:rPr>
          <w:rFonts w:hint="eastAsia" w:ascii="仿宋_GB2312" w:hAnsi="仿宋_GB2312" w:eastAsia="仿宋_GB2312" w:cs="仿宋_GB2312"/>
          <w:bCs w:val="0"/>
          <w:kern w:val="0"/>
          <w:sz w:val="24"/>
          <w:szCs w:val="24"/>
          <w:lang w:val="en-US" w:eastAsia="zh-CN" w:bidi="ar-SA"/>
        </w:rPr>
      </w:pPr>
      <w:r>
        <w:rPr>
          <w:rFonts w:hint="eastAsia" w:ascii="仿宋_GB2312" w:hAnsi="仿宋_GB2312" w:eastAsia="仿宋_GB2312" w:cs="仿宋_GB2312"/>
          <w:kern w:val="0"/>
          <w:sz w:val="24"/>
          <w:szCs w:val="24"/>
          <w:lang w:val="en-US" w:eastAsia="zh-CN"/>
        </w:rPr>
        <w:t xml:space="preserve">   </w:t>
      </w:r>
      <w:r>
        <w:rPr>
          <w:rFonts w:hint="eastAsia" w:ascii="仿宋_GB2312" w:hAnsi="仿宋_GB2312" w:eastAsia="仿宋_GB2312" w:cs="仿宋_GB2312"/>
          <w:bCs w:val="0"/>
          <w:kern w:val="0"/>
          <w:sz w:val="24"/>
          <w:szCs w:val="24"/>
          <w:lang w:val="en-US" w:eastAsia="zh-CN" w:bidi="ar-SA"/>
        </w:rPr>
        <w:t xml:space="preserve"> 2.投标人（投标人授权代表）需在开标当天</w:t>
      </w:r>
      <w:r>
        <w:rPr>
          <w:rFonts w:hint="eastAsia" w:ascii="仿宋_GB2312" w:hAnsi="仿宋_GB2312" w:eastAsia="仿宋_GB2312" w:cs="仿宋_GB2312"/>
          <w:b/>
          <w:bCs/>
          <w:color w:val="FF0000"/>
          <w:kern w:val="0"/>
          <w:sz w:val="24"/>
          <w:szCs w:val="24"/>
          <w:lang w:val="en-US" w:eastAsia="zh-CN" w:bidi="ar-SA"/>
        </w:rPr>
        <w:t>9:15-9:30（投标截止时间为上午时适用）或14:15-14:30（投标截止时间为下午时适用）</w:t>
      </w:r>
      <w:r>
        <w:rPr>
          <w:rFonts w:hint="eastAsia" w:ascii="仿宋_GB2312" w:hAnsi="仿宋_GB2312" w:eastAsia="仿宋_GB2312" w:cs="仿宋_GB2312"/>
          <w:bCs w:val="0"/>
          <w:kern w:val="0"/>
          <w:sz w:val="24"/>
          <w:szCs w:val="24"/>
          <w:lang w:val="en-US" w:eastAsia="zh-CN" w:bidi="ar-SA"/>
        </w:rPr>
        <w:t>到达签到地点</w:t>
      </w:r>
      <w:r>
        <w:rPr>
          <w:rFonts w:hint="eastAsia" w:ascii="仿宋_GB2312" w:hAnsi="仿宋_GB2312" w:eastAsia="仿宋_GB2312" w:cs="仿宋_GB2312"/>
          <w:bCs w:val="0"/>
          <w:color w:val="FF0000"/>
          <w:kern w:val="0"/>
          <w:sz w:val="24"/>
          <w:szCs w:val="24"/>
          <w:lang w:val="en-US" w:eastAsia="zh-CN" w:bidi="ar-SA"/>
        </w:rPr>
        <w:t>深圳交易集团有限公司宝安分公司（深圳市宝安区湖滨东路40号）1楼服务大厅</w:t>
      </w:r>
      <w:r>
        <w:rPr>
          <w:rFonts w:hint="eastAsia" w:ascii="仿宋_GB2312" w:hAnsi="仿宋_GB2312" w:eastAsia="仿宋_GB2312" w:cs="仿宋_GB2312"/>
          <w:bCs w:val="0"/>
          <w:kern w:val="0"/>
          <w:sz w:val="24"/>
          <w:szCs w:val="24"/>
          <w:lang w:val="en-US" w:eastAsia="zh-CN" w:bidi="ar-SA"/>
        </w:rPr>
        <w:t>完成签到，并同时提供提供法定代表人（负责人）授权委托书（加盖公章）、授权委托人身份证（港澳台居民可提供来往通行证；非中国国籍管辖范围人员，可提供公安部门认可的身份证明材料）原件、样品清单（加盖公章）。</w:t>
      </w:r>
    </w:p>
    <w:p>
      <w:pPr>
        <w:keepNext w:val="0"/>
        <w:keepLines w:val="0"/>
        <w:pageBreakBefore w:val="0"/>
        <w:widowControl w:val="0"/>
        <w:kinsoku/>
        <w:wordWrap/>
        <w:overflowPunct/>
        <w:topLinePunct w:val="0"/>
        <w:autoSpaceDE/>
        <w:autoSpaceDN/>
        <w:bidi w:val="0"/>
        <w:adjustRightInd w:val="0"/>
        <w:snapToGrid/>
        <w:spacing w:line="540" w:lineRule="exact"/>
        <w:ind w:firstLine="482" w:firstLineChars="200"/>
        <w:jc w:val="left"/>
        <w:textAlignment w:val="baseline"/>
        <w:outlineLvl w:val="9"/>
        <w:rPr>
          <w:rFonts w:hint="eastAsia" w:ascii="仿宋_GB2312" w:hAnsi="仿宋_GB2312" w:eastAsia="仿宋_GB2312" w:cs="仿宋_GB2312"/>
          <w:bCs w:val="0"/>
          <w:kern w:val="0"/>
          <w:sz w:val="24"/>
          <w:szCs w:val="24"/>
          <w:lang w:val="en-US" w:eastAsia="zh-CN" w:bidi="ar-SA"/>
        </w:rPr>
      </w:pPr>
      <w:r>
        <w:rPr>
          <w:rFonts w:hint="eastAsia" w:ascii="仿宋_GB2312" w:hAnsi="仿宋_GB2312" w:eastAsia="仿宋_GB2312" w:cs="仿宋_GB2312"/>
          <w:b/>
          <w:bCs/>
          <w:kern w:val="0"/>
          <w:sz w:val="24"/>
          <w:szCs w:val="24"/>
          <w:lang w:val="en-US" w:eastAsia="zh-CN" w:bidi="ar-SA"/>
        </w:rPr>
        <w:t>特别注意事项：</w:t>
      </w:r>
      <w:r>
        <w:rPr>
          <w:rFonts w:hint="eastAsia" w:ascii="仿宋_GB2312" w:hAnsi="仿宋_GB2312" w:eastAsia="仿宋_GB2312" w:cs="仿宋_GB2312"/>
          <w:bCs w:val="0"/>
          <w:kern w:val="0"/>
          <w:sz w:val="24"/>
          <w:szCs w:val="24"/>
          <w:lang w:val="en-US" w:eastAsia="zh-CN" w:bidi="ar-SA"/>
        </w:rPr>
        <w:t>（1）上述资料提供不齐全的，不予签到；（2）签到时间截止后，不再受理签到；（3）未进行签到的，样品不予接收。（4）样品清单由供应商根据《样品要求表》自行确定格式，且应当列明所递交样品对应《样品要求表》的样品编号、样品名称、样品数量。</w:t>
      </w:r>
    </w:p>
    <w:p>
      <w:pPr>
        <w:pageBreakBefore w:val="0"/>
        <w:widowControl w:val="0"/>
        <w:kinsoku/>
        <w:overflowPunct/>
        <w:topLinePunct w:val="0"/>
        <w:autoSpaceDE/>
        <w:autoSpaceDN/>
        <w:bidi w:val="0"/>
        <w:snapToGrid/>
        <w:spacing w:line="540" w:lineRule="exact"/>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val="en-US" w:eastAsia="zh-CN"/>
        </w:rPr>
        <w:t>3</w:t>
      </w:r>
      <w:r>
        <w:rPr>
          <w:rFonts w:hint="default" w:ascii="仿宋_GB2312" w:hAnsi="仿宋_GB2312" w:eastAsia="仿宋_GB2312" w:cs="仿宋_GB2312"/>
          <w:kern w:val="0"/>
          <w:sz w:val="24"/>
          <w:szCs w:val="24"/>
        </w:rPr>
        <w:t>.</w:t>
      </w:r>
      <w:r>
        <w:rPr>
          <w:rFonts w:hint="eastAsia" w:ascii="仿宋_GB2312" w:hAnsi="仿宋_GB2312" w:eastAsia="仿宋_GB2312" w:cs="仿宋_GB2312"/>
          <w:kern w:val="0"/>
          <w:sz w:val="24"/>
          <w:szCs w:val="24"/>
        </w:rPr>
        <w:t>本项目</w:t>
      </w:r>
      <w:r>
        <w:rPr>
          <w:rFonts w:hint="eastAsia" w:ascii="仿宋_GB2312" w:hAnsi="仿宋_GB2312" w:eastAsia="仿宋_GB2312" w:cs="仿宋_GB2312"/>
          <w:b/>
          <w:sz w:val="24"/>
          <w:szCs w:val="24"/>
          <w:lang w:val="en-US" w:eastAsia="zh-CN"/>
        </w:rPr>
        <w:t>签到时间</w:t>
      </w:r>
      <w:r>
        <w:rPr>
          <w:rFonts w:hint="eastAsia" w:ascii="仿宋_GB2312" w:hAnsi="仿宋_GB2312" w:eastAsia="仿宋_GB2312" w:cs="仿宋_GB2312"/>
          <w:b/>
          <w:sz w:val="24"/>
          <w:szCs w:val="24"/>
        </w:rPr>
        <w:t>截止</w:t>
      </w:r>
      <w:r>
        <w:rPr>
          <w:rFonts w:hint="eastAsia" w:ascii="仿宋_GB2312" w:hAnsi="仿宋_GB2312" w:eastAsia="仿宋_GB2312" w:cs="仿宋_GB2312"/>
          <w:kern w:val="0"/>
          <w:sz w:val="24"/>
          <w:szCs w:val="24"/>
        </w:rPr>
        <w:t xml:space="preserve">后进行样品接收。样品接收必须进行身份核对、样品核对、登记确认、顺序编号。 </w:t>
      </w:r>
    </w:p>
    <w:p>
      <w:pPr>
        <w:pageBreakBefore w:val="0"/>
        <w:widowControl w:val="0"/>
        <w:kinsoku/>
        <w:overflowPunct/>
        <w:topLinePunct w:val="0"/>
        <w:autoSpaceDE/>
        <w:autoSpaceDN/>
        <w:bidi w:val="0"/>
        <w:snapToGrid/>
        <w:spacing w:line="540" w:lineRule="exact"/>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（1）身份核对。</w:t>
      </w:r>
      <w:r>
        <w:rPr>
          <w:rFonts w:hint="eastAsia" w:ascii="仿宋_GB2312" w:hAnsi="仿宋_GB2312" w:eastAsia="仿宋_GB2312" w:cs="仿宋_GB2312"/>
          <w:sz w:val="24"/>
          <w:szCs w:val="24"/>
          <w:lang w:val="en-US" w:eastAsia="zh-CN"/>
        </w:rPr>
        <w:t>深圳公共资源交易中心（深圳交易集团有限公司宝安分公司）</w:t>
      </w:r>
      <w:r>
        <w:rPr>
          <w:rFonts w:hint="eastAsia" w:ascii="仿宋_GB2312" w:hAnsi="仿宋_GB2312" w:eastAsia="仿宋_GB2312" w:cs="仿宋_GB2312"/>
          <w:kern w:val="0"/>
          <w:sz w:val="24"/>
          <w:szCs w:val="24"/>
        </w:rPr>
        <w:t>核对投标供应商授权委托人提供的法定代表人授权委托书（盖公章）、授权委托人身份证原件。资料不齐全的，不得接收样品。</w:t>
      </w:r>
    </w:p>
    <w:p>
      <w:pPr>
        <w:pageBreakBefore w:val="0"/>
        <w:widowControl w:val="0"/>
        <w:kinsoku/>
        <w:overflowPunct/>
        <w:topLinePunct w:val="0"/>
        <w:autoSpaceDE/>
        <w:autoSpaceDN/>
        <w:bidi w:val="0"/>
        <w:snapToGrid/>
        <w:spacing w:line="540" w:lineRule="exact"/>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（2）样品核对。</w:t>
      </w:r>
      <w:r>
        <w:rPr>
          <w:rFonts w:hint="eastAsia" w:ascii="仿宋_GB2312" w:hAnsi="仿宋_GB2312" w:eastAsia="仿宋_GB2312" w:cs="仿宋_GB2312"/>
          <w:sz w:val="24"/>
          <w:szCs w:val="24"/>
          <w:lang w:val="en-US" w:eastAsia="zh-CN"/>
        </w:rPr>
        <w:t>深圳公共资源交易中心（深圳交易集团有限公司宝安分公司）</w:t>
      </w:r>
      <w:r>
        <w:rPr>
          <w:rFonts w:hint="eastAsia" w:ascii="仿宋_GB2312" w:hAnsi="仿宋_GB2312" w:eastAsia="仿宋_GB2312" w:cs="仿宋_GB2312"/>
          <w:kern w:val="0"/>
          <w:sz w:val="24"/>
          <w:szCs w:val="24"/>
        </w:rPr>
        <w:t>工作人员将样品与供应商提供的</w:t>
      </w:r>
      <w:r>
        <w:rPr>
          <w:rFonts w:hint="eastAsia" w:ascii="仿宋_GB2312" w:hAnsi="仿宋_GB2312" w:eastAsia="仿宋_GB2312" w:cs="仿宋_GB2312"/>
          <w:b/>
          <w:bCs/>
          <w:kern w:val="0"/>
          <w:sz w:val="24"/>
          <w:szCs w:val="24"/>
        </w:rPr>
        <w:t>《样品清单》</w:t>
      </w:r>
      <w:r>
        <w:rPr>
          <w:rFonts w:hint="eastAsia" w:ascii="仿宋_GB2312" w:hAnsi="仿宋_GB2312" w:eastAsia="仿宋_GB2312" w:cs="仿宋_GB2312"/>
          <w:kern w:val="0"/>
          <w:sz w:val="24"/>
          <w:szCs w:val="24"/>
        </w:rPr>
        <w:t>（盖公章）进行一一核对。有不一致、损坏等特殊情况的，将要求供应商授权委托人在</w:t>
      </w:r>
      <w:r>
        <w:rPr>
          <w:rFonts w:hint="eastAsia" w:ascii="仿宋_GB2312" w:hAnsi="仿宋_GB2312" w:eastAsia="仿宋_GB2312" w:cs="仿宋_GB2312"/>
          <w:b/>
          <w:bCs/>
          <w:kern w:val="0"/>
          <w:sz w:val="24"/>
          <w:szCs w:val="24"/>
        </w:rPr>
        <w:t>《样品清单》</w:t>
      </w:r>
      <w:r>
        <w:rPr>
          <w:rFonts w:hint="eastAsia" w:ascii="仿宋_GB2312" w:hAnsi="仿宋_GB2312" w:eastAsia="仿宋_GB2312" w:cs="仿宋_GB2312"/>
          <w:kern w:val="0"/>
          <w:sz w:val="24"/>
          <w:szCs w:val="24"/>
        </w:rPr>
        <w:t>上注明。</w:t>
      </w:r>
    </w:p>
    <w:p>
      <w:pPr>
        <w:pageBreakBefore w:val="0"/>
        <w:widowControl w:val="0"/>
        <w:kinsoku/>
        <w:overflowPunct/>
        <w:topLinePunct w:val="0"/>
        <w:autoSpaceDE/>
        <w:autoSpaceDN/>
        <w:bidi w:val="0"/>
        <w:snapToGrid/>
        <w:spacing w:line="540" w:lineRule="exact"/>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（3）登记确认。在完成身份核对及样品核对后，</w:t>
      </w:r>
      <w:r>
        <w:rPr>
          <w:rFonts w:hint="eastAsia" w:ascii="仿宋_GB2312" w:hAnsi="仿宋_GB2312" w:eastAsia="仿宋_GB2312" w:cs="仿宋_GB2312"/>
          <w:sz w:val="24"/>
          <w:szCs w:val="24"/>
          <w:lang w:val="en-US" w:eastAsia="zh-CN"/>
        </w:rPr>
        <w:t>深圳公共资源交易中心（深圳交易集团有限公司宝安分公司）</w:t>
      </w:r>
      <w:r>
        <w:rPr>
          <w:rFonts w:hint="eastAsia" w:ascii="仿宋_GB2312" w:hAnsi="仿宋_GB2312" w:eastAsia="仿宋_GB2312" w:cs="仿宋_GB2312"/>
          <w:kern w:val="0"/>
          <w:sz w:val="24"/>
          <w:szCs w:val="24"/>
        </w:rPr>
        <w:t>工作人员将向供应商授权委托人发放《样品受理回执》。</w:t>
      </w:r>
    </w:p>
    <w:p>
      <w:pPr>
        <w:pageBreakBefore w:val="0"/>
        <w:widowControl w:val="0"/>
        <w:kinsoku/>
        <w:overflowPunct/>
        <w:topLinePunct w:val="0"/>
        <w:autoSpaceDE/>
        <w:autoSpaceDN/>
        <w:bidi w:val="0"/>
        <w:snapToGrid/>
        <w:spacing w:line="540" w:lineRule="exact"/>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（4）顺序编号。</w:t>
      </w:r>
      <w:r>
        <w:rPr>
          <w:rFonts w:hint="eastAsia" w:ascii="仿宋_GB2312" w:hAnsi="仿宋_GB2312" w:eastAsia="仿宋_GB2312" w:cs="仿宋_GB2312"/>
          <w:sz w:val="24"/>
          <w:szCs w:val="24"/>
          <w:lang w:val="en-US" w:eastAsia="zh-CN"/>
        </w:rPr>
        <w:t>深圳公共资源交易中心（深圳交易集团有限公司宝安分公司）</w:t>
      </w:r>
      <w:r>
        <w:rPr>
          <w:rFonts w:hint="eastAsia" w:ascii="仿宋_GB2312" w:hAnsi="仿宋_GB2312" w:eastAsia="仿宋_GB2312" w:cs="仿宋_GB2312"/>
          <w:kern w:val="0"/>
          <w:sz w:val="24"/>
          <w:szCs w:val="24"/>
        </w:rPr>
        <w:t>工作人员按样品接收的先后顺序进行编号。</w:t>
      </w:r>
    </w:p>
    <w:p>
      <w:pPr>
        <w:pageBreakBefore w:val="0"/>
        <w:widowControl w:val="0"/>
        <w:kinsoku/>
        <w:overflowPunct/>
        <w:topLinePunct w:val="0"/>
        <w:autoSpaceDE/>
        <w:autoSpaceDN/>
        <w:bidi w:val="0"/>
        <w:snapToGrid/>
        <w:spacing w:line="540" w:lineRule="exact"/>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val="en-US" w:eastAsia="zh-CN"/>
        </w:rPr>
        <w:t>4</w:t>
      </w:r>
      <w:r>
        <w:rPr>
          <w:rFonts w:hint="default" w:ascii="仿宋_GB2312" w:hAnsi="仿宋_GB2312" w:eastAsia="仿宋_GB2312" w:cs="仿宋_GB2312"/>
          <w:kern w:val="0"/>
          <w:sz w:val="24"/>
          <w:szCs w:val="24"/>
        </w:rPr>
        <w:t>.</w:t>
      </w:r>
      <w:r>
        <w:rPr>
          <w:rFonts w:hint="eastAsia" w:ascii="仿宋_GB2312" w:hAnsi="仿宋_GB2312" w:eastAsia="仿宋_GB2312" w:cs="仿宋_GB2312"/>
          <w:sz w:val="24"/>
          <w:szCs w:val="24"/>
          <w:lang w:val="en-US" w:eastAsia="zh-CN"/>
        </w:rPr>
        <w:t>深圳公共资源交易中心（深圳交易集团有限公司宝安分公司）</w:t>
      </w:r>
      <w:r>
        <w:rPr>
          <w:rFonts w:hint="eastAsia" w:ascii="仿宋_GB2312" w:hAnsi="仿宋_GB2312" w:eastAsia="仿宋_GB2312" w:cs="仿宋_GB2312"/>
          <w:kern w:val="0"/>
          <w:sz w:val="24"/>
          <w:szCs w:val="24"/>
        </w:rPr>
        <w:t>工作人员负责组织样品摆样，指引供应商授权委托人将样品搬运到指定的样品摆样区进行摆放、拆除包装，并按要求摆放整齐。完成样品摆样后，供应商授权委托人应及时离场，不得在摆样现场逗留。</w:t>
      </w:r>
    </w:p>
    <w:p>
      <w:pPr>
        <w:pageBreakBefore w:val="0"/>
        <w:widowControl w:val="0"/>
        <w:kinsoku/>
        <w:overflowPunct/>
        <w:topLinePunct w:val="0"/>
        <w:autoSpaceDE/>
        <w:autoSpaceDN/>
        <w:bidi w:val="0"/>
        <w:snapToGrid/>
        <w:spacing w:line="540" w:lineRule="exact"/>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val="en-US" w:eastAsia="zh-CN"/>
        </w:rPr>
        <w:t>5</w:t>
      </w:r>
      <w:r>
        <w:rPr>
          <w:rFonts w:hint="default" w:ascii="仿宋_GB2312" w:hAnsi="仿宋_GB2312" w:eastAsia="仿宋_GB2312" w:cs="仿宋_GB2312"/>
          <w:kern w:val="0"/>
          <w:sz w:val="24"/>
          <w:szCs w:val="24"/>
        </w:rPr>
        <w:t>.</w:t>
      </w:r>
      <w:r>
        <w:rPr>
          <w:rFonts w:hint="eastAsia" w:ascii="仿宋_GB2312" w:hAnsi="仿宋_GB2312" w:eastAsia="仿宋_GB2312" w:cs="仿宋_GB2312"/>
          <w:kern w:val="0"/>
          <w:sz w:val="24"/>
          <w:szCs w:val="24"/>
        </w:rPr>
        <w:t>样品的退回：（1）未中标（成交）供应商投标样品，</w:t>
      </w:r>
      <w:r>
        <w:rPr>
          <w:rFonts w:hint="eastAsia" w:ascii="仿宋_GB2312" w:hAnsi="仿宋_GB2312" w:eastAsia="仿宋_GB2312" w:cs="仿宋_GB2312"/>
          <w:sz w:val="24"/>
          <w:szCs w:val="24"/>
          <w:lang w:val="en-US" w:eastAsia="zh-CN"/>
        </w:rPr>
        <w:t>深圳公共资源交易中心（深圳交易集团有限公司宝安分公司）</w:t>
      </w:r>
      <w:r>
        <w:rPr>
          <w:rFonts w:hint="eastAsia" w:ascii="仿宋_GB2312" w:hAnsi="仿宋_GB2312" w:eastAsia="仿宋_GB2312" w:cs="仿宋_GB2312"/>
          <w:kern w:val="0"/>
          <w:sz w:val="24"/>
          <w:szCs w:val="24"/>
        </w:rPr>
        <w:t>工作人员将按规定进行通知，并要求供应商授权委托人在项目</w:t>
      </w:r>
      <w:r>
        <w:rPr>
          <w:rFonts w:hint="eastAsia" w:ascii="仿宋_GB2312" w:hAnsi="仿宋_GB2312" w:eastAsia="仿宋_GB2312" w:cs="仿宋_GB2312"/>
          <w:kern w:val="0"/>
          <w:sz w:val="24"/>
          <w:szCs w:val="24"/>
          <w:lang w:val="en-US" w:eastAsia="zh-CN"/>
        </w:rPr>
        <w:t>发布结果公告</w:t>
      </w:r>
      <w:r>
        <w:rPr>
          <w:rFonts w:hint="eastAsia" w:ascii="仿宋_GB2312" w:hAnsi="仿宋_GB2312" w:eastAsia="仿宋_GB2312" w:cs="仿宋_GB2312"/>
          <w:kern w:val="0"/>
          <w:sz w:val="24"/>
          <w:szCs w:val="24"/>
        </w:rPr>
        <w:t>后的</w:t>
      </w:r>
      <w:r>
        <w:rPr>
          <w:rFonts w:hint="eastAsia" w:ascii="仿宋_GB2312" w:hAnsi="仿宋_GB2312" w:eastAsia="仿宋_GB2312" w:cs="仿宋_GB2312"/>
          <w:b/>
          <w:bCs/>
          <w:kern w:val="0"/>
          <w:sz w:val="24"/>
          <w:szCs w:val="24"/>
          <w:lang w:val="en-US" w:eastAsia="zh-CN"/>
        </w:rPr>
        <w:t>3</w:t>
      </w:r>
      <w:r>
        <w:rPr>
          <w:rFonts w:hint="eastAsia" w:ascii="仿宋_GB2312" w:hAnsi="仿宋_GB2312" w:eastAsia="仿宋_GB2312" w:cs="仿宋_GB2312"/>
          <w:b/>
          <w:bCs/>
          <w:kern w:val="0"/>
          <w:sz w:val="24"/>
          <w:szCs w:val="24"/>
        </w:rPr>
        <w:t>个工作日</w:t>
      </w:r>
      <w:r>
        <w:rPr>
          <w:rFonts w:hint="eastAsia" w:ascii="仿宋_GB2312" w:hAnsi="仿宋_GB2312" w:eastAsia="仿宋_GB2312" w:cs="仿宋_GB2312"/>
          <w:kern w:val="0"/>
          <w:sz w:val="24"/>
          <w:szCs w:val="24"/>
        </w:rPr>
        <w:t>内凭身份证及样品受理回执原件办理退回手续。（2）中标（成交）供应商投标样品，</w:t>
      </w:r>
      <w:r>
        <w:rPr>
          <w:rFonts w:hint="eastAsia" w:ascii="仿宋_GB2312" w:hAnsi="仿宋_GB2312" w:eastAsia="仿宋_GB2312" w:cs="仿宋_GB2312"/>
          <w:sz w:val="24"/>
          <w:szCs w:val="24"/>
          <w:lang w:val="en-US" w:eastAsia="zh-CN"/>
        </w:rPr>
        <w:t>深圳公共资源交易中心（深圳交易集团有限公司宝安分公司）</w:t>
      </w:r>
      <w:r>
        <w:rPr>
          <w:rFonts w:hint="eastAsia" w:ascii="仿宋_GB2312" w:hAnsi="仿宋_GB2312" w:eastAsia="仿宋_GB2312" w:cs="仿宋_GB2312"/>
          <w:kern w:val="0"/>
          <w:sz w:val="24"/>
          <w:szCs w:val="24"/>
        </w:rPr>
        <w:t>工作人员将按规定进行通知，并要求采购人代表在中标（成交）通知书发放后</w:t>
      </w:r>
      <w:r>
        <w:rPr>
          <w:rFonts w:hint="eastAsia" w:ascii="仿宋_GB2312" w:hAnsi="仿宋_GB2312" w:eastAsia="仿宋_GB2312" w:cs="仿宋_GB2312"/>
          <w:b/>
          <w:bCs/>
          <w:kern w:val="0"/>
          <w:sz w:val="24"/>
          <w:szCs w:val="24"/>
          <w:lang w:val="en-US" w:eastAsia="zh-CN"/>
        </w:rPr>
        <w:t>3</w:t>
      </w:r>
      <w:r>
        <w:rPr>
          <w:rFonts w:hint="eastAsia" w:ascii="仿宋_GB2312" w:hAnsi="仿宋_GB2312" w:eastAsia="仿宋_GB2312" w:cs="仿宋_GB2312"/>
          <w:b/>
          <w:bCs/>
          <w:kern w:val="0"/>
          <w:sz w:val="24"/>
          <w:szCs w:val="24"/>
        </w:rPr>
        <w:t>个工作日</w:t>
      </w:r>
      <w:r>
        <w:rPr>
          <w:rFonts w:hint="eastAsia" w:ascii="仿宋_GB2312" w:hAnsi="仿宋_GB2312" w:eastAsia="仿宋_GB2312" w:cs="仿宋_GB2312"/>
          <w:kern w:val="0"/>
          <w:sz w:val="24"/>
          <w:szCs w:val="24"/>
        </w:rPr>
        <w:t>内凭中标通知书（复印件即可）及身份证原件办理领取手续。</w:t>
      </w:r>
    </w:p>
    <w:p>
      <w:pPr>
        <w:pageBreakBefore w:val="0"/>
        <w:widowControl w:val="0"/>
        <w:kinsoku/>
        <w:overflowPunct/>
        <w:topLinePunct w:val="0"/>
        <w:autoSpaceDE/>
        <w:autoSpaceDN/>
        <w:bidi w:val="0"/>
        <w:snapToGrid/>
        <w:spacing w:line="540" w:lineRule="exact"/>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样品移交时，</w:t>
      </w:r>
      <w:r>
        <w:rPr>
          <w:rFonts w:hint="eastAsia" w:ascii="仿宋_GB2312" w:hAnsi="仿宋_GB2312" w:eastAsia="仿宋_GB2312" w:cs="仿宋_GB2312"/>
          <w:sz w:val="24"/>
          <w:szCs w:val="24"/>
          <w:lang w:val="en-US" w:eastAsia="zh-CN"/>
        </w:rPr>
        <w:t>深圳公共资源交易中心（深圳交易集团有限公司宝安分公司）</w:t>
      </w:r>
      <w:r>
        <w:rPr>
          <w:rFonts w:hint="eastAsia" w:ascii="仿宋_GB2312" w:hAnsi="仿宋_GB2312" w:eastAsia="仿宋_GB2312" w:cs="仿宋_GB2312"/>
          <w:kern w:val="0"/>
          <w:sz w:val="24"/>
          <w:szCs w:val="24"/>
        </w:rPr>
        <w:t>工作人员将再次核对供应商授权委托人或采购人代表身份、核对</w:t>
      </w:r>
      <w:r>
        <w:rPr>
          <w:rFonts w:hint="eastAsia" w:ascii="仿宋_GB2312" w:hAnsi="仿宋_GB2312" w:eastAsia="仿宋_GB2312" w:cs="仿宋_GB2312"/>
          <w:b/>
          <w:bCs/>
          <w:kern w:val="0"/>
          <w:sz w:val="24"/>
          <w:szCs w:val="24"/>
        </w:rPr>
        <w:t>《样品清单》</w:t>
      </w:r>
      <w:r>
        <w:rPr>
          <w:rFonts w:hint="eastAsia" w:ascii="仿宋_GB2312" w:hAnsi="仿宋_GB2312" w:eastAsia="仿宋_GB2312" w:cs="仿宋_GB2312"/>
          <w:kern w:val="0"/>
          <w:sz w:val="24"/>
          <w:szCs w:val="24"/>
        </w:rPr>
        <w:t>，签字确认后并取走样品。</w:t>
      </w:r>
    </w:p>
    <w:p>
      <w:pPr>
        <w:pageBreakBefore w:val="0"/>
        <w:widowControl w:val="0"/>
        <w:kinsoku/>
        <w:overflowPunct/>
        <w:topLinePunct w:val="0"/>
        <w:autoSpaceDE/>
        <w:autoSpaceDN/>
        <w:bidi w:val="0"/>
        <w:snapToGrid/>
        <w:spacing w:line="540" w:lineRule="exact"/>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val="en-US" w:eastAsia="zh-CN"/>
        </w:rPr>
        <w:t>6</w:t>
      </w:r>
      <w:r>
        <w:rPr>
          <w:rFonts w:hint="default" w:ascii="仿宋_GB2312" w:hAnsi="仿宋_GB2312" w:eastAsia="仿宋_GB2312" w:cs="仿宋_GB2312"/>
          <w:kern w:val="0"/>
          <w:sz w:val="24"/>
          <w:szCs w:val="24"/>
        </w:rPr>
        <w:t>.</w:t>
      </w:r>
      <w:r>
        <w:rPr>
          <w:rFonts w:hint="eastAsia" w:ascii="仿宋_GB2312" w:hAnsi="仿宋_GB2312" w:eastAsia="仿宋_GB2312" w:cs="仿宋_GB2312"/>
          <w:kern w:val="0"/>
          <w:sz w:val="24"/>
          <w:szCs w:val="24"/>
        </w:rPr>
        <w:t>未能及时退回的样品处理：</w:t>
      </w:r>
    </w:p>
    <w:p>
      <w:pPr>
        <w:pageBreakBefore w:val="0"/>
        <w:widowControl w:val="0"/>
        <w:kinsoku/>
        <w:overflowPunct/>
        <w:topLinePunct w:val="0"/>
        <w:autoSpaceDE/>
        <w:autoSpaceDN/>
        <w:bidi w:val="0"/>
        <w:snapToGrid/>
        <w:spacing w:line="540" w:lineRule="exact"/>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（1）未中标（成交）供应商未在规定时间内（项目</w:t>
      </w:r>
      <w:r>
        <w:rPr>
          <w:rFonts w:hint="eastAsia" w:ascii="仿宋_GB2312" w:hAnsi="仿宋_GB2312" w:eastAsia="仿宋_GB2312" w:cs="仿宋_GB2312"/>
          <w:kern w:val="0"/>
          <w:sz w:val="24"/>
          <w:szCs w:val="24"/>
          <w:lang w:val="en-US" w:eastAsia="zh-CN"/>
        </w:rPr>
        <w:t>发布结果公告</w:t>
      </w:r>
      <w:r>
        <w:rPr>
          <w:rFonts w:hint="eastAsia" w:ascii="仿宋_GB2312" w:hAnsi="仿宋_GB2312" w:eastAsia="仿宋_GB2312" w:cs="仿宋_GB2312"/>
          <w:kern w:val="0"/>
          <w:sz w:val="24"/>
          <w:szCs w:val="24"/>
        </w:rPr>
        <w:t>后</w:t>
      </w:r>
      <w:r>
        <w:rPr>
          <w:rFonts w:hint="eastAsia" w:ascii="仿宋_GB2312" w:hAnsi="仿宋_GB2312" w:eastAsia="仿宋_GB2312" w:cs="仿宋_GB2312"/>
          <w:b/>
          <w:bCs/>
          <w:kern w:val="0"/>
          <w:sz w:val="24"/>
          <w:szCs w:val="24"/>
          <w:lang w:val="en-US" w:eastAsia="zh-CN"/>
        </w:rPr>
        <w:t>3</w:t>
      </w:r>
      <w:r>
        <w:rPr>
          <w:rFonts w:hint="eastAsia" w:ascii="仿宋_GB2312" w:hAnsi="仿宋_GB2312" w:eastAsia="仿宋_GB2312" w:cs="仿宋_GB2312"/>
          <w:b/>
          <w:bCs/>
          <w:kern w:val="0"/>
          <w:sz w:val="24"/>
          <w:szCs w:val="24"/>
        </w:rPr>
        <w:t>个工作日</w:t>
      </w:r>
      <w:r>
        <w:rPr>
          <w:rFonts w:hint="eastAsia" w:ascii="仿宋_GB2312" w:hAnsi="仿宋_GB2312" w:eastAsia="仿宋_GB2312" w:cs="仿宋_GB2312"/>
          <w:kern w:val="0"/>
          <w:sz w:val="24"/>
          <w:szCs w:val="24"/>
        </w:rPr>
        <w:t>）内取回样品的，视为放弃取回，</w:t>
      </w:r>
      <w:r>
        <w:rPr>
          <w:rFonts w:hint="eastAsia" w:ascii="仿宋_GB2312" w:hAnsi="仿宋_GB2312" w:eastAsia="仿宋_GB2312" w:cs="仿宋_GB2312"/>
          <w:sz w:val="24"/>
          <w:szCs w:val="24"/>
          <w:lang w:val="en-US" w:eastAsia="zh-CN"/>
        </w:rPr>
        <w:t>深圳公共资源交易中心（深圳交易集团有限公司宝安分公司）</w:t>
      </w:r>
      <w:r>
        <w:rPr>
          <w:rFonts w:hint="eastAsia" w:ascii="仿宋_GB2312" w:hAnsi="仿宋_GB2312" w:eastAsia="仿宋_GB2312" w:cs="仿宋_GB2312"/>
          <w:kern w:val="0"/>
          <w:sz w:val="24"/>
          <w:szCs w:val="24"/>
        </w:rPr>
        <w:t>将定期清理。</w:t>
      </w:r>
    </w:p>
    <w:p>
      <w:pPr>
        <w:pageBreakBefore w:val="0"/>
        <w:widowControl w:val="0"/>
        <w:kinsoku/>
        <w:overflowPunct/>
        <w:topLinePunct w:val="0"/>
        <w:autoSpaceDE/>
        <w:autoSpaceDN/>
        <w:bidi w:val="0"/>
        <w:snapToGrid/>
        <w:spacing w:line="540" w:lineRule="exact"/>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（2）采购人未在规定时间内【中标（成交）通知书发放后</w:t>
      </w:r>
      <w:r>
        <w:rPr>
          <w:rFonts w:hint="eastAsia" w:ascii="仿宋_GB2312" w:hAnsi="仿宋_GB2312" w:eastAsia="仿宋_GB2312" w:cs="仿宋_GB2312"/>
          <w:b/>
          <w:bCs/>
          <w:kern w:val="0"/>
          <w:sz w:val="24"/>
          <w:szCs w:val="24"/>
          <w:lang w:val="en-US" w:eastAsia="zh-CN"/>
        </w:rPr>
        <w:t>3</w:t>
      </w:r>
      <w:r>
        <w:rPr>
          <w:rFonts w:hint="eastAsia" w:ascii="仿宋_GB2312" w:hAnsi="仿宋_GB2312" w:eastAsia="仿宋_GB2312" w:cs="仿宋_GB2312"/>
          <w:b/>
          <w:bCs/>
          <w:kern w:val="0"/>
          <w:sz w:val="24"/>
          <w:szCs w:val="24"/>
        </w:rPr>
        <w:t>个工作日</w:t>
      </w:r>
      <w:r>
        <w:rPr>
          <w:rFonts w:hint="eastAsia" w:ascii="仿宋_GB2312" w:hAnsi="仿宋_GB2312" w:eastAsia="仿宋_GB2312" w:cs="仿宋_GB2312"/>
          <w:kern w:val="0"/>
          <w:sz w:val="24"/>
          <w:szCs w:val="24"/>
        </w:rPr>
        <w:t>内】领取中标（成交）供应商投标样品的，</w:t>
      </w:r>
      <w:r>
        <w:rPr>
          <w:rFonts w:hint="eastAsia" w:ascii="仿宋_GB2312" w:hAnsi="仿宋_GB2312" w:eastAsia="仿宋_GB2312" w:cs="仿宋_GB2312"/>
          <w:sz w:val="24"/>
          <w:szCs w:val="24"/>
          <w:highlight w:val="none"/>
          <w:lang w:val="en-US" w:eastAsia="zh-CN"/>
        </w:rPr>
        <w:t>深圳公共资源交易中心（深圳交易集团有限公司宝安分公司）</w:t>
      </w:r>
      <w:r>
        <w:rPr>
          <w:rFonts w:hint="eastAsia" w:ascii="仿宋_GB2312" w:hAnsi="仿宋_GB2312" w:eastAsia="仿宋_GB2312" w:cs="仿宋_GB2312"/>
          <w:kern w:val="0"/>
          <w:sz w:val="24"/>
          <w:szCs w:val="24"/>
          <w:highlight w:val="none"/>
        </w:rPr>
        <w:t>工作人员将发函或电话催促。对于拒不领取的中标样品，</w:t>
      </w:r>
      <w:r>
        <w:rPr>
          <w:rFonts w:hint="eastAsia" w:ascii="仿宋_GB2312" w:hAnsi="仿宋_GB2312" w:eastAsia="仿宋_GB2312" w:cs="仿宋_GB2312"/>
          <w:kern w:val="0"/>
          <w:sz w:val="24"/>
          <w:szCs w:val="24"/>
        </w:rPr>
        <w:t>视同采购人放弃取回，</w:t>
      </w:r>
      <w:r>
        <w:rPr>
          <w:rFonts w:hint="eastAsia" w:ascii="仿宋_GB2312" w:hAnsi="仿宋_GB2312" w:eastAsia="仿宋_GB2312" w:cs="仿宋_GB2312"/>
          <w:sz w:val="24"/>
          <w:szCs w:val="24"/>
        </w:rPr>
        <w:t>政府集中采购机构</w:t>
      </w:r>
      <w:r>
        <w:rPr>
          <w:rFonts w:hint="eastAsia" w:ascii="仿宋_GB2312" w:hAnsi="仿宋_GB2312" w:eastAsia="仿宋_GB2312" w:cs="仿宋_GB2312"/>
          <w:kern w:val="0"/>
          <w:sz w:val="24"/>
          <w:szCs w:val="24"/>
        </w:rPr>
        <w:t>将定期清理。</w:t>
      </w:r>
    </w:p>
    <w:p>
      <w:pPr>
        <w:pageBreakBefore w:val="0"/>
        <w:widowControl w:val="0"/>
        <w:kinsoku/>
        <w:overflowPunct/>
        <w:topLinePunct w:val="0"/>
        <w:autoSpaceDE/>
        <w:autoSpaceDN/>
        <w:bidi w:val="0"/>
        <w:snapToGrid/>
        <w:spacing w:line="540" w:lineRule="exact"/>
        <w:ind w:firstLine="480" w:firstLineChars="200"/>
        <w:rPr>
          <w:rFonts w:hint="eastAsia" w:ascii="楷体_GB2312" w:hAnsi="楷体_GB2312" w:eastAsia="楷体_GB2312" w:cs="楷体_GB2312"/>
          <w:kern w:val="0"/>
          <w:sz w:val="24"/>
          <w:szCs w:val="24"/>
        </w:rPr>
      </w:pPr>
      <w:r>
        <w:rPr>
          <w:rFonts w:hint="eastAsia" w:ascii="楷体_GB2312" w:hAnsi="楷体_GB2312" w:eastAsia="楷体_GB2312" w:cs="楷体_GB2312"/>
          <w:kern w:val="0"/>
          <w:sz w:val="24"/>
          <w:szCs w:val="24"/>
        </w:rPr>
        <w:t>（二）样品要求表</w:t>
      </w:r>
    </w:p>
    <w:p>
      <w:pPr>
        <w:pageBreakBefore w:val="0"/>
        <w:widowControl w:val="0"/>
        <w:kinsoku/>
        <w:overflowPunct/>
        <w:topLinePunct w:val="0"/>
        <w:autoSpaceDE/>
        <w:autoSpaceDN/>
        <w:bidi w:val="0"/>
        <w:snapToGrid/>
        <w:spacing w:line="540" w:lineRule="exact"/>
        <w:ind w:firstLine="480" w:firstLineChars="200"/>
        <w:rPr>
          <w:rFonts w:hint="eastAsia" w:ascii="楷体_GB2312" w:hAnsi="楷体_GB2312" w:eastAsia="楷体_GB2312" w:cs="楷体_GB2312"/>
          <w:kern w:val="0"/>
          <w:sz w:val="24"/>
          <w:szCs w:val="24"/>
        </w:rPr>
      </w:pP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1804"/>
        <w:gridCol w:w="754"/>
        <w:gridCol w:w="793"/>
        <w:gridCol w:w="4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48" w:type="dxa"/>
            <w:noWrap w:val="0"/>
            <w:vAlign w:val="top"/>
          </w:tcPr>
          <w:p>
            <w:pPr>
              <w:spacing w:line="0" w:lineRule="atLeast"/>
              <w:jc w:val="center"/>
              <w:rPr>
                <w:rFonts w:hint="eastAsia" w:ascii="宋体" w:hAnsi="宋体" w:cs="宋体"/>
                <w:b/>
                <w:bCs/>
                <w:szCs w:val="21"/>
              </w:rPr>
            </w:pPr>
            <w:r>
              <w:rPr>
                <w:rFonts w:hint="eastAsia" w:ascii="宋体" w:hAnsi="宋体" w:cs="宋体"/>
                <w:b/>
                <w:bCs/>
                <w:szCs w:val="21"/>
              </w:rPr>
              <w:t>样品编号</w:t>
            </w:r>
          </w:p>
        </w:tc>
        <w:tc>
          <w:tcPr>
            <w:tcW w:w="1804" w:type="dxa"/>
            <w:noWrap w:val="0"/>
            <w:vAlign w:val="center"/>
          </w:tcPr>
          <w:p>
            <w:pPr>
              <w:spacing w:line="0" w:lineRule="atLeast"/>
              <w:jc w:val="center"/>
              <w:rPr>
                <w:rFonts w:hint="eastAsia" w:ascii="宋体" w:hAnsi="宋体" w:cs="宋体"/>
                <w:szCs w:val="21"/>
              </w:rPr>
            </w:pPr>
            <w:r>
              <w:rPr>
                <w:rFonts w:hint="eastAsia" w:ascii="宋体" w:hAnsi="宋体" w:cs="宋体"/>
                <w:b/>
                <w:bCs/>
                <w:szCs w:val="21"/>
              </w:rPr>
              <w:t>样品名称</w:t>
            </w:r>
          </w:p>
        </w:tc>
        <w:tc>
          <w:tcPr>
            <w:tcW w:w="754" w:type="dxa"/>
            <w:noWrap w:val="0"/>
            <w:vAlign w:val="center"/>
          </w:tcPr>
          <w:p>
            <w:pPr>
              <w:spacing w:line="0" w:lineRule="atLeast"/>
              <w:jc w:val="center"/>
              <w:rPr>
                <w:rFonts w:hint="eastAsia" w:ascii="宋体" w:hAnsi="宋体" w:cs="宋体"/>
                <w:szCs w:val="21"/>
              </w:rPr>
            </w:pPr>
            <w:r>
              <w:rPr>
                <w:rFonts w:hint="eastAsia" w:ascii="宋体" w:hAnsi="宋体" w:cs="宋体"/>
                <w:b/>
                <w:bCs/>
                <w:szCs w:val="21"/>
              </w:rPr>
              <w:t>数量</w:t>
            </w:r>
          </w:p>
        </w:tc>
        <w:tc>
          <w:tcPr>
            <w:tcW w:w="793" w:type="dxa"/>
            <w:noWrap w:val="0"/>
            <w:vAlign w:val="center"/>
          </w:tcPr>
          <w:p>
            <w:pPr>
              <w:spacing w:line="0" w:lineRule="atLeast"/>
              <w:jc w:val="center"/>
              <w:rPr>
                <w:rFonts w:hint="eastAsia" w:ascii="宋体" w:hAnsi="宋体" w:cs="宋体"/>
                <w:b/>
                <w:bCs/>
                <w:szCs w:val="21"/>
              </w:rPr>
            </w:pPr>
            <w:r>
              <w:rPr>
                <w:rFonts w:hint="eastAsia" w:ascii="宋体" w:hAnsi="宋体" w:cs="宋体"/>
                <w:b/>
                <w:bCs/>
                <w:szCs w:val="21"/>
              </w:rPr>
              <w:t>单位</w:t>
            </w:r>
          </w:p>
        </w:tc>
        <w:tc>
          <w:tcPr>
            <w:tcW w:w="4130" w:type="dxa"/>
            <w:noWrap w:val="0"/>
            <w:vAlign w:val="center"/>
          </w:tcPr>
          <w:p>
            <w:pPr>
              <w:spacing w:line="0" w:lineRule="atLeast"/>
              <w:jc w:val="center"/>
              <w:rPr>
                <w:rFonts w:hint="eastAsia" w:ascii="宋体" w:hAnsi="宋体" w:cs="宋体"/>
                <w:bCs/>
                <w:snapToGrid w:val="0"/>
                <w:color w:val="000000"/>
                <w:szCs w:val="21"/>
              </w:rPr>
            </w:pPr>
            <w:r>
              <w:rPr>
                <w:rFonts w:hint="eastAsia" w:ascii="宋体" w:hAnsi="宋体" w:cs="宋体"/>
                <w:bCs/>
                <w:snapToGrid w:val="0"/>
                <w:color w:val="000000"/>
                <w:szCs w:val="21"/>
              </w:rPr>
              <w:t>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1048" w:type="dxa"/>
            <w:noWrap w:val="0"/>
            <w:vAlign w:val="center"/>
          </w:tcPr>
          <w:p>
            <w:pPr>
              <w:spacing w:line="0" w:lineRule="atLeast"/>
              <w:jc w:val="center"/>
              <w:rPr>
                <w:rFonts w:hint="eastAsia" w:ascii="宋体" w:hAnsi="宋体" w:cs="宋体"/>
                <w:szCs w:val="21"/>
              </w:rPr>
            </w:pPr>
            <w:r>
              <w:rPr>
                <w:rFonts w:hint="eastAsia" w:ascii="宋体" w:hAnsi="宋体" w:cs="宋体"/>
                <w:szCs w:val="21"/>
              </w:rPr>
              <w:t>1</w:t>
            </w:r>
          </w:p>
        </w:tc>
        <w:tc>
          <w:tcPr>
            <w:tcW w:w="1804" w:type="dxa"/>
            <w:noWrap w:val="0"/>
            <w:vAlign w:val="center"/>
          </w:tcPr>
          <w:p>
            <w:pPr>
              <w:spacing w:line="0" w:lineRule="atLeast"/>
              <w:jc w:val="center"/>
              <w:rPr>
                <w:rFonts w:ascii="宋体" w:hAnsi="宋体" w:cs="宋体"/>
                <w:szCs w:val="21"/>
              </w:rPr>
            </w:pPr>
            <w:r>
              <w:rPr>
                <w:rFonts w:hint="eastAsia" w:ascii="宋体" w:hAnsi="宋体" w:cs="宋体"/>
                <w:szCs w:val="21"/>
              </w:rPr>
              <w:t>手摇升降课桌</w:t>
            </w:r>
          </w:p>
          <w:p>
            <w:pPr>
              <w:spacing w:line="0" w:lineRule="atLeast"/>
              <w:jc w:val="center"/>
              <w:rPr>
                <w:rFonts w:ascii="宋体" w:hAnsi="宋体" w:cs="宋体"/>
                <w:bCs/>
                <w:snapToGrid w:val="0"/>
                <w:color w:val="000000"/>
                <w:szCs w:val="21"/>
              </w:rPr>
            </w:pPr>
            <w:r>
              <w:rPr>
                <w:rFonts w:hint="eastAsia" w:ascii="宋体" w:hAnsi="宋体" w:cs="宋体"/>
                <w:szCs w:val="21"/>
              </w:rPr>
              <w:t>（注塑封边桌面）</w:t>
            </w:r>
          </w:p>
        </w:tc>
        <w:tc>
          <w:tcPr>
            <w:tcW w:w="754" w:type="dxa"/>
            <w:noWrap w:val="0"/>
            <w:vAlign w:val="center"/>
          </w:tcPr>
          <w:p>
            <w:pPr>
              <w:spacing w:line="0" w:lineRule="atLeast"/>
              <w:jc w:val="center"/>
              <w:rPr>
                <w:rFonts w:hint="eastAsia" w:ascii="宋体" w:hAnsi="宋体" w:cs="宋体"/>
                <w:bCs/>
                <w:snapToGrid w:val="0"/>
                <w:color w:val="000000"/>
                <w:szCs w:val="21"/>
              </w:rPr>
            </w:pPr>
            <w:r>
              <w:rPr>
                <w:rFonts w:hint="eastAsia" w:ascii="宋体" w:hAnsi="宋体" w:cs="宋体"/>
                <w:bCs/>
                <w:snapToGrid w:val="0"/>
                <w:color w:val="000000"/>
                <w:szCs w:val="21"/>
              </w:rPr>
              <w:t>1</w:t>
            </w:r>
          </w:p>
        </w:tc>
        <w:tc>
          <w:tcPr>
            <w:tcW w:w="793" w:type="dxa"/>
            <w:noWrap w:val="0"/>
            <w:vAlign w:val="center"/>
          </w:tcPr>
          <w:p>
            <w:pPr>
              <w:spacing w:line="0" w:lineRule="atLeast"/>
              <w:jc w:val="center"/>
              <w:rPr>
                <w:rFonts w:hint="eastAsia" w:ascii="宋体" w:hAnsi="宋体" w:cs="宋体"/>
                <w:bCs/>
                <w:snapToGrid w:val="0"/>
                <w:color w:val="000000"/>
                <w:szCs w:val="21"/>
              </w:rPr>
            </w:pPr>
            <w:r>
              <w:rPr>
                <w:rFonts w:hint="eastAsia" w:ascii="宋体" w:hAnsi="宋体" w:cs="宋体"/>
                <w:bCs/>
                <w:snapToGrid w:val="0"/>
                <w:color w:val="000000"/>
                <w:szCs w:val="21"/>
              </w:rPr>
              <w:t>块</w:t>
            </w:r>
          </w:p>
        </w:tc>
        <w:tc>
          <w:tcPr>
            <w:tcW w:w="4130" w:type="dxa"/>
            <w:noWrap w:val="0"/>
            <w:vAlign w:val="center"/>
          </w:tcPr>
          <w:p>
            <w:pPr>
              <w:spacing w:line="0" w:lineRule="atLeast"/>
              <w:jc w:val="left"/>
              <w:rPr>
                <w:rFonts w:hint="eastAsia" w:ascii="宋体" w:hAnsi="宋体" w:cs="宋体"/>
                <w:bCs/>
                <w:snapToGrid w:val="0"/>
                <w:color w:val="000000"/>
                <w:szCs w:val="21"/>
              </w:rPr>
            </w:pPr>
            <w:r>
              <w:rPr>
                <w:rFonts w:hint="eastAsia" w:ascii="宋体" w:hAnsi="宋体" w:cs="宋体"/>
                <w:bCs/>
                <w:snapToGrid w:val="0"/>
                <w:color w:val="000000"/>
                <w:szCs w:val="21"/>
              </w:rPr>
              <w:t xml:space="preserve">样式：桌面四周注塑包边，前端鸭嘴斜边设计。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1048" w:type="dxa"/>
            <w:noWrap w:val="0"/>
            <w:vAlign w:val="center"/>
          </w:tcPr>
          <w:p>
            <w:pPr>
              <w:spacing w:line="0" w:lineRule="atLeast"/>
              <w:jc w:val="center"/>
              <w:rPr>
                <w:rFonts w:hint="eastAsia" w:ascii="宋体" w:hAnsi="宋体" w:cs="宋体"/>
                <w:szCs w:val="21"/>
              </w:rPr>
            </w:pPr>
            <w:r>
              <w:rPr>
                <w:rFonts w:hint="eastAsia" w:ascii="宋体" w:hAnsi="宋体" w:cs="宋体"/>
                <w:szCs w:val="21"/>
              </w:rPr>
              <w:t>2</w:t>
            </w:r>
          </w:p>
        </w:tc>
        <w:tc>
          <w:tcPr>
            <w:tcW w:w="1804" w:type="dxa"/>
            <w:noWrap w:val="0"/>
            <w:vAlign w:val="center"/>
          </w:tcPr>
          <w:p>
            <w:pPr>
              <w:spacing w:line="0" w:lineRule="atLeast"/>
              <w:jc w:val="center"/>
              <w:rPr>
                <w:rFonts w:hint="eastAsia" w:ascii="宋体" w:hAnsi="宋体" w:cs="宋体"/>
                <w:szCs w:val="21"/>
              </w:rPr>
            </w:pPr>
            <w:r>
              <w:rPr>
                <w:rFonts w:hint="eastAsia" w:ascii="宋体" w:hAnsi="宋体" w:cs="宋体"/>
                <w:szCs w:val="21"/>
              </w:rPr>
              <w:t>手摇升降课桌</w:t>
            </w:r>
          </w:p>
          <w:p>
            <w:pPr>
              <w:spacing w:line="0" w:lineRule="atLeast"/>
              <w:jc w:val="center"/>
              <w:rPr>
                <w:rFonts w:ascii="宋体" w:hAnsi="宋体" w:cs="宋体"/>
                <w:bCs/>
                <w:snapToGrid w:val="0"/>
                <w:color w:val="000000"/>
                <w:szCs w:val="21"/>
              </w:rPr>
            </w:pPr>
            <w:r>
              <w:rPr>
                <w:rFonts w:hint="eastAsia" w:ascii="宋体" w:hAnsi="宋体" w:cs="宋体"/>
                <w:szCs w:val="21"/>
              </w:rPr>
              <w:t>（书箱）</w:t>
            </w:r>
          </w:p>
        </w:tc>
        <w:tc>
          <w:tcPr>
            <w:tcW w:w="754" w:type="dxa"/>
            <w:noWrap w:val="0"/>
            <w:vAlign w:val="center"/>
          </w:tcPr>
          <w:p>
            <w:pPr>
              <w:spacing w:line="0" w:lineRule="atLeast"/>
              <w:jc w:val="center"/>
              <w:rPr>
                <w:rFonts w:hint="eastAsia" w:ascii="宋体" w:hAnsi="宋体" w:cs="宋体"/>
                <w:bCs/>
                <w:snapToGrid w:val="0"/>
                <w:color w:val="000000"/>
                <w:szCs w:val="21"/>
              </w:rPr>
            </w:pPr>
            <w:r>
              <w:rPr>
                <w:rFonts w:hint="eastAsia" w:ascii="宋体" w:hAnsi="宋体" w:cs="宋体"/>
                <w:szCs w:val="21"/>
              </w:rPr>
              <w:t>1</w:t>
            </w:r>
          </w:p>
        </w:tc>
        <w:tc>
          <w:tcPr>
            <w:tcW w:w="793" w:type="dxa"/>
            <w:noWrap w:val="0"/>
            <w:vAlign w:val="center"/>
          </w:tcPr>
          <w:p>
            <w:pPr>
              <w:spacing w:line="0" w:lineRule="atLeast"/>
              <w:jc w:val="center"/>
              <w:rPr>
                <w:rFonts w:hint="eastAsia" w:ascii="宋体" w:hAnsi="宋体" w:cs="宋体"/>
                <w:bCs/>
                <w:snapToGrid w:val="0"/>
                <w:color w:val="000000"/>
                <w:szCs w:val="21"/>
              </w:rPr>
            </w:pPr>
            <w:r>
              <w:rPr>
                <w:rFonts w:hint="eastAsia" w:ascii="宋体" w:hAnsi="宋体" w:cs="宋体"/>
                <w:bCs/>
                <w:snapToGrid w:val="0"/>
                <w:color w:val="000000"/>
                <w:szCs w:val="21"/>
              </w:rPr>
              <w:t>个</w:t>
            </w:r>
          </w:p>
        </w:tc>
        <w:tc>
          <w:tcPr>
            <w:tcW w:w="4130" w:type="dxa"/>
            <w:noWrap w:val="0"/>
            <w:vAlign w:val="center"/>
          </w:tcPr>
          <w:p>
            <w:pPr>
              <w:rPr>
                <w:rFonts w:hint="eastAsia" w:ascii="宋体" w:hAnsi="宋体" w:cs="宋体"/>
                <w:bCs/>
                <w:snapToGrid w:val="0"/>
                <w:color w:val="000000"/>
                <w:szCs w:val="21"/>
              </w:rPr>
            </w:pPr>
            <w:r>
              <w:rPr>
                <w:rFonts w:hint="eastAsia" w:ascii="宋体" w:hAnsi="宋体" w:cs="宋体"/>
                <w:bCs/>
                <w:szCs w:val="21"/>
              </w:rPr>
              <w:t>样式：桌斗四棱角须做半圆弧边处理，底部前端配10mm高加强筋，增强称重。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48" w:type="dxa"/>
            <w:noWrap w:val="0"/>
            <w:vAlign w:val="center"/>
          </w:tcPr>
          <w:p>
            <w:pPr>
              <w:spacing w:line="0" w:lineRule="atLeast"/>
              <w:jc w:val="center"/>
              <w:rPr>
                <w:rFonts w:hint="eastAsia" w:ascii="宋体" w:hAnsi="宋体" w:cs="宋体"/>
                <w:szCs w:val="21"/>
              </w:rPr>
            </w:pPr>
            <w:r>
              <w:rPr>
                <w:rFonts w:hint="eastAsia" w:ascii="宋体" w:hAnsi="宋体" w:cs="宋体"/>
                <w:szCs w:val="21"/>
              </w:rPr>
              <w:t>3</w:t>
            </w:r>
          </w:p>
        </w:tc>
        <w:tc>
          <w:tcPr>
            <w:tcW w:w="1804" w:type="dxa"/>
            <w:noWrap w:val="0"/>
            <w:vAlign w:val="center"/>
          </w:tcPr>
          <w:p>
            <w:pPr>
              <w:spacing w:line="0" w:lineRule="atLeast"/>
              <w:jc w:val="center"/>
              <w:rPr>
                <w:rFonts w:hint="eastAsia" w:ascii="宋体" w:hAnsi="宋体" w:cs="宋体"/>
                <w:szCs w:val="21"/>
              </w:rPr>
            </w:pPr>
            <w:r>
              <w:rPr>
                <w:rFonts w:hint="eastAsia" w:ascii="宋体" w:hAnsi="宋体" w:cs="宋体"/>
                <w:szCs w:val="21"/>
              </w:rPr>
              <w:t>手摇升降课椅</w:t>
            </w:r>
          </w:p>
          <w:p>
            <w:pPr>
              <w:spacing w:line="0" w:lineRule="atLeast"/>
              <w:jc w:val="center"/>
              <w:rPr>
                <w:rFonts w:hint="eastAsia" w:ascii="宋体" w:hAnsi="宋体" w:cs="宋体"/>
                <w:szCs w:val="21"/>
              </w:rPr>
            </w:pPr>
            <w:r>
              <w:rPr>
                <w:rFonts w:hint="eastAsia" w:ascii="宋体" w:hAnsi="宋体" w:cs="宋体"/>
                <w:szCs w:val="21"/>
              </w:rPr>
              <w:t>（椅板）</w:t>
            </w:r>
          </w:p>
        </w:tc>
        <w:tc>
          <w:tcPr>
            <w:tcW w:w="754" w:type="dxa"/>
            <w:noWrap w:val="0"/>
            <w:vAlign w:val="center"/>
          </w:tcPr>
          <w:p>
            <w:pPr>
              <w:spacing w:line="0" w:lineRule="atLeast"/>
              <w:jc w:val="center"/>
              <w:rPr>
                <w:rFonts w:hint="eastAsia" w:ascii="宋体" w:hAnsi="宋体" w:cs="宋体"/>
                <w:szCs w:val="21"/>
              </w:rPr>
            </w:pPr>
            <w:r>
              <w:rPr>
                <w:rFonts w:hint="eastAsia" w:ascii="宋体" w:hAnsi="宋体" w:cs="宋体"/>
                <w:bCs/>
                <w:snapToGrid w:val="0"/>
                <w:color w:val="000000"/>
                <w:szCs w:val="21"/>
              </w:rPr>
              <w:t>1</w:t>
            </w:r>
          </w:p>
        </w:tc>
        <w:tc>
          <w:tcPr>
            <w:tcW w:w="793" w:type="dxa"/>
            <w:noWrap w:val="0"/>
            <w:vAlign w:val="center"/>
          </w:tcPr>
          <w:p>
            <w:pPr>
              <w:spacing w:line="0" w:lineRule="atLeast"/>
              <w:jc w:val="center"/>
              <w:rPr>
                <w:rFonts w:hint="eastAsia" w:ascii="宋体" w:hAnsi="宋体" w:cs="宋体"/>
                <w:bCs/>
                <w:snapToGrid w:val="0"/>
                <w:color w:val="000000"/>
                <w:szCs w:val="21"/>
              </w:rPr>
            </w:pPr>
            <w:r>
              <w:rPr>
                <w:rFonts w:hint="eastAsia" w:ascii="宋体" w:hAnsi="宋体" w:cs="宋体"/>
                <w:bCs/>
                <w:snapToGrid w:val="0"/>
                <w:color w:val="000000"/>
                <w:szCs w:val="21"/>
              </w:rPr>
              <w:t>块</w:t>
            </w:r>
          </w:p>
        </w:tc>
        <w:tc>
          <w:tcPr>
            <w:tcW w:w="4130" w:type="dxa"/>
            <w:noWrap w:val="0"/>
            <w:vAlign w:val="center"/>
          </w:tcPr>
          <w:p>
            <w:pPr>
              <w:rPr>
                <w:rFonts w:hint="eastAsia" w:ascii="宋体" w:hAnsi="宋体" w:cs="宋体"/>
                <w:bCs/>
                <w:snapToGrid w:val="0"/>
                <w:color w:val="000000"/>
                <w:szCs w:val="21"/>
              </w:rPr>
            </w:pPr>
            <w:r>
              <w:rPr>
                <w:rFonts w:hint="eastAsia" w:ascii="宋体" w:hAnsi="宋体" w:cs="宋体"/>
                <w:bCs/>
                <w:szCs w:val="21"/>
              </w:rPr>
              <w:t>样式：椅板全透气圆孔/椭圆孔设计，前端大波浪+瀑布形设计，中间部位内凹设计，贴合臀部，其中圆孔洞直径≤5mm 或≥ 25mm。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1048" w:type="dxa"/>
            <w:noWrap w:val="0"/>
            <w:vAlign w:val="center"/>
          </w:tcPr>
          <w:p>
            <w:pPr>
              <w:spacing w:line="0" w:lineRule="atLeast"/>
              <w:jc w:val="center"/>
              <w:rPr>
                <w:rFonts w:ascii="宋体" w:hAnsi="宋体" w:cs="宋体"/>
                <w:szCs w:val="21"/>
              </w:rPr>
            </w:pPr>
            <w:r>
              <w:rPr>
                <w:rFonts w:hint="eastAsia" w:ascii="宋体" w:hAnsi="宋体" w:cs="宋体"/>
                <w:szCs w:val="21"/>
              </w:rPr>
              <w:t>4</w:t>
            </w:r>
          </w:p>
        </w:tc>
        <w:tc>
          <w:tcPr>
            <w:tcW w:w="1804" w:type="dxa"/>
            <w:noWrap w:val="0"/>
            <w:vAlign w:val="center"/>
          </w:tcPr>
          <w:p>
            <w:pPr>
              <w:spacing w:line="0" w:lineRule="atLeast"/>
              <w:jc w:val="center"/>
              <w:rPr>
                <w:rFonts w:hint="eastAsia" w:ascii="宋体" w:hAnsi="宋体" w:cs="宋体"/>
                <w:szCs w:val="21"/>
              </w:rPr>
            </w:pPr>
            <w:r>
              <w:rPr>
                <w:rFonts w:hint="eastAsia" w:ascii="宋体" w:hAnsi="宋体" w:cs="宋体"/>
                <w:szCs w:val="21"/>
              </w:rPr>
              <w:t>手摇升降课椅</w:t>
            </w:r>
          </w:p>
          <w:p>
            <w:pPr>
              <w:spacing w:line="0" w:lineRule="atLeast"/>
              <w:jc w:val="center"/>
              <w:rPr>
                <w:rFonts w:hint="eastAsia" w:ascii="宋体" w:hAnsi="宋体" w:cs="宋体"/>
                <w:szCs w:val="21"/>
              </w:rPr>
            </w:pPr>
            <w:r>
              <w:rPr>
                <w:rFonts w:hint="eastAsia" w:ascii="宋体" w:hAnsi="宋体" w:cs="宋体"/>
                <w:szCs w:val="21"/>
              </w:rPr>
              <w:t>（靠背）</w:t>
            </w:r>
          </w:p>
        </w:tc>
        <w:tc>
          <w:tcPr>
            <w:tcW w:w="754" w:type="dxa"/>
            <w:noWrap w:val="0"/>
            <w:vAlign w:val="center"/>
          </w:tcPr>
          <w:p>
            <w:pPr>
              <w:spacing w:line="0" w:lineRule="atLeast"/>
              <w:jc w:val="center"/>
              <w:rPr>
                <w:rFonts w:hint="eastAsia" w:ascii="宋体" w:hAnsi="宋体" w:cs="宋体"/>
                <w:szCs w:val="21"/>
              </w:rPr>
            </w:pPr>
            <w:r>
              <w:rPr>
                <w:rFonts w:hint="eastAsia" w:ascii="宋体" w:hAnsi="宋体" w:cs="宋体"/>
                <w:szCs w:val="21"/>
              </w:rPr>
              <w:t>1</w:t>
            </w:r>
          </w:p>
        </w:tc>
        <w:tc>
          <w:tcPr>
            <w:tcW w:w="793" w:type="dxa"/>
            <w:noWrap w:val="0"/>
            <w:vAlign w:val="center"/>
          </w:tcPr>
          <w:p>
            <w:pPr>
              <w:spacing w:line="0" w:lineRule="atLeast"/>
              <w:jc w:val="center"/>
              <w:rPr>
                <w:rFonts w:hint="eastAsia" w:ascii="宋体" w:hAnsi="宋体" w:cs="宋体"/>
                <w:szCs w:val="21"/>
              </w:rPr>
            </w:pPr>
            <w:r>
              <w:rPr>
                <w:rFonts w:hint="eastAsia" w:ascii="宋体" w:hAnsi="宋体" w:cs="宋体"/>
                <w:bCs/>
                <w:snapToGrid w:val="0"/>
                <w:color w:val="000000"/>
                <w:szCs w:val="21"/>
              </w:rPr>
              <w:t>块</w:t>
            </w:r>
          </w:p>
        </w:tc>
        <w:tc>
          <w:tcPr>
            <w:tcW w:w="4130" w:type="dxa"/>
            <w:noWrap w:val="0"/>
            <w:vAlign w:val="center"/>
          </w:tcPr>
          <w:p>
            <w:pPr>
              <w:spacing w:line="0" w:lineRule="atLeast"/>
              <w:jc w:val="left"/>
              <w:rPr>
                <w:rFonts w:hint="eastAsia" w:ascii="宋体" w:hAnsi="宋体" w:cs="宋体"/>
                <w:bCs/>
                <w:snapToGrid w:val="0"/>
                <w:color w:val="000000"/>
                <w:szCs w:val="21"/>
              </w:rPr>
            </w:pPr>
            <w:r>
              <w:rPr>
                <w:rFonts w:hint="eastAsia" w:ascii="宋体" w:hAnsi="宋体" w:cs="宋体"/>
                <w:bCs/>
                <w:szCs w:val="21"/>
              </w:rPr>
              <w:t>样式：靠背全透气圆孔/椭圆孔设计，中间内凹，底部位顶腰设计，贴合腰部，其中圆孔洞直径≤5mm 或≥ 25mm。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1048" w:type="dxa"/>
            <w:noWrap w:val="0"/>
            <w:vAlign w:val="center"/>
          </w:tcPr>
          <w:p>
            <w:pPr>
              <w:spacing w:line="0" w:lineRule="atLeast"/>
              <w:jc w:val="center"/>
              <w:rPr>
                <w:rFonts w:ascii="宋体" w:hAnsi="宋体" w:cs="宋体"/>
                <w:szCs w:val="21"/>
              </w:rPr>
            </w:pPr>
            <w:r>
              <w:rPr>
                <w:rFonts w:hint="eastAsia" w:ascii="宋体" w:hAnsi="宋体" w:cs="宋体"/>
                <w:szCs w:val="21"/>
              </w:rPr>
              <w:t>5</w:t>
            </w:r>
          </w:p>
        </w:tc>
        <w:tc>
          <w:tcPr>
            <w:tcW w:w="1804" w:type="dxa"/>
            <w:noWrap w:val="0"/>
            <w:vAlign w:val="center"/>
          </w:tcPr>
          <w:p>
            <w:pPr>
              <w:spacing w:line="0" w:lineRule="atLeast"/>
              <w:jc w:val="center"/>
              <w:rPr>
                <w:rFonts w:ascii="宋体" w:hAnsi="宋体" w:cs="宋体"/>
                <w:szCs w:val="21"/>
              </w:rPr>
            </w:pPr>
            <w:r>
              <w:rPr>
                <w:rFonts w:hint="eastAsia" w:ascii="宋体" w:hAnsi="宋体" w:cs="宋体"/>
                <w:szCs w:val="21"/>
              </w:rPr>
              <w:t>手摇升降课椅</w:t>
            </w:r>
          </w:p>
          <w:p>
            <w:pPr>
              <w:spacing w:line="0" w:lineRule="atLeast"/>
              <w:jc w:val="center"/>
              <w:rPr>
                <w:rFonts w:hint="eastAsia" w:ascii="宋体" w:hAnsi="宋体" w:cs="宋体"/>
                <w:szCs w:val="21"/>
              </w:rPr>
            </w:pPr>
            <w:r>
              <w:rPr>
                <w:rFonts w:hint="eastAsia" w:ascii="宋体" w:hAnsi="宋体" w:cs="宋体"/>
                <w:szCs w:val="21"/>
              </w:rPr>
              <w:t>（前后脚垫）</w:t>
            </w:r>
          </w:p>
        </w:tc>
        <w:tc>
          <w:tcPr>
            <w:tcW w:w="754" w:type="dxa"/>
            <w:noWrap w:val="0"/>
            <w:vAlign w:val="center"/>
          </w:tcPr>
          <w:p>
            <w:pPr>
              <w:spacing w:line="0" w:lineRule="atLeast"/>
              <w:jc w:val="center"/>
              <w:rPr>
                <w:rFonts w:hint="eastAsia" w:ascii="宋体" w:hAnsi="宋体" w:cs="宋体"/>
                <w:szCs w:val="21"/>
              </w:rPr>
            </w:pPr>
            <w:r>
              <w:rPr>
                <w:rFonts w:hint="eastAsia" w:ascii="宋体" w:hAnsi="宋体" w:cs="宋体"/>
                <w:szCs w:val="21"/>
              </w:rPr>
              <w:t>1</w:t>
            </w:r>
          </w:p>
        </w:tc>
        <w:tc>
          <w:tcPr>
            <w:tcW w:w="793" w:type="dxa"/>
            <w:noWrap w:val="0"/>
            <w:vAlign w:val="center"/>
          </w:tcPr>
          <w:p>
            <w:pPr>
              <w:spacing w:line="0" w:lineRule="atLeast"/>
              <w:jc w:val="center"/>
              <w:rPr>
                <w:rFonts w:ascii="宋体" w:hAnsi="宋体" w:cs="宋体"/>
                <w:bCs/>
                <w:snapToGrid w:val="0"/>
                <w:color w:val="000000"/>
                <w:szCs w:val="21"/>
              </w:rPr>
            </w:pPr>
            <w:r>
              <w:rPr>
                <w:rFonts w:hint="eastAsia" w:ascii="宋体" w:hAnsi="宋体" w:cs="宋体"/>
                <w:bCs/>
                <w:snapToGrid w:val="0"/>
                <w:color w:val="000000"/>
                <w:szCs w:val="21"/>
              </w:rPr>
              <w:t>组</w:t>
            </w:r>
          </w:p>
        </w:tc>
        <w:tc>
          <w:tcPr>
            <w:tcW w:w="4130" w:type="dxa"/>
            <w:noWrap w:val="0"/>
            <w:vAlign w:val="center"/>
          </w:tcPr>
          <w:p>
            <w:pPr>
              <w:rPr>
                <w:rFonts w:hint="eastAsia" w:ascii="宋体" w:hAnsi="宋体" w:cs="宋体"/>
                <w:bCs/>
                <w:szCs w:val="21"/>
              </w:rPr>
            </w:pPr>
            <w:r>
              <w:rPr>
                <w:rFonts w:hint="eastAsia" w:ascii="宋体" w:hAnsi="宋体" w:cs="宋体"/>
                <w:szCs w:val="22"/>
              </w:rPr>
              <w:t>脚套为外包裹倾斜设计，底部螺丝锁定。</w:t>
            </w:r>
          </w:p>
        </w:tc>
      </w:tr>
    </w:tbl>
    <w:p>
      <w:pPr>
        <w:pageBreakBefore w:val="0"/>
        <w:widowControl w:val="0"/>
        <w:kinsoku/>
        <w:overflowPunct/>
        <w:topLinePunct w:val="0"/>
        <w:autoSpaceDE/>
        <w:autoSpaceDN/>
        <w:bidi w:val="0"/>
        <w:snapToGrid/>
        <w:spacing w:line="540" w:lineRule="exact"/>
        <w:ind w:firstLine="480" w:firstLineChars="200"/>
        <w:rPr>
          <w:rFonts w:hint="eastAsia" w:ascii="楷体_GB2312" w:hAnsi="楷体_GB2312" w:eastAsia="楷体_GB2312" w:cs="楷体_GB2312"/>
          <w:kern w:val="0"/>
          <w:sz w:val="24"/>
          <w:szCs w:val="24"/>
        </w:rPr>
      </w:pPr>
    </w:p>
    <w:p>
      <w:pPr>
        <w:pStyle w:val="7"/>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备注：1.投标样品允许在评标现场进行破坏检验。</w:t>
      </w:r>
    </w:p>
    <w:p>
      <w:pPr>
        <w:pStyle w:val="7"/>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2.对于中标人提供的样品，由采购人进行保管、封存，并作为履约验收的参考，投标样品将作为验收的主要依据之一。</w:t>
      </w:r>
    </w:p>
    <w:p>
      <w:pPr>
        <w:pStyle w:val="6"/>
        <w:spacing w:before="60" w:beforeLines="25" w:after="60" w:afterLines="25"/>
        <w:ind w:firstLine="0" w:firstLineChars="0"/>
        <w:rPr>
          <w:rFonts w:ascii="宋体" w:hAnsi="宋体"/>
          <w:szCs w:val="21"/>
        </w:rPr>
      </w:pPr>
    </w:p>
    <w:p>
      <w:pPr>
        <w:pStyle w:val="6"/>
        <w:spacing w:before="60" w:beforeLines="25" w:after="60" w:afterLines="25"/>
        <w:ind w:firstLine="0" w:firstLineChars="0"/>
        <w:rPr>
          <w:rFonts w:ascii="宋体" w:hAnsi="宋体"/>
          <w:szCs w:val="21"/>
        </w:rPr>
      </w:pPr>
    </w:p>
    <w:p>
      <w:pPr>
        <w:pStyle w:val="6"/>
        <w:spacing w:before="60" w:beforeLines="25" w:after="60" w:afterLines="25"/>
        <w:ind w:firstLine="0" w:firstLineChars="0"/>
        <w:rPr>
          <w:rFonts w:ascii="宋体" w:hAnsi="宋体"/>
          <w:szCs w:val="21"/>
        </w:rPr>
      </w:pPr>
    </w:p>
    <w:p>
      <w:pPr>
        <w:pStyle w:val="5"/>
        <w:spacing w:before="120" w:beforeLines="50" w:after="120" w:afterLines="50"/>
        <w:jc w:val="center"/>
        <w:rPr>
          <w:b/>
          <w:bCs/>
          <w:sz w:val="28"/>
          <w:szCs w:val="28"/>
        </w:rPr>
      </w:pPr>
      <w:r>
        <w:rPr>
          <w:rFonts w:hint="eastAsia"/>
          <w:b/>
          <w:bCs/>
          <w:sz w:val="28"/>
          <w:szCs w:val="28"/>
          <w:lang w:val="en-US" w:eastAsia="zh-CN"/>
        </w:rPr>
        <w:t>七</w:t>
      </w:r>
      <w:r>
        <w:rPr>
          <w:rFonts w:hint="eastAsia"/>
          <w:b/>
          <w:bCs/>
          <w:sz w:val="28"/>
          <w:szCs w:val="28"/>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6"/>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pPr>
        <w:rPr>
          <w:rFonts w:ascii="宋体" w:hAnsi="宋体"/>
        </w:rPr>
      </w:pPr>
    </w:p>
    <w:p>
      <w:pPr>
        <w:pStyle w:val="7"/>
        <w:rPr>
          <w:rFonts w:ascii="宋体" w:hAnsi="宋体"/>
        </w:rPr>
      </w:pPr>
    </w:p>
    <w:p>
      <w:pPr>
        <w:pStyle w:val="8"/>
      </w:pPr>
    </w:p>
    <w:p>
      <w:pPr>
        <w:pStyle w:val="7"/>
        <w:rPr>
          <w:rFonts w:ascii="宋体" w:hAnsi="宋体"/>
        </w:rPr>
        <w:sectPr>
          <w:pgSz w:w="11907" w:h="16840"/>
          <w:pgMar w:top="1440" w:right="1797" w:bottom="1440" w:left="1797" w:header="851" w:footer="992" w:gutter="0"/>
          <w:cols w:space="425" w:num="1"/>
          <w:titlePg/>
          <w:docGrid w:linePitch="462" w:charSpace="0"/>
        </w:sectPr>
      </w:pPr>
    </w:p>
    <w:p>
      <w:pPr>
        <w:pStyle w:val="5"/>
        <w:jc w:val="center"/>
        <w:rPr>
          <w:kern w:val="2"/>
        </w:rPr>
      </w:pPr>
      <w:r>
        <w:rPr>
          <w:rFonts w:hint="eastAsia"/>
          <w:kern w:val="2"/>
        </w:rPr>
        <w:t>第四章</w:t>
      </w:r>
      <w:r>
        <w:rPr>
          <w:kern w:val="2"/>
        </w:rPr>
        <w:t xml:space="preserve"> </w:t>
      </w:r>
      <w:r>
        <w:rPr>
          <w:rFonts w:hint="eastAsia"/>
          <w:kern w:val="2"/>
        </w:rPr>
        <w:t xml:space="preserve"> 投标文件组成要求及格式</w:t>
      </w:r>
    </w:p>
    <w:p>
      <w:pPr>
        <w:rPr>
          <w:rStyle w:val="35"/>
          <w:sz w:val="24"/>
        </w:rPr>
      </w:pPr>
      <w:r>
        <w:rPr>
          <w:rStyle w:val="35"/>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2"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2"/>
    <w:p>
      <w:pPr>
        <w:ind w:firstLine="420" w:firstLineChars="200"/>
        <w:rPr>
          <w:rFonts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ascii="宋体" w:hAnsi="宋体"/>
          <w:sz w:val="24"/>
        </w:rPr>
      </w:pPr>
      <w:bookmarkStart w:id="43" w:name="_Hlk72263559"/>
      <w:bookmarkStart w:id="44" w:name="_Hlk72257771"/>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45" w:name="_Hlk72070784"/>
      <w:r>
        <w:rPr>
          <w:rFonts w:hint="eastAsia"/>
          <w:szCs w:val="21"/>
        </w:rPr>
        <w:t>投标函</w:t>
      </w:r>
      <w:bookmarkEnd w:id="45"/>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bookmarkStart w:id="46" w:name="_Hlk72257201"/>
      <w:r>
        <w:rPr>
          <w:rFonts w:hint="eastAsia"/>
          <w:szCs w:val="21"/>
        </w:rPr>
        <w:t>（</w:t>
      </w:r>
      <w:r>
        <w:rPr>
          <w:szCs w:val="21"/>
        </w:rPr>
        <w:t>4</w:t>
      </w:r>
      <w:r>
        <w:rPr>
          <w:rFonts w:hint="eastAsia"/>
          <w:szCs w:val="21"/>
        </w:rPr>
        <w:t>）</w:t>
      </w:r>
      <w:bookmarkEnd w:id="46"/>
      <w:r>
        <w:rPr>
          <w:rFonts w:hint="eastAsia"/>
          <w:szCs w:val="21"/>
        </w:rPr>
        <w:t>项目详细报价</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）经验评价</w:t>
      </w:r>
      <w:r>
        <w:rPr>
          <w:rFonts w:hint="eastAsia"/>
          <w:szCs w:val="21"/>
          <w:lang w:eastAsia="zh-CN"/>
        </w:rPr>
        <w:t>；</w:t>
      </w:r>
    </w:p>
    <w:p>
      <w:pPr>
        <w:ind w:left="718" w:leftChars="342" w:firstLine="1417" w:firstLineChars="675"/>
        <w:rPr>
          <w:rFonts w:hint="eastAsia"/>
          <w:szCs w:val="21"/>
          <w:lang w:eastAsia="zh-CN"/>
        </w:rPr>
      </w:pPr>
    </w:p>
    <w:p>
      <w:pPr>
        <w:rPr>
          <w:szCs w:val="21"/>
        </w:rPr>
      </w:pP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szCs w:val="21"/>
          <w:lang w:eastAsia="zh-CN"/>
        </w:rPr>
        <w:t>绿色采购情况；</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ascii="宋体" w:hAnsi="宋体"/>
          <w:szCs w:val="21"/>
          <w:lang w:eastAsia="zh-CN"/>
        </w:rPr>
        <w:t>项目组织实施方案的评价</w:t>
      </w:r>
      <w:r>
        <w:rPr>
          <w:rFonts w:hint="eastAsia"/>
          <w:szCs w:val="21"/>
          <w:lang w:eastAsia="zh-CN"/>
        </w:rPr>
        <w:t>；</w:t>
      </w:r>
    </w:p>
    <w:p>
      <w:pPr>
        <w:ind w:left="718" w:leftChars="342" w:firstLine="1417" w:firstLineChars="675"/>
        <w:rPr>
          <w:rFonts w:hint="eastAsia" w:ascii="宋体" w:hAnsi="宋体"/>
          <w:szCs w:val="21"/>
          <w:lang w:eastAsia="zh-CN"/>
        </w:rPr>
      </w:pPr>
      <w:r>
        <w:rPr>
          <w:rFonts w:hint="eastAsia" w:ascii="宋体" w:hAnsi="宋体"/>
          <w:szCs w:val="21"/>
          <w:lang w:eastAsia="zh-CN"/>
        </w:rPr>
        <w:t>（</w:t>
      </w:r>
      <w:r>
        <w:rPr>
          <w:rFonts w:hint="eastAsia" w:ascii="宋体" w:hAnsi="宋体"/>
          <w:szCs w:val="21"/>
          <w:lang w:val="en-US" w:eastAsia="zh-CN"/>
        </w:rPr>
        <w:t>8</w:t>
      </w:r>
      <w:r>
        <w:rPr>
          <w:rFonts w:hint="eastAsia" w:ascii="宋体" w:hAnsi="宋体"/>
          <w:szCs w:val="21"/>
          <w:lang w:eastAsia="zh-CN"/>
        </w:rPr>
        <w:t>）</w:t>
      </w:r>
      <w:r>
        <w:rPr>
          <w:rFonts w:hint="eastAsia" w:ascii="宋体" w:hAnsi="宋体" w:eastAsia="宋体" w:cs="宋体"/>
          <w:kern w:val="2"/>
          <w:sz w:val="21"/>
          <w:szCs w:val="21"/>
          <w:lang w:val="en-US" w:eastAsia="zh-CN" w:bidi="ar-SA"/>
        </w:rPr>
        <w:t>售后服务评价</w:t>
      </w:r>
      <w:r>
        <w:rPr>
          <w:rFonts w:hint="eastAsia" w:ascii="宋体" w:hAnsi="宋体"/>
          <w:szCs w:val="21"/>
          <w:lang w:eastAsia="zh-CN"/>
        </w:rPr>
        <w:t>；</w:t>
      </w:r>
    </w:p>
    <w:p>
      <w:pPr>
        <w:ind w:left="718" w:leftChars="342" w:firstLine="1417" w:firstLineChars="675"/>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w:t>
      </w:r>
      <w:r>
        <w:rPr>
          <w:rFonts w:hint="eastAsia" w:ascii="宋体" w:hAnsi="宋体" w:cs="宋体"/>
          <w:kern w:val="0"/>
          <w:szCs w:val="21"/>
          <w:lang w:val="en-US" w:eastAsia="zh-CN" w:bidi="ar"/>
        </w:rPr>
        <w:t>样品情况</w:t>
      </w:r>
      <w:r>
        <w:rPr>
          <w:rFonts w:hint="eastAsia" w:ascii="宋体" w:hAnsi="宋体" w:eastAsia="宋体" w:cs="宋体"/>
          <w:kern w:val="2"/>
          <w:sz w:val="21"/>
          <w:szCs w:val="21"/>
          <w:lang w:val="en-US" w:eastAsia="zh-CN" w:bidi="ar-SA"/>
        </w:rPr>
        <w:t>；</w:t>
      </w:r>
    </w:p>
    <w:p>
      <w:pPr>
        <w:ind w:left="718" w:leftChars="342" w:firstLine="1417" w:firstLineChars="675"/>
        <w:rPr>
          <w:rFonts w:hint="eastAsia" w:ascii="宋体" w:hAnsi="宋体" w:cs="宋体"/>
          <w:kern w:val="0"/>
          <w:szCs w:val="21"/>
          <w:lang w:val="en-US" w:eastAsia="zh-CN" w:bidi="ar"/>
        </w:rPr>
      </w:pPr>
      <w:r>
        <w:rPr>
          <w:rFonts w:hint="eastAsia" w:ascii="宋体" w:hAnsi="宋体" w:cs="宋体"/>
          <w:kern w:val="0"/>
          <w:szCs w:val="21"/>
          <w:lang w:val="en-US" w:eastAsia="zh-CN" w:bidi="ar"/>
        </w:rPr>
        <w:t>（10）</w:t>
      </w:r>
      <w:r>
        <w:rPr>
          <w:rFonts w:hint="eastAsia" w:ascii="宋体" w:hAnsi="宋体" w:eastAsia="宋体" w:cs="宋体"/>
          <w:sz w:val="21"/>
          <w:szCs w:val="21"/>
          <w:lang w:eastAsia="zh-CN"/>
        </w:rPr>
        <w:t>产品质量评价</w:t>
      </w:r>
      <w:r>
        <w:rPr>
          <w:rFonts w:hint="eastAsia" w:ascii="宋体" w:hAnsi="宋体" w:cs="宋体"/>
          <w:kern w:val="0"/>
          <w:szCs w:val="21"/>
          <w:lang w:val="en-US" w:eastAsia="zh-CN" w:bidi="ar"/>
        </w:rPr>
        <w:t>；</w:t>
      </w:r>
    </w:p>
    <w:p>
      <w:pPr>
        <w:ind w:left="718" w:leftChars="342" w:firstLine="1417" w:firstLineChars="675"/>
        <w:rPr>
          <w:rFonts w:hint="eastAsia" w:ascii="宋体" w:hAnsi="宋体" w:cs="宋体"/>
          <w:kern w:val="0"/>
          <w:szCs w:val="21"/>
          <w:lang w:val="en-US" w:eastAsia="zh-CN" w:bidi="ar"/>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w:t>
      </w:r>
      <w:r>
        <w:rPr>
          <w:rFonts w:hint="eastAsia" w:ascii="宋体" w:hAnsi="宋体" w:eastAsia="宋体" w:cs="宋体"/>
          <w:kern w:val="2"/>
          <w:sz w:val="21"/>
          <w:szCs w:val="21"/>
          <w:lang w:val="en-US" w:eastAsia="zh-CN" w:bidi="ar-SA"/>
        </w:rPr>
        <w:t>投标人认为需要加以说明的其他内容</w:t>
      </w:r>
      <w:r>
        <w:rPr>
          <w:rFonts w:hint="eastAsia" w:ascii="宋体" w:hAnsi="宋体" w:eastAsia="宋体" w:cs="宋体"/>
          <w:sz w:val="21"/>
          <w:szCs w:val="21"/>
          <w:lang w:eastAsia="zh-CN"/>
        </w:rPr>
        <w:t>；</w:t>
      </w:r>
    </w:p>
    <w:p>
      <w:pPr>
        <w:pStyle w:val="7"/>
      </w:pPr>
    </w:p>
    <w:p>
      <w:pPr>
        <w:pStyle w:val="6"/>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3"/>
      <w:bookmarkEnd w:id="44"/>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3"/>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47"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48"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xxx（项目编号）xxx</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9" w:name="_Hlk72263588"/>
      <w:r>
        <w:rPr>
          <w:rFonts w:hint="eastAsia"/>
          <w:szCs w:val="21"/>
        </w:rPr>
        <w:t>愿意按照招标文件要求承包上述项目并修补其任何缺陷。</w:t>
      </w:r>
      <w:bookmarkEnd w:id="49"/>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50" w:name="_Hlk73819847"/>
      <w:r>
        <w:rPr>
          <w:rFonts w:hint="eastAsia" w:ascii="宋体" w:hAnsi="宋体"/>
          <w:szCs w:val="21"/>
        </w:rPr>
        <w:t>投标价格见</w:t>
      </w:r>
      <w:r>
        <w:rPr>
          <w:rFonts w:hint="eastAsia"/>
          <w:szCs w:val="21"/>
        </w:rPr>
        <w:t>投标书编制软件中《开标一览表》中填写的投标总价。</w:t>
      </w:r>
      <w:bookmarkEnd w:id="50"/>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8"/>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rFonts w:hint="eastAsia"/>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47"/>
    <w:p>
      <w:pPr>
        <w:pStyle w:val="3"/>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pPr>
        <w:rPr>
          <w:rFonts w:ascii="宋体" w:hAnsi="宋体"/>
          <w:color w:val="FF0000"/>
          <w:szCs w:val="21"/>
        </w:rPr>
      </w:pPr>
      <w:bookmarkStart w:id="51"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2" w:name="_Hlk72587269"/>
      <w:bookmarkStart w:id="53"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2"/>
      <w:r>
        <w:rPr>
          <w:rFonts w:hint="eastAsia" w:ascii="宋体" w:hAnsi="宋体"/>
          <w:szCs w:val="21"/>
        </w:rPr>
        <w:t>。</w:t>
      </w:r>
    </w:p>
    <w:bookmarkEnd w:id="53"/>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1"/>
    <w:p>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3"/>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54"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rPr>
          <w:b/>
          <w:bCs/>
          <w:sz w:val="24"/>
        </w:rPr>
      </w:pPr>
    </w:p>
    <w:p>
      <w:pPr>
        <w:ind w:firstLine="480" w:firstLineChars="200"/>
        <w:outlineLvl w:val="3"/>
        <w:rPr>
          <w:rFonts w:ascii="黑体" w:hAnsi="宋体" w:eastAsia="黑体"/>
          <w:bCs/>
          <w:kern w:val="0"/>
          <w:sz w:val="24"/>
          <w:szCs w:val="32"/>
        </w:rPr>
      </w:pPr>
      <w:bookmarkStart w:id="55" w:name="_Hlk72257908"/>
      <w:r>
        <w:rPr>
          <w:rFonts w:hint="eastAsia" w:ascii="黑体" w:hAnsi="宋体" w:eastAsia="黑体"/>
          <w:bCs/>
          <w:kern w:val="0"/>
          <w:sz w:val="24"/>
          <w:szCs w:val="32"/>
        </w:rPr>
        <w:t>（二）中小企业声明函、残疾人福利性单位声明函及监狱企业声明函</w:t>
      </w:r>
    </w:p>
    <w:bookmarkEnd w:id="54"/>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12"/>
        </w:numPr>
        <w:jc w:val="center"/>
        <w:outlineLvl w:val="9"/>
        <w:rPr>
          <w:b/>
          <w:sz w:val="24"/>
        </w:rPr>
      </w:pPr>
      <w:r>
        <w:rPr>
          <w:b/>
          <w:sz w:val="24"/>
        </w:rPr>
        <w:t>中小企业声明函（货物）</w:t>
      </w:r>
    </w:p>
    <w:p>
      <w:pPr>
        <w:pStyle w:val="7"/>
        <w:widowControl w:val="0"/>
        <w:numPr>
          <w:ilvl w:val="0"/>
          <w:numId w:val="0"/>
        </w:numPr>
        <w:spacing w:line="360" w:lineRule="auto"/>
        <w:jc w:val="both"/>
      </w:pPr>
    </w:p>
    <w:p>
      <w:pPr>
        <w:pStyle w:val="8"/>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pPr>
        <w:pStyle w:val="8"/>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8"/>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8"/>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pPr>
        <w:pStyle w:val="8"/>
        <w:ind w:firstLine="420" w:firstLineChars="200"/>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6"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6"/>
    </w:p>
    <w:p>
      <w:pPr>
        <w:ind w:firstLine="420" w:firstLineChars="200"/>
        <w:outlineLvl w:val="9"/>
        <w:rPr>
          <w:rFonts w:ascii="宋体" w:hAnsi="宋体"/>
          <w:bCs/>
          <w:color w:val="FF0000"/>
          <w:kern w:val="0"/>
          <w:szCs w:val="21"/>
        </w:rPr>
      </w:pPr>
    </w:p>
    <w:p/>
    <w:p>
      <w:pPr>
        <w:ind w:firstLine="420" w:firstLineChars="200"/>
      </w:pPr>
    </w:p>
    <w:p>
      <w:pPr>
        <w:jc w:val="center"/>
        <w:outlineLvl w:val="9"/>
        <w:rPr>
          <w:b/>
          <w:sz w:val="24"/>
        </w:rPr>
      </w:pPr>
      <w:r>
        <w:rPr>
          <w:rFonts w:hint="eastAsia"/>
          <w:b/>
          <w:sz w:val="24"/>
        </w:rPr>
        <w:t>2、残疾人福利性单位声明函（货物类）</w:t>
      </w:r>
    </w:p>
    <w:p>
      <w:pPr>
        <w:rPr>
          <w:b/>
          <w:bCs/>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7" w:name="_Hlk73562331"/>
      <w:bookmarkStart w:id="58"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7"/>
    </w:p>
    <w:bookmarkEnd w:id="58"/>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5"/>
    </w:p>
    <w:p>
      <w:pPr>
        <w:widowControl/>
        <w:jc w:val="left"/>
        <w:outlineLvl w:val="9"/>
        <w:rPr>
          <w:rFonts w:hint="eastAsia" w:ascii="宋体" w:hAnsi="宋体" w:eastAsia="宋体" w:cs="Times New Roman"/>
          <w:b/>
          <w:bCs/>
          <w:kern w:val="0"/>
          <w:sz w:val="24"/>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pPr>
        <w:pStyle w:val="3"/>
        <w:jc w:val="center"/>
        <w:rPr>
          <w:rFonts w:ascii="黑体" w:eastAsia="黑体"/>
          <w:b w:val="0"/>
          <w:sz w:val="24"/>
          <w:szCs w:val="24"/>
        </w:rPr>
      </w:pPr>
      <w:bookmarkStart w:id="59"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485"/>
        <w:gridCol w:w="1147"/>
        <w:gridCol w:w="703"/>
        <w:gridCol w:w="703"/>
        <w:gridCol w:w="612"/>
        <w:gridCol w:w="726"/>
        <w:gridCol w:w="462"/>
        <w:gridCol w:w="427"/>
        <w:gridCol w:w="571"/>
        <w:gridCol w:w="563"/>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485"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14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703" w:type="dxa"/>
            <w:vAlign w:val="center"/>
          </w:tcPr>
          <w:p>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70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61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26"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46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p>
        </w:tc>
        <w:tc>
          <w:tcPr>
            <w:tcW w:w="1485" w:type="dxa"/>
            <w:vMerge w:val="restar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PLAN-2021</w:t>
            </w:r>
            <w:r>
              <w:rPr>
                <w:rFonts w:ascii="Times New Roman" w:hAnsi="Times New Roman" w:eastAsia="宋体" w:cs="Times New Roman"/>
                <w:bCs/>
                <w:szCs w:val="21"/>
              </w:rPr>
              <w:t>***</w:t>
            </w:r>
          </w:p>
        </w:tc>
        <w:tc>
          <w:tcPr>
            <w:tcW w:w="114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w:t>
            </w:r>
            <w:r>
              <w:rPr>
                <w:rFonts w:ascii="Times New Roman" w:hAnsi="Times New Roman" w:eastAsia="宋体" w:cs="Times New Roman"/>
                <w:bCs/>
                <w:szCs w:val="21"/>
              </w:rPr>
              <w:t>**</w:t>
            </w:r>
            <w:r>
              <w:rPr>
                <w:rFonts w:hint="eastAsia" w:ascii="Times New Roman" w:hAnsi="Times New Roman" w:eastAsia="宋体" w:cs="Times New Roman"/>
                <w:bCs/>
                <w:szCs w:val="21"/>
              </w:rPr>
              <w:t>（填写相关内容）</w:t>
            </w:r>
          </w:p>
        </w:tc>
        <w:tc>
          <w:tcPr>
            <w:tcW w:w="703" w:type="dxa"/>
            <w:vAlign w:val="center"/>
          </w:tcPr>
          <w:p>
            <w:pPr>
              <w:jc w:val="center"/>
              <w:rPr>
                <w:rFonts w:hint="eastAsia"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w:t>
            </w:r>
          </w:p>
        </w:tc>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restart"/>
            <w:vAlign w:val="center"/>
          </w:tcPr>
          <w:p>
            <w:pPr>
              <w:jc w:val="center"/>
              <w:rPr>
                <w:rFonts w:ascii="Times New Roman" w:hAnsi="Times New Roman" w:eastAsia="宋体" w:cs="Times New Roman"/>
                <w:b/>
                <w:bCs/>
                <w:szCs w:val="21"/>
              </w:rPr>
            </w:pPr>
            <w:r>
              <w:rPr>
                <w:rFonts w:ascii="Times New Roman" w:hAnsi="Times New Roman" w:eastAsia="宋体" w:cs="Times New Roman"/>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w:t>
            </w:r>
            <w:r>
              <w:rPr>
                <w:rFonts w:ascii="Times New Roman" w:hAnsi="Times New Roman" w:eastAsia="宋体" w:cs="Times New Roman"/>
                <w:bCs/>
                <w:szCs w:val="21"/>
              </w:rPr>
              <w:t>**</w:t>
            </w:r>
          </w:p>
        </w:tc>
        <w:tc>
          <w:tcPr>
            <w:tcW w:w="703" w:type="dxa"/>
            <w:vAlign w:val="center"/>
          </w:tcPr>
          <w:p>
            <w:pPr>
              <w:jc w:val="center"/>
              <w:rPr>
                <w:rFonts w:hint="eastAsia"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w:t>
            </w:r>
          </w:p>
        </w:tc>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w:t>
            </w:r>
            <w:r>
              <w:rPr>
                <w:rFonts w:ascii="Times New Roman" w:hAnsi="Times New Roman" w:eastAsia="宋体" w:cs="Times New Roman"/>
                <w:bCs/>
                <w:szCs w:val="21"/>
              </w:rPr>
              <w:t>**</w:t>
            </w:r>
          </w:p>
        </w:tc>
        <w:tc>
          <w:tcPr>
            <w:tcW w:w="703" w:type="dxa"/>
            <w:vAlign w:val="center"/>
          </w:tcPr>
          <w:p>
            <w:pPr>
              <w:jc w:val="center"/>
              <w:rPr>
                <w:rFonts w:hint="eastAsia"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w:t>
            </w:r>
          </w:p>
        </w:tc>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w:t>
            </w:r>
            <w:r>
              <w:rPr>
                <w:rFonts w:ascii="Times New Roman" w:hAnsi="Times New Roman" w:eastAsia="宋体" w:cs="Times New Roman"/>
                <w:bCs/>
                <w:szCs w:val="21"/>
              </w:rPr>
              <w:t>**</w:t>
            </w:r>
          </w:p>
        </w:tc>
        <w:tc>
          <w:tcPr>
            <w:tcW w:w="703" w:type="dxa"/>
            <w:vAlign w:val="center"/>
          </w:tcPr>
          <w:p>
            <w:pPr>
              <w:jc w:val="center"/>
              <w:rPr>
                <w:rFonts w:hint="eastAsia"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w:t>
            </w:r>
          </w:p>
        </w:tc>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jc w:val="center"/>
              <w:rPr>
                <w:rFonts w:ascii="Times New Roman" w:hAnsi="Times New Roman" w:eastAsia="宋体" w:cs="Times New Roman"/>
                <w:bCs/>
                <w:szCs w:val="21"/>
              </w:rPr>
            </w:pPr>
            <w:r>
              <w:rPr>
                <w:rFonts w:hint="eastAsia" w:ascii="宋体" w:hAnsi="宋体" w:eastAsia="宋体" w:cs="Times New Roman"/>
                <w:bCs/>
                <w:szCs w:val="21"/>
              </w:rPr>
              <w:t>……</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w:t>
            </w:r>
          </w:p>
        </w:tc>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9" w:type="dxa"/>
            <w:gridSpan w:val="12"/>
            <w:vAlign w:val="center"/>
          </w:tcPr>
          <w:p>
            <w:pPr>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pPr>
        <w:ind w:firstLine="482" w:firstLineChars="200"/>
        <w:rPr>
          <w:rFonts w:hint="eastAsia" w:ascii="宋体" w:hAnsi="宋体"/>
          <w:b/>
          <w:sz w:val="24"/>
        </w:rPr>
      </w:pP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0"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0"/>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61" w:name="_Hlk72073235"/>
      <w:r>
        <w:rPr>
          <w:rFonts w:hint="eastAsia"/>
          <w:b/>
          <w:sz w:val="24"/>
        </w:rPr>
        <w:t>投标人认为需要涉及的其他内容报价清单</w:t>
      </w:r>
      <w:bookmarkEnd w:id="61"/>
    </w:p>
    <w:p>
      <w:pPr>
        <w:rPr>
          <w:b/>
          <w:bCs/>
        </w:rPr>
      </w:pPr>
    </w:p>
    <w:p>
      <w:pPr>
        <w:jc w:val="center"/>
      </w:pPr>
      <w:r>
        <w:rPr>
          <w:rFonts w:hint="eastAsia" w:ascii="黑体" w:hAnsi="宋体" w:eastAsia="黑体" w:cstheme="minorBidi"/>
          <w:b w:val="0"/>
          <w:bCs/>
          <w:kern w:val="2"/>
          <w:sz w:val="24"/>
          <w:szCs w:val="32"/>
          <w:lang w:val="en-US" w:eastAsia="zh-CN" w:bidi="ar-SA"/>
        </w:rPr>
        <w:t>五、经验评价</w:t>
      </w:r>
    </w:p>
    <w:p>
      <w:pPr>
        <w:pStyle w:val="7"/>
        <w:rPr>
          <w:b w:val="0"/>
          <w:bCs w:val="0"/>
        </w:rPr>
      </w:pPr>
      <w:r>
        <w:rPr>
          <w:rFonts w:hint="eastAsia"/>
          <w:b w:val="0"/>
          <w:bCs w:val="0"/>
        </w:rPr>
        <w:t>（特别提示：投标人须按本招标文件评标信息中这一评审因素要求，提供证明资料）</w:t>
      </w:r>
    </w:p>
    <w:p/>
    <w:p/>
    <w:p>
      <w:pPr>
        <w:ind w:firstLine="723" w:firstLineChars="300"/>
        <w:rPr>
          <w:b/>
          <w:color w:val="FF0000"/>
          <w:sz w:val="24"/>
        </w:rPr>
      </w:pPr>
      <w:r>
        <w:rPr>
          <w:rFonts w:hint="eastAsia"/>
          <w:b/>
          <w:color w:val="FF0000"/>
          <w:sz w:val="24"/>
        </w:rPr>
        <w:t>（信息公开部分的内容到此为止！以下为信息不公开部分。）</w:t>
      </w:r>
    </w:p>
    <w:bookmarkEnd w:id="59"/>
    <w:p>
      <w:r>
        <w:br w:type="page"/>
      </w:r>
    </w:p>
    <w:p>
      <w:pPr>
        <w:outlineLvl w:val="1"/>
        <w:rPr>
          <w:rFonts w:ascii="宋体" w:hAnsi="宋体"/>
          <w:b/>
          <w:color w:val="FF0000"/>
          <w:sz w:val="28"/>
          <w:szCs w:val="28"/>
        </w:rPr>
      </w:pPr>
      <w:bookmarkStart w:id="62" w:name="_Hlk72260530"/>
      <w:r>
        <w:rPr>
          <w:rFonts w:hint="eastAsia" w:ascii="宋体" w:hAnsi="宋体"/>
          <w:b/>
          <w:color w:val="FF0000"/>
          <w:sz w:val="28"/>
          <w:szCs w:val="28"/>
        </w:rPr>
        <w:t>投标文件附件（信息不公开部分）</w:t>
      </w:r>
    </w:p>
    <w:p>
      <w:pPr>
        <w:pStyle w:val="3"/>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rPr>
          <w:rFonts w:hint="eastAsia" w:ascii="黑体" w:eastAsia="黑体"/>
          <w:b w:val="0"/>
          <w:sz w:val="24"/>
        </w:rPr>
      </w:pPr>
      <w:r>
        <w:rPr>
          <w:rFonts w:hint="eastAsia" w:ascii="黑体" w:eastAsia="黑体"/>
          <w:b w:val="0"/>
          <w:sz w:val="24"/>
        </w:rPr>
        <w:br w:type="page"/>
      </w:r>
    </w:p>
    <w:p>
      <w:pPr>
        <w:pStyle w:val="3"/>
        <w:spacing w:before="120" w:after="120"/>
        <w:jc w:val="center"/>
        <w:rPr>
          <w:rFonts w:ascii="黑体" w:eastAsia="黑体"/>
          <w:b w:val="0"/>
          <w:sz w:val="24"/>
        </w:rPr>
      </w:pPr>
      <w:r>
        <w:rPr>
          <w:rFonts w:hint="eastAsia" w:ascii="黑体" w:eastAsia="黑体"/>
          <w:b w:val="0"/>
          <w:sz w:val="24"/>
        </w:rPr>
        <w:t>二、</w:t>
      </w:r>
      <w:bookmarkStart w:id="63" w:name="_Hlk72092499"/>
      <w:r>
        <w:rPr>
          <w:rFonts w:hint="eastAsia" w:ascii="黑体" w:eastAsia="黑体"/>
          <w:b w:val="0"/>
          <w:sz w:val="24"/>
        </w:rPr>
        <w:t>法定代表人（负责人）证明书</w:t>
      </w:r>
      <w:bookmarkEnd w:id="63"/>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13"/>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13"/>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pPr>
        <w:numPr>
          <w:ilvl w:val="0"/>
          <w:numId w:val="13"/>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4" w:type="dxa"/>
            <w:vAlign w:val="top"/>
          </w:tcPr>
          <w:p>
            <w:pPr>
              <w:jc w:val="center"/>
              <w:rPr>
                <w:rFonts w:hint="eastAsia"/>
                <w:lang w:val="en-US" w:eastAsia="zh-CN"/>
              </w:rPr>
            </w:pPr>
            <w:r>
              <w:rPr>
                <w:rFonts w:hint="eastAsia"/>
                <w:lang w:val="en-US" w:eastAsia="zh-CN"/>
              </w:rPr>
              <w:t>证件扫描件正面</w:t>
            </w:r>
          </w:p>
          <w:p>
            <w:pPr>
              <w:pStyle w:val="7"/>
              <w:jc w:val="center"/>
              <w:rPr>
                <w:rFonts w:hint="eastAsia"/>
                <w:lang w:val="en-US" w:eastAsia="zh-CN"/>
              </w:rPr>
            </w:pPr>
          </w:p>
          <w:p>
            <w:pPr>
              <w:pStyle w:val="8"/>
              <w:jc w:val="center"/>
              <w:rPr>
                <w:rFonts w:hint="default"/>
                <w:lang w:val="en-US" w:eastAsia="zh-CN"/>
              </w:rPr>
            </w:pPr>
          </w:p>
          <w:p>
            <w:pPr>
              <w:pStyle w:val="8"/>
              <w:jc w:val="center"/>
              <w:rPr>
                <w:rFonts w:hint="default"/>
                <w:lang w:val="en-US" w:eastAsia="zh-CN"/>
              </w:rPr>
            </w:pPr>
          </w:p>
          <w:p>
            <w:pPr>
              <w:pStyle w:val="8"/>
              <w:jc w:val="center"/>
              <w:rPr>
                <w:rFonts w:hint="default"/>
                <w:lang w:val="en-US" w:eastAsia="zh-CN"/>
              </w:rPr>
            </w:pPr>
          </w:p>
          <w:p>
            <w:pPr>
              <w:pStyle w:val="8"/>
              <w:jc w:val="center"/>
              <w:rPr>
                <w:rFonts w:hint="default"/>
                <w:lang w:val="en-US" w:eastAsia="zh-CN"/>
              </w:rPr>
            </w:pPr>
          </w:p>
          <w:p>
            <w:pPr>
              <w:pStyle w:val="8"/>
              <w:jc w:val="center"/>
              <w:rPr>
                <w:rFonts w:hint="default"/>
                <w:lang w:val="en-US" w:eastAsia="zh-CN"/>
              </w:rPr>
            </w:pPr>
          </w:p>
          <w:p>
            <w:pPr>
              <w:pStyle w:val="8"/>
              <w:jc w:val="center"/>
              <w:rPr>
                <w:rFonts w:hint="default"/>
                <w:lang w:val="en-US" w:eastAsia="zh-CN"/>
              </w:rPr>
            </w:pPr>
          </w:p>
        </w:tc>
        <w:tc>
          <w:tcPr>
            <w:tcW w:w="4265" w:type="dxa"/>
            <w:vAlign w:val="top"/>
          </w:tcPr>
          <w:p>
            <w:pPr>
              <w:jc w:val="center"/>
              <w:rPr>
                <w:rFonts w:hint="eastAsia"/>
                <w:lang w:val="en-US" w:eastAsia="zh-CN"/>
              </w:rPr>
            </w:pPr>
            <w:r>
              <w:rPr>
                <w:rFonts w:hint="eastAsia"/>
                <w:lang w:val="en-US" w:eastAsia="zh-CN"/>
              </w:rPr>
              <w:t>证件扫描件反面</w:t>
            </w:r>
          </w:p>
          <w:p>
            <w:pPr>
              <w:pStyle w:val="7"/>
              <w:jc w:val="center"/>
              <w:rPr>
                <w:rFonts w:hint="eastAsia"/>
                <w:lang w:val="en-US" w:eastAsia="zh-CN"/>
              </w:rPr>
            </w:pPr>
          </w:p>
          <w:p>
            <w:pPr>
              <w:pStyle w:val="8"/>
              <w:jc w:val="center"/>
              <w:rPr>
                <w:rFonts w:hint="eastAsia"/>
                <w:sz w:val="24"/>
                <w:vertAlign w:val="baseline"/>
                <w:lang w:val="en-US" w:eastAsia="zh-CN"/>
              </w:rPr>
            </w:pPr>
          </w:p>
        </w:tc>
      </w:tr>
    </w:tbl>
    <w:p>
      <w:pPr>
        <w:rPr>
          <w:sz w:val="24"/>
        </w:rPr>
      </w:pPr>
    </w:p>
    <w:p>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rPr>
          <w:rFonts w:hint="eastAsia" w:ascii="黑体" w:eastAsia="黑体"/>
          <w:b w:val="0"/>
          <w:kern w:val="0"/>
          <w:sz w:val="24"/>
          <w:szCs w:val="24"/>
        </w:rPr>
      </w:pPr>
      <w:r>
        <w:rPr>
          <w:rFonts w:hint="eastAsia" w:ascii="黑体" w:eastAsia="黑体"/>
          <w:b w:val="0"/>
          <w:kern w:val="0"/>
          <w:sz w:val="24"/>
          <w:szCs w:val="24"/>
        </w:rPr>
        <w:br w:type="page"/>
      </w:r>
    </w:p>
    <w:p>
      <w:pPr>
        <w:pStyle w:val="3"/>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szCs w:val="22"/>
        </w:rPr>
      </w:pPr>
    </w:p>
    <w:bookmarkEnd w:id="62"/>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7"/>
              <w:jc w:val="center"/>
              <w:rPr>
                <w:rFonts w:hint="eastAsia"/>
                <w:lang w:val="en-US" w:eastAsia="zh-CN"/>
              </w:rPr>
            </w:pPr>
          </w:p>
          <w:p>
            <w:pPr>
              <w:pStyle w:val="8"/>
              <w:jc w:val="center"/>
              <w:rPr>
                <w:rFonts w:hint="default"/>
                <w:lang w:val="en-US" w:eastAsia="zh-CN"/>
              </w:rPr>
            </w:pPr>
          </w:p>
          <w:p>
            <w:pPr>
              <w:pStyle w:val="8"/>
              <w:jc w:val="center"/>
              <w:rPr>
                <w:rFonts w:hint="default"/>
                <w:lang w:val="en-US" w:eastAsia="zh-CN"/>
              </w:rPr>
            </w:pPr>
          </w:p>
          <w:p>
            <w:pPr>
              <w:pStyle w:val="8"/>
              <w:jc w:val="center"/>
              <w:rPr>
                <w:rFonts w:hint="default"/>
                <w:lang w:val="en-US" w:eastAsia="zh-CN"/>
              </w:rPr>
            </w:pPr>
          </w:p>
          <w:p>
            <w:pPr>
              <w:pStyle w:val="8"/>
              <w:jc w:val="center"/>
              <w:rPr>
                <w:rFonts w:hint="default"/>
                <w:lang w:val="en-US" w:eastAsia="zh-CN"/>
              </w:rPr>
            </w:pPr>
          </w:p>
          <w:p>
            <w:pPr>
              <w:pStyle w:val="8"/>
              <w:jc w:val="center"/>
              <w:rPr>
                <w:rFonts w:hint="default"/>
                <w:lang w:val="en-US" w:eastAsia="zh-CN"/>
              </w:rPr>
            </w:pPr>
          </w:p>
          <w:p>
            <w:pPr>
              <w:pStyle w:val="8"/>
              <w:jc w:val="center"/>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7"/>
              <w:jc w:val="center"/>
              <w:rPr>
                <w:rFonts w:hint="eastAsia"/>
                <w:lang w:val="en-US" w:eastAsia="zh-CN"/>
              </w:rPr>
            </w:pPr>
          </w:p>
          <w:p>
            <w:pPr>
              <w:pStyle w:val="8"/>
              <w:jc w:val="center"/>
              <w:rPr>
                <w:rFonts w:hint="eastAsia"/>
                <w:sz w:val="24"/>
                <w:vertAlign w:val="baseline"/>
                <w:lang w:val="en-US" w:eastAsia="zh-CN"/>
              </w:rPr>
            </w:pPr>
          </w:p>
        </w:tc>
      </w:tr>
    </w:tbl>
    <w:p>
      <w:pPr>
        <w:widowControl w:val="0"/>
        <w:jc w:val="both"/>
        <w:rPr>
          <w:rFonts w:hint="eastAsia" w:ascii="黑体" w:hAnsi="黑体" w:eastAsia="黑体" w:cs="黑体"/>
          <w:b/>
          <w:bCs/>
          <w:color w:val="auto"/>
          <w:kern w:val="2"/>
          <w:sz w:val="24"/>
          <w:szCs w:val="24"/>
          <w:u w:val="none"/>
          <w:lang w:val="en-US" w:eastAsia="zh-CN" w:bidi="ar-SA"/>
        </w:rPr>
      </w:pPr>
    </w:p>
    <w:p>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pPr>
        <w:pStyle w:val="15"/>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64"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6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p>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pPr>
        <w:pStyle w:val="3"/>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p>
      <w:pPr>
        <w:rPr>
          <w:sz w:val="24"/>
        </w:rPr>
      </w:pPr>
    </w:p>
    <w:tbl>
      <w:tblPr>
        <w:tblStyle w:val="17"/>
        <w:tblW w:w="9524" w:type="dxa"/>
        <w:tblInd w:w="-71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9"/>
        <w:gridCol w:w="672"/>
        <w:gridCol w:w="5828"/>
        <w:gridCol w:w="1262"/>
        <w:gridCol w:w="754"/>
        <w:gridCol w:w="5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货物名称</w:t>
            </w:r>
          </w:p>
        </w:tc>
        <w:tc>
          <w:tcPr>
            <w:tcW w:w="58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招标技术要求</w:t>
            </w:r>
          </w:p>
        </w:tc>
        <w:tc>
          <w:tcPr>
            <w:tcW w:w="1262"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sz w:val="24"/>
              </w:rPr>
              <w:t>投标技术响应</w:t>
            </w:r>
          </w:p>
        </w:tc>
        <w:tc>
          <w:tcPr>
            <w:tcW w:w="75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sz w:val="24"/>
              </w:rPr>
              <w:t>偏离情况</w:t>
            </w:r>
          </w:p>
        </w:tc>
        <w:tc>
          <w:tcPr>
            <w:tcW w:w="54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sz w:val="24"/>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手摇升降课桌</w:t>
            </w:r>
          </w:p>
        </w:tc>
        <w:tc>
          <w:tcPr>
            <w:tcW w:w="8393" w:type="dxa"/>
            <w:gridSpan w:val="4"/>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A.注塑封边桌面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材质：采用高密度中纤板，厚度≥17mm，四边注塑封边；</w:t>
            </w:r>
          </w:p>
        </w:tc>
        <w:tc>
          <w:tcPr>
            <w:tcW w:w="1262"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 规格：（630W*430Dmm）±5mm；</w:t>
            </w:r>
          </w:p>
        </w:tc>
        <w:tc>
          <w:tcPr>
            <w:tcW w:w="1262"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numPr>
                <w:ilvl w:val="0"/>
                <w:numId w:val="0"/>
              </w:numPr>
              <w:suppressLineNumbers w:val="0"/>
              <w:ind w:leftChars="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3.▲注塑封边桌面：</w:t>
            </w:r>
          </w:p>
          <w:p>
            <w:pPr>
              <w:keepNext w:val="0"/>
              <w:keepLines w:val="0"/>
              <w:widowControl/>
              <w:numPr>
                <w:ilvl w:val="0"/>
                <w:numId w:val="0"/>
              </w:numPr>
              <w:suppressLineNumbers w:val="0"/>
              <w:ind w:leftChars="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检测项目</w:t>
            </w:r>
            <w:r>
              <w:rPr>
                <w:rFonts w:hint="eastAsia" w:ascii="宋体" w:hAnsi="宋体" w:eastAsia="宋体" w:cs="宋体"/>
                <w:i w:val="0"/>
                <w:iCs w:val="0"/>
                <w:color w:val="000000"/>
                <w:kern w:val="0"/>
                <w:sz w:val="21"/>
                <w:szCs w:val="21"/>
                <w:u w:val="none"/>
                <w:lang w:val="en-US" w:eastAsia="zh-CN" w:bidi="ar"/>
              </w:rPr>
              <w:t>包括但不限于：耐热性、耐磨性、耐开裂性、耐老化、表面胶合强度、含水率、封边条剥离强度、可迁移元素（铅、镉、铬、汞、砷、钡、锑、硒）、邻苯二甲酸酯（DBP、BBP、DEHP、DNOP、DINP和DIDP的总量）、甲醛释放量（ENF级）、苯、甲苯、二甲苯、总挥发性有机化合物（TVOC）释放量，</w:t>
            </w:r>
            <w:r>
              <w:rPr>
                <w:rFonts w:hint="eastAsia" w:ascii="宋体" w:hAnsi="宋体" w:eastAsia="宋体" w:cs="宋体"/>
                <w:b/>
                <w:bCs/>
                <w:i w:val="0"/>
                <w:iCs w:val="0"/>
                <w:color w:val="000000"/>
                <w:kern w:val="0"/>
                <w:sz w:val="21"/>
                <w:szCs w:val="21"/>
                <w:u w:val="none"/>
                <w:lang w:val="en-US" w:eastAsia="zh-CN" w:bidi="ar"/>
              </w:rPr>
              <w:t>以上内容检测合格。</w:t>
            </w:r>
          </w:p>
          <w:p>
            <w:pPr>
              <w:keepNext w:val="0"/>
              <w:keepLines w:val="0"/>
              <w:widowControl/>
              <w:numPr>
                <w:ilvl w:val="0"/>
                <w:numId w:val="0"/>
              </w:numPr>
              <w:suppressLineNumbers w:val="0"/>
              <w:ind w:leftChars="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检测依据</w:t>
            </w:r>
            <w:r>
              <w:rPr>
                <w:rFonts w:hint="eastAsia" w:ascii="宋体" w:hAnsi="宋体" w:eastAsia="宋体" w:cs="宋体"/>
                <w:i w:val="0"/>
                <w:iCs w:val="0"/>
                <w:color w:val="000000"/>
                <w:kern w:val="0"/>
                <w:sz w:val="21"/>
                <w:szCs w:val="21"/>
                <w:u w:val="none"/>
                <w:lang w:val="en-US" w:eastAsia="zh-CN" w:bidi="ar"/>
              </w:rPr>
              <w:t>包括但不限于GB/T 15102-2017《浸渍胶膜纸饰面纤维板和刨花板》、QB/T 4071-2021《课桌椅》、QB/T 4463-2013《家具用封边条技术条件》、GB/T 35601-2024《绿色产品评价 人造板和木质地板》标准。</w:t>
            </w:r>
          </w:p>
          <w:p>
            <w:pPr>
              <w:keepNext w:val="0"/>
              <w:keepLines w:val="0"/>
              <w:widowControl/>
              <w:numPr>
                <w:ilvl w:val="0"/>
                <w:numId w:val="0"/>
              </w:numPr>
              <w:suppressLineNumbers w:val="0"/>
              <w:ind w:leftChars="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c>
          <w:tcPr>
            <w:tcW w:w="1262"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numPr>
                <w:ilvl w:val="0"/>
                <w:numId w:val="0"/>
              </w:numPr>
              <w:suppressLineNumbers w:val="0"/>
              <w:ind w:leftChars="0"/>
              <w:jc w:val="both"/>
              <w:textAlignment w:val="top"/>
              <w:rPr>
                <w:rFonts w:hint="eastAsia" w:ascii="宋体" w:hAnsi="宋体" w:eastAsia="宋体" w:cs="宋体"/>
                <w:b/>
                <w:bCs/>
                <w:i w:val="0"/>
                <w:iCs w:val="0"/>
                <w:color w:val="0000FF"/>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numPr>
                <w:ilvl w:val="0"/>
                <w:numId w:val="0"/>
              </w:numPr>
              <w:suppressLineNumbers w:val="0"/>
              <w:ind w:leftChars="0"/>
              <w:jc w:val="both"/>
              <w:textAlignment w:val="top"/>
              <w:rPr>
                <w:rFonts w:hint="eastAsia" w:ascii="宋体" w:hAnsi="宋体" w:eastAsia="宋体" w:cs="宋体"/>
                <w:b/>
                <w:bCs/>
                <w:i w:val="0"/>
                <w:iCs w:val="0"/>
                <w:color w:val="0000FF"/>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numPr>
                <w:ilvl w:val="0"/>
                <w:numId w:val="0"/>
              </w:numPr>
              <w:suppressLineNumbers w:val="0"/>
              <w:ind w:leftChars="0"/>
              <w:jc w:val="both"/>
              <w:textAlignment w:val="top"/>
              <w:rPr>
                <w:rFonts w:hint="eastAsia" w:ascii="宋体" w:hAnsi="宋体" w:eastAsia="宋体" w:cs="宋体"/>
                <w:b/>
                <w:bCs/>
                <w:i w:val="0"/>
                <w:iCs w:val="0"/>
                <w:color w:val="0000FF"/>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393" w:type="dxa"/>
            <w:gridSpan w:val="4"/>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B.书箱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 材质： 采用环保PP工程塑料一体注塑成型；</w:t>
            </w:r>
          </w:p>
        </w:tc>
        <w:tc>
          <w:tcPr>
            <w:tcW w:w="1262"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7"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 规格：</w:t>
            </w:r>
          </w:p>
          <w:p>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（1）200个书箱尺寸≥473W*325D*103Hmm；</w:t>
            </w:r>
          </w:p>
          <w:p>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（2）400个书箱尺寸≥430W*300D*96Hmm；</w:t>
            </w:r>
          </w:p>
        </w:tc>
        <w:tc>
          <w:tcPr>
            <w:tcW w:w="1262"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8"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numPr>
                <w:ilvl w:val="0"/>
                <w:numId w:val="6"/>
              </w:numPr>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▲书箱：</w:t>
            </w:r>
          </w:p>
          <w:p>
            <w:pPr>
              <w:keepNext w:val="0"/>
              <w:keepLines w:val="0"/>
              <w:widowControl/>
              <w:numPr>
                <w:ilvl w:val="0"/>
                <w:numId w:val="0"/>
              </w:numPr>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检测项目</w:t>
            </w:r>
            <w:r>
              <w:rPr>
                <w:rFonts w:hint="eastAsia" w:ascii="宋体" w:hAnsi="宋体" w:eastAsia="宋体" w:cs="宋体"/>
                <w:i w:val="0"/>
                <w:iCs w:val="0"/>
                <w:color w:val="000000"/>
                <w:kern w:val="0"/>
                <w:sz w:val="21"/>
                <w:szCs w:val="21"/>
                <w:u w:val="none"/>
                <w:lang w:val="en-US" w:eastAsia="zh-CN" w:bidi="ar"/>
              </w:rPr>
              <w:t>包含但不限于：邻苯二甲酸酯（DBP、BBP、DEHP、DNOP、DINP、DIDP）、重金属（可溶性铅、可溶性镉、可溶性铬、可溶性汞）、多环芳烃【苯并[α]芘、16种多环芳烃（PAH）总量】、多溴联苯、多溴二苯醚，</w:t>
            </w:r>
            <w:r>
              <w:rPr>
                <w:rFonts w:hint="eastAsia" w:ascii="宋体" w:hAnsi="宋体" w:eastAsia="宋体" w:cs="宋体"/>
                <w:b/>
                <w:bCs/>
                <w:i w:val="0"/>
                <w:iCs w:val="0"/>
                <w:color w:val="000000"/>
                <w:kern w:val="0"/>
                <w:sz w:val="21"/>
                <w:szCs w:val="21"/>
                <w:u w:val="none"/>
                <w:lang w:val="en-US" w:eastAsia="zh-CN" w:bidi="ar"/>
              </w:rPr>
              <w:t>以上内容检测合格。</w:t>
            </w:r>
          </w:p>
          <w:p>
            <w:pPr>
              <w:keepNext w:val="0"/>
              <w:keepLines w:val="0"/>
              <w:widowControl/>
              <w:numPr>
                <w:ilvl w:val="0"/>
                <w:numId w:val="0"/>
              </w:numPr>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检测依据</w:t>
            </w:r>
            <w:r>
              <w:rPr>
                <w:rFonts w:hint="eastAsia" w:ascii="宋体" w:hAnsi="宋体" w:eastAsia="宋体" w:cs="宋体"/>
                <w:i w:val="0"/>
                <w:iCs w:val="0"/>
                <w:color w:val="000000"/>
                <w:kern w:val="0"/>
                <w:sz w:val="21"/>
                <w:szCs w:val="21"/>
                <w:u w:val="none"/>
                <w:lang w:val="en-US" w:eastAsia="zh-CN" w:bidi="ar"/>
              </w:rPr>
              <w:t>包括但不限于：GB/T 32487-2016 《塑料家具通用技术条件》标准。</w:t>
            </w:r>
          </w:p>
          <w:p>
            <w:pPr>
              <w:keepNext w:val="0"/>
              <w:keepLines w:val="0"/>
              <w:widowControl/>
              <w:numPr>
                <w:ilvl w:val="0"/>
                <w:numId w:val="0"/>
              </w:numPr>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c>
          <w:tcPr>
            <w:tcW w:w="1262"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numPr>
                <w:ilvl w:val="0"/>
                <w:numId w:val="0"/>
              </w:numPr>
              <w:suppressLineNumbers w:val="0"/>
              <w:jc w:val="both"/>
              <w:textAlignment w:val="top"/>
              <w:rPr>
                <w:rFonts w:hint="eastAsia" w:ascii="宋体" w:hAnsi="宋体" w:eastAsia="宋体" w:cs="宋体"/>
                <w:b/>
                <w:bCs/>
                <w:i w:val="0"/>
                <w:iCs w:val="0"/>
                <w:color w:val="0000FF"/>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numPr>
                <w:ilvl w:val="0"/>
                <w:numId w:val="0"/>
              </w:numPr>
              <w:suppressLineNumbers w:val="0"/>
              <w:jc w:val="both"/>
              <w:textAlignment w:val="top"/>
              <w:rPr>
                <w:rFonts w:hint="eastAsia" w:ascii="宋体" w:hAnsi="宋体" w:eastAsia="宋体" w:cs="宋体"/>
                <w:b/>
                <w:bCs/>
                <w:i w:val="0"/>
                <w:iCs w:val="0"/>
                <w:color w:val="0000FF"/>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numPr>
                <w:ilvl w:val="0"/>
                <w:numId w:val="0"/>
              </w:numPr>
              <w:suppressLineNumbers w:val="0"/>
              <w:jc w:val="both"/>
              <w:textAlignment w:val="top"/>
              <w:rPr>
                <w:rFonts w:hint="eastAsia" w:ascii="宋体" w:hAnsi="宋体" w:eastAsia="宋体" w:cs="宋体"/>
                <w:b/>
                <w:bCs/>
                <w:i w:val="0"/>
                <w:iCs w:val="0"/>
                <w:color w:val="0000FF"/>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393" w:type="dxa"/>
            <w:gridSpan w:val="4"/>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C.桌脚钢架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33"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 材质及规格:</w:t>
            </w:r>
          </w:p>
          <w:p>
            <w:pPr>
              <w:keepNext w:val="0"/>
              <w:keepLines w:val="0"/>
              <w:pageBreakBefore w:val="0"/>
              <w:widowControl/>
              <w:suppressLineNumbers w:val="0"/>
              <w:kinsoku/>
              <w:wordWrap/>
              <w:overflowPunct/>
              <w:topLinePunct w:val="0"/>
              <w:autoSpaceDE/>
              <w:autoSpaceDN/>
              <w:bidi w:val="0"/>
              <w:adjustRightInd/>
              <w:snapToGrid/>
              <w:ind w:firstLineChars="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桌脚立柱:采用（50*30mm）±5mm椭圆形冷轧钢管，壁厚≥1.3mm；</w:t>
            </w:r>
          </w:p>
          <w:p>
            <w:pPr>
              <w:keepNext w:val="0"/>
              <w:keepLines w:val="0"/>
              <w:pageBreakBefore w:val="0"/>
              <w:widowControl/>
              <w:suppressLineNumbers w:val="0"/>
              <w:kinsoku/>
              <w:wordWrap/>
              <w:overflowPunct/>
              <w:topLinePunct w:val="0"/>
              <w:autoSpaceDE/>
              <w:autoSpaceDN/>
              <w:bidi w:val="0"/>
              <w:adjustRightInd/>
              <w:snapToGrid/>
              <w:ind w:firstLineChars="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桌脚升降立柱：采用（42*22mm）±5mm椭圆形冷轧钢管，壁厚≥1.3mm，外侧方配有激光雕刻成型的国标刻度；</w:t>
            </w:r>
          </w:p>
          <w:p>
            <w:pPr>
              <w:keepNext w:val="0"/>
              <w:keepLines w:val="0"/>
              <w:pageBreakBefore w:val="0"/>
              <w:widowControl/>
              <w:suppressLineNumbers w:val="0"/>
              <w:kinsoku/>
              <w:wordWrap/>
              <w:overflowPunct/>
              <w:topLinePunct w:val="0"/>
              <w:autoSpaceDE/>
              <w:autoSpaceDN/>
              <w:bidi w:val="0"/>
              <w:adjustRightInd/>
              <w:snapToGrid/>
              <w:ind w:firstLineChars="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桌脚拉杆：采用直径（20*40mm）±5mmD形冷轧钢管，壁厚为≥1.3mm；</w:t>
            </w:r>
          </w:p>
        </w:tc>
        <w:tc>
          <w:tcPr>
            <w:tcW w:w="1262"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Chars="0"/>
              <w:jc w:val="both"/>
              <w:textAlignment w:val="top"/>
              <w:rPr>
                <w:rFonts w:hint="eastAsia" w:ascii="宋体" w:hAnsi="宋体" w:eastAsia="宋体" w:cs="宋体"/>
                <w:i w:val="0"/>
                <w:iCs w:val="0"/>
                <w:color w:val="000000"/>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Chars="0"/>
              <w:jc w:val="both"/>
              <w:textAlignment w:val="top"/>
              <w:rPr>
                <w:rFonts w:hint="eastAsia" w:ascii="宋体" w:hAnsi="宋体" w:eastAsia="宋体" w:cs="宋体"/>
                <w:i w:val="0"/>
                <w:iCs w:val="0"/>
                <w:color w:val="000000"/>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Chars="0"/>
              <w:jc w:val="both"/>
              <w:textAlignment w:val="top"/>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 形状：钢架立柱底部和底柱前端采用斜角焊接设计，增大腿部活动空间；</w:t>
            </w:r>
          </w:p>
        </w:tc>
        <w:tc>
          <w:tcPr>
            <w:tcW w:w="1262"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工艺：钢材焊接采用二氧化碳亚弧焊接，焊接表面波纹均匀，并保证焊处无夹渣、气孔、焊瘤、焊丝头咬边和飞溅，无脱焊、虚焊、焊穿等现象，所有焊接口打磨光滑平整；</w:t>
            </w:r>
          </w:p>
        </w:tc>
        <w:tc>
          <w:tcPr>
            <w:tcW w:w="1262"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3"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numPr>
                <w:ilvl w:val="0"/>
                <w:numId w:val="7"/>
              </w:numPr>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▲课桌支架：</w:t>
            </w:r>
          </w:p>
          <w:p>
            <w:pPr>
              <w:keepNext w:val="0"/>
              <w:keepLines w:val="0"/>
              <w:widowControl/>
              <w:numPr>
                <w:ilvl w:val="0"/>
                <w:numId w:val="0"/>
              </w:numPr>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检测项目</w:t>
            </w:r>
            <w:r>
              <w:rPr>
                <w:rFonts w:hint="eastAsia" w:ascii="宋体" w:hAnsi="宋体" w:eastAsia="宋体" w:cs="宋体"/>
                <w:i w:val="0"/>
                <w:iCs w:val="0"/>
                <w:color w:val="000000"/>
                <w:kern w:val="0"/>
                <w:sz w:val="21"/>
                <w:szCs w:val="21"/>
                <w:u w:val="none"/>
                <w:lang w:val="en-US" w:eastAsia="zh-CN" w:bidi="ar"/>
              </w:rPr>
              <w:t>包括但不限于：耐腐蚀试验（铜盐加速乙酸盐雾试验240h-镀（涂）层本身的耐腐蚀等级不低于10级、铜盐加速乙酸盐雾试验240h-镀（涂）层基体的保护等级不低于10级）、金属喷漆（塑）层-硬度不小于5H、金属喷涂层-涂层厚度不低于80μm，</w:t>
            </w:r>
            <w:r>
              <w:rPr>
                <w:rFonts w:hint="eastAsia" w:ascii="宋体" w:hAnsi="宋体" w:eastAsia="宋体" w:cs="宋体"/>
                <w:b/>
                <w:bCs/>
                <w:i w:val="0"/>
                <w:iCs w:val="0"/>
                <w:color w:val="000000"/>
                <w:kern w:val="0"/>
                <w:sz w:val="21"/>
                <w:szCs w:val="21"/>
                <w:u w:val="none"/>
                <w:lang w:val="en-US" w:eastAsia="zh-CN" w:bidi="ar"/>
              </w:rPr>
              <w:t>以上内容检测合格。</w:t>
            </w:r>
          </w:p>
          <w:p>
            <w:pPr>
              <w:keepNext w:val="0"/>
              <w:keepLines w:val="0"/>
              <w:widowControl/>
              <w:numPr>
                <w:ilvl w:val="0"/>
                <w:numId w:val="0"/>
              </w:numPr>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检测依据</w:t>
            </w:r>
            <w:r>
              <w:rPr>
                <w:rFonts w:hint="eastAsia" w:ascii="宋体" w:hAnsi="宋体" w:eastAsia="宋体" w:cs="宋体"/>
                <w:i w:val="0"/>
                <w:iCs w:val="0"/>
                <w:color w:val="000000"/>
                <w:kern w:val="0"/>
                <w:sz w:val="21"/>
                <w:szCs w:val="21"/>
                <w:u w:val="none"/>
                <w:lang w:val="en-US" w:eastAsia="zh-CN" w:bidi="ar"/>
              </w:rPr>
              <w:t>包括但不限于：QB/T 1951.2-2013《金属家具 质量检验及质量评定》、QB/T4767-2014《家具用钢构件》、QB/T3828-1999《轻工产品金属镀层和化学处理层的耐腐蚀试验方法 铜盐加速乙酸盐雾试验法》标准。</w:t>
            </w:r>
          </w:p>
          <w:p>
            <w:pPr>
              <w:keepNext w:val="0"/>
              <w:keepLines w:val="0"/>
              <w:widowControl/>
              <w:numPr>
                <w:ilvl w:val="0"/>
                <w:numId w:val="0"/>
              </w:numPr>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c>
          <w:tcPr>
            <w:tcW w:w="1262"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numPr>
                <w:ilvl w:val="0"/>
                <w:numId w:val="0"/>
              </w:numPr>
              <w:suppressLineNumbers w:val="0"/>
              <w:jc w:val="both"/>
              <w:textAlignment w:val="top"/>
              <w:rPr>
                <w:rFonts w:hint="eastAsia" w:ascii="宋体" w:hAnsi="宋体" w:eastAsia="宋体" w:cs="宋体"/>
                <w:b/>
                <w:bCs/>
                <w:i w:val="0"/>
                <w:iCs w:val="0"/>
                <w:color w:val="0000FF"/>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numPr>
                <w:ilvl w:val="0"/>
                <w:numId w:val="0"/>
              </w:numPr>
              <w:suppressLineNumbers w:val="0"/>
              <w:jc w:val="both"/>
              <w:textAlignment w:val="top"/>
              <w:rPr>
                <w:rFonts w:hint="eastAsia" w:ascii="宋体" w:hAnsi="宋体" w:eastAsia="宋体" w:cs="宋体"/>
                <w:b/>
                <w:bCs/>
                <w:i w:val="0"/>
                <w:iCs w:val="0"/>
                <w:color w:val="0000FF"/>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numPr>
                <w:ilvl w:val="0"/>
                <w:numId w:val="0"/>
              </w:numPr>
              <w:suppressLineNumbers w:val="0"/>
              <w:jc w:val="both"/>
              <w:textAlignment w:val="top"/>
              <w:rPr>
                <w:rFonts w:hint="eastAsia" w:ascii="宋体" w:hAnsi="宋体" w:eastAsia="宋体" w:cs="宋体"/>
                <w:b/>
                <w:bCs/>
                <w:i w:val="0"/>
                <w:iCs w:val="0"/>
                <w:color w:val="0000FF"/>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393" w:type="dxa"/>
            <w:gridSpan w:val="4"/>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D.前后脚垫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 材质：采用环保聚丙烯共聚塑料注塑成型；</w:t>
            </w:r>
          </w:p>
        </w:tc>
        <w:tc>
          <w:tcPr>
            <w:tcW w:w="1262"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 前脚垫尺寸：（104mm*45mm*95mm）±5mm；</w:t>
            </w:r>
          </w:p>
          <w:p>
            <w:pPr>
              <w:keepNext w:val="0"/>
              <w:keepLines w:val="0"/>
              <w:widowControl/>
              <w:suppressLineNumbers w:val="0"/>
              <w:ind w:firstLine="420" w:firstLineChars="20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后脚垫尺寸：（73mm*38mm*60mm）±5mm；</w:t>
            </w:r>
          </w:p>
        </w:tc>
        <w:tc>
          <w:tcPr>
            <w:tcW w:w="1262"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ind w:firstLine="420" w:firstLineChars="200"/>
              <w:jc w:val="both"/>
              <w:textAlignment w:val="top"/>
              <w:rPr>
                <w:rFonts w:hint="eastAsia" w:ascii="宋体" w:hAnsi="宋体" w:eastAsia="宋体" w:cs="宋体"/>
                <w:i w:val="0"/>
                <w:iCs w:val="0"/>
                <w:color w:val="000000"/>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ind w:firstLine="420" w:firstLineChars="200"/>
              <w:jc w:val="both"/>
              <w:textAlignment w:val="top"/>
              <w:rPr>
                <w:rFonts w:hint="eastAsia" w:ascii="宋体" w:hAnsi="宋体" w:eastAsia="宋体" w:cs="宋体"/>
                <w:i w:val="0"/>
                <w:iCs w:val="0"/>
                <w:color w:val="000000"/>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ind w:firstLine="420" w:firstLineChars="200"/>
              <w:jc w:val="both"/>
              <w:textAlignment w:val="top"/>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 功能：脚套底部可加软质防滑脚垫及防倾倒功能设计。</w:t>
            </w:r>
          </w:p>
        </w:tc>
        <w:tc>
          <w:tcPr>
            <w:tcW w:w="1262"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8"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numPr>
                <w:ilvl w:val="0"/>
                <w:numId w:val="8"/>
              </w:numPr>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▲脚垫：</w:t>
            </w:r>
          </w:p>
          <w:p>
            <w:pPr>
              <w:keepNext w:val="0"/>
              <w:keepLines w:val="0"/>
              <w:widowControl/>
              <w:numPr>
                <w:ilvl w:val="0"/>
                <w:numId w:val="0"/>
              </w:numPr>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检测项目</w:t>
            </w:r>
            <w:r>
              <w:rPr>
                <w:rFonts w:hint="eastAsia" w:ascii="宋体" w:hAnsi="宋体" w:eastAsia="宋体" w:cs="宋体"/>
                <w:i w:val="0"/>
                <w:iCs w:val="0"/>
                <w:color w:val="000000"/>
                <w:kern w:val="0"/>
                <w:sz w:val="21"/>
                <w:szCs w:val="21"/>
                <w:u w:val="none"/>
                <w:lang w:val="en-US" w:eastAsia="zh-CN" w:bidi="ar"/>
              </w:rPr>
              <w:t>包括但不限于：邻苯二甲酸二丁酯、邻苯二甲酸丁酯芐酯、邻苯二甲酸-2-乙基己基酯、邻苯二甲酸二正辛酯、邻苯二甲酸二异壬酯、邻苯二甲酸二异癸酯、可溶性铅、可溶性镉、可溶性铬、可溶性汞、苯并芘、16种多环芳烃总量、耐冷热循环，</w:t>
            </w:r>
            <w:r>
              <w:rPr>
                <w:rFonts w:hint="eastAsia" w:ascii="宋体" w:hAnsi="宋体" w:eastAsia="宋体" w:cs="宋体"/>
                <w:b/>
                <w:bCs/>
                <w:i w:val="0"/>
                <w:iCs w:val="0"/>
                <w:color w:val="000000"/>
                <w:kern w:val="0"/>
                <w:sz w:val="21"/>
                <w:szCs w:val="21"/>
                <w:u w:val="none"/>
                <w:lang w:val="en-US" w:eastAsia="zh-CN" w:bidi="ar"/>
              </w:rPr>
              <w:t>以上内容检测合格。</w:t>
            </w:r>
          </w:p>
          <w:p>
            <w:pPr>
              <w:keepNext w:val="0"/>
              <w:keepLines w:val="0"/>
              <w:widowControl/>
              <w:numPr>
                <w:ilvl w:val="0"/>
                <w:numId w:val="0"/>
              </w:numPr>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检测依据</w:t>
            </w:r>
            <w:r>
              <w:rPr>
                <w:rFonts w:hint="eastAsia" w:ascii="宋体" w:hAnsi="宋体" w:eastAsia="宋体" w:cs="宋体"/>
                <w:i w:val="0"/>
                <w:iCs w:val="0"/>
                <w:color w:val="000000"/>
                <w:kern w:val="0"/>
                <w:sz w:val="21"/>
                <w:szCs w:val="21"/>
                <w:u w:val="none"/>
                <w:lang w:val="en-US" w:eastAsia="zh-CN" w:bidi="ar"/>
              </w:rPr>
              <w:t>包括但不限于： GB/T32487-2016《塑料家具通用技术条件》标准。</w:t>
            </w:r>
          </w:p>
          <w:p>
            <w:pPr>
              <w:keepNext w:val="0"/>
              <w:keepLines w:val="0"/>
              <w:widowControl/>
              <w:numPr>
                <w:ilvl w:val="0"/>
                <w:numId w:val="0"/>
              </w:numPr>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c>
          <w:tcPr>
            <w:tcW w:w="1262"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numPr>
                <w:ilvl w:val="0"/>
                <w:numId w:val="0"/>
              </w:numPr>
              <w:suppressLineNumbers w:val="0"/>
              <w:jc w:val="both"/>
              <w:textAlignment w:val="top"/>
              <w:rPr>
                <w:rFonts w:hint="eastAsia" w:ascii="宋体" w:hAnsi="宋体" w:eastAsia="宋体" w:cs="宋体"/>
                <w:b/>
                <w:bCs/>
                <w:i w:val="0"/>
                <w:iCs w:val="0"/>
                <w:color w:val="0000FF"/>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numPr>
                <w:ilvl w:val="0"/>
                <w:numId w:val="0"/>
              </w:numPr>
              <w:suppressLineNumbers w:val="0"/>
              <w:jc w:val="both"/>
              <w:textAlignment w:val="top"/>
              <w:rPr>
                <w:rFonts w:hint="eastAsia" w:ascii="宋体" w:hAnsi="宋体" w:eastAsia="宋体" w:cs="宋体"/>
                <w:b/>
                <w:bCs/>
                <w:i w:val="0"/>
                <w:iCs w:val="0"/>
                <w:color w:val="0000FF"/>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numPr>
                <w:ilvl w:val="0"/>
                <w:numId w:val="0"/>
              </w:numPr>
              <w:suppressLineNumbers w:val="0"/>
              <w:jc w:val="both"/>
              <w:textAlignment w:val="top"/>
              <w:rPr>
                <w:rFonts w:hint="eastAsia" w:ascii="宋体" w:hAnsi="宋体" w:eastAsia="宋体" w:cs="宋体"/>
                <w:b/>
                <w:bCs/>
                <w:i w:val="0"/>
                <w:iCs w:val="0"/>
                <w:color w:val="0000FF"/>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393" w:type="dxa"/>
            <w:gridSpan w:val="4"/>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E.挂钩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 材质：采用环保PP（聚丙烯）塑料注塑成型；功能：挂钩整体为蘑菇形外观设计，与钢管穿入式连接，底部与钢管螺丝锁定，安全牢固</w:t>
            </w:r>
            <w:r>
              <w:rPr>
                <w:rFonts w:hint="eastAsia" w:ascii="宋体" w:hAnsi="宋体" w:eastAsia="宋体" w:cs="宋体"/>
                <w:b/>
                <w:bCs/>
                <w:i w:val="0"/>
                <w:iCs w:val="0"/>
                <w:color w:val="000000"/>
                <w:kern w:val="0"/>
                <w:sz w:val="21"/>
                <w:szCs w:val="21"/>
                <w:u w:val="none"/>
                <w:lang w:val="en-US" w:eastAsia="zh-CN" w:bidi="ar"/>
              </w:rPr>
              <w:t>。</w:t>
            </w:r>
          </w:p>
        </w:tc>
        <w:tc>
          <w:tcPr>
            <w:tcW w:w="1262"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 挂钩尺寸：（φ30 mm*20mm ） ±5mm；</w:t>
            </w:r>
          </w:p>
        </w:tc>
        <w:tc>
          <w:tcPr>
            <w:tcW w:w="1262"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0"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numPr>
                <w:ilvl w:val="0"/>
                <w:numId w:val="9"/>
              </w:numPr>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▲PP塑料：</w:t>
            </w:r>
          </w:p>
          <w:p>
            <w:pPr>
              <w:keepNext w:val="0"/>
              <w:keepLines w:val="0"/>
              <w:widowControl/>
              <w:numPr>
                <w:ilvl w:val="0"/>
                <w:numId w:val="0"/>
              </w:numPr>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检测项目</w:t>
            </w:r>
            <w:r>
              <w:rPr>
                <w:rFonts w:hint="eastAsia" w:ascii="宋体" w:hAnsi="宋体" w:eastAsia="宋体" w:cs="宋体"/>
                <w:i w:val="0"/>
                <w:iCs w:val="0"/>
                <w:color w:val="000000"/>
                <w:kern w:val="0"/>
                <w:sz w:val="21"/>
                <w:szCs w:val="21"/>
                <w:u w:val="none"/>
                <w:lang w:val="en-US" w:eastAsia="zh-CN" w:bidi="ar"/>
              </w:rPr>
              <w:t>包括但不限于：邻苯二甲酸酯（DBP、BBP、DEHP、DNOP、DINP、DIDP），</w:t>
            </w:r>
            <w:r>
              <w:rPr>
                <w:rFonts w:hint="eastAsia" w:ascii="宋体" w:hAnsi="宋体" w:eastAsia="宋体" w:cs="宋体"/>
                <w:b/>
                <w:bCs/>
                <w:i w:val="0"/>
                <w:iCs w:val="0"/>
                <w:color w:val="000000"/>
                <w:kern w:val="0"/>
                <w:sz w:val="21"/>
                <w:szCs w:val="21"/>
                <w:u w:val="none"/>
                <w:lang w:val="en-US" w:eastAsia="zh-CN" w:bidi="ar"/>
              </w:rPr>
              <w:t>以上内容检测合格。</w:t>
            </w:r>
          </w:p>
          <w:p>
            <w:pPr>
              <w:keepNext w:val="0"/>
              <w:keepLines w:val="0"/>
              <w:widowControl/>
              <w:numPr>
                <w:ilvl w:val="0"/>
                <w:numId w:val="0"/>
              </w:numPr>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检测依据</w:t>
            </w:r>
            <w:r>
              <w:rPr>
                <w:rFonts w:hint="eastAsia" w:ascii="宋体" w:hAnsi="宋体" w:eastAsia="宋体" w:cs="宋体"/>
                <w:i w:val="0"/>
                <w:iCs w:val="0"/>
                <w:color w:val="000000"/>
                <w:kern w:val="0"/>
                <w:sz w:val="21"/>
                <w:szCs w:val="21"/>
                <w:u w:val="none"/>
                <w:lang w:val="en-US" w:eastAsia="zh-CN" w:bidi="ar"/>
              </w:rPr>
              <w:t>包括但不限于：《塑料家具中有害物质限量》标准。</w:t>
            </w:r>
          </w:p>
          <w:p>
            <w:pPr>
              <w:keepNext w:val="0"/>
              <w:keepLines w:val="0"/>
              <w:widowControl/>
              <w:numPr>
                <w:ilvl w:val="0"/>
                <w:numId w:val="0"/>
              </w:numPr>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c>
          <w:tcPr>
            <w:tcW w:w="1262"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numPr>
                <w:ilvl w:val="0"/>
                <w:numId w:val="0"/>
              </w:numPr>
              <w:suppressLineNumbers w:val="0"/>
              <w:jc w:val="both"/>
              <w:textAlignment w:val="top"/>
              <w:rPr>
                <w:rFonts w:hint="eastAsia" w:ascii="宋体" w:hAnsi="宋体" w:eastAsia="宋体" w:cs="宋体"/>
                <w:b/>
                <w:bCs/>
                <w:i w:val="0"/>
                <w:iCs w:val="0"/>
                <w:color w:val="0000FF"/>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numPr>
                <w:ilvl w:val="0"/>
                <w:numId w:val="0"/>
              </w:numPr>
              <w:suppressLineNumbers w:val="0"/>
              <w:jc w:val="both"/>
              <w:textAlignment w:val="top"/>
              <w:rPr>
                <w:rFonts w:hint="eastAsia" w:ascii="宋体" w:hAnsi="宋体" w:eastAsia="宋体" w:cs="宋体"/>
                <w:b/>
                <w:bCs/>
                <w:i w:val="0"/>
                <w:iCs w:val="0"/>
                <w:color w:val="0000FF"/>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numPr>
                <w:ilvl w:val="0"/>
                <w:numId w:val="0"/>
              </w:numPr>
              <w:suppressLineNumbers w:val="0"/>
              <w:jc w:val="both"/>
              <w:textAlignment w:val="top"/>
              <w:rPr>
                <w:rFonts w:hint="eastAsia" w:ascii="宋体" w:hAnsi="宋体" w:eastAsia="宋体" w:cs="宋体"/>
                <w:b/>
                <w:bCs/>
                <w:i w:val="0"/>
                <w:iCs w:val="0"/>
                <w:color w:val="0000FF"/>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393" w:type="dxa"/>
            <w:gridSpan w:val="4"/>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F. 其他配件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5"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numPr>
                <w:ilvl w:val="0"/>
                <w:numId w:val="9"/>
              </w:numPr>
              <w:suppressLineNumbers w:val="0"/>
              <w:ind w:left="0" w:leftChars="0" w:firstLine="0" w:firstLineChars="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调节机构：采用手摇隐藏螺杆机械式调节机构调节高低，可调节高度分别为：</w:t>
            </w:r>
          </w:p>
          <w:p>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200张课桌可调节高度670mm-790mm；</w:t>
            </w:r>
          </w:p>
          <w:p>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 400张课桌可调节高度610mm-730mm。  </w:t>
            </w:r>
          </w:p>
        </w:tc>
        <w:tc>
          <w:tcPr>
            <w:tcW w:w="1262"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1"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numPr>
                <w:ilvl w:val="0"/>
                <w:numId w:val="9"/>
              </w:numPr>
              <w:suppressLineNumbers w:val="0"/>
              <w:ind w:left="0" w:leftChars="0" w:firstLine="0" w:firstLineChars="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▲手摇升降课桌椅系统：</w:t>
            </w:r>
          </w:p>
          <w:p>
            <w:pPr>
              <w:keepNext w:val="0"/>
              <w:keepLines w:val="0"/>
              <w:widowControl/>
              <w:numPr>
                <w:ilvl w:val="0"/>
                <w:numId w:val="0"/>
              </w:numPr>
              <w:suppressLineNumbers w:val="0"/>
              <w:ind w:leftChars="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检测项目</w:t>
            </w:r>
            <w:r>
              <w:rPr>
                <w:rFonts w:hint="eastAsia" w:ascii="宋体" w:hAnsi="宋体" w:eastAsia="宋体" w:cs="宋体"/>
                <w:i w:val="0"/>
                <w:iCs w:val="0"/>
                <w:color w:val="000000"/>
                <w:kern w:val="0"/>
                <w:sz w:val="21"/>
                <w:szCs w:val="21"/>
                <w:u w:val="none"/>
                <w:lang w:val="en-US" w:eastAsia="zh-CN" w:bidi="ar"/>
              </w:rPr>
              <w:t>包括但不限于：垂直耐久性试验（4级：加载力：≥300N；循环次数：≥20000次）、其他桌面的垂直冲击试验（4级：冲击高度：≥180mm）、升降机构耐久性试验（4级：负载：30KG；循环次数：≥10000次），</w:t>
            </w:r>
            <w:r>
              <w:rPr>
                <w:rFonts w:hint="eastAsia" w:ascii="宋体" w:hAnsi="宋体" w:eastAsia="宋体" w:cs="宋体"/>
                <w:b/>
                <w:bCs/>
                <w:i w:val="0"/>
                <w:iCs w:val="0"/>
                <w:color w:val="000000"/>
                <w:kern w:val="0"/>
                <w:sz w:val="21"/>
                <w:szCs w:val="21"/>
                <w:u w:val="none"/>
                <w:lang w:val="en-US" w:eastAsia="zh-CN" w:bidi="ar"/>
              </w:rPr>
              <w:t>以上内容检测合格。</w:t>
            </w:r>
          </w:p>
          <w:p>
            <w:pPr>
              <w:keepNext w:val="0"/>
              <w:keepLines w:val="0"/>
              <w:widowControl/>
              <w:numPr>
                <w:ilvl w:val="0"/>
                <w:numId w:val="0"/>
              </w:numPr>
              <w:suppressLineNumbers w:val="0"/>
              <w:ind w:leftChars="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检测依据</w:t>
            </w:r>
            <w:r>
              <w:rPr>
                <w:rFonts w:hint="eastAsia" w:ascii="宋体" w:hAnsi="宋体" w:eastAsia="宋体" w:cs="宋体"/>
                <w:i w:val="0"/>
                <w:iCs w:val="0"/>
                <w:color w:val="000000"/>
                <w:kern w:val="0"/>
                <w:sz w:val="21"/>
                <w:szCs w:val="21"/>
                <w:u w:val="none"/>
                <w:lang w:val="en-US" w:eastAsia="zh-CN" w:bidi="ar"/>
              </w:rPr>
              <w:t>包括但不限于：GB/T 10357.1-2024《家具力学性能试验 第1部分：桌类强度和耐久性》标准。</w:t>
            </w:r>
          </w:p>
          <w:p>
            <w:pPr>
              <w:keepNext w:val="0"/>
              <w:keepLines w:val="0"/>
              <w:widowControl/>
              <w:numPr>
                <w:ilvl w:val="0"/>
                <w:numId w:val="0"/>
              </w:numPr>
              <w:suppressLineNumbers w:val="0"/>
              <w:ind w:leftChars="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c>
          <w:tcPr>
            <w:tcW w:w="1262"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numPr>
                <w:ilvl w:val="0"/>
                <w:numId w:val="0"/>
              </w:numPr>
              <w:suppressLineNumbers w:val="0"/>
              <w:ind w:leftChars="0"/>
              <w:jc w:val="both"/>
              <w:textAlignment w:val="top"/>
              <w:rPr>
                <w:rFonts w:hint="eastAsia" w:ascii="宋体" w:hAnsi="宋体" w:eastAsia="宋体" w:cs="宋体"/>
                <w:b/>
                <w:bCs/>
                <w:i w:val="0"/>
                <w:iCs w:val="0"/>
                <w:color w:val="0000FF"/>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numPr>
                <w:ilvl w:val="0"/>
                <w:numId w:val="0"/>
              </w:numPr>
              <w:suppressLineNumbers w:val="0"/>
              <w:ind w:leftChars="0"/>
              <w:jc w:val="both"/>
              <w:textAlignment w:val="top"/>
              <w:rPr>
                <w:rFonts w:hint="eastAsia" w:ascii="宋体" w:hAnsi="宋体" w:eastAsia="宋体" w:cs="宋体"/>
                <w:b/>
                <w:bCs/>
                <w:i w:val="0"/>
                <w:iCs w:val="0"/>
                <w:color w:val="0000FF"/>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numPr>
                <w:ilvl w:val="0"/>
                <w:numId w:val="0"/>
              </w:numPr>
              <w:suppressLineNumbers w:val="0"/>
              <w:ind w:leftChars="0"/>
              <w:jc w:val="both"/>
              <w:textAlignment w:val="top"/>
              <w:rPr>
                <w:rFonts w:hint="eastAsia" w:ascii="宋体" w:hAnsi="宋体" w:eastAsia="宋体" w:cs="宋体"/>
                <w:b/>
                <w:bCs/>
                <w:i w:val="0"/>
                <w:iCs w:val="0"/>
                <w:color w:val="0000FF"/>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4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手摇升降课椅</w:t>
            </w:r>
          </w:p>
        </w:tc>
        <w:tc>
          <w:tcPr>
            <w:tcW w:w="8393" w:type="dxa"/>
            <w:gridSpan w:val="4"/>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G.靠背：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 材质：采用环保聚丙烯共聚塑料注塑成型；</w:t>
            </w:r>
          </w:p>
        </w:tc>
        <w:tc>
          <w:tcPr>
            <w:tcW w:w="12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 尺寸：（410W*360Dmm）±5mm；</w:t>
            </w:r>
          </w:p>
        </w:tc>
        <w:tc>
          <w:tcPr>
            <w:tcW w:w="12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393" w:type="dxa"/>
            <w:gridSpan w:val="4"/>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H.椅板：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5"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 材质：采用环保聚丙烯共聚塑料经模具注塑成型，包裹底部连接杆；</w:t>
            </w:r>
          </w:p>
        </w:tc>
        <w:tc>
          <w:tcPr>
            <w:tcW w:w="12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 尺寸：（415W*410Dmm）±5mm；</w:t>
            </w:r>
          </w:p>
        </w:tc>
        <w:tc>
          <w:tcPr>
            <w:tcW w:w="12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8"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numPr>
                <w:ilvl w:val="0"/>
                <w:numId w:val="1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▲椅板：</w:t>
            </w:r>
          </w:p>
          <w:p>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检测项目</w:t>
            </w:r>
            <w:r>
              <w:rPr>
                <w:rFonts w:hint="eastAsia" w:ascii="宋体" w:hAnsi="宋体" w:eastAsia="宋体" w:cs="宋体"/>
                <w:i w:val="0"/>
                <w:iCs w:val="0"/>
                <w:color w:val="000000"/>
                <w:kern w:val="0"/>
                <w:sz w:val="21"/>
                <w:szCs w:val="21"/>
                <w:u w:val="none"/>
                <w:lang w:val="en-US" w:eastAsia="zh-CN" w:bidi="ar"/>
              </w:rPr>
              <w:t>包含但不限于：邻苯二甲酸酯（</w:t>
            </w:r>
            <w:r>
              <w:rPr>
                <w:rStyle w:val="44"/>
                <w:lang w:val="en-US" w:eastAsia="zh-CN" w:bidi="ar"/>
              </w:rPr>
              <w:t>DBP</w:t>
            </w:r>
            <w:r>
              <w:rPr>
                <w:rFonts w:hint="eastAsia" w:ascii="宋体" w:hAnsi="宋体" w:eastAsia="宋体" w:cs="宋体"/>
                <w:i w:val="0"/>
                <w:iCs w:val="0"/>
                <w:color w:val="000000"/>
                <w:kern w:val="0"/>
                <w:sz w:val="21"/>
                <w:szCs w:val="21"/>
                <w:u w:val="none"/>
                <w:lang w:val="en-US" w:eastAsia="zh-CN" w:bidi="ar"/>
              </w:rPr>
              <w:t>、</w:t>
            </w:r>
            <w:r>
              <w:rPr>
                <w:rStyle w:val="44"/>
                <w:lang w:val="en-US" w:eastAsia="zh-CN" w:bidi="ar"/>
              </w:rPr>
              <w:t>BBP</w:t>
            </w:r>
            <w:r>
              <w:rPr>
                <w:rFonts w:hint="eastAsia" w:ascii="宋体" w:hAnsi="宋体" w:eastAsia="宋体" w:cs="宋体"/>
                <w:i w:val="0"/>
                <w:iCs w:val="0"/>
                <w:color w:val="000000"/>
                <w:kern w:val="0"/>
                <w:sz w:val="21"/>
                <w:szCs w:val="21"/>
                <w:u w:val="none"/>
                <w:lang w:val="en-US" w:eastAsia="zh-CN" w:bidi="ar"/>
              </w:rPr>
              <w:t>、</w:t>
            </w:r>
            <w:r>
              <w:rPr>
                <w:rStyle w:val="44"/>
                <w:lang w:val="en-US" w:eastAsia="zh-CN" w:bidi="ar"/>
              </w:rPr>
              <w:t>DEHP</w:t>
            </w:r>
            <w:r>
              <w:rPr>
                <w:rFonts w:hint="eastAsia" w:ascii="宋体" w:hAnsi="宋体" w:eastAsia="宋体" w:cs="宋体"/>
                <w:i w:val="0"/>
                <w:iCs w:val="0"/>
                <w:color w:val="000000"/>
                <w:kern w:val="0"/>
                <w:sz w:val="21"/>
                <w:szCs w:val="21"/>
                <w:u w:val="none"/>
                <w:lang w:val="en-US" w:eastAsia="zh-CN" w:bidi="ar"/>
              </w:rPr>
              <w:t>、</w:t>
            </w:r>
            <w:r>
              <w:rPr>
                <w:rStyle w:val="44"/>
                <w:lang w:val="en-US" w:eastAsia="zh-CN" w:bidi="ar"/>
              </w:rPr>
              <w:t>DNOP</w:t>
            </w:r>
            <w:r>
              <w:rPr>
                <w:rFonts w:hint="eastAsia" w:ascii="宋体" w:hAnsi="宋体" w:eastAsia="宋体" w:cs="宋体"/>
                <w:i w:val="0"/>
                <w:iCs w:val="0"/>
                <w:color w:val="000000"/>
                <w:kern w:val="0"/>
                <w:sz w:val="21"/>
                <w:szCs w:val="21"/>
                <w:u w:val="none"/>
                <w:lang w:val="en-US" w:eastAsia="zh-CN" w:bidi="ar"/>
              </w:rPr>
              <w:t>、</w:t>
            </w:r>
            <w:r>
              <w:rPr>
                <w:rStyle w:val="44"/>
                <w:lang w:val="en-US" w:eastAsia="zh-CN" w:bidi="ar"/>
              </w:rPr>
              <w:t>DINP</w:t>
            </w:r>
            <w:r>
              <w:rPr>
                <w:rFonts w:hint="eastAsia" w:ascii="宋体" w:hAnsi="宋体" w:eastAsia="宋体" w:cs="宋体"/>
                <w:i w:val="0"/>
                <w:iCs w:val="0"/>
                <w:color w:val="000000"/>
                <w:kern w:val="0"/>
                <w:sz w:val="21"/>
                <w:szCs w:val="21"/>
                <w:u w:val="none"/>
                <w:lang w:val="en-US" w:eastAsia="zh-CN" w:bidi="ar"/>
              </w:rPr>
              <w:t>、</w:t>
            </w:r>
            <w:r>
              <w:rPr>
                <w:rStyle w:val="44"/>
                <w:lang w:val="en-US" w:eastAsia="zh-CN" w:bidi="ar"/>
              </w:rPr>
              <w:t>DIDP</w:t>
            </w:r>
            <w:r>
              <w:rPr>
                <w:rFonts w:hint="eastAsia" w:ascii="宋体" w:hAnsi="宋体" w:eastAsia="宋体" w:cs="宋体"/>
                <w:i w:val="0"/>
                <w:iCs w:val="0"/>
                <w:color w:val="000000"/>
                <w:kern w:val="0"/>
                <w:sz w:val="21"/>
                <w:szCs w:val="21"/>
                <w:u w:val="none"/>
                <w:lang w:val="en-US" w:eastAsia="zh-CN" w:bidi="ar"/>
              </w:rPr>
              <w:t>）、重金属（可溶性铅、可溶性镉、可溶性铬、可溶性汞）、多环芳烃【苯并</w:t>
            </w:r>
            <w:r>
              <w:rPr>
                <w:rStyle w:val="44"/>
                <w:lang w:val="en-US" w:eastAsia="zh-CN" w:bidi="ar"/>
              </w:rPr>
              <w:t>[</w:t>
            </w:r>
            <w:r>
              <w:rPr>
                <w:rFonts w:hint="eastAsia" w:ascii="宋体" w:hAnsi="宋体" w:eastAsia="宋体" w:cs="宋体"/>
                <w:i w:val="0"/>
                <w:iCs w:val="0"/>
                <w:color w:val="000000"/>
                <w:kern w:val="0"/>
                <w:sz w:val="21"/>
                <w:szCs w:val="21"/>
                <w:u w:val="none"/>
                <w:lang w:val="en-US" w:eastAsia="zh-CN" w:bidi="ar"/>
              </w:rPr>
              <w:t>α</w:t>
            </w:r>
            <w:r>
              <w:rPr>
                <w:rStyle w:val="44"/>
                <w:lang w:val="en-US" w:eastAsia="zh-CN" w:bidi="ar"/>
              </w:rPr>
              <w:t>]</w:t>
            </w:r>
            <w:r>
              <w:rPr>
                <w:rFonts w:hint="eastAsia" w:ascii="宋体" w:hAnsi="宋体" w:eastAsia="宋体" w:cs="宋体"/>
                <w:i w:val="0"/>
                <w:iCs w:val="0"/>
                <w:color w:val="000000"/>
                <w:kern w:val="0"/>
                <w:sz w:val="21"/>
                <w:szCs w:val="21"/>
                <w:u w:val="none"/>
                <w:lang w:val="en-US" w:eastAsia="zh-CN" w:bidi="ar"/>
              </w:rPr>
              <w:t>芘、</w:t>
            </w:r>
            <w:r>
              <w:rPr>
                <w:rStyle w:val="44"/>
                <w:lang w:val="en-US" w:eastAsia="zh-CN" w:bidi="ar"/>
              </w:rPr>
              <w:t>16</w:t>
            </w:r>
            <w:r>
              <w:rPr>
                <w:rFonts w:hint="eastAsia" w:ascii="宋体" w:hAnsi="宋体" w:eastAsia="宋体" w:cs="宋体"/>
                <w:i w:val="0"/>
                <w:iCs w:val="0"/>
                <w:color w:val="000000"/>
                <w:kern w:val="0"/>
                <w:sz w:val="21"/>
                <w:szCs w:val="21"/>
                <w:u w:val="none"/>
                <w:lang w:val="en-US" w:eastAsia="zh-CN" w:bidi="ar"/>
              </w:rPr>
              <w:t>种多环芳烃（</w:t>
            </w:r>
            <w:r>
              <w:rPr>
                <w:rStyle w:val="44"/>
                <w:lang w:val="en-US" w:eastAsia="zh-CN" w:bidi="ar"/>
              </w:rPr>
              <w:t>PAH</w:t>
            </w:r>
            <w:r>
              <w:rPr>
                <w:rFonts w:hint="eastAsia" w:ascii="宋体" w:hAnsi="宋体" w:eastAsia="宋体" w:cs="宋体"/>
                <w:i w:val="0"/>
                <w:iCs w:val="0"/>
                <w:color w:val="000000"/>
                <w:kern w:val="0"/>
                <w:sz w:val="21"/>
                <w:szCs w:val="21"/>
                <w:u w:val="none"/>
                <w:lang w:val="en-US" w:eastAsia="zh-CN" w:bidi="ar"/>
              </w:rPr>
              <w:t>）总量】、多溴联苯、多溴二苯醚，</w:t>
            </w:r>
            <w:r>
              <w:rPr>
                <w:rFonts w:hint="eastAsia" w:ascii="宋体" w:hAnsi="宋体" w:eastAsia="宋体" w:cs="宋体"/>
                <w:b/>
                <w:bCs/>
                <w:i w:val="0"/>
                <w:iCs w:val="0"/>
                <w:color w:val="000000"/>
                <w:kern w:val="0"/>
                <w:sz w:val="21"/>
                <w:szCs w:val="21"/>
                <w:u w:val="none"/>
                <w:lang w:val="en-US" w:eastAsia="zh-CN" w:bidi="ar"/>
              </w:rPr>
              <w:t>以上内容检测合格。</w:t>
            </w:r>
          </w:p>
          <w:p>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检测依据</w:t>
            </w:r>
            <w:r>
              <w:rPr>
                <w:rFonts w:hint="eastAsia" w:ascii="宋体" w:hAnsi="宋体" w:eastAsia="宋体" w:cs="宋体"/>
                <w:i w:val="0"/>
                <w:iCs w:val="0"/>
                <w:color w:val="000000"/>
                <w:kern w:val="0"/>
                <w:sz w:val="21"/>
                <w:szCs w:val="21"/>
                <w:u w:val="none"/>
                <w:lang w:val="en-US" w:eastAsia="zh-CN" w:bidi="ar"/>
              </w:rPr>
              <w:t>包括但不限于：</w:t>
            </w:r>
            <w:r>
              <w:rPr>
                <w:rStyle w:val="44"/>
                <w:lang w:val="en-US" w:eastAsia="zh-CN" w:bidi="ar"/>
              </w:rPr>
              <w:t xml:space="preserve">GB/T 32487-2016 </w:t>
            </w:r>
            <w:r>
              <w:rPr>
                <w:rFonts w:hint="eastAsia" w:ascii="宋体" w:hAnsi="宋体" w:eastAsia="宋体" w:cs="宋体"/>
                <w:i w:val="0"/>
                <w:iCs w:val="0"/>
                <w:color w:val="000000"/>
                <w:kern w:val="0"/>
                <w:sz w:val="21"/>
                <w:szCs w:val="21"/>
                <w:u w:val="none"/>
                <w:lang w:val="en-US" w:eastAsia="zh-CN" w:bidi="ar"/>
              </w:rPr>
              <w:t>《塑料家具通用技术条件》标准。</w:t>
            </w:r>
          </w:p>
          <w:p>
            <w:pPr>
              <w:keepNext w:val="0"/>
              <w:keepLines w:val="0"/>
              <w:widowControl/>
              <w:numPr>
                <w:ilvl w:val="0"/>
                <w:numId w:val="0"/>
              </w:numPr>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c>
          <w:tcPr>
            <w:tcW w:w="12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both"/>
              <w:textAlignment w:val="center"/>
              <w:rPr>
                <w:rFonts w:hint="eastAsia" w:ascii="宋体" w:hAnsi="宋体" w:eastAsia="宋体" w:cs="宋体"/>
                <w:b/>
                <w:bCs/>
                <w:i w:val="0"/>
                <w:iCs w:val="0"/>
                <w:color w:val="0000FF"/>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both"/>
              <w:textAlignment w:val="center"/>
              <w:rPr>
                <w:rFonts w:hint="eastAsia" w:ascii="宋体" w:hAnsi="宋体" w:eastAsia="宋体" w:cs="宋体"/>
                <w:b/>
                <w:bCs/>
                <w:i w:val="0"/>
                <w:iCs w:val="0"/>
                <w:color w:val="0000FF"/>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both"/>
              <w:textAlignment w:val="center"/>
              <w:rPr>
                <w:rFonts w:hint="eastAsia" w:ascii="宋体" w:hAnsi="宋体" w:eastAsia="宋体" w:cs="宋体"/>
                <w:b/>
                <w:bCs/>
                <w:i w:val="0"/>
                <w:iCs w:val="0"/>
                <w:color w:val="0000FF"/>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393" w:type="dxa"/>
            <w:gridSpan w:val="4"/>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I.椅腿钢架：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7"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 材质及规格:</w:t>
            </w:r>
          </w:p>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立柱:采用（50*30mm）±5mm椭圆形冷轧钢管，壁厚≥1.3mm；</w:t>
            </w:r>
          </w:p>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升降立柱：采用（42*22mm）±5mm椭圆形冷轧钢管，壁厚为≥1.3mm，外侧方配有激光雕刻成型的国标刻度；</w:t>
            </w:r>
          </w:p>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椅脚拉杆：采用（20*40mm）±5mmD形冷轧钢管，壁厚为≥1.3mm；</w:t>
            </w:r>
          </w:p>
        </w:tc>
        <w:tc>
          <w:tcPr>
            <w:tcW w:w="12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7"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tabs>
                <w:tab w:val="left" w:pos="3360"/>
              </w:tabs>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 形状： 钢架立柱底部和底柱后端采用斜角焊接设计；</w:t>
            </w:r>
          </w:p>
          <w:p>
            <w:pPr>
              <w:keepNext w:val="0"/>
              <w:keepLines w:val="0"/>
              <w:widowControl/>
              <w:suppressLineNumbers w:val="0"/>
              <w:tabs>
                <w:tab w:val="left" w:pos="3360"/>
              </w:tabs>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工艺：钢材焊接采用二氧化碳亚弧焊接，焊接表面波纹均匀，并保证焊处无夹渣、气孔、焊瘤、焊丝头咬边和飞溅，无脱焊、虚焊、焊穿等现象，所有焊接口打磨光滑平整；</w:t>
            </w:r>
          </w:p>
        </w:tc>
        <w:tc>
          <w:tcPr>
            <w:tcW w:w="12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tabs>
                <w:tab w:val="left" w:pos="3360"/>
              </w:tabs>
              <w:jc w:val="both"/>
              <w:textAlignment w:val="center"/>
              <w:rPr>
                <w:rFonts w:hint="eastAsia" w:ascii="宋体" w:hAnsi="宋体" w:eastAsia="宋体" w:cs="宋体"/>
                <w:i w:val="0"/>
                <w:iCs w:val="0"/>
                <w:color w:val="000000"/>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tabs>
                <w:tab w:val="left" w:pos="3360"/>
              </w:tabs>
              <w:jc w:val="both"/>
              <w:textAlignment w:val="center"/>
              <w:rPr>
                <w:rFonts w:hint="eastAsia" w:ascii="宋体" w:hAnsi="宋体" w:eastAsia="宋体" w:cs="宋体"/>
                <w:i w:val="0"/>
                <w:iCs w:val="0"/>
                <w:color w:val="000000"/>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tabs>
                <w:tab w:val="left" w:pos="3360"/>
              </w:tabs>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6"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numPr>
                <w:ilvl w:val="0"/>
                <w:numId w:val="11"/>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▲手摇升降课桌椅：</w:t>
            </w:r>
          </w:p>
          <w:p>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检测项目</w:t>
            </w:r>
            <w:r>
              <w:rPr>
                <w:rFonts w:hint="eastAsia" w:ascii="宋体" w:hAnsi="宋体" w:eastAsia="宋体" w:cs="宋体"/>
                <w:i w:val="0"/>
                <w:iCs w:val="0"/>
                <w:color w:val="000000"/>
                <w:kern w:val="0"/>
                <w:sz w:val="21"/>
                <w:szCs w:val="21"/>
                <w:u w:val="none"/>
                <w:lang w:val="en-US" w:eastAsia="zh-CN" w:bidi="ar"/>
              </w:rPr>
              <w:t>包括但不限于：主要尺寸和尺寸偏差，形状与位置公差、安装尺寸偏差，软、硬质覆面理化性能，金属件喷涂层，塑料桌/椅面理化性能（耐老化），封边条（剥离强度），安全要求，课桌力学性能，课椅力学性能，邻苯二甲酸酯（DBP、BBP、DEHP、DNOP、DINP、和DIDP的总量），多环芳烃{苯并【a】芘、16种多环芳烃（PAH）总量}，多溴联苯（PBB），多溴二苯醚（PBDE），标志，甲醛释放量、苯、甲苯、二甲苯、TVOC，防霉等级（黑曲霉、球毛壳霉、宛氏拟青霉、绳状青霉、长枝木霉）＜1级，</w:t>
            </w:r>
            <w:r>
              <w:rPr>
                <w:rFonts w:hint="eastAsia" w:ascii="宋体" w:hAnsi="宋体" w:eastAsia="宋体" w:cs="宋体"/>
                <w:b/>
                <w:bCs/>
                <w:i w:val="0"/>
                <w:iCs w:val="0"/>
                <w:color w:val="000000"/>
                <w:kern w:val="0"/>
                <w:sz w:val="21"/>
                <w:szCs w:val="21"/>
                <w:u w:val="none"/>
                <w:lang w:val="en-US" w:eastAsia="zh-CN" w:bidi="ar"/>
              </w:rPr>
              <w:t>以上内容检测合格。</w:t>
            </w:r>
          </w:p>
          <w:p>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检测依据</w:t>
            </w:r>
            <w:r>
              <w:rPr>
                <w:rFonts w:hint="eastAsia" w:ascii="宋体" w:hAnsi="宋体" w:eastAsia="宋体" w:cs="宋体"/>
                <w:i w:val="0"/>
                <w:iCs w:val="0"/>
                <w:color w:val="000000"/>
                <w:kern w:val="0"/>
                <w:sz w:val="21"/>
                <w:szCs w:val="21"/>
                <w:u w:val="none"/>
                <w:lang w:val="en-US" w:eastAsia="zh-CN" w:bidi="ar"/>
              </w:rPr>
              <w:t>包括但不限于：QB/T 4071-2021《课桌椅》、GB/T 24128-2018《塑料 塑料防霉剂的防霉效果评估》标准。</w:t>
            </w:r>
          </w:p>
          <w:p>
            <w:pPr>
              <w:keepNext w:val="0"/>
              <w:keepLines w:val="0"/>
              <w:widowControl/>
              <w:numPr>
                <w:ilvl w:val="0"/>
                <w:numId w:val="0"/>
              </w:numPr>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c>
          <w:tcPr>
            <w:tcW w:w="12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both"/>
              <w:textAlignment w:val="center"/>
              <w:rPr>
                <w:rFonts w:hint="eastAsia" w:ascii="宋体" w:hAnsi="宋体" w:eastAsia="宋体" w:cs="宋体"/>
                <w:b/>
                <w:bCs/>
                <w:i w:val="0"/>
                <w:iCs w:val="0"/>
                <w:color w:val="0000FF"/>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both"/>
              <w:textAlignment w:val="center"/>
              <w:rPr>
                <w:rFonts w:hint="eastAsia" w:ascii="宋体" w:hAnsi="宋体" w:eastAsia="宋体" w:cs="宋体"/>
                <w:b/>
                <w:bCs/>
                <w:i w:val="0"/>
                <w:iCs w:val="0"/>
                <w:color w:val="0000FF"/>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both"/>
              <w:textAlignment w:val="center"/>
              <w:rPr>
                <w:rFonts w:hint="eastAsia" w:ascii="宋体" w:hAnsi="宋体" w:eastAsia="宋体" w:cs="宋体"/>
                <w:b/>
                <w:bCs/>
                <w:i w:val="0"/>
                <w:iCs w:val="0"/>
                <w:color w:val="0000FF"/>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393" w:type="dxa"/>
            <w:gridSpan w:val="4"/>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J.前后脚垫: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 材质：采用环保聚丙烯共聚塑料注塑成型；</w:t>
            </w:r>
          </w:p>
        </w:tc>
        <w:tc>
          <w:tcPr>
            <w:tcW w:w="12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 前脚垫尺寸：（73mm*38mm*60mm）±5mm；</w:t>
            </w:r>
          </w:p>
          <w:p>
            <w:pPr>
              <w:keepNext w:val="0"/>
              <w:keepLines w:val="0"/>
              <w:widowControl/>
              <w:suppressLineNumbers w:val="0"/>
              <w:ind w:firstLineChars="20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后脚垫尺寸：（104mm*45mm*95mm）±5mm；</w:t>
            </w:r>
          </w:p>
        </w:tc>
        <w:tc>
          <w:tcPr>
            <w:tcW w:w="12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firstLineChars="200"/>
              <w:jc w:val="both"/>
              <w:textAlignment w:val="center"/>
              <w:rPr>
                <w:rFonts w:hint="eastAsia" w:ascii="宋体" w:hAnsi="宋体" w:eastAsia="宋体" w:cs="宋体"/>
                <w:i w:val="0"/>
                <w:iCs w:val="0"/>
                <w:color w:val="000000"/>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firstLineChars="200"/>
              <w:jc w:val="both"/>
              <w:textAlignment w:val="center"/>
              <w:rPr>
                <w:rFonts w:hint="eastAsia" w:ascii="宋体" w:hAnsi="宋体" w:eastAsia="宋体" w:cs="宋体"/>
                <w:i w:val="0"/>
                <w:iCs w:val="0"/>
                <w:color w:val="000000"/>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firstLineChars="20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 功能：脚套底部可加软质防滑脚垫及防倾倒功能设计；</w:t>
            </w:r>
          </w:p>
        </w:tc>
        <w:tc>
          <w:tcPr>
            <w:tcW w:w="12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393" w:type="dxa"/>
            <w:gridSpan w:val="4"/>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K.置物篮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 材质：采用环保聚丙烯共聚塑料注塑成型；</w:t>
            </w:r>
          </w:p>
        </w:tc>
        <w:tc>
          <w:tcPr>
            <w:tcW w:w="12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0"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 尺寸：（360mm*300mm*120mm）±5mm；</w:t>
            </w:r>
          </w:p>
        </w:tc>
        <w:tc>
          <w:tcPr>
            <w:tcW w:w="12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 样式：底部全透气椭圆孔设计，四棱角做半圆弧边处理；</w:t>
            </w:r>
          </w:p>
        </w:tc>
        <w:tc>
          <w:tcPr>
            <w:tcW w:w="12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393" w:type="dxa"/>
            <w:gridSpan w:val="4"/>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L.其他配件: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4"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8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 调节机构：采用手摇隐藏螺杆机械式调节机构调节高低，可调节高度分别为：</w:t>
            </w:r>
          </w:p>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200张课椅可调节高度380mm-460mm；</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 400张课椅可调节高度340mm-420mm。</w:t>
            </w:r>
          </w:p>
        </w:tc>
        <w:tc>
          <w:tcPr>
            <w:tcW w:w="12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bl>
    <w:p>
      <w:pPr>
        <w:rPr>
          <w:sz w:val="24"/>
        </w:rPr>
      </w:pPr>
    </w:p>
    <w:p>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5" w:name="_Hlk72095977"/>
      <w:r>
        <w:rPr>
          <w:rFonts w:hint="eastAsia"/>
          <w:sz w:val="21"/>
          <w:szCs w:val="21"/>
        </w:rPr>
        <w:t>证明资料【如有的话，提供的证明资料应统一编号（排序），格式自定】</w:t>
      </w:r>
      <w:bookmarkEnd w:id="65"/>
      <w:r>
        <w:rPr>
          <w:rFonts w:hint="eastAsia"/>
          <w:sz w:val="21"/>
          <w:szCs w:val="21"/>
        </w:rPr>
        <w:t>：</w:t>
      </w: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6" w:name="_Hlk72094407"/>
      <w:r>
        <w:rPr>
          <w:rFonts w:hint="eastAsia"/>
          <w:b w:val="0"/>
          <w:bCs/>
          <w:sz w:val="21"/>
          <w:szCs w:val="21"/>
        </w:rPr>
        <w:t>对应“用户需求书”中的“技术要求”章节</w:t>
      </w:r>
      <w:bookmarkEnd w:id="66"/>
      <w:r>
        <w:rPr>
          <w:rFonts w:hint="eastAsia"/>
          <w:b w:val="0"/>
          <w:bCs/>
          <w:sz w:val="21"/>
          <w:szCs w:val="21"/>
        </w:rPr>
        <w:t>相关内容。</w:t>
      </w:r>
    </w:p>
    <w:p>
      <w:pPr>
        <w:pStyle w:val="14"/>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7" w:name="_Hlk72158270"/>
      <w:r>
        <w:rPr>
          <w:rFonts w:hint="eastAsia"/>
          <w:b w:val="0"/>
          <w:bCs/>
          <w:sz w:val="21"/>
          <w:szCs w:val="21"/>
        </w:rPr>
        <w:t>“偏离情况”</w:t>
      </w:r>
      <w:bookmarkEnd w:id="67"/>
      <w:r>
        <w:rPr>
          <w:rFonts w:hint="eastAsia"/>
          <w:b w:val="0"/>
          <w:bCs/>
          <w:sz w:val="21"/>
          <w:szCs w:val="21"/>
        </w:rPr>
        <w:t>一栏填写如实填写“正偏离”、“负偏离”或“无偏离”，其中：</w:t>
      </w:r>
      <w:bookmarkStart w:id="68" w:name="_Hlk72093866"/>
      <w:r>
        <w:rPr>
          <w:rFonts w:hint="eastAsia"/>
          <w:b w:val="0"/>
          <w:bCs/>
          <w:sz w:val="21"/>
          <w:szCs w:val="21"/>
        </w:rPr>
        <w:t>“正偏离”表示“投标响应优于招标技术要求”，“负偏离”表示“投标响应不满足招标技术要求”，“无偏离”表示“投标响应与招标技术要求一致”</w:t>
      </w:r>
      <w:bookmarkEnd w:id="68"/>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pPr>
        <w:ind w:firstLine="420" w:firstLineChars="200"/>
        <w:rPr>
          <w:b w:val="0"/>
          <w:bCs/>
          <w:sz w:val="21"/>
          <w:szCs w:val="21"/>
        </w:rPr>
      </w:pPr>
      <w:r>
        <w:rPr>
          <w:rFonts w:hint="eastAsia"/>
          <w:b w:val="0"/>
          <w:bCs/>
          <w:sz w:val="21"/>
          <w:szCs w:val="21"/>
        </w:rPr>
        <w:t>5、</w:t>
      </w:r>
      <w:bookmarkStart w:id="69" w:name="_Hlk72096106"/>
      <w:r>
        <w:rPr>
          <w:rFonts w:hint="eastAsia"/>
          <w:b w:val="0"/>
          <w:bCs/>
          <w:sz w:val="21"/>
          <w:szCs w:val="21"/>
        </w:rPr>
        <w:t>证明资料条款响应要求</w:t>
      </w:r>
      <w:bookmarkEnd w:id="69"/>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0"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1" w:name="_Hlk73558164"/>
      <w:r>
        <w:rPr>
          <w:rFonts w:hint="eastAsia"/>
          <w:b w:val="0"/>
          <w:bCs/>
          <w:sz w:val="21"/>
          <w:szCs w:val="21"/>
        </w:rPr>
        <w:t>且投标人在“偏离情况”一栏响应为“正偏离”或“无偏离”的，经评审委员会认定，将判定为负偏离。</w:t>
      </w:r>
      <w:bookmarkEnd w:id="70"/>
      <w:bookmarkEnd w:id="71"/>
    </w:p>
    <w:p>
      <w:pPr>
        <w:ind w:firstLine="420" w:firstLineChars="200"/>
        <w:rPr>
          <w:b w:val="0"/>
          <w:bCs/>
          <w:sz w:val="21"/>
          <w:szCs w:val="21"/>
        </w:rPr>
      </w:pPr>
      <w:r>
        <w:rPr>
          <w:rFonts w:hint="eastAsia"/>
          <w:b w:val="0"/>
          <w:bCs/>
          <w:sz w:val="21"/>
          <w:szCs w:val="21"/>
        </w:rPr>
        <w:t>6、</w:t>
      </w:r>
      <w:bookmarkStart w:id="72" w:name="_Hlk72096137"/>
      <w:r>
        <w:rPr>
          <w:rFonts w:hint="eastAsia"/>
          <w:b w:val="0"/>
          <w:bCs/>
          <w:sz w:val="21"/>
          <w:szCs w:val="21"/>
        </w:rPr>
        <w:t>表后“证明资料”部分内容的编制</w:t>
      </w:r>
      <w:bookmarkEnd w:id="72"/>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3" w:name="_Hlk73558180"/>
      <w:r>
        <w:rPr>
          <w:rFonts w:hint="eastAsia"/>
          <w:b w:val="0"/>
          <w:bCs/>
          <w:sz w:val="21"/>
          <w:szCs w:val="21"/>
        </w:rPr>
        <w:t>未按照招标文件要求在表后放置证明材料的供应商将承担不利后果，经评审委员会认定，相关技术要求将判定为负偏离。</w:t>
      </w:r>
      <w:bookmarkEnd w:id="73"/>
    </w:p>
    <w:p>
      <w:pPr>
        <w:ind w:firstLine="420" w:firstLineChars="200"/>
        <w:rPr>
          <w:b w:val="0"/>
          <w:bCs/>
          <w:sz w:val="21"/>
          <w:szCs w:val="21"/>
        </w:rPr>
      </w:pPr>
      <w:r>
        <w:rPr>
          <w:rFonts w:hint="eastAsia"/>
          <w:b w:val="0"/>
          <w:bCs/>
          <w:sz w:val="21"/>
          <w:szCs w:val="21"/>
        </w:rPr>
        <w:t>7、</w:t>
      </w:r>
      <w:bookmarkStart w:id="74" w:name="_Hlk72096176"/>
      <w:r>
        <w:rPr>
          <w:rFonts w:hint="eastAsia"/>
          <w:b w:val="0"/>
          <w:bCs/>
          <w:sz w:val="21"/>
          <w:szCs w:val="21"/>
        </w:rPr>
        <w:t>证明资料的形式及其它具体要求</w:t>
      </w:r>
      <w:bookmarkEnd w:id="74"/>
      <w:r>
        <w:rPr>
          <w:rFonts w:hint="eastAsia"/>
          <w:b w:val="0"/>
          <w:bCs/>
          <w:sz w:val="21"/>
          <w:szCs w:val="21"/>
        </w:rPr>
        <w:t>：</w:t>
      </w:r>
    </w:p>
    <w:p>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 w:val="0"/>
          <w:bCs/>
          <w:sz w:val="21"/>
          <w:szCs w:val="21"/>
        </w:rPr>
      </w:pPr>
      <w:r>
        <w:rPr>
          <w:rFonts w:hint="eastAsia"/>
          <w:b w:val="0"/>
          <w:bCs/>
          <w:sz w:val="21"/>
          <w:szCs w:val="21"/>
        </w:rPr>
        <w:t>其它证明资料的形式要求参照以上要求执行；</w:t>
      </w:r>
    </w:p>
    <w:p>
      <w:pPr>
        <w:ind w:firstLine="420" w:firstLineChars="200"/>
        <w:rPr>
          <w:b w:val="0"/>
          <w:bCs/>
          <w:sz w:val="21"/>
          <w:szCs w:val="21"/>
        </w:rPr>
      </w:pPr>
      <w:r>
        <w:rPr>
          <w:rFonts w:hint="eastAsia"/>
          <w:b w:val="0"/>
          <w:bCs/>
          <w:sz w:val="21"/>
          <w:szCs w:val="21"/>
        </w:rPr>
        <w:t>（4）证明资料均要求原件备查。</w:t>
      </w:r>
    </w:p>
    <w:p>
      <w:pPr>
        <w:ind w:firstLine="420" w:firstLineChars="200"/>
        <w:rPr>
          <w:b w:val="0"/>
          <w:bCs/>
          <w:sz w:val="21"/>
          <w:szCs w:val="21"/>
        </w:rPr>
      </w:pPr>
      <w:r>
        <w:rPr>
          <w:rFonts w:hint="eastAsia"/>
          <w:b w:val="0"/>
          <w:bCs/>
          <w:sz w:val="21"/>
          <w:szCs w:val="21"/>
        </w:rPr>
        <w:t>8、其它注意事项：</w:t>
      </w:r>
    </w:p>
    <w:p>
      <w:pPr>
        <w:ind w:firstLine="420" w:firstLineChars="200"/>
        <w:rPr>
          <w:b w:val="0"/>
          <w:bCs/>
          <w:sz w:val="21"/>
          <w:szCs w:val="21"/>
        </w:rPr>
      </w:pPr>
      <w:r>
        <w:rPr>
          <w:rFonts w:hint="eastAsia"/>
          <w:b w:val="0"/>
          <w:bCs/>
          <w:sz w:val="21"/>
          <w:szCs w:val="21"/>
        </w:rPr>
        <w:t>（1）评审委员会有权对投标人的响应情况作出判断（评审结论）；</w:t>
      </w:r>
    </w:p>
    <w:p>
      <w:pPr>
        <w:ind w:firstLine="420" w:firstLineChars="200"/>
        <w:rPr>
          <w:b w:val="0"/>
          <w:bCs/>
          <w:sz w:val="21"/>
          <w:szCs w:val="21"/>
        </w:rPr>
      </w:pPr>
      <w:r>
        <w:rPr>
          <w:rFonts w:hint="eastAsia"/>
          <w:b w:val="0"/>
          <w:bCs/>
          <w:sz w:val="21"/>
          <w:szCs w:val="21"/>
        </w:rPr>
        <w:t>（2）</w:t>
      </w:r>
      <w:bookmarkStart w:id="75"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5"/>
    </w:p>
    <w:p>
      <w:pPr>
        <w:ind w:firstLine="482" w:firstLineChars="200"/>
        <w:rPr>
          <w:b/>
          <w:sz w:val="24"/>
        </w:rPr>
      </w:pPr>
    </w:p>
    <w:p>
      <w:pPr>
        <w:rPr>
          <w:sz w:val="24"/>
        </w:rPr>
      </w:pPr>
    </w:p>
    <w:p>
      <w:pPr>
        <w:ind w:left="718" w:leftChars="342" w:firstLine="1620" w:firstLineChars="675"/>
        <w:outlineLvl w:val="2"/>
        <w:rPr>
          <w:rFonts w:hint="eastAsia" w:ascii="黑体" w:hAnsi="宋体" w:eastAsia="黑体" w:cstheme="minorBidi"/>
          <w:b w:val="0"/>
          <w:bCs w:val="0"/>
          <w:kern w:val="2"/>
          <w:sz w:val="24"/>
          <w:szCs w:val="20"/>
          <w:lang w:val="en-US" w:eastAsia="zh-CN" w:bidi="ar-SA"/>
        </w:rPr>
      </w:pPr>
      <w:r>
        <w:rPr>
          <w:rFonts w:hint="eastAsia" w:ascii="黑体" w:eastAsia="黑体"/>
          <w:b w:val="0"/>
          <w:bCs w:val="0"/>
          <w:sz w:val="24"/>
          <w:szCs w:val="20"/>
          <w:lang w:val="en-US" w:eastAsia="zh-CN"/>
        </w:rPr>
        <w:t>六</w:t>
      </w:r>
      <w:r>
        <w:rPr>
          <w:rFonts w:hint="eastAsia" w:ascii="黑体" w:eastAsia="黑体"/>
          <w:b w:val="0"/>
          <w:bCs w:val="0"/>
          <w:sz w:val="24"/>
          <w:szCs w:val="20"/>
        </w:rPr>
        <w:t>、</w:t>
      </w:r>
      <w:bookmarkStart w:id="76" w:name="_Hlk72260576"/>
      <w:r>
        <w:rPr>
          <w:rFonts w:hint="eastAsia" w:ascii="黑体" w:hAnsi="宋体" w:eastAsia="黑体" w:cstheme="minorBidi"/>
          <w:b w:val="0"/>
          <w:bCs w:val="0"/>
          <w:kern w:val="2"/>
          <w:sz w:val="24"/>
          <w:szCs w:val="20"/>
          <w:lang w:val="en-US" w:eastAsia="zh-CN" w:bidi="ar-SA"/>
        </w:rPr>
        <w:t>绿色采购情况</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left="718" w:leftChars="342" w:firstLine="1620" w:firstLineChars="675"/>
        <w:rPr>
          <w:rFonts w:hint="eastAsia" w:ascii="黑体" w:hAnsi="宋体" w:eastAsia="黑体" w:cstheme="minorBidi"/>
          <w:b w:val="0"/>
          <w:bCs w:val="0"/>
          <w:kern w:val="2"/>
          <w:sz w:val="24"/>
          <w:szCs w:val="20"/>
          <w:lang w:val="en-US" w:eastAsia="zh-CN" w:bidi="ar-SA"/>
        </w:rPr>
      </w:pPr>
    </w:p>
    <w:p>
      <w:pPr>
        <w:ind w:left="718" w:leftChars="342" w:firstLine="1620" w:firstLineChars="675"/>
        <w:outlineLvl w:val="2"/>
        <w:rPr>
          <w:rFonts w:hint="eastAsia" w:ascii="黑体" w:hAnsi="宋体" w:eastAsia="黑体" w:cstheme="minorBidi"/>
          <w:b w:val="0"/>
          <w:bCs w:val="0"/>
          <w:kern w:val="2"/>
          <w:sz w:val="24"/>
          <w:szCs w:val="20"/>
          <w:lang w:val="en-US" w:eastAsia="zh-CN" w:bidi="ar-SA"/>
        </w:rPr>
      </w:pPr>
      <w:r>
        <w:rPr>
          <w:rFonts w:hint="eastAsia" w:ascii="黑体" w:hAnsi="宋体" w:eastAsia="黑体" w:cstheme="minorBidi"/>
          <w:b w:val="0"/>
          <w:bCs w:val="0"/>
          <w:kern w:val="2"/>
          <w:sz w:val="24"/>
          <w:szCs w:val="20"/>
          <w:lang w:val="en-US" w:eastAsia="zh-CN" w:bidi="ar-SA"/>
        </w:rPr>
        <w:t>七、项目组织实施方案的评价</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left="718" w:leftChars="342" w:firstLine="1620" w:firstLineChars="675"/>
        <w:rPr>
          <w:rFonts w:hint="eastAsia" w:ascii="黑体" w:hAnsi="宋体" w:eastAsia="黑体" w:cstheme="minorBidi"/>
          <w:b w:val="0"/>
          <w:bCs w:val="0"/>
          <w:kern w:val="2"/>
          <w:sz w:val="24"/>
          <w:szCs w:val="20"/>
          <w:lang w:val="en-US" w:eastAsia="zh-CN" w:bidi="ar-SA"/>
        </w:rPr>
      </w:pPr>
    </w:p>
    <w:p>
      <w:pPr>
        <w:ind w:left="718" w:leftChars="342" w:firstLine="1620" w:firstLineChars="675"/>
        <w:outlineLvl w:val="2"/>
        <w:rPr>
          <w:rFonts w:hint="eastAsia" w:ascii="黑体" w:hAnsi="宋体" w:eastAsia="黑体" w:cstheme="minorBidi"/>
          <w:b w:val="0"/>
          <w:bCs w:val="0"/>
          <w:kern w:val="2"/>
          <w:sz w:val="24"/>
          <w:szCs w:val="20"/>
          <w:lang w:val="en-US" w:eastAsia="zh-CN" w:bidi="ar-SA"/>
        </w:rPr>
      </w:pPr>
      <w:r>
        <w:rPr>
          <w:rFonts w:hint="eastAsia" w:ascii="黑体" w:hAnsi="宋体" w:eastAsia="黑体" w:cstheme="minorBidi"/>
          <w:b w:val="0"/>
          <w:bCs w:val="0"/>
          <w:kern w:val="2"/>
          <w:sz w:val="24"/>
          <w:szCs w:val="20"/>
          <w:lang w:val="en-US" w:eastAsia="zh-CN" w:bidi="ar-SA"/>
        </w:rPr>
        <w:t>八、售后服务评价</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left="718" w:leftChars="342" w:firstLine="1620" w:firstLineChars="675"/>
        <w:rPr>
          <w:rFonts w:hint="eastAsia" w:ascii="黑体" w:hAnsi="宋体" w:eastAsia="黑体" w:cstheme="minorBidi"/>
          <w:b w:val="0"/>
          <w:bCs w:val="0"/>
          <w:kern w:val="2"/>
          <w:sz w:val="24"/>
          <w:szCs w:val="20"/>
          <w:lang w:val="en-US" w:eastAsia="zh-CN" w:bidi="ar-SA"/>
        </w:rPr>
      </w:pPr>
    </w:p>
    <w:p>
      <w:pPr>
        <w:ind w:left="718" w:leftChars="342" w:firstLine="1620" w:firstLineChars="675"/>
        <w:outlineLvl w:val="2"/>
        <w:rPr>
          <w:rFonts w:hint="eastAsia" w:ascii="黑体" w:hAnsi="宋体" w:eastAsia="黑体" w:cstheme="minorBidi"/>
          <w:b w:val="0"/>
          <w:bCs w:val="0"/>
          <w:kern w:val="2"/>
          <w:sz w:val="24"/>
          <w:szCs w:val="20"/>
          <w:lang w:val="en-US" w:eastAsia="zh-CN" w:bidi="ar-SA"/>
        </w:rPr>
      </w:pPr>
      <w:r>
        <w:rPr>
          <w:rFonts w:hint="eastAsia" w:ascii="黑体" w:hAnsi="宋体" w:eastAsia="黑体" w:cstheme="minorBidi"/>
          <w:b w:val="0"/>
          <w:bCs w:val="0"/>
          <w:kern w:val="2"/>
          <w:sz w:val="24"/>
          <w:szCs w:val="20"/>
          <w:lang w:val="en-US" w:eastAsia="zh-CN" w:bidi="ar-SA"/>
        </w:rPr>
        <w:t>九、样品情况</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left="718" w:leftChars="342" w:firstLine="1620" w:firstLineChars="675"/>
        <w:rPr>
          <w:rFonts w:hint="eastAsia" w:ascii="黑体" w:hAnsi="宋体" w:eastAsia="黑体" w:cstheme="minorBidi"/>
          <w:b w:val="0"/>
          <w:bCs w:val="0"/>
          <w:kern w:val="2"/>
          <w:sz w:val="24"/>
          <w:szCs w:val="20"/>
          <w:lang w:val="en-US" w:eastAsia="zh-CN" w:bidi="ar-SA"/>
        </w:rPr>
      </w:pPr>
    </w:p>
    <w:p>
      <w:pPr>
        <w:ind w:left="718" w:leftChars="342" w:firstLine="1620" w:firstLineChars="675"/>
        <w:outlineLvl w:val="2"/>
        <w:rPr>
          <w:rFonts w:hint="eastAsia" w:ascii="黑体" w:hAnsi="宋体" w:eastAsia="黑体" w:cstheme="minorBidi"/>
          <w:b w:val="0"/>
          <w:bCs w:val="0"/>
          <w:kern w:val="2"/>
          <w:sz w:val="24"/>
          <w:szCs w:val="20"/>
          <w:lang w:val="en-US" w:eastAsia="zh-CN" w:bidi="ar-SA"/>
        </w:rPr>
      </w:pPr>
      <w:r>
        <w:rPr>
          <w:rFonts w:hint="eastAsia" w:ascii="黑体" w:hAnsi="宋体" w:eastAsia="黑体" w:cstheme="minorBidi"/>
          <w:b w:val="0"/>
          <w:bCs w:val="0"/>
          <w:kern w:val="2"/>
          <w:sz w:val="24"/>
          <w:szCs w:val="20"/>
          <w:lang w:val="en-US" w:eastAsia="zh-CN" w:bidi="ar-SA"/>
        </w:rPr>
        <w:t>十、产品质量评价</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
      <w:pPr>
        <w:pStyle w:val="3"/>
        <w:jc w:val="center"/>
        <w:rPr>
          <w:rFonts w:ascii="黑体" w:eastAsia="黑体"/>
          <w:b w:val="0"/>
          <w:bCs w:val="0"/>
          <w:sz w:val="24"/>
          <w:szCs w:val="20"/>
        </w:rPr>
      </w:pPr>
      <w:r>
        <w:rPr>
          <w:rFonts w:hint="eastAsia" w:ascii="黑体" w:eastAsia="黑体"/>
          <w:b w:val="0"/>
          <w:bCs w:val="0"/>
          <w:sz w:val="24"/>
          <w:szCs w:val="20"/>
          <w:lang w:val="en-US" w:eastAsia="zh-CN"/>
        </w:rPr>
        <w:t>十一</w:t>
      </w:r>
      <w:r>
        <w:rPr>
          <w:rFonts w:hint="eastAsia" w:ascii="黑体" w:eastAsia="黑体"/>
          <w:b w:val="0"/>
          <w:bCs w:val="0"/>
          <w:sz w:val="24"/>
          <w:szCs w:val="20"/>
        </w:rPr>
        <w:t>、</w:t>
      </w:r>
      <w:bookmarkStart w:id="77" w:name="_Hlk72062872"/>
      <w:r>
        <w:rPr>
          <w:rFonts w:hint="eastAsia" w:ascii="黑体" w:eastAsia="黑体"/>
          <w:b w:val="0"/>
          <w:bCs w:val="0"/>
          <w:sz w:val="24"/>
          <w:szCs w:val="20"/>
        </w:rPr>
        <w:t>投标人认为需要加以说明的其他内容</w:t>
      </w:r>
      <w:bookmarkEnd w:id="77"/>
    </w:p>
    <w:bookmarkEnd w:id="76"/>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pPr>
        <w:widowControl/>
        <w:wordWrap/>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lang w:eastAsia="zh-CN"/>
        </w:rPr>
      </w:pP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pPr>
        <w:widowControl/>
        <w:wordWrap/>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5"/>
        <w:jc w:val="center"/>
      </w:pPr>
      <w:r>
        <w:rPr>
          <w:rFonts w:hint="eastAsia"/>
        </w:rPr>
        <w:t>第五章  合同条款及格式</w:t>
      </w:r>
    </w:p>
    <w:p/>
    <w:p>
      <w:pPr>
        <w:jc w:val="center"/>
        <w:outlineLvl w:val="9"/>
      </w:pPr>
      <w:bookmarkStart w:id="78" w:name="_Toc3995"/>
      <w:r>
        <w:rPr>
          <w:rFonts w:hint="eastAsia"/>
          <w:b/>
          <w:sz w:val="24"/>
        </w:rPr>
        <w:t>（仅供参考，具体以项目需求及采购结果为准）</w:t>
      </w:r>
    </w:p>
    <w:p>
      <w:pPr>
        <w:widowControl w:val="0"/>
        <w:spacing w:after="0"/>
        <w:jc w:val="center"/>
        <w:rPr>
          <w:rFonts w:ascii="宋体" w:hAnsi="宋体" w:eastAsia="宋体" w:cs="宋体"/>
          <w:b/>
          <w:bCs/>
          <w:spacing w:val="-20"/>
          <w:kern w:val="44"/>
          <w:sz w:val="48"/>
          <w:szCs w:val="48"/>
          <w:lang w:val="en-US" w:eastAsia="zh-CN" w:bidi="ar-SA"/>
        </w:rPr>
      </w:pPr>
    </w:p>
    <w:p>
      <w:pPr>
        <w:widowControl w:val="0"/>
        <w:spacing w:after="0"/>
        <w:jc w:val="center"/>
        <w:rPr>
          <w:rFonts w:ascii="宋体" w:hAnsi="宋体" w:eastAsia="宋体" w:cs="宋体"/>
          <w:b/>
          <w:bCs/>
          <w:spacing w:val="-20"/>
          <w:kern w:val="44"/>
          <w:sz w:val="48"/>
          <w:szCs w:val="48"/>
          <w:lang w:val="en-US" w:eastAsia="zh-CN" w:bidi="ar-SA"/>
        </w:rPr>
      </w:pPr>
    </w:p>
    <w:p>
      <w:pPr>
        <w:pStyle w:val="7"/>
        <w:rPr>
          <w:lang w:val="en-US" w:eastAsia="zh-CN"/>
        </w:rPr>
      </w:pP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8"/>
    <w:p>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9" w:name="_Toc22209"/>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9"/>
    </w:p>
    <w:p>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beforeLines="0" w:line="400" w:lineRule="exact"/>
        <w:rPr>
          <w:rFonts w:hint="default" w:eastAsia="宋体"/>
          <w:lang w:val="en-US" w:eastAsia="zh-CN"/>
        </w:rPr>
      </w:pP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pPr>
        <w:numPr>
          <w:ilvl w:val="0"/>
          <w:numId w:val="14"/>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pPr>
        <w:widowControl w:val="0"/>
        <w:numPr>
          <w:ilvl w:val="0"/>
          <w:numId w:val="15"/>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14"/>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14"/>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14"/>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16"/>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pPr>
        <w:numPr>
          <w:ilvl w:val="0"/>
          <w:numId w:val="14"/>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pPr>
        <w:numPr>
          <w:ilvl w:val="0"/>
          <w:numId w:val="14"/>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14"/>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pPr>
        <w:rPr>
          <w:rFonts w:hint="eastAsia" w:eastAsia="宋体"/>
        </w:rPr>
      </w:pPr>
      <w:r>
        <w:rPr>
          <w:rFonts w:hint="eastAsia" w:eastAsia="宋体"/>
        </w:rPr>
        <w:br w:type="page"/>
      </w:r>
    </w:p>
    <w:p>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0" w:name="_Toc27624"/>
      <w:r>
        <w:rPr>
          <w:rFonts w:hint="eastAsia" w:ascii="黑体" w:hAnsi="黑体" w:eastAsia="黑体" w:cs="Times New Roman"/>
          <w:b w:val="0"/>
          <w:bCs w:val="0"/>
          <w:kern w:val="2"/>
          <w:sz w:val="28"/>
          <w:szCs w:val="28"/>
          <w:lang w:val="en-US" w:eastAsia="zh-CN" w:bidi="ar-SA"/>
        </w:rPr>
        <w:t>第二节 政府采购合同通用条款</w:t>
      </w:r>
      <w:bookmarkEnd w:id="80"/>
    </w:p>
    <w:p>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numPr>
          <w:ilvl w:val="0"/>
          <w:numId w:val="17"/>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pPr>
        <w:numPr>
          <w:ilvl w:val="0"/>
          <w:numId w:val="18"/>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1"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1"/>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pPr>
        <w:numPr>
          <w:ilvl w:val="0"/>
          <w:numId w:val="19"/>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pPr>
        <w:numPr>
          <w:ilvl w:val="0"/>
          <w:numId w:val="20"/>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2"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2"/>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1"/>
        <w:keepNext/>
        <w:keepLines/>
        <w:numPr>
          <w:ilvl w:val="0"/>
          <w:numId w:val="2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3" w:name="_Hlk72399513"/>
      <w:bookmarkStart w:id="84" w:name="_Hlk72439706"/>
      <w:r>
        <w:rPr>
          <w:rFonts w:hint="eastAsia" w:asciiTheme="majorHAnsi" w:hAnsiTheme="majorHAnsi" w:eastAsiaTheme="majorEastAsia" w:cstheme="majorBidi"/>
          <w:b/>
          <w:bCs/>
          <w:sz w:val="28"/>
          <w:szCs w:val="28"/>
        </w:rPr>
        <w:t>总则</w:t>
      </w:r>
    </w:p>
    <w:bookmarkEnd w:id="83"/>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5" w:name="_Hlk72399729"/>
      <w:r>
        <w:rPr>
          <w:rFonts w:hint="eastAsia" w:ascii="宋体" w:hAnsi="宋体"/>
          <w:szCs w:val="21"/>
        </w:rPr>
        <w:t>如有需要，政府集中采购机构可以对通用条款的内容进行补充。</w:t>
      </w:r>
      <w:bookmarkEnd w:id="85"/>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86"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7"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7"/>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6"/>
    <w:p>
      <w:pPr>
        <w:ind w:firstLine="411" w:firstLineChars="196"/>
        <w:rPr>
          <w:rFonts w:ascii="宋体" w:hAnsi="宋体"/>
        </w:rPr>
      </w:pPr>
    </w:p>
    <w:p>
      <w:pPr>
        <w:pStyle w:val="31"/>
        <w:keepNext/>
        <w:keepLines/>
        <w:numPr>
          <w:ilvl w:val="0"/>
          <w:numId w:val="2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8"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8"/>
    </w:p>
    <w:p>
      <w:pPr>
        <w:rPr>
          <w:rFonts w:ascii="宋体" w:hAnsi="宋体"/>
          <w:szCs w:val="21"/>
        </w:rPr>
      </w:pPr>
    </w:p>
    <w:p>
      <w:pPr>
        <w:pStyle w:val="31"/>
        <w:keepNext/>
        <w:keepLines/>
        <w:numPr>
          <w:ilvl w:val="0"/>
          <w:numId w:val="2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89"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9"/>
    <w:p>
      <w:pPr>
        <w:ind w:firstLine="420" w:firstLineChars="200"/>
        <w:rPr>
          <w:rFonts w:ascii="黑体" w:hAnsi="宋体" w:eastAsia="黑体"/>
          <w:szCs w:val="21"/>
        </w:rPr>
      </w:pPr>
      <w:r>
        <w:rPr>
          <w:rFonts w:hint="eastAsia" w:ascii="黑体" w:hAnsi="宋体" w:eastAsia="黑体"/>
          <w:szCs w:val="21"/>
        </w:rPr>
        <w:t>15．</w:t>
      </w:r>
      <w:bookmarkStart w:id="90"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90"/>
    <w:p>
      <w:pPr>
        <w:ind w:firstLine="420" w:firstLineChars="200"/>
        <w:rPr>
          <w:rFonts w:ascii="黑体" w:hAnsi="宋体" w:eastAsia="黑体"/>
          <w:szCs w:val="21"/>
        </w:rPr>
      </w:pPr>
      <w:r>
        <w:rPr>
          <w:rFonts w:hint="eastAsia" w:ascii="黑体" w:hAnsi="宋体" w:eastAsia="黑体"/>
          <w:szCs w:val="21"/>
        </w:rPr>
        <w:t>18．</w:t>
      </w:r>
      <w:bookmarkStart w:id="91"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1"/>
    <w:p>
      <w:pPr>
        <w:ind w:firstLine="420" w:firstLineChars="200"/>
        <w:rPr>
          <w:rFonts w:ascii="黑体" w:hAnsi="宋体" w:eastAsia="黑体"/>
          <w:szCs w:val="21"/>
        </w:rPr>
      </w:pPr>
      <w:r>
        <w:rPr>
          <w:rFonts w:hint="eastAsia" w:ascii="黑体" w:hAnsi="宋体" w:eastAsia="黑体"/>
          <w:szCs w:val="21"/>
        </w:rPr>
        <w:t>19．</w:t>
      </w:r>
      <w:bookmarkStart w:id="92"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3" w:name="_Hlk71407299"/>
    </w:p>
    <w:bookmarkEnd w:id="93"/>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92"/>
    <w:p>
      <w:pPr>
        <w:ind w:firstLine="420" w:firstLineChars="200"/>
        <w:rPr>
          <w:rFonts w:ascii="宋体" w:hAnsi="宋体"/>
          <w:szCs w:val="21"/>
        </w:rPr>
      </w:pPr>
      <w:bookmarkStart w:id="94"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4"/>
    <w:p>
      <w:pPr>
        <w:ind w:firstLine="420" w:firstLineChars="200"/>
        <w:rPr>
          <w:rFonts w:ascii="黑体" w:hAnsi="宋体" w:eastAsia="黑体"/>
          <w:szCs w:val="21"/>
        </w:rPr>
      </w:pPr>
      <w:r>
        <w:rPr>
          <w:rFonts w:hint="eastAsia" w:ascii="黑体" w:hAnsi="宋体" w:eastAsia="黑体"/>
          <w:szCs w:val="21"/>
        </w:rPr>
        <w:t>21．</w:t>
      </w:r>
      <w:bookmarkStart w:id="95"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5"/>
    <w:p>
      <w:pPr>
        <w:ind w:firstLine="420" w:firstLineChars="200"/>
        <w:rPr>
          <w:rFonts w:ascii="黑体" w:hAnsi="宋体" w:eastAsia="黑体"/>
          <w:szCs w:val="21"/>
        </w:rPr>
      </w:pPr>
      <w:r>
        <w:rPr>
          <w:rFonts w:hint="eastAsia" w:ascii="黑体" w:hAnsi="宋体" w:eastAsia="黑体"/>
          <w:szCs w:val="21"/>
        </w:rPr>
        <w:t>23．</w:t>
      </w:r>
      <w:bookmarkStart w:id="96"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6"/>
    </w:p>
    <w:p>
      <w:pPr>
        <w:ind w:firstLine="411" w:firstLineChars="196"/>
        <w:rPr>
          <w:rFonts w:ascii="宋体" w:hAnsi="宋体"/>
          <w:szCs w:val="21"/>
        </w:rPr>
      </w:pPr>
    </w:p>
    <w:p>
      <w:pPr>
        <w:pStyle w:val="31"/>
        <w:keepNext/>
        <w:keepLines/>
        <w:numPr>
          <w:ilvl w:val="0"/>
          <w:numId w:val="2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97"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7"/>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98"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8"/>
    <w:p>
      <w:pPr>
        <w:pStyle w:val="31"/>
        <w:keepNext/>
        <w:keepLines/>
        <w:numPr>
          <w:ilvl w:val="0"/>
          <w:numId w:val="2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1"/>
        <w:keepNext/>
        <w:keepLines/>
        <w:numPr>
          <w:ilvl w:val="0"/>
          <w:numId w:val="2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99"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9"/>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1"/>
        <w:keepNext/>
        <w:keepLines/>
        <w:numPr>
          <w:ilvl w:val="0"/>
          <w:numId w:val="2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100"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0"/>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101" w:name="_Toc73518151"/>
      <w:bookmarkStart w:id="102" w:name="_Toc73517673"/>
      <w:bookmarkStart w:id="103" w:name="_Toc73521669"/>
      <w:bookmarkStart w:id="104" w:name="_Toc73521581"/>
      <w:bookmarkStart w:id="105" w:name="_Toc100052400"/>
      <w:r>
        <w:rPr>
          <w:rFonts w:hint="eastAsia" w:ascii="黑体" w:hAnsi="宋体" w:eastAsia="黑体"/>
          <w:szCs w:val="21"/>
        </w:rPr>
        <w:t>34．错误的修正</w:t>
      </w:r>
      <w:bookmarkEnd w:id="101"/>
      <w:bookmarkEnd w:id="102"/>
      <w:bookmarkEnd w:id="103"/>
      <w:bookmarkEnd w:id="104"/>
      <w:bookmarkEnd w:id="105"/>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06"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6"/>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1"/>
        <w:keepNext/>
        <w:keepLines/>
        <w:numPr>
          <w:ilvl w:val="0"/>
          <w:numId w:val="2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07"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8" w:name="_Hlk73821177"/>
      <w:r>
        <w:rPr>
          <w:rFonts w:hint="eastAsia" w:ascii="ˎ̥" w:hAnsi="ˎ̥"/>
          <w:szCs w:val="21"/>
        </w:rPr>
        <w:t>唯一候选中标供应商</w:t>
      </w:r>
      <w:bookmarkEnd w:id="108"/>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09"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10"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9"/>
      <w:bookmarkEnd w:id="110"/>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07"/>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11"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1"/>
      <w:bookmarkStart w:id="112"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2"/>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3"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3"/>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14" w:name="_Hlk71407340"/>
      <w:r>
        <w:rPr>
          <w:rFonts w:hint="eastAsia" w:ascii="宋体" w:hAnsi="宋体"/>
          <w:szCs w:val="21"/>
        </w:rPr>
        <w:t>41.3因质疑投诉或其他原因导致项目结果变更或采购终止的，政府集中采购机构有权吊销中标通知书。</w:t>
      </w:r>
    </w:p>
    <w:bookmarkEnd w:id="114"/>
    <w:p>
      <w:pPr>
        <w:ind w:firstLine="411" w:firstLineChars="196"/>
        <w:rPr>
          <w:rFonts w:ascii="宋体" w:hAnsi="宋体"/>
          <w:szCs w:val="21"/>
        </w:rPr>
      </w:pPr>
    </w:p>
    <w:p>
      <w:pPr>
        <w:pStyle w:val="31"/>
        <w:keepNext/>
        <w:keepLines/>
        <w:numPr>
          <w:ilvl w:val="0"/>
          <w:numId w:val="2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1"/>
        <w:keepNext/>
        <w:keepLines/>
        <w:numPr>
          <w:ilvl w:val="0"/>
          <w:numId w:val="2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5" w:name="_Hlk72439043"/>
      <w:r>
        <w:rPr>
          <w:rFonts w:hint="eastAsia" w:asciiTheme="majorHAnsi" w:hAnsiTheme="majorHAnsi" w:eastAsiaTheme="majorEastAsia" w:cstheme="majorBidi"/>
          <w:b/>
          <w:bCs/>
          <w:sz w:val="28"/>
          <w:szCs w:val="28"/>
        </w:rPr>
        <w:t>合同的授予与备案</w:t>
      </w:r>
      <w:bookmarkEnd w:id="115"/>
    </w:p>
    <w:p>
      <w:pPr>
        <w:ind w:firstLine="420" w:firstLineChars="200"/>
        <w:rPr>
          <w:rFonts w:ascii="黑体" w:hAnsi="宋体" w:eastAsia="黑体"/>
          <w:szCs w:val="21"/>
        </w:rPr>
      </w:pPr>
      <w:bookmarkStart w:id="116" w:name="_Toc73517679"/>
      <w:bookmarkStart w:id="117" w:name="_Toc100052408"/>
      <w:bookmarkStart w:id="118" w:name="_Toc73521586"/>
      <w:bookmarkStart w:id="119" w:name="_Toc73521674"/>
      <w:bookmarkStart w:id="120" w:name="_Toc73518157"/>
      <w:bookmarkStart w:id="121" w:name="_Hlk72439088"/>
      <w:r>
        <w:rPr>
          <w:rFonts w:hint="eastAsia" w:ascii="黑体" w:hAnsi="宋体" w:eastAsia="黑体"/>
          <w:szCs w:val="21"/>
        </w:rPr>
        <w:t>43．合同授予标准</w:t>
      </w:r>
      <w:bookmarkEnd w:id="116"/>
      <w:bookmarkEnd w:id="117"/>
      <w:bookmarkEnd w:id="118"/>
      <w:bookmarkEnd w:id="119"/>
      <w:bookmarkEnd w:id="120"/>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22" w:name="_Toc73518158"/>
      <w:bookmarkStart w:id="123" w:name="_Toc73517680"/>
      <w:bookmarkStart w:id="124" w:name="_Toc73521675"/>
      <w:bookmarkStart w:id="125" w:name="_Toc73521587"/>
      <w:bookmarkStart w:id="126" w:name="_Toc100052409"/>
      <w:r>
        <w:rPr>
          <w:rFonts w:hint="eastAsia" w:ascii="黑体" w:hAnsi="宋体" w:eastAsia="黑体"/>
          <w:szCs w:val="21"/>
        </w:rPr>
        <w:t>44．</w:t>
      </w:r>
      <w:bookmarkEnd w:id="122"/>
      <w:bookmarkEnd w:id="123"/>
      <w:bookmarkEnd w:id="124"/>
      <w:bookmarkEnd w:id="125"/>
      <w:bookmarkEnd w:id="126"/>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27" w:name="_Toc73521589"/>
      <w:bookmarkStart w:id="128" w:name="_Toc73521677"/>
      <w:bookmarkStart w:id="129" w:name="_Toc73518160"/>
      <w:bookmarkStart w:id="130" w:name="_Toc73517682"/>
      <w:bookmarkStart w:id="131" w:name="_Toc100052410"/>
      <w:r>
        <w:rPr>
          <w:rFonts w:hint="eastAsia" w:ascii="黑体" w:hAnsi="宋体" w:eastAsia="黑体"/>
          <w:szCs w:val="21"/>
        </w:rPr>
        <w:t>45．合同的签订</w:t>
      </w:r>
      <w:bookmarkEnd w:id="127"/>
      <w:bookmarkEnd w:id="128"/>
      <w:bookmarkEnd w:id="129"/>
      <w:bookmarkEnd w:id="130"/>
      <w:bookmarkEnd w:id="131"/>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32" w:name="_Toc73521590"/>
      <w:bookmarkStart w:id="133" w:name="_Toc73521678"/>
      <w:bookmarkStart w:id="134" w:name="_Toc73518161"/>
      <w:bookmarkStart w:id="135" w:name="_Toc73517683"/>
      <w:bookmarkStart w:id="136" w:name="_Toc100052411"/>
      <w:r>
        <w:rPr>
          <w:rFonts w:hint="eastAsia" w:ascii="黑体" w:hAnsi="宋体" w:eastAsia="黑体"/>
          <w:szCs w:val="21"/>
        </w:rPr>
        <w:t>46．履约担保</w:t>
      </w:r>
      <w:bookmarkEnd w:id="132"/>
      <w:bookmarkEnd w:id="133"/>
      <w:bookmarkEnd w:id="134"/>
      <w:bookmarkEnd w:id="135"/>
      <w:bookmarkEnd w:id="136"/>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7" w:name="_Hlk72440769"/>
      <w:r>
        <w:rPr>
          <w:rFonts w:hint="eastAsia" w:ascii="宋体" w:hAnsi="宋体"/>
          <w:szCs w:val="21"/>
        </w:rPr>
        <w:t>政府集中采购机构或采购人不予退还其交纳的谈判保证金，情节严重的，并由主管部门</w:t>
      </w:r>
      <w:bookmarkEnd w:id="137"/>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7"/>
      </w:pPr>
    </w:p>
    <w:bookmarkEnd w:id="121"/>
    <w:p>
      <w:pPr>
        <w:pStyle w:val="31"/>
        <w:keepNext/>
        <w:keepLines/>
        <w:numPr>
          <w:ilvl w:val="0"/>
          <w:numId w:val="2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8" w:name="_Hlk75374941"/>
      <w:r>
        <w:rPr>
          <w:rFonts w:hint="eastAsia" w:ascii="宋体" w:hAnsi="宋体"/>
          <w:szCs w:val="21"/>
        </w:rPr>
        <w:t>以联合体形式参与的，质疑应当由组成联合体的所有成员共同提出</w:t>
      </w:r>
      <w:bookmarkEnd w:id="138"/>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84"/>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4F04EBC-8067-4473-853F-2F5D0C284455}"/>
  </w:font>
  <w:font w:name="Arial">
    <w:panose1 w:val="020B0604020202020204"/>
    <w:charset w:val="01"/>
    <w:family w:val="swiss"/>
    <w:pitch w:val="default"/>
    <w:sig w:usb0="E0002EFF" w:usb1="C000785B" w:usb2="00000009" w:usb3="00000000" w:csb0="400001FF" w:csb1="FFFF0000"/>
    <w:embedRegular r:id="rId2" w:fontKey="{92A4EEBB-3FA1-49F0-892F-D20FC10B5449}"/>
  </w:font>
  <w:font w:name="黑体">
    <w:panose1 w:val="02010609060101010101"/>
    <w:charset w:val="86"/>
    <w:family w:val="auto"/>
    <w:pitch w:val="default"/>
    <w:sig w:usb0="800002BF" w:usb1="38CF7CFA" w:usb2="00000016" w:usb3="00000000" w:csb0="00040001" w:csb1="00000000"/>
    <w:embedRegular r:id="rId3" w:fontKey="{ADA994DA-A192-4652-99FE-BCF117892240}"/>
  </w:font>
  <w:font w:name="Courier New">
    <w:panose1 w:val="02070309020205020404"/>
    <w:charset w:val="01"/>
    <w:family w:val="modern"/>
    <w:pitch w:val="default"/>
    <w:sig w:usb0="E0002EFF" w:usb1="C0007843" w:usb2="00000009" w:usb3="00000000" w:csb0="400001FF" w:csb1="FFFF0000"/>
    <w:embedRegular r:id="rId4" w:fontKey="{31E481AE-79FD-4651-9945-8FCEC74B0FB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3FDC30BA-F42E-4810-9752-10967433B4B9}"/>
  </w:font>
  <w:font w:name="Cambria">
    <w:panose1 w:val="02040503050406030204"/>
    <w:charset w:val="00"/>
    <w:family w:val="roman"/>
    <w:pitch w:val="default"/>
    <w:sig w:usb0="E00006FF" w:usb1="420024FF" w:usb2="02000000" w:usb3="00000000" w:csb0="2000019F" w:csb1="00000000"/>
    <w:embedRegular r:id="rId6" w:fontKey="{33FD89C8-46AB-4345-B36C-FC2C31B0C30C}"/>
  </w:font>
  <w:font w:name="隶书">
    <w:panose1 w:val="0201050906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embedRegular r:id="rId7" w:fontKey="{20F80647-D26A-4270-8108-D7C85B9C9809}"/>
  </w:font>
  <w:font w:name="仿宋_GB2312">
    <w:panose1 w:val="02010609030101010101"/>
    <w:charset w:val="86"/>
    <w:family w:val="auto"/>
    <w:pitch w:val="default"/>
    <w:sig w:usb0="00000001" w:usb1="080E0000" w:usb2="00000000" w:usb3="00000000" w:csb0="00040000" w:csb1="00000000"/>
    <w:embedRegular r:id="rId8" w:fontKey="{021851D4-5BFE-46F2-BDEF-BBCB052C54E7}"/>
  </w:font>
  <w:font w:name="华文仿宋">
    <w:panose1 w:val="02010600040101010101"/>
    <w:charset w:val="86"/>
    <w:family w:val="auto"/>
    <w:pitch w:val="default"/>
    <w:sig w:usb0="00000287" w:usb1="080F0000" w:usb2="00000000" w:usb3="00000000" w:csb0="0004009F" w:csb1="DFD70000"/>
    <w:embedRegular r:id="rId9" w:fontKey="{5CA84DEB-30A6-4703-B12F-27F604E3737C}"/>
  </w:font>
  <w:font w:name="楷体_GB2312">
    <w:panose1 w:val="02010609030101010101"/>
    <w:charset w:val="86"/>
    <w:family w:val="auto"/>
    <w:pitch w:val="default"/>
    <w:sig w:usb0="00000001" w:usb1="080E0000" w:usb2="00000000" w:usb3="00000000" w:csb0="00040000" w:csb1="00000000"/>
    <w:embedRegular r:id="rId10" w:fontKey="{0A9D2D4E-66B9-4747-AA46-CB83F64031ED}"/>
  </w:font>
  <w:font w:name="方正仿宋_GBK">
    <w:panose1 w:val="02000000000000000000"/>
    <w:charset w:val="86"/>
    <w:family w:val="auto"/>
    <w:pitch w:val="default"/>
    <w:sig w:usb0="A00002BF" w:usb1="38CF7CFA" w:usb2="00082016" w:usb3="00000000" w:csb0="00040001" w:csb1="00000000"/>
    <w:embedRegular r:id="rId11" w:fontKey="{FB47DD80-7BB0-48A7-B420-CF118753F067}"/>
  </w:font>
  <w:font w:name="华文中宋">
    <w:panose1 w:val="02010600040101010101"/>
    <w:charset w:val="86"/>
    <w:family w:val="auto"/>
    <w:pitch w:val="default"/>
    <w:sig w:usb0="00000287" w:usb1="080F0000" w:usb2="00000000" w:usb3="00000000" w:csb0="0004009F" w:csb1="DFD70000"/>
    <w:embedRegular r:id="rId12" w:fontKey="{D4964EDE-2B68-4FF7-8ADF-982A3E64C9E7}"/>
  </w:font>
  <w:font w:name="汉仪书宋二S">
    <w:panose1 w:val="00020600040101010101"/>
    <w:charset w:val="86"/>
    <w:family w:val="auto"/>
    <w:pitch w:val="default"/>
    <w:sig w:usb0="A00002BF" w:usb1="18EF7CFA" w:usb2="00000016" w:usb3="00000000" w:csb0="00040000" w:csb1="00000000"/>
    <w:embedRegular r:id="rId13" w:fontKey="{15A3CD7E-5F7D-403B-AA38-5B96FD35C555}"/>
  </w:font>
  <w:font w:name="华文楷体">
    <w:panose1 w:val="02010600040101010101"/>
    <w:charset w:val="86"/>
    <w:family w:val="auto"/>
    <w:pitch w:val="default"/>
    <w:sig w:usb0="00000287" w:usb1="080F0000" w:usb2="00000000" w:usb3="00000000" w:csb0="0004009F" w:csb1="DFD70000"/>
    <w:embedRegular r:id="rId14" w:fontKey="{1579EBA5-BDD7-4733-80F7-17319892DC3F}"/>
  </w:font>
  <w:font w:name="ˎ̥">
    <w:altName w:val="Times New Roman"/>
    <w:panose1 w:val="00000000000000000000"/>
    <w:charset w:val="00"/>
    <w:family w:val="auto"/>
    <w:pitch w:val="default"/>
    <w:sig w:usb0="00000000" w:usb1="00000000" w:usb2="00000000" w:usb3="00000000" w:csb0="00040001" w:csb1="00000000"/>
    <w:embedRegular r:id="rId15" w:fontKey="{E876F3F5-8407-464A-A420-C2813C0D9BA6}"/>
  </w:font>
  <w:font w:name="仿宋">
    <w:panose1 w:val="02010609060101010101"/>
    <w:charset w:val="86"/>
    <w:family w:val="modern"/>
    <w:pitch w:val="default"/>
    <w:sig w:usb0="800002BF" w:usb1="38CF7CFA" w:usb2="00000016" w:usb3="00000000" w:csb0="00040001" w:csb1="00000000"/>
    <w:embedRegular r:id="rId16" w:fontKey="{35472473-BAF3-4A71-A2C2-382219013EF9}"/>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pPr>
          <w:pStyle w:val="12"/>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069E33"/>
    <w:multiLevelType w:val="singleLevel"/>
    <w:tmpl w:val="9A069E33"/>
    <w:lvl w:ilvl="0" w:tentative="0">
      <w:start w:val="13"/>
      <w:numFmt w:val="decimal"/>
      <w:suff w:val="space"/>
      <w:lvlText w:val="%1."/>
      <w:lvlJc w:val="left"/>
    </w:lvl>
  </w:abstractNum>
  <w:abstractNum w:abstractNumId="1">
    <w:nsid w:val="A947CFFD"/>
    <w:multiLevelType w:val="singleLevel"/>
    <w:tmpl w:val="A947CFFD"/>
    <w:lvl w:ilvl="0" w:tentative="0">
      <w:start w:val="9"/>
      <w:numFmt w:val="decimal"/>
      <w:suff w:val="space"/>
      <w:lvlText w:val="%1."/>
      <w:lvlJc w:val="left"/>
    </w:lvl>
  </w:abstractNum>
  <w:abstractNum w:abstractNumId="2">
    <w:nsid w:val="B609221C"/>
    <w:multiLevelType w:val="singleLevel"/>
    <w:tmpl w:val="B609221C"/>
    <w:lvl w:ilvl="0" w:tentative="0">
      <w:start w:val="1"/>
      <w:numFmt w:val="decimal"/>
      <w:suff w:val="nothing"/>
      <w:lvlText w:val="%1、"/>
      <w:lvlJc w:val="left"/>
    </w:lvl>
  </w:abstractNum>
  <w:abstractNum w:abstractNumId="3">
    <w:nsid w:val="B9358C2E"/>
    <w:multiLevelType w:val="singleLevel"/>
    <w:tmpl w:val="B9358C2E"/>
    <w:lvl w:ilvl="0" w:tentative="0">
      <w:start w:val="2"/>
      <w:numFmt w:val="decimal"/>
      <w:suff w:val="nothing"/>
      <w:lvlText w:val="%1、"/>
      <w:lvlJc w:val="left"/>
    </w:lvl>
  </w:abstractNum>
  <w:abstractNum w:abstractNumId="4">
    <w:nsid w:val="B94CB099"/>
    <w:multiLevelType w:val="singleLevel"/>
    <w:tmpl w:val="B94CB099"/>
    <w:lvl w:ilvl="0" w:tentative="0">
      <w:start w:val="1"/>
      <w:numFmt w:val="decimal"/>
      <w:lvlText w:val="(%1)"/>
      <w:lvlJc w:val="left"/>
      <w:pPr>
        <w:ind w:left="425" w:hanging="425"/>
      </w:pPr>
      <w:rPr>
        <w:rFonts w:hint="default"/>
      </w:rPr>
    </w:lvl>
  </w:abstractNum>
  <w:abstractNum w:abstractNumId="5">
    <w:nsid w:val="BF6BC116"/>
    <w:multiLevelType w:val="singleLevel"/>
    <w:tmpl w:val="BF6BC116"/>
    <w:lvl w:ilvl="0" w:tentative="0">
      <w:start w:val="16"/>
      <w:numFmt w:val="decimal"/>
      <w:suff w:val="space"/>
      <w:lvlText w:val="%1."/>
      <w:lvlJc w:val="left"/>
    </w:lvl>
  </w:abstractNum>
  <w:abstractNum w:abstractNumId="6">
    <w:nsid w:val="C8FC7528"/>
    <w:multiLevelType w:val="singleLevel"/>
    <w:tmpl w:val="C8FC7528"/>
    <w:lvl w:ilvl="0" w:tentative="0">
      <w:start w:val="16"/>
      <w:numFmt w:val="decimal"/>
      <w:suff w:val="space"/>
      <w:lvlText w:val="%1."/>
      <w:lvlJc w:val="left"/>
    </w:lvl>
  </w:abstractNum>
  <w:abstractNum w:abstractNumId="7">
    <w:nsid w:val="CFE7C3F8"/>
    <w:multiLevelType w:val="singleLevel"/>
    <w:tmpl w:val="CFE7C3F8"/>
    <w:lvl w:ilvl="0" w:tentative="0">
      <w:start w:val="1"/>
      <w:numFmt w:val="decimal"/>
      <w:suff w:val="nothing"/>
      <w:lvlText w:val="（%1）"/>
      <w:lvlJc w:val="left"/>
    </w:lvl>
  </w:abstractNum>
  <w:abstractNum w:abstractNumId="8">
    <w:nsid w:val="DDECD3BC"/>
    <w:multiLevelType w:val="singleLevel"/>
    <w:tmpl w:val="DDECD3BC"/>
    <w:lvl w:ilvl="0" w:tentative="0">
      <w:start w:val="6"/>
      <w:numFmt w:val="decimal"/>
      <w:suff w:val="space"/>
      <w:lvlText w:val="%1."/>
      <w:lvlJc w:val="left"/>
    </w:lvl>
  </w:abstractNum>
  <w:abstractNum w:abstractNumId="9">
    <w:nsid w:val="DE759F4B"/>
    <w:multiLevelType w:val="singleLevel"/>
    <w:tmpl w:val="DE759F4B"/>
    <w:lvl w:ilvl="0" w:tentative="0">
      <w:start w:val="2"/>
      <w:numFmt w:val="decimal"/>
      <w:suff w:val="space"/>
      <w:lvlText w:val="%1."/>
      <w:lvlJc w:val="left"/>
    </w:lvl>
  </w:abstractNum>
  <w:abstractNum w:abstractNumId="10">
    <w:nsid w:val="DEABE1DB"/>
    <w:multiLevelType w:val="singleLevel"/>
    <w:tmpl w:val="DEABE1DB"/>
    <w:lvl w:ilvl="0" w:tentative="0">
      <w:start w:val="23"/>
      <w:numFmt w:val="decimal"/>
      <w:suff w:val="space"/>
      <w:lvlText w:val="%1."/>
      <w:lvlJc w:val="left"/>
    </w:lvl>
  </w:abstractNum>
  <w:abstractNum w:abstractNumId="11">
    <w:nsid w:val="E2E9C2C4"/>
    <w:multiLevelType w:val="singleLevel"/>
    <w:tmpl w:val="E2E9C2C4"/>
    <w:lvl w:ilvl="0" w:tentative="0">
      <w:start w:val="6"/>
      <w:numFmt w:val="decimal"/>
      <w:suff w:val="space"/>
      <w:lvlText w:val="%1."/>
      <w:lvlJc w:val="left"/>
    </w:lvl>
  </w:abstractNum>
  <w:abstractNum w:abstractNumId="12">
    <w:nsid w:val="E94AAA60"/>
    <w:multiLevelType w:val="singleLevel"/>
    <w:tmpl w:val="E94AAA60"/>
    <w:lvl w:ilvl="0" w:tentative="0">
      <w:start w:val="2"/>
      <w:numFmt w:val="decimal"/>
      <w:suff w:val="nothing"/>
      <w:lvlText w:val="%1、"/>
      <w:lvlJc w:val="left"/>
    </w:lvl>
  </w:abstractNum>
  <w:abstractNum w:abstractNumId="13">
    <w:nsid w:val="FFEFC674"/>
    <w:multiLevelType w:val="singleLevel"/>
    <w:tmpl w:val="FFEFC674"/>
    <w:lvl w:ilvl="0" w:tentative="0">
      <w:start w:val="1"/>
      <w:numFmt w:val="decimal"/>
      <w:suff w:val="nothing"/>
      <w:lvlText w:val="（%1）"/>
      <w:lvlJc w:val="left"/>
    </w:lvl>
  </w:abstractNum>
  <w:abstractNum w:abstractNumId="14">
    <w:nsid w:val="01F13ED5"/>
    <w:multiLevelType w:val="singleLevel"/>
    <w:tmpl w:val="01F13ED5"/>
    <w:lvl w:ilvl="0" w:tentative="0">
      <w:start w:val="23"/>
      <w:numFmt w:val="decimal"/>
      <w:suff w:val="space"/>
      <w:lvlText w:val="%1."/>
      <w:lvlJc w:val="left"/>
    </w:lvl>
  </w:abstractNum>
  <w:abstractNum w:abstractNumId="15">
    <w:nsid w:val="04112FAC"/>
    <w:multiLevelType w:val="singleLevel"/>
    <w:tmpl w:val="04112FAC"/>
    <w:lvl w:ilvl="0" w:tentative="0">
      <w:start w:val="1"/>
      <w:numFmt w:val="decimal"/>
      <w:lvlText w:val="(%1)"/>
      <w:lvlJc w:val="left"/>
      <w:pPr>
        <w:ind w:left="425" w:hanging="425"/>
      </w:pPr>
      <w:rPr>
        <w:rFonts w:hint="default"/>
      </w:rPr>
    </w:lvl>
  </w:abstractNum>
  <w:abstractNum w:abstractNumId="16">
    <w:nsid w:val="1A13DD40"/>
    <w:multiLevelType w:val="singleLevel"/>
    <w:tmpl w:val="1A13DD40"/>
    <w:lvl w:ilvl="0" w:tentative="0">
      <w:start w:val="1"/>
      <w:numFmt w:val="decimal"/>
      <w:lvlText w:val="(%1)"/>
      <w:lvlJc w:val="left"/>
      <w:pPr>
        <w:ind w:left="425" w:hanging="425"/>
      </w:pPr>
      <w:rPr>
        <w:rFonts w:hint="default"/>
        <w:color w:val="0000FF"/>
      </w:rPr>
    </w:lvl>
  </w:abstractNum>
  <w:abstractNum w:abstractNumId="17">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38F05DBD"/>
    <w:multiLevelType w:val="singleLevel"/>
    <w:tmpl w:val="38F05DBD"/>
    <w:lvl w:ilvl="0" w:tentative="0">
      <w:start w:val="26"/>
      <w:numFmt w:val="decimal"/>
      <w:suff w:val="space"/>
      <w:lvlText w:val="%1."/>
      <w:lvlJc w:val="left"/>
    </w:lvl>
  </w:abstractNum>
  <w:abstractNum w:abstractNumId="19">
    <w:nsid w:val="7271A23B"/>
    <w:multiLevelType w:val="singleLevel"/>
    <w:tmpl w:val="7271A23B"/>
    <w:lvl w:ilvl="0" w:tentative="0">
      <w:start w:val="1"/>
      <w:numFmt w:val="decimal"/>
      <w:lvlText w:val="%1."/>
      <w:lvlJc w:val="left"/>
      <w:pPr>
        <w:tabs>
          <w:tab w:val="left" w:pos="312"/>
        </w:tabs>
      </w:pPr>
    </w:lvl>
  </w:abstractNum>
  <w:abstractNum w:abstractNumId="20">
    <w:nsid w:val="7A0F6431"/>
    <w:multiLevelType w:val="singleLevel"/>
    <w:tmpl w:val="7A0F6431"/>
    <w:lvl w:ilvl="0" w:tentative="0">
      <w:start w:val="1"/>
      <w:numFmt w:val="decimal"/>
      <w:suff w:val="space"/>
      <w:lvlText w:val="%1."/>
      <w:lvlJc w:val="left"/>
    </w:lvl>
  </w:abstractNum>
  <w:num w:numId="1">
    <w:abstractNumId w:val="4"/>
  </w:num>
  <w:num w:numId="2">
    <w:abstractNumId w:val="16"/>
  </w:num>
  <w:num w:numId="3">
    <w:abstractNumId w:val="19"/>
  </w:num>
  <w:num w:numId="4">
    <w:abstractNumId w:val="15"/>
  </w:num>
  <w:num w:numId="5">
    <w:abstractNumId w:val="12"/>
  </w:num>
  <w:num w:numId="6">
    <w:abstractNumId w:val="11"/>
  </w:num>
  <w:num w:numId="7">
    <w:abstractNumId w:val="1"/>
  </w:num>
  <w:num w:numId="8">
    <w:abstractNumId w:val="0"/>
  </w:num>
  <w:num w:numId="9">
    <w:abstractNumId w:val="6"/>
  </w:num>
  <w:num w:numId="10">
    <w:abstractNumId w:val="14"/>
  </w:num>
  <w:num w:numId="11">
    <w:abstractNumId w:val="18"/>
  </w:num>
  <w:num w:numId="12">
    <w:abstractNumId w:val="2"/>
  </w:num>
  <w:num w:numId="13">
    <w:abstractNumId w:val="3"/>
  </w:num>
  <w:num w:numId="14">
    <w:abstractNumId w:val="20"/>
  </w:num>
  <w:num w:numId="15">
    <w:abstractNumId w:val="7"/>
  </w:num>
  <w:num w:numId="16">
    <w:abstractNumId w:val="13"/>
  </w:num>
  <w:num w:numId="17">
    <w:abstractNumId w:val="9"/>
  </w:num>
  <w:num w:numId="18">
    <w:abstractNumId w:val="8"/>
  </w:num>
  <w:num w:numId="19">
    <w:abstractNumId w:val="5"/>
  </w:num>
  <w:num w:numId="20">
    <w:abstractNumId w:val="10"/>
  </w:num>
  <w:num w:numId="21">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苏艺">
    <w15:presenceInfo w15:providerId="None" w15:userId="苏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doNotDisplayPageBoundaries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0ZDhmOTgzNWU2NGM4YzU2NjlhMmU2ZTI3MWU4NmU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237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1F9035B"/>
    <w:rsid w:val="02226211"/>
    <w:rsid w:val="0293255D"/>
    <w:rsid w:val="02E25F12"/>
    <w:rsid w:val="02FC0E89"/>
    <w:rsid w:val="030516AD"/>
    <w:rsid w:val="035B751F"/>
    <w:rsid w:val="03653EFA"/>
    <w:rsid w:val="038A3F97"/>
    <w:rsid w:val="03993BA4"/>
    <w:rsid w:val="03A66B69"/>
    <w:rsid w:val="03E017D2"/>
    <w:rsid w:val="04180F6C"/>
    <w:rsid w:val="042C4F6C"/>
    <w:rsid w:val="04446205"/>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E33B14"/>
    <w:rsid w:val="097A64AA"/>
    <w:rsid w:val="09B4074E"/>
    <w:rsid w:val="09B47989"/>
    <w:rsid w:val="09CB6A81"/>
    <w:rsid w:val="0A0106F5"/>
    <w:rsid w:val="0A4426BD"/>
    <w:rsid w:val="0A522CFE"/>
    <w:rsid w:val="0A537E82"/>
    <w:rsid w:val="0A670558"/>
    <w:rsid w:val="0A87085A"/>
    <w:rsid w:val="0B3F3282"/>
    <w:rsid w:val="0B5C3158"/>
    <w:rsid w:val="0B845139"/>
    <w:rsid w:val="0B8769D7"/>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8853B5"/>
    <w:rsid w:val="0DEE34CD"/>
    <w:rsid w:val="0E0B7D94"/>
    <w:rsid w:val="0E230C39"/>
    <w:rsid w:val="0E607F86"/>
    <w:rsid w:val="0E8A0CB9"/>
    <w:rsid w:val="0E9C279A"/>
    <w:rsid w:val="0EB421D9"/>
    <w:rsid w:val="0F142273"/>
    <w:rsid w:val="0F5B4403"/>
    <w:rsid w:val="0F5D008C"/>
    <w:rsid w:val="0F8358E0"/>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993CFF"/>
    <w:rsid w:val="13AA7707"/>
    <w:rsid w:val="13FF3EF7"/>
    <w:rsid w:val="144E2788"/>
    <w:rsid w:val="14806439"/>
    <w:rsid w:val="149C1746"/>
    <w:rsid w:val="14E4477F"/>
    <w:rsid w:val="15A26782"/>
    <w:rsid w:val="15BD1BCA"/>
    <w:rsid w:val="15E2587E"/>
    <w:rsid w:val="16105DC5"/>
    <w:rsid w:val="16730284"/>
    <w:rsid w:val="16753FFC"/>
    <w:rsid w:val="167A18C1"/>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9393A07"/>
    <w:rsid w:val="194505FE"/>
    <w:rsid w:val="19635BBC"/>
    <w:rsid w:val="196842EC"/>
    <w:rsid w:val="19687E48"/>
    <w:rsid w:val="196B1CEA"/>
    <w:rsid w:val="198E1EAE"/>
    <w:rsid w:val="19AB4D31"/>
    <w:rsid w:val="1A24288D"/>
    <w:rsid w:val="1A620D3B"/>
    <w:rsid w:val="1B020330"/>
    <w:rsid w:val="1B1B5294"/>
    <w:rsid w:val="1B356450"/>
    <w:rsid w:val="1B434F04"/>
    <w:rsid w:val="1B9C14FB"/>
    <w:rsid w:val="1BEB4F4B"/>
    <w:rsid w:val="1BEF4851"/>
    <w:rsid w:val="1BFE3C79"/>
    <w:rsid w:val="1C2C01A7"/>
    <w:rsid w:val="1C4F3541"/>
    <w:rsid w:val="1C584649"/>
    <w:rsid w:val="1C766D20"/>
    <w:rsid w:val="1C792E22"/>
    <w:rsid w:val="1CB57848"/>
    <w:rsid w:val="1CBF2475"/>
    <w:rsid w:val="1D091942"/>
    <w:rsid w:val="1D2D5631"/>
    <w:rsid w:val="1D345E0F"/>
    <w:rsid w:val="1D880AB9"/>
    <w:rsid w:val="1DB9452C"/>
    <w:rsid w:val="1DE33F41"/>
    <w:rsid w:val="1DE71C83"/>
    <w:rsid w:val="1E206809"/>
    <w:rsid w:val="1E5A29B0"/>
    <w:rsid w:val="1E673ED5"/>
    <w:rsid w:val="1E71779F"/>
    <w:rsid w:val="1E8A6AB3"/>
    <w:rsid w:val="1EFB3211"/>
    <w:rsid w:val="1F103EA9"/>
    <w:rsid w:val="1F1D7927"/>
    <w:rsid w:val="1F264A2D"/>
    <w:rsid w:val="1F3E1D77"/>
    <w:rsid w:val="1F784B5D"/>
    <w:rsid w:val="1FB14636"/>
    <w:rsid w:val="1FCA3C17"/>
    <w:rsid w:val="1FDB296A"/>
    <w:rsid w:val="1FE909DC"/>
    <w:rsid w:val="1FF42436"/>
    <w:rsid w:val="204333BD"/>
    <w:rsid w:val="20457135"/>
    <w:rsid w:val="20631369"/>
    <w:rsid w:val="20755F4B"/>
    <w:rsid w:val="20AF152F"/>
    <w:rsid w:val="20C91B14"/>
    <w:rsid w:val="20DD55C0"/>
    <w:rsid w:val="20F26BF2"/>
    <w:rsid w:val="21431371"/>
    <w:rsid w:val="2149055F"/>
    <w:rsid w:val="21513626"/>
    <w:rsid w:val="215C64E4"/>
    <w:rsid w:val="215D225D"/>
    <w:rsid w:val="219537A4"/>
    <w:rsid w:val="219C4B33"/>
    <w:rsid w:val="21C36564"/>
    <w:rsid w:val="21DF0EC4"/>
    <w:rsid w:val="225A4837"/>
    <w:rsid w:val="228D0920"/>
    <w:rsid w:val="22D0247C"/>
    <w:rsid w:val="230542DB"/>
    <w:rsid w:val="23290736"/>
    <w:rsid w:val="23362D65"/>
    <w:rsid w:val="236E5E5F"/>
    <w:rsid w:val="2378337E"/>
    <w:rsid w:val="237857FE"/>
    <w:rsid w:val="239A32F4"/>
    <w:rsid w:val="23A61C99"/>
    <w:rsid w:val="23C5440E"/>
    <w:rsid w:val="23F30C56"/>
    <w:rsid w:val="24266C7C"/>
    <w:rsid w:val="244A2F6C"/>
    <w:rsid w:val="246A64EC"/>
    <w:rsid w:val="248E0882"/>
    <w:rsid w:val="24AB04CD"/>
    <w:rsid w:val="24B85FE4"/>
    <w:rsid w:val="24D67678"/>
    <w:rsid w:val="252E19A8"/>
    <w:rsid w:val="252E63EA"/>
    <w:rsid w:val="25493224"/>
    <w:rsid w:val="254A2AF8"/>
    <w:rsid w:val="256533FF"/>
    <w:rsid w:val="25E847EB"/>
    <w:rsid w:val="25FD3E7E"/>
    <w:rsid w:val="267047E0"/>
    <w:rsid w:val="270F7B55"/>
    <w:rsid w:val="273B6B9C"/>
    <w:rsid w:val="27427F2B"/>
    <w:rsid w:val="27857F9B"/>
    <w:rsid w:val="2795721C"/>
    <w:rsid w:val="27A641C3"/>
    <w:rsid w:val="27A6670B"/>
    <w:rsid w:val="27C43035"/>
    <w:rsid w:val="27C546B8"/>
    <w:rsid w:val="28001620"/>
    <w:rsid w:val="282633A8"/>
    <w:rsid w:val="28371296"/>
    <w:rsid w:val="284461F5"/>
    <w:rsid w:val="285C6DCA"/>
    <w:rsid w:val="286F1880"/>
    <w:rsid w:val="28A10C81"/>
    <w:rsid w:val="28EC2844"/>
    <w:rsid w:val="29114058"/>
    <w:rsid w:val="29237CD2"/>
    <w:rsid w:val="29745A9F"/>
    <w:rsid w:val="29791BFE"/>
    <w:rsid w:val="29895F6F"/>
    <w:rsid w:val="29995DFC"/>
    <w:rsid w:val="29AC6F9B"/>
    <w:rsid w:val="29B91807"/>
    <w:rsid w:val="29E821D3"/>
    <w:rsid w:val="29F75268"/>
    <w:rsid w:val="2A930A9D"/>
    <w:rsid w:val="2A967EB2"/>
    <w:rsid w:val="2AD417E1"/>
    <w:rsid w:val="2B065713"/>
    <w:rsid w:val="2B2871E7"/>
    <w:rsid w:val="2B764C76"/>
    <w:rsid w:val="2B98280F"/>
    <w:rsid w:val="2BA9299F"/>
    <w:rsid w:val="2BF832AE"/>
    <w:rsid w:val="2BFE65C2"/>
    <w:rsid w:val="2C02412C"/>
    <w:rsid w:val="2C1665B8"/>
    <w:rsid w:val="2C295297"/>
    <w:rsid w:val="2C6E17C2"/>
    <w:rsid w:val="2C7E5774"/>
    <w:rsid w:val="2C851680"/>
    <w:rsid w:val="2D7F69DE"/>
    <w:rsid w:val="2DB16F26"/>
    <w:rsid w:val="2DB3388B"/>
    <w:rsid w:val="2DCA6ECC"/>
    <w:rsid w:val="2E815E80"/>
    <w:rsid w:val="2E954277"/>
    <w:rsid w:val="2EC456C9"/>
    <w:rsid w:val="2EDF69A7"/>
    <w:rsid w:val="2F1A79DF"/>
    <w:rsid w:val="2F2A413F"/>
    <w:rsid w:val="2F363171"/>
    <w:rsid w:val="30311375"/>
    <w:rsid w:val="30473F91"/>
    <w:rsid w:val="306058C5"/>
    <w:rsid w:val="30610607"/>
    <w:rsid w:val="30AF7FEE"/>
    <w:rsid w:val="30B023A9"/>
    <w:rsid w:val="30C714A1"/>
    <w:rsid w:val="311772A4"/>
    <w:rsid w:val="31B835BA"/>
    <w:rsid w:val="31B92B8B"/>
    <w:rsid w:val="31E83DC4"/>
    <w:rsid w:val="324D032D"/>
    <w:rsid w:val="3257574A"/>
    <w:rsid w:val="32FB3683"/>
    <w:rsid w:val="32FD564D"/>
    <w:rsid w:val="33010C9A"/>
    <w:rsid w:val="3328091C"/>
    <w:rsid w:val="338F3097"/>
    <w:rsid w:val="33A51F6D"/>
    <w:rsid w:val="33C06DA7"/>
    <w:rsid w:val="342509B8"/>
    <w:rsid w:val="34297F29"/>
    <w:rsid w:val="34476B80"/>
    <w:rsid w:val="348558FB"/>
    <w:rsid w:val="34AE6BFF"/>
    <w:rsid w:val="34B31A45"/>
    <w:rsid w:val="34CA3E45"/>
    <w:rsid w:val="34D34153"/>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E1367"/>
    <w:rsid w:val="37D746BF"/>
    <w:rsid w:val="37E1068A"/>
    <w:rsid w:val="38C84008"/>
    <w:rsid w:val="38CA5FD2"/>
    <w:rsid w:val="38EB0F04"/>
    <w:rsid w:val="39411452"/>
    <w:rsid w:val="396C11D4"/>
    <w:rsid w:val="397B72CC"/>
    <w:rsid w:val="397C49C3"/>
    <w:rsid w:val="39B22FFA"/>
    <w:rsid w:val="39C15930"/>
    <w:rsid w:val="3A173499"/>
    <w:rsid w:val="3A30022F"/>
    <w:rsid w:val="3A371445"/>
    <w:rsid w:val="3A472385"/>
    <w:rsid w:val="3A886145"/>
    <w:rsid w:val="3A8D72B7"/>
    <w:rsid w:val="3AB900AC"/>
    <w:rsid w:val="3AC52EF5"/>
    <w:rsid w:val="3B007A89"/>
    <w:rsid w:val="3B027CA5"/>
    <w:rsid w:val="3B2E2848"/>
    <w:rsid w:val="3B5D137F"/>
    <w:rsid w:val="3B5D4EDB"/>
    <w:rsid w:val="3B7170FB"/>
    <w:rsid w:val="3B81506E"/>
    <w:rsid w:val="3BA6272A"/>
    <w:rsid w:val="3BB22833"/>
    <w:rsid w:val="3BD57167"/>
    <w:rsid w:val="3BE27C97"/>
    <w:rsid w:val="3BE473AB"/>
    <w:rsid w:val="3C6978B0"/>
    <w:rsid w:val="3C9A513B"/>
    <w:rsid w:val="3CCD2793"/>
    <w:rsid w:val="3CFA57E4"/>
    <w:rsid w:val="3D0221DE"/>
    <w:rsid w:val="3D1E60DF"/>
    <w:rsid w:val="3D583101"/>
    <w:rsid w:val="3DE2791A"/>
    <w:rsid w:val="3E151A9D"/>
    <w:rsid w:val="3E375EB7"/>
    <w:rsid w:val="3E38205E"/>
    <w:rsid w:val="3EA47C68"/>
    <w:rsid w:val="3ED03C16"/>
    <w:rsid w:val="3EEB27FE"/>
    <w:rsid w:val="3F281CA4"/>
    <w:rsid w:val="3F3423F7"/>
    <w:rsid w:val="3F8E1B07"/>
    <w:rsid w:val="40161AFD"/>
    <w:rsid w:val="403326AF"/>
    <w:rsid w:val="40712158"/>
    <w:rsid w:val="408B6047"/>
    <w:rsid w:val="40AF442B"/>
    <w:rsid w:val="40D55CEA"/>
    <w:rsid w:val="40E165AE"/>
    <w:rsid w:val="40EC5BC5"/>
    <w:rsid w:val="411C75E7"/>
    <w:rsid w:val="413D58B9"/>
    <w:rsid w:val="41540B2E"/>
    <w:rsid w:val="415E333C"/>
    <w:rsid w:val="418F600A"/>
    <w:rsid w:val="419B5FD1"/>
    <w:rsid w:val="419E1DAA"/>
    <w:rsid w:val="41EA1493"/>
    <w:rsid w:val="420D5851"/>
    <w:rsid w:val="421A58D4"/>
    <w:rsid w:val="424566C9"/>
    <w:rsid w:val="424B3CDF"/>
    <w:rsid w:val="426D19F0"/>
    <w:rsid w:val="42D31F27"/>
    <w:rsid w:val="42D33CD5"/>
    <w:rsid w:val="42D35449"/>
    <w:rsid w:val="42FC5208"/>
    <w:rsid w:val="4320516C"/>
    <w:rsid w:val="43341596"/>
    <w:rsid w:val="436F7EA2"/>
    <w:rsid w:val="43860D47"/>
    <w:rsid w:val="43ED0DC6"/>
    <w:rsid w:val="43FB4652"/>
    <w:rsid w:val="43FF1225"/>
    <w:rsid w:val="445F4788"/>
    <w:rsid w:val="44804350"/>
    <w:rsid w:val="44B32884"/>
    <w:rsid w:val="44C47D79"/>
    <w:rsid w:val="44E73A68"/>
    <w:rsid w:val="45223845"/>
    <w:rsid w:val="45290298"/>
    <w:rsid w:val="45B51211"/>
    <w:rsid w:val="45BD6D52"/>
    <w:rsid w:val="45D75726"/>
    <w:rsid w:val="45EF52CA"/>
    <w:rsid w:val="46276812"/>
    <w:rsid w:val="462A4554"/>
    <w:rsid w:val="46503FBA"/>
    <w:rsid w:val="46517D32"/>
    <w:rsid w:val="465E7D59"/>
    <w:rsid w:val="46753001"/>
    <w:rsid w:val="46821C9A"/>
    <w:rsid w:val="46A929B1"/>
    <w:rsid w:val="46D5626E"/>
    <w:rsid w:val="46E51A75"/>
    <w:rsid w:val="47762C36"/>
    <w:rsid w:val="477C0DDF"/>
    <w:rsid w:val="47D17F22"/>
    <w:rsid w:val="480212E4"/>
    <w:rsid w:val="482B73A4"/>
    <w:rsid w:val="48384D06"/>
    <w:rsid w:val="485362BB"/>
    <w:rsid w:val="48C04CFB"/>
    <w:rsid w:val="48FF5824"/>
    <w:rsid w:val="49266FC3"/>
    <w:rsid w:val="492B03C7"/>
    <w:rsid w:val="493C6A78"/>
    <w:rsid w:val="49425710"/>
    <w:rsid w:val="494B2817"/>
    <w:rsid w:val="494E2C0F"/>
    <w:rsid w:val="498E5824"/>
    <w:rsid w:val="49D2118A"/>
    <w:rsid w:val="49DE053E"/>
    <w:rsid w:val="4A5B400C"/>
    <w:rsid w:val="4A625D30"/>
    <w:rsid w:val="4A767D68"/>
    <w:rsid w:val="4B475260"/>
    <w:rsid w:val="4B4C2876"/>
    <w:rsid w:val="4B9E1324"/>
    <w:rsid w:val="4BBF201F"/>
    <w:rsid w:val="4BE17463"/>
    <w:rsid w:val="4C006E30"/>
    <w:rsid w:val="4CA26BF2"/>
    <w:rsid w:val="4CEE1E37"/>
    <w:rsid w:val="4CF64AB0"/>
    <w:rsid w:val="4D145F92"/>
    <w:rsid w:val="4D15004A"/>
    <w:rsid w:val="4D330192"/>
    <w:rsid w:val="4D461C73"/>
    <w:rsid w:val="4D5325E2"/>
    <w:rsid w:val="4E092CA1"/>
    <w:rsid w:val="4E4156DB"/>
    <w:rsid w:val="4E93713A"/>
    <w:rsid w:val="4EE0450F"/>
    <w:rsid w:val="4EE4773A"/>
    <w:rsid w:val="4F1456D4"/>
    <w:rsid w:val="4F9905AE"/>
    <w:rsid w:val="4FC33F25"/>
    <w:rsid w:val="4FD001C7"/>
    <w:rsid w:val="4FFF6109"/>
    <w:rsid w:val="500B71A4"/>
    <w:rsid w:val="502E60F8"/>
    <w:rsid w:val="50334005"/>
    <w:rsid w:val="505E4B9C"/>
    <w:rsid w:val="50A30487"/>
    <w:rsid w:val="50DD1804"/>
    <w:rsid w:val="50FB1449"/>
    <w:rsid w:val="511856D5"/>
    <w:rsid w:val="51A52CE0"/>
    <w:rsid w:val="51A72EFC"/>
    <w:rsid w:val="52195EFA"/>
    <w:rsid w:val="529674E9"/>
    <w:rsid w:val="535D3873"/>
    <w:rsid w:val="53876B42"/>
    <w:rsid w:val="54153BAB"/>
    <w:rsid w:val="5434041A"/>
    <w:rsid w:val="543E18F6"/>
    <w:rsid w:val="546B1FBF"/>
    <w:rsid w:val="54996B2C"/>
    <w:rsid w:val="54E579B0"/>
    <w:rsid w:val="54F5352B"/>
    <w:rsid w:val="550A7A2A"/>
    <w:rsid w:val="554A7E27"/>
    <w:rsid w:val="555E1B24"/>
    <w:rsid w:val="556A04C9"/>
    <w:rsid w:val="559E5653"/>
    <w:rsid w:val="55AB3C2F"/>
    <w:rsid w:val="55EC35D4"/>
    <w:rsid w:val="56383CF3"/>
    <w:rsid w:val="56455CD4"/>
    <w:rsid w:val="565C42B5"/>
    <w:rsid w:val="567315FF"/>
    <w:rsid w:val="56AE76A6"/>
    <w:rsid w:val="56AF2613"/>
    <w:rsid w:val="56D4209E"/>
    <w:rsid w:val="56DB2C2D"/>
    <w:rsid w:val="56E4418B"/>
    <w:rsid w:val="57064221"/>
    <w:rsid w:val="57081D47"/>
    <w:rsid w:val="57470BA7"/>
    <w:rsid w:val="5773022F"/>
    <w:rsid w:val="57770C7B"/>
    <w:rsid w:val="580A1AEF"/>
    <w:rsid w:val="58776655"/>
    <w:rsid w:val="587D49B7"/>
    <w:rsid w:val="58B74216"/>
    <w:rsid w:val="58C16652"/>
    <w:rsid w:val="590752B6"/>
    <w:rsid w:val="591F15CA"/>
    <w:rsid w:val="593D7499"/>
    <w:rsid w:val="59461DDB"/>
    <w:rsid w:val="596D67DA"/>
    <w:rsid w:val="59760D08"/>
    <w:rsid w:val="599E6993"/>
    <w:rsid w:val="59AC5554"/>
    <w:rsid w:val="5A564466"/>
    <w:rsid w:val="5A902780"/>
    <w:rsid w:val="5A9F4737"/>
    <w:rsid w:val="5AAE2C06"/>
    <w:rsid w:val="5AC468CD"/>
    <w:rsid w:val="5AE0048C"/>
    <w:rsid w:val="5AE8436A"/>
    <w:rsid w:val="5AF80325"/>
    <w:rsid w:val="5B6339F0"/>
    <w:rsid w:val="5B7C0F56"/>
    <w:rsid w:val="5BF6561B"/>
    <w:rsid w:val="5BFA4C14"/>
    <w:rsid w:val="5C2A6C04"/>
    <w:rsid w:val="5C3543D2"/>
    <w:rsid w:val="5CE36031"/>
    <w:rsid w:val="5D9C1AF9"/>
    <w:rsid w:val="5DB26EB1"/>
    <w:rsid w:val="5DBA559D"/>
    <w:rsid w:val="5DE22614"/>
    <w:rsid w:val="5DFE3EA4"/>
    <w:rsid w:val="5E0F1C0D"/>
    <w:rsid w:val="5E465887"/>
    <w:rsid w:val="5E473A9D"/>
    <w:rsid w:val="5E5E5C0A"/>
    <w:rsid w:val="5E8425FB"/>
    <w:rsid w:val="5EE50BC0"/>
    <w:rsid w:val="5F181B76"/>
    <w:rsid w:val="5F463D55"/>
    <w:rsid w:val="5FD4389C"/>
    <w:rsid w:val="5FE1582B"/>
    <w:rsid w:val="5FEC48FC"/>
    <w:rsid w:val="6013374F"/>
    <w:rsid w:val="60545FFD"/>
    <w:rsid w:val="60B116A2"/>
    <w:rsid w:val="60B42F40"/>
    <w:rsid w:val="60B7767B"/>
    <w:rsid w:val="61696F59"/>
    <w:rsid w:val="61D672CA"/>
    <w:rsid w:val="61E63AF5"/>
    <w:rsid w:val="626A2DAC"/>
    <w:rsid w:val="62784498"/>
    <w:rsid w:val="63293771"/>
    <w:rsid w:val="637C7D45"/>
    <w:rsid w:val="639808F7"/>
    <w:rsid w:val="63A70B3A"/>
    <w:rsid w:val="645F2960"/>
    <w:rsid w:val="64654C7D"/>
    <w:rsid w:val="64BD496D"/>
    <w:rsid w:val="64BE25DF"/>
    <w:rsid w:val="64DB5DF9"/>
    <w:rsid w:val="64F93617"/>
    <w:rsid w:val="655D3BA6"/>
    <w:rsid w:val="65655387"/>
    <w:rsid w:val="659A6BA8"/>
    <w:rsid w:val="65FE7BFD"/>
    <w:rsid w:val="666075B7"/>
    <w:rsid w:val="66EC6F90"/>
    <w:rsid w:val="66F2031E"/>
    <w:rsid w:val="67AA7E58"/>
    <w:rsid w:val="67AB0BF9"/>
    <w:rsid w:val="67EA0511"/>
    <w:rsid w:val="68077DF9"/>
    <w:rsid w:val="68382663"/>
    <w:rsid w:val="686314D3"/>
    <w:rsid w:val="687410CD"/>
    <w:rsid w:val="6888718C"/>
    <w:rsid w:val="68A629A9"/>
    <w:rsid w:val="68E5527F"/>
    <w:rsid w:val="69A578CA"/>
    <w:rsid w:val="69B63885"/>
    <w:rsid w:val="69EA0620"/>
    <w:rsid w:val="69FB573C"/>
    <w:rsid w:val="6A204BF3"/>
    <w:rsid w:val="6A691ED2"/>
    <w:rsid w:val="6A7343B6"/>
    <w:rsid w:val="6AB029CA"/>
    <w:rsid w:val="6AB40090"/>
    <w:rsid w:val="6ADE7537"/>
    <w:rsid w:val="6AE34B4E"/>
    <w:rsid w:val="6AF208ED"/>
    <w:rsid w:val="6B1F6200"/>
    <w:rsid w:val="6B4A3375"/>
    <w:rsid w:val="6B7011F1"/>
    <w:rsid w:val="6B825FC3"/>
    <w:rsid w:val="6B8359E9"/>
    <w:rsid w:val="6C174E18"/>
    <w:rsid w:val="6C42298A"/>
    <w:rsid w:val="6C613F7C"/>
    <w:rsid w:val="6C806253"/>
    <w:rsid w:val="6CCB5899"/>
    <w:rsid w:val="6CF748E0"/>
    <w:rsid w:val="6D15191A"/>
    <w:rsid w:val="6D7D3037"/>
    <w:rsid w:val="6D934609"/>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B230C"/>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AA35A5"/>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AF1D88"/>
    <w:rsid w:val="76C3504D"/>
    <w:rsid w:val="76F81981"/>
    <w:rsid w:val="770422FE"/>
    <w:rsid w:val="7746449A"/>
    <w:rsid w:val="775546DD"/>
    <w:rsid w:val="778C3E77"/>
    <w:rsid w:val="77E31CE9"/>
    <w:rsid w:val="78376C25"/>
    <w:rsid w:val="78746DE5"/>
    <w:rsid w:val="78A72AF0"/>
    <w:rsid w:val="790F6B0E"/>
    <w:rsid w:val="79134850"/>
    <w:rsid w:val="79200163"/>
    <w:rsid w:val="79261AEA"/>
    <w:rsid w:val="793414F6"/>
    <w:rsid w:val="7956473D"/>
    <w:rsid w:val="798661F3"/>
    <w:rsid w:val="799314ED"/>
    <w:rsid w:val="79D00F3A"/>
    <w:rsid w:val="79EE2C15"/>
    <w:rsid w:val="7AA46F38"/>
    <w:rsid w:val="7B467F1D"/>
    <w:rsid w:val="7B542EFE"/>
    <w:rsid w:val="7BA7772C"/>
    <w:rsid w:val="7C0924C9"/>
    <w:rsid w:val="7C4279C8"/>
    <w:rsid w:val="7C507B69"/>
    <w:rsid w:val="7C711A95"/>
    <w:rsid w:val="7C8D4919"/>
    <w:rsid w:val="7CAA7322"/>
    <w:rsid w:val="7CBA4FE2"/>
    <w:rsid w:val="7CC22157"/>
    <w:rsid w:val="7CD24A22"/>
    <w:rsid w:val="7D2F777E"/>
    <w:rsid w:val="7D5F0561"/>
    <w:rsid w:val="7D60202E"/>
    <w:rsid w:val="7D6458CE"/>
    <w:rsid w:val="7D8555F0"/>
    <w:rsid w:val="7D916095"/>
    <w:rsid w:val="7DB14637"/>
    <w:rsid w:val="7DC51E91"/>
    <w:rsid w:val="7E141A72"/>
    <w:rsid w:val="7E6416AA"/>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5">
    <w:name w:val="heading 2"/>
    <w:basedOn w:val="1"/>
    <w:next w:val="1"/>
    <w:link w:val="33"/>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next w:val="8"/>
    <w:qFormat/>
    <w:uiPriority w:val="0"/>
    <w:pPr>
      <w:spacing w:line="360" w:lineRule="auto"/>
    </w:pPr>
    <w:rPr>
      <w:b/>
      <w:bCs/>
      <w:sz w:val="24"/>
    </w:rPr>
  </w:style>
  <w:style w:type="paragraph" w:styleId="8">
    <w:name w:val="Body Text 2"/>
    <w:basedOn w:val="1"/>
    <w:qFormat/>
    <w:uiPriority w:val="0"/>
    <w:pPr>
      <w:spacing w:line="360" w:lineRule="auto"/>
    </w:pPr>
    <w:rPr>
      <w:sz w:val="24"/>
    </w:rPr>
  </w:style>
  <w:style w:type="paragraph" w:styleId="9">
    <w:name w:val="Document Map"/>
    <w:basedOn w:val="1"/>
    <w:link w:val="32"/>
    <w:semiHidden/>
    <w:unhideWhenUsed/>
    <w:qFormat/>
    <w:uiPriority w:val="99"/>
    <w:rPr>
      <w:rFonts w:ascii="宋体" w:eastAsia="宋体"/>
      <w:sz w:val="18"/>
      <w:szCs w:val="18"/>
    </w:rPr>
  </w:style>
  <w:style w:type="paragraph" w:styleId="10">
    <w:name w:val="annotation text"/>
    <w:basedOn w:val="1"/>
    <w:link w:val="34"/>
    <w:unhideWhenUsed/>
    <w:qFormat/>
    <w:uiPriority w:val="99"/>
    <w:pPr>
      <w:jc w:val="left"/>
    </w:pPr>
  </w:style>
  <w:style w:type="paragraph" w:styleId="11">
    <w:name w:val="Balloon Text"/>
    <w:basedOn w:val="1"/>
    <w:link w:val="28"/>
    <w:semiHidden/>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5">
    <w:name w:val="Title"/>
    <w:basedOn w:val="1"/>
    <w:qFormat/>
    <w:uiPriority w:val="0"/>
    <w:pPr>
      <w:spacing w:before="240" w:after="60"/>
      <w:jc w:val="center"/>
      <w:outlineLvl w:val="0"/>
    </w:pPr>
    <w:rPr>
      <w:rFonts w:ascii="Arial" w:hAnsi="Arial" w:eastAsia="隶书" w:cs="Arial"/>
      <w:b/>
      <w:bCs/>
      <w:sz w:val="32"/>
      <w:szCs w:val="32"/>
    </w:rPr>
  </w:style>
  <w:style w:type="paragraph" w:styleId="16">
    <w:name w:val="annotation subject"/>
    <w:basedOn w:val="10"/>
    <w:next w:val="10"/>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14:textFill>
        <w14:solidFill>
          <w14:schemeClr w14:val="folHlink"/>
        </w14:solidFill>
      </w14:textFill>
    </w:rPr>
  </w:style>
  <w:style w:type="character" w:styleId="23">
    <w:name w:val="Hyperlink"/>
    <w:basedOn w:val="19"/>
    <w:unhideWhenUsed/>
    <w:qFormat/>
    <w:uiPriority w:val="99"/>
    <w:rPr>
      <w:color w:val="0000FF" w:themeColor="hyperlink"/>
      <w:u w:val="single"/>
      <w14:textFill>
        <w14:solidFill>
          <w14:schemeClr w14:val="hlink"/>
        </w14:solidFill>
      </w14:textFill>
    </w:rPr>
  </w:style>
  <w:style w:type="character" w:styleId="24">
    <w:name w:val="annotation reference"/>
    <w:basedOn w:val="19"/>
    <w:semiHidden/>
    <w:unhideWhenUsed/>
    <w:qFormat/>
    <w:uiPriority w:val="99"/>
    <w:rPr>
      <w:sz w:val="21"/>
      <w:szCs w:val="21"/>
    </w:r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Char"/>
    <w:basedOn w:val="19"/>
    <w:link w:val="13"/>
    <w:semiHidden/>
    <w:qFormat/>
    <w:uiPriority w:val="99"/>
    <w:rPr>
      <w:sz w:val="18"/>
      <w:szCs w:val="18"/>
    </w:rPr>
  </w:style>
  <w:style w:type="character" w:customStyle="1" w:styleId="27">
    <w:name w:val="页脚 Char"/>
    <w:basedOn w:val="19"/>
    <w:link w:val="12"/>
    <w:qFormat/>
    <w:uiPriority w:val="99"/>
    <w:rPr>
      <w:sz w:val="18"/>
      <w:szCs w:val="18"/>
    </w:rPr>
  </w:style>
  <w:style w:type="character" w:customStyle="1" w:styleId="28">
    <w:name w:val="批注框文本 Char"/>
    <w:basedOn w:val="19"/>
    <w:link w:val="11"/>
    <w:semiHidden/>
    <w:qFormat/>
    <w:uiPriority w:val="99"/>
    <w:rPr>
      <w:sz w:val="18"/>
      <w:szCs w:val="18"/>
    </w:rPr>
  </w:style>
  <w:style w:type="character" w:customStyle="1" w:styleId="29">
    <w:name w:val="普通(网站) Char"/>
    <w:link w:val="14"/>
    <w:qFormat/>
    <w:uiPriority w:val="99"/>
    <w:rPr>
      <w:rFonts w:ascii="宋体" w:hAnsi="宋体"/>
      <w:sz w:val="24"/>
      <w:szCs w:val="24"/>
    </w:rPr>
  </w:style>
  <w:style w:type="character" w:customStyle="1" w:styleId="30">
    <w:name w:val="标题 1 Char"/>
    <w:basedOn w:val="19"/>
    <w:link w:val="2"/>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19"/>
    <w:link w:val="9"/>
    <w:semiHidden/>
    <w:qFormat/>
    <w:uiPriority w:val="99"/>
    <w:rPr>
      <w:rFonts w:ascii="宋体" w:eastAsia="宋体"/>
      <w:sz w:val="18"/>
      <w:szCs w:val="18"/>
    </w:rPr>
  </w:style>
  <w:style w:type="character" w:customStyle="1" w:styleId="33">
    <w:name w:val="标题 2 Char"/>
    <w:basedOn w:val="19"/>
    <w:link w:val="5"/>
    <w:semiHidden/>
    <w:qFormat/>
    <w:uiPriority w:val="9"/>
    <w:rPr>
      <w:rFonts w:asciiTheme="majorHAnsi" w:hAnsiTheme="majorHAnsi" w:eastAsiaTheme="majorEastAsia" w:cstheme="majorBidi"/>
      <w:b/>
      <w:bCs/>
      <w:sz w:val="32"/>
      <w:szCs w:val="32"/>
    </w:rPr>
  </w:style>
  <w:style w:type="character" w:customStyle="1" w:styleId="34">
    <w:name w:val="批注文字 Char"/>
    <w:basedOn w:val="19"/>
    <w:link w:val="10"/>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11"/>
    <w:qFormat/>
    <w:uiPriority w:val="0"/>
    <w:rPr>
      <w:rFonts w:hint="eastAsia" w:ascii="宋体" w:hAnsi="宋体" w:eastAsia="宋体" w:cs="宋体"/>
      <w:b/>
      <w:bCs/>
      <w:color w:val="000000"/>
      <w:sz w:val="21"/>
      <w:szCs w:val="21"/>
      <w:u w:val="none"/>
    </w:rPr>
  </w:style>
  <w:style w:type="paragraph" w:customStyle="1" w:styleId="39">
    <w:name w:val="_Style 3"/>
    <w:basedOn w:val="1"/>
    <w:qFormat/>
    <w:uiPriority w:val="34"/>
    <w:pPr>
      <w:ind w:firstLine="420" w:firstLineChars="200"/>
    </w:pPr>
    <w:rPr>
      <w:sz w:val="20"/>
    </w:rPr>
  </w:style>
  <w:style w:type="character" w:customStyle="1" w:styleId="40">
    <w:name w:val="font21"/>
    <w:basedOn w:val="19"/>
    <w:qFormat/>
    <w:uiPriority w:val="0"/>
    <w:rPr>
      <w:rFonts w:hint="eastAsia" w:ascii="宋体" w:hAnsi="宋体" w:eastAsia="宋体" w:cs="宋体"/>
      <w:color w:val="000000"/>
      <w:sz w:val="21"/>
      <w:szCs w:val="21"/>
      <w:u w:val="none"/>
    </w:rPr>
  </w:style>
  <w:style w:type="character" w:customStyle="1" w:styleId="41">
    <w:name w:val="font31"/>
    <w:basedOn w:val="19"/>
    <w:qFormat/>
    <w:uiPriority w:val="0"/>
    <w:rPr>
      <w:rFonts w:hint="eastAsia" w:ascii="宋体" w:hAnsi="宋体" w:eastAsia="宋体" w:cs="宋体"/>
      <w:color w:val="000000"/>
      <w:sz w:val="21"/>
      <w:szCs w:val="21"/>
      <w:u w:val="none"/>
    </w:rPr>
  </w:style>
  <w:style w:type="character" w:customStyle="1" w:styleId="42">
    <w:name w:val="font41"/>
    <w:basedOn w:val="19"/>
    <w:qFormat/>
    <w:uiPriority w:val="0"/>
    <w:rPr>
      <w:rFonts w:hint="eastAsia" w:ascii="宋体" w:hAnsi="宋体" w:eastAsia="宋体" w:cs="宋体"/>
      <w:b/>
      <w:bCs/>
      <w:color w:val="0000FF"/>
      <w:sz w:val="21"/>
      <w:szCs w:val="21"/>
      <w:u w:val="none"/>
    </w:rPr>
  </w:style>
  <w:style w:type="character" w:customStyle="1" w:styleId="43">
    <w:name w:val="font51"/>
    <w:basedOn w:val="19"/>
    <w:qFormat/>
    <w:uiPriority w:val="0"/>
    <w:rPr>
      <w:rFonts w:hint="eastAsia" w:ascii="宋体" w:hAnsi="宋体" w:eastAsia="宋体" w:cs="宋体"/>
      <w:b/>
      <w:bCs/>
      <w:color w:val="000000"/>
      <w:sz w:val="21"/>
      <w:szCs w:val="21"/>
      <w:u w:val="none"/>
    </w:rPr>
  </w:style>
  <w:style w:type="character" w:customStyle="1" w:styleId="44">
    <w:name w:val="font61"/>
    <w:basedOn w:val="19"/>
    <w:qFormat/>
    <w:uiPriority w:val="0"/>
    <w:rPr>
      <w:rFonts w:ascii="等线" w:hAnsi="等线" w:eastAsia="等线" w:cs="等线"/>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74</Pages>
  <Words>8727</Words>
  <Characters>9366</Characters>
  <Lines>316</Lines>
  <Paragraphs>88</Paragraphs>
  <TotalTime>40</TotalTime>
  <ScaleCrop>false</ScaleCrop>
  <LinksUpToDate>false</LinksUpToDate>
  <CharactersWithSpaces>9460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青山绿水</cp:lastModifiedBy>
  <cp:lastPrinted>2021-01-15T01:17:00Z</cp:lastPrinted>
  <dcterms:modified xsi:type="dcterms:W3CDTF">2025-07-02T07:49:25Z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40A8B030E8B84802A4A267F976CEADF8_13</vt:lpwstr>
  </property>
  <property fmtid="{D5CDD505-2E9C-101B-9397-08002B2CF9AE}" pid="4" name="KSOTemplateDocerSaveRecord">
    <vt:lpwstr>eyJoZGlkIjoiYzNjY2NlMDljNjk0ZjZmNWUyNjlkNDBiNTUwNjEyMzMiLCJ1c2VySWQiOiIyODU3NTExMTUifQ==</vt:lpwstr>
  </property>
</Properties>
</file>