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center"/>
        <w:rPr>
          <w:rFonts w:ascii="宋体" w:eastAsia="宋体" w:hAnsi="宋体"/>
          <w:color w:val="FF0000"/>
          <w:kern w:val="2"/>
          <w:sz w:val="21"/>
          <w:szCs w:val="21"/>
          <w:lang w:eastAsia="zh-CN"/>
        </w:rPr>
      </w:pPr>
      <w:r>
        <w:rPr>
          <w:rFonts w:ascii="宋体" w:eastAsia="黑体" w:hAnsi="宋体" w:hint="eastAsia"/>
          <w:b/>
          <w:bCs/>
          <w:color w:val="FF0000"/>
          <w:kern w:val="44"/>
          <w:sz w:val="28"/>
          <w:szCs w:val="44"/>
          <w:lang w:eastAsia="zh-CN"/>
        </w:rPr>
        <w:t>特别警示条款</w:t>
      </w:r>
    </w:p>
    <w:p>
      <w:pPr>
        <w:widowControl w:val="0"/>
        <w:pBdr>
          <w:top w:val="none" w:sz="0" w:space="1" w:color="auto"/>
          <w:left w:val="none" w:sz="0" w:space="4" w:color="auto"/>
          <w:bottom w:val="none" w:sz="0" w:space="1" w:color="auto"/>
          <w:right w:val="none" w:sz="0" w:space="4" w:color="auto"/>
        </w:pBdr>
        <w:spacing w:after="240" w:afterLines="100" w:line="400" w:lineRule="exact"/>
        <w:ind w:firstLine="420" w:firstLineChars="200"/>
        <w:jc w:val="both"/>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84"/>
        <w:gridCol w:w="84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660"/>
        </w:trPr>
        <w:tc>
          <w:tcPr>
            <w:tcW w:w="811" w:type="dxa"/>
            <w:vAlign w:val="center"/>
          </w:tcPr>
          <w:p>
            <w:pPr>
              <w:widowControl w:val="0"/>
              <w:pBdr>
                <w:top w:val="none" w:sz="0" w:space="1" w:color="auto"/>
                <w:left w:val="none" w:sz="0" w:space="4" w:color="auto"/>
                <w:bottom w:val="none" w:sz="0" w:space="1" w:color="auto"/>
                <w:right w:val="none" w:sz="0" w:space="4" w:color="auto"/>
              </w:pBdr>
              <w:spacing w:line="400" w:lineRule="exact"/>
              <w:jc w:val="center"/>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序号</w:t>
            </w:r>
          </w:p>
        </w:tc>
        <w:tc>
          <w:tcPr>
            <w:tcW w:w="7711" w:type="dxa"/>
            <w:vAlign w:val="center"/>
          </w:tcPr>
          <w:p>
            <w:pPr>
              <w:widowControl w:val="0"/>
              <w:pBdr>
                <w:top w:val="none" w:sz="0" w:space="1" w:color="auto"/>
                <w:left w:val="none" w:sz="0" w:space="4" w:color="auto"/>
                <w:bottom w:val="none" w:sz="0" w:space="1" w:color="auto"/>
                <w:right w:val="none" w:sz="0" w:space="4" w:color="auto"/>
              </w:pBdr>
              <w:spacing w:line="400" w:lineRule="exact"/>
              <w:jc w:val="center"/>
              <w:rPr>
                <w:rFonts w:ascii="宋体" w:eastAsia="宋体" w:hAnsi="宋体" w:cs="宋体" w:hint="eastAsia"/>
                <w:color w:val="FF0000"/>
                <w:kern w:val="2"/>
                <w:sz w:val="21"/>
                <w:szCs w:val="21"/>
                <w:lang w:eastAsia="zh-CN"/>
              </w:rPr>
            </w:pPr>
            <w:r>
              <w:rPr>
                <w:rFonts w:ascii="宋体" w:eastAsia="宋体" w:hAnsi="宋体" w:cs="宋体" w:hint="eastAsia"/>
                <w:b/>
                <w:bCs/>
                <w:color w:val="FF0000"/>
                <w:kern w:val="2"/>
                <w:sz w:val="21"/>
                <w:szCs w:val="21"/>
                <w:lang w:eastAsia="zh-CN"/>
              </w:rPr>
              <w:t>供应商参与投标禁止情形</w:t>
            </w:r>
          </w:p>
        </w:tc>
      </w:tr>
      <w:tr>
        <w:tblPrEx>
          <w:tblW w:w="5000" w:type="pct"/>
          <w:tblLayout w:type="fixed"/>
          <w:tblCellMar>
            <w:top w:w="0" w:type="dxa"/>
            <w:left w:w="108" w:type="dxa"/>
            <w:bottom w:w="0" w:type="dxa"/>
            <w:right w:w="108" w:type="dxa"/>
          </w:tblCellMar>
          <w:tblLook w:val="0000"/>
        </w:tblPrEx>
        <w:tc>
          <w:tcPr>
            <w:tcW w:w="811" w:type="dxa"/>
            <w:vAlign w:val="center"/>
          </w:tcPr>
          <w:p>
            <w:pPr>
              <w:widowControl w:val="0"/>
              <w:pBdr>
                <w:top w:val="none" w:sz="0" w:space="1" w:color="auto"/>
                <w:left w:val="none" w:sz="0" w:space="4" w:color="auto"/>
                <w:bottom w:val="none" w:sz="0" w:space="1" w:color="auto"/>
                <w:right w:val="none" w:sz="0" w:space="4" w:color="auto"/>
              </w:pBdr>
              <w:spacing w:line="400" w:lineRule="exact"/>
              <w:jc w:val="center"/>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1</w:t>
            </w:r>
          </w:p>
        </w:tc>
        <w:tc>
          <w:tcPr>
            <w:tcW w:w="7711" w:type="dxa"/>
            <w:vAlign w:val="center"/>
          </w:tcPr>
          <w:p>
            <w:pPr>
              <w:widowControl w:val="0"/>
              <w:pBdr>
                <w:top w:val="none" w:sz="0" w:space="1" w:color="auto"/>
                <w:left w:val="none" w:sz="0" w:space="4" w:color="auto"/>
                <w:bottom w:val="none" w:sz="0" w:space="1" w:color="auto"/>
                <w:right w:val="none" w:sz="0" w:space="4" w:color="auto"/>
              </w:pBdr>
              <w:spacing w:line="400" w:lineRule="exact"/>
              <w:jc w:val="left"/>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eastAsia="宋体" w:hAnsi="宋体" w:cs="宋体" w:hint="eastAsia"/>
                <w:b/>
                <w:bCs/>
                <w:color w:val="FF0000"/>
                <w:kern w:val="2"/>
                <w:sz w:val="21"/>
                <w:szCs w:val="21"/>
                <w:lang w:eastAsia="zh-CN"/>
              </w:rPr>
              <w:t>同一人、属同一单位或者在同一单位缴纳社会保险</w:t>
            </w:r>
            <w:r>
              <w:rPr>
                <w:rFonts w:ascii="宋体" w:eastAsia="宋体" w:hAnsi="宋体" w:cs="宋体" w:hint="eastAsia"/>
                <w:color w:val="FF0000"/>
                <w:kern w:val="2"/>
                <w:sz w:val="21"/>
                <w:szCs w:val="21"/>
                <w:lang w:eastAsia="zh-CN"/>
              </w:rPr>
              <w:t>。</w:t>
            </w:r>
          </w:p>
        </w:tc>
      </w:tr>
      <w:tr>
        <w:tblPrEx>
          <w:tblW w:w="5000" w:type="pct"/>
          <w:tblLayout w:type="fixed"/>
          <w:tblCellMar>
            <w:top w:w="0" w:type="dxa"/>
            <w:left w:w="108" w:type="dxa"/>
            <w:bottom w:w="0" w:type="dxa"/>
            <w:right w:w="108" w:type="dxa"/>
          </w:tblCellMar>
          <w:tblLook w:val="0000"/>
        </w:tblPrEx>
        <w:trPr>
          <w:trHeight w:val="90"/>
        </w:trPr>
        <w:tc>
          <w:tcPr>
            <w:tcW w:w="811" w:type="dxa"/>
            <w:vAlign w:val="center"/>
          </w:tcPr>
          <w:p>
            <w:pPr>
              <w:widowControl w:val="0"/>
              <w:pBdr>
                <w:top w:val="none" w:sz="0" w:space="1" w:color="auto"/>
                <w:left w:val="none" w:sz="0" w:space="4" w:color="auto"/>
                <w:bottom w:val="none" w:sz="0" w:space="1" w:color="auto"/>
                <w:right w:val="none" w:sz="0" w:space="4" w:color="auto"/>
              </w:pBdr>
              <w:spacing w:line="400" w:lineRule="exact"/>
              <w:jc w:val="center"/>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w:t>
            </w:r>
          </w:p>
        </w:tc>
        <w:tc>
          <w:tcPr>
            <w:tcW w:w="7711" w:type="dxa"/>
            <w:vAlign w:val="center"/>
          </w:tcPr>
          <w:p>
            <w:pPr>
              <w:widowControl w:val="0"/>
              <w:pBdr>
                <w:top w:val="none" w:sz="0" w:space="1" w:color="auto"/>
                <w:left w:val="none" w:sz="0" w:space="4" w:color="auto"/>
                <w:bottom w:val="none" w:sz="0" w:space="1" w:color="auto"/>
                <w:right w:val="none" w:sz="0" w:space="4" w:color="auto"/>
              </w:pBdr>
              <w:spacing w:line="400" w:lineRule="exact"/>
              <w:jc w:val="left"/>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参与本项目政府采购（自行采购）活动时，与其他投标供应商存在单位负责人为</w:t>
            </w:r>
            <w:r>
              <w:rPr>
                <w:rFonts w:ascii="宋体" w:eastAsia="宋体" w:hAnsi="宋体" w:cs="宋体" w:hint="eastAsia"/>
                <w:b/>
                <w:bCs/>
                <w:color w:val="FF0000"/>
                <w:kern w:val="2"/>
                <w:sz w:val="21"/>
                <w:szCs w:val="21"/>
                <w:lang w:eastAsia="zh-CN"/>
              </w:rPr>
              <w:t>同一人或直接控股、管理关系</w:t>
            </w:r>
            <w:r>
              <w:rPr>
                <w:rFonts w:ascii="宋体" w:eastAsia="宋体" w:hAnsi="宋体" w:cs="宋体" w:hint="eastAsia"/>
                <w:color w:val="FF0000"/>
                <w:kern w:val="2"/>
                <w:sz w:val="21"/>
                <w:szCs w:val="21"/>
                <w:lang w:eastAsia="zh-CN"/>
              </w:rPr>
              <w:t>。</w:t>
            </w:r>
          </w:p>
        </w:tc>
      </w:tr>
      <w:tr>
        <w:tblPrEx>
          <w:tblW w:w="5000" w:type="pct"/>
          <w:tblLayout w:type="fixed"/>
          <w:tblCellMar>
            <w:top w:w="0" w:type="dxa"/>
            <w:left w:w="108" w:type="dxa"/>
            <w:bottom w:w="0" w:type="dxa"/>
            <w:right w:w="108" w:type="dxa"/>
          </w:tblCellMar>
          <w:tblLook w:val="0000"/>
        </w:tblPrEx>
        <w:tc>
          <w:tcPr>
            <w:tcW w:w="811" w:type="dxa"/>
            <w:vAlign w:val="center"/>
          </w:tcPr>
          <w:p>
            <w:pPr>
              <w:widowControl w:val="0"/>
              <w:pBdr>
                <w:top w:val="none" w:sz="0" w:space="1" w:color="auto"/>
                <w:left w:val="none" w:sz="0" w:space="4" w:color="auto"/>
                <w:bottom w:val="none" w:sz="0" w:space="1" w:color="auto"/>
                <w:right w:val="none" w:sz="0" w:space="4" w:color="auto"/>
              </w:pBdr>
              <w:spacing w:line="400" w:lineRule="exact"/>
              <w:jc w:val="center"/>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3</w:t>
            </w:r>
          </w:p>
        </w:tc>
        <w:tc>
          <w:tcPr>
            <w:tcW w:w="7711" w:type="dxa"/>
            <w:vAlign w:val="center"/>
          </w:tcPr>
          <w:p>
            <w:pPr>
              <w:widowControl w:val="0"/>
              <w:pBdr>
                <w:top w:val="none" w:sz="0" w:space="1" w:color="auto"/>
                <w:left w:val="none" w:sz="0" w:space="4" w:color="auto"/>
                <w:bottom w:val="none" w:sz="0" w:space="1" w:color="auto"/>
                <w:right w:val="none" w:sz="0" w:space="4" w:color="auto"/>
              </w:pBdr>
              <w:spacing w:line="400" w:lineRule="exact"/>
              <w:jc w:val="left"/>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与其他投标供应商的投标文件或部分投标文件</w:t>
            </w:r>
            <w:r>
              <w:rPr>
                <w:rFonts w:ascii="宋体" w:eastAsia="宋体" w:hAnsi="宋体" w:cs="宋体" w:hint="eastAsia"/>
                <w:b/>
                <w:bCs/>
                <w:color w:val="FF0000"/>
                <w:kern w:val="2"/>
                <w:sz w:val="21"/>
                <w:szCs w:val="21"/>
                <w:lang w:eastAsia="zh-CN"/>
              </w:rPr>
              <w:t>相互混装或存在非正常一致</w:t>
            </w:r>
            <w:r>
              <w:rPr>
                <w:rFonts w:ascii="宋体" w:eastAsia="宋体" w:hAnsi="宋体" w:cs="宋体" w:hint="eastAsia"/>
                <w:color w:val="FF0000"/>
                <w:kern w:val="2"/>
                <w:sz w:val="21"/>
                <w:szCs w:val="21"/>
                <w:lang w:eastAsia="zh-CN"/>
              </w:rPr>
              <w:t>。</w:t>
            </w:r>
          </w:p>
        </w:tc>
      </w:tr>
      <w:tr>
        <w:tblPrEx>
          <w:tblW w:w="5000" w:type="pct"/>
          <w:tblLayout w:type="fixed"/>
          <w:tblCellMar>
            <w:top w:w="0" w:type="dxa"/>
            <w:left w:w="108" w:type="dxa"/>
            <w:bottom w:w="0" w:type="dxa"/>
            <w:right w:w="108" w:type="dxa"/>
          </w:tblCellMar>
          <w:tblLook w:val="0000"/>
        </w:tblPrEx>
        <w:trPr>
          <w:trHeight w:val="1325"/>
        </w:trPr>
        <w:tc>
          <w:tcPr>
            <w:tcW w:w="811" w:type="dxa"/>
            <w:vAlign w:val="center"/>
          </w:tcPr>
          <w:p>
            <w:pPr>
              <w:widowControl w:val="0"/>
              <w:pBdr>
                <w:top w:val="none" w:sz="0" w:space="1" w:color="auto"/>
                <w:left w:val="none" w:sz="0" w:space="4" w:color="auto"/>
                <w:bottom w:val="none" w:sz="0" w:space="1" w:color="auto"/>
                <w:right w:val="none" w:sz="0" w:space="4" w:color="auto"/>
              </w:pBdr>
              <w:spacing w:line="400" w:lineRule="exact"/>
              <w:jc w:val="center"/>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4</w:t>
            </w:r>
          </w:p>
        </w:tc>
        <w:tc>
          <w:tcPr>
            <w:tcW w:w="7711" w:type="dxa"/>
            <w:vAlign w:val="center"/>
          </w:tcPr>
          <w:p>
            <w:pPr>
              <w:widowControl w:val="0"/>
              <w:pBdr>
                <w:top w:val="none" w:sz="0" w:space="1" w:color="auto"/>
                <w:left w:val="none" w:sz="0" w:space="4" w:color="auto"/>
                <w:bottom w:val="none" w:sz="0" w:space="1" w:color="auto"/>
                <w:right w:val="none" w:sz="0" w:space="4" w:color="auto"/>
              </w:pBdr>
              <w:spacing w:line="400" w:lineRule="exact"/>
              <w:jc w:val="left"/>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与其他投标供应商的投标文件由</w:t>
            </w:r>
            <w:r>
              <w:rPr>
                <w:rFonts w:ascii="宋体" w:eastAsia="宋体" w:hAnsi="宋体" w:cs="宋体" w:hint="eastAsia"/>
                <w:b/>
                <w:bCs/>
                <w:color w:val="FF0000"/>
                <w:kern w:val="2"/>
                <w:sz w:val="21"/>
                <w:szCs w:val="21"/>
                <w:lang w:eastAsia="zh-CN"/>
              </w:rPr>
              <w:t>同一单位或者同一人编制</w:t>
            </w:r>
            <w:r>
              <w:rPr>
                <w:rFonts w:ascii="宋体" w:eastAsia="宋体" w:hAnsi="宋体" w:cs="宋体" w:hint="eastAsia"/>
                <w:color w:val="FF0000"/>
                <w:kern w:val="2"/>
                <w:sz w:val="21"/>
                <w:szCs w:val="21"/>
                <w:lang w:eastAsia="zh-CN"/>
              </w:rPr>
              <w:t>，或者使用</w:t>
            </w:r>
            <w:r>
              <w:rPr>
                <w:rFonts w:ascii="宋体" w:eastAsia="宋体" w:hAnsi="宋体" w:cs="宋体" w:hint="eastAsia"/>
                <w:b/>
                <w:bCs/>
                <w:color w:val="FF0000"/>
                <w:kern w:val="2"/>
                <w:sz w:val="21"/>
                <w:szCs w:val="21"/>
                <w:lang w:eastAsia="zh-CN"/>
              </w:rPr>
              <w:t>同一设备编制</w:t>
            </w: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文件制作机器码</w:t>
            </w: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文件创建标识码</w:t>
            </w: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一致）。</w:t>
            </w:r>
          </w:p>
        </w:tc>
      </w:tr>
      <w:tr>
        <w:tblPrEx>
          <w:tblW w:w="5000" w:type="pct"/>
          <w:tblLayout w:type="fixed"/>
          <w:tblCellMar>
            <w:top w:w="0" w:type="dxa"/>
            <w:left w:w="108" w:type="dxa"/>
            <w:bottom w:w="0" w:type="dxa"/>
            <w:right w:w="108" w:type="dxa"/>
          </w:tblCellMar>
          <w:tblLook w:val="0000"/>
        </w:tblPrEx>
        <w:trPr>
          <w:trHeight w:val="985"/>
        </w:trPr>
        <w:tc>
          <w:tcPr>
            <w:tcW w:w="811" w:type="dxa"/>
            <w:vAlign w:val="center"/>
          </w:tcPr>
          <w:p>
            <w:pPr>
              <w:widowControl w:val="0"/>
              <w:pBdr>
                <w:top w:val="none" w:sz="0" w:space="1" w:color="auto"/>
                <w:left w:val="none" w:sz="0" w:space="4" w:color="auto"/>
                <w:bottom w:val="none" w:sz="0" w:space="1" w:color="auto"/>
                <w:right w:val="none" w:sz="0" w:space="4" w:color="auto"/>
              </w:pBdr>
              <w:spacing w:line="400" w:lineRule="exact"/>
              <w:jc w:val="center"/>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5</w:t>
            </w:r>
          </w:p>
        </w:tc>
        <w:tc>
          <w:tcPr>
            <w:tcW w:w="7711" w:type="dxa"/>
            <w:vAlign w:val="center"/>
          </w:tcPr>
          <w:p>
            <w:pPr>
              <w:widowControl w:val="0"/>
              <w:pBdr>
                <w:top w:val="none" w:sz="0" w:space="1" w:color="auto"/>
                <w:left w:val="none" w:sz="0" w:space="4" w:color="auto"/>
                <w:bottom w:val="none" w:sz="0" w:space="1" w:color="auto"/>
                <w:right w:val="none" w:sz="0" w:space="4" w:color="auto"/>
              </w:pBdr>
              <w:spacing w:line="400" w:lineRule="exact"/>
              <w:jc w:val="left"/>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提供</w:t>
            </w:r>
            <w:r>
              <w:rPr>
                <w:rFonts w:ascii="宋体" w:eastAsia="宋体" w:hAnsi="宋体" w:cs="宋体" w:hint="eastAsia"/>
                <w:b/>
                <w:bCs/>
                <w:color w:val="FF0000"/>
                <w:kern w:val="2"/>
                <w:sz w:val="21"/>
                <w:szCs w:val="21"/>
                <w:lang w:eastAsia="zh-CN"/>
              </w:rPr>
              <w:t>未经出具机构核实</w:t>
            </w:r>
            <w:r>
              <w:rPr>
                <w:rFonts w:ascii="宋体" w:eastAsia="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Layout w:type="fixed"/>
          <w:tblCellMar>
            <w:top w:w="0" w:type="dxa"/>
            <w:left w:w="108" w:type="dxa"/>
            <w:bottom w:w="0" w:type="dxa"/>
            <w:right w:w="108" w:type="dxa"/>
          </w:tblCellMar>
          <w:tblLook w:val="0000"/>
        </w:tblPrEx>
        <w:trPr>
          <w:trHeight w:val="588"/>
        </w:trPr>
        <w:tc>
          <w:tcPr>
            <w:tcW w:w="811" w:type="dxa"/>
            <w:vAlign w:val="center"/>
          </w:tcPr>
          <w:p>
            <w:pPr>
              <w:widowControl w:val="0"/>
              <w:pBdr>
                <w:top w:val="none" w:sz="0" w:space="1" w:color="auto"/>
                <w:left w:val="none" w:sz="0" w:space="4" w:color="auto"/>
                <w:bottom w:val="none" w:sz="0" w:space="1" w:color="auto"/>
                <w:right w:val="none" w:sz="0" w:space="4" w:color="auto"/>
              </w:pBdr>
              <w:spacing w:line="400" w:lineRule="exact"/>
              <w:jc w:val="center"/>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6</w:t>
            </w:r>
          </w:p>
        </w:tc>
        <w:tc>
          <w:tcPr>
            <w:tcW w:w="7711" w:type="dxa"/>
            <w:vAlign w:val="center"/>
          </w:tcPr>
          <w:p>
            <w:pPr>
              <w:widowControl w:val="0"/>
              <w:pBdr>
                <w:top w:val="none" w:sz="0" w:space="1" w:color="auto"/>
                <w:left w:val="none" w:sz="0" w:space="4" w:color="auto"/>
                <w:bottom w:val="none" w:sz="0" w:space="1" w:color="auto"/>
                <w:right w:val="none" w:sz="0" w:space="4" w:color="auto"/>
              </w:pBdr>
              <w:spacing w:line="400" w:lineRule="exact"/>
              <w:jc w:val="left"/>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擅自将投标密钥或电子营业执照出借他人使用或未妥善保管。</w:t>
            </w:r>
          </w:p>
        </w:tc>
      </w:tr>
    </w:tbl>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hint="eastAsia"/>
          <w:color w:val="FF0000"/>
          <w:kern w:val="2"/>
          <w:sz w:val="20"/>
          <w:szCs w:val="20"/>
          <w:lang w:eastAsia="zh-CN"/>
        </w:rPr>
      </w:pP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一、参照</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 xml:space="preserve">二、参照《深圳经济特区政府采购条例实施细则》第七十五条 </w:t>
      </w:r>
      <w:r>
        <w:rPr>
          <w:rFonts w:ascii="宋体" w:eastAsia="宋体" w:hAnsi="宋体"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 xml:space="preserve">三、参照《深圳经济特区政府采购条例实施细则》第七十七条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pBdr>
          <w:top w:val="none" w:sz="0" w:space="1" w:color="auto"/>
          <w:left w:val="none" w:sz="0" w:space="4" w:color="auto"/>
          <w:bottom w:val="none" w:sz="0" w:space="1" w:color="auto"/>
          <w:right w:val="none" w:sz="0" w:space="4" w:color="auto"/>
        </w:pBdr>
        <w:ind w:firstLine="420" w:firstLineChars="200"/>
        <w:jc w:val="both"/>
        <w:rPr>
          <w:rFonts w:ascii="Calibri" w:eastAsia="宋体" w:hAnsi="Calibri" w:hint="eastAsia"/>
          <w:b/>
          <w:color w:val="FF0000"/>
          <w:kern w:val="2"/>
          <w:sz w:val="21"/>
          <w:szCs w:val="22"/>
          <w:lang w:eastAsia="zh-CN"/>
        </w:rPr>
      </w:pPr>
      <w:r>
        <w:rPr>
          <w:rFonts w:ascii="Calibri" w:eastAsia="宋体" w:hAnsi="Calibri" w:hint="eastAsia"/>
          <w:b/>
          <w:color w:val="FF0000"/>
          <w:kern w:val="2"/>
          <w:sz w:val="21"/>
          <w:szCs w:val="22"/>
          <w:lang w:eastAsia="zh-CN"/>
        </w:rPr>
        <w:t>四、请投标供应商阅读《政府采购（自行采购）违法行为风险知悉确认书》（内容详见</w:t>
      </w:r>
      <w:r>
        <w:rPr>
          <w:rFonts w:ascii="Calibri" w:eastAsia="宋体" w:hAnsi="Calibri" w:hint="eastAsia"/>
          <w:b/>
          <w:color w:val="FF0000"/>
          <w:kern w:val="2"/>
          <w:sz w:val="21"/>
          <w:szCs w:val="22"/>
          <w:lang w:eastAsia="zh-CN"/>
        </w:rPr>
        <w:t>“</w:t>
      </w:r>
      <w:r>
        <w:rPr>
          <w:rFonts w:ascii="Calibri" w:eastAsia="宋体" w:hAnsi="Calibri" w:hint="eastAsia"/>
          <w:b/>
          <w:color w:val="FF0000"/>
          <w:kern w:val="2"/>
          <w:sz w:val="21"/>
          <w:szCs w:val="22"/>
          <w:lang w:eastAsia="zh-CN"/>
        </w:rPr>
        <w:t>投标文件附件（信息不公开部分）</w:t>
      </w:r>
      <w:r>
        <w:rPr>
          <w:rFonts w:ascii="Calibri" w:eastAsia="宋体" w:hAnsi="Calibri" w:hint="eastAsia"/>
          <w:b/>
          <w:color w:val="FF0000"/>
          <w:kern w:val="2"/>
          <w:sz w:val="21"/>
          <w:szCs w:val="22"/>
          <w:lang w:eastAsia="zh-CN"/>
        </w:rPr>
        <w:t>”</w:t>
      </w:r>
      <w:r>
        <w:rPr>
          <w:rFonts w:ascii="Calibri" w:eastAsia="宋体" w:hAnsi="Calibri" w:hint="eastAsia"/>
          <w:b/>
          <w:color w:val="FF0000"/>
          <w:kern w:val="2"/>
          <w:sz w:val="21"/>
          <w:szCs w:val="22"/>
          <w:lang w:eastAsia="zh-CN"/>
        </w:rPr>
        <w:t>中节点</w:t>
      </w:r>
      <w:r>
        <w:rPr>
          <w:rFonts w:ascii="Calibri" w:eastAsia="宋体" w:hAnsi="Calibri" w:hint="eastAsia"/>
          <w:b/>
          <w:color w:val="FF0000"/>
          <w:kern w:val="2"/>
          <w:sz w:val="21"/>
          <w:szCs w:val="22"/>
          <w:lang w:eastAsia="zh-CN"/>
        </w:rPr>
        <w:t>“</w:t>
      </w:r>
      <w:r>
        <w:rPr>
          <w:rFonts w:ascii="Calibri" w:eastAsia="宋体" w:hAnsi="Calibri" w:hint="eastAsia"/>
          <w:b/>
          <w:color w:val="FF0000"/>
          <w:kern w:val="2"/>
          <w:sz w:val="21"/>
          <w:szCs w:val="22"/>
          <w:lang w:eastAsia="zh-CN"/>
        </w:rPr>
        <w:t>投标人认为需要加以说明的其他内容</w:t>
      </w:r>
      <w:r>
        <w:rPr>
          <w:rFonts w:ascii="Calibri" w:eastAsia="宋体" w:hAnsi="Calibri" w:hint="eastAsia"/>
          <w:b/>
          <w:color w:val="FF0000"/>
          <w:kern w:val="2"/>
          <w:sz w:val="21"/>
          <w:szCs w:val="22"/>
          <w:lang w:eastAsia="zh-CN"/>
        </w:rPr>
        <w:t>”</w:t>
      </w:r>
      <w:r>
        <w:rPr>
          <w:rFonts w:ascii="Calibri" w:eastAsia="宋体" w:hAnsi="Calibri" w:hint="eastAsia"/>
          <w:b/>
          <w:color w:val="FF0000"/>
          <w:kern w:val="2"/>
          <w:sz w:val="21"/>
          <w:szCs w:val="22"/>
          <w:lang w:eastAsia="zh-CN"/>
        </w:rPr>
        <w:t>，并经各投标供应商负责人或投标授权代表签字并加盖单位公章后，扫描上传至投标文件一并提交。注：该风险知悉确认书用于对供应商违法行为的警示，不作为供应商资格性审查及符合性审查条件。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pBdr>
          <w:top w:val="none" w:sz="0" w:space="1" w:color="auto"/>
          <w:left w:val="none" w:sz="0" w:space="4" w:color="auto"/>
          <w:bottom w:val="none" w:sz="0" w:space="1" w:color="auto"/>
          <w:right w:val="none" w:sz="0" w:space="4" w:color="auto"/>
        </w:pBdr>
        <w:ind w:firstLine="400" w:firstLineChars="200"/>
        <w:jc w:val="both"/>
        <w:rPr>
          <w:rFonts w:ascii="Calibri" w:eastAsia="宋体" w:hAnsi="Calibri" w:hint="eastAsia"/>
          <w:bCs/>
          <w:color w:val="FF0000"/>
          <w:kern w:val="2"/>
          <w:sz w:val="20"/>
          <w:szCs w:val="20"/>
          <w:lang w:eastAsia="zh-CN"/>
        </w:rPr>
      </w:pPr>
      <w:r>
        <w:rPr>
          <w:rFonts w:eastAsia="宋体" w:hAnsi="Calibri" w:hint="eastAsia"/>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pBdr>
          <w:top w:val="none" w:sz="0" w:space="1" w:color="auto"/>
          <w:left w:val="none" w:sz="0" w:space="4" w:color="auto"/>
          <w:bottom w:val="none" w:sz="0" w:space="1" w:color="auto"/>
          <w:right w:val="none" w:sz="0" w:space="4" w:color="auto"/>
        </w:pBdr>
        <w:ind w:firstLine="400" w:firstLineChars="200"/>
        <w:jc w:val="both"/>
        <w:rPr>
          <w:rFonts w:ascii="Calibri" w:eastAsia="宋体" w:hAnsi="Calibri" w:hint="eastAsia"/>
          <w:bCs/>
          <w:color w:val="FF0000"/>
          <w:kern w:val="2"/>
          <w:sz w:val="20"/>
          <w:szCs w:val="20"/>
          <w:lang w:eastAsia="zh-CN"/>
        </w:rPr>
      </w:pPr>
      <w:r>
        <w:rPr>
          <w:rFonts w:eastAsia="宋体" w:hAnsi="Calibr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pBdr>
          <w:top w:val="none" w:sz="0" w:space="1" w:color="auto"/>
          <w:left w:val="none" w:sz="0" w:space="4" w:color="auto"/>
          <w:bottom w:val="none" w:sz="0" w:space="1" w:color="auto"/>
          <w:right w:val="none" w:sz="0" w:space="4" w:color="auto"/>
        </w:pBdr>
        <w:ind w:firstLine="400" w:firstLineChars="200"/>
        <w:jc w:val="both"/>
        <w:rPr>
          <w:rFonts w:ascii="Calibri" w:eastAsia="宋体" w:hAnsi="Calibri" w:hint="eastAsia"/>
          <w:bCs/>
          <w:color w:val="FF0000"/>
          <w:kern w:val="2"/>
          <w:sz w:val="20"/>
          <w:szCs w:val="20"/>
          <w:lang w:eastAsia="zh-CN"/>
        </w:rPr>
      </w:pPr>
      <w:r>
        <w:rPr>
          <w:rFonts w:eastAsia="宋体" w:hAnsi="Calibri" w:hint="eastAsia"/>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ascii="宋体" w:eastAsia="宋体" w:hAnsi="宋体" w:hint="eastAsia"/>
          <w:color w:val="FF0000"/>
          <w:kern w:val="2"/>
          <w:sz w:val="20"/>
          <w:szCs w:val="20"/>
          <w:lang w:eastAsia="zh-CN"/>
        </w:rPr>
        <w:t>取消参与本市政府采购（自行采购）资格</w:t>
      </w:r>
      <w:r>
        <w:rPr>
          <w:rFonts w:ascii="Calibri"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依法吊销其营业</w:t>
      </w:r>
      <w:r>
        <w:rPr>
          <w:rFonts w:ascii="Calibri" w:eastAsia="宋体" w:hAnsi="宋体" w:hint="eastAsia"/>
          <w:color w:val="FF0000"/>
          <w:kern w:val="2"/>
          <w:sz w:val="20"/>
          <w:szCs w:val="20"/>
          <w:lang w:eastAsia="zh-CN"/>
        </w:rPr>
        <w:t>执照等行政处罚，</w:t>
      </w:r>
      <w:r>
        <w:rPr>
          <w:rFonts w:ascii="宋体" w:eastAsia="宋体" w:hAnsi="宋体" w:hint="eastAsia"/>
          <w:color w:val="FF0000"/>
          <w:kern w:val="2"/>
          <w:sz w:val="20"/>
          <w:szCs w:val="20"/>
          <w:lang w:eastAsia="zh-CN"/>
        </w:rPr>
        <w:t>构成犯罪的，依法追究刑事责任</w:t>
      </w:r>
      <w:r>
        <w:rPr>
          <w:rFonts w:eastAsia="宋体" w:hAnsi="Calibri" w:hint="eastAsia"/>
          <w:bCs/>
          <w:color w:val="FF0000"/>
          <w:kern w:val="2"/>
          <w:sz w:val="20"/>
          <w:szCs w:val="20"/>
          <w:lang w:eastAsia="zh-CN"/>
        </w:rPr>
        <w:t>，请各供应商独立编制、上传投标文件，妥善保管和使用电子秘钥。</w:t>
      </w:r>
    </w:p>
    <w:p>
      <w:pPr>
        <w:widowControl w:val="0"/>
        <w:pBdr>
          <w:top w:val="none" w:sz="0" w:space="1" w:color="auto"/>
          <w:left w:val="none" w:sz="0" w:space="4" w:color="auto"/>
          <w:bottom w:val="none" w:sz="0" w:space="1" w:color="auto"/>
          <w:right w:val="none" w:sz="0" w:space="4" w:color="auto"/>
        </w:pBdr>
        <w:spacing w:line="360" w:lineRule="auto"/>
        <w:ind w:firstLine="400" w:firstLineChars="200"/>
        <w:rPr>
          <w:rFonts w:ascii="Calibri" w:eastAsia="宋体" w:hAnsi="Calibri" w:hint="eastAsia"/>
          <w:bCs/>
          <w:color w:val="FF0000"/>
          <w:kern w:val="2"/>
          <w:sz w:val="20"/>
          <w:szCs w:val="20"/>
          <w:lang w:eastAsia="zh-CN"/>
        </w:rPr>
      </w:pPr>
    </w:p>
    <w:p>
      <w:pPr>
        <w:widowControl w:val="0"/>
        <w:jc w:val="both"/>
        <w:rPr>
          <w:rFonts w:ascii="Calibri" w:eastAsia="宋体" w:hAnsi="Calibri" w:hint="eastAsia"/>
          <w:kern w:val="2"/>
          <w:sz w:val="21"/>
          <w:szCs w:val="22"/>
          <w:lang w:eastAsia="zh-CN"/>
        </w:rPr>
      </w:pPr>
      <w:r>
        <w:rPr>
          <w:rFonts w:eastAsia="宋体" w:hint="eastAsia"/>
          <w:b/>
          <w:color w:val="FF0000"/>
          <w:kern w:val="2"/>
          <w:sz w:val="20"/>
          <w:szCs w:val="20"/>
          <w:lang w:eastAsia="zh-CN"/>
        </w:rPr>
        <w:t>注：</w:t>
      </w:r>
      <w:r>
        <w:rPr>
          <w:rFonts w:eastAsia="宋体" w:hint="eastAsia"/>
          <w:b/>
          <w:color w:val="FF0000"/>
          <w:kern w:val="2"/>
          <w:sz w:val="20"/>
          <w:szCs w:val="20"/>
          <w:lang w:eastAsia="zh-CN"/>
        </w:rPr>
        <w:t>“</w:t>
      </w:r>
      <w:r>
        <w:rPr>
          <w:rFonts w:eastAsia="宋体" w:hint="eastAsia"/>
          <w:b/>
          <w:color w:val="FF0000"/>
          <w:kern w:val="2"/>
          <w:sz w:val="20"/>
          <w:szCs w:val="20"/>
          <w:lang w:eastAsia="zh-CN"/>
        </w:rPr>
        <w:t>特别警示条款</w:t>
      </w:r>
      <w:r>
        <w:rPr>
          <w:rFonts w:eastAsia="宋体" w:hint="eastAsia"/>
          <w:b/>
          <w:color w:val="FF0000"/>
          <w:kern w:val="2"/>
          <w:sz w:val="20"/>
          <w:szCs w:val="20"/>
          <w:lang w:eastAsia="zh-CN"/>
        </w:rPr>
        <w:t>”</w:t>
      </w:r>
      <w:r>
        <w:rPr>
          <w:rFonts w:eastAsia="宋体" w:hint="eastAsia"/>
          <w:b/>
          <w:color w:val="FF0000"/>
          <w:kern w:val="2"/>
          <w:sz w:val="20"/>
          <w:szCs w:val="20"/>
          <w:lang w:eastAsia="zh-CN"/>
        </w:rPr>
        <w:t>和《政府采购（自行采购）违法行为风险知悉确认书》用于对供应商违法行为的提醒，不作为供应商资格性审查及符合性审查条件。</w:t>
      </w:r>
      <w:r>
        <w:rPr>
          <w:rFonts w:ascii="黑体" w:eastAsia="黑体" w:hAnsi="宋体" w:cs="黑体" w:hint="eastAsia"/>
          <w:kern w:val="2"/>
          <w:sz w:val="40"/>
          <w:szCs w:val="40"/>
          <w:lang w:eastAsia="zh-CN"/>
        </w:rPr>
        <w:br w:type="page"/>
      </w:r>
    </w:p>
    <w:p>
      <w:pPr>
        <w:widowControl w:val="0"/>
        <w:jc w:val="both"/>
        <w:rPr>
          <w:rFonts w:ascii="黑体" w:eastAsia="黑体" w:hAnsi="宋体" w:cs="黑体" w:hint="eastAsia"/>
          <w:sz w:val="40"/>
          <w:szCs w:val="40"/>
          <w:lang w:eastAsia="zh-CN"/>
        </w:rPr>
      </w:pPr>
    </w:p>
    <w:p>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Look w:val="0000"/>
      </w:tblPr>
      <w:tblGrid>
        <w:gridCol w:w="3141"/>
        <w:gridCol w:w="6022"/>
      </w:tblGrid>
      <w:tr>
        <w:tblPrEx>
          <w:tblW w:w="5000" w:type="pct"/>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项目编号：</w:t>
            </w:r>
          </w:p>
        </w:tc>
        <w:tc>
          <w:tcPr>
            <w:tcW w:w="5220" w:type="dxa"/>
            <w:vAlign w:val="center"/>
          </w:tcPr>
          <w:p>
            <w:pPr>
              <w:widowControl/>
              <w:jc w:val="left"/>
              <w:rPr>
                <w:rFonts w:ascii="Calibri" w:eastAsia="宋体" w:hAnsi="Calibri"/>
                <w:kern w:val="2"/>
                <w:sz w:val="30"/>
                <w:szCs w:val="30"/>
                <w:lang w:eastAsia="zh-CN"/>
              </w:rPr>
            </w:pPr>
            <w:r>
              <w:rPr>
                <w:rFonts w:ascii="宋体" w:eastAsia="宋体" w:hAnsi="宋体" w:hint="eastAsia"/>
                <w:kern w:val="2"/>
                <w:sz w:val="30"/>
                <w:szCs w:val="30"/>
                <w:lang w:eastAsia="zh-CN"/>
              </w:rPr>
              <w:t>BAZXCG-2025-00022</w:t>
            </w:r>
          </w:p>
        </w:tc>
      </w:tr>
      <w:tr>
        <w:tblPrEx>
          <w:tblW w:w="5000" w:type="pct"/>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项目名称：</w:t>
            </w:r>
          </w:p>
        </w:tc>
        <w:tc>
          <w:tcPr>
            <w:tcW w:w="5220" w:type="dxa"/>
            <w:vAlign w:val="center"/>
          </w:tcPr>
          <w:p>
            <w:pPr>
              <w:widowControl/>
              <w:jc w:val="left"/>
              <w:rPr>
                <w:rFonts w:ascii="Calibri" w:eastAsia="宋体" w:hAnsi="Calibri"/>
                <w:kern w:val="2"/>
                <w:sz w:val="30"/>
                <w:szCs w:val="30"/>
                <w:lang w:eastAsia="zh-CN"/>
              </w:rPr>
            </w:pPr>
            <w:r>
              <w:rPr>
                <w:rFonts w:ascii="宋体" w:eastAsia="宋体" w:hAnsi="宋体" w:hint="eastAsia"/>
                <w:kern w:val="2"/>
                <w:sz w:val="30"/>
                <w:szCs w:val="30"/>
                <w:lang w:eastAsia="zh-CN"/>
              </w:rPr>
              <w:t>深圳市宝安区水务技术监管中心物业管理服务</w:t>
            </w:r>
          </w:p>
        </w:tc>
      </w:tr>
      <w:tr>
        <w:tblPrEx>
          <w:tblW w:w="5000" w:type="pct"/>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包 号：</w:t>
            </w:r>
          </w:p>
        </w:tc>
        <w:tc>
          <w:tcPr>
            <w:tcW w:w="5220" w:type="dxa"/>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项目类型：</w:t>
            </w:r>
          </w:p>
        </w:tc>
        <w:tc>
          <w:tcPr>
            <w:tcW w:w="5220" w:type="dxa"/>
            <w:vAlign w:val="center"/>
          </w:tcPr>
          <w:p>
            <w:pPr>
              <w:widowControl/>
              <w:jc w:val="left"/>
              <w:rPr>
                <w:rFonts w:ascii="Calibri" w:eastAsia="宋体" w:hAnsi="Calibri"/>
                <w:kern w:val="2"/>
                <w:sz w:val="30"/>
                <w:szCs w:val="30"/>
                <w:lang w:eastAsia="zh-CN"/>
              </w:rPr>
            </w:pPr>
            <w:r>
              <w:rPr>
                <w:rFonts w:ascii="宋体" w:eastAsia="宋体" w:hAnsi="宋体" w:cs="宋体" w:hint="eastAsia"/>
                <w:sz w:val="30"/>
                <w:szCs w:val="30"/>
                <w:lang w:eastAsia="zh-CN" w:bidi="ar"/>
              </w:rPr>
              <w:t>服务</w:t>
            </w:r>
            <w:r>
              <w:rPr>
                <w:rFonts w:ascii="宋体" w:eastAsia="宋体" w:hAnsi="宋体" w:cs="宋体"/>
                <w:sz w:val="30"/>
                <w:szCs w:val="30"/>
                <w:lang w:eastAsia="zh-CN" w:bidi="ar"/>
              </w:rPr>
              <w:t>类</w:t>
            </w:r>
          </w:p>
        </w:tc>
      </w:tr>
      <w:tr>
        <w:tblPrEx>
          <w:tblW w:w="5000" w:type="pct"/>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采购方式：</w:t>
            </w:r>
          </w:p>
        </w:tc>
        <w:tc>
          <w:tcPr>
            <w:tcW w:w="5220" w:type="dxa"/>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公开招标</w:t>
            </w:r>
          </w:p>
        </w:tc>
      </w:tr>
      <w:tr>
        <w:tblPrEx>
          <w:tblW w:w="5000" w:type="pct"/>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货币类型：</w:t>
            </w:r>
          </w:p>
        </w:tc>
        <w:tc>
          <w:tcPr>
            <w:tcW w:w="5220" w:type="dxa"/>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评标方法：</w:t>
            </w:r>
          </w:p>
        </w:tc>
        <w:tc>
          <w:tcPr>
            <w:tcW w:w="5220" w:type="dxa"/>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综合评分法</w:t>
            </w:r>
          </w:p>
        </w:tc>
      </w:tr>
    </w:tbl>
    <w:p>
      <w:pPr>
        <w:widowControl/>
        <w:spacing w:before="100" w:beforeAutospacing="1" w:afterAutospacing="1"/>
        <w:jc w:val="center"/>
        <w:rPr>
          <w:rFonts w:ascii="黑体" w:eastAsia="黑体" w:hAnsi="黑体" w:hint="eastAsia"/>
          <w:kern w:val="2"/>
          <w:sz w:val="40"/>
          <w:szCs w:val="40"/>
          <w:lang w:eastAsia="zh-CN"/>
        </w:rPr>
      </w:pPr>
    </w:p>
    <w:p>
      <w:pPr>
        <w:widowControl/>
        <w:spacing w:before="100" w:beforeAutospacing="1" w:afterAutospacing="1"/>
        <w:jc w:val="center"/>
        <w:outlineLvl w:val="1"/>
        <w:rPr>
          <w:rFonts w:ascii="黑体" w:eastAsia="黑体" w:hAnsi="黑体" w:hint="eastAsia"/>
          <w:kern w:val="2"/>
          <w:sz w:val="40"/>
          <w:szCs w:val="40"/>
          <w:lang w:eastAsia="zh-CN"/>
        </w:rPr>
        <w:sectPr>
          <w:footerReference w:type="even" r:id="rId4"/>
          <w:footerReference w:type="default" r:id="rId5"/>
          <w:headerReference w:type="first" r:id="rId6"/>
          <w:pgSz w:w="11907" w:h="16840"/>
          <w:pgMar w:top="1440" w:right="1417" w:bottom="1440" w:left="1417" w:header="851" w:footer="992" w:gutter="0"/>
          <w:cols w:space="708"/>
          <w:titlePg/>
          <w:docGrid w:linePitch="462"/>
        </w:sectPr>
      </w:pPr>
    </w:p>
    <w:p>
      <w:pPr>
        <w:widowControl/>
        <w:spacing w:before="100" w:beforeAutospacing="1" w:afterAutospacing="1"/>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813"/>
        <w:gridCol w:w="84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kern w:val="2"/>
                <w:sz w:val="28"/>
                <w:szCs w:val="28"/>
                <w:lang w:eastAsia="zh-CN"/>
              </w:rPr>
              <w:t>内容</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pPr>
        <w:widowControl/>
        <w:spacing w:before="280" w:beforeAutospacing="1" w:afterAutospacing="1"/>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813"/>
        <w:gridCol w:w="84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kern w:val="2"/>
                <w:sz w:val="28"/>
                <w:szCs w:val="28"/>
                <w:lang w:eastAsia="zh-CN"/>
              </w:rPr>
              <w:t>内容</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不得将一个包的内容拆开投标；</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2</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分项报价或投标总价不得高于相应预算金额（或设定的预算金额下的最高限价）；</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4</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少数服从多数</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的原则确定评审委员会的意见）；</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5</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6</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未按招标文件所提供的样式填写《投标函》；未按招标文件所提供的《自行采购投标及履约承诺函》进行承诺；未按招标文件对投标文件组成的要求提供投标文件；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7</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采购标的/服务</w:t>
            </w:r>
            <w:r>
              <w:rPr>
                <w:rFonts w:eastAsia="宋体" w:hAnsi="Calibri" w:hint="eastAsia"/>
                <w:kern w:val="2"/>
                <w:sz w:val="21"/>
                <w:szCs w:val="22"/>
                <w:lang w:eastAsia="zh-CN"/>
              </w:rPr>
              <w:t>清单</w:t>
            </w:r>
            <w:r>
              <w:rPr>
                <w:rFonts w:ascii="Calibri" w:eastAsia="宋体" w:hAnsi="Calibri" w:hint="eastAsia"/>
                <w:kern w:val="2"/>
                <w:sz w:val="21"/>
                <w:szCs w:val="22"/>
                <w:lang w:eastAsia="zh-CN"/>
              </w:rPr>
              <w:t>/报价等任意一类</w:t>
            </w:r>
            <w:r>
              <w:rPr>
                <w:rFonts w:eastAsia="宋体" w:hAnsi="Calibri" w:hint="eastAsia"/>
                <w:kern w:val="2"/>
                <w:sz w:val="21"/>
                <w:szCs w:val="22"/>
                <w:lang w:eastAsia="zh-CN"/>
              </w:rPr>
              <w:t>有缺漏项或响应不全</w:t>
            </w:r>
            <w:r>
              <w:rPr>
                <w:rFonts w:ascii="Calibri" w:eastAsia="宋体" w:hAnsi="Calibri" w:hint="eastAsia"/>
                <w:kern w:val="2"/>
                <w:sz w:val="21"/>
                <w:szCs w:val="22"/>
                <w:lang w:eastAsia="zh-CN"/>
              </w:rPr>
              <w:t>，或者对招标文件规定的项目需求内容或者需求数量进行修改</w:t>
            </w:r>
            <w:r>
              <w:rPr>
                <w:rFonts w:ascii="Calibri" w:eastAsia="宋体" w:hAnsi="Calibri" w:hint="eastAsia"/>
                <w:kern w:val="2"/>
                <w:sz w:val="21"/>
                <w:szCs w:val="21"/>
                <w:lang w:eastAsia="zh-CN"/>
              </w:rPr>
              <w:t>，评审委员会判定投标响应不满足采购需求</w:t>
            </w:r>
            <w:r>
              <w:rPr>
                <w:rFonts w:ascii="Calibri" w:eastAsia="宋体" w:hAnsi="Calibr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8</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9</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投标文件电子文档不得带病毒；</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kern w:val="2"/>
                <w:sz w:val="21"/>
                <w:szCs w:val="21"/>
                <w:lang w:eastAsia="zh-CN"/>
              </w:rPr>
              <w:t>10</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rFonts w:ascii="宋体" w:eastAsia="宋体" w:hAnsi="宋体" w:cs="宋体"/>
                <w:kern w:val="2"/>
                <w:sz w:val="21"/>
                <w:szCs w:val="21"/>
                <w:lang w:eastAsia="zh-CN"/>
              </w:rPr>
            </w:pPr>
            <w:r>
              <w:rPr>
                <w:rFonts w:ascii="Calibri" w:eastAsia="宋体" w:hAnsi="Calibri" w:hint="eastAsia"/>
                <w:kern w:val="2"/>
                <w:sz w:val="21"/>
                <w:lang w:eastAsia="zh-CN"/>
              </w:rPr>
              <w:t>11</w:t>
            </w:r>
          </w:p>
        </w:tc>
        <w:tc>
          <w:tcPr>
            <w:tcW w:w="8278" w:type="dxa"/>
            <w:tcBorders>
              <w:top w:val="single" w:sz="8" w:space="0" w:color="000000"/>
              <w:left w:val="single" w:sz="8" w:space="0" w:color="000000"/>
              <w:bottom w:val="single" w:sz="8" w:space="0" w:color="000000"/>
              <w:right w:val="single" w:sz="8" w:space="0" w:color="000000"/>
            </w:tcBorders>
          </w:tcPr>
          <w:p>
            <w:pPr>
              <w:widowControl/>
              <w:jc w:val="left"/>
              <w:textAlignment w:val="top"/>
              <w:rPr>
                <w:rFonts w:ascii="Calibri" w:eastAsia="宋体" w:hAnsi="Calibri"/>
                <w:kern w:val="2"/>
                <w:sz w:val="21"/>
                <w:szCs w:val="22"/>
                <w:lang w:eastAsia="zh-CN"/>
              </w:rPr>
            </w:pPr>
            <w:r>
              <w:rPr>
                <w:rFonts w:eastAsia="宋体" w:hint="eastAsia"/>
                <w:kern w:val="2"/>
                <w:sz w:val="21"/>
                <w:lang w:eastAsia="zh-CN"/>
              </w:rPr>
              <w:t>不同投标供应商投标文件</w:t>
            </w:r>
            <w:r>
              <w:rPr>
                <w:rFonts w:eastAsia="宋体" w:hint="eastAsia"/>
                <w:kern w:val="2"/>
                <w:sz w:val="21"/>
                <w:lang w:eastAsia="zh-CN"/>
              </w:rPr>
              <w:t>“</w:t>
            </w:r>
            <w:r>
              <w:rPr>
                <w:rFonts w:eastAsia="宋体" w:hint="eastAsia"/>
                <w:kern w:val="2"/>
                <w:sz w:val="21"/>
                <w:lang w:eastAsia="zh-CN"/>
              </w:rPr>
              <w:t>文件制作机器码</w:t>
            </w:r>
            <w:r>
              <w:rPr>
                <w:rFonts w:eastAsia="宋体" w:hint="eastAsia"/>
                <w:kern w:val="2"/>
                <w:sz w:val="21"/>
                <w:lang w:eastAsia="zh-CN"/>
              </w:rPr>
              <w:t>”</w:t>
            </w:r>
            <w:r>
              <w:rPr>
                <w:rFonts w:eastAsia="宋体" w:hint="eastAsia"/>
                <w:kern w:val="2"/>
                <w:sz w:val="21"/>
                <w:lang w:eastAsia="zh-CN"/>
              </w:rPr>
              <w:t>一致；</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rFonts w:ascii="宋体" w:eastAsia="宋体" w:hAnsi="宋体" w:cs="宋体"/>
                <w:kern w:val="2"/>
                <w:sz w:val="21"/>
                <w:szCs w:val="21"/>
                <w:lang w:eastAsia="zh-CN"/>
              </w:rPr>
            </w:pPr>
            <w:r>
              <w:rPr>
                <w:rFonts w:ascii="Calibri" w:eastAsia="宋体" w:hAnsi="Calibri" w:hint="eastAsia"/>
                <w:kern w:val="2"/>
                <w:sz w:val="21"/>
                <w:lang w:eastAsia="zh-CN"/>
              </w:rPr>
              <w:t>12</w:t>
            </w:r>
          </w:p>
        </w:tc>
        <w:tc>
          <w:tcPr>
            <w:tcW w:w="8278" w:type="dxa"/>
            <w:tcBorders>
              <w:top w:val="single" w:sz="8" w:space="0" w:color="000000"/>
              <w:left w:val="single" w:sz="8" w:space="0" w:color="000000"/>
              <w:bottom w:val="single" w:sz="8" w:space="0" w:color="000000"/>
              <w:right w:val="single" w:sz="8" w:space="0" w:color="000000"/>
            </w:tcBorders>
          </w:tcPr>
          <w:p>
            <w:pPr>
              <w:widowControl/>
              <w:jc w:val="left"/>
              <w:textAlignment w:val="top"/>
              <w:rPr>
                <w:rFonts w:ascii="Calibri" w:eastAsia="宋体" w:hAnsi="Calibri"/>
                <w:kern w:val="2"/>
                <w:sz w:val="21"/>
                <w:szCs w:val="22"/>
                <w:lang w:eastAsia="zh-CN"/>
              </w:rPr>
            </w:pPr>
            <w:r>
              <w:rPr>
                <w:rFonts w:eastAsia="宋体" w:hint="eastAsia"/>
                <w:kern w:val="2"/>
                <w:sz w:val="21"/>
                <w:lang w:eastAsia="zh-CN"/>
              </w:rPr>
              <w:t>不同投标供应商投标文件</w:t>
            </w:r>
            <w:r>
              <w:rPr>
                <w:rFonts w:eastAsia="宋体" w:hint="eastAsia"/>
                <w:kern w:val="2"/>
                <w:sz w:val="21"/>
                <w:lang w:eastAsia="zh-CN"/>
              </w:rPr>
              <w:t>“</w:t>
            </w:r>
            <w:r>
              <w:rPr>
                <w:rFonts w:eastAsia="宋体" w:hint="eastAsia"/>
                <w:kern w:val="2"/>
                <w:sz w:val="21"/>
                <w:lang w:eastAsia="zh-CN"/>
              </w:rPr>
              <w:t>文件创建标识码</w:t>
            </w:r>
            <w:r>
              <w:rPr>
                <w:rFonts w:eastAsia="宋体" w:hint="eastAsia"/>
                <w:kern w:val="2"/>
                <w:sz w:val="21"/>
                <w:lang w:eastAsia="zh-CN"/>
              </w:rPr>
              <w:t>”</w:t>
            </w:r>
            <w:r>
              <w:rPr>
                <w:rFonts w:eastAsia="宋体" w:hint="eastAsia"/>
                <w:kern w:val="2"/>
                <w:sz w:val="21"/>
                <w:lang w:eastAsia="zh-CN"/>
              </w:rPr>
              <w:t>一致；</w:t>
            </w:r>
          </w:p>
        </w:tc>
      </w:tr>
      <w:tr>
        <w:tblPrEx>
          <w:tblW w:w="5000" w:type="pct"/>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hint="eastAsia"/>
                <w:kern w:val="2"/>
                <w:sz w:val="21"/>
                <w:szCs w:val="21"/>
                <w:lang w:eastAsia="zh-CN"/>
              </w:rPr>
            </w:pPr>
            <w:r>
              <w:rPr>
                <w:rFonts w:ascii="Calibri" w:eastAsia="宋体" w:hAnsi="Calibri"/>
                <w:kern w:val="2"/>
                <w:sz w:val="21"/>
                <w:szCs w:val="21"/>
                <w:lang w:eastAsia="zh-CN"/>
              </w:rPr>
              <w:t>1</w:t>
            </w:r>
            <w:r>
              <w:rPr>
                <w:rFonts w:ascii="Calibri" w:eastAsia="宋体" w:hAnsi="Calibri" w:hint="eastAsia"/>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hint="eastAsia"/>
                <w:kern w:val="2"/>
                <w:sz w:val="21"/>
                <w:szCs w:val="22"/>
                <w:lang w:eastAsia="zh-CN"/>
              </w:rPr>
              <w:t>法律、法规、规章、规范性文件规定的其他情形。</w:t>
            </w:r>
          </w:p>
        </w:tc>
      </w:tr>
    </w:tbl>
    <w:p>
      <w:pPr>
        <w:widowControl/>
        <w:spacing w:before="100" w:beforeAutospacing="1" w:afterAutospacing="1"/>
        <w:jc w:val="center"/>
        <w:rPr>
          <w:rFonts w:ascii="黑体" w:eastAsia="黑体" w:hAnsi="黑体" w:hint="eastAsia"/>
          <w:kern w:val="2"/>
          <w:sz w:val="40"/>
          <w:szCs w:val="40"/>
          <w:lang w:eastAsia="zh-CN"/>
        </w:rPr>
      </w:pPr>
    </w:p>
    <w:p>
      <w:pPr>
        <w:widowControl/>
        <w:spacing w:before="100" w:beforeAutospacing="1" w:afterAutospacing="1"/>
        <w:jc w:val="center"/>
        <w:outlineLvl w:val="1"/>
        <w:rPr>
          <w:rFonts w:ascii="黑体" w:eastAsia="黑体" w:hAnsi="黑体" w:hint="eastAsia"/>
          <w:kern w:val="2"/>
          <w:sz w:val="40"/>
          <w:szCs w:val="40"/>
          <w:lang w:eastAsia="zh-CN"/>
        </w:rPr>
        <w:sectPr>
          <w:pgSz w:w="11907" w:h="16840"/>
          <w:pgMar w:top="1440" w:right="1417" w:bottom="1440" w:left="1417" w:header="851" w:footer="992" w:gutter="0"/>
          <w:cols w:space="708"/>
          <w:titlePg/>
          <w:docGrid w:linePitch="462"/>
        </w:sectPr>
      </w:pPr>
    </w:p>
    <w:p>
      <w:pPr>
        <w:widowControl/>
        <w:spacing w:before="100" w:beforeAutospacing="1" w:afterAutospacing="1"/>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45" w:type="dxa"/>
          <w:left w:w="45" w:type="dxa"/>
          <w:bottom w:w="45" w:type="dxa"/>
          <w:right w:w="45" w:type="dxa"/>
        </w:tblCellMar>
        <w:tblLook w:val="0000"/>
      </w:tblPr>
      <w:tblGrid>
        <w:gridCol w:w="8173"/>
        <w:gridCol w:w="230"/>
      </w:tblGrid>
      <w:tr>
        <w:tblPrEx>
          <w:tblW w:w="5000" w:type="pct"/>
          <w:jc w:val="center"/>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45" w:type="dxa"/>
            <w:left w:w="45" w:type="dxa"/>
            <w:bottom w:w="45" w:type="dxa"/>
            <w:right w:w="45" w:type="dxa"/>
          </w:tblCellMar>
          <w:tblLook w:val="0000"/>
        </w:tblPrEx>
        <w:trPr>
          <w:tblCellSpacing w:w="0" w:type="dxa"/>
          <w:jc w:val="center"/>
        </w:trPr>
        <w:tc>
          <w:tcPr>
            <w:tcW w:w="8873" w:type="dxa"/>
            <w:vAlign w:val="center"/>
          </w:tcPr>
          <w:p>
            <w:pPr>
              <w:widowControl/>
              <w:jc w:val="left"/>
              <w:rPr>
                <w:rFonts w:ascii="Calibri" w:eastAsia="宋体" w:hAnsi="Calibri"/>
                <w:b/>
                <w:bCs/>
                <w:kern w:val="2"/>
                <w:szCs w:val="22"/>
                <w:lang w:eastAsia="zh-CN"/>
              </w:rPr>
            </w:pPr>
            <w:r>
              <w:rPr>
                <w:rFonts w:ascii="Calibri" w:eastAsia="宋体" w:hAnsi="Calibri"/>
                <w:b/>
                <w:bCs/>
                <w:kern w:val="2"/>
                <w:sz w:val="21"/>
                <w:szCs w:val="22"/>
                <w:lang w:eastAsia="zh-CN"/>
              </w:rPr>
              <w:t>评标方法：综合评分法</w:t>
            </w:r>
          </w:p>
        </w:tc>
        <w:tc>
          <w:tcPr>
            <w:tcW w:w="240" w:type="dxa"/>
            <w:vAlign w:val="center"/>
          </w:tcPr>
          <w:p>
            <w:pPr>
              <w:widowControl w:val="0"/>
              <w:jc w:val="right"/>
              <w:rPr>
                <w:rFonts w:ascii="宋体" w:eastAsia="宋体" w:hAnsi="Calibri"/>
                <w:b/>
                <w:bCs/>
                <w:kern w:val="2"/>
                <w:szCs w:val="22"/>
                <w:lang w:eastAsia="zh-CN"/>
              </w:rPr>
            </w:pPr>
          </w:p>
        </w:tc>
      </w:tr>
      <w:tr>
        <w:tblPrEx>
          <w:tblW w:w="5000" w:type="pct"/>
          <w:jc w:val="center"/>
          <w:tblCellSpacing w:w="0" w:type="dxa"/>
          <w:tblLayout w:type="fixed"/>
          <w:tblCellMar>
            <w:top w:w="45" w:type="dxa"/>
            <w:left w:w="45" w:type="dxa"/>
            <w:bottom w:w="45" w:type="dxa"/>
            <w:right w:w="45" w:type="dxa"/>
          </w:tblCellMar>
          <w:tblLook w:val="0000"/>
        </w:tblPrEx>
        <w:trPr>
          <w:tblCellSpacing w:w="0" w:type="dxa"/>
          <w:jc w:val="center"/>
        </w:trPr>
        <w:tc>
          <w:tcPr>
            <w:tcW w:w="9113" w:type="dxa"/>
            <w:gridSpan w:val="2"/>
            <w:vAlign w:val="center"/>
          </w:tcPr>
          <w:p>
            <w:pPr>
              <w:widowControl w:val="0"/>
              <w:ind w:firstLine="420"/>
              <w:jc w:val="both"/>
              <w:rPr>
                <w:rFonts w:ascii="Calibri" w:eastAsia="宋体" w:hAnsi="Calibri" w:hint="eastAsia"/>
                <w:kern w:val="2"/>
                <w:sz w:val="21"/>
                <w:szCs w:val="21"/>
                <w:lang w:eastAsia="zh-CN"/>
              </w:rPr>
            </w:pPr>
            <w:r>
              <w:rPr>
                <w:rFonts w:ascii="Calibri" w:eastAsia="宋体" w:hAnsi="Calibri"/>
                <w:kern w:val="2"/>
                <w:sz w:val="21"/>
                <w:szCs w:val="21"/>
                <w:lang w:eastAsia="zh-CN"/>
              </w:rPr>
              <w:t>综合评分法，是指投标文件满足招标文件全部实质性要求，且按照评审因素的量化指标评审得分最高的投标人为中标候选人的评标方法。</w:t>
            </w:r>
          </w:p>
          <w:p>
            <w:pPr>
              <w:widowControl w:val="0"/>
              <w:ind w:firstLine="420"/>
              <w:jc w:val="both"/>
              <w:rPr>
                <w:rFonts w:ascii="Calibri" w:eastAsia="宋体" w:hAnsi="Calibri"/>
                <w:kern w:val="2"/>
                <w:sz w:val="21"/>
                <w:szCs w:val="21"/>
                <w:lang w:eastAsia="zh-CN"/>
              </w:rPr>
            </w:pPr>
            <w:r>
              <w:rPr>
                <w:rFonts w:ascii="Calibri" w:eastAsia="宋体" w:hAnsi="Calibri"/>
                <w:kern w:val="2"/>
                <w:sz w:val="21"/>
                <w:szCs w:val="21"/>
                <w:lang w:eastAsia="zh-CN"/>
              </w:rPr>
              <w:t>价格分计算方法：</w:t>
            </w:r>
          </w:p>
          <w:p>
            <w:pPr>
              <w:widowControl/>
              <w:ind w:left="420"/>
              <w:jc w:val="left"/>
              <w:rPr>
                <w:rFonts w:eastAsia="宋体"/>
                <w:kern w:val="2"/>
                <w:sz w:val="21"/>
                <w:szCs w:val="21"/>
                <w:lang w:eastAsia="zh-CN"/>
              </w:rPr>
            </w:pPr>
            <w:r>
              <w:rPr>
                <w:rFonts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eastAsia="宋体"/>
                <w:kern w:val="2"/>
                <w:sz w:val="21"/>
                <w:szCs w:val="21"/>
                <w:lang w:eastAsia="zh-CN"/>
              </w:rPr>
              <w:br/>
            </w:r>
            <w:r>
              <w:rPr>
                <w:rFonts w:eastAsia="宋体"/>
                <w:kern w:val="2"/>
                <w:sz w:val="21"/>
                <w:szCs w:val="21"/>
                <w:lang w:eastAsia="zh-CN"/>
              </w:rPr>
              <w:t xml:space="preserve">投标报价得分=(评标基准价／投标报价)×100 </w:t>
            </w:r>
            <w:r>
              <w:rPr>
                <w:rFonts w:eastAsia="宋体"/>
                <w:kern w:val="2"/>
                <w:sz w:val="21"/>
                <w:szCs w:val="21"/>
                <w:lang w:eastAsia="zh-CN"/>
              </w:rPr>
              <w:br/>
            </w:r>
            <w:r>
              <w:rPr>
                <w:rFonts w:eastAsia="宋体"/>
                <w:kern w:val="2"/>
                <w:sz w:val="21"/>
                <w:szCs w:val="21"/>
                <w:lang w:eastAsia="zh-CN"/>
              </w:rPr>
              <w:t xml:space="preserve">评标总得分＝F1×A1＋F2×A2＋……＋Fn×An </w:t>
            </w:r>
            <w:r>
              <w:rPr>
                <w:rFonts w:eastAsia="宋体"/>
                <w:kern w:val="2"/>
                <w:sz w:val="21"/>
                <w:szCs w:val="21"/>
                <w:lang w:eastAsia="zh-CN"/>
              </w:rPr>
              <w:br/>
            </w:r>
            <w:r>
              <w:rPr>
                <w:rFonts w:eastAsia="宋体"/>
                <w:kern w:val="2"/>
                <w:sz w:val="21"/>
                <w:szCs w:val="21"/>
                <w:lang w:eastAsia="zh-CN"/>
              </w:rPr>
              <w:t xml:space="preserve">F1、F2……Fn分别为各项评审因素的得分； </w:t>
            </w:r>
            <w:r>
              <w:rPr>
                <w:rFonts w:eastAsia="宋体"/>
                <w:kern w:val="2"/>
                <w:sz w:val="21"/>
                <w:szCs w:val="21"/>
                <w:lang w:eastAsia="zh-CN"/>
              </w:rPr>
              <w:br/>
            </w:r>
            <w:r>
              <w:rPr>
                <w:rFonts w:eastAsia="宋体"/>
                <w:kern w:val="2"/>
                <w:sz w:val="21"/>
                <w:szCs w:val="21"/>
                <w:lang w:eastAsia="zh-CN"/>
              </w:rPr>
              <w:t xml:space="preserve">A1、A2、……An 分别为各项评审因素所占的权重(A1＋A2＋……＋An＝1)。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pPr>
              <w:widowControl/>
              <w:ind w:left="420"/>
              <w:jc w:val="left"/>
              <w:rPr>
                <w:rFonts w:eastAsia="宋体"/>
                <w:kern w:val="2"/>
                <w:sz w:val="21"/>
                <w:szCs w:val="21"/>
                <w:lang w:eastAsia="zh-CN"/>
              </w:rPr>
            </w:pPr>
            <w:r>
              <w:rPr>
                <w:rFonts w:eastAsia="宋体" w:hint="eastAsia"/>
                <w:kern w:val="2"/>
                <w:sz w:val="21"/>
                <w:szCs w:val="21"/>
                <w:lang w:eastAsia="zh-CN"/>
              </w:rPr>
              <w:t>因落实政策进行价格调整的，以调整后的价格计算评标基准价和投标报价。</w:t>
            </w:r>
          </w:p>
          <w:p>
            <w:pPr>
              <w:widowControl w:val="0"/>
              <w:ind w:firstLine="420" w:firstLineChars="200"/>
              <w:jc w:val="both"/>
              <w:rPr>
                <w:rFonts w:eastAsia="宋体"/>
                <w:lang w:eastAsia="zh-CN"/>
              </w:rPr>
            </w:pPr>
            <w:r>
              <w:rPr>
                <w:rFonts w:ascii="Calibri" w:eastAsia="宋体" w:hAnsi="Calibri" w:hint="eastAsia"/>
                <w:b/>
                <w:bCs/>
                <w:color w:val="FF0000"/>
                <w:kern w:val="2"/>
                <w:sz w:val="21"/>
                <w:szCs w:val="22"/>
                <w:lang w:eastAsia="zh-CN"/>
              </w:rPr>
              <w:t>注：投标人的</w:t>
            </w:r>
            <w:r>
              <w:rPr>
                <w:rFonts w:ascii="Calibri" w:eastAsia="宋体" w:hAnsi="Calibri" w:hint="eastAsia"/>
                <w:b/>
                <w:bCs/>
                <w:color w:val="FF0000"/>
                <w:kern w:val="2"/>
                <w:sz w:val="21"/>
                <w:szCs w:val="22"/>
                <w:lang w:eastAsia="zh-CN"/>
              </w:rPr>
              <w:t>“</w:t>
            </w:r>
            <w:r>
              <w:rPr>
                <w:rFonts w:ascii="Calibri" w:eastAsia="宋体" w:hAnsi="Calibri" w:hint="eastAsia"/>
                <w:b/>
                <w:bCs/>
                <w:color w:val="FF0000"/>
                <w:kern w:val="2"/>
                <w:sz w:val="21"/>
                <w:szCs w:val="22"/>
                <w:lang w:eastAsia="zh-CN"/>
              </w:rPr>
              <w:t>投标技术响应</w:t>
            </w:r>
            <w:r>
              <w:rPr>
                <w:rFonts w:ascii="Calibri" w:eastAsia="宋体" w:hAnsi="Calibri" w:hint="eastAsia"/>
                <w:b/>
                <w:bCs/>
                <w:color w:val="FF0000"/>
                <w:kern w:val="2"/>
                <w:sz w:val="21"/>
                <w:szCs w:val="22"/>
                <w:lang w:eastAsia="zh-CN"/>
              </w:rPr>
              <w:t>”“</w:t>
            </w:r>
            <w:r>
              <w:rPr>
                <w:rFonts w:ascii="Calibri" w:eastAsia="宋体" w:hAnsi="Calibri" w:hint="eastAsia"/>
                <w:b/>
                <w:bCs/>
                <w:color w:val="FF0000"/>
                <w:kern w:val="2"/>
                <w:sz w:val="21"/>
                <w:szCs w:val="22"/>
                <w:lang w:eastAsia="zh-CN"/>
              </w:rPr>
              <w:t>技术要求偏离表中偏离情况</w:t>
            </w:r>
            <w:r>
              <w:rPr>
                <w:rFonts w:ascii="Calibri" w:eastAsia="宋体" w:hAnsi="Calibri" w:hint="eastAsia"/>
                <w:b/>
                <w:bCs/>
                <w:color w:val="FF0000"/>
                <w:kern w:val="2"/>
                <w:sz w:val="21"/>
                <w:szCs w:val="22"/>
                <w:lang w:eastAsia="zh-CN"/>
              </w:rPr>
              <w:t>”</w:t>
            </w:r>
            <w:r>
              <w:rPr>
                <w:rFonts w:ascii="Calibri" w:eastAsia="宋体" w:hAnsi="Calibri" w:hint="eastAsia"/>
                <w:b/>
                <w:bCs/>
                <w:color w:val="FF0000"/>
                <w:kern w:val="2"/>
                <w:sz w:val="21"/>
                <w:szCs w:val="22"/>
                <w:lang w:eastAsia="zh-CN"/>
              </w:rPr>
              <w:t>等必须与客观实际保持一致，响应不实且情节严重的，经查实，将依法记入供应商诚信档案或受到行政处罚。</w:t>
            </w:r>
          </w:p>
        </w:tc>
      </w:tr>
    </w:tbl>
    <w:p>
      <w:pPr>
        <w:widowControl w:val="0"/>
        <w:jc w:val="both"/>
        <w:rPr>
          <w:rFonts w:ascii="Calibri" w:eastAsia="宋体" w:hAnsi="Calibri"/>
          <w:vanish/>
          <w:kern w:val="2"/>
          <w:sz w:val="21"/>
          <w:szCs w:val="22"/>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650"/>
        <w:gridCol w:w="649"/>
        <w:gridCol w:w="2656"/>
        <w:gridCol w:w="650"/>
        <w:gridCol w:w="392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wordWrap w:val="0"/>
              <w:spacing w:line="340" w:lineRule="exact"/>
              <w:jc w:val="center"/>
              <w:rPr>
                <w:rFonts w:ascii="宋体" w:eastAsia="宋体" w:hAnsi="宋体" w:cs="宋体"/>
                <w:b/>
                <w:bCs/>
                <w:kern w:val="2"/>
                <w:szCs w:val="22"/>
                <w:lang w:eastAsia="zh-CN"/>
              </w:rPr>
            </w:pPr>
            <w:r>
              <w:rPr>
                <w:rFonts w:ascii="Calibri" w:eastAsia="宋体" w:hAnsi="Calibri"/>
                <w:b/>
                <w:bCs/>
                <w:kern w:val="2"/>
                <w:sz w:val="21"/>
                <w:szCs w:val="22"/>
                <w:lang w:eastAsia="zh-CN"/>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wordWrap w:val="0"/>
              <w:spacing w:line="340" w:lineRule="exact"/>
              <w:jc w:val="center"/>
              <w:rPr>
                <w:rFonts w:ascii="宋体" w:eastAsia="宋体" w:hAnsi="宋体" w:cs="宋体"/>
                <w:b/>
                <w:bCs/>
                <w:kern w:val="2"/>
                <w:szCs w:val="22"/>
                <w:lang w:eastAsia="zh-CN"/>
              </w:rPr>
            </w:pPr>
            <w:r>
              <w:rPr>
                <w:rFonts w:ascii="Calibri" w:eastAsia="宋体" w:hAnsi="Calibri"/>
                <w:b/>
                <w:bCs/>
                <w:kern w:val="2"/>
                <w:sz w:val="21"/>
                <w:szCs w:val="22"/>
                <w:lang w:eastAsia="zh-CN"/>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wordWrap w:val="0"/>
              <w:spacing w:line="340" w:lineRule="exact"/>
              <w:jc w:val="center"/>
              <w:rPr>
                <w:rFonts w:ascii="宋体" w:eastAsia="宋体" w:hAnsi="宋体" w:cs="宋体"/>
                <w:b/>
                <w:bCs/>
                <w:kern w:val="2"/>
                <w:szCs w:val="22"/>
                <w:lang w:eastAsia="zh-CN"/>
              </w:rPr>
            </w:pPr>
            <w:r>
              <w:rPr>
                <w:rFonts w:ascii="Calibri" w:eastAsia="宋体" w:hAnsi="Calibri"/>
                <w:b/>
                <w:bCs/>
                <w:kern w:val="2"/>
                <w:sz w:val="21"/>
                <w:szCs w:val="22"/>
                <w:lang w:eastAsia="zh-CN"/>
              </w:rPr>
              <w:t>权重(%)</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宋体" w:eastAsia="宋体" w:hAnsi="宋体" w:cs="宋体"/>
                <w:b/>
                <w:bCs/>
                <w:color w:val="0000FF"/>
                <w:kern w:val="2"/>
                <w:szCs w:val="22"/>
                <w:lang w:eastAsia="zh-CN"/>
              </w:rPr>
            </w:pPr>
            <w:r>
              <w:rPr>
                <w:rFonts w:ascii="Calibri" w:eastAsia="宋体" w:hAnsi="Calibri"/>
                <w:b/>
                <w:bCs/>
                <w:color w:val="0000FF"/>
                <w:kern w:val="2"/>
                <w:sz w:val="21"/>
                <w:szCs w:val="22"/>
                <w:lang w:eastAsia="zh-CN"/>
              </w:rPr>
              <w:t>1</w:t>
            </w:r>
          </w:p>
        </w:tc>
        <w:tc>
          <w:tcPr>
            <w:tcW w:w="4196" w:type="dxa"/>
            <w:gridSpan w:val="3"/>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宋体" w:eastAsia="宋体" w:hAnsi="宋体" w:cs="宋体"/>
                <w:b/>
                <w:bCs/>
                <w:color w:val="0000FF"/>
                <w:kern w:val="2"/>
                <w:szCs w:val="22"/>
                <w:lang w:eastAsia="zh-CN"/>
              </w:rPr>
            </w:pPr>
            <w:r>
              <w:rPr>
                <w:rFonts w:ascii="Calibri" w:eastAsia="宋体" w:hAnsi="Calibri"/>
                <w:b/>
                <w:bCs/>
                <w:color w:val="0000FF"/>
                <w:kern w:val="2"/>
                <w:sz w:val="21"/>
                <w:szCs w:val="22"/>
                <w:lang w:eastAsia="zh-CN"/>
              </w:rPr>
              <w:t>价格</w:t>
            </w:r>
          </w:p>
        </w:tc>
        <w:tc>
          <w:tcPr>
            <w:tcW w:w="4196" w:type="dxa"/>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宋体" w:eastAsia="宋体" w:hAnsi="宋体" w:cs="宋体"/>
                <w:b/>
                <w:bCs/>
                <w:color w:val="0000FF"/>
                <w:kern w:val="2"/>
                <w:szCs w:val="22"/>
                <w:lang w:eastAsia="zh-CN"/>
              </w:rPr>
            </w:pPr>
            <w:r>
              <w:rPr>
                <w:rFonts w:ascii="Calibri" w:eastAsia="宋体" w:hAnsi="Calibri" w:hint="eastAsia"/>
                <w:b/>
                <w:bCs/>
                <w:color w:val="0000FF"/>
                <w:kern w:val="2"/>
                <w:sz w:val="21"/>
                <w:szCs w:val="22"/>
                <w:lang w:eastAsia="zh-CN"/>
              </w:rPr>
              <w:t>10</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both"/>
              <w:rPr>
                <w:rFonts w:ascii="宋体" w:eastAsia="宋体" w:hAnsi="宋体" w:cs="宋体"/>
                <w:kern w:val="2"/>
                <w:sz w:val="21"/>
                <w:szCs w:val="21"/>
                <w:lang w:eastAsia="zh-CN"/>
              </w:rPr>
            </w:pP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宋体" w:eastAsia="宋体" w:hAnsi="宋体" w:cs="宋体"/>
                <w:b/>
                <w:bCs/>
                <w:color w:val="0000FF"/>
                <w:kern w:val="2"/>
                <w:szCs w:val="22"/>
                <w:lang w:eastAsia="zh-CN"/>
              </w:rPr>
            </w:pPr>
            <w:r>
              <w:rPr>
                <w:rFonts w:ascii="Calibri" w:eastAsia="宋体" w:hAnsi="Calibri"/>
                <w:b/>
                <w:bCs/>
                <w:color w:val="0000FF"/>
                <w:kern w:val="2"/>
                <w:sz w:val="21"/>
                <w:szCs w:val="22"/>
                <w:lang w:eastAsia="zh-CN"/>
              </w:rPr>
              <w:t>2</w:t>
            </w:r>
          </w:p>
        </w:tc>
        <w:tc>
          <w:tcPr>
            <w:tcW w:w="4196" w:type="dxa"/>
            <w:gridSpan w:val="3"/>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Calibri" w:eastAsia="宋体" w:hAnsi="Calibri"/>
                <w:b/>
                <w:bCs/>
                <w:color w:val="0000FF"/>
                <w:kern w:val="2"/>
                <w:sz w:val="21"/>
                <w:szCs w:val="22"/>
                <w:lang w:eastAsia="zh-CN"/>
              </w:rPr>
            </w:pPr>
            <w:r>
              <w:rPr>
                <w:rFonts w:ascii="Calibri" w:eastAsia="宋体" w:hAnsi="Calibri"/>
                <w:b/>
                <w:bCs/>
                <w:color w:val="0000FF"/>
                <w:kern w:val="2"/>
                <w:sz w:val="21"/>
                <w:szCs w:val="22"/>
                <w:lang w:eastAsia="zh-CN"/>
              </w:rPr>
              <w:t>技术</w:t>
            </w:r>
            <w:r>
              <w:rPr>
                <w:rFonts w:ascii="Calibri" w:eastAsia="宋体" w:hAnsi="Calibri" w:hint="eastAsia"/>
                <w:b/>
                <w:bCs/>
                <w:color w:val="0000FF"/>
                <w:kern w:val="2"/>
                <w:sz w:val="21"/>
                <w:szCs w:val="22"/>
                <w:lang w:eastAsia="zh-CN"/>
              </w:rPr>
              <w:t>部分</w:t>
            </w:r>
          </w:p>
        </w:tc>
        <w:tc>
          <w:tcPr>
            <w:tcW w:w="4196" w:type="dxa"/>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Calibri" w:eastAsia="宋体" w:hAnsi="Calibri"/>
                <w:b/>
                <w:bCs/>
                <w:color w:val="0000FF"/>
                <w:kern w:val="2"/>
                <w:sz w:val="21"/>
                <w:szCs w:val="22"/>
                <w:lang w:eastAsia="zh-CN"/>
              </w:rPr>
            </w:pPr>
            <w:r>
              <w:rPr>
                <w:rFonts w:ascii="Calibri" w:eastAsia="宋体" w:hAnsi="Calibri" w:hint="eastAsia"/>
                <w:b/>
                <w:bCs/>
                <w:color w:val="0000FF"/>
                <w:kern w:val="2"/>
                <w:sz w:val="21"/>
                <w:szCs w:val="22"/>
                <w:lang w:eastAsia="zh-CN"/>
              </w:rPr>
              <w:t>54</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both"/>
              <w:rPr>
                <w:rFonts w:ascii="宋体" w:eastAsia="宋体" w:hAnsi="宋体" w:cs="宋体"/>
                <w:kern w:val="2"/>
                <w:sz w:val="21"/>
                <w:szCs w:val="21"/>
                <w:lang w:eastAsia="zh-CN"/>
              </w:rPr>
            </w:pP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评分准则</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wordWrap w:val="0"/>
              <w:spacing w:line="34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40" w:lineRule="exact"/>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实施方案</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pPr>
              <w:keepNext w:val="0"/>
              <w:keepLines w:val="0"/>
              <w:widowControl w:val="0"/>
              <w:suppressLineNumbers w:val="0"/>
              <w:spacing w:before="0" w:beforeAutospacing="0" w:after="0" w:afterAutospacing="0" w:line="340" w:lineRule="exact"/>
              <w:ind w:left="0" w:right="0"/>
              <w:jc w:val="left"/>
              <w:rPr>
                <w:rFonts w:ascii="宋体" w:eastAsia="宋体" w:hAnsi="宋体" w:cs="宋体"/>
                <w:b/>
                <w:bCs/>
                <w:sz w:val="20"/>
                <w:szCs w:val="21"/>
                <w:lang w:eastAsia="zh-CN" w:bidi="ar"/>
              </w:rPr>
            </w:pPr>
            <w:r>
              <w:rPr>
                <w:rFonts w:ascii="宋体" w:eastAsia="宋体" w:hAnsi="宋体" w:cs="宋体"/>
                <w:b/>
                <w:bCs/>
                <w:sz w:val="20"/>
                <w:szCs w:val="21"/>
                <w:lang w:eastAsia="zh-CN" w:bidi="ar"/>
              </w:rPr>
              <w:t>（一）评审内容：</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投标人提供项目方案包括：</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 xml:space="preserve">1、物业管理整体设想及策划； </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 xml:space="preserve">2、管理运作和工作计划； </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 xml:space="preserve">3、制度和档案的建立和管理； </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 xml:space="preserve">4、人员各岗位配备及培训管理。 </w:t>
            </w:r>
          </w:p>
          <w:p>
            <w:pPr>
              <w:widowControl w:val="0"/>
              <w:spacing w:line="340" w:lineRule="exact"/>
              <w:jc w:val="left"/>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（二）评分依据：</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考察投标人以上服务方案，如果全部满足得80分，满足任意三点得60分，满足任意二点得40分，满足任意一点得20分，其他情况不得分。</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在此基础上，专家根据各供应商的具体响应内容按照量化的评审因素指标进一步评审：</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1、评审为优（方案完善，内容合理性强）的加20分；</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2、评价为良（方案较完善，内容合理性较强）的加15 分；</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3、评价为中（方案一般，内容合理性一般）的加10 分；</w:t>
            </w:r>
          </w:p>
          <w:p>
            <w:pPr>
              <w:widowControl w:val="0"/>
              <w:spacing w:line="340" w:lineRule="exact"/>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4、评价为差（方案不完善，内容合理性较差）的不加分。</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line="34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center"/>
              <w:rPr>
                <w:rFonts w:ascii="宋体" w:eastAsia="宋体" w:hAnsi="宋体" w:cs="宋体"/>
                <w:kern w:val="2"/>
                <w:sz w:val="21"/>
                <w:szCs w:val="21"/>
                <w:lang w:eastAsia="zh-CN"/>
              </w:rPr>
            </w:pPr>
            <w:r>
              <w:rPr>
                <w:rFonts w:ascii="宋体" w:eastAsia="宋体" w:hAnsi="宋体" w:cs="宋体" w:hint="eastAsia"/>
                <w:bCs/>
                <w:spacing w:val="-2"/>
                <w:kern w:val="2"/>
                <w:sz w:val="21"/>
                <w:szCs w:val="21"/>
                <w:lang w:eastAsia="zh-CN"/>
              </w:rPr>
              <w:t>项目完成（服务期满）后的服务承诺</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2</w:t>
            </w:r>
          </w:p>
        </w:tc>
        <w:tc>
          <w:tcPr>
            <w:tcW w:w="4196" w:type="dxa"/>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line="340" w:lineRule="exact"/>
              <w:ind w:left="0" w:right="0"/>
              <w:jc w:val="left"/>
              <w:rPr>
                <w:rFonts w:ascii="宋体" w:eastAsia="宋体" w:hAnsi="宋体" w:cs="宋体"/>
                <w:b/>
                <w:bCs/>
                <w:sz w:val="20"/>
                <w:szCs w:val="21"/>
                <w:lang w:eastAsia="zh-CN" w:bidi="ar"/>
              </w:rPr>
            </w:pPr>
            <w:r>
              <w:rPr>
                <w:rFonts w:ascii="宋体" w:eastAsia="宋体" w:hAnsi="宋体" w:cs="宋体"/>
                <w:b/>
                <w:bCs/>
                <w:sz w:val="20"/>
                <w:szCs w:val="21"/>
                <w:lang w:eastAsia="zh-CN" w:bidi="ar"/>
              </w:rPr>
              <w:t>（一）评审内容：</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投标人承诺以下全部三项的得100分，否则不得分。</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1、服务期满后主动离岗；</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2、与后续服务公司进行交接；</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 xml:space="preserve">3、服务期满，后续服务公司未到位前仍按原合同服务。 </w:t>
            </w:r>
          </w:p>
          <w:p>
            <w:pPr>
              <w:widowControl w:val="0"/>
              <w:spacing w:line="340" w:lineRule="exact"/>
              <w:jc w:val="left"/>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（二）评分依据：</w:t>
            </w:r>
          </w:p>
          <w:p>
            <w:pPr>
              <w:widowControl w:val="0"/>
              <w:spacing w:line="340" w:lineRule="exact"/>
              <w:ind w:firstLine="0" w:firstLineChars="0"/>
              <w:jc w:val="both"/>
              <w:rPr>
                <w:rFonts w:ascii="宋体" w:eastAsia="宋体" w:hAnsi="宋体" w:cs="宋体"/>
                <w:kern w:val="2"/>
                <w:sz w:val="21"/>
                <w:szCs w:val="22"/>
                <w:lang w:eastAsia="zh-CN"/>
              </w:rPr>
            </w:pPr>
            <w:r>
              <w:rPr>
                <w:rFonts w:ascii="宋体" w:eastAsia="宋体" w:hAnsi="宋体" w:cs="宋体" w:hint="eastAsia"/>
                <w:bCs/>
                <w:kern w:val="2"/>
                <w:sz w:val="21"/>
                <w:szCs w:val="22"/>
                <w:lang w:eastAsia="zh-CN"/>
              </w:rPr>
              <w:t>提供承诺函（格式自拟）（未提供或未按要求提供或提供的不清晰导致专家无法判断的，不得分。）</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line="34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line="340" w:lineRule="exact"/>
              <w:jc w:val="center"/>
              <w:rPr>
                <w:rFonts w:ascii="宋体" w:eastAsia="宋体" w:hAnsi="宋体" w:cs="宋体"/>
                <w:bCs/>
                <w:spacing w:val="-2"/>
                <w:kern w:val="2"/>
                <w:sz w:val="21"/>
                <w:szCs w:val="21"/>
                <w:lang w:eastAsia="zh-CN"/>
              </w:rPr>
            </w:pPr>
            <w:r>
              <w:rPr>
                <w:rFonts w:ascii="宋体" w:eastAsia="宋体" w:hAnsi="宋体" w:hint="eastAsia"/>
                <w:kern w:val="2"/>
                <w:sz w:val="21"/>
                <w:szCs w:val="21"/>
                <w:lang w:eastAsia="zh-CN"/>
              </w:rPr>
              <w:t>违约承诺</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w:t>
            </w:r>
          </w:p>
        </w:tc>
        <w:tc>
          <w:tcPr>
            <w:tcW w:w="4196" w:type="dxa"/>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line="340" w:lineRule="exact"/>
              <w:ind w:left="0" w:right="0"/>
              <w:jc w:val="left"/>
              <w:rPr>
                <w:rFonts w:ascii="宋体" w:eastAsia="宋体" w:hAnsi="宋体" w:cs="宋体"/>
                <w:b/>
                <w:bCs/>
                <w:sz w:val="20"/>
                <w:szCs w:val="21"/>
                <w:lang w:eastAsia="zh-CN" w:bidi="ar"/>
              </w:rPr>
            </w:pPr>
            <w:r>
              <w:rPr>
                <w:rFonts w:ascii="宋体" w:eastAsia="宋体" w:hAnsi="宋体" w:cs="宋体"/>
                <w:b/>
                <w:bCs/>
                <w:sz w:val="20"/>
                <w:szCs w:val="21"/>
                <w:lang w:eastAsia="zh-CN" w:bidi="ar"/>
              </w:rPr>
              <w:t>（一）评审内容：</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投标人承诺以下全部三项的得100分，否则不得分。</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1.人员严格按照招标文件及投标承诺配置；</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2.服务质量达到招标文件要求；</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3.对未能达到的管理要求承担管理责任。</w:t>
            </w:r>
          </w:p>
          <w:p>
            <w:pPr>
              <w:widowControl/>
              <w:spacing w:line="340" w:lineRule="exact"/>
              <w:jc w:val="left"/>
              <w:rPr>
                <w:rFonts w:eastAsia="宋体"/>
                <w:kern w:val="2"/>
                <w:sz w:val="21"/>
                <w:szCs w:val="21"/>
                <w:lang w:eastAsia="zh-CN"/>
              </w:rPr>
            </w:pPr>
            <w:r>
              <w:rPr>
                <w:rFonts w:ascii="宋体" w:eastAsia="宋体" w:hAnsi="宋体" w:cs="宋体" w:hint="eastAsia"/>
                <w:b/>
                <w:bCs/>
                <w:kern w:val="2"/>
                <w:sz w:val="21"/>
                <w:szCs w:val="21"/>
                <w:lang w:eastAsia="zh-CN"/>
              </w:rPr>
              <w:t>（二）评分依据：</w:t>
            </w:r>
          </w:p>
          <w:p>
            <w:pPr>
              <w:widowControl/>
              <w:spacing w:line="340" w:lineRule="exact"/>
              <w:jc w:val="left"/>
              <w:rPr>
                <w:rFonts w:ascii="宋体" w:eastAsia="宋体" w:hAnsi="宋体" w:cs="宋体"/>
                <w:bCs/>
                <w:kern w:val="2"/>
                <w:sz w:val="21"/>
                <w:szCs w:val="22"/>
                <w:lang w:eastAsia="zh-CN"/>
              </w:rPr>
            </w:pPr>
            <w:r>
              <w:rPr>
                <w:rFonts w:eastAsia="宋体" w:hint="eastAsia"/>
                <w:kern w:val="2"/>
                <w:sz w:val="21"/>
                <w:szCs w:val="21"/>
                <w:lang w:eastAsia="zh-CN"/>
              </w:rPr>
              <w:t>提供承诺函（格式自拟）（未提供或未按要求提供或提供的不清晰导致专家无法判断的，不得分。）</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line="34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after="78"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项目负责人（仅限1人）情况</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after="78" w:line="34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w:t>
            </w:r>
          </w:p>
        </w:tc>
        <w:tc>
          <w:tcPr>
            <w:tcW w:w="4196" w:type="dxa"/>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spacing w:before="0" w:beforeAutospacing="0" w:after="0" w:afterAutospacing="0" w:line="340" w:lineRule="exact"/>
              <w:ind w:left="0" w:right="0"/>
              <w:jc w:val="left"/>
              <w:rPr>
                <w:rFonts w:ascii="宋体" w:eastAsia="宋体" w:hAnsi="宋体" w:cs="宋体"/>
                <w:b/>
                <w:bCs/>
                <w:sz w:val="20"/>
                <w:szCs w:val="21"/>
                <w:lang w:eastAsia="zh-CN" w:bidi="ar"/>
              </w:rPr>
            </w:pPr>
            <w:r>
              <w:rPr>
                <w:rFonts w:ascii="宋体" w:eastAsia="宋体" w:hAnsi="宋体" w:cs="宋体"/>
                <w:b/>
                <w:bCs/>
                <w:sz w:val="20"/>
                <w:szCs w:val="21"/>
                <w:lang w:eastAsia="zh-CN" w:bidi="ar"/>
              </w:rPr>
              <w:t>（一）评审内容：</w:t>
            </w:r>
          </w:p>
          <w:p>
            <w:pPr>
              <w:widowControl w:val="0"/>
              <w:wordWrap w:val="0"/>
              <w:spacing w:after="78" w:line="340" w:lineRule="exact"/>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拟安排的项目负责人须为投标人现有员工：</w:t>
            </w:r>
          </w:p>
          <w:p>
            <w:pPr>
              <w:widowControl w:val="0"/>
              <w:snapToGrid w:val="0"/>
              <w:spacing w:line="320" w:lineRule="exact"/>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(1)具有管理类专业本科(或以上)学历的，得50分；</w:t>
            </w:r>
          </w:p>
          <w:p>
            <w:pPr>
              <w:widowControl w:val="0"/>
              <w:snapToGrid w:val="0"/>
              <w:spacing w:line="320" w:lineRule="exact"/>
              <w:jc w:val="both"/>
              <w:rPr>
                <w:rFonts w:ascii="宋体" w:eastAsia="宋体" w:hAnsi="宋体" w:cs="宋体" w:hint="eastAsia"/>
                <w:kern w:val="2"/>
                <w:sz w:val="21"/>
                <w:szCs w:val="22"/>
                <w:lang w:eastAsia="zh-CN"/>
              </w:rPr>
            </w:pPr>
            <w:r>
              <w:rPr>
                <w:rFonts w:ascii="宋体" w:eastAsia="宋体" w:hAnsi="宋体" w:cs="宋体" w:hint="eastAsia"/>
                <w:kern w:val="2"/>
                <w:sz w:val="21"/>
                <w:lang w:eastAsia="zh-CN" w:bidi="ar"/>
              </w:rPr>
              <w:t>(2)具有相关机构颁发二级/技师企业人力资源管理师</w:t>
            </w:r>
            <w:bookmarkStart w:id="0" w:name="OLE_LINK4"/>
            <w:bookmarkStart w:id="1" w:name="OLE_LINK3"/>
            <w:r>
              <w:rPr>
                <w:rFonts w:ascii="宋体" w:eastAsia="宋体" w:hAnsi="宋体" w:cs="宋体" w:hint="eastAsia"/>
                <w:kern w:val="2"/>
                <w:sz w:val="21"/>
                <w:lang w:eastAsia="zh-CN" w:bidi="ar"/>
              </w:rPr>
              <w:t>职业资格证书</w:t>
            </w:r>
            <w:bookmarkEnd w:id="0"/>
            <w:bookmarkEnd w:id="1"/>
            <w:r>
              <w:rPr>
                <w:rFonts w:ascii="宋体" w:eastAsia="宋体" w:hAnsi="宋体" w:cs="宋体" w:hint="eastAsia"/>
                <w:kern w:val="2"/>
                <w:sz w:val="21"/>
                <w:lang w:eastAsia="zh-CN" w:bidi="ar"/>
              </w:rPr>
              <w:t>的，得30分，一级/高级技师企业人力资源管理师职业资格证书的，得50分，本小项最高得50分。</w:t>
            </w:r>
          </w:p>
          <w:p>
            <w:pPr>
              <w:widowControl w:val="0"/>
              <w:wordWrap w:val="0"/>
              <w:spacing w:after="78" w:line="300" w:lineRule="exact"/>
              <w:jc w:val="both"/>
              <w:rPr>
                <w:rFonts w:ascii="宋体" w:eastAsia="宋体" w:hAnsi="宋体" w:cs="宋体" w:hint="eastAsia"/>
                <w:kern w:val="2"/>
                <w:sz w:val="21"/>
                <w:szCs w:val="22"/>
                <w:lang w:eastAsia="zh-CN"/>
              </w:rPr>
            </w:pPr>
            <w:r>
              <w:rPr>
                <w:rFonts w:ascii="宋体" w:eastAsia="宋体" w:hAnsi="宋体" w:cs="宋体" w:hint="eastAsia"/>
                <w:kern w:val="2"/>
                <w:sz w:val="21"/>
                <w:lang w:eastAsia="zh-CN" w:bidi="ar"/>
              </w:rPr>
              <w:t>以上(1)-(2)项合计最高得100分。</w:t>
            </w:r>
          </w:p>
          <w:p>
            <w:pPr>
              <w:widowControl/>
              <w:spacing w:line="340" w:lineRule="exact"/>
              <w:jc w:val="left"/>
              <w:rPr>
                <w:rFonts w:eastAsia="宋体"/>
                <w:kern w:val="2"/>
                <w:sz w:val="21"/>
                <w:szCs w:val="21"/>
                <w:lang w:eastAsia="zh-CN"/>
              </w:rPr>
            </w:pPr>
            <w:r>
              <w:rPr>
                <w:rFonts w:ascii="宋体" w:eastAsia="宋体" w:hAnsi="宋体" w:cs="宋体" w:hint="eastAsia"/>
                <w:b/>
                <w:bCs/>
                <w:kern w:val="2"/>
                <w:sz w:val="21"/>
                <w:szCs w:val="21"/>
                <w:lang w:eastAsia="zh-CN"/>
              </w:rPr>
              <w:t>（二）评分依据：</w:t>
            </w:r>
          </w:p>
          <w:p>
            <w:pPr>
              <w:widowControl w:val="0"/>
              <w:spacing w:line="34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1、提供相关人员相关证书扫描件，其中：1）涉及学历的，需同时提供学信网信息查询截图（https://www.chsi.com.cn/）：</w:t>
            </w:r>
            <w:r>
              <w:rPr>
                <w:rFonts w:ascii="宋体" w:eastAsia="宋体" w:hAnsi="宋体" w:cs="宋体" w:hint="eastAsia"/>
                <w:kern w:val="2"/>
                <w:sz w:val="21"/>
                <w:szCs w:val="21"/>
                <w:lang w:eastAsia="zh-CN"/>
              </w:rPr>
              <w:t>①</w:t>
            </w:r>
            <w:r>
              <w:rPr>
                <w:rFonts w:ascii="宋体" w:eastAsia="宋体" w:hAnsi="宋体" w:cs="宋体" w:hint="eastAsia"/>
                <w:kern w:val="2"/>
                <w:sz w:val="21"/>
                <w:szCs w:val="21"/>
                <w:lang w:eastAsia="zh-CN"/>
              </w:rPr>
              <w:t>如较早颁发的学历证书，学信网无法查询的，可提供毕业院校或教育或人社部门等颁发机构或监管机构等出具的证明。</w:t>
            </w:r>
            <w:r>
              <w:rPr>
                <w:rFonts w:ascii="宋体" w:eastAsia="宋体" w:hAnsi="宋体" w:cs="宋体" w:hint="eastAsia"/>
                <w:kern w:val="2"/>
                <w:sz w:val="21"/>
                <w:szCs w:val="21"/>
                <w:lang w:eastAsia="zh-CN"/>
              </w:rPr>
              <w:t>②</w:t>
            </w:r>
            <w:r>
              <w:rPr>
                <w:rFonts w:ascii="宋体" w:eastAsia="宋体" w:hAnsi="宋体" w:cs="宋体" w:hint="eastAsia"/>
                <w:kern w:val="2"/>
                <w:sz w:val="21"/>
                <w:szCs w:val="21"/>
                <w:lang w:eastAsia="zh-CN"/>
              </w:rPr>
              <w:t>如海外留学（含港澳台）学历无法通过学信网站查询的，应当提供教育部留学服务中心出具的国外学历认证证书以及教育部留学服务中心官网（https://portal.cscse.edu.cn/）查询截图。若证明文件为其它语言，必须附中文译文，以中文译文为准。2）如证书颁发单位为相关行业协会（或学会）的，则需同时提供证书颁发单位在全国社会组织信用信息公示平台（https://xxgs.chinanpo.mca.gov.cn/gsxt/newList）的信息查询截图（截图需显示发证单位状态为</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正常</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）；3）提供职业资格证书（或职业技能等级证书）证书的，还需同时提供技能人才评价证书全国联网查询（网址http://zscx.osta.org.cn/）的查询截图（或人社部门官网职业技能认定证书 截图）；</w:t>
            </w:r>
          </w:p>
          <w:p>
            <w:pPr>
              <w:keepNext w:val="0"/>
              <w:keepLines w:val="0"/>
              <w:widowControl w:val="0"/>
              <w:suppressLineNumbers w:val="0"/>
              <w:spacing w:before="0" w:beforeAutospacing="0" w:after="0" w:afterAutospacing="0" w:line="340" w:lineRule="exact"/>
              <w:ind w:left="0" w:right="0"/>
              <w:jc w:val="left"/>
              <w:rPr>
                <w:rFonts w:ascii="宋体" w:eastAsia="宋体" w:hAnsi="宋体" w:cs="宋体"/>
                <w:sz w:val="20"/>
                <w:szCs w:val="21"/>
                <w:lang w:eastAsia="zh-CN" w:bidi="ar"/>
              </w:rPr>
            </w:pPr>
            <w:r>
              <w:rPr>
                <w:rFonts w:ascii="宋体" w:eastAsia="宋体" w:hAnsi="宋体" w:cs="宋体"/>
                <w:sz w:val="20"/>
                <w:szCs w:val="21"/>
                <w:lang w:eastAsia="zh-CN" w:bidi="ar"/>
              </w:rPr>
              <w:t>2、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p>
          <w:p>
            <w:pPr>
              <w:widowControl w:val="0"/>
              <w:spacing w:line="34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Look w:val="0000"/>
        </w:tblPrEx>
        <w:trPr>
          <w:trHeight w:val="90"/>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line="34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after="78"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拟投入项目团队成员（项目负责人除外）情况</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after="78"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36</w:t>
            </w:r>
          </w:p>
        </w:tc>
        <w:tc>
          <w:tcPr>
            <w:tcW w:w="4196" w:type="dxa"/>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spacing w:before="0" w:beforeAutospacing="0" w:after="0" w:afterAutospacing="0" w:line="340" w:lineRule="exact"/>
              <w:ind w:left="0" w:right="0"/>
              <w:jc w:val="left"/>
              <w:rPr>
                <w:rFonts w:ascii="宋体" w:eastAsia="宋体" w:hAnsi="宋体" w:cs="宋体"/>
                <w:b/>
                <w:bCs/>
                <w:sz w:val="20"/>
                <w:szCs w:val="21"/>
                <w:lang w:eastAsia="zh-CN" w:bidi="ar"/>
              </w:rPr>
            </w:pPr>
            <w:r>
              <w:rPr>
                <w:rFonts w:ascii="宋体" w:eastAsia="宋体" w:hAnsi="宋体" w:cs="宋体"/>
                <w:b/>
                <w:bCs/>
                <w:sz w:val="20"/>
                <w:szCs w:val="21"/>
                <w:lang w:eastAsia="zh-CN" w:bidi="ar"/>
              </w:rPr>
              <w:t>（一）评审内容：</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拟投入项目团队成员（</w:t>
            </w:r>
            <w:r>
              <w:rPr>
                <w:rFonts w:ascii="宋体" w:eastAsia="宋体" w:hAnsi="宋体" w:cs="宋体"/>
                <w:kern w:val="2"/>
                <w:sz w:val="21"/>
                <w:szCs w:val="22"/>
                <w:lang w:eastAsia="zh-CN"/>
              </w:rPr>
              <w:t>项目经理</w:t>
            </w:r>
            <w:r>
              <w:rPr>
                <w:rFonts w:ascii="宋体" w:eastAsia="宋体" w:hAnsi="宋体" w:cs="宋体" w:hint="eastAsia"/>
                <w:kern w:val="2"/>
                <w:sz w:val="21"/>
                <w:szCs w:val="22"/>
                <w:lang w:eastAsia="zh-CN"/>
              </w:rPr>
              <w:t>项目负责人除外）须为投标人现有员工：</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1、安全主管（仅限1人，本项最高得分40分）：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（1）具有物业管理专业大专（或以上）学历的得5分；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（2）具有相关机构颁发的三星（或以上）优秀项目经理称号的得5分；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（3）具有相关机构颁发的初级（或以上）应急第一响应人证书的得5分；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（4）具有国家机关（或事业单位）颁发的安全隐患自查巡查基本指引培训合格证书的得10分。</w:t>
            </w:r>
          </w:p>
          <w:p>
            <w:pPr>
              <w:widowControl w:val="0"/>
              <w:wordWrap w:val="0"/>
              <w:spacing w:after="78" w:line="340" w:lineRule="exact"/>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（5）具有国家机关（或事业单位）颁发的消防安全重点单位消防安全责任人培训证书的得10分。</w:t>
            </w:r>
          </w:p>
          <w:p>
            <w:pPr>
              <w:widowControl w:val="0"/>
              <w:spacing w:after="60" w:line="34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（6）具有国家机关或事业单位颁发的保密类培训证书的，得5分。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2、保洁主管（仅限1人，本项最高得25分）：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（1）具有本科（或以上）学历的，得10分；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（2）具有人力资源和社会保障部门颁发的高级环境保护工程师专业技术证书的，得15分。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3、绿化消杀主管（仅限1人，本项最高得20分）：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（1）具有本科（或以上）学历的得5分；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（2）具有相关机构颁发的垃圾分类督导员结业证书的，得5分；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（3）具有相关机构颁发的高级清洁管理师证书的，得5分；</w:t>
            </w:r>
          </w:p>
          <w:p>
            <w:pPr>
              <w:widowControl w:val="0"/>
              <w:wordWrap w:val="0"/>
              <w:spacing w:after="78" w:line="340" w:lineRule="exact"/>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（4）具有相关机构颁发的公共环境消毒清洁管理师证书的，得5分。</w:t>
            </w:r>
          </w:p>
          <w:p>
            <w:pPr>
              <w:widowControl w:val="0"/>
              <w:wordWrap w:val="0"/>
              <w:spacing w:after="78" w:line="340" w:lineRule="exact"/>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4、团队成员（仅限1人，本项最高得15分）：</w:t>
            </w:r>
          </w:p>
          <w:p>
            <w:pPr>
              <w:widowControl w:val="0"/>
              <w:spacing w:after="60" w:line="340" w:lineRule="exact"/>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（1）具有管理类专业大专（或以上）学历的，得5分；</w:t>
            </w:r>
          </w:p>
          <w:p>
            <w:pPr>
              <w:widowControl w:val="0"/>
              <w:spacing w:after="60" w:line="340" w:lineRule="exact"/>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（2）具有退伍军人或退出现役证的，得5分；</w:t>
            </w:r>
          </w:p>
          <w:p>
            <w:pPr>
              <w:widowControl w:val="0"/>
              <w:spacing w:after="60" w:line="340" w:lineRule="exact"/>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（3）具有国家机关或事业单位颁发的保密类培训证书的，得5分。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以上1-4大项合计最高得100分，</w:t>
            </w:r>
          </w:p>
          <w:p>
            <w:pPr>
              <w:widowControl w:val="0"/>
              <w:wordWrap w:val="0"/>
              <w:spacing w:after="78"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2"/>
                <w:lang w:eastAsia="zh-CN"/>
              </w:rPr>
              <w:t>上述人员</w:t>
            </w:r>
            <w:r>
              <w:rPr>
                <w:rFonts w:ascii="宋体" w:eastAsia="宋体" w:hAnsi="宋体" w:cs="宋体" w:hint="eastAsia"/>
                <w:b/>
                <w:kern w:val="2"/>
                <w:sz w:val="21"/>
                <w:szCs w:val="22"/>
                <w:lang w:eastAsia="zh-CN"/>
              </w:rPr>
              <w:t>同一人不重复计分</w:t>
            </w:r>
            <w:r>
              <w:rPr>
                <w:rFonts w:ascii="宋体" w:eastAsia="宋体" w:hAnsi="宋体" w:cs="宋体" w:hint="eastAsia"/>
                <w:kern w:val="2"/>
                <w:sz w:val="21"/>
                <w:szCs w:val="22"/>
                <w:lang w:eastAsia="zh-CN"/>
              </w:rPr>
              <w:t>。如同一人满足1-4项多项条件的，以得分最高项计分。</w:t>
            </w:r>
          </w:p>
          <w:p>
            <w:pPr>
              <w:widowControl/>
              <w:spacing w:line="340" w:lineRule="exact"/>
              <w:jc w:val="left"/>
              <w:rPr>
                <w:rFonts w:eastAsia="宋体"/>
                <w:kern w:val="2"/>
                <w:sz w:val="21"/>
                <w:szCs w:val="21"/>
                <w:lang w:eastAsia="zh-CN"/>
              </w:rPr>
            </w:pPr>
            <w:r>
              <w:rPr>
                <w:rFonts w:ascii="宋体" w:eastAsia="宋体" w:hAnsi="宋体" w:cs="宋体" w:hint="eastAsia"/>
                <w:b/>
                <w:bCs/>
                <w:kern w:val="2"/>
                <w:sz w:val="21"/>
                <w:szCs w:val="21"/>
                <w:lang w:eastAsia="zh-CN"/>
              </w:rPr>
              <w:t>（二）评分依据：</w:t>
            </w:r>
          </w:p>
          <w:p>
            <w:pPr>
              <w:widowControl w:val="0"/>
              <w:spacing w:line="34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1、提供相关人员相关证书扫描件，其中：1）涉及学历的，需同时提供学信网信息查询截图（https://www.chsi.com.cn/）：</w:t>
            </w:r>
            <w:r>
              <w:rPr>
                <w:rFonts w:ascii="宋体" w:eastAsia="宋体" w:hAnsi="宋体" w:cs="宋体" w:hint="eastAsia"/>
                <w:kern w:val="2"/>
                <w:sz w:val="21"/>
                <w:szCs w:val="21"/>
                <w:lang w:eastAsia="zh-CN"/>
              </w:rPr>
              <w:t>①</w:t>
            </w:r>
            <w:r>
              <w:rPr>
                <w:rFonts w:ascii="宋体" w:eastAsia="宋体" w:hAnsi="宋体" w:cs="宋体" w:hint="eastAsia"/>
                <w:kern w:val="2"/>
                <w:sz w:val="21"/>
                <w:szCs w:val="21"/>
                <w:lang w:eastAsia="zh-CN"/>
              </w:rPr>
              <w:t>如较早颁发的学历证书，学信网无法查询的，可提供毕业院校或教育或人社部门等颁发机构或监管机构等出具的证明。</w:t>
            </w:r>
            <w:r>
              <w:rPr>
                <w:rFonts w:ascii="宋体" w:eastAsia="宋体" w:hAnsi="宋体" w:cs="宋体" w:hint="eastAsia"/>
                <w:kern w:val="2"/>
                <w:sz w:val="21"/>
                <w:szCs w:val="21"/>
                <w:lang w:eastAsia="zh-CN"/>
              </w:rPr>
              <w:t>②</w:t>
            </w:r>
            <w:r>
              <w:rPr>
                <w:rFonts w:ascii="宋体" w:eastAsia="宋体" w:hAnsi="宋体" w:cs="宋体" w:hint="eastAsia"/>
                <w:kern w:val="2"/>
                <w:sz w:val="21"/>
                <w:szCs w:val="21"/>
                <w:lang w:eastAsia="zh-CN"/>
              </w:rPr>
              <w:t>如海外留学（含港澳台）学历无法通过学信网站查询的，应当提供教育部留学服务中心出具的国外学历认证证书以及教育部留学服务中心官网（https://portal.cscse.edu.cn/）查询截图。若证明文件为其它语言，必须附中文译文，以中文译文为准。2）如证书颁发单位为相关行业协会（或学会）的，则需同时提供证书颁发单位在全国社会组织信用信息公示平台（https://xxgs.chinanpo.mca.gov.cn/gsxt/newList）的信息查询截图（截图需显示发证单位状态为</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正常</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）；3）提供职业资格证书（或职业技能等级证书）证书的，还需同时提供技能人才评价证书全国联网查询（网址http://zscx.osta.org.cn/）的查询截图（或人社部门官网职业技能认定证书 截图）；</w:t>
            </w:r>
          </w:p>
          <w:p>
            <w:pPr>
              <w:keepNext w:val="0"/>
              <w:keepLines w:val="0"/>
              <w:widowControl w:val="0"/>
              <w:suppressLineNumbers w:val="0"/>
              <w:spacing w:before="0" w:beforeAutospacing="0" w:after="0" w:afterAutospacing="0" w:line="340" w:lineRule="exact"/>
              <w:ind w:left="0" w:right="0"/>
              <w:jc w:val="left"/>
              <w:rPr>
                <w:rFonts w:ascii="宋体" w:eastAsia="宋体" w:hAnsi="宋体" w:cs="宋体"/>
                <w:sz w:val="20"/>
                <w:szCs w:val="21"/>
                <w:lang w:eastAsia="zh-CN" w:bidi="ar"/>
              </w:rPr>
            </w:pPr>
            <w:r>
              <w:rPr>
                <w:rFonts w:ascii="宋体" w:eastAsia="宋体" w:hAnsi="宋体" w:cs="宋体"/>
                <w:sz w:val="20"/>
                <w:szCs w:val="21"/>
                <w:lang w:eastAsia="zh-CN" w:bidi="ar"/>
              </w:rPr>
              <w:t>2、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p>
          <w:p>
            <w:pPr>
              <w:widowControl w:val="0"/>
              <w:spacing w:line="340" w:lineRule="exact"/>
              <w:jc w:val="both"/>
              <w:rPr>
                <w:rFonts w:ascii="宋体" w:eastAsia="宋体" w:hAnsi="宋体" w:cs="宋体"/>
                <w:kern w:val="2"/>
                <w:sz w:val="21"/>
                <w:szCs w:val="22"/>
                <w:lang w:eastAsia="zh-CN"/>
              </w:rPr>
            </w:pPr>
            <w:r>
              <w:rPr>
                <w:rFonts w:ascii="宋体" w:eastAsia="宋体" w:hAnsi="宋体" w:cs="宋体" w:hint="eastAsia"/>
                <w:kern w:val="2"/>
                <w:sz w:val="21"/>
                <w:szCs w:val="21"/>
                <w:lang w:eastAsia="zh-CN"/>
              </w:rPr>
              <w:t>3、未按要求提供相关证明材料（或相关证明材料无法判断是否符合评分要求）的不计得分，原件备查。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宋体" w:eastAsia="宋体" w:hAnsi="宋体" w:cs="宋体"/>
                <w:b/>
                <w:bCs/>
                <w:color w:val="0000FF"/>
                <w:kern w:val="2"/>
                <w:szCs w:val="22"/>
                <w:lang w:eastAsia="zh-CN"/>
              </w:rPr>
            </w:pPr>
            <w:r>
              <w:rPr>
                <w:rFonts w:ascii="Calibri" w:eastAsia="宋体" w:hAnsi="Calibri"/>
                <w:b/>
                <w:bCs/>
                <w:color w:val="0000FF"/>
                <w:kern w:val="2"/>
                <w:sz w:val="21"/>
                <w:szCs w:val="22"/>
                <w:lang w:eastAsia="zh-CN"/>
              </w:rPr>
              <w:t>3</w:t>
            </w:r>
          </w:p>
        </w:tc>
        <w:tc>
          <w:tcPr>
            <w:tcW w:w="4196" w:type="dxa"/>
            <w:gridSpan w:val="3"/>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Calibri" w:eastAsia="宋体" w:hAnsi="Calibri" w:hint="eastAsia"/>
                <w:b/>
                <w:bCs/>
                <w:color w:val="0000FF"/>
                <w:kern w:val="2"/>
                <w:sz w:val="21"/>
                <w:szCs w:val="22"/>
                <w:lang w:eastAsia="zh-CN"/>
              </w:rPr>
            </w:pPr>
            <w:r>
              <w:rPr>
                <w:rFonts w:ascii="Calibri" w:eastAsia="宋体" w:hAnsi="Calibri" w:hint="eastAsia"/>
                <w:b/>
                <w:bCs/>
                <w:color w:val="0000FF"/>
                <w:kern w:val="2"/>
                <w:sz w:val="21"/>
                <w:szCs w:val="22"/>
                <w:lang w:eastAsia="zh-CN"/>
              </w:rPr>
              <w:t>综合实力</w:t>
            </w:r>
          </w:p>
        </w:tc>
        <w:tc>
          <w:tcPr>
            <w:tcW w:w="4196" w:type="dxa"/>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Calibri" w:eastAsia="宋体" w:hAnsi="Calibri"/>
                <w:b/>
                <w:bCs/>
                <w:color w:val="0000FF"/>
                <w:kern w:val="2"/>
                <w:sz w:val="21"/>
                <w:szCs w:val="22"/>
                <w:lang w:eastAsia="zh-CN"/>
              </w:rPr>
            </w:pPr>
            <w:r>
              <w:rPr>
                <w:rFonts w:ascii="Calibri" w:eastAsia="宋体" w:hAnsi="Calibri" w:hint="eastAsia"/>
                <w:b/>
                <w:bCs/>
                <w:color w:val="0000FF"/>
                <w:kern w:val="2"/>
                <w:sz w:val="21"/>
                <w:szCs w:val="22"/>
                <w:lang w:eastAsia="zh-CN"/>
              </w:rPr>
              <w:t>31</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both"/>
              <w:rPr>
                <w:rFonts w:ascii="宋体" w:eastAsia="宋体" w:hAnsi="宋体" w:cs="宋体"/>
                <w:kern w:val="2"/>
                <w:sz w:val="21"/>
                <w:szCs w:val="21"/>
                <w:lang w:eastAsia="zh-CN"/>
              </w:rPr>
            </w:pP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评分准则</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wordWrap w:val="0"/>
              <w:spacing w:line="340" w:lineRule="exact"/>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供应商</w:t>
            </w:r>
            <w:r>
              <w:rPr>
                <w:rFonts w:ascii="宋体" w:eastAsia="宋体" w:hAnsi="宋体" w:cs="宋体" w:hint="eastAsia"/>
                <w:bCs/>
                <w:kern w:val="2"/>
                <w:sz w:val="21"/>
                <w:szCs w:val="21"/>
                <w:lang w:eastAsia="zh-CN"/>
              </w:rPr>
              <w:t>认证、及资质情况</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wordWrap w:val="0"/>
              <w:spacing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pPr>
              <w:keepNext w:val="0"/>
              <w:keepLines w:val="0"/>
              <w:widowControl w:val="0"/>
              <w:suppressLineNumbers w:val="0"/>
              <w:spacing w:before="0" w:beforeAutospacing="0" w:after="0" w:afterAutospacing="0" w:line="340" w:lineRule="exact"/>
              <w:ind w:left="0" w:right="0"/>
              <w:jc w:val="left"/>
              <w:rPr>
                <w:rFonts w:ascii="宋体" w:eastAsia="宋体" w:hAnsi="宋体" w:cs="宋体"/>
                <w:b/>
                <w:bCs/>
                <w:sz w:val="20"/>
                <w:szCs w:val="21"/>
                <w:lang w:eastAsia="zh-CN" w:bidi="ar"/>
              </w:rPr>
            </w:pPr>
            <w:r>
              <w:rPr>
                <w:rFonts w:ascii="宋体" w:eastAsia="宋体" w:hAnsi="宋体" w:cs="宋体"/>
                <w:b/>
                <w:bCs/>
                <w:sz w:val="20"/>
                <w:szCs w:val="21"/>
                <w:lang w:eastAsia="zh-CN" w:bidi="ar"/>
              </w:rPr>
              <w:t>（一）评审内容：</w:t>
            </w:r>
          </w:p>
          <w:p>
            <w:pPr>
              <w:widowControl w:val="0"/>
              <w:spacing w:line="34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1、投标人具有以下体系认证证书：</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（1）合规管理体系认证证书的得20分；</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（2）环境卫生作业规范体系认证证书的得20分；</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（3）应急预案管理能力认证证书的得20分；</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w:t>
            </w:r>
            <w:r>
              <w:rPr>
                <w:rFonts w:ascii="宋体" w:eastAsia="宋体" w:hAnsi="宋体" w:cs="宋体" w:hint="eastAsia"/>
                <w:kern w:val="2"/>
                <w:sz w:val="21"/>
                <w:szCs w:val="22"/>
                <w:lang w:eastAsia="zh-CN"/>
              </w:rPr>
              <w:t>职业健康安全管理体系认证证书</w:t>
            </w:r>
            <w:r>
              <w:rPr>
                <w:rFonts w:ascii="宋体" w:eastAsia="宋体" w:hAnsi="宋体" w:cs="宋体" w:hint="eastAsia"/>
                <w:bCs/>
                <w:kern w:val="2"/>
                <w:sz w:val="21"/>
                <w:szCs w:val="21"/>
                <w:lang w:eastAsia="zh-CN"/>
              </w:rPr>
              <w:t>的得20分；</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以上最高得80分。</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2、投标人</w:t>
            </w:r>
            <w:r>
              <w:rPr>
                <w:rFonts w:ascii="宋体" w:eastAsia="宋体" w:hAnsi="宋体" w:cs="宋体" w:hint="eastAsia"/>
                <w:kern w:val="2"/>
                <w:sz w:val="21"/>
                <w:szCs w:val="21"/>
                <w:lang w:eastAsia="zh-CN"/>
              </w:rPr>
              <w:t>具有相关机构颁发的</w:t>
            </w:r>
            <w:r>
              <w:rPr>
                <w:rFonts w:ascii="宋体" w:eastAsia="宋体" w:hAnsi="宋体" w:cs="宋体" w:hint="eastAsia"/>
                <w:bCs/>
                <w:kern w:val="2"/>
                <w:sz w:val="21"/>
                <w:szCs w:val="21"/>
                <w:lang w:eastAsia="zh-CN"/>
              </w:rPr>
              <w:t>清洁服务资格相关证书</w:t>
            </w:r>
            <w:r>
              <w:rPr>
                <w:rFonts w:ascii="宋体" w:eastAsia="宋体" w:hAnsi="宋体" w:cs="宋体" w:hint="eastAsia"/>
                <w:kern w:val="2"/>
                <w:sz w:val="21"/>
                <w:szCs w:val="21"/>
                <w:lang w:eastAsia="zh-CN"/>
              </w:rPr>
              <w:t>，得20分</w:t>
            </w:r>
            <w:r>
              <w:rPr>
                <w:rFonts w:ascii="宋体" w:eastAsia="宋体" w:hAnsi="宋体" w:cs="宋体" w:hint="eastAsia"/>
                <w:bCs/>
                <w:kern w:val="2"/>
                <w:sz w:val="21"/>
                <w:szCs w:val="21"/>
                <w:lang w:eastAsia="zh-CN"/>
              </w:rPr>
              <w:t>。</w:t>
            </w:r>
          </w:p>
          <w:p>
            <w:pPr>
              <w:widowControl w:val="0"/>
              <w:spacing w:line="340" w:lineRule="exact"/>
              <w:jc w:val="both"/>
              <w:rPr>
                <w:rFonts w:ascii="Calibri" w:eastAsia="宋体" w:hAnsi="Calibri"/>
                <w:kern w:val="2"/>
                <w:sz w:val="21"/>
                <w:szCs w:val="22"/>
                <w:lang w:eastAsia="zh-CN"/>
              </w:rPr>
            </w:pPr>
            <w:r>
              <w:rPr>
                <w:rFonts w:ascii="宋体" w:eastAsia="宋体" w:hAnsi="宋体" w:cs="宋体" w:hint="eastAsia"/>
                <w:bCs/>
                <w:kern w:val="2"/>
                <w:sz w:val="21"/>
                <w:szCs w:val="21"/>
                <w:lang w:eastAsia="zh-CN"/>
              </w:rPr>
              <w:t>以上合计最高得100分。</w:t>
            </w:r>
          </w:p>
          <w:p>
            <w:pPr>
              <w:widowControl w:val="0"/>
              <w:spacing w:line="340" w:lineRule="exact"/>
              <w:jc w:val="left"/>
              <w:rPr>
                <w:rFonts w:ascii="宋体" w:eastAsia="宋体" w:hAnsi="宋体" w:cs="宋体"/>
                <w:b/>
                <w:bCs/>
                <w:color w:val="000000"/>
                <w:kern w:val="2"/>
                <w:sz w:val="21"/>
                <w:szCs w:val="21"/>
                <w:lang w:eastAsia="zh-CN"/>
              </w:rPr>
            </w:pPr>
            <w:r>
              <w:rPr>
                <w:rFonts w:ascii="宋体" w:eastAsia="宋体" w:hAnsi="宋体" w:cs="宋体" w:hint="eastAsia"/>
                <w:b/>
                <w:bCs/>
                <w:kern w:val="2"/>
                <w:sz w:val="21"/>
                <w:szCs w:val="21"/>
                <w:lang w:eastAsia="zh-CN"/>
              </w:rPr>
              <w:t>（</w:t>
            </w:r>
            <w:r>
              <w:rPr>
                <w:rFonts w:ascii="宋体" w:eastAsia="宋体" w:hAnsi="宋体" w:cs="宋体" w:hint="eastAsia"/>
                <w:b/>
                <w:bCs/>
                <w:color w:val="000000"/>
                <w:kern w:val="2"/>
                <w:sz w:val="21"/>
                <w:szCs w:val="21"/>
                <w:lang w:eastAsia="zh-CN"/>
              </w:rPr>
              <w:t>二）评分依据：</w:t>
            </w:r>
          </w:p>
          <w:p>
            <w:pPr>
              <w:widowControl w:val="0"/>
              <w:spacing w:line="340" w:lineRule="exact"/>
              <w:jc w:val="both"/>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1、评审内容1</w:t>
            </w:r>
            <w:r>
              <w:rPr>
                <w:rFonts w:ascii="宋体" w:eastAsia="宋体" w:hAnsi="宋体" w:cs="宋体" w:hint="eastAsia"/>
                <w:color w:val="000000"/>
                <w:kern w:val="2"/>
                <w:sz w:val="21"/>
                <w:szCs w:val="21"/>
                <w:lang w:eastAsia="zh-CN"/>
              </w:rPr>
              <w:t>提供相关认证机构颁发的有效期内的认证证书扫描件及认证信息查询截图（截图需显示证书状态为有效）。说明：(1)证书与查询信息截图必须同时提供，缺一不可。未同时提供的不得分，后果由投标人自行承担。(2)投标人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w:t>
            </w:r>
            <w:r>
              <w:rPr>
                <w:rFonts w:ascii="宋体" w:eastAsia="宋体" w:hAnsi="宋体" w:cs="宋体" w:hint="eastAsia"/>
                <w:bCs/>
                <w:color w:val="000000"/>
                <w:kern w:val="2"/>
                <w:sz w:val="21"/>
                <w:szCs w:val="21"/>
                <w:lang w:eastAsia="zh-CN"/>
              </w:rPr>
              <w:t xml:space="preserve"> </w:t>
            </w:r>
          </w:p>
          <w:p>
            <w:pPr>
              <w:widowControl w:val="0"/>
              <w:spacing w:line="34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评审内容2提供证书扫描件，如证书颁发单位为相关行业协会（或学会）的，则需同时提供证书颁发单位在全国社会组织信用信息公示平台（https://xxgs.chinanpo.mca.gov.cn/gsxt/newList）的信息查询截图（截图需显示发证单位状态为</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正常</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w:t>
            </w:r>
          </w:p>
          <w:p>
            <w:pPr>
              <w:widowControl w:val="0"/>
              <w:spacing w:line="340" w:lineRule="exact"/>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3、未按要求提供相关证明材料（或相关证明材料无法判断是否符合评分要求）的不计得分，原件备查。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40" w:lineRule="exact"/>
              <w:jc w:val="center"/>
              <w:rPr>
                <w:rFonts w:ascii="宋体" w:eastAsia="宋体" w:hAnsi="宋体"/>
                <w:kern w:val="2"/>
                <w:sz w:val="21"/>
                <w:szCs w:val="21"/>
                <w:lang w:eastAsia="zh-CN"/>
              </w:rPr>
            </w:pPr>
            <w:r>
              <w:rPr>
                <w:rFonts w:ascii="宋体" w:eastAsia="宋体" w:hAnsi="宋体" w:hint="eastAsia"/>
                <w:kern w:val="2"/>
                <w:sz w:val="21"/>
                <w:szCs w:val="21"/>
                <w:lang w:eastAsia="zh-CN"/>
              </w:rPr>
              <w:t>供应商自主知识产权产品（创新、设计）情况</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40" w:lineRule="exact"/>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8</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pacing w:line="340" w:lineRule="exact"/>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（一）评审内容：</w:t>
            </w:r>
          </w:p>
          <w:p>
            <w:pPr>
              <w:widowControl w:val="0"/>
              <w:spacing w:line="340" w:lineRule="exact"/>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1、投标人具有以下计算机软件著作权登记证书：</w:t>
            </w:r>
          </w:p>
          <w:p>
            <w:pPr>
              <w:widowControl w:val="0"/>
              <w:spacing w:line="340" w:lineRule="exact"/>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①</w:t>
            </w:r>
            <w:r>
              <w:rPr>
                <w:rFonts w:ascii="宋体" w:eastAsia="宋体" w:hAnsi="宋体" w:cs="宋体" w:hint="eastAsia"/>
                <w:kern w:val="2"/>
                <w:sz w:val="21"/>
                <w:szCs w:val="21"/>
                <w:lang w:eastAsia="zh-CN"/>
              </w:rPr>
              <w:t>物业设施设备智慧运维管理类系统；</w:t>
            </w:r>
          </w:p>
          <w:p>
            <w:pPr>
              <w:widowControl w:val="0"/>
              <w:spacing w:line="340" w:lineRule="exact"/>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②</w:t>
            </w:r>
            <w:r>
              <w:rPr>
                <w:rFonts w:ascii="宋体" w:eastAsia="宋体" w:hAnsi="宋体" w:cs="宋体" w:hint="eastAsia"/>
                <w:kern w:val="2"/>
                <w:sz w:val="21"/>
                <w:szCs w:val="21"/>
                <w:lang w:eastAsia="zh-CN"/>
              </w:rPr>
              <w:t>物业环境清洁智慧调度服务类软件；</w:t>
            </w:r>
          </w:p>
          <w:p>
            <w:pPr>
              <w:widowControl w:val="0"/>
              <w:spacing w:line="340" w:lineRule="exact"/>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③</w:t>
            </w:r>
            <w:r>
              <w:rPr>
                <w:rFonts w:ascii="宋体" w:eastAsia="宋体" w:hAnsi="宋体" w:cs="宋体" w:hint="eastAsia"/>
                <w:kern w:val="2"/>
                <w:sz w:val="21"/>
                <w:szCs w:val="21"/>
                <w:lang w:eastAsia="zh-CN"/>
              </w:rPr>
              <w:t>垃圾分类投放点监控管理类软件；</w:t>
            </w:r>
          </w:p>
          <w:p>
            <w:pPr>
              <w:widowControl w:val="0"/>
              <w:spacing w:line="340" w:lineRule="exact"/>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④</w:t>
            </w:r>
            <w:r>
              <w:rPr>
                <w:rFonts w:ascii="宋体" w:eastAsia="宋体" w:hAnsi="宋体" w:cs="宋体" w:hint="eastAsia"/>
                <w:kern w:val="2"/>
                <w:sz w:val="21"/>
                <w:szCs w:val="21"/>
                <w:lang w:eastAsia="zh-CN"/>
              </w:rPr>
              <w:t>物业人力资源智慧调配管理类软件；</w:t>
            </w:r>
          </w:p>
          <w:p>
            <w:pPr>
              <w:widowControl w:val="0"/>
              <w:spacing w:line="34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每提供其中任意一类证书的，得25分，全部提供得100分。注：以上每类证书仅限提供一种，其中，名称不同但类别相同的证书不重复计分。</w:t>
            </w:r>
          </w:p>
          <w:p>
            <w:pPr>
              <w:widowControl w:val="0"/>
              <w:spacing w:line="340" w:lineRule="exact"/>
              <w:jc w:val="left"/>
              <w:rPr>
                <w:rFonts w:ascii="宋体" w:eastAsia="宋体" w:hAnsi="宋体" w:cs="宋体"/>
                <w:b/>
                <w:bCs/>
                <w:kern w:val="2"/>
                <w:szCs w:val="21"/>
                <w:lang w:eastAsia="zh-CN"/>
              </w:rPr>
            </w:pPr>
            <w:r>
              <w:rPr>
                <w:rFonts w:ascii="宋体" w:eastAsia="宋体" w:hAnsi="宋体" w:cs="宋体" w:hint="eastAsia"/>
                <w:b/>
                <w:bCs/>
                <w:kern w:val="2"/>
                <w:szCs w:val="21"/>
                <w:lang w:eastAsia="zh-CN"/>
              </w:rPr>
              <w:t>以上</w:t>
            </w:r>
            <w:r>
              <w:rPr>
                <w:rFonts w:ascii="宋体" w:eastAsia="宋体" w:hAnsi="宋体" w:cs="宋体"/>
                <w:b/>
                <w:bCs/>
                <w:kern w:val="2"/>
                <w:szCs w:val="21"/>
                <w:lang w:eastAsia="zh-CN"/>
              </w:rPr>
              <w:t>1-</w:t>
            </w:r>
            <w:r>
              <w:rPr>
                <w:rFonts w:ascii="宋体" w:eastAsia="宋体" w:hAnsi="宋体" w:cs="宋体" w:hint="eastAsia"/>
                <w:b/>
                <w:bCs/>
                <w:kern w:val="2"/>
                <w:szCs w:val="21"/>
                <w:lang w:eastAsia="zh-CN"/>
              </w:rPr>
              <w:t>2项总分</w:t>
            </w:r>
            <w:r>
              <w:rPr>
                <w:rFonts w:ascii="宋体" w:eastAsia="宋体" w:hAnsi="宋体" w:cs="宋体"/>
                <w:b/>
                <w:bCs/>
                <w:kern w:val="2"/>
                <w:szCs w:val="21"/>
                <w:lang w:eastAsia="zh-CN"/>
              </w:rPr>
              <w:t>100</w:t>
            </w:r>
            <w:r>
              <w:rPr>
                <w:rFonts w:ascii="宋体" w:eastAsia="宋体" w:hAnsi="宋体" w:cs="宋体" w:hint="eastAsia"/>
                <w:b/>
                <w:bCs/>
                <w:kern w:val="2"/>
                <w:szCs w:val="21"/>
                <w:lang w:eastAsia="zh-CN"/>
              </w:rPr>
              <w:t>分。</w:t>
            </w:r>
          </w:p>
          <w:p>
            <w:pPr>
              <w:widowControl w:val="0"/>
              <w:spacing w:line="34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（二）评分依据：</w:t>
            </w:r>
          </w:p>
          <w:p>
            <w:pPr>
              <w:widowControl w:val="0"/>
              <w:wordWrap w:val="0"/>
              <w:spacing w:line="340" w:lineRule="exact"/>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1、（1）</w:t>
            </w:r>
            <w:r>
              <w:rPr>
                <w:rFonts w:ascii="宋体" w:eastAsia="宋体" w:hAnsi="宋体" w:cs="宋体" w:hint="eastAsia"/>
                <w:b/>
                <w:bCs/>
                <w:color w:val="000000"/>
                <w:kern w:val="2"/>
                <w:sz w:val="21"/>
                <w:szCs w:val="21"/>
                <w:lang w:eastAsia="zh-CN"/>
              </w:rPr>
              <w:t>如为自有的，</w:t>
            </w:r>
            <w:r>
              <w:rPr>
                <w:rFonts w:ascii="宋体" w:eastAsia="宋体" w:hAnsi="宋体" w:cs="宋体" w:hint="eastAsia"/>
                <w:color w:val="000000"/>
                <w:kern w:val="2"/>
                <w:sz w:val="21"/>
                <w:szCs w:val="21"/>
                <w:lang w:eastAsia="zh-CN"/>
              </w:rPr>
              <w:t>提供国家版权局颁发的计算机软件著作权登记证书（需体现著作权人为投标人）和在中国版权登记查询服务平台（https://register.ccopyright.com.cn/query.html）的信息查询截图,需能体现投标人为著作权人；</w:t>
            </w:r>
          </w:p>
          <w:p>
            <w:pPr>
              <w:widowControl w:val="0"/>
              <w:wordWrap w:val="0"/>
              <w:spacing w:line="340" w:lineRule="exact"/>
              <w:jc w:val="both"/>
              <w:rPr>
                <w:rFonts w:ascii="宋体" w:eastAsia="宋体" w:hAnsi="宋体" w:cs="宋体" w:hint="eastAsia"/>
                <w:color w:val="000000"/>
                <w:kern w:val="2"/>
                <w:sz w:val="21"/>
                <w:szCs w:val="21"/>
                <w:lang w:eastAsia="zh-CN"/>
              </w:rPr>
            </w:pPr>
            <w:r>
              <w:rPr>
                <w:rFonts w:ascii="宋体" w:eastAsia="宋体" w:hAnsi="宋体" w:cs="宋体" w:hint="eastAsia"/>
                <w:b/>
                <w:bCs/>
                <w:color w:val="000000"/>
                <w:kern w:val="2"/>
                <w:sz w:val="21"/>
                <w:szCs w:val="21"/>
                <w:lang w:eastAsia="zh-CN"/>
              </w:rPr>
              <w:t>（2）如为租赁的，同时提供：</w:t>
            </w:r>
            <w:r>
              <w:rPr>
                <w:rFonts w:ascii="宋体" w:eastAsia="宋体" w:hAnsi="宋体" w:cs="宋体" w:hint="eastAsia"/>
                <w:color w:val="000000"/>
                <w:kern w:val="2"/>
                <w:sz w:val="21"/>
                <w:szCs w:val="21"/>
                <w:lang w:eastAsia="zh-CN"/>
              </w:rPr>
              <w:t>①</w:t>
            </w:r>
            <w:r>
              <w:rPr>
                <w:rFonts w:ascii="宋体" w:eastAsia="宋体" w:hAnsi="宋体" w:cs="宋体" w:hint="eastAsia"/>
                <w:color w:val="000000"/>
                <w:kern w:val="2"/>
                <w:sz w:val="21"/>
                <w:szCs w:val="21"/>
                <w:lang w:eastAsia="zh-CN"/>
              </w:rPr>
              <w:t>国家版权局颁发的计算机软件著作权登记证书（需体现著作权人为出租方）和在中国版权登记查询服务平台（https://register.ccopyright.com.cn/query.html）的信息查询截图</w:t>
            </w:r>
            <w:r>
              <w:rPr>
                <w:rFonts w:ascii="宋体" w:eastAsia="宋体" w:hAnsi="宋体" w:cs="宋体" w:hint="eastAsia"/>
                <w:color w:val="000000"/>
                <w:kern w:val="2"/>
                <w:sz w:val="21"/>
                <w:szCs w:val="21"/>
                <w:lang w:eastAsia="zh-CN"/>
              </w:rPr>
              <w:t>②</w:t>
            </w:r>
            <w:r>
              <w:rPr>
                <w:rFonts w:ascii="宋体" w:eastAsia="宋体" w:hAnsi="宋体" w:cs="宋体" w:hint="eastAsia"/>
                <w:color w:val="000000"/>
                <w:kern w:val="2"/>
                <w:sz w:val="21"/>
                <w:szCs w:val="21"/>
                <w:lang w:eastAsia="zh-CN"/>
              </w:rPr>
              <w:t>租赁合同（协议）扫描件；</w:t>
            </w:r>
          </w:p>
          <w:p>
            <w:pPr>
              <w:widowControl w:val="0"/>
              <w:wordWrap w:val="0"/>
              <w:spacing w:line="340" w:lineRule="exact"/>
              <w:jc w:val="both"/>
              <w:rPr>
                <w:rFonts w:ascii="宋体" w:eastAsia="宋体" w:hAnsi="宋体" w:cs="宋体"/>
                <w:color w:val="000000"/>
                <w:kern w:val="2"/>
                <w:sz w:val="21"/>
                <w:szCs w:val="21"/>
                <w:lang w:eastAsia="zh-CN"/>
              </w:rPr>
            </w:pPr>
            <w:r>
              <w:rPr>
                <w:rFonts w:ascii="宋体" w:eastAsia="宋体" w:hAnsi="宋体" w:cs="宋体" w:hint="eastAsia"/>
                <w:b/>
                <w:bCs/>
                <w:color w:val="000000"/>
                <w:kern w:val="2"/>
                <w:sz w:val="21"/>
                <w:szCs w:val="21"/>
                <w:lang w:eastAsia="zh-CN"/>
              </w:rPr>
              <w:t>(3)如为购买（或转让）：同时提供：</w:t>
            </w:r>
            <w:r>
              <w:rPr>
                <w:rFonts w:ascii="宋体" w:eastAsia="宋体" w:hAnsi="宋体" w:cs="宋体" w:hint="eastAsia"/>
                <w:color w:val="000000"/>
                <w:kern w:val="2"/>
                <w:sz w:val="21"/>
                <w:szCs w:val="21"/>
                <w:lang w:eastAsia="zh-CN"/>
              </w:rPr>
              <w:t>①</w:t>
            </w:r>
            <w:r>
              <w:rPr>
                <w:rFonts w:ascii="宋体" w:eastAsia="宋体" w:hAnsi="宋体" w:cs="宋体" w:hint="eastAsia"/>
                <w:color w:val="000000"/>
                <w:kern w:val="2"/>
                <w:sz w:val="21"/>
                <w:szCs w:val="21"/>
                <w:lang w:eastAsia="zh-CN"/>
              </w:rPr>
              <w:t>国家版权局颁发的计算机软件著作权登记证书（需体现著作权人为出售方或出让方）和在中国版权登记查询服务平台（https://register.ccopyright.com.cn/query.html）的信息查询截图</w:t>
            </w:r>
            <w:r>
              <w:rPr>
                <w:rFonts w:ascii="宋体" w:eastAsia="宋体" w:hAnsi="宋体" w:cs="宋体" w:hint="eastAsia"/>
                <w:color w:val="000000"/>
                <w:kern w:val="2"/>
                <w:sz w:val="21"/>
                <w:szCs w:val="21"/>
                <w:lang w:eastAsia="zh-CN"/>
              </w:rPr>
              <w:t>②</w:t>
            </w:r>
            <w:r>
              <w:rPr>
                <w:rFonts w:ascii="宋体" w:eastAsia="宋体" w:hAnsi="宋体" w:cs="宋体" w:hint="eastAsia"/>
                <w:color w:val="000000"/>
                <w:kern w:val="2"/>
                <w:sz w:val="21"/>
                <w:szCs w:val="21"/>
                <w:lang w:eastAsia="zh-CN"/>
              </w:rPr>
              <w:t>购买（或转让）合同（协议）扫描件；</w:t>
            </w:r>
          </w:p>
          <w:p>
            <w:pPr>
              <w:widowControl w:val="0"/>
              <w:spacing w:line="340" w:lineRule="exact"/>
              <w:jc w:val="both"/>
              <w:rPr>
                <w:rFonts w:ascii="宋体" w:eastAsia="宋体" w:hAnsi="宋体" w:cs="宋体"/>
                <w:bCs/>
                <w:kern w:val="2"/>
                <w:sz w:val="21"/>
                <w:szCs w:val="21"/>
                <w:lang w:eastAsia="zh-CN"/>
              </w:rPr>
            </w:pPr>
            <w:r>
              <w:rPr>
                <w:rFonts w:ascii="宋体" w:eastAsia="宋体" w:hAnsi="宋体" w:cs="宋体" w:hint="eastAsia"/>
                <w:bCs/>
                <w:color w:val="000000"/>
                <w:kern w:val="2"/>
                <w:sz w:val="21"/>
                <w:szCs w:val="21"/>
                <w:lang w:eastAsia="zh-CN"/>
              </w:rPr>
              <w:t>2、</w:t>
            </w:r>
            <w:r>
              <w:rPr>
                <w:rFonts w:ascii="宋体" w:eastAsia="宋体" w:hAnsi="宋体" w:cs="宋体" w:hint="eastAsia"/>
                <w:color w:val="000000"/>
                <w:kern w:val="2"/>
                <w:sz w:val="21"/>
                <w:szCs w:val="21"/>
                <w:lang w:eastAsia="zh-CN"/>
              </w:rPr>
              <w:t>未按要求提供相关证明材料（或相关证明材料无法判断是否符合评分要求）的不计得分，原件备查</w:t>
            </w:r>
            <w:r>
              <w:rPr>
                <w:rFonts w:ascii="宋体" w:eastAsia="宋体" w:hAnsi="宋体" w:cs="宋体" w:hint="eastAsia"/>
                <w:bCs/>
                <w:color w:val="000000"/>
                <w:kern w:val="2"/>
                <w:sz w:val="21"/>
                <w:szCs w:val="21"/>
                <w:lang w:eastAsia="zh-CN"/>
              </w:rPr>
              <w:t>。</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after="78"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after="78" w:line="340" w:lineRule="exact"/>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供应商同类业绩</w:t>
            </w:r>
          </w:p>
          <w:p>
            <w:pPr>
              <w:widowControl w:val="0"/>
              <w:wordWrap w:val="0"/>
              <w:spacing w:after="78"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情况</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after="78"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11</w:t>
            </w:r>
          </w:p>
        </w:tc>
        <w:tc>
          <w:tcPr>
            <w:tcW w:w="4196" w:type="dxa"/>
            <w:tcBorders>
              <w:top w:val="single" w:sz="8" w:space="0" w:color="000000"/>
              <w:left w:val="single" w:sz="8" w:space="0" w:color="000000"/>
              <w:bottom w:val="single" w:sz="8" w:space="0" w:color="000000"/>
              <w:right w:val="single" w:sz="8" w:space="0" w:color="000000"/>
            </w:tcBorders>
          </w:tcPr>
          <w:p>
            <w:pPr>
              <w:widowControl w:val="0"/>
              <w:spacing w:line="340" w:lineRule="exact"/>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（一）评审内容：</w:t>
            </w:r>
          </w:p>
          <w:p>
            <w:pPr>
              <w:widowControl w:val="0"/>
              <w:wordWrap w:val="0"/>
              <w:spacing w:line="34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2021年1月1日至本项目投标截止日为止（以合同服务期限为准）：</w:t>
            </w:r>
          </w:p>
          <w:p>
            <w:pPr>
              <w:widowControl w:val="0"/>
              <w:wordWrap w:val="0"/>
              <w:spacing w:line="34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投标人具有国家机关（或事业单位）办公楼物业管理项目经验，</w:t>
            </w:r>
            <w:r>
              <w:rPr>
                <w:rFonts w:ascii="宋体" w:eastAsia="宋体" w:hAnsi="宋体" w:cs="宋体" w:hint="eastAsia"/>
                <w:b/>
                <w:bCs/>
                <w:kern w:val="2"/>
                <w:sz w:val="21"/>
                <w:szCs w:val="21"/>
                <w:lang w:eastAsia="zh-CN"/>
              </w:rPr>
              <w:t>合同服务期限一年或以上</w:t>
            </w:r>
            <w:r>
              <w:rPr>
                <w:rFonts w:ascii="宋体" w:eastAsia="宋体" w:hAnsi="宋体" w:cs="宋体" w:hint="eastAsia"/>
                <w:kern w:val="2"/>
                <w:sz w:val="21"/>
                <w:szCs w:val="21"/>
                <w:lang w:eastAsia="zh-CN"/>
              </w:rPr>
              <w:t>且服务（履约）评价为满意或优秀或优或良好或良或同等评价的（如服务评价证明不能反映上述评价内容的不得分)：每提供一个得10分，最高得100分。</w:t>
            </w:r>
          </w:p>
          <w:p>
            <w:pPr>
              <w:widowControl w:val="0"/>
              <w:spacing w:line="340" w:lineRule="exact"/>
              <w:jc w:val="left"/>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（二）评分依据：</w:t>
            </w:r>
          </w:p>
          <w:p>
            <w:pPr>
              <w:widowControl w:val="0"/>
              <w:spacing w:line="340" w:lineRule="exact"/>
              <w:jc w:val="both"/>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1、提供国家机关（或事业单位）出具的加盖公章（或业务章）的服务（履约）评价证明文件及合同关键页扫描件</w:t>
            </w:r>
            <w:r>
              <w:rPr>
                <w:rFonts w:eastAsia="宋体" w:hint="eastAsia"/>
                <w:kern w:val="2"/>
                <w:sz w:val="21"/>
                <w:szCs w:val="21"/>
                <w:lang w:eastAsia="zh-CN"/>
              </w:rPr>
              <w:t>（合同需能</w:t>
            </w:r>
            <w:r>
              <w:rPr>
                <w:rFonts w:ascii="宋体" w:eastAsia="宋体" w:hAnsi="宋体" w:cs="宋体" w:hint="eastAsia"/>
                <w:bCs/>
                <w:color w:val="000000"/>
                <w:kern w:val="2"/>
                <w:sz w:val="21"/>
                <w:szCs w:val="21"/>
                <w:lang w:eastAsia="zh-CN"/>
              </w:rPr>
              <w:t>体现</w:t>
            </w:r>
            <w:r>
              <w:rPr>
                <w:rFonts w:eastAsia="宋体" w:hint="eastAsia"/>
                <w:kern w:val="2"/>
                <w:sz w:val="21"/>
                <w:szCs w:val="21"/>
                <w:lang w:eastAsia="zh-CN"/>
              </w:rPr>
              <w:t>服务内容，服务时间），</w:t>
            </w:r>
            <w:r>
              <w:rPr>
                <w:rFonts w:ascii="宋体" w:eastAsia="宋体" w:hAnsi="宋体" w:cs="宋体" w:hint="eastAsia"/>
                <w:bCs/>
                <w:color w:val="000000"/>
                <w:kern w:val="2"/>
                <w:sz w:val="21"/>
                <w:szCs w:val="21"/>
                <w:lang w:eastAsia="zh-CN"/>
              </w:rPr>
              <w:t xml:space="preserve">出具服务（履约）评价证明的单位必须为合同甲方。 </w:t>
            </w:r>
          </w:p>
          <w:p>
            <w:pPr>
              <w:widowControl w:val="0"/>
              <w:spacing w:line="340" w:lineRule="exact"/>
              <w:jc w:val="both"/>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2、同一项目续签合同的不重复计分；每个项目须单独开具评价证明。如涉及到需要判断是否为同一项目续签的情形，如项目名称相同、出具评价证明单位相同的，投标单位应提供能判别为不属同一项目续签的相关证明材料（如中标通知书或能反映不属同一项目续签的合同关键页），如不能判别，评标委员会有权对投标单位作出不利判断。项目名称相同、出具服务评价证明单位相同，但是经过重新组织招标、招标编号不同的，不属同一项目续签。</w:t>
            </w:r>
          </w:p>
          <w:p>
            <w:pPr>
              <w:widowControl w:val="0"/>
              <w:spacing w:line="340" w:lineRule="exact"/>
              <w:jc w:val="both"/>
              <w:rPr>
                <w:rFonts w:ascii="宋体" w:eastAsia="宋体" w:hAnsi="宋体" w:cs="宋体"/>
                <w:kern w:val="2"/>
                <w:sz w:val="21"/>
                <w:szCs w:val="21"/>
                <w:lang w:eastAsia="zh-CN"/>
              </w:rPr>
            </w:pPr>
            <w:r>
              <w:rPr>
                <w:rFonts w:ascii="宋体" w:eastAsia="宋体" w:hAnsi="宋体" w:cs="宋体" w:hint="eastAsia"/>
                <w:bCs/>
                <w:color w:val="000000"/>
                <w:kern w:val="2"/>
                <w:sz w:val="21"/>
                <w:szCs w:val="21"/>
                <w:lang w:eastAsia="zh-CN"/>
              </w:rPr>
              <w:t>3、未按要求提供相关证明材料（或相关证明材料无法判断是否符合评分要求）的不计得分，原件备查。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after="78"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荣誉情况</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4196" w:type="dxa"/>
            <w:tcBorders>
              <w:top w:val="single" w:sz="8" w:space="0" w:color="000000"/>
              <w:left w:val="single" w:sz="8" w:space="0" w:color="000000"/>
              <w:bottom w:val="single" w:sz="8" w:space="0" w:color="000000"/>
              <w:right w:val="single" w:sz="8" w:space="0" w:color="000000"/>
            </w:tcBorders>
          </w:tcPr>
          <w:p>
            <w:pPr>
              <w:widowControl w:val="0"/>
              <w:spacing w:line="340" w:lineRule="exact"/>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（一）评审内容：</w:t>
            </w:r>
          </w:p>
          <w:p>
            <w:pPr>
              <w:widowControl w:val="0"/>
              <w:spacing w:line="276" w:lineRule="auto"/>
              <w:jc w:val="both"/>
              <w:rPr>
                <w:rFonts w:ascii="宋体" w:eastAsia="宋体" w:hAnsi="宋体" w:cs="宋体" w:hint="eastAsia"/>
                <w:bCs/>
                <w:kern w:val="2"/>
                <w:sz w:val="21"/>
                <w:szCs w:val="22"/>
                <w:lang w:eastAsia="zh-CN"/>
              </w:rPr>
            </w:pPr>
            <w:r>
              <w:rPr>
                <w:rFonts w:ascii="宋体" w:eastAsia="宋体" w:hAnsi="宋体" w:cs="宋体" w:hint="eastAsia"/>
                <w:bCs/>
                <w:kern w:val="2"/>
                <w:sz w:val="21"/>
                <w:lang w:eastAsia="zh-CN" w:bidi="ar"/>
              </w:rPr>
              <w:t>投标人获得过</w:t>
            </w:r>
            <w:r>
              <w:rPr>
                <w:rFonts w:ascii="宋体" w:eastAsia="宋体" w:hAnsi="宋体" w:cs="宋体" w:hint="eastAsia"/>
                <w:kern w:val="2"/>
                <w:sz w:val="21"/>
                <w:lang w:eastAsia="zh-CN" w:bidi="ar"/>
              </w:rPr>
              <w:t>国家机关或事业单位</w:t>
            </w:r>
            <w:r>
              <w:rPr>
                <w:rFonts w:ascii="宋体" w:eastAsia="宋体" w:hAnsi="宋体" w:cs="宋体" w:hint="eastAsia"/>
                <w:bCs/>
                <w:kern w:val="2"/>
                <w:sz w:val="21"/>
                <w:lang w:eastAsia="zh-CN" w:bidi="ar"/>
              </w:rPr>
              <w:t>颁发的</w:t>
            </w:r>
            <w:r>
              <w:rPr>
                <w:rFonts w:ascii="宋体" w:eastAsia="宋体" w:hAnsi="宋体" w:cs="宋体" w:hint="eastAsia"/>
                <w:b/>
                <w:kern w:val="2"/>
                <w:sz w:val="21"/>
                <w:szCs w:val="22"/>
                <w:lang w:eastAsia="zh-CN"/>
              </w:rPr>
              <w:t>工伤预防先进单位</w:t>
            </w:r>
            <w:r>
              <w:rPr>
                <w:rFonts w:ascii="宋体" w:eastAsia="宋体" w:hAnsi="宋体" w:cs="宋体" w:hint="eastAsia"/>
                <w:bCs/>
                <w:kern w:val="2"/>
                <w:sz w:val="21"/>
                <w:szCs w:val="22"/>
                <w:lang w:eastAsia="zh-CN"/>
              </w:rPr>
              <w:t>荣誉的得100分:</w:t>
            </w:r>
          </w:p>
          <w:p>
            <w:pPr>
              <w:widowControl w:val="0"/>
              <w:spacing w:line="276" w:lineRule="auto"/>
              <w:jc w:val="both"/>
              <w:rPr>
                <w:rFonts w:ascii="宋体" w:eastAsia="宋体" w:hAnsi="宋体" w:cs="宋体" w:hint="eastAsia"/>
                <w:bCs/>
                <w:kern w:val="2"/>
                <w:sz w:val="21"/>
                <w:szCs w:val="22"/>
                <w:lang w:eastAsia="zh-CN"/>
              </w:rPr>
            </w:pPr>
            <w:r>
              <w:rPr>
                <w:rFonts w:ascii="宋体" w:eastAsia="宋体" w:hAnsi="宋体" w:cs="宋体" w:hint="eastAsia"/>
                <w:kern w:val="2"/>
                <w:sz w:val="21"/>
                <w:lang w:eastAsia="zh-CN" w:bidi="ar"/>
              </w:rPr>
              <w:t>①</w:t>
            </w:r>
            <w:r>
              <w:rPr>
                <w:rFonts w:ascii="宋体" w:eastAsia="宋体" w:hAnsi="宋体" w:cs="宋体" w:hint="eastAsia"/>
                <w:kern w:val="2"/>
                <w:sz w:val="21"/>
                <w:lang w:eastAsia="zh-CN" w:bidi="ar"/>
              </w:rPr>
              <w:t>省级（或以上，含副省级）</w:t>
            </w:r>
            <w:r>
              <w:rPr>
                <w:rFonts w:ascii="宋体" w:eastAsia="宋体" w:hAnsi="宋体" w:cs="宋体" w:hint="eastAsia"/>
                <w:bCs/>
                <w:kern w:val="2"/>
                <w:sz w:val="21"/>
                <w:lang w:eastAsia="zh-CN" w:bidi="ar"/>
              </w:rPr>
              <w:t>的得100分；</w:t>
            </w:r>
          </w:p>
          <w:p>
            <w:pPr>
              <w:widowControl w:val="0"/>
              <w:spacing w:line="276" w:lineRule="auto"/>
              <w:jc w:val="left"/>
              <w:rPr>
                <w:rFonts w:ascii="Calibri" w:eastAsia="宋体" w:hAnsi="Calibri"/>
                <w:kern w:val="2"/>
                <w:sz w:val="21"/>
                <w:szCs w:val="22"/>
                <w:lang w:eastAsia="zh-CN"/>
              </w:rPr>
            </w:pPr>
            <w:r>
              <w:rPr>
                <w:rFonts w:ascii="宋体" w:eastAsia="宋体" w:hAnsi="宋体" w:cs="宋体" w:hint="eastAsia"/>
                <w:kern w:val="2"/>
                <w:sz w:val="21"/>
                <w:lang w:eastAsia="zh-CN" w:bidi="ar"/>
              </w:rPr>
              <w:t>②</w:t>
            </w:r>
            <w:r>
              <w:rPr>
                <w:rFonts w:ascii="宋体" w:eastAsia="宋体" w:hAnsi="宋体" w:cs="宋体" w:hint="eastAsia"/>
                <w:kern w:val="2"/>
                <w:sz w:val="21"/>
                <w:lang w:eastAsia="zh-CN" w:bidi="ar"/>
              </w:rPr>
              <w:t>市级的，得</w:t>
            </w:r>
            <w:r>
              <w:rPr>
                <w:rFonts w:eastAsia="宋体" w:cs="Calibri" w:hint="eastAsia"/>
                <w:kern w:val="2"/>
                <w:sz w:val="21"/>
                <w:lang w:eastAsia="zh-CN" w:bidi="ar"/>
              </w:rPr>
              <w:t>5</w:t>
            </w:r>
            <w:r>
              <w:rPr>
                <w:rFonts w:eastAsia="宋体" w:cs="Calibri"/>
                <w:kern w:val="2"/>
                <w:sz w:val="21"/>
                <w:lang w:eastAsia="zh-CN" w:bidi="ar"/>
              </w:rPr>
              <w:t>0</w:t>
            </w:r>
            <w:r>
              <w:rPr>
                <w:rFonts w:ascii="宋体" w:eastAsia="宋体" w:hAnsi="宋体" w:cs="宋体" w:hint="eastAsia"/>
                <w:kern w:val="2"/>
                <w:sz w:val="21"/>
                <w:lang w:eastAsia="zh-CN" w:bidi="ar"/>
              </w:rPr>
              <w:t>分；</w:t>
            </w:r>
          </w:p>
          <w:p>
            <w:pPr>
              <w:widowControl w:val="0"/>
              <w:spacing w:line="276" w:lineRule="auto"/>
              <w:jc w:val="left"/>
              <w:rPr>
                <w:rFonts w:ascii="Calibri" w:eastAsia="宋体" w:hAnsi="Calibri"/>
                <w:kern w:val="2"/>
                <w:sz w:val="21"/>
                <w:szCs w:val="22"/>
                <w:lang w:eastAsia="zh-CN"/>
              </w:rPr>
            </w:pPr>
            <w:r>
              <w:rPr>
                <w:rFonts w:ascii="宋体" w:eastAsia="宋体" w:hAnsi="宋体" w:cs="宋体" w:hint="eastAsia"/>
                <w:kern w:val="2"/>
                <w:sz w:val="21"/>
                <w:lang w:eastAsia="zh-CN" w:bidi="ar"/>
              </w:rPr>
              <w:t>③</w:t>
            </w:r>
            <w:r>
              <w:rPr>
                <w:rFonts w:ascii="宋体" w:eastAsia="宋体" w:hAnsi="宋体" w:cs="宋体" w:hint="eastAsia"/>
                <w:kern w:val="2"/>
                <w:sz w:val="21"/>
                <w:lang w:eastAsia="zh-CN" w:bidi="ar"/>
              </w:rPr>
              <w:t>区（县）级的，得</w:t>
            </w:r>
            <w:r>
              <w:rPr>
                <w:rFonts w:eastAsia="宋体" w:cs="Calibri" w:hint="eastAsia"/>
                <w:kern w:val="2"/>
                <w:sz w:val="21"/>
                <w:lang w:eastAsia="zh-CN" w:bidi="ar"/>
              </w:rPr>
              <w:t>3</w:t>
            </w:r>
            <w:r>
              <w:rPr>
                <w:rFonts w:eastAsia="宋体" w:cs="Calibri"/>
                <w:kern w:val="2"/>
                <w:sz w:val="21"/>
                <w:lang w:eastAsia="zh-CN" w:bidi="ar"/>
              </w:rPr>
              <w:t>0</w:t>
            </w:r>
            <w:r>
              <w:rPr>
                <w:rFonts w:ascii="宋体" w:eastAsia="宋体" w:hAnsi="宋体" w:cs="宋体" w:hint="eastAsia"/>
                <w:kern w:val="2"/>
                <w:sz w:val="21"/>
                <w:lang w:eastAsia="zh-CN" w:bidi="ar"/>
              </w:rPr>
              <w:t>分。</w:t>
            </w:r>
          </w:p>
          <w:p>
            <w:pPr>
              <w:widowControl w:val="0"/>
              <w:spacing w:line="276" w:lineRule="auto"/>
              <w:jc w:val="left"/>
              <w:rPr>
                <w:rFonts w:ascii="宋体" w:eastAsia="宋体" w:hAnsi="宋体" w:cs="宋体" w:hint="eastAsia"/>
                <w:kern w:val="2"/>
                <w:sz w:val="21"/>
                <w:szCs w:val="22"/>
                <w:lang w:eastAsia="zh-CN"/>
              </w:rPr>
            </w:pPr>
            <w:r>
              <w:rPr>
                <w:rFonts w:ascii="宋体" w:eastAsia="宋体" w:hAnsi="宋体" w:cs="宋体" w:hint="eastAsia"/>
                <w:kern w:val="2"/>
                <w:sz w:val="21"/>
                <w:lang w:eastAsia="zh-CN" w:bidi="ar"/>
              </w:rPr>
              <w:t>以上提供多个荣誉奖项的不重复计分，以最高等级计分。</w:t>
            </w:r>
          </w:p>
          <w:p>
            <w:pPr>
              <w:widowControl w:val="0"/>
              <w:spacing w:line="340" w:lineRule="exact"/>
              <w:jc w:val="left"/>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（二）评分依据：</w:t>
            </w:r>
          </w:p>
          <w:p>
            <w:pPr>
              <w:widowControl w:val="0"/>
              <w:spacing w:line="340" w:lineRule="exact"/>
              <w:jc w:val="both"/>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提供相关荣誉（或表彰）证明材料扫描件（须能体现投标人信息），未按要求提供相关证明材料（或相关证明材料无法判断是否符合评分要求）的不计得分，原件备查。</w:t>
            </w:r>
          </w:p>
          <w:p>
            <w:pPr>
              <w:widowControl w:val="0"/>
              <w:spacing w:line="340" w:lineRule="exact"/>
              <w:jc w:val="both"/>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注：</w:t>
            </w:r>
          </w:p>
          <w:p>
            <w:pPr>
              <w:widowControl w:val="0"/>
              <w:spacing w:line="340" w:lineRule="exact"/>
              <w:jc w:val="both"/>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①</w:t>
            </w:r>
            <w:r>
              <w:rPr>
                <w:rFonts w:ascii="宋体" w:eastAsia="宋体" w:hAnsi="宋体" w:cs="宋体" w:hint="eastAsia"/>
                <w:bCs/>
                <w:color w:val="000000"/>
                <w:kern w:val="2"/>
                <w:sz w:val="21"/>
                <w:szCs w:val="21"/>
                <w:lang w:eastAsia="zh-CN"/>
              </w:rPr>
              <w:t>省级（含副省级）或以上荣誉（或奖项）颁发单位为省级（或以上）人民政府（含副省级城市人民政府）及其直属的国家机关（或事业单位）；</w:t>
            </w:r>
          </w:p>
          <w:p>
            <w:pPr>
              <w:widowControl w:val="0"/>
              <w:spacing w:line="340" w:lineRule="exact"/>
              <w:jc w:val="both"/>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②</w:t>
            </w:r>
            <w:r>
              <w:rPr>
                <w:rFonts w:ascii="宋体" w:eastAsia="宋体" w:hAnsi="宋体" w:cs="宋体" w:hint="eastAsia"/>
                <w:bCs/>
                <w:color w:val="000000"/>
                <w:kern w:val="2"/>
                <w:sz w:val="21"/>
                <w:szCs w:val="21"/>
                <w:lang w:eastAsia="zh-CN"/>
              </w:rPr>
              <w:t>市级荣誉（或奖项）颁发单位为市人民政府及其直属的国家机关（或事业单位）;</w:t>
            </w:r>
          </w:p>
          <w:p>
            <w:pPr>
              <w:widowControl w:val="0"/>
              <w:spacing w:line="340" w:lineRule="exact"/>
              <w:jc w:val="both"/>
              <w:rPr>
                <w:rFonts w:ascii="宋体" w:eastAsia="宋体" w:hAnsi="宋体" w:cs="宋体"/>
                <w:kern w:val="2"/>
                <w:sz w:val="21"/>
                <w:szCs w:val="21"/>
                <w:lang w:eastAsia="zh-CN"/>
              </w:rPr>
            </w:pPr>
            <w:r>
              <w:rPr>
                <w:rFonts w:ascii="宋体" w:eastAsia="宋体" w:hAnsi="宋体" w:cs="宋体" w:hint="eastAsia"/>
                <w:bCs/>
                <w:color w:val="000000"/>
                <w:kern w:val="2"/>
                <w:sz w:val="21"/>
                <w:szCs w:val="21"/>
                <w:lang w:eastAsia="zh-CN"/>
              </w:rPr>
              <w:t>③</w:t>
            </w:r>
            <w:r>
              <w:rPr>
                <w:rFonts w:ascii="宋体" w:eastAsia="宋体" w:hAnsi="宋体" w:cs="宋体" w:hint="eastAsia"/>
                <w:bCs/>
                <w:color w:val="000000"/>
                <w:kern w:val="2"/>
                <w:sz w:val="21"/>
                <w:szCs w:val="21"/>
                <w:lang w:eastAsia="zh-CN"/>
              </w:rPr>
              <w:t>区（县）级荣誉（或奖项）颁发单位为区（县）级人民政府及其直属的国家机关（或事业单位）</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宋体" w:eastAsia="宋体" w:hAnsi="宋体" w:cs="宋体"/>
                <w:b/>
                <w:bCs/>
                <w:color w:val="0000FF"/>
                <w:kern w:val="2"/>
                <w:szCs w:val="22"/>
                <w:lang w:eastAsia="zh-CN"/>
              </w:rPr>
            </w:pPr>
            <w:r>
              <w:rPr>
                <w:rFonts w:ascii="Calibri" w:eastAsia="宋体" w:hAnsi="Calibri"/>
                <w:b/>
                <w:bCs/>
                <w:color w:val="0000FF"/>
                <w:kern w:val="2"/>
                <w:sz w:val="21"/>
                <w:szCs w:val="22"/>
                <w:lang w:eastAsia="zh-CN"/>
              </w:rPr>
              <w:t>4</w:t>
            </w:r>
          </w:p>
        </w:tc>
        <w:tc>
          <w:tcPr>
            <w:tcW w:w="4196" w:type="dxa"/>
            <w:gridSpan w:val="3"/>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宋体" w:eastAsia="宋体" w:hAnsi="宋体" w:cs="宋体"/>
                <w:b/>
                <w:bCs/>
                <w:color w:val="0000FF"/>
                <w:kern w:val="2"/>
                <w:szCs w:val="22"/>
                <w:lang w:eastAsia="zh-CN"/>
              </w:rPr>
            </w:pPr>
            <w:r>
              <w:rPr>
                <w:rFonts w:ascii="Calibri" w:eastAsia="宋体" w:hAnsi="Calibri"/>
                <w:b/>
                <w:bCs/>
                <w:color w:val="0000FF"/>
                <w:kern w:val="2"/>
                <w:sz w:val="21"/>
                <w:szCs w:val="22"/>
                <w:lang w:eastAsia="zh-CN"/>
              </w:rPr>
              <w:t>诚信情况</w:t>
            </w:r>
          </w:p>
        </w:tc>
        <w:tc>
          <w:tcPr>
            <w:tcW w:w="4196" w:type="dxa"/>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center"/>
              <w:rPr>
                <w:rFonts w:ascii="宋体" w:eastAsia="宋体" w:hAnsi="宋体" w:cs="宋体"/>
                <w:b/>
                <w:bCs/>
                <w:color w:val="0000FF"/>
                <w:kern w:val="2"/>
                <w:szCs w:val="22"/>
                <w:lang w:eastAsia="zh-CN"/>
              </w:rPr>
            </w:pPr>
            <w:r>
              <w:rPr>
                <w:rFonts w:ascii="Calibri" w:eastAsia="宋体" w:hAnsi="Calibri" w:hint="eastAsia"/>
                <w:b/>
                <w:bCs/>
                <w:color w:val="0000FF"/>
                <w:kern w:val="2"/>
                <w:sz w:val="21"/>
                <w:szCs w:val="22"/>
                <w:lang w:eastAsia="zh-CN"/>
              </w:rPr>
              <w:t>5</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jc w:val="both"/>
              <w:rPr>
                <w:rFonts w:ascii="宋体" w:eastAsia="宋体" w:hAnsi="宋体" w:cs="宋体"/>
                <w:kern w:val="2"/>
                <w:sz w:val="21"/>
                <w:szCs w:val="21"/>
                <w:lang w:eastAsia="zh-CN"/>
              </w:rPr>
            </w:pP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评分准则</w:t>
            </w:r>
          </w:p>
        </w:tc>
      </w:tr>
      <w:tr>
        <w:tblPrEx>
          <w:tblW w:w="5000" w:type="pct"/>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spacing w:line="340" w:lineRule="exact"/>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wordWrap w:val="0"/>
              <w:spacing w:line="340" w:lineRule="exact"/>
              <w:jc w:val="center"/>
              <w:rPr>
                <w:rFonts w:ascii="宋体" w:eastAsia="宋体" w:hAnsi="宋体" w:cs="宋体"/>
                <w:kern w:val="2"/>
                <w:sz w:val="21"/>
                <w:szCs w:val="21"/>
                <w:lang w:eastAsia="zh-CN"/>
              </w:rPr>
            </w:pPr>
            <w:r>
              <w:rPr>
                <w:rFonts w:ascii="Calibri" w:eastAsia="宋体" w:hAnsi="Calibri"/>
                <w:kern w:val="2"/>
                <w:sz w:val="21"/>
                <w:szCs w:val="21"/>
                <w:lang w:eastAsia="zh-CN"/>
              </w:rPr>
              <w:t>诚信情况</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wordWrap w:val="0"/>
              <w:spacing w:line="340" w:lineRule="exact"/>
              <w:jc w:val="center"/>
              <w:rPr>
                <w:rFonts w:ascii="宋体" w:eastAsia="宋体" w:hAnsi="宋体" w:cs="宋体"/>
                <w:kern w:val="2"/>
                <w:sz w:val="21"/>
                <w:szCs w:val="21"/>
                <w:lang w:eastAsia="zh-CN"/>
              </w:rPr>
            </w:pPr>
            <w:r>
              <w:rPr>
                <w:rFonts w:ascii="Calibri" w:eastAsia="宋体" w:hAnsi="Calibri" w:hint="eastAsia"/>
                <w:kern w:val="2"/>
                <w:sz w:val="21"/>
                <w:szCs w:val="22"/>
                <w:lang w:eastAsia="zh-CN"/>
              </w:rPr>
              <w:t>5</w:t>
            </w:r>
          </w:p>
        </w:tc>
        <w:tc>
          <w:tcPr>
            <w:tcW w:w="4196" w:type="dxa"/>
            <w:tcBorders>
              <w:top w:val="single" w:sz="8" w:space="0" w:color="000000"/>
              <w:left w:val="single" w:sz="8" w:space="0" w:color="000000"/>
              <w:bottom w:val="single" w:sz="8" w:space="0" w:color="000000"/>
              <w:right w:val="single" w:sz="8" w:space="0" w:color="000000"/>
            </w:tcBorders>
          </w:tcPr>
          <w:p>
            <w:pPr>
              <w:widowControl w:val="0"/>
              <w:wordWrap w:val="0"/>
              <w:spacing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widowControl w:val="0"/>
              <w:wordWrap w:val="0"/>
              <w:spacing w:line="340" w:lineRule="exact"/>
              <w:ind w:firstLine="420" w:firstLineChars="200"/>
              <w:jc w:val="both"/>
              <w:rPr>
                <w:rFonts w:ascii="宋体" w:eastAsia="宋体" w:hAnsi="宋体" w:cs="宋体"/>
                <w:b/>
                <w:bCs/>
                <w:kern w:val="2"/>
                <w:szCs w:val="21"/>
                <w:lang w:eastAsia="zh-CN"/>
              </w:rPr>
            </w:pPr>
            <w:r>
              <w:rPr>
                <w:rFonts w:ascii="宋体" w:eastAsia="宋体" w:hAnsi="宋体" w:cs="宋体" w:hint="eastAsia"/>
                <w:kern w:val="2"/>
                <w:sz w:val="21"/>
                <w:szCs w:val="21"/>
                <w:lang w:eastAsia="zh-CN"/>
              </w:rPr>
              <w:t>查询渠道：通过</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信用中国</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（www.creditchina.gov.cn，下载信用信息报告）、</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中国政府采购网</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（www.ccgp.gov.cn）、以及</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深圳市政府采购监管网</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（http://zfcg.sz.gov.cn）查询供应商信用信息，信用信息以开标当日的查询结果为准。</w:t>
            </w:r>
          </w:p>
        </w:tc>
      </w:tr>
    </w:tbl>
    <w:p>
      <w:pPr>
        <w:widowControl w:val="0"/>
        <w:jc w:val="both"/>
        <w:rPr>
          <w:rFonts w:ascii="宋体" w:eastAsia="宋体" w:hAnsi="宋体"/>
          <w:kern w:val="2"/>
          <w:szCs w:val="22"/>
          <w:lang w:eastAsia="zh-CN"/>
        </w:rPr>
      </w:pPr>
    </w:p>
    <w:p>
      <w:pPr>
        <w:widowControl w:val="0"/>
        <w:jc w:val="center"/>
        <w:rPr>
          <w:rFonts w:ascii="Calibri" w:eastAsia="宋体" w:hAnsi="Calibri" w:hint="eastAsia"/>
          <w:b/>
          <w:kern w:val="2"/>
          <w:sz w:val="120"/>
          <w:szCs w:val="120"/>
          <w:lang w:eastAsia="zh-CN"/>
        </w:rPr>
      </w:pPr>
    </w:p>
    <w:p>
      <w:pPr>
        <w:widowControl w:val="0"/>
        <w:jc w:val="center"/>
        <w:rPr>
          <w:rFonts w:ascii="Calibri" w:eastAsia="宋体" w:hAnsi="Calibri" w:hint="eastAsia"/>
          <w:b/>
          <w:kern w:val="2"/>
          <w:sz w:val="120"/>
          <w:szCs w:val="120"/>
          <w:lang w:eastAsia="zh-CN"/>
        </w:rPr>
      </w:pPr>
    </w:p>
    <w:p>
      <w:pPr>
        <w:widowControl w:val="0"/>
        <w:jc w:val="both"/>
        <w:rPr>
          <w:rFonts w:ascii="Calibri" w:eastAsia="宋体" w:hAnsi="Calibri" w:hint="eastAsia"/>
          <w:b/>
          <w:kern w:val="2"/>
          <w:sz w:val="120"/>
          <w:szCs w:val="120"/>
          <w:lang w:eastAsia="zh-CN"/>
        </w:rPr>
      </w:pPr>
      <w:r>
        <w:rPr>
          <w:rFonts w:ascii="Calibri" w:eastAsia="宋体" w:hAnsi="Calibri" w:hint="eastAsia"/>
          <w:b/>
          <w:kern w:val="2"/>
          <w:sz w:val="120"/>
          <w:szCs w:val="120"/>
          <w:lang w:eastAsia="zh-CN"/>
        </w:rPr>
        <w:br w:type="page"/>
      </w:r>
    </w:p>
    <w:p>
      <w:pPr>
        <w:widowControl w:val="0"/>
        <w:spacing w:before="120" w:after="120"/>
        <w:jc w:val="left"/>
        <w:rPr>
          <w:rFonts w:ascii="Calibri" w:eastAsia="宋体" w:hAnsi="Calibri" w:hint="eastAsia"/>
          <w:b/>
          <w:bCs/>
          <w:caps/>
          <w:kern w:val="2"/>
          <w:sz w:val="21"/>
          <w:szCs w:val="22"/>
          <w:lang w:eastAsia="zh-CN"/>
        </w:rPr>
      </w:pPr>
    </w:p>
    <w:p>
      <w:pPr>
        <w:widowControl w:val="0"/>
        <w:jc w:val="center"/>
        <w:rPr>
          <w:rFonts w:ascii="Calibri" w:eastAsia="宋体" w:hAnsi="Calibri"/>
          <w:b/>
          <w:kern w:val="2"/>
          <w:sz w:val="120"/>
          <w:szCs w:val="120"/>
          <w:lang w:eastAsia="zh-CN"/>
        </w:rPr>
      </w:pPr>
      <w:r>
        <w:rPr>
          <w:rFonts w:ascii="Calibri" w:eastAsia="宋体" w:hAnsi="Calibr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hint="eastAsia"/>
          <w:b/>
          <w:kern w:val="2"/>
          <w:sz w:val="52"/>
          <w:szCs w:val="52"/>
          <w:lang w:eastAsia="zh-CN"/>
        </w:rPr>
        <w:t>（服务类）</w:t>
      </w: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bookmarkStart w:id="2" w:name="_Hlk71465316"/>
      <w:r>
        <w:rPr>
          <w:rFonts w:ascii="Calibri" w:eastAsia="宋体" w:hAnsi="Calibri" w:hint="eastAsia"/>
          <w:b/>
          <w:kern w:val="2"/>
          <w:sz w:val="44"/>
          <w:szCs w:val="44"/>
          <w:lang w:eastAsia="zh-CN"/>
        </w:rPr>
        <w:t>深圳公共资源交易中心</w:t>
      </w:r>
    </w:p>
    <w:p>
      <w:pPr>
        <w:widowControl w:val="0"/>
        <w:jc w:val="center"/>
        <w:rPr>
          <w:rFonts w:ascii="Calibri" w:eastAsia="宋体" w:hAnsi="Calibri"/>
          <w:kern w:val="2"/>
          <w:sz w:val="28"/>
          <w:szCs w:val="28"/>
          <w:lang w:eastAsia="zh-CN"/>
        </w:rPr>
      </w:pPr>
      <w:r>
        <w:rPr>
          <w:rFonts w:ascii="Calibri" w:eastAsia="宋体" w:hAnsi="Calibri" w:hint="eastAsia"/>
          <w:b/>
          <w:kern w:val="2"/>
          <w:sz w:val="28"/>
          <w:szCs w:val="28"/>
          <w:lang w:eastAsia="zh-CN"/>
        </w:rPr>
        <w:t>（</w:t>
      </w:r>
      <w:r>
        <w:rPr>
          <w:rFonts w:ascii="Calibri" w:eastAsia="宋体" w:hAnsi="Calibri"/>
          <w:b/>
          <w:kern w:val="2"/>
          <w:sz w:val="28"/>
          <w:szCs w:val="28"/>
          <w:lang w:eastAsia="zh-CN"/>
        </w:rPr>
        <w:t>20</w:t>
      </w:r>
      <w:r>
        <w:rPr>
          <w:rFonts w:ascii="Calibri" w:eastAsia="宋体" w:hAnsi="Calibri" w:hint="eastAsia"/>
          <w:b/>
          <w:kern w:val="2"/>
          <w:sz w:val="28"/>
          <w:szCs w:val="28"/>
          <w:lang w:eastAsia="zh-CN"/>
        </w:rPr>
        <w:t>25）</w:t>
      </w:r>
      <w:bookmarkEnd w:id="2"/>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hint="eastAsia"/>
          <w:kern w:val="2"/>
          <w:sz w:val="21"/>
          <w:szCs w:val="22"/>
          <w:lang w:eastAsia="zh-CN"/>
        </w:rPr>
        <w:br w:type="page"/>
      </w:r>
    </w:p>
    <w:p>
      <w:pPr>
        <w:keepNext/>
        <w:keepLines/>
        <w:widowControl w:val="0"/>
        <w:spacing w:before="340" w:after="60" w:afterLines="25" w:line="578" w:lineRule="auto"/>
        <w:jc w:val="center"/>
        <w:outlineLvl w:val="0"/>
        <w:rPr>
          <w:rFonts w:ascii="Arial" w:eastAsia="宋体" w:hAnsi="Arial"/>
          <w:b/>
          <w:bCs/>
          <w:kern w:val="44"/>
          <w:sz w:val="44"/>
          <w:szCs w:val="44"/>
          <w:lang w:eastAsia="zh-CN"/>
        </w:rPr>
      </w:pPr>
      <w:r>
        <w:rPr>
          <w:rFonts w:ascii="Arial" w:eastAsia="宋体" w:hAnsi="Arial" w:hint="eastAsia"/>
          <w:b/>
          <w:bCs/>
          <w:kern w:val="44"/>
          <w:sz w:val="44"/>
          <w:szCs w:val="44"/>
          <w:lang w:eastAsia="zh-CN"/>
        </w:rPr>
        <w:t>目   录</w:t>
      </w:r>
    </w:p>
    <w:p>
      <w:pPr>
        <w:widowControl w:val="0"/>
        <w:jc w:val="both"/>
        <w:outlineLvl w:val="0"/>
        <w:rPr>
          <w:rFonts w:ascii="Calibri" w:eastAsia="宋体" w:hAnsi="Calibri"/>
          <w:b/>
          <w:kern w:val="2"/>
          <w:szCs w:val="22"/>
          <w:lang w:eastAsia="zh-CN"/>
        </w:rPr>
      </w:pPr>
      <w:r>
        <w:rPr>
          <w:rFonts w:ascii="Calibri" w:eastAsia="宋体" w:hAnsi="Calibri" w:hint="eastAsia"/>
          <w:b/>
          <w:kern w:val="2"/>
          <w:szCs w:val="22"/>
          <w:lang w:eastAsia="zh-CN"/>
        </w:rPr>
        <w:t>第一册  专用条款</w:t>
      </w:r>
    </w:p>
    <w:p>
      <w:pPr>
        <w:widowControl w:val="0"/>
        <w:ind w:firstLine="960" w:firstLineChars="400"/>
        <w:jc w:val="both"/>
        <w:rPr>
          <w:rFonts w:ascii="Calibri" w:eastAsia="宋体" w:hAnsi="Calibri"/>
          <w:kern w:val="2"/>
          <w:szCs w:val="22"/>
          <w:lang w:eastAsia="zh-CN"/>
        </w:rPr>
      </w:pPr>
      <w:r>
        <w:rPr>
          <w:rFonts w:ascii="Calibri" w:eastAsia="宋体" w:hAnsi="Calibri" w:hint="eastAsia"/>
          <w:kern w:val="2"/>
          <w:szCs w:val="22"/>
          <w:lang w:eastAsia="zh-CN"/>
        </w:rPr>
        <w:t>关键信息</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招标公告</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第二章  </w:t>
      </w:r>
      <w:bookmarkStart w:id="3" w:name="_Hlk71994379"/>
      <w:r>
        <w:rPr>
          <w:rFonts w:ascii="宋体" w:eastAsia="宋体" w:hAnsi="宋体" w:hint="eastAsia"/>
          <w:kern w:val="2"/>
          <w:sz w:val="21"/>
          <w:szCs w:val="21"/>
          <w:lang w:eastAsia="zh-CN"/>
        </w:rPr>
        <w:t>对通用条款的补充内容及其他关键信息</w:t>
      </w:r>
      <w:bookmarkEnd w:id="3"/>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第三章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第四章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合同条款及格式</w:t>
      </w:r>
    </w:p>
    <w:p>
      <w:pPr>
        <w:widowControl w:val="0"/>
        <w:jc w:val="both"/>
        <w:rPr>
          <w:rFonts w:ascii="Calibri" w:eastAsia="宋体" w:hAnsi="Calibri"/>
          <w:b/>
          <w:kern w:val="2"/>
          <w:szCs w:val="22"/>
          <w:lang w:eastAsia="zh-CN"/>
        </w:rPr>
      </w:pPr>
    </w:p>
    <w:p>
      <w:pPr>
        <w:widowControl w:val="0"/>
        <w:jc w:val="both"/>
        <w:outlineLvl w:val="0"/>
        <w:rPr>
          <w:rFonts w:ascii="Calibri" w:eastAsia="宋体" w:hAnsi="Calibri"/>
          <w:b/>
          <w:kern w:val="2"/>
          <w:szCs w:val="22"/>
          <w:lang w:eastAsia="zh-CN"/>
        </w:rPr>
      </w:pPr>
      <w:r>
        <w:rPr>
          <w:rFonts w:ascii="Calibri" w:eastAsia="宋体" w:hAnsi="Calibri" w:hint="eastAsia"/>
          <w:b/>
          <w:kern w:val="2"/>
          <w:szCs w:val="22"/>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第十章  合同的授予与备案</w:t>
      </w:r>
    </w:p>
    <w:p>
      <w:pPr>
        <w:widowControl w:val="0"/>
        <w:ind w:firstLine="1050" w:firstLineChars="500"/>
        <w:jc w:val="both"/>
        <w:outlineLvl w:val="0"/>
        <w:rPr>
          <w:rFonts w:ascii="Calibri" w:eastAsia="宋体" w:hAnsi="Calibri"/>
          <w:b/>
          <w:kern w:val="2"/>
          <w:szCs w:val="22"/>
          <w:lang w:eastAsia="zh-CN"/>
        </w:rPr>
      </w:pPr>
      <w:r>
        <w:rPr>
          <w:rFonts w:ascii="宋体" w:eastAsia="宋体" w:hAnsi="宋体" w:hint="eastAsia"/>
          <w:kern w:val="2"/>
          <w:sz w:val="21"/>
          <w:szCs w:val="21"/>
          <w:lang w:eastAsia="zh-CN"/>
        </w:rPr>
        <w:t>第十一章  质疑处理</w:t>
      </w:r>
    </w:p>
    <w:p>
      <w:pPr>
        <w:widowControl w:val="0"/>
        <w:spacing w:line="360" w:lineRule="auto"/>
        <w:ind w:firstLine="420" w:firstLineChars="200"/>
        <w:jc w:val="left"/>
        <w:rPr>
          <w:rFonts w:ascii="宋体" w:eastAsia="宋体" w:hAnsi="宋体"/>
          <w:kern w:val="2"/>
          <w:sz w:val="21"/>
          <w:szCs w:val="21"/>
          <w:lang w:eastAsia="zh-CN"/>
        </w:rPr>
      </w:pPr>
    </w:p>
    <w:p>
      <w:pPr>
        <w:keepNext/>
        <w:keepLines/>
        <w:widowControl w:val="0"/>
        <w:spacing w:before="340" w:after="60" w:afterLines="25" w:line="578" w:lineRule="auto"/>
        <w:jc w:val="center"/>
        <w:outlineLvl w:val="0"/>
        <w:rPr>
          <w:rFonts w:ascii="Arial" w:eastAsia="宋体" w:hAnsi="Arial"/>
          <w:b/>
          <w:bCs/>
          <w:kern w:val="44"/>
          <w:szCs w:val="44"/>
          <w:lang w:eastAsia="zh-CN"/>
        </w:rPr>
      </w:pPr>
      <w:r>
        <w:rPr>
          <w:rFonts w:ascii="Arial" w:eastAsia="宋体" w:hAnsi="Arial"/>
          <w:b/>
          <w:bCs/>
          <w:kern w:val="44"/>
          <w:sz w:val="44"/>
          <w:szCs w:val="44"/>
          <w:lang w:eastAsia="zh-CN"/>
        </w:rPr>
        <w:br w:type="page"/>
      </w:r>
      <w:bookmarkStart w:id="4" w:name="bt开标一览表"/>
      <w:bookmarkStart w:id="5" w:name="bt投标报价汇总表"/>
      <w:bookmarkStart w:id="6" w:name="bt投标文件签署授权委托书"/>
      <w:bookmarkStart w:id="7" w:name="bt投标函"/>
      <w:bookmarkStart w:id="8" w:name="bt说明"/>
      <w:bookmarkStart w:id="9" w:name="bt合同条款及格式"/>
      <w:bookmarkStart w:id="10" w:name="bt投标人情况介绍"/>
      <w:bookmarkStart w:id="11" w:name="合同格式"/>
      <w:bookmarkStart w:id="12" w:name="bt投标人须知"/>
      <w:bookmarkStart w:id="13" w:name="bt其他资料由投标人自定"/>
      <w:bookmarkStart w:id="14" w:name="bt合同格式"/>
      <w:bookmarkStart w:id="15" w:name="bt商务标投标文件格式"/>
      <w:bookmarkStart w:id="16" w:name="bt合同条款"/>
      <w:bookmarkStart w:id="17" w:name="bt技术标投标文件格式"/>
      <w:bookmarkStart w:id="18" w:name="bt其他资料2"/>
      <w:bookmarkStart w:id="19" w:name="bt本工程承诺书"/>
      <w:bookmarkStart w:id="20" w:name="bt项目管理班子配备情况"/>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Arial" w:eastAsia="宋体" w:hAnsi="Arial" w:hint="eastAsia"/>
          <w:b/>
          <w:bCs/>
          <w:kern w:val="44"/>
          <w:sz w:val="44"/>
          <w:szCs w:val="44"/>
          <w:lang w:eastAsia="zh-CN"/>
        </w:rPr>
        <w:t>第一册  专用条款</w:t>
      </w:r>
    </w:p>
    <w:p>
      <w:pPr>
        <w:keepNext/>
        <w:keepLines/>
        <w:widowControl w:val="0"/>
        <w:spacing w:before="260" w:after="260" w:line="416" w:lineRule="auto"/>
        <w:jc w:val="center"/>
        <w:outlineLvl w:val="1"/>
        <w:rPr>
          <w:rFonts w:ascii="Cambria" w:eastAsia="宋体" w:hAnsi="Cambria" w:hint="eastAsia"/>
          <w:b/>
          <w:bCs/>
          <w:kern w:val="2"/>
          <w:sz w:val="28"/>
          <w:szCs w:val="28"/>
          <w:lang w:eastAsia="zh-CN"/>
        </w:rPr>
      </w:pPr>
      <w:r>
        <w:rPr>
          <w:rFonts w:ascii="Cambria" w:eastAsia="宋体" w:hAnsi="Cambria" w:hint="eastAsia"/>
          <w:b/>
          <w:bCs/>
          <w:kern w:val="2"/>
          <w:sz w:val="28"/>
          <w:szCs w:val="28"/>
          <w:lang w:eastAsia="zh-CN"/>
        </w:rPr>
        <w:t>第一章  招标公告</w:t>
      </w:r>
    </w:p>
    <w:tbl>
      <w:tblPr>
        <w:tblStyle w:val="TableNormal"/>
        <w:tblW w:w="5000" w:type="pct"/>
        <w:jc w:val="center"/>
        <w:tblCellSpacing w:w="0" w:type="dxa"/>
        <w:tblLayout w:type="fixed"/>
        <w:tblCellMar>
          <w:top w:w="0" w:type="dxa"/>
          <w:left w:w="0" w:type="dxa"/>
          <w:bottom w:w="0" w:type="dxa"/>
          <w:right w:w="0" w:type="dxa"/>
        </w:tblCellMar>
        <w:tblLook w:val="0000"/>
      </w:tblPr>
      <w:tblGrid>
        <w:gridCol w:w="8313"/>
      </w:tblGrid>
      <w:tr>
        <w:tblPrEx>
          <w:tblW w:w="5000" w:type="pct"/>
          <w:jc w:val="center"/>
          <w:tblCellSpacing w:w="0" w:type="dxa"/>
          <w:tblLayout w:type="fixed"/>
          <w:tblCellMar>
            <w:top w:w="0" w:type="dxa"/>
            <w:left w:w="0" w:type="dxa"/>
            <w:bottom w:w="0" w:type="dxa"/>
            <w:right w:w="0" w:type="dxa"/>
          </w:tblCellMar>
          <w:tblLook w:val="0000"/>
        </w:tblPrEx>
        <w:trPr>
          <w:tblCellSpacing w:w="0" w:type="dxa"/>
          <w:jc w:val="center"/>
        </w:trPr>
        <w:tc>
          <w:tcPr>
            <w:tcW w:w="8147" w:type="dxa"/>
            <w:vAlign w:val="center"/>
          </w:tcPr>
          <w:tbl>
            <w:tblPr>
              <w:tblStyle w:val="TableNormal"/>
              <w:tblW w:w="5000" w:type="pct"/>
              <w:jc w:val="center"/>
              <w:tblCellSpacing w:w="0" w:type="dxa"/>
              <w:tblInd w:w="30" w:type="dxa"/>
              <w:tblLayout w:type="fixed"/>
              <w:tblCellMar>
                <w:top w:w="30" w:type="dxa"/>
                <w:left w:w="30" w:type="dxa"/>
                <w:bottom w:w="30" w:type="dxa"/>
                <w:right w:w="30" w:type="dxa"/>
              </w:tblCellMar>
              <w:tblLook w:val="0000"/>
            </w:tblPr>
            <w:tblGrid>
              <w:gridCol w:w="8313"/>
            </w:tblGrid>
            <w:tr>
              <w:tblPrEx>
                <w:tblW w:w="5000" w:type="pct"/>
                <w:jc w:val="center"/>
                <w:tblCellSpacing w:w="0" w:type="dxa"/>
                <w:tblInd w:w="30" w:type="dxa"/>
                <w:tblLayout w:type="fixed"/>
                <w:tblCellMar>
                  <w:top w:w="30" w:type="dxa"/>
                  <w:left w:w="30" w:type="dxa"/>
                  <w:bottom w:w="30" w:type="dxa"/>
                  <w:right w:w="30" w:type="dxa"/>
                </w:tblCellMar>
                <w:tblLook w:val="0000"/>
              </w:tblPrEx>
              <w:trPr>
                <w:tblCellSpacing w:w="0" w:type="dxa"/>
                <w:jc w:val="center"/>
              </w:trPr>
              <w:tc>
                <w:tcPr>
                  <w:tcW w:w="8147" w:type="dxa"/>
                </w:tcPr>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r>
                    <w:rPr>
                      <w:rFonts w:ascii="宋体" w:eastAsia="宋体" w:hAnsi="宋体" w:cs="宋体" w:hint="eastAsia"/>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2.本项目不接受联合体投标，不接受投标人选用进口产品参与投标（由供应商在《自行采购投标及履约承诺函》中作出声明；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参与本项目政府采购（自行采购）活动时不存在被有关部门禁止参与政府采购（自行采购）活动且在有效期内的情况（由供应商在《自行采购投标及履约承诺函》中作出声明）；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具备《中华人民共和国政府采购法》第二十二条第一款的条件（由供应商在《自行采购投标及履约承诺函》中作出声明）；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未被列入失信被执行人、重大税收违法案件当事人名单、政府采购（自行采购）严重违法失信行为记录名单（由供应商在《自行采购投标及履约承诺函》中作出声明）；</w:t>
                  </w:r>
                </w:p>
                <w:p>
                  <w:pPr>
                    <w:widowControl w:val="0"/>
                    <w:ind w:firstLine="420" w:firstLineChars="2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6.不存在《深圳市财政局政府采购供应商信用信息管理办法》（深财规〔2023〕3号）列明的严重违法失信行为（由供应商在《自行采购投标及履约承诺函》中作出声明）；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p>
                <w:p>
                  <w:pPr>
                    <w:widowControl w:val="0"/>
                    <w:spacing w:line="240" w:lineRule="auto"/>
                    <w:ind w:firstLine="440" w:firstLineChars="200"/>
                    <w:rPr>
                      <w:rFonts w:ascii="Calibri" w:eastAsia="宋体" w:hAnsi="Calibri" w:hint="eastAsia"/>
                      <w:kern w:val="2"/>
                      <w:sz w:val="22"/>
                      <w:szCs w:val="21"/>
                      <w:lang w:eastAsia="zh-CN"/>
                    </w:rPr>
                  </w:pPr>
                  <w:r>
                    <w:rPr>
                      <w:rFonts w:ascii="宋体" w:eastAsia="宋体" w:hAnsi="宋体" w:cs="宋体" w:hint="eastAsia"/>
                      <w:color w:val="FF0000"/>
                      <w:sz w:val="22"/>
                      <w:szCs w:val="20"/>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9.本项目全部专门面向中小企业采购：否。</w:t>
                  </w:r>
                </w:p>
                <w:p>
                  <w:pPr>
                    <w:widowControl w:val="0"/>
                    <w:wordWrap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注：（1）</w:t>
                  </w:r>
                  <w:r>
                    <w:rPr>
                      <w:rFonts w:ascii="宋体" w:eastAsia="宋体" w:hAnsi="宋体" w:cs="宋体" w:hint="eastAsia"/>
                      <w:sz w:val="21"/>
                      <w:szCs w:val="21"/>
                      <w:lang w:eastAsia="zh-CN"/>
                    </w:rPr>
                    <w:t>“</w:t>
                  </w:r>
                  <w:r>
                    <w:rPr>
                      <w:rFonts w:ascii="宋体" w:eastAsia="宋体" w:hAnsi="宋体" w:cs="宋体" w:hint="eastAsia"/>
                      <w:sz w:val="21"/>
                      <w:szCs w:val="21"/>
                      <w:lang w:eastAsia="zh-CN"/>
                    </w:rPr>
                    <w:t>信用中国</w:t>
                  </w:r>
                  <w:r>
                    <w:rPr>
                      <w:rFonts w:ascii="宋体" w:eastAsia="宋体" w:hAnsi="宋体" w:cs="宋体" w:hint="eastAsia"/>
                      <w:sz w:val="21"/>
                      <w:szCs w:val="21"/>
                      <w:lang w:eastAsia="zh-CN"/>
                    </w:rPr>
                    <w:t>”</w:t>
                  </w:r>
                  <w:r>
                    <w:rPr>
                      <w:rFonts w:ascii="宋体" w:eastAsia="宋体" w:hAnsi="宋体" w:cs="宋体" w:hint="eastAsia"/>
                      <w:sz w:val="21"/>
                      <w:szCs w:val="21"/>
                      <w:lang w:eastAsia="zh-CN"/>
                    </w:rPr>
                    <w:t>（www.creditchina.gov.cn，查询</w:t>
                  </w:r>
                  <w:r>
                    <w:rPr>
                      <w:rFonts w:ascii="宋体" w:eastAsia="宋体" w:hAnsi="宋体" w:cs="宋体" w:hint="eastAsia"/>
                      <w:sz w:val="21"/>
                      <w:szCs w:val="21"/>
                      <w:lang w:eastAsia="zh-CN"/>
                    </w:rPr>
                    <w:t>“</w:t>
                  </w:r>
                  <w:r>
                    <w:rPr>
                      <w:rFonts w:ascii="宋体" w:eastAsia="宋体" w:hAnsi="宋体" w:cs="宋体" w:hint="eastAsia"/>
                      <w:sz w:val="21"/>
                      <w:szCs w:val="21"/>
                      <w:lang w:eastAsia="zh-CN"/>
                    </w:rPr>
                    <w:t>信用服务</w:t>
                  </w:r>
                  <w:r>
                    <w:rPr>
                      <w:rFonts w:ascii="宋体" w:eastAsia="宋体" w:hAnsi="宋体" w:cs="宋体" w:hint="eastAsia"/>
                      <w:sz w:val="21"/>
                      <w:szCs w:val="21"/>
                      <w:lang w:eastAsia="zh-CN"/>
                    </w:rPr>
                    <w:t>”</w:t>
                  </w:r>
                  <w:r>
                    <w:rPr>
                      <w:rFonts w:ascii="宋体" w:eastAsia="宋体" w:hAnsi="宋体" w:cs="宋体" w:hint="eastAsia"/>
                      <w:sz w:val="21"/>
                      <w:szCs w:val="21"/>
                      <w:lang w:eastAsia="zh-CN"/>
                    </w:rPr>
                    <w:t>栏的</w:t>
                  </w:r>
                  <w:r>
                    <w:rPr>
                      <w:rFonts w:ascii="宋体" w:eastAsia="宋体" w:hAnsi="宋体" w:cs="宋体" w:hint="eastAsia"/>
                      <w:sz w:val="21"/>
                      <w:szCs w:val="21"/>
                      <w:lang w:eastAsia="zh-CN"/>
                    </w:rPr>
                    <w:t>“</w:t>
                  </w:r>
                  <w:r>
                    <w:rPr>
                      <w:rFonts w:ascii="宋体" w:eastAsia="宋体" w:hAnsi="宋体" w:cs="宋体" w:hint="eastAsia"/>
                      <w:sz w:val="21"/>
                      <w:szCs w:val="21"/>
                      <w:lang w:eastAsia="zh-CN"/>
                    </w:rPr>
                    <w:t>重大税收违法失信主体</w:t>
                  </w:r>
                  <w:r>
                    <w:rPr>
                      <w:rFonts w:ascii="宋体" w:eastAsia="宋体" w:hAnsi="宋体" w:cs="宋体" w:hint="eastAsia"/>
                      <w:sz w:val="21"/>
                      <w:szCs w:val="21"/>
                      <w:lang w:eastAsia="zh-CN"/>
                    </w:rPr>
                    <w:t>”“</w:t>
                  </w:r>
                  <w:r>
                    <w:rPr>
                      <w:rFonts w:ascii="宋体" w:eastAsia="宋体" w:hAnsi="宋体" w:cs="宋体" w:hint="eastAsia"/>
                      <w:sz w:val="21"/>
                      <w:szCs w:val="21"/>
                      <w:lang w:eastAsia="zh-CN"/>
                    </w:rPr>
                    <w:t>失信被执行人</w:t>
                  </w:r>
                  <w:r>
                    <w:rPr>
                      <w:rFonts w:ascii="宋体" w:eastAsia="宋体" w:hAnsi="宋体" w:cs="宋体" w:hint="eastAsia"/>
                      <w:sz w:val="21"/>
                      <w:szCs w:val="21"/>
                      <w:lang w:eastAsia="zh-CN"/>
                    </w:rPr>
                    <w:t>”</w:t>
                  </w:r>
                  <w:r>
                    <w:rPr>
                      <w:rFonts w:ascii="宋体" w:eastAsia="宋体" w:hAnsi="宋体" w:cs="宋体" w:hint="eastAsia"/>
                      <w:sz w:val="21"/>
                      <w:szCs w:val="21"/>
                      <w:lang w:eastAsia="zh-CN"/>
                    </w:rPr>
                    <w:t>或者下载信用信息报告），</w:t>
                  </w:r>
                  <w:r>
                    <w:rPr>
                      <w:rFonts w:ascii="宋体" w:eastAsia="宋体" w:hAnsi="宋体" w:cs="宋体" w:hint="eastAsia"/>
                      <w:sz w:val="21"/>
                      <w:szCs w:val="21"/>
                      <w:lang w:eastAsia="zh-CN"/>
                    </w:rPr>
                    <w:t>“</w:t>
                  </w:r>
                  <w:r>
                    <w:rPr>
                      <w:rFonts w:ascii="宋体" w:eastAsia="宋体" w:hAnsi="宋体" w:cs="宋体" w:hint="eastAsia"/>
                      <w:sz w:val="21"/>
                      <w:szCs w:val="21"/>
                      <w:lang w:eastAsia="zh-CN"/>
                    </w:rPr>
                    <w:t>中国政府采购网</w:t>
                  </w:r>
                  <w:r>
                    <w:rPr>
                      <w:rFonts w:ascii="宋体" w:eastAsia="宋体" w:hAnsi="宋体" w:cs="宋体" w:hint="eastAsia"/>
                      <w:sz w:val="21"/>
                      <w:szCs w:val="21"/>
                      <w:lang w:eastAsia="zh-CN"/>
                    </w:rPr>
                    <w:t>”</w:t>
                  </w:r>
                  <w:r>
                    <w:rPr>
                      <w:rFonts w:ascii="宋体" w:eastAsia="宋体" w:hAnsi="宋体" w:cs="宋体" w:hint="eastAsia"/>
                      <w:sz w:val="21"/>
                      <w:szCs w:val="21"/>
                      <w:lang w:eastAsia="zh-CN"/>
                    </w:rPr>
                    <w:t>（www.ccgp.gov.cn）中的</w:t>
                  </w:r>
                  <w:r>
                    <w:rPr>
                      <w:rFonts w:ascii="宋体" w:eastAsia="宋体" w:hAnsi="宋体" w:cs="宋体" w:hint="eastAsia"/>
                      <w:sz w:val="21"/>
                      <w:szCs w:val="21"/>
                      <w:lang w:eastAsia="zh-CN"/>
                    </w:rPr>
                    <w:t>“</w:t>
                  </w:r>
                  <w:r>
                    <w:rPr>
                      <w:rFonts w:ascii="宋体" w:eastAsia="宋体" w:hAnsi="宋体" w:cs="宋体" w:hint="eastAsia"/>
                      <w:sz w:val="21"/>
                      <w:szCs w:val="21"/>
                      <w:lang w:eastAsia="zh-CN"/>
                    </w:rPr>
                    <w:t>政府采购严重违法失信行为记录名单</w:t>
                  </w:r>
                  <w:r>
                    <w:rPr>
                      <w:rFonts w:ascii="宋体" w:eastAsia="宋体" w:hAnsi="宋体" w:cs="宋体" w:hint="eastAsia"/>
                      <w:sz w:val="21"/>
                      <w:szCs w:val="21"/>
                      <w:lang w:eastAsia="zh-CN"/>
                    </w:rPr>
                    <w:t>”</w:t>
                  </w:r>
                  <w:r>
                    <w:rPr>
                      <w:rFonts w:ascii="宋体" w:eastAsia="宋体" w:hAnsi="宋体" w:cs="宋体" w:hint="eastAsia"/>
                      <w:sz w:val="21"/>
                      <w:szCs w:val="21"/>
                      <w:lang w:eastAsia="zh-CN"/>
                    </w:rPr>
                    <w:t>，以及</w:t>
                  </w:r>
                  <w:r>
                    <w:rPr>
                      <w:rFonts w:ascii="宋体" w:eastAsia="宋体" w:hAnsi="宋体" w:cs="宋体" w:hint="eastAsia"/>
                      <w:sz w:val="21"/>
                      <w:szCs w:val="21"/>
                      <w:lang w:eastAsia="zh-CN"/>
                    </w:rPr>
                    <w:t>“</w:t>
                  </w:r>
                  <w:r>
                    <w:rPr>
                      <w:rFonts w:ascii="宋体" w:eastAsia="宋体" w:hAnsi="宋体" w:cs="宋体" w:hint="eastAsia"/>
                      <w:sz w:val="21"/>
                      <w:szCs w:val="21"/>
                      <w:lang w:eastAsia="zh-CN"/>
                    </w:rPr>
                    <w:t>深圳市政府采购监管网</w:t>
                  </w:r>
                  <w:r>
                    <w:rPr>
                      <w:rFonts w:ascii="宋体" w:eastAsia="宋体" w:hAnsi="宋体" w:cs="宋体" w:hint="eastAsia"/>
                      <w:sz w:val="21"/>
                      <w:szCs w:val="21"/>
                      <w:lang w:eastAsia="zh-CN"/>
                    </w:rPr>
                    <w:t>”</w:t>
                  </w:r>
                  <w:r>
                    <w:rPr>
                      <w:rFonts w:ascii="宋体" w:eastAsia="宋体" w:hAnsi="宋体" w:cs="宋体" w:hint="eastAsia"/>
                      <w:sz w:val="21"/>
                      <w:szCs w:val="21"/>
                      <w:lang w:eastAsia="zh-CN"/>
                    </w:rPr>
                    <w:t>（http://zfcg.sz.gov.cn）为供应商信用信息的查询渠道，相关信息以开标当日的查询结果为准；</w:t>
                  </w:r>
                </w:p>
                <w:p>
                  <w:pPr>
                    <w:widowControl w:val="0"/>
                    <w:ind w:firstLine="420" w:firstLineChars="200"/>
                    <w:jc w:val="both"/>
                    <w:rPr>
                      <w:rFonts w:ascii="宋体" w:eastAsia="宋体" w:hAnsi="宋体"/>
                      <w:kern w:val="2"/>
                      <w:sz w:val="21"/>
                      <w:szCs w:val="22"/>
                      <w:lang w:eastAsia="zh-CN"/>
                    </w:rPr>
                  </w:pPr>
                  <w:r>
                    <w:rPr>
                      <w:rFonts w:ascii="宋体" w:eastAsia="宋体" w:hAnsi="宋体" w:hint="eastAsia"/>
                      <w:kern w:val="2"/>
                      <w:sz w:val="21"/>
                      <w:szCs w:val="22"/>
                      <w:lang w:eastAsia="zh-CN"/>
                    </w:rPr>
                    <w:t>（2）供应商投标（上传投标文件）必须先行办理注册手续。</w:t>
                  </w:r>
                </w:p>
                <w:p>
                  <w:pPr>
                    <w:widowControl w:val="0"/>
                    <w:spacing w:beforeAutospacing="1" w:afterAutospacing="1"/>
                    <w:ind w:firstLine="440" w:firstLineChars="200"/>
                    <w:jc w:val="both"/>
                    <w:rPr>
                      <w:rFonts w:ascii="宋体" w:eastAsia="宋体" w:hAnsi="宋体" w:cs="宋体"/>
                      <w:kern w:val="2"/>
                      <w:szCs w:val="22"/>
                      <w:lang w:eastAsia="zh-CN"/>
                    </w:rPr>
                  </w:pPr>
                  <w:r>
                    <w:rPr>
                      <w:rFonts w:ascii="Calibri" w:eastAsia="宋体" w:hAnsi="Calibri" w:hint="eastAsia"/>
                      <w:b/>
                      <w:kern w:val="2"/>
                      <w:sz w:val="22"/>
                      <w:szCs w:val="18"/>
                      <w:lang w:eastAsia="zh-CN"/>
                    </w:rPr>
                    <w:t>完整公告内容详见：</w:t>
                  </w:r>
                  <w:r>
                    <w:rPr>
                      <w:rFonts w:ascii="Calibri" w:eastAsia="宋体" w:hAnsi="Calibri" w:hint="eastAsia"/>
                      <w:b/>
                      <w:color w:val="0000FF"/>
                      <w:kern w:val="2"/>
                      <w:sz w:val="22"/>
                      <w:szCs w:val="18"/>
                      <w:lang w:eastAsia="zh-CN"/>
                    </w:rPr>
                    <w:t>深圳交易集团官网（szexgrp.com）</w:t>
                  </w:r>
                </w:p>
              </w:tc>
            </w:tr>
          </w:tbl>
          <w:p>
            <w:pPr>
              <w:widowControl w:val="0"/>
              <w:jc w:val="both"/>
              <w:rPr>
                <w:rFonts w:ascii="宋体" w:eastAsia="宋体" w:hAnsi="宋体" w:cs="宋体"/>
                <w:kern w:val="2"/>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hint="eastAsia"/>
          <w:kern w:val="2"/>
          <w:sz w:val="21"/>
          <w:szCs w:val="22"/>
          <w:lang w:eastAsia="zh-CN"/>
        </w:rPr>
        <w:br w:type="page"/>
      </w:r>
    </w:p>
    <w:p>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hint="eastAsia"/>
          <w:b/>
          <w:bCs/>
          <w:kern w:val="2"/>
          <w:sz w:val="28"/>
          <w:szCs w:val="28"/>
          <w:lang w:eastAsia="zh-CN"/>
        </w:rPr>
        <w:t>第二章 对通用条款的补充内容及其他关键信息</w:t>
      </w: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bookmarkStart w:id="21" w:name="_Toc73521547"/>
      <w:bookmarkStart w:id="22" w:name="_Toc101074876"/>
      <w:bookmarkStart w:id="23" w:name="_Toc73517639"/>
      <w:bookmarkStart w:id="24" w:name="_Toc60631620"/>
      <w:bookmarkStart w:id="25" w:name="_Toc73521635"/>
      <w:bookmarkStart w:id="26" w:name="_Toc60560625"/>
      <w:bookmarkStart w:id="27" w:name="_Toc73518117"/>
      <w:bookmarkStart w:id="28" w:name="_Toc100052364"/>
      <w:r>
        <w:rPr>
          <w:rFonts w:ascii="Cambria" w:eastAsia="宋体" w:hAnsi="Cambria" w:hint="eastAsia"/>
          <w:b/>
          <w:bCs/>
          <w:kern w:val="2"/>
          <w:sz w:val="32"/>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b/>
                <w:bCs/>
                <w:kern w:val="2"/>
                <w:sz w:val="21"/>
                <w:szCs w:val="22"/>
                <w:lang w:eastAsia="zh-CN"/>
              </w:rPr>
            </w:pPr>
            <w:bookmarkEnd w:id="21"/>
            <w:bookmarkEnd w:id="22"/>
            <w:bookmarkEnd w:id="23"/>
            <w:bookmarkEnd w:id="24"/>
            <w:bookmarkEnd w:id="25"/>
            <w:bookmarkEnd w:id="26"/>
            <w:bookmarkEnd w:id="27"/>
            <w:bookmarkEnd w:id="28"/>
            <w:r>
              <w:rPr>
                <w:rFonts w:ascii="宋体" w:eastAsia="宋体" w:hAnsi="宋体" w:hint="eastAsia"/>
                <w:b/>
                <w:bCs/>
                <w:kern w:val="2"/>
                <w:sz w:val="21"/>
                <w:szCs w:val="22"/>
                <w:lang w:eastAsia="zh-CN"/>
              </w:rPr>
              <w:t>通用条款序号</w:t>
            </w:r>
          </w:p>
        </w:tc>
        <w:tc>
          <w:tcPr>
            <w:tcW w:w="2409" w:type="dxa"/>
            <w:vAlign w:val="center"/>
          </w:tcPr>
          <w:p>
            <w:pPr>
              <w:widowControl w:val="0"/>
              <w:jc w:val="center"/>
              <w:rPr>
                <w:rFonts w:ascii="宋体" w:eastAsia="宋体" w:hAnsi="宋体"/>
                <w:b/>
                <w:bCs/>
                <w:kern w:val="2"/>
                <w:sz w:val="21"/>
                <w:szCs w:val="22"/>
                <w:lang w:eastAsia="zh-CN"/>
              </w:rPr>
            </w:pPr>
            <w:r>
              <w:rPr>
                <w:rFonts w:ascii="宋体" w:eastAsia="宋体" w:hAnsi="宋体" w:hint="eastAsia"/>
                <w:b/>
                <w:bCs/>
                <w:kern w:val="2"/>
                <w:sz w:val="21"/>
                <w:szCs w:val="22"/>
                <w:lang w:eastAsia="zh-CN"/>
              </w:rPr>
              <w:t>涉及事项</w:t>
            </w:r>
          </w:p>
        </w:tc>
        <w:tc>
          <w:tcPr>
            <w:tcW w:w="4980" w:type="dxa"/>
            <w:vAlign w:val="center"/>
          </w:tcPr>
          <w:p>
            <w:pPr>
              <w:widowControl w:val="0"/>
              <w:jc w:val="center"/>
              <w:rPr>
                <w:rFonts w:ascii="宋体" w:eastAsia="宋体" w:hAnsi="宋体"/>
                <w:b/>
                <w:bCs/>
                <w:kern w:val="2"/>
                <w:sz w:val="21"/>
                <w:szCs w:val="22"/>
                <w:lang w:eastAsia="zh-CN"/>
              </w:rPr>
            </w:pPr>
            <w:r>
              <w:rPr>
                <w:rFonts w:ascii="宋体" w:eastAsia="宋体" w:hAnsi="宋体" w:hint="eastAsia"/>
                <w:b/>
                <w:bCs/>
                <w:kern w:val="2"/>
                <w:sz w:val="21"/>
                <w:szCs w:val="22"/>
                <w:lang w:eastAsia="zh-CN"/>
              </w:rPr>
              <w:t xml:space="preserve">具 </w:t>
            </w:r>
            <w:r>
              <w:rPr>
                <w:rFonts w:ascii="宋体" w:eastAsia="宋体" w:hAnsi="宋体"/>
                <w:b/>
                <w:bCs/>
                <w:kern w:val="2"/>
                <w:sz w:val="21"/>
                <w:szCs w:val="22"/>
                <w:lang w:eastAsia="zh-CN"/>
              </w:rPr>
              <w:t xml:space="preserve"> </w:t>
            </w:r>
            <w:r>
              <w:rPr>
                <w:rFonts w:ascii="宋体" w:eastAsia="宋体" w:hAnsi="宋体" w:hint="eastAsia"/>
                <w:b/>
                <w:bCs/>
                <w:kern w:val="2"/>
                <w:sz w:val="21"/>
                <w:szCs w:val="22"/>
                <w:lang w:eastAsia="zh-CN"/>
              </w:rPr>
              <w:t xml:space="preserve">体 </w:t>
            </w:r>
            <w:r>
              <w:rPr>
                <w:rFonts w:ascii="宋体" w:eastAsia="宋体" w:hAnsi="宋体"/>
                <w:b/>
                <w:bCs/>
                <w:kern w:val="2"/>
                <w:sz w:val="21"/>
                <w:szCs w:val="22"/>
                <w:lang w:eastAsia="zh-CN"/>
              </w:rPr>
              <w:t xml:space="preserve"> </w:t>
            </w:r>
            <w:r>
              <w:rPr>
                <w:rFonts w:ascii="宋体" w:eastAsia="宋体" w:hAnsi="宋体" w:hint="eastAsia"/>
                <w:b/>
                <w:bCs/>
                <w:kern w:val="2"/>
                <w:sz w:val="21"/>
                <w:szCs w:val="22"/>
                <w:lang w:eastAsia="zh-CN"/>
              </w:rPr>
              <w:t xml:space="preserve">补 </w:t>
            </w:r>
            <w:r>
              <w:rPr>
                <w:rFonts w:ascii="宋体" w:eastAsia="宋体" w:hAnsi="宋体"/>
                <w:b/>
                <w:bCs/>
                <w:kern w:val="2"/>
                <w:sz w:val="21"/>
                <w:szCs w:val="22"/>
                <w:lang w:eastAsia="zh-CN"/>
              </w:rPr>
              <w:t xml:space="preserve"> </w:t>
            </w:r>
            <w:r>
              <w:rPr>
                <w:rFonts w:ascii="宋体" w:eastAsia="宋体" w:hAnsi="宋体" w:hint="eastAsia"/>
                <w:b/>
                <w:bCs/>
                <w:kern w:val="2"/>
                <w:sz w:val="21"/>
                <w:szCs w:val="22"/>
                <w:lang w:eastAsia="zh-CN"/>
              </w:rPr>
              <w:t xml:space="preserve">充 </w:t>
            </w:r>
            <w:r>
              <w:rPr>
                <w:rFonts w:ascii="宋体" w:eastAsia="宋体" w:hAnsi="宋体"/>
                <w:b/>
                <w:bCs/>
                <w:kern w:val="2"/>
                <w:sz w:val="21"/>
                <w:szCs w:val="22"/>
                <w:lang w:eastAsia="zh-CN"/>
              </w:rPr>
              <w:t xml:space="preserve"> </w:t>
            </w:r>
            <w:r>
              <w:rPr>
                <w:rFonts w:ascii="宋体" w:eastAsia="宋体" w:hAnsi="宋体" w:hint="eastAsia"/>
                <w:b/>
                <w:bCs/>
                <w:kern w:val="2"/>
                <w:sz w:val="21"/>
                <w:szCs w:val="22"/>
                <w:lang w:eastAsia="zh-CN"/>
              </w:rPr>
              <w:t xml:space="preserve">内 </w:t>
            </w:r>
            <w:r>
              <w:rPr>
                <w:rFonts w:ascii="宋体" w:eastAsia="宋体" w:hAnsi="宋体"/>
                <w:b/>
                <w:bCs/>
                <w:kern w:val="2"/>
                <w:sz w:val="21"/>
                <w:szCs w:val="22"/>
                <w:lang w:eastAsia="zh-CN"/>
              </w:rPr>
              <w:t xml:space="preserve"> </w:t>
            </w:r>
            <w:r>
              <w:rPr>
                <w:rFonts w:ascii="宋体" w:eastAsia="宋体" w:hAnsi="宋体" w:hint="eastAsia"/>
                <w:b/>
                <w:bCs/>
                <w:kern w:val="2"/>
                <w:sz w:val="21"/>
                <w:szCs w:val="22"/>
                <w:lang w:eastAsia="zh-CN"/>
              </w:rPr>
              <w:t>容</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3</w:t>
            </w:r>
            <w:r>
              <w:rPr>
                <w:rFonts w:ascii="宋体" w:eastAsia="宋体" w:hAnsi="宋体"/>
                <w:kern w:val="2"/>
                <w:sz w:val="21"/>
                <w:szCs w:val="22"/>
                <w:lang w:eastAsia="zh-CN"/>
              </w:rPr>
              <w:t>.1</w:t>
            </w:r>
          </w:p>
        </w:tc>
        <w:tc>
          <w:tcPr>
            <w:tcW w:w="2409" w:type="dxa"/>
            <w:vAlign w:val="center"/>
          </w:tcPr>
          <w:p>
            <w:pPr>
              <w:widowControl w:val="0"/>
              <w:jc w:val="center"/>
              <w:rPr>
                <w:rFonts w:ascii="Calibri" w:eastAsia="宋体" w:hAnsi="Calibri"/>
                <w:kern w:val="2"/>
                <w:sz w:val="21"/>
                <w:szCs w:val="22"/>
                <w:lang w:eastAsia="zh-CN"/>
              </w:rPr>
            </w:pPr>
            <w:r>
              <w:rPr>
                <w:rFonts w:ascii="Calibri" w:eastAsia="宋体" w:hAnsi="Calibri" w:hint="eastAsia"/>
                <w:kern w:val="2"/>
                <w:sz w:val="21"/>
                <w:szCs w:val="22"/>
                <w:lang w:eastAsia="zh-CN"/>
              </w:rPr>
              <w:t>采购人</w:t>
            </w:r>
          </w:p>
        </w:tc>
        <w:tc>
          <w:tcPr>
            <w:tcW w:w="4980" w:type="dxa"/>
            <w:vAlign w:val="center"/>
          </w:tcPr>
          <w:p>
            <w:pPr>
              <w:widowControl w:val="0"/>
              <w:jc w:val="center"/>
              <w:rPr>
                <w:rFonts w:ascii="宋体" w:eastAsia="宋体" w:hAnsi="宋体"/>
                <w:kern w:val="2"/>
                <w:sz w:val="21"/>
                <w:szCs w:val="22"/>
                <w:lang w:eastAsia="zh-CN"/>
              </w:rPr>
            </w:pPr>
            <w:r>
              <w:rPr>
                <w:rFonts w:ascii="宋体" w:eastAsia="宋体" w:hAnsi="宋体" w:cs="Arial" w:hint="eastAsia"/>
                <w:b/>
                <w:kern w:val="2"/>
                <w:sz w:val="21"/>
                <w:szCs w:val="21"/>
                <w:lang w:eastAsia="zh-CN"/>
              </w:rPr>
              <w:t>深圳市宝安区水务技术监管中心</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3</w:t>
            </w:r>
            <w:r>
              <w:rPr>
                <w:rFonts w:ascii="宋体" w:eastAsia="宋体" w:hAnsi="宋体"/>
                <w:kern w:val="2"/>
                <w:sz w:val="21"/>
                <w:szCs w:val="22"/>
                <w:lang w:eastAsia="zh-CN"/>
              </w:rPr>
              <w:t>.2</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政府集中采购机构</w:t>
            </w:r>
          </w:p>
        </w:tc>
        <w:tc>
          <w:tcPr>
            <w:tcW w:w="4980" w:type="dxa"/>
            <w:vAlign w:val="center"/>
          </w:tcPr>
          <w:p>
            <w:pPr>
              <w:widowControl w:val="0"/>
              <w:jc w:val="center"/>
              <w:rPr>
                <w:rFonts w:ascii="Calibri" w:eastAsia="宋体" w:hAnsi="Calibri"/>
                <w:kern w:val="2"/>
                <w:sz w:val="21"/>
                <w:szCs w:val="22"/>
                <w:lang w:eastAsia="zh-CN"/>
              </w:rPr>
            </w:pPr>
            <w:r>
              <w:rPr>
                <w:rFonts w:ascii="Calibri" w:eastAsia="宋体" w:hAnsi="Calibri" w:hint="eastAsia"/>
                <w:kern w:val="2"/>
                <w:sz w:val="21"/>
                <w:szCs w:val="22"/>
                <w:lang w:eastAsia="zh-CN"/>
              </w:rPr>
              <w:t>深圳公共资源交易中心</w:t>
            </w:r>
          </w:p>
          <w:p>
            <w:pPr>
              <w:widowControl w:val="0"/>
              <w:jc w:val="center"/>
              <w:rPr>
                <w:rFonts w:ascii="宋体" w:eastAsia="宋体" w:hAnsi="宋体"/>
                <w:kern w:val="2"/>
                <w:sz w:val="21"/>
                <w:szCs w:val="22"/>
                <w:lang w:eastAsia="zh-CN"/>
              </w:rPr>
            </w:pPr>
            <w:r>
              <w:rPr>
                <w:rFonts w:ascii="Calibri" w:eastAsia="宋体" w:hAnsi="Calibri" w:hint="eastAsia"/>
                <w:kern w:val="2"/>
                <w:sz w:val="21"/>
                <w:szCs w:val="22"/>
                <w:lang w:eastAsia="zh-CN"/>
              </w:rPr>
              <w:t>（深圳交易集团有限公司宝安分公司）</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9</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踏勘现场</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1</w:t>
            </w:r>
            <w:r>
              <w:rPr>
                <w:rFonts w:ascii="宋体" w:eastAsia="宋体" w:hAnsi="宋体"/>
                <w:kern w:val="2"/>
                <w:sz w:val="21"/>
                <w:szCs w:val="22"/>
                <w:lang w:eastAsia="zh-CN"/>
              </w:rPr>
              <w:t>0</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标前会议</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1</w:t>
            </w:r>
            <w:r>
              <w:rPr>
                <w:rFonts w:ascii="宋体" w:eastAsia="宋体" w:hAnsi="宋体"/>
                <w:kern w:val="2"/>
                <w:sz w:val="21"/>
                <w:szCs w:val="22"/>
                <w:lang w:eastAsia="zh-CN"/>
              </w:rPr>
              <w:t>2</w:t>
            </w:r>
            <w:r>
              <w:rPr>
                <w:rFonts w:ascii="宋体" w:eastAsia="宋体" w:hAnsi="宋体" w:hint="eastAsia"/>
                <w:kern w:val="2"/>
                <w:sz w:val="21"/>
                <w:szCs w:val="22"/>
                <w:lang w:eastAsia="zh-CN"/>
              </w:rPr>
              <w:t>/1</w:t>
            </w:r>
            <w:r>
              <w:rPr>
                <w:rFonts w:ascii="宋体" w:eastAsia="宋体" w:hAnsi="宋体"/>
                <w:kern w:val="2"/>
                <w:sz w:val="21"/>
                <w:szCs w:val="22"/>
                <w:lang w:eastAsia="zh-CN"/>
              </w:rPr>
              <w:t>3</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招标文件的澄清和修改</w:t>
            </w:r>
          </w:p>
        </w:tc>
        <w:tc>
          <w:tcPr>
            <w:tcW w:w="498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szCs w:val="22"/>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2</w:t>
            </w:r>
            <w:r>
              <w:rPr>
                <w:rFonts w:ascii="宋体" w:eastAsia="宋体" w:hAnsi="宋体"/>
                <w:kern w:val="2"/>
                <w:sz w:val="21"/>
                <w:szCs w:val="22"/>
                <w:lang w:eastAsia="zh-CN"/>
              </w:rPr>
              <w:t>0</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投标有效期</w:t>
            </w:r>
          </w:p>
        </w:tc>
        <w:tc>
          <w:tcPr>
            <w:tcW w:w="498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szCs w:val="22"/>
                <w:lang w:eastAsia="zh-CN"/>
              </w:rPr>
              <w:t>120个日历日</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2</w:t>
            </w:r>
            <w:r>
              <w:rPr>
                <w:rFonts w:ascii="宋体" w:eastAsia="宋体" w:hAnsi="宋体"/>
                <w:kern w:val="2"/>
                <w:sz w:val="21"/>
                <w:szCs w:val="22"/>
                <w:lang w:eastAsia="zh-CN"/>
              </w:rPr>
              <w:t>2</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投标人的替代方案</w:t>
            </w:r>
          </w:p>
        </w:tc>
        <w:tc>
          <w:tcPr>
            <w:tcW w:w="498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szCs w:val="22"/>
                <w:lang w:eastAsia="zh-CN"/>
              </w:rPr>
              <w:t>不接受</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2</w:t>
            </w:r>
            <w:r>
              <w:rPr>
                <w:rFonts w:ascii="宋体" w:eastAsia="宋体" w:hAnsi="宋体"/>
                <w:kern w:val="2"/>
                <w:sz w:val="21"/>
                <w:szCs w:val="22"/>
                <w:lang w:eastAsia="zh-CN"/>
              </w:rPr>
              <w:t>5</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投标文件的大小</w:t>
            </w:r>
          </w:p>
        </w:tc>
        <w:tc>
          <w:tcPr>
            <w:tcW w:w="498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szCs w:val="22"/>
                <w:lang w:eastAsia="zh-CN"/>
              </w:rPr>
              <w:t>投标文件大小不得超过100MB</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2</w:t>
            </w:r>
            <w:r>
              <w:rPr>
                <w:rFonts w:ascii="宋体" w:eastAsia="宋体" w:hAnsi="宋体"/>
                <w:kern w:val="2"/>
                <w:sz w:val="21"/>
                <w:szCs w:val="22"/>
                <w:lang w:eastAsia="zh-CN"/>
              </w:rPr>
              <w:t>6</w:t>
            </w:r>
          </w:p>
        </w:tc>
        <w:tc>
          <w:tcPr>
            <w:tcW w:w="2409" w:type="dxa"/>
            <w:vAlign w:val="center"/>
          </w:tcPr>
          <w:p>
            <w:pPr>
              <w:widowControl w:val="0"/>
              <w:jc w:val="center"/>
              <w:rPr>
                <w:rFonts w:ascii="宋体" w:eastAsia="宋体" w:hAnsi="宋体"/>
                <w:kern w:val="2"/>
                <w:sz w:val="21"/>
                <w:szCs w:val="22"/>
                <w:lang w:eastAsia="zh-CN"/>
              </w:rPr>
            </w:pPr>
            <w:bookmarkStart w:id="29" w:name="_Hlk71664860"/>
            <w:r>
              <w:rPr>
                <w:rFonts w:ascii="宋体" w:eastAsia="宋体" w:hAnsi="宋体" w:hint="eastAsia"/>
                <w:kern w:val="2"/>
                <w:sz w:val="21"/>
                <w:szCs w:val="22"/>
                <w:lang w:eastAsia="zh-CN"/>
              </w:rPr>
              <w:t>样品、现场演示、方案讲解</w:t>
            </w:r>
            <w:bookmarkEnd w:id="29"/>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hint="eastAsia"/>
                <w:kern w:val="2"/>
                <w:sz w:val="21"/>
                <w:szCs w:val="22"/>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3</w:t>
            </w:r>
            <w:r>
              <w:rPr>
                <w:rFonts w:ascii="宋体" w:eastAsia="宋体" w:hAnsi="宋体"/>
                <w:kern w:val="2"/>
                <w:sz w:val="21"/>
                <w:szCs w:val="22"/>
                <w:lang w:eastAsia="zh-CN"/>
              </w:rPr>
              <w:t>7</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评审方法</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hint="eastAsia"/>
                <w:kern w:val="2"/>
                <w:sz w:val="21"/>
                <w:szCs w:val="22"/>
                <w:lang w:eastAsia="zh-CN"/>
              </w:rPr>
              <w:t>综合评分法</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3</w:t>
            </w:r>
            <w:r>
              <w:rPr>
                <w:rFonts w:ascii="宋体" w:eastAsia="宋体" w:hAnsi="宋体"/>
                <w:kern w:val="2"/>
                <w:sz w:val="21"/>
                <w:szCs w:val="22"/>
                <w:lang w:eastAsia="zh-CN"/>
              </w:rPr>
              <w:t>8</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定标方法</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hint="eastAsia"/>
                <w:kern w:val="2"/>
                <w:sz w:val="21"/>
                <w:szCs w:val="22"/>
                <w:lang w:eastAsia="zh-CN"/>
              </w:rPr>
              <w:t>非评定分离</w:t>
            </w:r>
          </w:p>
        </w:tc>
      </w:tr>
      <w:tr>
        <w:tblPrEx>
          <w:tblW w:w="5000" w:type="pct"/>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4</w:t>
            </w:r>
            <w:r>
              <w:rPr>
                <w:rFonts w:ascii="宋体" w:eastAsia="宋体" w:hAnsi="宋体"/>
                <w:kern w:val="2"/>
                <w:sz w:val="21"/>
                <w:szCs w:val="22"/>
                <w:lang w:eastAsia="zh-CN"/>
              </w:rPr>
              <w:t>6</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hint="eastAsia"/>
                <w:kern w:val="2"/>
                <w:sz w:val="21"/>
                <w:szCs w:val="22"/>
                <w:lang w:eastAsia="zh-CN"/>
              </w:rPr>
              <w:t>履约担保</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hint="eastAsia"/>
                <w:kern w:val="2"/>
                <w:sz w:val="21"/>
                <w:szCs w:val="22"/>
                <w:lang w:eastAsia="zh-CN"/>
              </w:rPr>
              <w:t>不需要</w:t>
            </w:r>
          </w:p>
        </w:tc>
      </w:tr>
    </w:tbl>
    <w:p>
      <w:pPr>
        <w:widowControl w:val="0"/>
        <w:jc w:val="both"/>
        <w:rPr>
          <w:rFonts w:ascii="Calibri" w:eastAsia="宋体" w:hAnsi="Calibri"/>
          <w:b/>
          <w:kern w:val="2"/>
          <w:sz w:val="21"/>
          <w:szCs w:val="22"/>
          <w:lang w:eastAsia="zh-CN"/>
        </w:rPr>
      </w:pPr>
      <w:r>
        <w:rPr>
          <w:rFonts w:ascii="Calibri" w:eastAsia="宋体" w:hAnsi="Calibri" w:hint="eastAsia"/>
          <w:kern w:val="2"/>
          <w:sz w:val="21"/>
          <w:szCs w:val="21"/>
          <w:lang w:eastAsia="zh-CN"/>
        </w:rPr>
        <w:t>备注：本表是通用条款相关条款的补充和明确，如与通用条款内容相冲突的，以本表为准。</w:t>
      </w:r>
    </w:p>
    <w:p>
      <w:pPr>
        <w:widowControl w:val="0"/>
        <w:jc w:val="both"/>
        <w:rPr>
          <w:rFonts w:ascii="Calibri" w:eastAsia="宋体" w:hAnsi="Calibri"/>
          <w:b/>
          <w:kern w:val="2"/>
          <w:sz w:val="21"/>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hint="eastAsia"/>
          <w:b/>
          <w:bCs/>
          <w:kern w:val="2"/>
          <w:sz w:val="32"/>
          <w:lang w:eastAsia="zh-CN"/>
        </w:rPr>
        <w:t>二、其他关键信息</w:t>
      </w:r>
    </w:p>
    <w:p>
      <w:pPr>
        <w:widowControl w:val="0"/>
        <w:ind w:firstLine="420" w:firstLineChars="200"/>
        <w:jc w:val="both"/>
        <w:rPr>
          <w:rFonts w:ascii="Calibri" w:eastAsia="宋体" w:hAnsi="Calibri"/>
          <w:b/>
          <w:bCs/>
          <w:kern w:val="2"/>
          <w:sz w:val="21"/>
          <w:szCs w:val="22"/>
          <w:lang w:eastAsia="zh-CN"/>
        </w:rPr>
      </w:pPr>
      <w:r>
        <w:rPr>
          <w:rFonts w:ascii="Calibri" w:eastAsia="宋体" w:hAnsi="Calibri" w:hint="eastAsia"/>
          <w:b/>
          <w:bCs/>
          <w:kern w:val="2"/>
          <w:sz w:val="21"/>
          <w:szCs w:val="22"/>
          <w:lang w:eastAsia="zh-CN"/>
        </w:rPr>
        <w:t>（一）与</w:t>
      </w:r>
      <w:r>
        <w:rPr>
          <w:rFonts w:ascii="Calibri" w:eastAsia="宋体" w:hAnsi="Calibri" w:hint="eastAsia"/>
          <w:b/>
          <w:bCs/>
          <w:kern w:val="2"/>
          <w:sz w:val="21"/>
          <w:szCs w:val="22"/>
          <w:lang w:eastAsia="zh-CN"/>
        </w:rPr>
        <w:t>“</w:t>
      </w:r>
      <w:r>
        <w:rPr>
          <w:rFonts w:ascii="Calibri" w:eastAsia="宋体" w:hAnsi="Calibri" w:hint="eastAsia"/>
          <w:b/>
          <w:bCs/>
          <w:kern w:val="2"/>
          <w:sz w:val="21"/>
          <w:szCs w:val="22"/>
          <w:lang w:eastAsia="zh-CN"/>
        </w:rPr>
        <w:t>对通用条款的补充内容</w:t>
      </w:r>
      <w:r>
        <w:rPr>
          <w:rFonts w:ascii="Calibri" w:eastAsia="宋体" w:hAnsi="Calibri" w:hint="eastAsia"/>
          <w:b/>
          <w:bCs/>
          <w:kern w:val="2"/>
          <w:sz w:val="21"/>
          <w:szCs w:val="22"/>
          <w:lang w:eastAsia="zh-CN"/>
        </w:rPr>
        <w:t>”</w:t>
      </w:r>
      <w:r>
        <w:rPr>
          <w:rFonts w:ascii="Calibri" w:eastAsia="宋体" w:hAnsi="Calibri" w:hint="eastAsia"/>
          <w:b/>
          <w:bCs/>
          <w:kern w:val="2"/>
          <w:sz w:val="21"/>
          <w:szCs w:val="22"/>
          <w:lang w:eastAsia="zh-CN"/>
        </w:rPr>
        <w:t>章节相关的事项</w:t>
      </w:r>
    </w:p>
    <w:p>
      <w:pPr>
        <w:widowControl w:val="0"/>
        <w:spacing w:line="276" w:lineRule="auto"/>
        <w:ind w:firstLine="420" w:firstLineChars="200"/>
        <w:jc w:val="left"/>
        <w:rPr>
          <w:rFonts w:ascii="宋体" w:eastAsia="宋体" w:hAnsi="宋体"/>
          <w:b/>
          <w:sz w:val="21"/>
          <w:szCs w:val="20"/>
          <w:lang w:eastAsia="zh-CN"/>
        </w:rPr>
      </w:pPr>
      <w:bookmarkStart w:id="30" w:name="_Hlk72579465"/>
      <w:r>
        <w:rPr>
          <w:rFonts w:ascii="宋体" w:eastAsia="宋体" w:hAnsi="宋体" w:hint="eastAsia"/>
          <w:b/>
          <w:sz w:val="21"/>
          <w:szCs w:val="20"/>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hint="eastAsia"/>
          <w:b/>
          <w:kern w:val="2"/>
          <w:sz w:val="21"/>
          <w:szCs w:val="22"/>
          <w:lang w:eastAsia="zh-CN"/>
        </w:rPr>
        <w:t>非评定分离项目</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844"/>
        <w:gridCol w:w="3235"/>
        <w:gridCol w:w="24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2844" w:type="dxa"/>
          </w:tcPr>
          <w:p>
            <w:pPr>
              <w:widowControl w:val="0"/>
              <w:jc w:val="center"/>
              <w:rPr>
                <w:rFonts w:ascii="Calibri" w:eastAsia="宋体" w:hAnsi="Calibri"/>
                <w:kern w:val="2"/>
                <w:sz w:val="21"/>
                <w:szCs w:val="22"/>
                <w:lang w:eastAsia="zh-CN"/>
              </w:rPr>
            </w:pPr>
            <w:r>
              <w:rPr>
                <w:rFonts w:ascii="Calibri" w:eastAsia="宋体" w:hAnsi="Calibri" w:hint="eastAsia"/>
                <w:kern w:val="2"/>
                <w:sz w:val="21"/>
                <w:szCs w:val="22"/>
                <w:lang w:eastAsia="zh-CN"/>
              </w:rPr>
              <w:t>评标方法</w:t>
            </w:r>
          </w:p>
        </w:tc>
        <w:tc>
          <w:tcPr>
            <w:tcW w:w="3235" w:type="dxa"/>
          </w:tcPr>
          <w:p>
            <w:pPr>
              <w:widowControl w:val="0"/>
              <w:jc w:val="center"/>
              <w:rPr>
                <w:rFonts w:ascii="Calibri" w:eastAsia="宋体" w:hAnsi="Calibri"/>
                <w:kern w:val="2"/>
                <w:sz w:val="21"/>
                <w:szCs w:val="22"/>
                <w:lang w:eastAsia="zh-CN"/>
              </w:rPr>
            </w:pPr>
            <w:r>
              <w:rPr>
                <w:rFonts w:ascii="Wingdings" w:eastAsia="宋体" w:hAnsi="Wingdings"/>
                <w:kern w:val="2"/>
                <w:sz w:val="21"/>
                <w:szCs w:val="22"/>
                <w:lang w:eastAsia="zh-CN"/>
              </w:rPr>
              <w:sym w:font="Wingdings" w:char="F0FE"/>
            </w:r>
            <w:r>
              <w:rPr>
                <w:rFonts w:ascii="Calibri" w:eastAsia="宋体" w:hAnsi="Calibri" w:hint="eastAsia"/>
                <w:kern w:val="2"/>
                <w:sz w:val="21"/>
                <w:szCs w:val="22"/>
                <w:lang w:eastAsia="zh-CN"/>
              </w:rPr>
              <w:t>综合评分法</w:t>
            </w:r>
          </w:p>
        </w:tc>
        <w:tc>
          <w:tcPr>
            <w:tcW w:w="2450" w:type="dxa"/>
          </w:tcPr>
          <w:p>
            <w:pPr>
              <w:widowControl w:val="0"/>
              <w:jc w:val="center"/>
              <w:rPr>
                <w:rFonts w:ascii="Calibri" w:eastAsia="宋体" w:hAnsi="Calibri" w:hint="eastAsia"/>
                <w:kern w:val="2"/>
                <w:sz w:val="21"/>
                <w:szCs w:val="22"/>
                <w:lang w:eastAsia="zh-CN"/>
              </w:rPr>
            </w:pPr>
            <w:r>
              <w:rPr>
                <w:rFonts w:ascii="Wingdings" w:eastAsia="宋体" w:hAnsi="Wingdings"/>
                <w:kern w:val="2"/>
                <w:sz w:val="21"/>
                <w:szCs w:val="22"/>
                <w:lang w:eastAsia="zh-CN"/>
              </w:rPr>
              <w:sym w:font="Wingdings" w:char="F0A8"/>
            </w:r>
            <w:r>
              <w:rPr>
                <w:rFonts w:eastAsia="宋体" w:hAnsi="Calibri" w:hint="eastAsia"/>
                <w:kern w:val="2"/>
                <w:sz w:val="21"/>
                <w:szCs w:val="22"/>
                <w:lang w:eastAsia="zh-CN"/>
              </w:rPr>
              <w:t>最低价法</w:t>
            </w:r>
          </w:p>
        </w:tc>
      </w:tr>
      <w:tr>
        <w:tblPrEx>
          <w:tblW w:w="5000" w:type="pct"/>
          <w:tblLayout w:type="fixed"/>
          <w:tblCellMar>
            <w:top w:w="0" w:type="dxa"/>
            <w:left w:w="108" w:type="dxa"/>
            <w:bottom w:w="0" w:type="dxa"/>
            <w:right w:w="108" w:type="dxa"/>
          </w:tblCellMar>
          <w:tblLook w:val="0000"/>
        </w:tblPrEx>
        <w:tc>
          <w:tcPr>
            <w:tcW w:w="2844" w:type="dxa"/>
          </w:tcPr>
          <w:p>
            <w:pPr>
              <w:widowControl w:val="0"/>
              <w:jc w:val="center"/>
              <w:rPr>
                <w:rFonts w:ascii="Calibri" w:eastAsia="宋体" w:hAnsi="Calibri"/>
                <w:kern w:val="2"/>
                <w:sz w:val="21"/>
                <w:szCs w:val="22"/>
                <w:lang w:eastAsia="zh-CN"/>
              </w:rPr>
            </w:pPr>
            <w:r>
              <w:rPr>
                <w:rFonts w:ascii="Calibri" w:eastAsia="宋体" w:hAnsi="Calibri" w:hint="eastAsia"/>
                <w:kern w:val="2"/>
                <w:sz w:val="21"/>
                <w:szCs w:val="22"/>
                <w:lang w:eastAsia="zh-CN"/>
              </w:rPr>
              <w:t>候选中标供应商家数</w:t>
            </w:r>
          </w:p>
        </w:tc>
        <w:tc>
          <w:tcPr>
            <w:tcW w:w="3235" w:type="dxa"/>
          </w:tcPr>
          <w:p>
            <w:pPr>
              <w:widowControl w:val="0"/>
              <w:jc w:val="center"/>
              <w:rPr>
                <w:rFonts w:ascii="Calibri" w:eastAsia="宋体" w:hAnsi="Calibri"/>
                <w:kern w:val="2"/>
                <w:sz w:val="21"/>
                <w:szCs w:val="22"/>
                <w:lang w:eastAsia="zh-CN"/>
              </w:rPr>
            </w:pPr>
            <w:r>
              <w:rPr>
                <w:rFonts w:ascii="Calibri" w:eastAsia="宋体" w:hAnsi="Calibri" w:hint="eastAsia"/>
                <w:kern w:val="2"/>
                <w:sz w:val="21"/>
                <w:szCs w:val="22"/>
                <w:lang w:eastAsia="zh-CN"/>
              </w:rPr>
              <w:t>1</w:t>
            </w:r>
          </w:p>
        </w:tc>
        <w:tc>
          <w:tcPr>
            <w:tcW w:w="2450" w:type="dxa"/>
          </w:tcPr>
          <w:p>
            <w:pPr>
              <w:widowControl w:val="0"/>
              <w:jc w:val="center"/>
              <w:rPr>
                <w:rFonts w:ascii="Calibri" w:eastAsia="宋体" w:hAnsi="Calibri" w:hint="eastAsia"/>
                <w:kern w:val="2"/>
                <w:sz w:val="21"/>
                <w:szCs w:val="22"/>
                <w:lang w:eastAsia="zh-CN"/>
              </w:rPr>
            </w:pPr>
            <w:r>
              <w:rPr>
                <w:rFonts w:ascii="Calibri" w:eastAsia="宋体" w:hAnsi="Calibri" w:hint="eastAsia"/>
                <w:kern w:val="2"/>
                <w:sz w:val="21"/>
                <w:szCs w:val="22"/>
                <w:lang w:eastAsia="zh-CN"/>
              </w:rPr>
              <w:t>1</w:t>
            </w:r>
          </w:p>
        </w:tc>
      </w:tr>
      <w:tr>
        <w:tblPrEx>
          <w:tblW w:w="5000" w:type="pct"/>
          <w:tblLayout w:type="fixed"/>
          <w:tblCellMar>
            <w:top w:w="0" w:type="dxa"/>
            <w:left w:w="108" w:type="dxa"/>
            <w:bottom w:w="0" w:type="dxa"/>
            <w:right w:w="108" w:type="dxa"/>
          </w:tblCellMar>
          <w:tblLook w:val="0000"/>
        </w:tblPrEx>
        <w:tc>
          <w:tcPr>
            <w:tcW w:w="2844" w:type="dxa"/>
          </w:tcPr>
          <w:p>
            <w:pPr>
              <w:widowControl w:val="0"/>
              <w:jc w:val="center"/>
              <w:rPr>
                <w:rFonts w:ascii="Calibri" w:eastAsia="宋体" w:hAnsi="Calibri"/>
                <w:kern w:val="2"/>
                <w:sz w:val="21"/>
                <w:szCs w:val="22"/>
                <w:lang w:eastAsia="zh-CN"/>
              </w:rPr>
            </w:pPr>
            <w:r>
              <w:rPr>
                <w:rFonts w:ascii="Calibri" w:eastAsia="宋体" w:hAnsi="Calibri" w:hint="eastAsia"/>
                <w:kern w:val="2"/>
                <w:sz w:val="21"/>
                <w:szCs w:val="22"/>
                <w:lang w:eastAsia="zh-CN"/>
              </w:rPr>
              <w:t>中标供应商家数</w:t>
            </w:r>
          </w:p>
        </w:tc>
        <w:tc>
          <w:tcPr>
            <w:tcW w:w="3235" w:type="dxa"/>
          </w:tcPr>
          <w:p>
            <w:pPr>
              <w:widowControl w:val="0"/>
              <w:jc w:val="center"/>
              <w:rPr>
                <w:rFonts w:ascii="Calibri" w:eastAsia="宋体" w:hAnsi="Calibri"/>
                <w:kern w:val="2"/>
                <w:sz w:val="21"/>
                <w:szCs w:val="22"/>
                <w:lang w:eastAsia="zh-CN"/>
              </w:rPr>
            </w:pPr>
            <w:r>
              <w:rPr>
                <w:rFonts w:ascii="Calibri" w:eastAsia="宋体" w:hAnsi="Calibri" w:hint="eastAsia"/>
                <w:kern w:val="2"/>
                <w:sz w:val="21"/>
                <w:szCs w:val="22"/>
                <w:lang w:eastAsia="zh-CN"/>
              </w:rPr>
              <w:t>1</w:t>
            </w:r>
          </w:p>
        </w:tc>
        <w:tc>
          <w:tcPr>
            <w:tcW w:w="2450" w:type="dxa"/>
          </w:tcPr>
          <w:p>
            <w:pPr>
              <w:widowControl w:val="0"/>
              <w:jc w:val="center"/>
              <w:rPr>
                <w:rFonts w:ascii="Calibri" w:eastAsia="宋体" w:hAnsi="Calibri" w:hint="eastAsia"/>
                <w:kern w:val="2"/>
                <w:sz w:val="21"/>
                <w:szCs w:val="22"/>
                <w:lang w:eastAsia="zh-CN"/>
              </w:rPr>
            </w:pPr>
            <w:r>
              <w:rPr>
                <w:rFonts w:ascii="Calibri" w:eastAsia="宋体" w:hAnsi="Calibri" w:hint="eastAsia"/>
                <w:kern w:val="2"/>
                <w:sz w:val="21"/>
                <w:szCs w:val="22"/>
                <w:lang w:eastAsia="zh-CN"/>
              </w:rPr>
              <w:t>1</w:t>
            </w:r>
          </w:p>
        </w:tc>
      </w:tr>
    </w:tbl>
    <w:p>
      <w:pPr>
        <w:widowControl w:val="0"/>
        <w:ind w:firstLine="420" w:firstLineChars="200"/>
        <w:jc w:val="both"/>
        <w:rPr>
          <w:rFonts w:ascii="宋体" w:eastAsia="宋体" w:hAnsi="宋体"/>
          <w:b/>
          <w:kern w:val="2"/>
          <w:sz w:val="21"/>
          <w:szCs w:val="22"/>
          <w:lang w:eastAsia="zh-CN"/>
        </w:rPr>
      </w:pPr>
    </w:p>
    <w:p>
      <w:pPr>
        <w:widowControl w:val="0"/>
        <w:ind w:firstLine="420" w:firstLineChars="200"/>
        <w:jc w:val="both"/>
        <w:rPr>
          <w:rFonts w:ascii="Calibri" w:eastAsia="宋体" w:hAnsi="Calibri" w:hint="eastAsia"/>
          <w:b/>
          <w:kern w:val="2"/>
          <w:sz w:val="21"/>
          <w:szCs w:val="22"/>
          <w:lang w:eastAsia="zh-CN"/>
        </w:rPr>
      </w:pPr>
      <w:bookmarkEnd w:id="30"/>
      <w:r>
        <w:rPr>
          <w:rFonts w:ascii="Calibri" w:eastAsia="宋体" w:hAnsi="Calibri" w:hint="eastAsia"/>
          <w:b/>
          <w:kern w:val="2"/>
          <w:sz w:val="21"/>
          <w:szCs w:val="22"/>
          <w:lang w:eastAsia="zh-CN"/>
        </w:rPr>
        <w:t>（二）其他事项</w:t>
      </w:r>
    </w:p>
    <w:p>
      <w:pPr>
        <w:widowControl w:val="0"/>
        <w:ind w:firstLine="420" w:firstLineChars="200"/>
        <w:jc w:val="both"/>
        <w:rPr>
          <w:rFonts w:ascii="Calibri" w:eastAsia="宋体" w:hAnsi="Calibri"/>
          <w:kern w:val="2"/>
          <w:sz w:val="21"/>
          <w:szCs w:val="22"/>
          <w:lang w:eastAsia="zh-CN"/>
        </w:rPr>
      </w:pPr>
      <w:r>
        <w:rPr>
          <w:rFonts w:ascii="Calibri" w:eastAsia="宋体" w:hAnsi="Calibri"/>
          <w:b/>
          <w:bCs/>
          <w:kern w:val="2"/>
          <w:sz w:val="21"/>
          <w:szCs w:val="22"/>
          <w:lang w:eastAsia="zh-CN"/>
        </w:rPr>
        <w:t>1</w:t>
      </w:r>
      <w:r>
        <w:rPr>
          <w:rFonts w:ascii="Calibri" w:eastAsia="宋体" w:hAnsi="Calibri" w:hint="eastAsia"/>
          <w:b/>
          <w:bCs/>
          <w:kern w:val="2"/>
          <w:sz w:val="21"/>
          <w:szCs w:val="22"/>
          <w:lang w:eastAsia="zh-CN"/>
        </w:rPr>
        <w:t>、关于享受优惠政策的主体及价格扣除比例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（1）</w:t>
      </w:r>
      <w:r>
        <w:rPr>
          <w:rFonts w:eastAsia="宋体" w:hAnsi="Calibri" w:hint="eastAsia"/>
          <w:kern w:val="2"/>
          <w:sz w:val="21"/>
          <w:szCs w:val="22"/>
          <w:lang w:eastAsia="zh-CN"/>
        </w:rPr>
        <w:t>专门面向中小企业采购的项目，不再执行价格扣除比例。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（2）</w:t>
      </w:r>
      <w:r>
        <w:rPr>
          <w:rFonts w:eastAsia="宋体" w:hAnsi="Calibri" w:hint="eastAsia"/>
          <w:kern w:val="2"/>
          <w:sz w:val="21"/>
          <w:szCs w:val="22"/>
          <w:lang w:eastAsia="zh-CN"/>
        </w:rPr>
        <w:t>非专门面向中小企业采购的项目，应执行价格扣除比例：</w:t>
      </w:r>
      <w:r>
        <w:rPr>
          <w:rFonts w:ascii="Calibri" w:eastAsia="宋体" w:hAnsi="Calibri" w:hint="eastAsia"/>
          <w:kern w:val="2"/>
          <w:sz w:val="21"/>
          <w:szCs w:val="22"/>
          <w:lang w:eastAsia="zh-CN"/>
        </w:rPr>
        <w:t>供应商提供的服务全部由优惠主体承接，则对其投标总价给予</w:t>
      </w:r>
      <w:r>
        <w:rPr>
          <w:rFonts w:ascii="Calibri" w:eastAsia="宋体" w:hAnsi="Calibri"/>
          <w:color w:val="FF0000"/>
          <w:kern w:val="2"/>
          <w:sz w:val="21"/>
          <w:szCs w:val="22"/>
          <w:u w:val="single"/>
          <w:lang w:eastAsia="zh-CN"/>
        </w:rPr>
        <w:t xml:space="preserve">  </w:t>
      </w:r>
      <w:r>
        <w:rPr>
          <w:rFonts w:ascii="Calibri" w:eastAsia="宋体" w:hAnsi="Calibri" w:hint="eastAsia"/>
          <w:color w:val="FF0000"/>
          <w:kern w:val="2"/>
          <w:sz w:val="21"/>
          <w:szCs w:val="22"/>
          <w:u w:val="single"/>
          <w:lang w:eastAsia="zh-CN"/>
        </w:rPr>
        <w:t>10</w:t>
      </w:r>
      <w:r>
        <w:rPr>
          <w:rFonts w:ascii="Calibri" w:eastAsia="宋体" w:hAnsi="Calibri"/>
          <w:color w:val="FF0000"/>
          <w:kern w:val="2"/>
          <w:sz w:val="21"/>
          <w:szCs w:val="22"/>
          <w:u w:val="single"/>
          <w:lang w:eastAsia="zh-CN"/>
        </w:rPr>
        <w:t xml:space="preserve">  %</w:t>
      </w:r>
      <w:r>
        <w:rPr>
          <w:rFonts w:ascii="Calibri" w:eastAsia="宋体" w:hAnsi="Calibri" w:hint="eastAsia"/>
          <w:color w:val="000000"/>
          <w:kern w:val="2"/>
          <w:sz w:val="21"/>
          <w:szCs w:val="22"/>
          <w:lang w:eastAsia="zh-CN"/>
        </w:rPr>
        <w:t>（</w:t>
      </w:r>
      <w:r>
        <w:rPr>
          <w:rFonts w:eastAsia="宋体" w:hAnsi="Calibri" w:hint="eastAsia"/>
          <w:color w:val="000000"/>
          <w:kern w:val="2"/>
          <w:sz w:val="21"/>
          <w:szCs w:val="22"/>
          <w:lang w:eastAsia="zh-CN"/>
        </w:rPr>
        <w:t>10%~20%</w:t>
      </w:r>
      <w:r>
        <w:rPr>
          <w:rFonts w:ascii="Calibri" w:eastAsia="宋体" w:hAnsi="Calibri" w:hint="eastAsia"/>
          <w:color w:val="000000"/>
          <w:kern w:val="2"/>
          <w:sz w:val="21"/>
          <w:szCs w:val="22"/>
          <w:lang w:eastAsia="zh-CN"/>
        </w:rPr>
        <w:t>）</w:t>
      </w:r>
      <w:r>
        <w:rPr>
          <w:rFonts w:ascii="Calibri" w:eastAsia="宋体" w:hAnsi="Calibri" w:hint="eastAsia"/>
          <w:kern w:val="2"/>
          <w:sz w:val="21"/>
          <w:szCs w:val="22"/>
          <w:lang w:eastAsia="zh-CN"/>
        </w:rPr>
        <w:t>的扣除，用扣除后的价格参与评审。满足多项优惠政策的企业，不重复享受多项价格扣除政策。</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hint="eastAsia"/>
          <w:kern w:val="2"/>
          <w:sz w:val="21"/>
          <w:szCs w:val="22"/>
          <w:lang w:eastAsia="zh-CN"/>
        </w:rPr>
        <w:t>备注：（a）</w:t>
      </w:r>
      <w:r>
        <w:rPr>
          <w:rFonts w:eastAsia="宋体" w:hAnsi="Calibri" w:hint="eastAsia"/>
          <w:kern w:val="2"/>
          <w:sz w:val="21"/>
          <w:szCs w:val="22"/>
          <w:lang w:eastAsia="zh-CN"/>
        </w:rPr>
        <w:t>享受价格扣除</w:t>
      </w:r>
      <w:r>
        <w:rPr>
          <w:rFonts w:ascii="Calibri" w:eastAsia="宋体" w:hAnsi="Calibri" w:hint="eastAsia"/>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自行采购）活动中视同中小企业；(</w:t>
      </w:r>
      <w:r>
        <w:rPr>
          <w:rFonts w:ascii="Calibri" w:eastAsia="宋体" w:hAnsi="Calibri"/>
          <w:kern w:val="2"/>
          <w:sz w:val="21"/>
          <w:szCs w:val="22"/>
          <w:lang w:eastAsia="zh-CN"/>
        </w:rPr>
        <w:t>b)</w:t>
      </w:r>
      <w:r>
        <w:rPr>
          <w:rFonts w:ascii="Calibri" w:eastAsia="宋体" w:hAnsi="Calibri" w:hint="eastAsia"/>
          <w:kern w:val="2"/>
          <w:sz w:val="21"/>
          <w:szCs w:val="22"/>
          <w:lang w:eastAsia="zh-CN"/>
        </w:rPr>
        <w:t>优惠主体承接是指提供服务的人员为中小企业依照《中华人民共和国劳动合同法》订立劳动合同的从业人员。</w:t>
      </w:r>
    </w:p>
    <w:p>
      <w:pPr>
        <w:widowControl w:val="0"/>
        <w:numPr>
          <w:ilvl w:val="0"/>
          <w:numId w:val="1"/>
        </w:numPr>
        <w:ind w:firstLine="420" w:firstLineChars="200"/>
        <w:jc w:val="both"/>
        <w:rPr>
          <w:rFonts w:ascii="Calibri" w:eastAsia="宋体" w:hAnsi="Calibri" w:hint="eastAsia"/>
          <w:kern w:val="2"/>
          <w:sz w:val="21"/>
          <w:szCs w:val="21"/>
          <w:lang w:eastAsia="zh-CN"/>
        </w:rPr>
      </w:pPr>
      <w:r>
        <w:rPr>
          <w:rFonts w:ascii="宋体" w:eastAsia="宋体" w:hAnsi="宋体" w:cs="宋体"/>
          <w:kern w:val="2"/>
          <w:sz w:val="21"/>
          <w:szCs w:val="21"/>
          <w:lang w:eastAsia="zh-CN"/>
        </w:rPr>
        <w:t>中小企业参加政府采购</w:t>
      </w:r>
      <w:r>
        <w:rPr>
          <w:rFonts w:ascii="宋体" w:eastAsia="宋体" w:hAnsi="宋体" w:cs="宋体" w:hint="eastAsia"/>
          <w:kern w:val="2"/>
          <w:sz w:val="21"/>
          <w:szCs w:val="21"/>
          <w:lang w:eastAsia="zh-CN"/>
        </w:rPr>
        <w:t>（自行采购）</w:t>
      </w:r>
      <w:r>
        <w:rPr>
          <w:rFonts w:ascii="宋体" w:eastAsia="宋体" w:hAnsi="宋体" w:cs="宋体"/>
          <w:kern w:val="2"/>
          <w:sz w:val="21"/>
          <w:szCs w:val="21"/>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w:t>
      </w:r>
      <w:r>
        <w:rPr>
          <w:rFonts w:ascii="宋体" w:eastAsia="宋体" w:hAnsi="宋体" w:cs="宋体" w:hint="eastAsia"/>
          <w:b/>
          <w:bCs/>
          <w:color w:val="FF0000"/>
          <w:kern w:val="2"/>
          <w:sz w:val="21"/>
          <w:szCs w:val="21"/>
          <w:lang w:eastAsia="zh-CN"/>
        </w:rPr>
        <w:t>（服务承接商）</w:t>
      </w:r>
      <w:r>
        <w:rPr>
          <w:rFonts w:ascii="宋体" w:eastAsia="宋体" w:hAnsi="宋体" w:cs="宋体"/>
          <w:b/>
          <w:bCs/>
          <w:color w:val="FF0000"/>
          <w:kern w:val="2"/>
          <w:sz w:val="21"/>
          <w:szCs w:val="21"/>
          <w:lang w:eastAsia="zh-CN"/>
        </w:rPr>
        <w:t>所属行业应当与采购标的所属行业相一致</w:t>
      </w:r>
      <w:r>
        <w:rPr>
          <w:rFonts w:ascii="Calibri" w:eastAsia="宋体" w:hAnsi="Calibri" w:hint="eastAsia"/>
          <w:b/>
          <w:bCs/>
          <w:color w:val="FF0000"/>
          <w:kern w:val="2"/>
          <w:sz w:val="21"/>
          <w:szCs w:val="22"/>
          <w:lang w:eastAsia="zh-CN"/>
        </w:rPr>
        <w:t>，标的所属行业</w:t>
      </w:r>
      <w:r>
        <w:rPr>
          <w:rFonts w:eastAsia="宋体" w:hAnsi="Calibri" w:hint="eastAsia"/>
          <w:b/>
          <w:bCs/>
          <w:color w:val="FF0000"/>
          <w:kern w:val="2"/>
          <w:sz w:val="21"/>
          <w:szCs w:val="22"/>
          <w:lang w:eastAsia="zh-CN"/>
        </w:rPr>
        <w:t>以招标文件第一册第三章用户需求书</w:t>
      </w:r>
      <w:r>
        <w:rPr>
          <w:rFonts w:eastAsia="宋体" w:hAnsi="Calibri" w:hint="eastAsia"/>
          <w:b/>
          <w:bCs/>
          <w:color w:val="FF0000"/>
          <w:kern w:val="2"/>
          <w:sz w:val="21"/>
          <w:szCs w:val="22"/>
          <w:lang w:eastAsia="zh-CN"/>
        </w:rPr>
        <w:t>“</w:t>
      </w:r>
      <w:r>
        <w:rPr>
          <w:rFonts w:ascii="Calibri" w:eastAsia="宋体" w:hAnsi="Calibri" w:hint="eastAsia"/>
          <w:b/>
          <w:bCs/>
          <w:color w:val="FF0000"/>
          <w:kern w:val="2"/>
          <w:sz w:val="21"/>
          <w:szCs w:val="22"/>
          <w:lang w:eastAsia="zh-CN"/>
        </w:rPr>
        <w:t>服务需求</w:t>
      </w:r>
      <w:r>
        <w:rPr>
          <w:rFonts w:eastAsia="宋体" w:hAnsi="Calibri" w:hint="eastAsia"/>
          <w:b/>
          <w:bCs/>
          <w:color w:val="FF0000"/>
          <w:kern w:val="2"/>
          <w:sz w:val="21"/>
          <w:szCs w:val="22"/>
          <w:lang w:eastAsia="zh-CN"/>
        </w:rPr>
        <w:t>明细</w:t>
      </w:r>
      <w:r>
        <w:rPr>
          <w:rFonts w:eastAsia="宋体" w:hAnsi="Calibri" w:hint="eastAsia"/>
          <w:b/>
          <w:bCs/>
          <w:color w:val="FF0000"/>
          <w:kern w:val="2"/>
          <w:sz w:val="21"/>
          <w:szCs w:val="22"/>
          <w:lang w:eastAsia="zh-CN"/>
        </w:rPr>
        <w:t>”</w:t>
      </w:r>
      <w:r>
        <w:rPr>
          <w:rFonts w:eastAsia="宋体" w:hAnsi="Calibri" w:hint="eastAsia"/>
          <w:b/>
          <w:bCs/>
          <w:color w:val="FF0000"/>
          <w:kern w:val="2"/>
          <w:sz w:val="21"/>
          <w:szCs w:val="22"/>
          <w:lang w:eastAsia="zh-CN"/>
        </w:rPr>
        <w:t>的</w:t>
      </w:r>
      <w:r>
        <w:rPr>
          <w:rFonts w:eastAsia="宋体" w:hAnsi="Calibri" w:hint="eastAsia"/>
          <w:b/>
          <w:bCs/>
          <w:color w:val="FF0000"/>
          <w:kern w:val="2"/>
          <w:sz w:val="21"/>
          <w:szCs w:val="22"/>
          <w:lang w:eastAsia="zh-CN"/>
        </w:rPr>
        <w:t>“</w:t>
      </w:r>
      <w:r>
        <w:rPr>
          <w:rFonts w:eastAsia="宋体" w:hAnsi="Calibri" w:hint="eastAsia"/>
          <w:b/>
          <w:bCs/>
          <w:color w:val="FF0000"/>
          <w:kern w:val="2"/>
          <w:sz w:val="21"/>
          <w:szCs w:val="22"/>
          <w:lang w:eastAsia="zh-CN"/>
        </w:rPr>
        <w:t>标的所属行业</w:t>
      </w:r>
      <w:r>
        <w:rPr>
          <w:rFonts w:eastAsia="宋体" w:hAnsi="Calibri" w:hint="eastAsia"/>
          <w:b/>
          <w:bCs/>
          <w:color w:val="FF0000"/>
          <w:kern w:val="2"/>
          <w:sz w:val="21"/>
          <w:szCs w:val="22"/>
          <w:lang w:eastAsia="zh-CN"/>
        </w:rPr>
        <w:t>”</w:t>
      </w:r>
      <w:r>
        <w:rPr>
          <w:rFonts w:eastAsia="宋体" w:hAnsi="Calibri" w:hint="eastAsia"/>
          <w:b/>
          <w:bCs/>
          <w:color w:val="FF0000"/>
          <w:kern w:val="2"/>
          <w:sz w:val="21"/>
          <w:szCs w:val="22"/>
          <w:lang w:eastAsia="zh-CN"/>
        </w:rPr>
        <w:t>一栏为准</w:t>
      </w:r>
      <w:r>
        <w:rPr>
          <w:rFonts w:ascii="宋体" w:eastAsia="宋体" w:hAnsi="宋体" w:cs="宋体"/>
          <w:b/>
          <w:bCs/>
          <w:color w:val="FF0000"/>
          <w:kern w:val="2"/>
          <w:sz w:val="21"/>
          <w:szCs w:val="21"/>
          <w:lang w:eastAsia="zh-CN"/>
        </w:rPr>
        <w:t>。</w:t>
      </w:r>
    </w:p>
    <w:p>
      <w:pPr>
        <w:widowControl w:val="0"/>
        <w:numPr>
          <w:ilvl w:val="0"/>
          <w:numId w:val="1"/>
        </w:numPr>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1"/>
          <w:lang w:eastAsia="zh-CN"/>
        </w:rPr>
        <w:t>小型企业、微</w:t>
      </w:r>
      <w:r>
        <w:rPr>
          <w:rFonts w:ascii="Calibri" w:eastAsia="宋体" w:hAnsi="Calibri" w:hint="eastAsia"/>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投标文件格式、附件</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中</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四、投标人情况介绍</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章节提供的格式）。</w:t>
      </w:r>
    </w:p>
    <w:p>
      <w:pPr>
        <w:widowControl w:val="0"/>
        <w:numPr>
          <w:ilvl w:val="0"/>
          <w:numId w:val="1"/>
        </w:numPr>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享受价格扣除获得政府采购（自行采购）合同的，小微企业不得将合同分包给大中型企业。</w:t>
      </w:r>
    </w:p>
    <w:p>
      <w:pPr>
        <w:widowControl w:val="0"/>
        <w:ind w:firstLine="420" w:firstLineChars="200"/>
        <w:jc w:val="both"/>
        <w:rPr>
          <w:rFonts w:ascii="Calibri" w:eastAsia="宋体" w:hAnsi="Calibri"/>
          <w:kern w:val="2"/>
          <w:sz w:val="21"/>
          <w:szCs w:val="22"/>
          <w:lang w:eastAsia="zh-CN"/>
        </w:rPr>
      </w:pPr>
      <w:r>
        <w:rPr>
          <w:rFonts w:ascii="Calibri" w:eastAsia="宋体" w:hAnsi="Calibri" w:hint="eastAsia"/>
          <w:b/>
          <w:bCs/>
          <w:kern w:val="2"/>
          <w:sz w:val="21"/>
          <w:szCs w:val="22"/>
          <w:lang w:eastAsia="zh-CN"/>
        </w:rPr>
        <w:t>2、</w:t>
      </w:r>
      <w:r>
        <w:rPr>
          <w:rFonts w:ascii="宋体" w:eastAsia="宋体" w:hAnsi="宋体" w:cs="宋体" w:hint="eastAsia"/>
          <w:b/>
          <w:bCs/>
          <w:kern w:val="2"/>
          <w:sz w:val="21"/>
          <w:szCs w:val="22"/>
          <w:lang w:eastAsia="zh-CN"/>
        </w:rPr>
        <w:t>关于政府采购（自行采购）订单融资政策</w:t>
      </w:r>
    </w:p>
    <w:p>
      <w:pPr>
        <w:widowControl w:val="0"/>
        <w:wordWrap w:val="0"/>
        <w:ind w:firstLine="420" w:firstLineChars="200"/>
        <w:jc w:val="both"/>
        <w:rPr>
          <w:rFonts w:ascii="Calibri" w:eastAsia="宋体" w:hAnsi="Calibri"/>
          <w:kern w:val="2"/>
          <w:sz w:val="21"/>
          <w:szCs w:val="22"/>
          <w:lang w:eastAsia="zh-CN"/>
        </w:rPr>
      </w:pPr>
      <w:r>
        <w:rPr>
          <w:rFonts w:ascii="Calibri" w:eastAsia="宋体" w:hAnsi="Calibri" w:hint="eastAsia"/>
          <w:color w:val="FF0000"/>
          <w:kern w:val="2"/>
          <w:sz w:val="21"/>
          <w:szCs w:val="22"/>
          <w:lang w:eastAsia="zh-CN"/>
        </w:rPr>
        <w:t>为深入贯彻落实国家深化政府采购（自行采购）制度改革精神，充分发挥政府采购（自行采购）扶持中小企业发展的政策功能，缓解中小微企业融资难、融资贵的问题，根据《深圳市财政局关于加大力度运用政府采购（自行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Calibri" w:eastAsia="宋体" w:hAnsi="Calibri" w:hint="eastAsia"/>
          <w:b/>
          <w:bCs/>
          <w:kern w:val="2"/>
          <w:sz w:val="21"/>
          <w:szCs w:val="22"/>
          <w:lang w:eastAsia="zh-CN"/>
        </w:rPr>
      </w:pPr>
      <w:r>
        <w:rPr>
          <w:rFonts w:ascii="Calibri" w:eastAsia="宋体" w:hAnsi="Calibri" w:hint="eastAsia"/>
          <w:b/>
          <w:bCs/>
          <w:kern w:val="2"/>
          <w:sz w:val="21"/>
          <w:szCs w:val="22"/>
          <w:lang w:eastAsia="zh-CN"/>
        </w:rPr>
        <w:t>3</w:t>
      </w:r>
      <w:r>
        <w:rPr>
          <w:rFonts w:eastAsia="宋体" w:hAnsi="Calibri" w:hint="eastAsia"/>
          <w:b/>
          <w:bCs/>
          <w:kern w:val="2"/>
          <w:sz w:val="21"/>
          <w:szCs w:val="22"/>
          <w:lang w:eastAsia="zh-CN"/>
        </w:rPr>
        <w:t>、本项目为代理服务项目，将向中标（成交）供应商收取代理服务费。</w:t>
      </w:r>
    </w:p>
    <w:p>
      <w:pPr>
        <w:widowControl w:val="0"/>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中标（</w:t>
      </w:r>
      <w:r>
        <w:rPr>
          <w:rFonts w:eastAsia="宋体" w:hAnsi="Calibri" w:hint="eastAsia"/>
          <w:kern w:val="2"/>
          <w:sz w:val="21"/>
          <w:szCs w:val="22"/>
          <w:lang w:eastAsia="zh-CN"/>
        </w:rPr>
        <w:t>成交</w:t>
      </w:r>
      <w:r>
        <w:rPr>
          <w:rFonts w:ascii="Calibri" w:eastAsia="宋体" w:hAnsi="Calibri" w:hint="eastAsia"/>
          <w:kern w:val="2"/>
          <w:sz w:val="21"/>
          <w:szCs w:val="22"/>
          <w:lang w:eastAsia="zh-CN"/>
        </w:rPr>
        <w:t>）供应商在领取《中标（</w:t>
      </w:r>
      <w:r>
        <w:rPr>
          <w:rFonts w:eastAsia="宋体" w:hAnsi="Calibri" w:hint="eastAsia"/>
          <w:kern w:val="2"/>
          <w:sz w:val="21"/>
          <w:szCs w:val="22"/>
          <w:lang w:eastAsia="zh-CN"/>
        </w:rPr>
        <w:t>成交</w:t>
      </w:r>
      <w:r>
        <w:rPr>
          <w:rFonts w:ascii="Calibri" w:eastAsia="宋体" w:hAnsi="Calibri" w:hint="eastAsia"/>
          <w:kern w:val="2"/>
          <w:sz w:val="21"/>
          <w:szCs w:val="22"/>
          <w:lang w:eastAsia="zh-CN"/>
        </w:rPr>
        <w:t>）通知书》之前须向深圳公共资源交易中心（深圳交易集团有限公司宝安分公司）交纳代理服务费。若因中标（</w:t>
      </w:r>
      <w:r>
        <w:rPr>
          <w:rFonts w:eastAsia="宋体" w:hAnsi="Calibri" w:hint="eastAsia"/>
          <w:kern w:val="2"/>
          <w:sz w:val="21"/>
          <w:szCs w:val="22"/>
          <w:lang w:eastAsia="zh-CN"/>
        </w:rPr>
        <w:t>成交</w:t>
      </w:r>
      <w:r>
        <w:rPr>
          <w:rFonts w:ascii="Calibri" w:eastAsia="宋体" w:hAnsi="Calibri" w:hint="eastAsia"/>
          <w:kern w:val="2"/>
          <w:sz w:val="21"/>
          <w:szCs w:val="22"/>
          <w:lang w:eastAsia="zh-CN"/>
        </w:rPr>
        <w:t>）供应商交纳代理服务费所产生的时间影响到合同签订的，由中标（</w:t>
      </w:r>
      <w:r>
        <w:rPr>
          <w:rFonts w:eastAsia="宋体" w:hAnsi="Calibri" w:hint="eastAsia"/>
          <w:kern w:val="2"/>
          <w:sz w:val="21"/>
          <w:szCs w:val="22"/>
          <w:lang w:eastAsia="zh-CN"/>
        </w:rPr>
        <w:t>成交</w:t>
      </w:r>
      <w:r>
        <w:rPr>
          <w:rFonts w:ascii="Calibri" w:eastAsia="宋体" w:hAnsi="Calibri" w:hint="eastAsia"/>
          <w:kern w:val="2"/>
          <w:sz w:val="21"/>
          <w:szCs w:val="22"/>
          <w:lang w:eastAsia="zh-CN"/>
        </w:rPr>
        <w:t>）供应商自行承担责任。代理服务费标准参照</w:t>
      </w:r>
      <w:r>
        <w:rPr>
          <w:rFonts w:eastAsia="宋体" w:hAnsi="Calibri" w:hint="eastAsia"/>
          <w:kern w:val="2"/>
          <w:sz w:val="21"/>
          <w:szCs w:val="22"/>
          <w:lang w:eastAsia="zh-CN"/>
        </w:rPr>
        <w:t>下列</w:t>
      </w:r>
      <w:r>
        <w:rPr>
          <w:rFonts w:ascii="Calibri" w:eastAsia="宋体" w:hAnsi="Calibri" w:hint="eastAsia"/>
          <w:kern w:val="2"/>
          <w:sz w:val="21"/>
          <w:szCs w:val="22"/>
          <w:lang w:eastAsia="zh-CN"/>
        </w:rPr>
        <w:t>标准收取。</w:t>
      </w:r>
      <w:r>
        <w:rPr>
          <w:rFonts w:ascii="Calibri" w:eastAsia="宋体" w:hAnsi="Calibri" w:hint="eastAsia"/>
          <w:b/>
          <w:color w:val="FF0000"/>
          <w:kern w:val="2"/>
          <w:sz w:val="21"/>
          <w:szCs w:val="22"/>
          <w:lang w:eastAsia="zh-CN"/>
        </w:rPr>
        <w:t>本项目类型为服务采购：</w:t>
      </w:r>
    </w:p>
    <w:p>
      <w:pPr>
        <w:widowControl w:val="0"/>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w:t>
      </w:r>
      <w:r>
        <w:rPr>
          <w:rFonts w:eastAsia="宋体" w:hAnsi="Calibri" w:hint="eastAsia"/>
          <w:kern w:val="2"/>
          <w:sz w:val="21"/>
          <w:szCs w:val="22"/>
          <w:lang w:eastAsia="zh-CN"/>
        </w:rPr>
        <w:t>1</w:t>
      </w:r>
      <w:r>
        <w:rPr>
          <w:rFonts w:ascii="Calibri" w:eastAsia="宋体" w:hAnsi="Calibri" w:hint="eastAsia"/>
          <w:kern w:val="2"/>
          <w:sz w:val="21"/>
          <w:szCs w:val="22"/>
          <w:lang w:eastAsia="zh-CN"/>
        </w:rPr>
        <w:t>）代理服务费以《中标（</w:t>
      </w:r>
      <w:r>
        <w:rPr>
          <w:rFonts w:eastAsia="宋体" w:hAnsi="Calibri" w:hint="eastAsia"/>
          <w:kern w:val="2"/>
          <w:sz w:val="21"/>
          <w:szCs w:val="22"/>
          <w:lang w:eastAsia="zh-CN"/>
        </w:rPr>
        <w:t>成交</w:t>
      </w:r>
      <w:r>
        <w:rPr>
          <w:rFonts w:ascii="Calibri" w:eastAsia="宋体" w:hAnsi="Calibri" w:hint="eastAsia"/>
          <w:kern w:val="2"/>
          <w:sz w:val="21"/>
          <w:szCs w:val="22"/>
          <w:lang w:eastAsia="zh-CN"/>
        </w:rPr>
        <w:t>）通知书》确定的</w:t>
      </w:r>
      <w:r>
        <w:rPr>
          <w:rFonts w:eastAsia="宋体" w:hAnsi="Calibri" w:hint="eastAsia"/>
          <w:kern w:val="2"/>
          <w:sz w:val="21"/>
          <w:szCs w:val="22"/>
          <w:lang w:eastAsia="zh-CN"/>
        </w:rPr>
        <w:t>中标（</w:t>
      </w:r>
      <w:r>
        <w:rPr>
          <w:rFonts w:ascii="Calibri" w:eastAsia="宋体" w:hAnsi="Calibri" w:hint="eastAsia"/>
          <w:kern w:val="2"/>
          <w:sz w:val="21"/>
          <w:szCs w:val="22"/>
          <w:lang w:eastAsia="zh-CN"/>
        </w:rPr>
        <w:t>成交）金额作为计算基数，按差额定率累进法计算。</w:t>
      </w:r>
    </w:p>
    <w:p>
      <w:pPr>
        <w:widowControl w:val="0"/>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w:t>
      </w:r>
      <w:r>
        <w:rPr>
          <w:rFonts w:eastAsia="宋体" w:hAnsi="Calibri" w:hint="eastAsia"/>
          <w:kern w:val="2"/>
          <w:sz w:val="21"/>
          <w:szCs w:val="22"/>
          <w:lang w:eastAsia="zh-CN"/>
        </w:rPr>
        <w:t>2</w:t>
      </w:r>
      <w:r>
        <w:rPr>
          <w:rFonts w:ascii="Calibri" w:eastAsia="宋体" w:hAnsi="Calibri" w:hint="eastAsia"/>
          <w:kern w:val="2"/>
          <w:sz w:val="21"/>
          <w:szCs w:val="22"/>
          <w:lang w:eastAsia="zh-CN"/>
        </w:rPr>
        <w:t>）中标（</w:t>
      </w:r>
      <w:r>
        <w:rPr>
          <w:rFonts w:eastAsia="宋体" w:hAnsi="Calibri" w:hint="eastAsia"/>
          <w:kern w:val="2"/>
          <w:sz w:val="21"/>
          <w:szCs w:val="22"/>
          <w:lang w:eastAsia="zh-CN"/>
        </w:rPr>
        <w:t>成交</w:t>
      </w:r>
      <w:r>
        <w:rPr>
          <w:rFonts w:ascii="Calibri" w:eastAsia="宋体" w:hAnsi="Calibri" w:hint="eastAsia"/>
          <w:kern w:val="2"/>
          <w:sz w:val="21"/>
          <w:szCs w:val="22"/>
          <w:lang w:eastAsia="zh-CN"/>
        </w:rPr>
        <w:t>）金额的各部分费率如下表：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601"/>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eastAsia="宋体" w:hAnsi="Calibri" w:hint="eastAsia"/>
                <w:kern w:val="2"/>
                <w:sz w:val="21"/>
                <w:szCs w:val="22"/>
                <w:lang w:eastAsia="zh-CN"/>
              </w:rPr>
              <w:t>中标</w:t>
            </w:r>
            <w:r>
              <w:rPr>
                <w:rFonts w:ascii="Calibri" w:eastAsia="宋体" w:hAnsi="Calibri" w:hint="eastAsia"/>
                <w:kern w:val="2"/>
                <w:sz w:val="21"/>
                <w:szCs w:val="22"/>
                <w:lang w:eastAsia="zh-CN"/>
              </w:rPr>
              <w:t>（</w:t>
            </w:r>
            <w:r>
              <w:rPr>
                <w:rFonts w:eastAsia="宋体" w:hAnsi="Calibri" w:hint="eastAsia"/>
                <w:kern w:val="2"/>
                <w:sz w:val="21"/>
                <w:szCs w:val="22"/>
                <w:lang w:eastAsia="zh-CN"/>
              </w:rPr>
              <w:t>成交</w:t>
            </w:r>
            <w:r>
              <w:rPr>
                <w:rFonts w:ascii="Calibri" w:eastAsia="宋体" w:hAnsi="Calibri" w:hint="eastAsia"/>
                <w:kern w:val="2"/>
                <w:sz w:val="21"/>
                <w:szCs w:val="22"/>
                <w:lang w:eastAsia="zh-CN"/>
              </w:rPr>
              <w:t>）金额</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货物采购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服务采购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工程采购</w:t>
            </w:r>
          </w:p>
        </w:tc>
      </w:tr>
      <w:tr>
        <w:tblPrEx>
          <w:tblW w:w="5000" w:type="pct"/>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100万元以下</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1.0%</w:t>
            </w:r>
          </w:p>
        </w:tc>
      </w:tr>
      <w:tr>
        <w:tblPrEx>
          <w:tblW w:w="5000" w:type="pct"/>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100万元（含）-500万元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1.1%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0.7%</w:t>
            </w:r>
          </w:p>
        </w:tc>
      </w:tr>
      <w:tr>
        <w:tblPrEx>
          <w:tblW w:w="5000" w:type="pct"/>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500万元（含）-1000万元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0.45%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0.55%</w:t>
            </w:r>
          </w:p>
        </w:tc>
      </w:tr>
      <w:tr>
        <w:tblPrEx>
          <w:tblW w:w="5000" w:type="pct"/>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1000万元（含）-5000万元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0.35%</w:t>
            </w:r>
          </w:p>
        </w:tc>
      </w:tr>
      <w:tr>
        <w:tblPrEx>
          <w:tblW w:w="5000" w:type="pct"/>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5000万元（含）-1亿元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0.2%</w:t>
            </w:r>
          </w:p>
        </w:tc>
      </w:tr>
      <w:tr>
        <w:tblPrEx>
          <w:tblW w:w="5000" w:type="pct"/>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1亿元（含）-5亿元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0.05%</w:t>
            </w:r>
          </w:p>
        </w:tc>
      </w:tr>
      <w:tr>
        <w:tblPrEx>
          <w:tblW w:w="5000" w:type="pct"/>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5亿元（含）-10亿元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0.035%</w:t>
            </w:r>
          </w:p>
        </w:tc>
      </w:tr>
      <w:tr>
        <w:tblPrEx>
          <w:tblW w:w="5000" w:type="pct"/>
          <w:jc w:val="center"/>
          <w:tblLayout w:type="fixed"/>
          <w:tblCellMar>
            <w:top w:w="0" w:type="dxa"/>
            <w:left w:w="108" w:type="dxa"/>
            <w:bottom w:w="0" w:type="dxa"/>
            <w:right w:w="108" w:type="dxa"/>
          </w:tblCellMar>
          <w:tblLook w:val="0000"/>
        </w:tblPrEx>
        <w:trPr>
          <w:trHeight w:val="90"/>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10亿元（含）-50亿元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0.008%</w:t>
            </w:r>
          </w:p>
        </w:tc>
      </w:tr>
      <w:tr>
        <w:tblPrEx>
          <w:tblW w:w="5000" w:type="pct"/>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50亿元（含）-100亿元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0.006%</w:t>
            </w:r>
          </w:p>
        </w:tc>
      </w:tr>
      <w:tr>
        <w:tblPrEx>
          <w:tblW w:w="5000" w:type="pct"/>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100亿元（含）以上</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hint="eastAsia"/>
                <w:kern w:val="2"/>
                <w:sz w:val="21"/>
                <w:szCs w:val="22"/>
                <w:lang w:eastAsia="zh-CN"/>
              </w:rPr>
              <w:t>0.004%</w:t>
            </w:r>
          </w:p>
        </w:tc>
      </w:tr>
    </w:tbl>
    <w:p>
      <w:pPr>
        <w:widowControl w:val="0"/>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 xml:space="preserve">备注：1.每宗交易代理服务费不低于 </w:t>
      </w:r>
      <w:r>
        <w:rPr>
          <w:rFonts w:eastAsia="宋体" w:hAnsi="Calibri" w:hint="eastAsia"/>
          <w:kern w:val="2"/>
          <w:sz w:val="21"/>
          <w:szCs w:val="22"/>
          <w:lang w:eastAsia="zh-CN"/>
        </w:rPr>
        <w:t>5</w:t>
      </w:r>
      <w:r>
        <w:rPr>
          <w:rFonts w:ascii="Calibri" w:eastAsia="宋体" w:hAnsi="Calibri" w:hint="eastAsia"/>
          <w:kern w:val="2"/>
          <w:sz w:val="21"/>
          <w:szCs w:val="22"/>
          <w:lang w:eastAsia="zh-CN"/>
        </w:rPr>
        <w:t>000 元；</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hint="eastAsia"/>
          <w:kern w:val="2"/>
          <w:sz w:val="21"/>
          <w:szCs w:val="22"/>
          <w:lang w:eastAsia="zh-CN"/>
        </w:rPr>
        <w:t>2.对于报总价的采购类项目，中标（</w:t>
      </w:r>
      <w:r>
        <w:rPr>
          <w:rFonts w:eastAsia="宋体" w:hAnsi="Calibri" w:hint="eastAsia"/>
          <w:kern w:val="2"/>
          <w:sz w:val="21"/>
          <w:szCs w:val="22"/>
          <w:lang w:eastAsia="zh-CN"/>
        </w:rPr>
        <w:t>成交</w:t>
      </w:r>
      <w:r>
        <w:rPr>
          <w:rFonts w:ascii="Calibri" w:eastAsia="宋体" w:hAnsi="Calibri" w:hint="eastAsia"/>
          <w:kern w:val="2"/>
          <w:sz w:val="21"/>
          <w:szCs w:val="22"/>
          <w:lang w:eastAsia="zh-CN"/>
        </w:rPr>
        <w:t>）价为中标（成交）金额；对于报单价、折扣或费率的采购类项目，中标（</w:t>
      </w:r>
      <w:r>
        <w:rPr>
          <w:rFonts w:eastAsia="宋体" w:hAnsi="Calibri" w:hint="eastAsia"/>
          <w:kern w:val="2"/>
          <w:sz w:val="21"/>
          <w:szCs w:val="22"/>
          <w:lang w:eastAsia="zh-CN"/>
        </w:rPr>
        <w:t>成交</w:t>
      </w:r>
      <w:r>
        <w:rPr>
          <w:rFonts w:ascii="Calibri" w:eastAsia="宋体" w:hAnsi="Calibri" w:hint="eastAsia"/>
          <w:kern w:val="2"/>
          <w:sz w:val="21"/>
          <w:szCs w:val="22"/>
          <w:lang w:eastAsia="zh-CN"/>
        </w:rPr>
        <w:t>）价为预算上限金额或经委托方与代理方确定的支付上限金额；</w:t>
      </w:r>
    </w:p>
    <w:p>
      <w:pPr>
        <w:widowControl w:val="0"/>
        <w:ind w:firstLine="420" w:firstLineChars="20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如某货物采购项目，中标（成交）金额为600万元，总共交纳的代理服务费的具体计算过程如下：</w:t>
      </w:r>
    </w:p>
    <w:p>
      <w:pPr>
        <w:widowControl w:val="0"/>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标准代理服务费＝（100万以下部分的代理服务费）+（100万～500万部分的代理服务费）+（500万～600万部分的代理服务费）＝100万元</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1.5%+（500-100）万元</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1.1%+（600-500）万元</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0.8%=1.5万元+4.4万元+0.8万元＝6.7万元</w:t>
      </w:r>
    </w:p>
    <w:p>
      <w:pPr>
        <w:widowControl w:val="0"/>
        <w:ind w:firstLine="420" w:firstLineChars="200"/>
        <w:jc w:val="both"/>
        <w:rPr>
          <w:rFonts w:ascii="Calibri" w:eastAsia="宋体" w:hAnsi="Calibri"/>
          <w:b/>
          <w:kern w:val="2"/>
          <w:sz w:val="21"/>
          <w:szCs w:val="22"/>
          <w:lang w:eastAsia="zh-CN"/>
        </w:rPr>
      </w:pPr>
      <w:r>
        <w:rPr>
          <w:rFonts w:ascii="Calibri" w:eastAsia="宋体" w:hAnsi="Calibri" w:hint="eastAsia"/>
          <w:kern w:val="2"/>
          <w:sz w:val="21"/>
          <w:szCs w:val="22"/>
          <w:lang w:eastAsia="zh-CN"/>
        </w:rPr>
        <w:t>（</w:t>
      </w:r>
      <w:r>
        <w:rPr>
          <w:rFonts w:eastAsia="宋体" w:hAnsi="Calibri" w:hint="eastAsia"/>
          <w:kern w:val="2"/>
          <w:sz w:val="21"/>
          <w:szCs w:val="22"/>
          <w:lang w:eastAsia="zh-CN"/>
        </w:rPr>
        <w:t>3</w:t>
      </w:r>
      <w:r>
        <w:rPr>
          <w:rFonts w:ascii="Calibri" w:eastAsia="宋体" w:hAnsi="Calibri" w:hint="eastAsia"/>
          <w:kern w:val="2"/>
          <w:sz w:val="21"/>
          <w:szCs w:val="22"/>
          <w:lang w:eastAsia="zh-CN"/>
        </w:rPr>
        <w:t>）中标（成交）供应商中标（成交）后，必须按规定采用银行对公转账方式向深圳交易集团有限公司直接交纳代理服务费，交纳信息及要求按照缴款（</w:t>
      </w:r>
      <w:r>
        <w:rPr>
          <w:rFonts w:eastAsia="宋体" w:hAnsi="Calibri" w:hint="eastAsia"/>
          <w:kern w:val="2"/>
          <w:sz w:val="21"/>
          <w:szCs w:val="22"/>
          <w:lang w:eastAsia="zh-CN"/>
        </w:rPr>
        <w:t>付款</w:t>
      </w:r>
      <w:r>
        <w:rPr>
          <w:rFonts w:ascii="Calibri" w:eastAsia="宋体" w:hAnsi="Calibri" w:hint="eastAsia"/>
          <w:kern w:val="2"/>
          <w:sz w:val="21"/>
          <w:szCs w:val="22"/>
          <w:lang w:eastAsia="zh-CN"/>
        </w:rPr>
        <w:t>）通知书执行。</w:t>
      </w:r>
    </w:p>
    <w:p>
      <w:pPr>
        <w:widowControl w:val="0"/>
        <w:jc w:val="both"/>
        <w:rPr>
          <w:rFonts w:ascii="Calibri" w:eastAsia="宋体" w:hAnsi="Calibri"/>
          <w:b/>
          <w:kern w:val="2"/>
          <w:sz w:val="21"/>
          <w:szCs w:val="22"/>
          <w:lang w:eastAsia="zh-CN"/>
        </w:rPr>
        <w:sectPr>
          <w:pgSz w:w="11907" w:h="16840"/>
          <w:pgMar w:top="1440" w:right="1797" w:bottom="1440" w:left="1797" w:header="851" w:footer="992" w:gutter="0"/>
          <w:cols w:space="708"/>
          <w:titlePg/>
          <w:docGrid w:linePitch="462"/>
        </w:sectPr>
      </w:pPr>
    </w:p>
    <w:p>
      <w:pPr>
        <w:keepNext/>
        <w:keepLines/>
        <w:widowControl w:val="0"/>
        <w:spacing w:before="260" w:after="260" w:line="416" w:lineRule="auto"/>
        <w:jc w:val="center"/>
        <w:outlineLvl w:val="1"/>
        <w:rPr>
          <w:rFonts w:ascii="Cambria" w:eastAsia="宋体" w:hAnsi="Cambria"/>
          <w:b/>
          <w:bCs/>
          <w:kern w:val="2"/>
          <w:sz w:val="28"/>
          <w:szCs w:val="28"/>
          <w:lang w:eastAsia="zh-CN"/>
        </w:rPr>
      </w:pPr>
      <w:bookmarkStart w:id="31" w:name="_Toc128884461"/>
      <w:r>
        <w:rPr>
          <w:rFonts w:ascii="Cambria" w:eastAsia="宋体" w:hAnsi="Cambria" w:hint="eastAsia"/>
          <w:b/>
          <w:bCs/>
          <w:kern w:val="2"/>
          <w:sz w:val="28"/>
          <w:szCs w:val="28"/>
          <w:lang w:eastAsia="zh-CN"/>
        </w:rPr>
        <w:t>第三章 用户需求书</w:t>
      </w: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hint="eastAsia"/>
          <w:b/>
          <w:bCs/>
          <w:kern w:val="2"/>
          <w:sz w:val="32"/>
          <w:lang w:eastAsia="zh-CN"/>
        </w:rPr>
        <w:t>一、项目基本信息</w:t>
      </w:r>
    </w:p>
    <w:p>
      <w:pPr>
        <w:widowControl w:val="0"/>
        <w:jc w:val="both"/>
        <w:rPr>
          <w:rFonts w:ascii="宋体" w:eastAsia="宋体" w:hAnsi="宋体"/>
          <w:b/>
          <w:color w:val="FF0000"/>
          <w:kern w:val="2"/>
          <w:sz w:val="21"/>
          <w:szCs w:val="21"/>
          <w:lang w:eastAsia="zh-CN"/>
        </w:rPr>
      </w:pPr>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61"/>
        <w:gridCol w:w="2727"/>
        <w:gridCol w:w="3040"/>
        <w:gridCol w:w="23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54"/>
        </w:trPr>
        <w:tc>
          <w:tcPr>
            <w:tcW w:w="471" w:type="dxa"/>
            <w:vAlign w:val="center"/>
          </w:tcPr>
          <w:p>
            <w:pPr>
              <w:widowControl w:val="0"/>
              <w:jc w:val="center"/>
              <w:rPr>
                <w:rFonts w:ascii="Calibri" w:eastAsia="宋体" w:hAnsi="Calibri"/>
                <w:bCs/>
                <w:kern w:val="2"/>
                <w:sz w:val="21"/>
                <w:szCs w:val="21"/>
                <w:lang w:eastAsia="zh-CN"/>
              </w:rPr>
            </w:pPr>
            <w:r>
              <w:rPr>
                <w:rFonts w:ascii="Calibri" w:eastAsia="宋体" w:hAnsi="Calibri" w:hint="eastAsia"/>
                <w:bCs/>
                <w:kern w:val="2"/>
                <w:sz w:val="21"/>
                <w:szCs w:val="21"/>
                <w:lang w:eastAsia="zh-CN"/>
              </w:rPr>
              <w:t>序号</w:t>
            </w:r>
          </w:p>
        </w:tc>
        <w:tc>
          <w:tcPr>
            <w:tcW w:w="2828" w:type="dxa"/>
            <w:vAlign w:val="center"/>
          </w:tcPr>
          <w:p>
            <w:pPr>
              <w:widowControl w:val="0"/>
              <w:jc w:val="center"/>
              <w:rPr>
                <w:rFonts w:ascii="Calibri" w:eastAsia="宋体" w:hAnsi="Calibri"/>
                <w:bCs/>
                <w:kern w:val="2"/>
                <w:sz w:val="21"/>
                <w:szCs w:val="21"/>
                <w:lang w:eastAsia="zh-CN"/>
              </w:rPr>
            </w:pPr>
            <w:r>
              <w:rPr>
                <w:rFonts w:ascii="Calibri" w:eastAsia="宋体" w:hAnsi="Calibri" w:hint="eastAsia"/>
                <w:kern w:val="2"/>
                <w:sz w:val="21"/>
                <w:szCs w:val="21"/>
                <w:lang w:eastAsia="zh-CN"/>
              </w:rPr>
              <w:t>采购计划编号</w:t>
            </w:r>
          </w:p>
        </w:tc>
        <w:tc>
          <w:tcPr>
            <w:tcW w:w="3154" w:type="dxa"/>
            <w:vAlign w:val="center"/>
          </w:tcPr>
          <w:p>
            <w:pPr>
              <w:widowControl w:val="0"/>
              <w:jc w:val="center"/>
              <w:rPr>
                <w:rFonts w:ascii="Calibri" w:eastAsia="宋体" w:hAnsi="Calibri"/>
                <w:bCs/>
                <w:kern w:val="2"/>
                <w:sz w:val="21"/>
                <w:szCs w:val="21"/>
                <w:lang w:eastAsia="zh-CN"/>
              </w:rPr>
            </w:pPr>
            <w:r>
              <w:rPr>
                <w:rFonts w:ascii="Calibri" w:eastAsia="宋体" w:hAnsi="Calibri" w:hint="eastAsia"/>
                <w:bCs/>
                <w:kern w:val="2"/>
                <w:sz w:val="21"/>
                <w:szCs w:val="21"/>
                <w:lang w:eastAsia="zh-CN"/>
              </w:rPr>
              <w:t>采购项目名称</w:t>
            </w:r>
          </w:p>
        </w:tc>
        <w:tc>
          <w:tcPr>
            <w:tcW w:w="2385" w:type="dxa"/>
            <w:vAlign w:val="center"/>
          </w:tcPr>
          <w:p>
            <w:pPr>
              <w:widowControl w:val="0"/>
              <w:jc w:val="center"/>
              <w:rPr>
                <w:rFonts w:ascii="Calibri" w:eastAsia="宋体" w:hAnsi="Calibri" w:hint="eastAsia"/>
                <w:bCs/>
                <w:kern w:val="2"/>
                <w:sz w:val="21"/>
                <w:szCs w:val="21"/>
                <w:lang w:eastAsia="zh-CN"/>
              </w:rPr>
            </w:pPr>
            <w:r>
              <w:rPr>
                <w:rFonts w:ascii="Calibri" w:eastAsia="宋体" w:hAnsi="Calibri" w:hint="eastAsia"/>
                <w:bCs/>
                <w:kern w:val="2"/>
                <w:sz w:val="21"/>
                <w:szCs w:val="21"/>
                <w:lang w:eastAsia="zh-CN"/>
              </w:rPr>
              <w:t>预算金额</w:t>
            </w:r>
          </w:p>
          <w:p>
            <w:pPr>
              <w:widowControl w:val="0"/>
              <w:jc w:val="center"/>
              <w:rPr>
                <w:rFonts w:ascii="Calibri" w:eastAsia="宋体" w:hAnsi="Calibri" w:hint="eastAsia"/>
                <w:bCs/>
                <w:kern w:val="2"/>
                <w:sz w:val="21"/>
                <w:szCs w:val="21"/>
                <w:lang w:eastAsia="zh-CN"/>
              </w:rPr>
            </w:pPr>
            <w:r>
              <w:rPr>
                <w:rFonts w:ascii="Calibri" w:eastAsia="宋体" w:hAnsi="Calibri" w:hint="eastAsia"/>
                <w:bCs/>
                <w:kern w:val="2"/>
                <w:sz w:val="21"/>
                <w:szCs w:val="21"/>
                <w:lang w:eastAsia="zh-CN"/>
              </w:rPr>
              <w:t>（元）</w:t>
            </w:r>
          </w:p>
        </w:tc>
      </w:tr>
      <w:tr>
        <w:tblPrEx>
          <w:tblW w:w="5000" w:type="pct"/>
          <w:tblLayout w:type="fixed"/>
          <w:tblCellMar>
            <w:top w:w="0" w:type="dxa"/>
            <w:left w:w="108" w:type="dxa"/>
            <w:bottom w:w="0" w:type="dxa"/>
            <w:right w:w="108" w:type="dxa"/>
          </w:tblCellMar>
          <w:tblLook w:val="0000"/>
        </w:tblPrEx>
        <w:trPr>
          <w:trHeight w:val="926"/>
        </w:trPr>
        <w:tc>
          <w:tcPr>
            <w:tcW w:w="471"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hint="eastAsia"/>
                <w:bCs/>
                <w:color w:val="FF0000"/>
                <w:kern w:val="2"/>
                <w:sz w:val="21"/>
                <w:szCs w:val="21"/>
                <w:lang w:eastAsia="zh-CN"/>
              </w:rPr>
              <w:t>1</w:t>
            </w:r>
          </w:p>
        </w:tc>
        <w:tc>
          <w:tcPr>
            <w:tcW w:w="2828"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hint="eastAsia"/>
                <w:bCs/>
                <w:color w:val="FF0000"/>
                <w:kern w:val="2"/>
                <w:sz w:val="21"/>
                <w:szCs w:val="21"/>
                <w:lang w:eastAsia="zh-CN"/>
              </w:rPr>
              <w:t>JYCG-DECL-2025-07458</w:t>
            </w:r>
          </w:p>
        </w:tc>
        <w:tc>
          <w:tcPr>
            <w:tcW w:w="3154" w:type="dxa"/>
            <w:vAlign w:val="center"/>
          </w:tcPr>
          <w:p>
            <w:pPr>
              <w:widowControl w:val="0"/>
              <w:jc w:val="center"/>
              <w:rPr>
                <w:rFonts w:ascii="Calibri" w:eastAsia="宋体" w:hAnsi="Calibri"/>
                <w:b/>
                <w:bCs/>
                <w:color w:val="FF0000"/>
                <w:kern w:val="2"/>
                <w:sz w:val="21"/>
                <w:szCs w:val="21"/>
                <w:lang w:eastAsia="zh-CN"/>
              </w:rPr>
            </w:pPr>
            <w:r>
              <w:rPr>
                <w:rFonts w:ascii="宋体" w:eastAsia="宋体" w:hAnsi="宋体" w:hint="eastAsia"/>
                <w:kern w:val="2"/>
                <w:lang w:eastAsia="zh-CN"/>
              </w:rPr>
              <w:t>深圳市宝安区水务技术监管中心物业管理服务</w:t>
            </w:r>
          </w:p>
        </w:tc>
        <w:tc>
          <w:tcPr>
            <w:tcW w:w="2385" w:type="dxa"/>
            <w:vAlign w:val="center"/>
          </w:tcPr>
          <w:p>
            <w:pPr>
              <w:widowControl w:val="0"/>
              <w:jc w:val="center"/>
              <w:rPr>
                <w:rFonts w:ascii="Calibri" w:eastAsia="宋体" w:hAnsi="Calibri" w:hint="eastAsia"/>
                <w:bCs/>
                <w:kern w:val="2"/>
                <w:sz w:val="21"/>
                <w:szCs w:val="21"/>
                <w:lang w:eastAsia="zh-CN"/>
              </w:rPr>
            </w:pPr>
            <w:r>
              <w:rPr>
                <w:rFonts w:ascii="Calibri" w:eastAsia="宋体" w:hAnsi="Calibri" w:hint="eastAsia"/>
                <w:bCs/>
                <w:kern w:val="2"/>
                <w:sz w:val="21"/>
                <w:szCs w:val="21"/>
                <w:lang w:eastAsia="zh-CN"/>
              </w:rPr>
              <w:t>960000.00</w:t>
            </w:r>
          </w:p>
        </w:tc>
      </w:tr>
      <w:tr>
        <w:tblPrEx>
          <w:tblW w:w="5000" w:type="pct"/>
          <w:tblLayout w:type="fixed"/>
          <w:tblCellMar>
            <w:top w:w="0" w:type="dxa"/>
            <w:left w:w="108" w:type="dxa"/>
            <w:bottom w:w="0" w:type="dxa"/>
            <w:right w:w="108" w:type="dxa"/>
          </w:tblCellMar>
          <w:tblLook w:val="0000"/>
        </w:tblPrEx>
        <w:trPr>
          <w:trHeight w:val="305"/>
        </w:trPr>
        <w:tc>
          <w:tcPr>
            <w:tcW w:w="6453" w:type="dxa"/>
            <w:gridSpan w:val="3"/>
            <w:vAlign w:val="center"/>
          </w:tcPr>
          <w:p>
            <w:pPr>
              <w:widowControl w:val="0"/>
              <w:jc w:val="center"/>
              <w:rPr>
                <w:rFonts w:eastAsia="宋体"/>
                <w:b/>
                <w:bCs/>
                <w:color w:val="FF0000"/>
                <w:kern w:val="2"/>
                <w:sz w:val="21"/>
                <w:szCs w:val="21"/>
                <w:lang w:eastAsia="zh-CN"/>
              </w:rPr>
            </w:pPr>
            <w:r>
              <w:rPr>
                <w:rFonts w:ascii="Calibri" w:eastAsia="宋体" w:hAnsi="Calibri"/>
                <w:b/>
                <w:bCs/>
                <w:color w:val="FF0000"/>
                <w:kern w:val="2"/>
                <w:sz w:val="21"/>
                <w:szCs w:val="21"/>
                <w:lang w:eastAsia="zh-CN"/>
              </w:rPr>
              <w:t>合计</w:t>
            </w:r>
          </w:p>
        </w:tc>
        <w:tc>
          <w:tcPr>
            <w:tcW w:w="2385" w:type="dxa"/>
            <w:vAlign w:val="center"/>
          </w:tcPr>
          <w:p>
            <w:pPr>
              <w:widowControl w:val="0"/>
              <w:jc w:val="center"/>
              <w:rPr>
                <w:rFonts w:ascii="Calibri" w:eastAsia="宋体" w:hAnsi="Calibri" w:hint="eastAsia"/>
                <w:bCs/>
                <w:kern w:val="2"/>
                <w:sz w:val="21"/>
                <w:szCs w:val="21"/>
                <w:lang w:eastAsia="zh-CN"/>
              </w:rPr>
            </w:pPr>
            <w:r>
              <w:rPr>
                <w:rFonts w:ascii="Calibri" w:eastAsia="宋体" w:hAnsi="Calibri" w:hint="eastAsia"/>
                <w:bCs/>
                <w:kern w:val="2"/>
                <w:sz w:val="21"/>
                <w:szCs w:val="21"/>
                <w:lang w:eastAsia="zh-CN"/>
              </w:rPr>
              <w:t>960000.00</w:t>
            </w:r>
          </w:p>
        </w:tc>
      </w:tr>
    </w:tbl>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hint="eastAsia"/>
          <w:b/>
          <w:bCs/>
          <w:kern w:val="2"/>
          <w:sz w:val="32"/>
          <w:lang w:eastAsia="zh-CN"/>
        </w:rPr>
        <w:t>二、项目概况</w:t>
      </w:r>
    </w:p>
    <w:p>
      <w:pPr>
        <w:widowControl w:val="0"/>
        <w:jc w:val="center"/>
        <w:rPr>
          <w:rFonts w:ascii="宋体" w:eastAsia="宋体" w:hAnsi="宋体" w:hint="eastAsia"/>
          <w:kern w:val="2"/>
          <w:lang w:eastAsia="zh-CN"/>
        </w:rPr>
      </w:pPr>
      <w:r>
        <w:rPr>
          <w:rFonts w:ascii="宋体" w:eastAsia="宋体" w:hAnsi="宋体" w:hint="eastAsia"/>
          <w:kern w:val="2"/>
          <w:lang w:eastAsia="zh-CN"/>
        </w:rPr>
        <w:t>1.项目名称：深圳市宝安区水务技术监管中心物业管理服务。</w:t>
      </w:r>
    </w:p>
    <w:p>
      <w:pPr>
        <w:widowControl w:val="0"/>
        <w:jc w:val="center"/>
        <w:rPr>
          <w:rFonts w:ascii="宋体" w:eastAsia="宋体" w:hAnsi="宋体" w:hint="eastAsia"/>
          <w:kern w:val="2"/>
          <w:lang w:eastAsia="zh-CN"/>
        </w:rPr>
      </w:pPr>
      <w:r>
        <w:rPr>
          <w:rFonts w:ascii="宋体" w:eastAsia="宋体" w:hAnsi="宋体" w:hint="eastAsia"/>
          <w:kern w:val="2"/>
          <w:lang w:eastAsia="zh-CN"/>
        </w:rPr>
        <w:t>2.项目预算金额或预算金额之下的最高限额；￥　960000　元。</w:t>
      </w:r>
    </w:p>
    <w:p>
      <w:pPr>
        <w:widowControl w:val="0"/>
        <w:jc w:val="both"/>
        <w:rPr>
          <w:rFonts w:ascii="宋体" w:eastAsia="宋体" w:hAnsi="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hint="eastAsia"/>
          <w:b/>
          <w:bCs/>
          <w:kern w:val="2"/>
          <w:sz w:val="32"/>
          <w:lang w:eastAsia="zh-CN"/>
        </w:rPr>
        <w:t>三、</w:t>
      </w:r>
      <w:bookmarkStart w:id="32" w:name="_Hlk72073432"/>
      <w:r>
        <w:rPr>
          <w:rFonts w:ascii="Cambria" w:eastAsia="宋体" w:hAnsi="Cambria" w:hint="eastAsia"/>
          <w:b/>
          <w:bCs/>
          <w:kern w:val="2"/>
          <w:sz w:val="32"/>
          <w:lang w:eastAsia="zh-CN"/>
        </w:rPr>
        <w:t>服务需求明细</w:t>
      </w:r>
      <w:bookmarkEnd w:id="32"/>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31"/>
        <w:gridCol w:w="1151"/>
        <w:gridCol w:w="2581"/>
        <w:gridCol w:w="899"/>
        <w:gridCol w:w="820"/>
        <w:gridCol w:w="1402"/>
        <w:gridCol w:w="124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70"/>
          <w:jc w:val="center"/>
        </w:trPr>
        <w:tc>
          <w:tcPr>
            <w:tcW w:w="252" w:type="pct"/>
            <w:vAlign w:val="center"/>
          </w:tcPr>
          <w:p>
            <w:pPr>
              <w:widowControl w:val="0"/>
              <w:jc w:val="center"/>
              <w:rPr>
                <w:rFonts w:ascii="Calibri" w:eastAsia="宋体" w:hAnsi="Calibri"/>
                <w:bCs/>
                <w:kern w:val="2"/>
                <w:sz w:val="21"/>
                <w:szCs w:val="21"/>
                <w:lang w:eastAsia="zh-CN"/>
              </w:rPr>
            </w:pPr>
            <w:r>
              <w:rPr>
                <w:rFonts w:ascii="Calibri" w:eastAsia="宋体" w:hAnsi="Calibri" w:hint="eastAsia"/>
                <w:bCs/>
                <w:kern w:val="2"/>
                <w:sz w:val="21"/>
                <w:szCs w:val="21"/>
                <w:lang w:eastAsia="zh-CN"/>
              </w:rPr>
              <w:t>序号</w:t>
            </w:r>
          </w:p>
        </w:tc>
        <w:tc>
          <w:tcPr>
            <w:tcW w:w="674" w:type="pct"/>
            <w:vAlign w:val="center"/>
          </w:tcPr>
          <w:p>
            <w:pPr>
              <w:widowControl w:val="0"/>
              <w:jc w:val="center"/>
              <w:rPr>
                <w:rFonts w:ascii="Calibri" w:eastAsia="宋体" w:hAnsi="Calibri"/>
                <w:bCs/>
                <w:kern w:val="2"/>
                <w:sz w:val="21"/>
                <w:szCs w:val="21"/>
                <w:lang w:eastAsia="zh-CN"/>
              </w:rPr>
            </w:pPr>
            <w:r>
              <w:rPr>
                <w:rFonts w:ascii="Calibri" w:eastAsia="宋体" w:hAnsi="Calibri" w:hint="eastAsia"/>
                <w:kern w:val="2"/>
                <w:sz w:val="21"/>
                <w:szCs w:val="21"/>
                <w:lang w:eastAsia="zh-CN"/>
              </w:rPr>
              <w:t>采购计划编号</w:t>
            </w:r>
          </w:p>
        </w:tc>
        <w:tc>
          <w:tcPr>
            <w:tcW w:w="1512" w:type="pct"/>
            <w:vAlign w:val="center"/>
          </w:tcPr>
          <w:p>
            <w:pPr>
              <w:widowControl w:val="0"/>
              <w:jc w:val="center"/>
              <w:rPr>
                <w:rFonts w:ascii="Calibri" w:eastAsia="宋体" w:hAnsi="Calibri"/>
                <w:bCs/>
                <w:kern w:val="2"/>
                <w:sz w:val="21"/>
                <w:szCs w:val="21"/>
                <w:lang w:eastAsia="zh-CN"/>
              </w:rPr>
            </w:pPr>
            <w:r>
              <w:rPr>
                <w:rFonts w:ascii="Calibri" w:eastAsia="宋体" w:hAnsi="Calibri" w:hint="eastAsia"/>
                <w:bCs/>
                <w:kern w:val="2"/>
                <w:sz w:val="21"/>
                <w:szCs w:val="21"/>
                <w:lang w:eastAsia="zh-CN"/>
              </w:rPr>
              <w:t>服务需求名称（标的名称）</w:t>
            </w:r>
          </w:p>
        </w:tc>
        <w:tc>
          <w:tcPr>
            <w:tcW w:w="527" w:type="pct"/>
            <w:vAlign w:val="center"/>
          </w:tcPr>
          <w:p>
            <w:pPr>
              <w:widowControl w:val="0"/>
              <w:jc w:val="center"/>
              <w:rPr>
                <w:rFonts w:ascii="Calibri" w:eastAsia="宋体" w:hAnsi="Calibri"/>
                <w:bCs/>
                <w:kern w:val="2"/>
                <w:sz w:val="21"/>
                <w:szCs w:val="21"/>
                <w:lang w:eastAsia="zh-CN"/>
              </w:rPr>
            </w:pPr>
            <w:r>
              <w:rPr>
                <w:rFonts w:ascii="Calibri" w:eastAsia="宋体" w:hAnsi="Calibri" w:hint="eastAsia"/>
                <w:bCs/>
                <w:kern w:val="2"/>
                <w:sz w:val="21"/>
                <w:szCs w:val="21"/>
                <w:lang w:eastAsia="zh-CN"/>
              </w:rPr>
              <w:t>数量</w:t>
            </w:r>
          </w:p>
        </w:tc>
        <w:tc>
          <w:tcPr>
            <w:tcW w:w="481" w:type="pct"/>
            <w:vAlign w:val="center"/>
          </w:tcPr>
          <w:p>
            <w:pPr>
              <w:widowControl w:val="0"/>
              <w:jc w:val="center"/>
              <w:rPr>
                <w:rFonts w:ascii="Calibri" w:eastAsia="宋体" w:hAnsi="Calibri"/>
                <w:bCs/>
                <w:kern w:val="2"/>
                <w:sz w:val="21"/>
                <w:szCs w:val="21"/>
                <w:lang w:eastAsia="zh-CN"/>
              </w:rPr>
            </w:pPr>
            <w:r>
              <w:rPr>
                <w:rFonts w:ascii="Calibri" w:eastAsia="宋体" w:hAnsi="Calibri" w:hint="eastAsia"/>
                <w:bCs/>
                <w:kern w:val="2"/>
                <w:sz w:val="21"/>
                <w:szCs w:val="21"/>
                <w:lang w:eastAsia="zh-CN"/>
              </w:rPr>
              <w:t>单位</w:t>
            </w:r>
          </w:p>
        </w:tc>
        <w:tc>
          <w:tcPr>
            <w:tcW w:w="821" w:type="pct"/>
            <w:vAlign w:val="center"/>
          </w:tcPr>
          <w:p>
            <w:pPr>
              <w:widowControl w:val="0"/>
              <w:jc w:val="center"/>
              <w:rPr>
                <w:rFonts w:ascii="Calibri" w:eastAsia="宋体" w:hAnsi="Calibri" w:hint="eastAsia"/>
                <w:bCs/>
                <w:kern w:val="2"/>
                <w:sz w:val="21"/>
                <w:szCs w:val="21"/>
                <w:lang w:eastAsia="zh-CN"/>
              </w:rPr>
            </w:pPr>
            <w:r>
              <w:rPr>
                <w:rFonts w:eastAsia="宋体" w:hAnsi="Calibri" w:hint="eastAsia"/>
                <w:b/>
                <w:bCs/>
                <w:color w:val="FF0000"/>
                <w:kern w:val="2"/>
                <w:sz w:val="21"/>
                <w:szCs w:val="21"/>
                <w:lang w:eastAsia="zh-CN"/>
              </w:rPr>
              <w:t>是否专门面向中小企业</w:t>
            </w:r>
          </w:p>
        </w:tc>
        <w:tc>
          <w:tcPr>
            <w:tcW w:w="729" w:type="pct"/>
            <w:vAlign w:val="center"/>
          </w:tcPr>
          <w:p>
            <w:pPr>
              <w:widowControl w:val="0"/>
              <w:jc w:val="center"/>
              <w:rPr>
                <w:rFonts w:eastAsia="宋体" w:hAnsi="Calibri" w:hint="eastAsia"/>
                <w:b/>
                <w:bCs/>
                <w:color w:val="FF0000"/>
                <w:kern w:val="2"/>
                <w:sz w:val="21"/>
                <w:szCs w:val="21"/>
                <w:lang w:eastAsia="zh-CN"/>
              </w:rPr>
            </w:pPr>
            <w:r>
              <w:rPr>
                <w:rFonts w:eastAsia="宋体" w:hAnsi="Calibri" w:hint="eastAsia"/>
                <w:b/>
                <w:bCs/>
                <w:color w:val="FF0000"/>
                <w:kern w:val="2"/>
                <w:sz w:val="21"/>
                <w:szCs w:val="21"/>
                <w:lang w:eastAsia="zh-CN"/>
              </w:rPr>
              <w:t>标的所属行业</w:t>
            </w:r>
          </w:p>
        </w:tc>
      </w:tr>
      <w:tr>
        <w:tblPrEx>
          <w:tblW w:w="5000" w:type="pct"/>
          <w:jc w:val="center"/>
          <w:tblLayout w:type="fixed"/>
          <w:tblCellMar>
            <w:top w:w="0" w:type="dxa"/>
            <w:left w:w="108" w:type="dxa"/>
            <w:bottom w:w="0" w:type="dxa"/>
            <w:right w:w="108" w:type="dxa"/>
          </w:tblCellMar>
          <w:tblLook w:val="0000"/>
        </w:tblPrEx>
        <w:trPr>
          <w:trHeight w:val="170"/>
          <w:jc w:val="center"/>
        </w:trPr>
        <w:tc>
          <w:tcPr>
            <w:tcW w:w="252" w:type="pct"/>
            <w:vAlign w:val="center"/>
          </w:tcPr>
          <w:p>
            <w:pPr>
              <w:widowControl w:val="0"/>
              <w:jc w:val="center"/>
              <w:rPr>
                <w:rFonts w:ascii="Calibri" w:eastAsia="宋体" w:hAnsi="Calibri"/>
                <w:bCs/>
                <w:kern w:val="2"/>
                <w:sz w:val="21"/>
                <w:szCs w:val="21"/>
                <w:lang w:eastAsia="zh-CN"/>
              </w:rPr>
            </w:pPr>
            <w:r>
              <w:rPr>
                <w:rFonts w:ascii="Calibri" w:eastAsia="宋体" w:hAnsi="Calibri" w:hint="eastAsia"/>
                <w:bCs/>
                <w:kern w:val="2"/>
                <w:sz w:val="21"/>
                <w:szCs w:val="21"/>
                <w:lang w:eastAsia="zh-CN"/>
              </w:rPr>
              <w:t>1</w:t>
            </w:r>
          </w:p>
        </w:tc>
        <w:tc>
          <w:tcPr>
            <w:tcW w:w="674" w:type="pct"/>
            <w:vAlign w:val="center"/>
          </w:tcPr>
          <w:p>
            <w:pPr>
              <w:widowControl w:val="0"/>
              <w:jc w:val="center"/>
              <w:rPr>
                <w:rFonts w:ascii="Calibri" w:eastAsia="宋体" w:hAnsi="Calibri"/>
                <w:bCs/>
                <w:kern w:val="2"/>
                <w:sz w:val="21"/>
                <w:szCs w:val="21"/>
                <w:lang w:eastAsia="zh-CN"/>
              </w:rPr>
            </w:pPr>
            <w:r>
              <w:rPr>
                <w:rFonts w:ascii="Calibri" w:eastAsia="宋体" w:hAnsi="Calibri" w:hint="eastAsia"/>
                <w:bCs/>
                <w:kern w:val="2"/>
                <w:sz w:val="21"/>
                <w:szCs w:val="21"/>
                <w:lang w:eastAsia="zh-CN"/>
              </w:rPr>
              <w:t>JYCG-DECL-2025-07458</w:t>
            </w:r>
          </w:p>
        </w:tc>
        <w:tc>
          <w:tcPr>
            <w:tcW w:w="1512" w:type="pct"/>
            <w:vAlign w:val="center"/>
          </w:tcPr>
          <w:p>
            <w:pPr>
              <w:widowControl w:val="0"/>
              <w:jc w:val="center"/>
              <w:rPr>
                <w:rFonts w:ascii="Calibri" w:eastAsia="宋体" w:hAnsi="Calibri"/>
                <w:bCs/>
                <w:kern w:val="2"/>
                <w:sz w:val="21"/>
                <w:szCs w:val="21"/>
                <w:lang w:eastAsia="zh-CN"/>
              </w:rPr>
            </w:pPr>
            <w:r>
              <w:rPr>
                <w:rFonts w:ascii="宋体" w:eastAsia="宋体" w:hAnsi="宋体" w:hint="eastAsia"/>
                <w:kern w:val="2"/>
                <w:lang w:eastAsia="zh-CN"/>
              </w:rPr>
              <w:t>深圳市宝安区水务技术监管中心物业管理服务</w:t>
            </w:r>
          </w:p>
        </w:tc>
        <w:tc>
          <w:tcPr>
            <w:tcW w:w="527" w:type="pct"/>
            <w:vAlign w:val="center"/>
          </w:tcPr>
          <w:p>
            <w:pPr>
              <w:widowControl w:val="0"/>
              <w:jc w:val="center"/>
              <w:rPr>
                <w:rFonts w:ascii="Calibri" w:eastAsia="宋体" w:hAnsi="Calibri" w:hint="eastAsia"/>
                <w:bCs/>
                <w:kern w:val="2"/>
                <w:sz w:val="21"/>
                <w:szCs w:val="21"/>
                <w:lang w:eastAsia="zh-CN"/>
              </w:rPr>
            </w:pPr>
            <w:r>
              <w:rPr>
                <w:rFonts w:ascii="Calibri" w:eastAsia="宋体" w:hAnsi="Calibri" w:hint="eastAsia"/>
                <w:kern w:val="2"/>
                <w:sz w:val="21"/>
                <w:szCs w:val="22"/>
                <w:lang w:eastAsia="zh-CN"/>
              </w:rPr>
              <w:t>1</w:t>
            </w:r>
          </w:p>
        </w:tc>
        <w:tc>
          <w:tcPr>
            <w:tcW w:w="481" w:type="pct"/>
            <w:vAlign w:val="center"/>
          </w:tcPr>
          <w:p>
            <w:pPr>
              <w:widowControl w:val="0"/>
              <w:jc w:val="center"/>
              <w:rPr>
                <w:rFonts w:ascii="Calibri" w:eastAsia="宋体" w:hAnsi="Calibri" w:hint="eastAsia"/>
                <w:bCs/>
                <w:kern w:val="2"/>
                <w:sz w:val="21"/>
                <w:szCs w:val="21"/>
                <w:lang w:eastAsia="zh-CN"/>
              </w:rPr>
            </w:pPr>
            <w:r>
              <w:rPr>
                <w:rFonts w:ascii="Calibri" w:eastAsia="宋体" w:hAnsi="Calibri" w:hint="eastAsia"/>
                <w:bCs/>
                <w:kern w:val="2"/>
                <w:sz w:val="21"/>
                <w:szCs w:val="21"/>
                <w:lang w:eastAsia="zh-CN"/>
              </w:rPr>
              <w:t>项</w:t>
            </w:r>
          </w:p>
        </w:tc>
        <w:tc>
          <w:tcPr>
            <w:tcW w:w="821" w:type="pct"/>
            <w:vAlign w:val="center"/>
          </w:tcPr>
          <w:p>
            <w:pPr>
              <w:widowControl w:val="0"/>
              <w:jc w:val="center"/>
              <w:rPr>
                <w:rFonts w:ascii="Calibri" w:eastAsia="宋体" w:hAnsi="Calibri" w:hint="eastAsia"/>
                <w:bCs/>
                <w:kern w:val="2"/>
                <w:sz w:val="21"/>
                <w:szCs w:val="21"/>
                <w:lang w:eastAsia="zh-CN"/>
              </w:rPr>
            </w:pPr>
            <w:r>
              <w:rPr>
                <w:rFonts w:ascii="Calibri" w:eastAsia="宋体" w:hAnsi="Calibri" w:hint="eastAsia"/>
                <w:bCs/>
                <w:kern w:val="2"/>
                <w:sz w:val="21"/>
                <w:szCs w:val="21"/>
                <w:lang w:eastAsia="zh-CN"/>
              </w:rPr>
              <w:t>否</w:t>
            </w:r>
          </w:p>
        </w:tc>
        <w:tc>
          <w:tcPr>
            <w:tcW w:w="729" w:type="pct"/>
            <w:vAlign w:val="center"/>
          </w:tcPr>
          <w:p>
            <w:pPr>
              <w:widowControl w:val="0"/>
              <w:jc w:val="center"/>
              <w:rPr>
                <w:rFonts w:ascii="Calibri" w:eastAsia="宋体" w:hAnsi="Calibri"/>
                <w:bCs/>
                <w:kern w:val="2"/>
                <w:sz w:val="21"/>
                <w:szCs w:val="21"/>
                <w:lang w:eastAsia="zh-CN"/>
              </w:rPr>
            </w:pPr>
            <w:r>
              <w:rPr>
                <w:rFonts w:ascii="宋体" w:eastAsia="宋体" w:hAnsi="宋体" w:cs="宋体" w:hint="eastAsia"/>
                <w:bCs/>
                <w:color w:val="000000"/>
                <w:szCs w:val="22"/>
                <w:lang w:eastAsia="zh-CN"/>
              </w:rPr>
              <w:t>物业管理</w:t>
            </w:r>
          </w:p>
        </w:tc>
      </w:tr>
    </w:tbl>
    <w:p>
      <w:pPr>
        <w:widowControl w:val="0"/>
        <w:jc w:val="both"/>
        <w:rPr>
          <w:rFonts w:ascii="宋体" w:eastAsia="宋体" w:hAnsi="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hint="eastAsia"/>
          <w:b/>
          <w:bCs/>
          <w:kern w:val="2"/>
          <w:sz w:val="32"/>
          <w:lang w:eastAsia="zh-CN"/>
        </w:rPr>
        <w:t>四、实质性条款</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34"/>
        <w:gridCol w:w="77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734"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序号</w:t>
            </w:r>
          </w:p>
        </w:tc>
        <w:tc>
          <w:tcPr>
            <w:tcW w:w="7795"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r>
      <w:tr>
        <w:tblPrEx>
          <w:tblW w:w="5000" w:type="pct"/>
          <w:tblLayout w:type="fixed"/>
          <w:tblCellMar>
            <w:top w:w="0" w:type="dxa"/>
            <w:left w:w="108" w:type="dxa"/>
            <w:bottom w:w="0" w:type="dxa"/>
            <w:right w:w="108" w:type="dxa"/>
          </w:tblCellMar>
          <w:tblLook w:val="0000"/>
        </w:tblPrEx>
        <w:tc>
          <w:tcPr>
            <w:tcW w:w="734"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1</w:t>
            </w:r>
          </w:p>
        </w:tc>
        <w:tc>
          <w:tcPr>
            <w:tcW w:w="7795" w:type="dxa"/>
          </w:tcPr>
          <w:p>
            <w:pPr>
              <w:widowControl w:val="0"/>
              <w:jc w:val="center"/>
              <w:rPr>
                <w:rFonts w:ascii="Calibri" w:eastAsia="宋体" w:hAnsi="宋体"/>
                <w:sz w:val="21"/>
                <w:szCs w:val="21"/>
                <w:lang w:eastAsia="zh-CN"/>
              </w:rPr>
            </w:pPr>
            <w:r>
              <w:rPr>
                <w:rFonts w:ascii="Calibri" w:eastAsia="宋体" w:hAnsi="宋体" w:hint="eastAsia"/>
                <w:sz w:val="21"/>
                <w:szCs w:val="21"/>
                <w:lang w:eastAsia="zh-CN"/>
              </w:rPr>
              <w:t>满足本项目标</w:t>
            </w:r>
            <w:r>
              <w:rPr>
                <w:rFonts w:ascii="Calibri" w:eastAsia="宋体" w:hAnsi="宋体" w:hint="eastAsia"/>
                <w:color w:val="FF0000"/>
                <w:sz w:val="21"/>
                <w:szCs w:val="21"/>
                <w:lang w:eastAsia="zh-CN"/>
              </w:rPr>
              <w:t>★</w:t>
            </w:r>
            <w:r>
              <w:rPr>
                <w:rFonts w:ascii="Calibri" w:eastAsia="宋体" w:hAnsi="宋体" w:hint="eastAsia"/>
                <w:sz w:val="21"/>
                <w:szCs w:val="21"/>
                <w:lang w:eastAsia="zh-CN"/>
              </w:rPr>
              <w:t>的条款要求</w:t>
            </w:r>
          </w:p>
        </w:tc>
      </w:tr>
    </w:tbl>
    <w:p>
      <w:pPr>
        <w:widowControl w:val="0"/>
        <w:tabs>
          <w:tab w:val="left" w:pos="765"/>
        </w:tabs>
        <w:jc w:val="both"/>
        <w:rPr>
          <w:rFonts w:ascii="黑体" w:eastAsia="宋体" w:hAnsi="Calibri"/>
          <w:lang w:eastAsia="zh-CN"/>
        </w:rPr>
      </w:pPr>
      <w:r>
        <w:rPr>
          <w:rFonts w:ascii="黑体" w:eastAsia="宋体" w:hAnsi="Calibri" w:hint="eastAsia"/>
          <w:color w:val="FF0000"/>
          <w:lang w:eastAsia="zh-CN"/>
        </w:rPr>
        <w:t>注：上表所列内容为不可负偏离条款，负偏离将视为未实质性满足招标文件要求作投标无效处理。</w:t>
      </w:r>
      <w:bookmarkEnd w:id="31"/>
      <w:r>
        <w:rPr>
          <w:rFonts w:ascii="黑体" w:eastAsia="宋体" w:hAnsi="Calibri" w:hint="eastAsia"/>
          <w:color w:val="FF0000"/>
          <w:lang w:eastAsia="zh-CN"/>
        </w:rPr>
        <w:t>投标人是否满足以上实质性条款要求，以《实质性条款响应情况表》响应为准。如投标人中标后被发现不能满足以上实质性条款要求的，采购单位有权拒绝签订合同，一切后果由投标人承担。</w:t>
      </w:r>
    </w:p>
    <w:p>
      <w:pPr>
        <w:widowControl w:val="0"/>
        <w:jc w:val="center"/>
        <w:rPr>
          <w:rFonts w:ascii="Calibri" w:eastAsia="宋体" w:hAnsi="Calibri"/>
          <w:b/>
          <w:bCs/>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hint="eastAsia"/>
          <w:b/>
          <w:bCs/>
          <w:kern w:val="2"/>
          <w:sz w:val="32"/>
          <w:lang w:eastAsia="zh-CN"/>
        </w:rPr>
        <w:t>五、技术要求和商务要求</w:t>
      </w:r>
    </w:p>
    <w:p>
      <w:pPr>
        <w:widowControl w:val="0"/>
        <w:jc w:val="center"/>
        <w:rPr>
          <w:rFonts w:ascii="Calibri" w:eastAsia="宋体" w:hAnsi="Calibri"/>
          <w:b/>
          <w:kern w:val="2"/>
          <w:szCs w:val="22"/>
          <w:lang w:eastAsia="zh-CN"/>
        </w:rPr>
      </w:pPr>
    </w:p>
    <w:p>
      <w:pPr>
        <w:widowControl w:val="0"/>
        <w:jc w:val="center"/>
        <w:rPr>
          <w:rFonts w:ascii="Calibri" w:eastAsia="宋体" w:hAnsi="Calibri"/>
          <w:b/>
          <w:kern w:val="2"/>
          <w:szCs w:val="22"/>
          <w:lang w:eastAsia="zh-CN"/>
        </w:rPr>
      </w:pPr>
    </w:p>
    <w:p>
      <w:pPr>
        <w:widowControl w:val="0"/>
        <w:spacing w:line="520" w:lineRule="exact"/>
        <w:jc w:val="left"/>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一、项目管理和服务要求</w:t>
      </w:r>
      <w:r>
        <w:rPr>
          <w:rFonts w:ascii="宋体" w:eastAsia="宋体" w:hAnsi="宋体" w:cs="宋体" w:hint="eastAsia"/>
          <w:kern w:val="2"/>
          <w:sz w:val="21"/>
          <w:szCs w:val="21"/>
          <w:lang w:eastAsia="zh-CN"/>
        </w:rPr>
        <w:t>：</w:t>
      </w:r>
    </w:p>
    <w:p>
      <w:pPr>
        <w:widowControl w:val="0"/>
        <w:spacing w:line="520" w:lineRule="exact"/>
        <w:ind w:firstLine="420" w:firstLineChars="20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（一）服务范围</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本项目包括深圳市宝安区水务技术监管中心共2处物业,具体详见各项目说明：</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1、深圳市宝安区水务技术监管中心一号雨水泵站</w:t>
      </w:r>
    </w:p>
    <w:p>
      <w:pPr>
        <w:widowControl w:val="0"/>
        <w:spacing w:line="520" w:lineRule="exact"/>
        <w:ind w:firstLine="420" w:firstLineChars="200"/>
        <w:jc w:val="left"/>
        <w:rPr>
          <w:rFonts w:ascii="宋体" w:eastAsia="宋体" w:hAnsi="宋体" w:cs="宋体" w:hint="eastAsia"/>
          <w:kern w:val="2"/>
          <w:sz w:val="21"/>
          <w:szCs w:val="21"/>
          <w:highlight w:val="yellow"/>
          <w:lang w:eastAsia="zh-CN"/>
        </w:rPr>
      </w:pPr>
      <w:r>
        <w:rPr>
          <w:rFonts w:ascii="宋体" w:eastAsia="宋体" w:hAnsi="宋体" w:cs="宋体" w:hint="eastAsia"/>
          <w:kern w:val="2"/>
          <w:sz w:val="21"/>
          <w:szCs w:val="21"/>
          <w:lang w:eastAsia="zh-CN"/>
        </w:rPr>
        <w:t>项目位于：宝安区新安一路1号，占地面积3900平方米，绿化面积950平方米，其中：办公楼1栋2层：一楼员工食堂1间，办公室6间，二楼办公室11间，会议室1间，档案室1间；仓库1栋；临时办公用房1栋。</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2、深圳市宝安区水务技术监管中心二号雨水泵站</w:t>
      </w:r>
    </w:p>
    <w:p>
      <w:pPr>
        <w:widowControl w:val="0"/>
        <w:spacing w:line="520" w:lineRule="exact"/>
        <w:ind w:firstLine="420" w:firstLineChars="200"/>
        <w:jc w:val="left"/>
        <w:rPr>
          <w:rFonts w:ascii="宋体" w:eastAsia="宋体" w:hAnsi="宋体" w:cs="宋体" w:hint="eastAsia"/>
          <w:kern w:val="2"/>
          <w:sz w:val="21"/>
          <w:szCs w:val="21"/>
          <w:highlight w:val="yellow"/>
          <w:lang w:eastAsia="zh-CN"/>
        </w:rPr>
      </w:pPr>
      <w:r>
        <w:rPr>
          <w:rFonts w:ascii="宋体" w:eastAsia="宋体" w:hAnsi="宋体" w:cs="宋体" w:hint="eastAsia"/>
          <w:kern w:val="2"/>
          <w:sz w:val="21"/>
          <w:szCs w:val="21"/>
          <w:lang w:eastAsia="zh-CN"/>
        </w:rPr>
        <w:t>项目位于：深圳市宝安区中心区裕安一路3023号，占地面积3900平方米</w:t>
      </w:r>
      <w:bookmarkStart w:id="33" w:name="OLE_LINK1"/>
      <w:r>
        <w:rPr>
          <w:rFonts w:ascii="宋体" w:eastAsia="宋体" w:hAnsi="宋体" w:cs="宋体" w:hint="eastAsia"/>
          <w:kern w:val="2"/>
          <w:sz w:val="21"/>
          <w:szCs w:val="21"/>
          <w:lang w:eastAsia="zh-CN"/>
        </w:rPr>
        <w:t>，绿化面积850平方米</w:t>
      </w:r>
      <w:bookmarkEnd w:id="33"/>
      <w:r>
        <w:rPr>
          <w:rFonts w:ascii="宋体" w:eastAsia="宋体" w:hAnsi="宋体" w:cs="宋体" w:hint="eastAsia"/>
          <w:kern w:val="2"/>
          <w:sz w:val="21"/>
          <w:szCs w:val="21"/>
          <w:lang w:eastAsia="zh-CN"/>
        </w:rPr>
        <w:t>，其中：办公楼1栋2层半：一楼办公室8间、二楼办公室8间、三楼办公室1间；附楼1栋，档案室。</w:t>
      </w:r>
    </w:p>
    <w:p>
      <w:pPr>
        <w:widowControl w:val="0"/>
        <w:spacing w:line="520" w:lineRule="exact"/>
        <w:ind w:firstLine="420" w:firstLineChars="20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（二）服务期限</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为长期服务项目。本项目合同履行期限为一年，首年服务期限为2025年6月1日至2026年5月31日，本项目合同履行期限满后，采购单位可根据中标供应商履约情况确定合同是否续签，但总合同履行期限最长不超过36个月，合同一年一签，第一年为本次招标的中标合同履行期限。</w:t>
      </w:r>
    </w:p>
    <w:p>
      <w:pPr>
        <w:widowControl w:val="0"/>
        <w:spacing w:line="520" w:lineRule="exact"/>
        <w:ind w:firstLine="420" w:firstLineChars="20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（三）服务内容</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1.清洁卫生管理：负责红线内公共区域及建筑物室内外日常清洁、垃圾收集清运，食堂清洁需达到标准并按频次作业。  </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2.安全管理：24小时安保，建立巡查制度，负责门岗值勤、秩序维护、车辆管理、消防管理，制定应急预案。    </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3.绿化管养：配备专业人员，负责室外绿化的养护、修剪、施肥，确保植物生长良好。  </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四害</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消杀服务：按规定进行</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四害</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消杀，有效控制病媒生物滋生，规范使用药剂和设备。</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5.会务和活动现场的清洁服务。  </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6.物业档案资料管理：执行档案和保密制度，做好车辆、人员信息登记存档。  </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7. </w:t>
      </w:r>
      <w:r>
        <w:rPr>
          <w:rFonts w:ascii="宋体" w:eastAsia="宋体" w:hAnsi="宋体" w:cs="宋体" w:hint="eastAsia"/>
          <w:bCs/>
          <w:kern w:val="2"/>
          <w:sz w:val="21"/>
          <w:szCs w:val="21"/>
          <w:lang w:eastAsia="zh-CN"/>
        </w:rPr>
        <w:t>协助做好流行性疾病的应急处置和防控工作</w:t>
      </w:r>
      <w:r>
        <w:rPr>
          <w:rFonts w:ascii="宋体" w:eastAsia="宋体" w:hAnsi="宋体" w:cs="宋体" w:hint="eastAsia"/>
          <w:kern w:val="2"/>
          <w:sz w:val="21"/>
          <w:szCs w:val="21"/>
          <w:lang w:eastAsia="zh-CN"/>
        </w:rPr>
        <w:t xml:space="preserve">。  </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8. 收发管理：负责报刊、信件、快递收发，准确派送，规范处理异常邮件。  </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9.其他事项：完成法律法规及合同规定的临时性工作。</w:t>
      </w:r>
    </w:p>
    <w:p>
      <w:pPr>
        <w:widowControl w:val="0"/>
        <w:spacing w:line="520" w:lineRule="exact"/>
        <w:ind w:firstLine="420" w:firstLineChars="20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（四）技术标准、工作质量要求</w:t>
      </w:r>
    </w:p>
    <w:p>
      <w:pPr>
        <w:widowControl w:val="0"/>
        <w:adjustRightInd w:val="0"/>
        <w:snapToGrid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1.清洁卫生管理</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中标供应商需保持红线范围内公共区域及建筑物室内外的日常清洁卫生、垃圾收集，包括但不限于以下工作内容：</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（1）建筑屋面、室外场地、道路、停车场等保持清洁无积尘、纸屑、树叶、烟头等杂物。</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（2）楼梯、走道、大堂、室内公共区域及卫生间的顶面、地面清洁无尘，无蜘蛛网，无积水；室内设施表面、门窗等无灰尘；每周消杀不少于两次。大堂、室内主要通道地面无尘，卫生间无异味，地面无水渍。</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（3）办公室、会议室、接待室和其他功能室定期清洁，确保维持随时可以使用状态，员工要有保密意识，不泄露采购方隐私；</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（4）室内外金属护栏、把手定期擦拭保养，确保无绣迹、污渍、汗渍；</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（5）路灯、草坪灯、牌匾、宣传栏保持美观、整洁，监督无乱贴乱画现象；</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（6）公共玻璃门、窗、玻璃隔断保持无污迹、灰尘。</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（7）停车场地面和管道、设施表面清洁无积水、积尘，顶面、墙面无灰尘和蜘蛛网。</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（8）大院内路及其他地面清扫干净,保持无积水、垃圾、积沙，定期清洗。</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（9）垃圾收集及清运应做到日产日清，不过夜，垃圾清运到采购单位指定的地点。</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（10）编制清洁保洁服务方案，需要有专门领导办公室、常用会议室的管理措施，确保清洁、安全和保密。</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（11）食堂地面、墙面及桌椅无杂物、无水渍、无污渍、无蜘蛛网；厨余垃圾及时清理，确保室内用餐环境无污渍、无异味、无蚊虫；清洗用餐餐盘确保无残留、无水渍、无污渍，及时消毒。</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（12）清洁卫生作业要求及标准</w:t>
      </w:r>
    </w:p>
    <w:tbl>
      <w:tblPr>
        <w:tblStyle w:val="TableNormal"/>
        <w:tblW w:w="5000"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39"/>
        <w:gridCol w:w="478"/>
        <w:gridCol w:w="1337"/>
        <w:gridCol w:w="1390"/>
        <w:gridCol w:w="1655"/>
        <w:gridCol w:w="1152"/>
        <w:gridCol w:w="2078"/>
      </w:tblGrid>
      <w:tr>
        <w:tblPrEx>
          <w:tblW w:w="5000"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cantSplit/>
        </w:trPr>
        <w:tc>
          <w:tcPr>
            <w:tcW w:w="465" w:type="dxa"/>
            <w:vMerge w:val="restart"/>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位置</w:t>
            </w:r>
          </w:p>
        </w:tc>
        <w:tc>
          <w:tcPr>
            <w:tcW w:w="510" w:type="dxa"/>
            <w:vMerge w:val="restart"/>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1485" w:type="dxa"/>
            <w:vMerge w:val="restart"/>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清洁项目</w:t>
            </w:r>
          </w:p>
        </w:tc>
        <w:tc>
          <w:tcPr>
            <w:tcW w:w="4665" w:type="dxa"/>
            <w:gridSpan w:val="3"/>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作业要求</w:t>
            </w:r>
          </w:p>
        </w:tc>
        <w:tc>
          <w:tcPr>
            <w:tcW w:w="2325" w:type="dxa"/>
            <w:vMerge w:val="restart"/>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清洁标准</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spacing w:before="48" w:beforeLines="20" w:after="48" w:afterLines="20"/>
              <w:jc w:val="center"/>
              <w:rPr>
                <w:rFonts w:ascii="宋体" w:eastAsia="宋体" w:hAnsi="宋体" w:cs="宋体" w:hint="eastAsia"/>
                <w:kern w:val="2"/>
                <w:sz w:val="21"/>
                <w:szCs w:val="21"/>
                <w:lang w:eastAsia="zh-CN"/>
              </w:rPr>
            </w:pPr>
          </w:p>
        </w:tc>
        <w:tc>
          <w:tcPr>
            <w:tcW w:w="510" w:type="dxa"/>
            <w:vMerge/>
            <w:vAlign w:val="center"/>
          </w:tcPr>
          <w:p>
            <w:pPr>
              <w:widowControl w:val="0"/>
              <w:spacing w:before="48" w:beforeLines="20" w:after="48" w:afterLines="20"/>
              <w:jc w:val="center"/>
              <w:rPr>
                <w:rFonts w:ascii="宋体" w:eastAsia="宋体" w:hAnsi="宋体" w:cs="宋体" w:hint="eastAsia"/>
                <w:kern w:val="2"/>
                <w:sz w:val="21"/>
                <w:szCs w:val="21"/>
                <w:lang w:eastAsia="zh-CN"/>
              </w:rPr>
            </w:pPr>
          </w:p>
        </w:tc>
        <w:tc>
          <w:tcPr>
            <w:tcW w:w="1485" w:type="dxa"/>
            <w:vMerge/>
            <w:vAlign w:val="center"/>
          </w:tcPr>
          <w:p>
            <w:pPr>
              <w:widowControl w:val="0"/>
              <w:spacing w:before="48" w:beforeLines="20" w:after="48" w:afterLines="20"/>
              <w:jc w:val="center"/>
              <w:rPr>
                <w:rFonts w:ascii="宋体" w:eastAsia="宋体" w:hAnsi="宋体" w:cs="宋体" w:hint="eastAsia"/>
                <w:kern w:val="2"/>
                <w:sz w:val="21"/>
                <w:szCs w:val="21"/>
                <w:lang w:eastAsia="zh-CN"/>
              </w:rPr>
            </w:pPr>
          </w:p>
        </w:tc>
        <w:tc>
          <w:tcPr>
            <w:tcW w:w="1545" w:type="dxa"/>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每日</w:t>
            </w:r>
          </w:p>
        </w:tc>
        <w:tc>
          <w:tcPr>
            <w:tcW w:w="1845" w:type="dxa"/>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每周</w:t>
            </w:r>
          </w:p>
        </w:tc>
        <w:tc>
          <w:tcPr>
            <w:tcW w:w="1275" w:type="dxa"/>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每月</w:t>
            </w:r>
          </w:p>
        </w:tc>
        <w:tc>
          <w:tcPr>
            <w:tcW w:w="2325" w:type="dxa"/>
            <w:vMerge/>
            <w:vAlign w:val="center"/>
          </w:tcPr>
          <w:p>
            <w:pPr>
              <w:widowControl w:val="0"/>
              <w:spacing w:before="48" w:beforeLines="20" w:after="48" w:afterLines="20"/>
              <w:jc w:val="center"/>
              <w:rPr>
                <w:rFonts w:ascii="宋体" w:eastAsia="宋体" w:hAnsi="宋体" w:cs="宋体" w:hint="eastAsia"/>
                <w:b/>
                <w:kern w:val="2"/>
                <w:sz w:val="21"/>
                <w:szCs w:val="21"/>
                <w:lang w:eastAsia="zh-CN"/>
              </w:rPr>
            </w:pPr>
          </w:p>
        </w:tc>
      </w:tr>
      <w:tr>
        <w:tblPrEx>
          <w:tblW w:w="5000" w:type="pct"/>
          <w:tblInd w:w="-196" w:type="dxa"/>
          <w:tblLayout w:type="fixed"/>
          <w:tblCellMar>
            <w:top w:w="0" w:type="dxa"/>
            <w:left w:w="108" w:type="dxa"/>
            <w:bottom w:w="0" w:type="dxa"/>
            <w:right w:w="108" w:type="dxa"/>
          </w:tblCellMar>
          <w:tblLook w:val="0000"/>
        </w:tblPrEx>
        <w:trPr>
          <w:cantSplit/>
          <w:trHeight w:val="548"/>
        </w:trPr>
        <w:tc>
          <w:tcPr>
            <w:tcW w:w="465" w:type="dxa"/>
            <w:vMerge w:val="restart"/>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建</w:t>
            </w:r>
          </w:p>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筑</w:t>
            </w:r>
          </w:p>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物</w:t>
            </w:r>
          </w:p>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外</w:t>
            </w:r>
          </w:p>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部</w:t>
            </w: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道路</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清扫多次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全面清洁一次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干净、无杂物、无污迹</w:t>
            </w:r>
          </w:p>
        </w:tc>
      </w:tr>
      <w:tr>
        <w:tblPrEx>
          <w:tblW w:w="5000" w:type="pct"/>
          <w:tblInd w:w="-196" w:type="dxa"/>
          <w:tblLayout w:type="fixed"/>
          <w:tblCellMar>
            <w:top w:w="0" w:type="dxa"/>
            <w:left w:w="108" w:type="dxa"/>
            <w:bottom w:w="0" w:type="dxa"/>
            <w:right w:w="108" w:type="dxa"/>
          </w:tblCellMar>
          <w:tblLook w:val="0000"/>
        </w:tblPrEx>
        <w:trPr>
          <w:cantSplit/>
          <w:trHeight w:val="605"/>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公布栏、宣传栏</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擦抹二次</w:t>
            </w: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清洗一次</w:t>
            </w: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明亮光洁、</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无污迹</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灯具</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清抹灯罩一次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用不锈钢油擦抹灯柱一次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干净光亮</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绿化栏</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清理多次</w:t>
            </w: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无杂物</w:t>
            </w:r>
          </w:p>
        </w:tc>
      </w:tr>
      <w:tr>
        <w:tblPrEx>
          <w:tblW w:w="5000" w:type="pct"/>
          <w:tblInd w:w="-196" w:type="dxa"/>
          <w:tblLayout w:type="fixed"/>
          <w:tblCellMar>
            <w:top w:w="0" w:type="dxa"/>
            <w:left w:w="108" w:type="dxa"/>
            <w:bottom w:w="0" w:type="dxa"/>
            <w:right w:w="108" w:type="dxa"/>
          </w:tblCellMar>
          <w:tblLook w:val="0000"/>
        </w:tblPrEx>
        <w:trPr>
          <w:cantSplit/>
          <w:trHeight w:val="588"/>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栏杆</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干净、无污迹</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沟渠、雨、污水井及井盖</w:t>
            </w:r>
          </w:p>
        </w:tc>
        <w:tc>
          <w:tcPr>
            <w:tcW w:w="1545" w:type="dxa"/>
            <w:vAlign w:val="center"/>
          </w:tcPr>
          <w:p>
            <w:pPr>
              <w:widowControl w:val="0"/>
              <w:jc w:val="center"/>
              <w:rPr>
                <w:rFonts w:ascii="宋体" w:eastAsia="宋体" w:hAnsi="宋体" w:cs="宋体" w:hint="eastAsia"/>
                <w:bCs/>
                <w:kern w:val="2"/>
                <w:sz w:val="21"/>
                <w:szCs w:val="21"/>
                <w:lang w:eastAsia="zh-CN"/>
              </w:rPr>
            </w:pP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清理一次</w:t>
            </w:r>
          </w:p>
        </w:tc>
        <w:tc>
          <w:tcPr>
            <w:tcW w:w="127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全面清理一次</w:t>
            </w: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确保通畅、无异物、异味</w:t>
            </w:r>
          </w:p>
        </w:tc>
      </w:tr>
      <w:tr>
        <w:tblPrEx>
          <w:tblW w:w="5000" w:type="pct"/>
          <w:tblInd w:w="-196" w:type="dxa"/>
          <w:tblLayout w:type="fixed"/>
          <w:tblCellMar>
            <w:top w:w="0" w:type="dxa"/>
            <w:left w:w="108" w:type="dxa"/>
            <w:bottom w:w="0" w:type="dxa"/>
            <w:right w:w="108" w:type="dxa"/>
          </w:tblCellMar>
          <w:tblLook w:val="0000"/>
        </w:tblPrEx>
        <w:trPr>
          <w:cantSplit/>
          <w:trHeight w:val="890"/>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停车场</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清扫二次，随时保洁</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冲洗一次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restart"/>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建</w:t>
            </w:r>
          </w:p>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筑</w:t>
            </w:r>
          </w:p>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物</w:t>
            </w:r>
          </w:p>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内</w:t>
            </w:r>
          </w:p>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部</w:t>
            </w:r>
          </w:p>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地面、墙面</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清拖两次地面，清抹一次墙面</w:t>
            </w: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清洗一次</w:t>
            </w: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光亮、无杂物、无污渍，无水渍</w:t>
            </w:r>
          </w:p>
        </w:tc>
      </w:tr>
      <w:tr>
        <w:tblPrEx>
          <w:tblW w:w="5000" w:type="pct"/>
          <w:tblInd w:w="-196" w:type="dxa"/>
          <w:tblLayout w:type="fixed"/>
          <w:tblCellMar>
            <w:top w:w="0" w:type="dxa"/>
            <w:left w:w="108" w:type="dxa"/>
            <w:bottom w:w="0" w:type="dxa"/>
            <w:right w:w="108" w:type="dxa"/>
          </w:tblCellMar>
          <w:tblLook w:val="0000"/>
        </w:tblPrEx>
        <w:trPr>
          <w:cantSplit/>
          <w:trHeight w:val="798"/>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送风口、排烟风口</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擦抹一次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干净、无尘</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天花灯饰</w:t>
            </w:r>
          </w:p>
        </w:tc>
        <w:tc>
          <w:tcPr>
            <w:tcW w:w="1545" w:type="dxa"/>
            <w:vAlign w:val="center"/>
          </w:tcPr>
          <w:p>
            <w:pPr>
              <w:widowControl w:val="0"/>
              <w:jc w:val="center"/>
              <w:rPr>
                <w:rFonts w:ascii="宋体" w:eastAsia="宋体" w:hAnsi="宋体" w:cs="宋体" w:hint="eastAsia"/>
                <w:bCs/>
                <w:kern w:val="2"/>
                <w:sz w:val="21"/>
                <w:szCs w:val="21"/>
                <w:lang w:eastAsia="zh-CN"/>
              </w:rPr>
            </w:pP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清扫二次</w:t>
            </w:r>
          </w:p>
        </w:tc>
        <w:tc>
          <w:tcPr>
            <w:tcW w:w="127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干净、无蜘蛛网、无灰尘</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玻璃门</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干净、无污迹</w:t>
            </w:r>
          </w:p>
        </w:tc>
      </w:tr>
      <w:tr>
        <w:tblPrEx>
          <w:tblW w:w="5000" w:type="pct"/>
          <w:tblInd w:w="-196" w:type="dxa"/>
          <w:tblLayout w:type="fixed"/>
          <w:tblCellMar>
            <w:top w:w="0" w:type="dxa"/>
            <w:left w:w="108" w:type="dxa"/>
            <w:bottom w:w="0" w:type="dxa"/>
            <w:right w:w="108" w:type="dxa"/>
          </w:tblCellMar>
          <w:tblLook w:val="0000"/>
        </w:tblPrEx>
        <w:trPr>
          <w:cantSplit/>
          <w:trHeight w:val="1005"/>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楼梯</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清扫二次地面，清抹一次扶手</w:t>
            </w: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干净明亮、无污迹</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消防设施</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干净明亮、无污迹</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垃圾桶</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清抹二次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干净、无杂物、无污尘</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8</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管道井</w:t>
            </w:r>
          </w:p>
        </w:tc>
        <w:tc>
          <w:tcPr>
            <w:tcW w:w="1545" w:type="dxa"/>
            <w:vAlign w:val="center"/>
          </w:tcPr>
          <w:p>
            <w:pPr>
              <w:widowControl w:val="0"/>
              <w:jc w:val="center"/>
              <w:rPr>
                <w:rFonts w:ascii="宋体" w:eastAsia="宋体" w:hAnsi="宋体" w:cs="宋体" w:hint="eastAsia"/>
                <w:bCs/>
                <w:kern w:val="2"/>
                <w:sz w:val="21"/>
                <w:szCs w:val="21"/>
                <w:lang w:eastAsia="zh-CN"/>
              </w:rPr>
            </w:pP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清扫二次</w:t>
            </w: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干净，无蜘蛛网</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9</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管道设备</w:t>
            </w:r>
          </w:p>
        </w:tc>
        <w:tc>
          <w:tcPr>
            <w:tcW w:w="1545" w:type="dxa"/>
            <w:vAlign w:val="center"/>
          </w:tcPr>
          <w:p>
            <w:pPr>
              <w:widowControl w:val="0"/>
              <w:jc w:val="center"/>
              <w:rPr>
                <w:rFonts w:ascii="宋体" w:eastAsia="宋体" w:hAnsi="宋体" w:cs="宋体" w:hint="eastAsia"/>
                <w:bCs/>
                <w:kern w:val="2"/>
                <w:sz w:val="21"/>
                <w:szCs w:val="21"/>
                <w:lang w:eastAsia="zh-CN"/>
              </w:rPr>
            </w:pP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除尘一次</w:t>
            </w: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无灰尘</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10</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防火门</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11</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卫生间</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清拖二次，冲洗若干次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用清洁剂清洗二次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干净、无臭、无污水</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restart"/>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办</w:t>
            </w:r>
          </w:p>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公</w:t>
            </w:r>
          </w:p>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室</w:t>
            </w: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地面</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清拖一次</w:t>
            </w: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无杂物、无污渍、无水渍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墙面</w:t>
            </w:r>
          </w:p>
        </w:tc>
        <w:tc>
          <w:tcPr>
            <w:tcW w:w="1545" w:type="dxa"/>
            <w:vAlign w:val="center"/>
          </w:tcPr>
          <w:p>
            <w:pPr>
              <w:widowControl w:val="0"/>
              <w:jc w:val="center"/>
              <w:rPr>
                <w:rFonts w:ascii="宋体" w:eastAsia="宋体" w:hAnsi="宋体" w:cs="宋体" w:hint="eastAsia"/>
                <w:bCs/>
                <w:kern w:val="2"/>
                <w:sz w:val="21"/>
                <w:szCs w:val="21"/>
                <w:lang w:eastAsia="zh-CN"/>
              </w:rPr>
            </w:pP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清扫一次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门、窗</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无尘、无污渍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桌、椅</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饰物</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无尘、无污渍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天花灯饰</w:t>
            </w:r>
          </w:p>
        </w:tc>
        <w:tc>
          <w:tcPr>
            <w:tcW w:w="1545" w:type="dxa"/>
            <w:vAlign w:val="center"/>
          </w:tcPr>
          <w:p>
            <w:pPr>
              <w:widowControl w:val="0"/>
              <w:jc w:val="center"/>
              <w:rPr>
                <w:rFonts w:ascii="宋体" w:eastAsia="宋体" w:hAnsi="宋体" w:cs="宋体" w:hint="eastAsia"/>
                <w:bCs/>
                <w:kern w:val="2"/>
                <w:sz w:val="21"/>
                <w:szCs w:val="21"/>
                <w:lang w:eastAsia="zh-CN"/>
              </w:rPr>
            </w:pP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清扫一次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干净，无蜘蛛网</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垃圾箱、篓</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上午、下午各清理一次</w:t>
            </w: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无过夜垃圾</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8</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空调系统</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各风口</w:t>
            </w:r>
          </w:p>
        </w:tc>
        <w:tc>
          <w:tcPr>
            <w:tcW w:w="1545" w:type="dxa"/>
            <w:vAlign w:val="center"/>
          </w:tcPr>
          <w:p>
            <w:pPr>
              <w:widowControl w:val="0"/>
              <w:jc w:val="center"/>
              <w:rPr>
                <w:rFonts w:ascii="宋体" w:eastAsia="宋体" w:hAnsi="宋体" w:cs="宋体" w:hint="eastAsia"/>
                <w:bCs/>
                <w:kern w:val="2"/>
                <w:sz w:val="21"/>
                <w:szCs w:val="21"/>
                <w:lang w:eastAsia="zh-CN"/>
              </w:rPr>
            </w:pP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无尘、无污渍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restart"/>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食堂</w:t>
            </w: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地面、墙面</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清拖两次地面，清抹一次墙面</w:t>
            </w: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清洗一次</w:t>
            </w: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无杂物、无水渍、无污渍、无蜘蛛网</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桌、椅</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清抹三次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无水渍、无污渍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餐盘</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清洗三次</w:t>
            </w:r>
          </w:p>
        </w:tc>
        <w:tc>
          <w:tcPr>
            <w:tcW w:w="1845" w:type="dxa"/>
            <w:vAlign w:val="center"/>
          </w:tcPr>
          <w:p>
            <w:pPr>
              <w:widowControl w:val="0"/>
              <w:jc w:val="center"/>
              <w:rPr>
                <w:rFonts w:ascii="宋体" w:eastAsia="宋体" w:hAnsi="宋体" w:cs="宋体" w:hint="eastAsia"/>
                <w:bCs/>
                <w:kern w:val="2"/>
                <w:sz w:val="21"/>
                <w:szCs w:val="21"/>
                <w:lang w:eastAsia="zh-CN"/>
              </w:rPr>
            </w:pP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无残留、无水渍、无污渍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门、窗</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干净明亮、无尘、无污渍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消防设施</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清抹一次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干净明亮、无污渍</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送风口、排烟风口</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擦抹一次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用清洁剂清抹一次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干净、无尘</w:t>
            </w:r>
          </w:p>
        </w:tc>
      </w:tr>
      <w:tr>
        <w:tblPrEx>
          <w:tblW w:w="5000" w:type="pct"/>
          <w:tblInd w:w="-196" w:type="dxa"/>
          <w:tblLayout w:type="fixed"/>
          <w:tblCellMar>
            <w:top w:w="0" w:type="dxa"/>
            <w:left w:w="108" w:type="dxa"/>
            <w:bottom w:w="0" w:type="dxa"/>
            <w:right w:w="108" w:type="dxa"/>
          </w:tblCellMar>
          <w:tblLook w:val="0000"/>
        </w:tblPrEx>
        <w:trPr>
          <w:cantSplit/>
        </w:trPr>
        <w:tc>
          <w:tcPr>
            <w:tcW w:w="465" w:type="dxa"/>
            <w:vMerge/>
            <w:vAlign w:val="center"/>
          </w:tcPr>
          <w:p>
            <w:pPr>
              <w:widowControl w:val="0"/>
              <w:jc w:val="left"/>
              <w:rPr>
                <w:rFonts w:ascii="宋体" w:eastAsia="宋体" w:hAnsi="宋体" w:cs="宋体" w:hint="eastAsia"/>
                <w:bCs/>
                <w:kern w:val="2"/>
                <w:sz w:val="21"/>
                <w:szCs w:val="21"/>
                <w:lang w:eastAsia="zh-CN"/>
              </w:rPr>
            </w:pPr>
          </w:p>
        </w:tc>
        <w:tc>
          <w:tcPr>
            <w:tcW w:w="51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w:t>
            </w:r>
          </w:p>
        </w:tc>
        <w:tc>
          <w:tcPr>
            <w:tcW w:w="148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垃圾桶</w:t>
            </w:r>
          </w:p>
        </w:tc>
        <w:tc>
          <w:tcPr>
            <w:tcW w:w="15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清洗三次</w:t>
            </w:r>
          </w:p>
        </w:tc>
        <w:tc>
          <w:tcPr>
            <w:tcW w:w="184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用清洁剂清洗二次</w:t>
            </w:r>
          </w:p>
        </w:tc>
        <w:tc>
          <w:tcPr>
            <w:tcW w:w="1275" w:type="dxa"/>
            <w:vAlign w:val="center"/>
          </w:tcPr>
          <w:p>
            <w:pPr>
              <w:widowControl w:val="0"/>
              <w:jc w:val="center"/>
              <w:rPr>
                <w:rFonts w:ascii="宋体" w:eastAsia="宋体" w:hAnsi="宋体" w:cs="宋体" w:hint="eastAsia"/>
                <w:bCs/>
                <w:kern w:val="2"/>
                <w:sz w:val="21"/>
                <w:szCs w:val="21"/>
                <w:lang w:eastAsia="zh-CN"/>
              </w:rPr>
            </w:pPr>
          </w:p>
        </w:tc>
        <w:tc>
          <w:tcPr>
            <w:tcW w:w="2325"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无污渍、无异味、无蚊虫</w:t>
            </w:r>
          </w:p>
        </w:tc>
      </w:tr>
    </w:tbl>
    <w:p>
      <w:pPr>
        <w:widowControl w:val="0"/>
        <w:adjustRightInd w:val="0"/>
        <w:snapToGrid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2.安全管理</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物业实行24小时安全保卫，建立24小时巡查制度，人防、机防相结合，监控、巡视、值班相配合；确保无漏岗、脱岗、睡岗等失职现象；建立节假日、夜间工作人员加班和来访人员登记制度，记录完整且要有保密意识，不得泄露来访人员的隐私。</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（2）设置保安监控和报警电话，秩序维护人员佩戴明显标志，举止规范、反应敏捷、熟悉环境、文明值勤，及时、妥善处置异常情况。</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（3）危及物业使用安全的地方和事故易发区域设置明显警示标志和切实可行的安全防范措施。</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（4）有针对性地提供突发事件地安全保卫服务，措施得力、制度健全、人员到位，编制切实可行的突发事件应急预案及措施。</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（5）项目管理区域内火灾、刑事案件或交通事故发生率为零；其他重大事故控制在1％以内，处理及时率为100％。</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（6）杜绝闲杂人员进入办公楼，办公楼范围内无聚众、阻塞、叫卖等现象，如发现处理及时率为100％。</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（7）严把秩序维护人员招聘关，确保秩序维护人员政治条件和身体条件符合工作要求，没有犯罪记录，五官端正。</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（8）停车场管理：</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kern w:val="2"/>
          <w:sz w:val="21"/>
          <w:szCs w:val="21"/>
          <w:lang w:eastAsia="zh-CN"/>
        </w:rPr>
        <w:fldChar w:fldCharType="begin"/>
      </w:r>
      <w:r>
        <w:rPr>
          <w:rFonts w:ascii="宋体" w:eastAsia="宋体" w:hAnsi="宋体" w:cs="宋体" w:hint="eastAsia"/>
          <w:kern w:val="2"/>
          <w:sz w:val="21"/>
          <w:szCs w:val="21"/>
          <w:lang w:eastAsia="zh-CN"/>
        </w:rPr>
        <w:instrText xml:space="preserve"> EQ \o\ac(</w:instrText>
      </w:r>
      <w:r>
        <w:rPr>
          <w:rFonts w:ascii="宋体" w:eastAsia="宋体" w:hAnsi="宋体" w:cs="宋体" w:hint="eastAsia"/>
          <w:kern w:val="2"/>
          <w:position w:val="-4"/>
          <w:sz w:val="31"/>
          <w:szCs w:val="21"/>
          <w:lang w:eastAsia="zh-CN"/>
        </w:rPr>
        <w:instrText>○</w:instrText>
      </w:r>
      <w:r>
        <w:rPr>
          <w:rFonts w:ascii="宋体" w:eastAsia="宋体" w:hAnsi="宋体" w:cs="宋体" w:hint="eastAsia"/>
          <w:kern w:val="2"/>
          <w:sz w:val="21"/>
          <w:szCs w:val="21"/>
          <w:lang w:eastAsia="zh-CN"/>
        </w:rPr>
        <w:instrText>,1)</w:instrText>
      </w:r>
      <w:r>
        <w:rPr>
          <w:rFonts w:ascii="宋体" w:eastAsia="宋体" w:hAnsi="宋体" w:cs="宋体" w:hint="eastAsia"/>
          <w:kern w:val="2"/>
          <w:sz w:val="21"/>
          <w:szCs w:val="21"/>
          <w:lang w:eastAsia="zh-CN"/>
        </w:rPr>
        <w:fldChar w:fldCharType="separate"/>
      </w:r>
      <w:r>
        <w:rPr>
          <w:rFonts w:ascii="宋体" w:eastAsia="宋体" w:hAnsi="宋体" w:cs="宋体" w:hint="eastAsia"/>
          <w:kern w:val="2"/>
          <w:sz w:val="21"/>
          <w:szCs w:val="21"/>
          <w:lang w:eastAsia="zh-CN"/>
        </w:rPr>
        <w:fldChar w:fldCharType="end"/>
      </w:r>
      <w:r>
        <w:rPr>
          <w:rFonts w:ascii="宋体" w:eastAsia="宋体" w:hAnsi="宋体" w:cs="宋体" w:hint="eastAsia"/>
          <w:bCs/>
          <w:kern w:val="2"/>
          <w:sz w:val="21"/>
          <w:szCs w:val="21"/>
          <w:lang w:eastAsia="zh-CN"/>
        </w:rPr>
        <w:t>环境秩序良好，道路通畅，车辆停放有序、安全可靠；</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fldChar w:fldCharType="begin"/>
      </w:r>
      <w:r>
        <w:rPr>
          <w:rFonts w:ascii="宋体" w:eastAsia="宋体" w:hAnsi="宋体" w:cs="宋体" w:hint="eastAsia"/>
          <w:bCs/>
          <w:kern w:val="2"/>
          <w:sz w:val="21"/>
          <w:szCs w:val="21"/>
          <w:lang w:eastAsia="zh-CN"/>
        </w:rPr>
        <w:instrText xml:space="preserve"> EQ \o\ac(</w:instrText>
      </w:r>
      <w:r>
        <w:rPr>
          <w:rFonts w:ascii="宋体" w:eastAsia="宋体" w:hAnsi="宋体" w:cs="宋体" w:hint="eastAsia"/>
          <w:bCs/>
          <w:kern w:val="2"/>
          <w:position w:val="-4"/>
          <w:sz w:val="31"/>
          <w:szCs w:val="21"/>
          <w:lang w:eastAsia="zh-CN"/>
        </w:rPr>
        <w:instrText>○</w:instrText>
      </w:r>
      <w:r>
        <w:rPr>
          <w:rFonts w:ascii="宋体" w:eastAsia="宋体" w:hAnsi="宋体" w:cs="宋体" w:hint="eastAsia"/>
          <w:bCs/>
          <w:kern w:val="2"/>
          <w:sz w:val="21"/>
          <w:szCs w:val="21"/>
          <w:lang w:eastAsia="zh-CN"/>
        </w:rPr>
        <w:instrText>,2)</w:instrText>
      </w:r>
      <w:r>
        <w:rPr>
          <w:rFonts w:ascii="宋体" w:eastAsia="宋体" w:hAnsi="宋体" w:cs="宋体" w:hint="eastAsia"/>
          <w:bCs/>
          <w:kern w:val="2"/>
          <w:sz w:val="21"/>
          <w:szCs w:val="21"/>
          <w:lang w:eastAsia="zh-CN"/>
        </w:rPr>
        <w:fldChar w:fldCharType="separate"/>
      </w:r>
      <w:r>
        <w:rPr>
          <w:rFonts w:ascii="宋体" w:eastAsia="宋体" w:hAnsi="宋体" w:cs="宋体" w:hint="eastAsia"/>
          <w:bCs/>
          <w:kern w:val="2"/>
          <w:sz w:val="21"/>
          <w:szCs w:val="21"/>
          <w:lang w:eastAsia="zh-CN"/>
        </w:rPr>
        <w:fldChar w:fldCharType="end"/>
      </w:r>
      <w:r>
        <w:rPr>
          <w:rFonts w:ascii="宋体" w:eastAsia="宋体" w:hAnsi="宋体" w:cs="宋体" w:hint="eastAsia"/>
          <w:bCs/>
          <w:kern w:val="2"/>
          <w:sz w:val="21"/>
          <w:szCs w:val="21"/>
          <w:lang w:eastAsia="zh-CN"/>
        </w:rPr>
        <w:t xml:space="preserve">停车场管理制度完善，人员配备合理，机动车、非机动车区分有序，无乱停放和阻塞现象； </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fldChar w:fldCharType="begin"/>
      </w:r>
      <w:r>
        <w:rPr>
          <w:rFonts w:ascii="宋体" w:eastAsia="宋体" w:hAnsi="宋体" w:cs="宋体" w:hint="eastAsia"/>
          <w:bCs/>
          <w:kern w:val="2"/>
          <w:sz w:val="21"/>
          <w:szCs w:val="21"/>
          <w:lang w:eastAsia="zh-CN"/>
        </w:rPr>
        <w:instrText xml:space="preserve"> EQ \o\ac(</w:instrText>
      </w:r>
      <w:r>
        <w:rPr>
          <w:rFonts w:ascii="宋体" w:eastAsia="宋体" w:hAnsi="宋体" w:cs="宋体" w:hint="eastAsia"/>
          <w:bCs/>
          <w:kern w:val="2"/>
          <w:position w:val="-4"/>
          <w:sz w:val="31"/>
          <w:szCs w:val="21"/>
          <w:lang w:eastAsia="zh-CN"/>
        </w:rPr>
        <w:instrText>○</w:instrText>
      </w:r>
      <w:r>
        <w:rPr>
          <w:rFonts w:ascii="宋体" w:eastAsia="宋体" w:hAnsi="宋体" w:cs="宋体" w:hint="eastAsia"/>
          <w:bCs/>
          <w:kern w:val="2"/>
          <w:sz w:val="21"/>
          <w:szCs w:val="21"/>
          <w:lang w:eastAsia="zh-CN"/>
        </w:rPr>
        <w:instrText>,3)</w:instrText>
      </w:r>
      <w:r>
        <w:rPr>
          <w:rFonts w:ascii="宋体" w:eastAsia="宋体" w:hAnsi="宋体" w:cs="宋体" w:hint="eastAsia"/>
          <w:bCs/>
          <w:kern w:val="2"/>
          <w:sz w:val="21"/>
          <w:szCs w:val="21"/>
          <w:lang w:eastAsia="zh-CN"/>
        </w:rPr>
        <w:fldChar w:fldCharType="separate"/>
      </w:r>
      <w:r>
        <w:rPr>
          <w:rFonts w:ascii="宋体" w:eastAsia="宋体" w:hAnsi="宋体" w:cs="宋体" w:hint="eastAsia"/>
          <w:bCs/>
          <w:kern w:val="2"/>
          <w:sz w:val="21"/>
          <w:szCs w:val="21"/>
          <w:lang w:eastAsia="zh-CN"/>
        </w:rPr>
        <w:fldChar w:fldCharType="end"/>
      </w:r>
      <w:r>
        <w:rPr>
          <w:rFonts w:ascii="宋体" w:eastAsia="宋体" w:hAnsi="宋体" w:cs="宋体" w:hint="eastAsia"/>
          <w:bCs/>
          <w:kern w:val="2"/>
          <w:sz w:val="21"/>
          <w:szCs w:val="21"/>
          <w:lang w:eastAsia="zh-CN"/>
        </w:rPr>
        <w:t>24小时有人负责看守巡查，确保停车场设备设施及车辆的安全；</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fldChar w:fldCharType="begin"/>
      </w:r>
      <w:r>
        <w:rPr>
          <w:rFonts w:ascii="宋体" w:eastAsia="宋体" w:hAnsi="宋体" w:cs="宋体" w:hint="eastAsia"/>
          <w:bCs/>
          <w:kern w:val="2"/>
          <w:sz w:val="21"/>
          <w:szCs w:val="21"/>
          <w:lang w:eastAsia="zh-CN"/>
        </w:rPr>
        <w:instrText xml:space="preserve"> EQ \o\ac(</w:instrText>
      </w:r>
      <w:r>
        <w:rPr>
          <w:rFonts w:ascii="宋体" w:eastAsia="宋体" w:hAnsi="宋体" w:cs="宋体" w:hint="eastAsia"/>
          <w:bCs/>
          <w:kern w:val="2"/>
          <w:position w:val="-4"/>
          <w:sz w:val="31"/>
          <w:szCs w:val="21"/>
          <w:lang w:eastAsia="zh-CN"/>
        </w:rPr>
        <w:instrText>○</w:instrText>
      </w:r>
      <w:r>
        <w:rPr>
          <w:rFonts w:ascii="宋体" w:eastAsia="宋体" w:hAnsi="宋体" w:cs="宋体" w:hint="eastAsia"/>
          <w:bCs/>
          <w:kern w:val="2"/>
          <w:sz w:val="21"/>
          <w:szCs w:val="21"/>
          <w:lang w:eastAsia="zh-CN"/>
        </w:rPr>
        <w:instrText>,4)</w:instrText>
      </w:r>
      <w:r>
        <w:rPr>
          <w:rFonts w:ascii="宋体" w:eastAsia="宋体" w:hAnsi="宋体" w:cs="宋体" w:hint="eastAsia"/>
          <w:bCs/>
          <w:kern w:val="2"/>
          <w:sz w:val="21"/>
          <w:szCs w:val="21"/>
          <w:lang w:eastAsia="zh-CN"/>
        </w:rPr>
        <w:fldChar w:fldCharType="separate"/>
      </w:r>
      <w:r>
        <w:rPr>
          <w:rFonts w:ascii="宋体" w:eastAsia="宋体" w:hAnsi="宋体" w:cs="宋体" w:hint="eastAsia"/>
          <w:bCs/>
          <w:kern w:val="2"/>
          <w:sz w:val="21"/>
          <w:szCs w:val="21"/>
          <w:lang w:eastAsia="zh-CN"/>
        </w:rPr>
        <w:fldChar w:fldCharType="end"/>
      </w:r>
      <w:r>
        <w:rPr>
          <w:rFonts w:ascii="宋体" w:eastAsia="宋体" w:hAnsi="宋体" w:cs="宋体" w:hint="eastAsia"/>
          <w:bCs/>
          <w:kern w:val="2"/>
          <w:sz w:val="21"/>
          <w:szCs w:val="21"/>
          <w:lang w:eastAsia="zh-CN"/>
        </w:rPr>
        <w:t>有重大接待安排时，应根据需要事先预留车位，并摆放醒目标志，防止车辆堵塞现象发生。</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（9）工伤管理</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设定专员负责跟进物业员工工伤管理工作，制定员工工伤管理流程，中标人所属员工因自身操作不当或不慎受伤造成的伤害，由中标人负责。</w:t>
      </w:r>
    </w:p>
    <w:p>
      <w:pPr>
        <w:widowControl w:val="0"/>
        <w:adjustRightInd w:val="0"/>
        <w:snapToGrid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3.绿化管养</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（1）配备专业人员进行管理，制度完善。</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（2）实行标准化作业，由专人负责检查监督。</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（3）负责物业管理范围以内所有室外绿化的养护、修剪造型、施肥、浇水、除杂草、松土、杀虫、杂物清除等管理。</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（4）植物生长健康，无病虫害，无枯黄叶，无黄土裸露。</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（5）物业管理范围内的乔木视生长情况进行修剪，每年不低于1次，修剪前必需经过采购单位许可，确定修剪方案后在进行修剪。</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（6）草坪养护每年不少于2次。</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（7）每日对绿植物浇水、除杂草、清洁等。</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（8）灌木绿植物修剪、施肥每年不少于8次。</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（9）根据情况除病虫害。</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（10）根据情况确定须补种的植物品名及地点，须补种地翻土或打洞，加施基肥。</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（11）绿化养护工作所需的工具、设备由中标供应商负责提供并承担费用；绿化养护所需材料（如肥料、药品等）由中标供应商负责。</w:t>
      </w:r>
    </w:p>
    <w:p>
      <w:pPr>
        <w:widowControl w:val="0"/>
        <w:adjustRightInd w:val="0"/>
        <w:snapToGrid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4.</w:t>
      </w:r>
      <w:r>
        <w:rPr>
          <w:rFonts w:ascii="宋体" w:eastAsia="宋体" w:hAnsi="宋体" w:cs="宋体" w:hint="eastAsia"/>
          <w:b/>
          <w:kern w:val="2"/>
          <w:sz w:val="21"/>
          <w:szCs w:val="21"/>
          <w:lang w:eastAsia="zh-CN"/>
        </w:rPr>
        <w:t>“</w:t>
      </w:r>
      <w:r>
        <w:rPr>
          <w:rFonts w:ascii="宋体" w:eastAsia="宋体" w:hAnsi="宋体" w:cs="宋体" w:hint="eastAsia"/>
          <w:b/>
          <w:kern w:val="2"/>
          <w:sz w:val="21"/>
          <w:szCs w:val="21"/>
          <w:lang w:eastAsia="zh-CN"/>
        </w:rPr>
        <w:t>四害</w:t>
      </w:r>
      <w:r>
        <w:rPr>
          <w:rFonts w:ascii="宋体" w:eastAsia="宋体" w:hAnsi="宋体" w:cs="宋体" w:hint="eastAsia"/>
          <w:b/>
          <w:kern w:val="2"/>
          <w:sz w:val="21"/>
          <w:szCs w:val="21"/>
          <w:lang w:eastAsia="zh-CN"/>
        </w:rPr>
        <w:t>”</w:t>
      </w:r>
      <w:r>
        <w:rPr>
          <w:rFonts w:ascii="宋体" w:eastAsia="宋体" w:hAnsi="宋体" w:cs="宋体" w:hint="eastAsia"/>
          <w:b/>
          <w:kern w:val="2"/>
          <w:sz w:val="21"/>
          <w:szCs w:val="21"/>
          <w:lang w:eastAsia="zh-CN"/>
        </w:rPr>
        <w:t>消杀管理</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（1）使用的药物必须是国家规定允许使用的卫生杀虫剂(以下简称药物),其使用范围、使用剂型、浓度、剂量应符合国家和省市有关部门的现行规定,不得使用超过有效期的药物（禁止使用国家明令禁止的药物）。</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fldChar w:fldCharType="begin"/>
      </w:r>
      <w:r>
        <w:rPr>
          <w:rFonts w:ascii="宋体" w:eastAsia="宋体" w:hAnsi="宋体" w:cs="宋体" w:hint="eastAsia"/>
          <w:kern w:val="2"/>
          <w:sz w:val="21"/>
          <w:szCs w:val="21"/>
          <w:lang w:eastAsia="zh-CN"/>
        </w:rPr>
        <w:instrText xml:space="preserve"> EQ \o\ac(</w:instrText>
      </w:r>
      <w:r>
        <w:rPr>
          <w:rFonts w:ascii="宋体" w:eastAsia="宋体" w:hAnsi="宋体" w:cs="宋体" w:hint="eastAsia"/>
          <w:kern w:val="2"/>
          <w:position w:val="-4"/>
          <w:sz w:val="31"/>
          <w:szCs w:val="21"/>
          <w:lang w:eastAsia="zh-CN"/>
        </w:rPr>
        <w:instrText>○</w:instrText>
      </w:r>
      <w:r>
        <w:rPr>
          <w:rFonts w:ascii="宋体" w:eastAsia="宋体" w:hAnsi="宋体" w:cs="宋体" w:hint="eastAsia"/>
          <w:kern w:val="2"/>
          <w:sz w:val="21"/>
          <w:szCs w:val="21"/>
          <w:lang w:eastAsia="zh-CN"/>
        </w:rPr>
        <w:instrText>,1)</w:instrText>
      </w:r>
      <w:r>
        <w:rPr>
          <w:rFonts w:ascii="宋体" w:eastAsia="宋体" w:hAnsi="宋体" w:cs="宋体" w:hint="eastAsia"/>
          <w:kern w:val="2"/>
          <w:sz w:val="21"/>
          <w:szCs w:val="21"/>
          <w:lang w:eastAsia="zh-CN"/>
        </w:rPr>
        <w:fldChar w:fldCharType="separate"/>
      </w:r>
      <w:r>
        <w:rPr>
          <w:rFonts w:ascii="宋体" w:eastAsia="宋体" w:hAnsi="宋体" w:cs="宋体" w:hint="eastAsia"/>
          <w:kern w:val="2"/>
          <w:sz w:val="21"/>
          <w:szCs w:val="21"/>
          <w:lang w:eastAsia="zh-CN"/>
        </w:rPr>
        <w:fldChar w:fldCharType="end"/>
      </w:r>
      <w:r>
        <w:rPr>
          <w:rFonts w:ascii="宋体" w:eastAsia="宋体" w:hAnsi="宋体" w:cs="宋体" w:hint="eastAsia"/>
          <w:kern w:val="2"/>
          <w:sz w:val="21"/>
          <w:szCs w:val="21"/>
          <w:lang w:eastAsia="zh-CN"/>
        </w:rPr>
        <w:t>灭鼠：使用低毒高效的灭鼠毒饵，按</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三饱和</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（时间饱和、空间饱和、药量饱和）原则投放灭鼠药物，防制老鼠。每次投放鼠药5</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7天后，集中清理鼠尸；</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fldChar w:fldCharType="begin"/>
      </w:r>
      <w:r>
        <w:rPr>
          <w:rFonts w:ascii="宋体" w:eastAsia="宋体" w:hAnsi="宋体" w:cs="宋体" w:hint="eastAsia"/>
          <w:kern w:val="2"/>
          <w:sz w:val="21"/>
          <w:szCs w:val="21"/>
          <w:lang w:eastAsia="zh-CN"/>
        </w:rPr>
        <w:instrText xml:space="preserve"> EQ \o\ac(</w:instrText>
      </w:r>
      <w:r>
        <w:rPr>
          <w:rFonts w:ascii="宋体" w:eastAsia="宋体" w:hAnsi="宋体" w:cs="宋体" w:hint="eastAsia"/>
          <w:kern w:val="2"/>
          <w:position w:val="-4"/>
          <w:sz w:val="31"/>
          <w:szCs w:val="21"/>
          <w:lang w:eastAsia="zh-CN"/>
        </w:rPr>
        <w:instrText>○</w:instrText>
      </w:r>
      <w:r>
        <w:rPr>
          <w:rFonts w:ascii="宋体" w:eastAsia="宋体" w:hAnsi="宋体" w:cs="宋体" w:hint="eastAsia"/>
          <w:kern w:val="2"/>
          <w:sz w:val="21"/>
          <w:szCs w:val="21"/>
          <w:lang w:eastAsia="zh-CN"/>
        </w:rPr>
        <w:instrText>,2)</w:instrText>
      </w:r>
      <w:r>
        <w:rPr>
          <w:rFonts w:ascii="宋体" w:eastAsia="宋体" w:hAnsi="宋体" w:cs="宋体" w:hint="eastAsia"/>
          <w:kern w:val="2"/>
          <w:sz w:val="21"/>
          <w:szCs w:val="21"/>
          <w:lang w:eastAsia="zh-CN"/>
        </w:rPr>
        <w:fldChar w:fldCharType="separate"/>
      </w:r>
      <w:r>
        <w:rPr>
          <w:rFonts w:ascii="宋体" w:eastAsia="宋体" w:hAnsi="宋体" w:cs="宋体" w:hint="eastAsia"/>
          <w:kern w:val="2"/>
          <w:sz w:val="21"/>
          <w:szCs w:val="21"/>
          <w:lang w:eastAsia="zh-CN"/>
        </w:rPr>
        <w:fldChar w:fldCharType="end"/>
      </w:r>
      <w:r>
        <w:rPr>
          <w:rFonts w:ascii="宋体" w:eastAsia="宋体" w:hAnsi="宋体" w:cs="宋体" w:hint="eastAsia"/>
          <w:kern w:val="2"/>
          <w:sz w:val="21"/>
          <w:szCs w:val="21"/>
          <w:lang w:eastAsia="zh-CN"/>
        </w:rPr>
        <w:t>灭蚊蝇：使用和蚊蝇活动场所相匹配的消杀方式（常量空间喷洒、超低容量空间喷洒、滞留喷洒等）杀灭成蚊、成蝇等；</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fldChar w:fldCharType="begin"/>
      </w:r>
      <w:r>
        <w:rPr>
          <w:rFonts w:ascii="宋体" w:eastAsia="宋体" w:hAnsi="宋体" w:cs="宋体" w:hint="eastAsia"/>
          <w:kern w:val="2"/>
          <w:sz w:val="21"/>
          <w:szCs w:val="21"/>
          <w:lang w:eastAsia="zh-CN"/>
        </w:rPr>
        <w:instrText xml:space="preserve"> EQ \o\ac(</w:instrText>
      </w:r>
      <w:r>
        <w:rPr>
          <w:rFonts w:ascii="宋体" w:eastAsia="宋体" w:hAnsi="宋体" w:cs="宋体" w:hint="eastAsia"/>
          <w:kern w:val="2"/>
          <w:position w:val="-4"/>
          <w:sz w:val="31"/>
          <w:szCs w:val="21"/>
          <w:lang w:eastAsia="zh-CN"/>
        </w:rPr>
        <w:instrText>○</w:instrText>
      </w:r>
      <w:r>
        <w:rPr>
          <w:rFonts w:ascii="宋体" w:eastAsia="宋体" w:hAnsi="宋体" w:cs="宋体" w:hint="eastAsia"/>
          <w:kern w:val="2"/>
          <w:sz w:val="21"/>
          <w:szCs w:val="21"/>
          <w:lang w:eastAsia="zh-CN"/>
        </w:rPr>
        <w:instrText>,3)</w:instrText>
      </w:r>
      <w:r>
        <w:rPr>
          <w:rFonts w:ascii="宋体" w:eastAsia="宋体" w:hAnsi="宋体" w:cs="宋体" w:hint="eastAsia"/>
          <w:kern w:val="2"/>
          <w:sz w:val="21"/>
          <w:szCs w:val="21"/>
          <w:lang w:eastAsia="zh-CN"/>
        </w:rPr>
        <w:fldChar w:fldCharType="separate"/>
      </w:r>
      <w:r>
        <w:rPr>
          <w:rFonts w:ascii="宋体" w:eastAsia="宋体" w:hAnsi="宋体" w:cs="宋体" w:hint="eastAsia"/>
          <w:kern w:val="2"/>
          <w:sz w:val="21"/>
          <w:szCs w:val="21"/>
          <w:lang w:eastAsia="zh-CN"/>
        </w:rPr>
        <w:fldChar w:fldCharType="end"/>
      </w:r>
      <w:r>
        <w:rPr>
          <w:rFonts w:ascii="宋体" w:eastAsia="宋体" w:hAnsi="宋体" w:cs="宋体" w:hint="eastAsia"/>
          <w:kern w:val="2"/>
          <w:sz w:val="21"/>
          <w:szCs w:val="21"/>
          <w:lang w:eastAsia="zh-CN"/>
        </w:rPr>
        <w:t>灭蟑：在下水道、雨水井等，使用烟雾机熏杀蟑螂；</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fldChar w:fldCharType="begin"/>
      </w:r>
      <w:r>
        <w:rPr>
          <w:rFonts w:ascii="宋体" w:eastAsia="宋体" w:hAnsi="宋体" w:cs="宋体" w:hint="eastAsia"/>
          <w:kern w:val="2"/>
          <w:sz w:val="21"/>
          <w:szCs w:val="21"/>
          <w:lang w:eastAsia="zh-CN"/>
        </w:rPr>
        <w:instrText xml:space="preserve"> EQ \o\ac(</w:instrText>
      </w:r>
      <w:r>
        <w:rPr>
          <w:rFonts w:ascii="宋体" w:eastAsia="宋体" w:hAnsi="宋体" w:cs="宋体" w:hint="eastAsia"/>
          <w:kern w:val="2"/>
          <w:position w:val="-4"/>
          <w:sz w:val="31"/>
          <w:szCs w:val="21"/>
          <w:lang w:eastAsia="zh-CN"/>
        </w:rPr>
        <w:instrText>○</w:instrText>
      </w:r>
      <w:r>
        <w:rPr>
          <w:rFonts w:ascii="宋体" w:eastAsia="宋体" w:hAnsi="宋体" w:cs="宋体" w:hint="eastAsia"/>
          <w:kern w:val="2"/>
          <w:sz w:val="21"/>
          <w:szCs w:val="21"/>
          <w:lang w:eastAsia="zh-CN"/>
        </w:rPr>
        <w:instrText>,4)</w:instrText>
      </w:r>
      <w:r>
        <w:rPr>
          <w:rFonts w:ascii="宋体" w:eastAsia="宋体" w:hAnsi="宋体" w:cs="宋体" w:hint="eastAsia"/>
          <w:kern w:val="2"/>
          <w:sz w:val="21"/>
          <w:szCs w:val="21"/>
          <w:lang w:eastAsia="zh-CN"/>
        </w:rPr>
        <w:fldChar w:fldCharType="separate"/>
      </w:r>
      <w:r>
        <w:rPr>
          <w:rFonts w:ascii="宋体" w:eastAsia="宋体" w:hAnsi="宋体" w:cs="宋体" w:hint="eastAsia"/>
          <w:kern w:val="2"/>
          <w:sz w:val="21"/>
          <w:szCs w:val="21"/>
          <w:lang w:eastAsia="zh-CN"/>
        </w:rPr>
        <w:fldChar w:fldCharType="end"/>
      </w:r>
      <w:r>
        <w:rPr>
          <w:rFonts w:ascii="宋体" w:eastAsia="宋体" w:hAnsi="宋体" w:cs="宋体" w:hint="eastAsia"/>
          <w:kern w:val="2"/>
          <w:sz w:val="21"/>
          <w:szCs w:val="21"/>
          <w:lang w:eastAsia="zh-CN"/>
        </w:rPr>
        <w:t>孳生地处理：在沟渠、水池、集水井等存在难清理积水的区域使用灭蚊幼药物灭杀蚊幼虫，在垃圾桶等孳生苍蝇的场所投放灭蝇幼处理蝇类孳生地</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（2）实施防制作业，应遵守安全操作规定，合理用药，施药到位，保证防制效果，并防止药品污染环境。</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（3）在施药消杀过程中，要注意人畜安全，保证使用国家规定允许使用的药物。要有药物管理制度，如因操作不当或消杀药物中毒造成的损失，一切责任由中标方承担，采购方不承担任何法律责任。</w:t>
      </w:r>
    </w:p>
    <w:p>
      <w:pPr>
        <w:widowControl w:val="0"/>
        <w:spacing w:line="520" w:lineRule="exact"/>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（4）中标供应商施工须按照《病媒生物预防控制技术规范（深圳市标准化指导性技术文件）》规范操作。</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br w:type="page"/>
      </w:r>
      <w:r>
        <w:rPr>
          <w:rFonts w:ascii="宋体" w:eastAsia="宋体" w:hAnsi="宋体" w:cs="宋体" w:hint="eastAsia"/>
          <w:bCs/>
          <w:kern w:val="2"/>
          <w:sz w:val="21"/>
          <w:szCs w:val="21"/>
          <w:lang w:eastAsia="zh-CN"/>
        </w:rPr>
        <w:t>（5）消杀作业要求、标准表：</w:t>
      </w:r>
    </w:p>
    <w:tbl>
      <w:tblPr>
        <w:tblStyle w:val="TableNormal"/>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07"/>
        <w:gridCol w:w="804"/>
        <w:gridCol w:w="698"/>
        <w:gridCol w:w="2889"/>
        <w:gridCol w:w="2358"/>
        <w:gridCol w:w="1373"/>
      </w:tblGrid>
      <w:tr>
        <w:tblPrEx>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cantSplit/>
          <w:trHeight w:val="324"/>
        </w:trPr>
        <w:tc>
          <w:tcPr>
            <w:tcW w:w="426" w:type="dxa"/>
            <w:vMerge w:val="restart"/>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868" w:type="dxa"/>
            <w:vMerge w:val="restart"/>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位置</w:t>
            </w:r>
          </w:p>
        </w:tc>
        <w:tc>
          <w:tcPr>
            <w:tcW w:w="750" w:type="dxa"/>
            <w:vMerge w:val="restart"/>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消杀项目</w:t>
            </w:r>
          </w:p>
        </w:tc>
        <w:tc>
          <w:tcPr>
            <w:tcW w:w="5781" w:type="dxa"/>
            <w:gridSpan w:val="2"/>
            <w:vAlign w:val="center"/>
          </w:tcPr>
          <w:p>
            <w:pPr>
              <w:widowControl w:val="0"/>
              <w:ind w:firstLine="420" w:firstLineChars="20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药物消杀安排</w:t>
            </w:r>
          </w:p>
        </w:tc>
        <w:tc>
          <w:tcPr>
            <w:tcW w:w="1500" w:type="dxa"/>
            <w:vMerge w:val="restart"/>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工作标准</w:t>
            </w:r>
          </w:p>
        </w:tc>
      </w:tr>
      <w:tr>
        <w:tblPrEx>
          <w:tblW w:w="5000" w:type="pct"/>
          <w:tblInd w:w="-176" w:type="dxa"/>
          <w:tblLayout w:type="fixed"/>
          <w:tblCellMar>
            <w:top w:w="0" w:type="dxa"/>
            <w:left w:w="108" w:type="dxa"/>
            <w:bottom w:w="0" w:type="dxa"/>
            <w:right w:w="108" w:type="dxa"/>
          </w:tblCellMar>
          <w:tblLook w:val="0000"/>
        </w:tblPrEx>
        <w:trPr>
          <w:cantSplit/>
          <w:trHeight w:val="210"/>
        </w:trPr>
        <w:tc>
          <w:tcPr>
            <w:tcW w:w="426"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868"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75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3186" w:type="dxa"/>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每周</w:t>
            </w:r>
          </w:p>
        </w:tc>
        <w:tc>
          <w:tcPr>
            <w:tcW w:w="2595" w:type="dxa"/>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每月</w:t>
            </w: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Height w:val="929"/>
        </w:trPr>
        <w:tc>
          <w:tcPr>
            <w:tcW w:w="426" w:type="dxa"/>
            <w:vMerge w:val="restart"/>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868" w:type="dxa"/>
            <w:vMerge w:val="restart"/>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卫</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生</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间</w:t>
            </w: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蟑螂</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10％爱克宁、奋斗呐粉剂、拜力坦浮油交替喷洒到蟑螂藏身的洞穴、缝隙、角落、墙角等处，每周不少于二次</w:t>
            </w:r>
          </w:p>
        </w:tc>
        <w:tc>
          <w:tcPr>
            <w:tcW w:w="2595"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1500" w:type="dxa"/>
            <w:vMerge w:val="restart"/>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灭鼠标准：鼠密度不超过5％（粉迹法）；</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灭蚊标准：积水中三龄幼蚊或蛹阳性率不超过3％；</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灭蝇标准：蝇类孽生地三龄虫和蛹检出率不超过3％；</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灭蟑螂标准：蟑螂密度不超过1％（粉迹法）；</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灭白蚁标准：按《城市房屋白蚁标准防治管理规定》执行。</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有新规定按新规定标准</w:t>
            </w: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868"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蚊蝇</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用家虫清、奋斗呐悬浮剂喷洒，每周不少于二次</w:t>
            </w:r>
          </w:p>
        </w:tc>
        <w:tc>
          <w:tcPr>
            <w:tcW w:w="2595"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868"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老鼠</w:t>
            </w:r>
          </w:p>
        </w:tc>
        <w:tc>
          <w:tcPr>
            <w:tcW w:w="3186"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2595"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在老鼠经常出没之地投放鼠药毒饵两次，几种鼠药轮换投放</w:t>
            </w: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restart"/>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868" w:type="dxa"/>
            <w:vMerge w:val="restart"/>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消防通道、楼梯间</w:t>
            </w: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蟑螂</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10％爱克宁、奋斗呐粉剂、拜力坦浮油交替喷洒到蟑螂藏身的洞穴、缝隙、角落、墙角等处，每周不少于二次</w:t>
            </w:r>
          </w:p>
        </w:tc>
        <w:tc>
          <w:tcPr>
            <w:tcW w:w="2595" w:type="dxa"/>
            <w:vAlign w:val="center"/>
          </w:tcPr>
          <w:p>
            <w:pPr>
              <w:widowControl w:val="0"/>
              <w:jc w:val="left"/>
              <w:rPr>
                <w:rFonts w:ascii="宋体" w:eastAsia="宋体" w:hAnsi="宋体" w:cs="宋体" w:hint="eastAsia"/>
                <w:bCs/>
                <w:kern w:val="2"/>
                <w:sz w:val="21"/>
                <w:szCs w:val="21"/>
                <w:lang w:eastAsia="zh-CN"/>
              </w:rPr>
            </w:pP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868"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蚊蝇</w:t>
            </w:r>
          </w:p>
        </w:tc>
        <w:tc>
          <w:tcPr>
            <w:tcW w:w="3186"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2595"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868"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老鼠</w:t>
            </w:r>
          </w:p>
        </w:tc>
        <w:tc>
          <w:tcPr>
            <w:tcW w:w="3186"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2595"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在老鼠经常出没之地投放鼠药毒饵两次，几种鼠药轮换投放</w:t>
            </w: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restart"/>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p>
        </w:tc>
        <w:tc>
          <w:tcPr>
            <w:tcW w:w="868" w:type="dxa"/>
            <w:vMerge w:val="restart"/>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污水井</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污水沟</w:t>
            </w: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蟑螂</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10％爱克宁、奋斗呐粉剂、拜力坦浮油交替喷洒到蟑螂藏身的洞穴、缝隙</w:t>
            </w:r>
            <w:r>
              <w:rPr>
                <w:rFonts w:ascii="宋体" w:eastAsia="宋体" w:hAnsi="宋体" w:cs="宋体" w:hint="eastAsia"/>
                <w:bCs/>
                <w:kern w:val="2"/>
                <w:sz w:val="21"/>
                <w:szCs w:val="21"/>
                <w:lang w:eastAsia="zh-CN"/>
              </w:rPr>
              <w:cr/>
            </w:r>
            <w:r>
              <w:rPr>
                <w:rFonts w:ascii="宋体" w:eastAsia="宋体" w:hAnsi="宋体" w:cs="宋体" w:hint="eastAsia"/>
                <w:bCs/>
                <w:kern w:val="2"/>
                <w:sz w:val="21"/>
                <w:szCs w:val="21"/>
                <w:lang w:eastAsia="zh-CN"/>
              </w:rPr>
              <w:t>角落、墙角等处，每周不少于二次</w:t>
            </w:r>
          </w:p>
        </w:tc>
        <w:tc>
          <w:tcPr>
            <w:tcW w:w="2595"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868"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蚊蝇</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用家虫清、奋斗呐悬浮剂喷洒，每周不少于二次</w:t>
            </w:r>
          </w:p>
        </w:tc>
        <w:tc>
          <w:tcPr>
            <w:tcW w:w="2595"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用球形芽孢喷洒两次</w:t>
            </w: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p>
        </w:tc>
        <w:tc>
          <w:tcPr>
            <w:tcW w:w="868"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污水井</w:t>
            </w: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老鼠</w:t>
            </w:r>
          </w:p>
        </w:tc>
        <w:tc>
          <w:tcPr>
            <w:tcW w:w="3186"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2595"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在老鼠经常出没之地投放鼠药毒饵两次，几种鼠药轮换投放</w:t>
            </w: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restart"/>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w:t>
            </w:r>
          </w:p>
        </w:tc>
        <w:tc>
          <w:tcPr>
            <w:tcW w:w="868" w:type="dxa"/>
            <w:vMerge w:val="restart"/>
            <w:vAlign w:val="center"/>
          </w:tcPr>
          <w:p>
            <w:pPr>
              <w:widowControl w:val="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垃圾中转站</w:t>
            </w: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蟑螂</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10％爱克宁、奋斗呐粉剂、拜力坦浮油交替喷洒到蟑螂藏身的洞穴、缝隙、角落、墙角等处，每周不少于二次</w:t>
            </w:r>
          </w:p>
        </w:tc>
        <w:tc>
          <w:tcPr>
            <w:tcW w:w="2595"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868"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蚊、蝇</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用家虫清、奋斗呐悬浮剂喷洒，每周不少于二次</w:t>
            </w:r>
          </w:p>
        </w:tc>
        <w:tc>
          <w:tcPr>
            <w:tcW w:w="2595"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868"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老鼠</w:t>
            </w:r>
          </w:p>
        </w:tc>
        <w:tc>
          <w:tcPr>
            <w:tcW w:w="3186"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2595"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投放鼠必杀两次</w:t>
            </w: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Height w:val="2444"/>
        </w:trPr>
        <w:tc>
          <w:tcPr>
            <w:tcW w:w="426"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w:t>
            </w:r>
          </w:p>
        </w:tc>
        <w:tc>
          <w:tcPr>
            <w:tcW w:w="868"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建筑物内外</w:t>
            </w: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白蚁</w:t>
            </w:r>
          </w:p>
        </w:tc>
        <w:tc>
          <w:tcPr>
            <w:tcW w:w="3186"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2595"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利用其生活习性和活动规律找巢，或利用药物借助白蚁习性，在群体内进行扩散，最后使全巢白蚁死亡，具体做法：用毒死蚁、灭蚁灵等进行诱杀、毒杀一次</w:t>
            </w: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restart"/>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w:t>
            </w:r>
          </w:p>
        </w:tc>
        <w:tc>
          <w:tcPr>
            <w:tcW w:w="868" w:type="dxa"/>
            <w:vMerge w:val="restart"/>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食堂</w:t>
            </w: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蟑螂蚊、蝇</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每周消杀一次（星期五晚消杀、星期日下午洗地）</w:t>
            </w:r>
          </w:p>
        </w:tc>
        <w:tc>
          <w:tcPr>
            <w:tcW w:w="2595"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1500" w:type="dxa"/>
            <w:vMerge w:val="restart"/>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868"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老鼠</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每月灭鼠一次</w:t>
            </w:r>
          </w:p>
        </w:tc>
        <w:tc>
          <w:tcPr>
            <w:tcW w:w="2595"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1500"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Pr>
        <w:tc>
          <w:tcPr>
            <w:tcW w:w="426" w:type="dxa"/>
            <w:vMerge w:val="restart"/>
            <w:vAlign w:val="center"/>
          </w:tcPr>
          <w:p>
            <w:pPr>
              <w:widowControl w:val="0"/>
              <w:jc w:val="center"/>
              <w:rPr>
                <w:rFonts w:ascii="宋体" w:eastAsia="宋体" w:hAnsi="宋体" w:cs="宋体" w:hint="eastAsia"/>
                <w:bCs/>
                <w:kern w:val="2"/>
                <w:sz w:val="21"/>
                <w:szCs w:val="21"/>
                <w:lang w:eastAsia="zh-CN"/>
              </w:rPr>
            </w:pPr>
          </w:p>
          <w:p>
            <w:pPr>
              <w:widowControl w:val="0"/>
              <w:ind w:firstLine="420" w:firstLineChars="200"/>
              <w:jc w:val="center"/>
              <w:rPr>
                <w:rFonts w:ascii="宋体" w:eastAsia="宋体" w:hAnsi="宋体" w:cs="宋体" w:hint="eastAsia"/>
                <w:bCs/>
                <w:kern w:val="2"/>
                <w:sz w:val="21"/>
                <w:szCs w:val="21"/>
                <w:lang w:eastAsia="zh-CN"/>
              </w:rPr>
            </w:pPr>
          </w:p>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8</w:t>
            </w:r>
          </w:p>
        </w:tc>
        <w:tc>
          <w:tcPr>
            <w:tcW w:w="868" w:type="dxa"/>
            <w:vMerge w:val="restart"/>
            <w:vAlign w:val="center"/>
          </w:tcPr>
          <w:p>
            <w:pPr>
              <w:widowControl w:val="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集水池（前池）</w:t>
            </w: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蟑螂</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10％爱克宁、奋斗呐粉剂、拜力坦浮油交替喷洒到蟑螂藏身的洞穴、缝隙</w:t>
            </w:r>
            <w:r>
              <w:rPr>
                <w:rFonts w:ascii="宋体" w:eastAsia="宋体" w:hAnsi="宋体" w:cs="宋体" w:hint="eastAsia"/>
                <w:bCs/>
                <w:kern w:val="2"/>
                <w:sz w:val="21"/>
                <w:szCs w:val="21"/>
                <w:lang w:eastAsia="zh-CN"/>
              </w:rPr>
              <w:cr/>
            </w:r>
            <w:r>
              <w:rPr>
                <w:rFonts w:ascii="宋体" w:eastAsia="宋体" w:hAnsi="宋体" w:cs="宋体" w:hint="eastAsia"/>
                <w:bCs/>
                <w:kern w:val="2"/>
                <w:sz w:val="21"/>
                <w:szCs w:val="21"/>
                <w:lang w:eastAsia="zh-CN"/>
              </w:rPr>
              <w:t>角落、墙角等处，每每周不少于二次</w:t>
            </w:r>
          </w:p>
        </w:tc>
        <w:tc>
          <w:tcPr>
            <w:tcW w:w="2595" w:type="dxa"/>
            <w:vAlign w:val="center"/>
          </w:tcPr>
          <w:p>
            <w:pPr>
              <w:widowControl w:val="0"/>
              <w:ind w:firstLine="420" w:firstLineChars="200"/>
              <w:jc w:val="left"/>
              <w:rPr>
                <w:rFonts w:ascii="宋体" w:eastAsia="宋体" w:hAnsi="宋体" w:cs="宋体" w:hint="eastAsia"/>
                <w:bCs/>
                <w:kern w:val="2"/>
                <w:sz w:val="21"/>
                <w:szCs w:val="21"/>
                <w:lang w:eastAsia="zh-CN"/>
              </w:rPr>
            </w:pPr>
          </w:p>
        </w:tc>
        <w:tc>
          <w:tcPr>
            <w:tcW w:w="1500" w:type="dxa"/>
            <w:vAlign w:val="center"/>
          </w:tcPr>
          <w:p>
            <w:pPr>
              <w:widowControl w:val="0"/>
              <w:ind w:firstLine="420" w:firstLineChars="200"/>
              <w:jc w:val="center"/>
              <w:rPr>
                <w:rFonts w:ascii="宋体" w:eastAsia="宋体" w:hAnsi="宋体" w:cs="宋体" w:hint="eastAsia"/>
                <w:bCs/>
                <w:kern w:val="2"/>
                <w:sz w:val="21"/>
                <w:szCs w:val="21"/>
                <w:lang w:eastAsia="zh-CN"/>
              </w:rPr>
            </w:pPr>
          </w:p>
        </w:tc>
      </w:tr>
      <w:tr>
        <w:tblPrEx>
          <w:tblW w:w="5000" w:type="pct"/>
          <w:tblInd w:w="-176" w:type="dxa"/>
          <w:tblLayout w:type="fixed"/>
          <w:tblCellMar>
            <w:top w:w="0" w:type="dxa"/>
            <w:left w:w="108" w:type="dxa"/>
            <w:bottom w:w="0" w:type="dxa"/>
            <w:right w:w="108" w:type="dxa"/>
          </w:tblCellMar>
          <w:tblLook w:val="0000"/>
        </w:tblPrEx>
        <w:trPr>
          <w:cantSplit/>
          <w:trHeight w:val="1012"/>
        </w:trPr>
        <w:tc>
          <w:tcPr>
            <w:tcW w:w="426"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868" w:type="dxa"/>
            <w:vMerge/>
            <w:vAlign w:val="center"/>
          </w:tcPr>
          <w:p>
            <w:pPr>
              <w:widowControl w:val="0"/>
              <w:ind w:firstLine="420" w:firstLineChars="200"/>
              <w:jc w:val="center"/>
              <w:rPr>
                <w:rFonts w:ascii="宋体" w:eastAsia="宋体" w:hAnsi="宋体" w:cs="宋体" w:hint="eastAsia"/>
                <w:bCs/>
                <w:kern w:val="2"/>
                <w:sz w:val="21"/>
                <w:szCs w:val="21"/>
                <w:lang w:eastAsia="zh-CN"/>
              </w:rPr>
            </w:pPr>
          </w:p>
        </w:tc>
        <w:tc>
          <w:tcPr>
            <w:tcW w:w="75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蚊蝇</w:t>
            </w:r>
          </w:p>
        </w:tc>
        <w:tc>
          <w:tcPr>
            <w:tcW w:w="3186"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用家虫清、奋斗呐悬浮剂喷洒，每周不少于二次</w:t>
            </w:r>
          </w:p>
        </w:tc>
        <w:tc>
          <w:tcPr>
            <w:tcW w:w="2595" w:type="dxa"/>
            <w:vAlign w:val="center"/>
          </w:tcPr>
          <w:p>
            <w:pPr>
              <w:widowControl w:val="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用球形芽孢喷洒两次</w:t>
            </w:r>
          </w:p>
        </w:tc>
        <w:tc>
          <w:tcPr>
            <w:tcW w:w="1500" w:type="dxa"/>
            <w:vAlign w:val="center"/>
          </w:tcPr>
          <w:p>
            <w:pPr>
              <w:widowControl w:val="0"/>
              <w:ind w:firstLine="420" w:firstLineChars="200"/>
              <w:jc w:val="center"/>
              <w:rPr>
                <w:rFonts w:ascii="宋体" w:eastAsia="宋体" w:hAnsi="宋体" w:cs="宋体" w:hint="eastAsia"/>
                <w:bCs/>
                <w:kern w:val="2"/>
                <w:sz w:val="21"/>
                <w:szCs w:val="21"/>
                <w:lang w:eastAsia="zh-CN"/>
              </w:rPr>
            </w:pPr>
          </w:p>
        </w:tc>
      </w:tr>
    </w:tbl>
    <w:p>
      <w:pPr>
        <w:widowControl w:val="0"/>
        <w:adjustRightInd w:val="0"/>
        <w:snapToGrid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5.会务和活动现场的清洁服务</w:t>
      </w:r>
    </w:p>
    <w:p>
      <w:pPr>
        <w:widowControl w:val="0"/>
        <w:numPr>
          <w:ilvl w:val="0"/>
          <w:numId w:val="2"/>
        </w:numPr>
        <w:spacing w:before="120" w:after="120"/>
        <w:ind w:left="562" w:firstLine="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大、小型会议的会场布置及会务前后的清洁工作；</w:t>
      </w:r>
    </w:p>
    <w:p>
      <w:pPr>
        <w:widowControl w:val="0"/>
        <w:numPr>
          <w:ilvl w:val="0"/>
          <w:numId w:val="2"/>
        </w:numPr>
        <w:ind w:left="562" w:firstLine="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协助做好大型会议公务活动或临时性会议的相关工作。</w:t>
      </w:r>
    </w:p>
    <w:p>
      <w:pPr>
        <w:widowControl w:val="0"/>
        <w:adjustRightInd w:val="0"/>
        <w:snapToGrid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6.物业档案资料管理</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（1）严格执行档案管理制度；</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（2）对车辆出入，来访人员的信息登记并存档；</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 xml:space="preserve">（3）严格执行保密制度，未获得允许不得擅自借阅翻看档案资料。 </w:t>
      </w:r>
    </w:p>
    <w:p>
      <w:pPr>
        <w:widowControl w:val="0"/>
        <w:adjustRightInd w:val="0"/>
        <w:snapToGrid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7.协助做好流行性疾病的应急处置和防控工作</w:t>
      </w:r>
    </w:p>
    <w:p>
      <w:pPr>
        <w:widowControl w:val="0"/>
        <w:spacing w:line="560" w:lineRule="exact"/>
        <w:ind w:left="319" w:firstLine="210" w:leftChars="133" w:firstLineChars="1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（1）宣传普及各类传染疾病及突发公共卫生事件防治知识，完善传染病及突发公共卫生事件信息采集，做到早发现，早报告。</w:t>
      </w:r>
    </w:p>
    <w:p>
      <w:pPr>
        <w:widowControl w:val="0"/>
        <w:spacing w:line="560" w:lineRule="exact"/>
        <w:ind w:firstLine="420" w:firstLineChars="200"/>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fldChar w:fldCharType="begin"/>
      </w:r>
      <w:r>
        <w:rPr>
          <w:rFonts w:ascii="宋体" w:eastAsia="宋体" w:hAnsi="宋体" w:cs="宋体" w:hint="eastAsia"/>
          <w:bCs/>
          <w:kern w:val="2"/>
          <w:sz w:val="21"/>
          <w:szCs w:val="21"/>
          <w:lang w:eastAsia="zh-CN"/>
        </w:rPr>
        <w:instrText xml:space="preserve"> EQ \o\ac(</w:instrText>
      </w:r>
      <w:r>
        <w:rPr>
          <w:rFonts w:ascii="宋体" w:eastAsia="宋体" w:hAnsi="宋体" w:cs="宋体" w:hint="eastAsia"/>
          <w:bCs/>
          <w:kern w:val="2"/>
          <w:position w:val="-4"/>
          <w:sz w:val="31"/>
          <w:szCs w:val="21"/>
          <w:lang w:eastAsia="zh-CN"/>
        </w:rPr>
        <w:instrText>○</w:instrText>
      </w:r>
      <w:r>
        <w:rPr>
          <w:rFonts w:ascii="宋体" w:eastAsia="宋体" w:hAnsi="宋体" w:cs="宋体" w:hint="eastAsia"/>
          <w:bCs/>
          <w:kern w:val="2"/>
          <w:sz w:val="21"/>
          <w:szCs w:val="21"/>
          <w:lang w:eastAsia="zh-CN"/>
        </w:rPr>
        <w:instrText>,1)</w:instrText>
      </w:r>
      <w:r>
        <w:rPr>
          <w:rFonts w:ascii="宋体" w:eastAsia="宋体" w:hAnsi="宋体" w:cs="宋体" w:hint="eastAsia"/>
          <w:bCs/>
          <w:kern w:val="2"/>
          <w:sz w:val="21"/>
          <w:szCs w:val="21"/>
          <w:lang w:eastAsia="zh-CN"/>
        </w:rPr>
        <w:fldChar w:fldCharType="separate"/>
      </w:r>
      <w:r>
        <w:rPr>
          <w:rFonts w:ascii="宋体" w:eastAsia="宋体" w:hAnsi="宋体" w:cs="宋体" w:hint="eastAsia"/>
          <w:bCs/>
          <w:kern w:val="2"/>
          <w:sz w:val="21"/>
          <w:szCs w:val="21"/>
          <w:lang w:eastAsia="zh-CN"/>
        </w:rPr>
        <w:fldChar w:fldCharType="end"/>
      </w:r>
      <w:r>
        <w:rPr>
          <w:rFonts w:ascii="宋体" w:eastAsia="宋体" w:hAnsi="宋体" w:cs="宋体" w:hint="eastAsia"/>
          <w:bCs/>
          <w:kern w:val="2"/>
          <w:sz w:val="21"/>
          <w:szCs w:val="21"/>
          <w:lang w:eastAsia="zh-CN"/>
        </w:rPr>
        <w:t>发放相关宣传手册、张贴相关海报等预防宣传资料；</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fldChar w:fldCharType="begin"/>
      </w:r>
      <w:r>
        <w:rPr>
          <w:rFonts w:ascii="宋体" w:eastAsia="宋体" w:hAnsi="宋体" w:cs="宋体" w:hint="eastAsia"/>
          <w:bCs/>
          <w:kern w:val="2"/>
          <w:sz w:val="21"/>
          <w:szCs w:val="21"/>
          <w:lang w:eastAsia="zh-CN"/>
        </w:rPr>
        <w:instrText xml:space="preserve"> EQ \o\ac(</w:instrText>
      </w:r>
      <w:r>
        <w:rPr>
          <w:rFonts w:ascii="宋体" w:eastAsia="宋体" w:hAnsi="宋体" w:cs="宋体" w:hint="eastAsia"/>
          <w:bCs/>
          <w:kern w:val="2"/>
          <w:position w:val="-4"/>
          <w:sz w:val="31"/>
          <w:szCs w:val="21"/>
          <w:lang w:eastAsia="zh-CN"/>
        </w:rPr>
        <w:instrText>○</w:instrText>
      </w:r>
      <w:r>
        <w:rPr>
          <w:rFonts w:ascii="宋体" w:eastAsia="宋体" w:hAnsi="宋体" w:cs="宋体" w:hint="eastAsia"/>
          <w:bCs/>
          <w:kern w:val="2"/>
          <w:sz w:val="21"/>
          <w:szCs w:val="21"/>
          <w:lang w:eastAsia="zh-CN"/>
        </w:rPr>
        <w:instrText>,2)</w:instrText>
      </w:r>
      <w:r>
        <w:rPr>
          <w:rFonts w:ascii="宋体" w:eastAsia="宋体" w:hAnsi="宋体" w:cs="宋体" w:hint="eastAsia"/>
          <w:bCs/>
          <w:kern w:val="2"/>
          <w:sz w:val="21"/>
          <w:szCs w:val="21"/>
          <w:lang w:eastAsia="zh-CN"/>
        </w:rPr>
        <w:fldChar w:fldCharType="separate"/>
      </w:r>
      <w:r>
        <w:rPr>
          <w:rFonts w:ascii="宋体" w:eastAsia="宋体" w:hAnsi="宋体" w:cs="宋体" w:hint="eastAsia"/>
          <w:bCs/>
          <w:kern w:val="2"/>
          <w:sz w:val="21"/>
          <w:szCs w:val="21"/>
          <w:lang w:eastAsia="zh-CN"/>
        </w:rPr>
        <w:fldChar w:fldCharType="end"/>
      </w:r>
      <w:r>
        <w:rPr>
          <w:rFonts w:ascii="宋体" w:eastAsia="宋体" w:hAnsi="宋体" w:cs="宋体" w:hint="eastAsia"/>
          <w:bCs/>
          <w:kern w:val="2"/>
          <w:sz w:val="21"/>
          <w:szCs w:val="21"/>
          <w:lang w:eastAsia="zh-CN"/>
        </w:rPr>
        <w:t>进行预防知识科普口头讲解、答疑解惑等。</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（2）成立流行性疾病防控应急处置小组，包括但不限于以下工作内容：</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fldChar w:fldCharType="begin"/>
      </w:r>
      <w:r>
        <w:rPr>
          <w:rFonts w:ascii="宋体" w:eastAsia="宋体" w:hAnsi="宋体" w:cs="宋体" w:hint="eastAsia"/>
          <w:bCs/>
          <w:kern w:val="2"/>
          <w:sz w:val="21"/>
          <w:szCs w:val="21"/>
          <w:lang w:eastAsia="zh-CN"/>
        </w:rPr>
        <w:instrText xml:space="preserve"> EQ \o\ac(</w:instrText>
      </w:r>
      <w:r>
        <w:rPr>
          <w:rFonts w:ascii="宋体" w:eastAsia="宋体" w:hAnsi="宋体" w:cs="宋体" w:hint="eastAsia"/>
          <w:bCs/>
          <w:kern w:val="2"/>
          <w:position w:val="-4"/>
          <w:sz w:val="31"/>
          <w:szCs w:val="21"/>
          <w:lang w:eastAsia="zh-CN"/>
        </w:rPr>
        <w:instrText>○</w:instrText>
      </w:r>
      <w:r>
        <w:rPr>
          <w:rFonts w:ascii="宋体" w:eastAsia="宋体" w:hAnsi="宋体" w:cs="宋体" w:hint="eastAsia"/>
          <w:bCs/>
          <w:kern w:val="2"/>
          <w:sz w:val="21"/>
          <w:szCs w:val="21"/>
          <w:lang w:eastAsia="zh-CN"/>
        </w:rPr>
        <w:instrText>,1)</w:instrText>
      </w:r>
      <w:r>
        <w:rPr>
          <w:rFonts w:ascii="宋体" w:eastAsia="宋体" w:hAnsi="宋体" w:cs="宋体" w:hint="eastAsia"/>
          <w:bCs/>
          <w:kern w:val="2"/>
          <w:sz w:val="21"/>
          <w:szCs w:val="21"/>
          <w:lang w:eastAsia="zh-CN"/>
        </w:rPr>
        <w:fldChar w:fldCharType="separate"/>
      </w:r>
      <w:r>
        <w:rPr>
          <w:rFonts w:ascii="宋体" w:eastAsia="宋体" w:hAnsi="宋体" w:cs="宋体" w:hint="eastAsia"/>
          <w:bCs/>
          <w:kern w:val="2"/>
          <w:sz w:val="21"/>
          <w:szCs w:val="21"/>
          <w:lang w:eastAsia="zh-CN"/>
        </w:rPr>
        <w:fldChar w:fldCharType="end"/>
      </w:r>
      <w:r>
        <w:rPr>
          <w:rFonts w:ascii="宋体" w:eastAsia="宋体" w:hAnsi="宋体" w:cs="宋体" w:hint="eastAsia"/>
          <w:bCs/>
          <w:kern w:val="2"/>
          <w:sz w:val="21"/>
          <w:szCs w:val="21"/>
          <w:lang w:eastAsia="zh-CN"/>
        </w:rPr>
        <w:t>成立由秩序维护人员、保洁人员组成的流行性疾病防控应急处置小组，由</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物业卫生组长</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担任负责人，协助采购单位做好流行性疾病防控工作；</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fldChar w:fldCharType="begin"/>
      </w:r>
      <w:r>
        <w:rPr>
          <w:rFonts w:ascii="宋体" w:eastAsia="宋体" w:hAnsi="宋体" w:cs="宋体" w:hint="eastAsia"/>
          <w:bCs/>
          <w:kern w:val="2"/>
          <w:sz w:val="21"/>
          <w:szCs w:val="21"/>
          <w:lang w:eastAsia="zh-CN"/>
        </w:rPr>
        <w:instrText xml:space="preserve"> EQ \o\ac(</w:instrText>
      </w:r>
      <w:r>
        <w:rPr>
          <w:rFonts w:ascii="宋体" w:eastAsia="宋体" w:hAnsi="宋体" w:cs="宋体" w:hint="eastAsia"/>
          <w:bCs/>
          <w:kern w:val="2"/>
          <w:position w:val="-4"/>
          <w:sz w:val="31"/>
          <w:szCs w:val="21"/>
          <w:lang w:eastAsia="zh-CN"/>
        </w:rPr>
        <w:instrText>○</w:instrText>
      </w:r>
      <w:r>
        <w:rPr>
          <w:rFonts w:ascii="宋体" w:eastAsia="宋体" w:hAnsi="宋体" w:cs="宋体" w:hint="eastAsia"/>
          <w:bCs/>
          <w:kern w:val="2"/>
          <w:sz w:val="21"/>
          <w:szCs w:val="21"/>
          <w:lang w:eastAsia="zh-CN"/>
        </w:rPr>
        <w:instrText>,2)</w:instrText>
      </w:r>
      <w:r>
        <w:rPr>
          <w:rFonts w:ascii="宋体" w:eastAsia="宋体" w:hAnsi="宋体" w:cs="宋体" w:hint="eastAsia"/>
          <w:bCs/>
          <w:kern w:val="2"/>
          <w:sz w:val="21"/>
          <w:szCs w:val="21"/>
          <w:lang w:eastAsia="zh-CN"/>
        </w:rPr>
        <w:fldChar w:fldCharType="separate"/>
      </w:r>
      <w:r>
        <w:rPr>
          <w:rFonts w:ascii="宋体" w:eastAsia="宋体" w:hAnsi="宋体" w:cs="宋体" w:hint="eastAsia"/>
          <w:bCs/>
          <w:kern w:val="2"/>
          <w:sz w:val="21"/>
          <w:szCs w:val="21"/>
          <w:lang w:eastAsia="zh-CN"/>
        </w:rPr>
        <w:fldChar w:fldCharType="end"/>
      </w:r>
      <w:r>
        <w:rPr>
          <w:rFonts w:ascii="宋体" w:eastAsia="宋体" w:hAnsi="宋体" w:cs="宋体" w:hint="eastAsia"/>
          <w:bCs/>
          <w:kern w:val="2"/>
          <w:sz w:val="21"/>
          <w:szCs w:val="21"/>
          <w:lang w:eastAsia="zh-CN"/>
        </w:rPr>
        <w:t>秩序维护人员需加大院内人员进出管理力度，严格登记外来人员的健康信息，发现可疑人员需及时上报采购单位；</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fldChar w:fldCharType="begin"/>
      </w:r>
      <w:r>
        <w:rPr>
          <w:rFonts w:ascii="宋体" w:eastAsia="宋体" w:hAnsi="宋体" w:cs="宋体" w:hint="eastAsia"/>
          <w:bCs/>
          <w:kern w:val="2"/>
          <w:sz w:val="21"/>
          <w:szCs w:val="21"/>
          <w:lang w:eastAsia="zh-CN"/>
        </w:rPr>
        <w:instrText xml:space="preserve"> EQ \o\ac(</w:instrText>
      </w:r>
      <w:r>
        <w:rPr>
          <w:rFonts w:ascii="宋体" w:eastAsia="宋体" w:hAnsi="宋体" w:cs="宋体" w:hint="eastAsia"/>
          <w:bCs/>
          <w:kern w:val="2"/>
          <w:position w:val="-4"/>
          <w:sz w:val="31"/>
          <w:szCs w:val="21"/>
          <w:lang w:eastAsia="zh-CN"/>
        </w:rPr>
        <w:instrText>○</w:instrText>
      </w:r>
      <w:r>
        <w:rPr>
          <w:rFonts w:ascii="宋体" w:eastAsia="宋体" w:hAnsi="宋体" w:cs="宋体" w:hint="eastAsia"/>
          <w:bCs/>
          <w:kern w:val="2"/>
          <w:sz w:val="21"/>
          <w:szCs w:val="21"/>
          <w:lang w:eastAsia="zh-CN"/>
        </w:rPr>
        <w:instrText>,3)</w:instrText>
      </w:r>
      <w:r>
        <w:rPr>
          <w:rFonts w:ascii="宋体" w:eastAsia="宋体" w:hAnsi="宋体" w:cs="宋体" w:hint="eastAsia"/>
          <w:bCs/>
          <w:kern w:val="2"/>
          <w:sz w:val="21"/>
          <w:szCs w:val="21"/>
          <w:lang w:eastAsia="zh-CN"/>
        </w:rPr>
        <w:fldChar w:fldCharType="separate"/>
      </w:r>
      <w:r>
        <w:rPr>
          <w:rFonts w:ascii="宋体" w:eastAsia="宋体" w:hAnsi="宋体" w:cs="宋体" w:hint="eastAsia"/>
          <w:bCs/>
          <w:kern w:val="2"/>
          <w:sz w:val="21"/>
          <w:szCs w:val="21"/>
          <w:lang w:eastAsia="zh-CN"/>
        </w:rPr>
        <w:fldChar w:fldCharType="end"/>
      </w:r>
      <w:r>
        <w:rPr>
          <w:rFonts w:ascii="宋体" w:eastAsia="宋体" w:hAnsi="宋体" w:cs="宋体" w:hint="eastAsia"/>
          <w:bCs/>
          <w:kern w:val="2"/>
          <w:sz w:val="21"/>
          <w:szCs w:val="21"/>
          <w:lang w:eastAsia="zh-CN"/>
        </w:rPr>
        <w:t>物业相关人员需协助采购单位及时处理突发公共卫生事件，将可能造成的危害降到最低程度；</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（3）遵守采购单位各项规章制度，严格执行交接班时间，严守职责，不得擅自离开岗位，不空岗。</w:t>
      </w:r>
    </w:p>
    <w:p>
      <w:pPr>
        <w:widowControl w:val="0"/>
        <w:adjustRightInd w:val="0"/>
        <w:snapToGrid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8.报刊、信件、快递的收发管理</w:t>
      </w:r>
    </w:p>
    <w:p>
      <w:pPr>
        <w:widowControl w:val="0"/>
        <w:adjustRightInd w:val="0"/>
        <w:snapToGrid w:val="0"/>
        <w:spacing w:line="560" w:lineRule="exact"/>
        <w:ind w:firstLine="561"/>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（1）指定专人做好办公楼报刊、信件、快递收发工作，每天及时分派报纸和信件、杂志，根据要求准确无误投放信箱或送至办公室，不得截留节假日期间的报纸。</w:t>
      </w:r>
    </w:p>
    <w:p>
      <w:pPr>
        <w:widowControl/>
        <w:adjustRightInd w:val="0"/>
        <w:snapToGrid w:val="0"/>
        <w:spacing w:line="560" w:lineRule="exact"/>
        <w:ind w:firstLine="561"/>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（2）对挂号信和特快专递要交到收件人处并签收，员工要有保密意识，不得泄露任何人隐私；对文件和各类通知发放要严格签收手续，以免误漏现象发生；</w:t>
      </w:r>
    </w:p>
    <w:p>
      <w:pPr>
        <w:widowControl/>
        <w:adjustRightInd w:val="0"/>
        <w:snapToGrid w:val="0"/>
        <w:spacing w:line="560" w:lineRule="exact"/>
        <w:ind w:firstLine="561"/>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（3）对所有投递错误的和地址、收件处或姓名不详者信件要在五天内处理</w:t>
      </w:r>
    </w:p>
    <w:p>
      <w:pPr>
        <w:widowControl/>
        <w:adjustRightInd w:val="0"/>
        <w:snapToGrid w:val="0"/>
        <w:spacing w:line="560" w:lineRule="exact"/>
        <w:ind w:firstLine="561"/>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9.保密管理</w:t>
      </w:r>
    </w:p>
    <w:p>
      <w:pPr>
        <w:widowControl/>
        <w:adjustRightInd w:val="0"/>
        <w:snapToGrid w:val="0"/>
        <w:spacing w:line="560" w:lineRule="exact"/>
        <w:ind w:firstLine="561"/>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（1）进行《中华人民共和国保密法》的专门培训，使每位员工都有良好的保密意识。</w:t>
      </w:r>
    </w:p>
    <w:p>
      <w:pPr>
        <w:widowControl/>
        <w:adjustRightInd w:val="0"/>
        <w:snapToGrid w:val="0"/>
        <w:spacing w:line="560" w:lineRule="exact"/>
        <w:ind w:firstLine="561"/>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（2）对发现的遗失文件、资料，不得随便传阅，应即时上交相关部门。</w:t>
      </w:r>
    </w:p>
    <w:p>
      <w:pPr>
        <w:widowControl/>
        <w:adjustRightInd w:val="0"/>
        <w:snapToGrid w:val="0"/>
        <w:spacing w:line="560" w:lineRule="exact"/>
        <w:ind w:firstLine="561"/>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（3）一律不得摘抄、外传、议论科室与物业管理无关的任何文件及方案。</w:t>
      </w:r>
    </w:p>
    <w:p>
      <w:pPr>
        <w:widowControl/>
        <w:adjustRightInd w:val="0"/>
        <w:snapToGrid w:val="0"/>
        <w:spacing w:line="560" w:lineRule="exact"/>
        <w:ind w:firstLine="561"/>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（4）严格控制外来人员在办公区域的录音、录像，对一切泄密行为立即制止并送有关部门处理。</w:t>
      </w:r>
    </w:p>
    <w:p>
      <w:pPr>
        <w:widowControl/>
        <w:adjustRightInd w:val="0"/>
        <w:snapToGrid w:val="0"/>
        <w:spacing w:line="560" w:lineRule="exact"/>
        <w:ind w:firstLine="561"/>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（5）不得泄露工作人员的私人电话、工作时间及生活规律。</w:t>
      </w:r>
    </w:p>
    <w:p>
      <w:pPr>
        <w:widowControl w:val="0"/>
        <w:adjustRightInd w:val="0"/>
        <w:snapToGrid w:val="0"/>
        <w:spacing w:line="560" w:lineRule="exact"/>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kern w:val="2"/>
          <w:sz w:val="21"/>
          <w:szCs w:val="21"/>
          <w:lang w:eastAsia="zh-CN"/>
        </w:rPr>
        <w:t>10.法律法规以及合同中规定的其它工作以及临时性工作和物业服务企业承担的其他事项。</w:t>
      </w:r>
    </w:p>
    <w:p>
      <w:pPr>
        <w:widowControl w:val="0"/>
        <w:spacing w:line="520" w:lineRule="exact"/>
        <w:ind w:firstLine="420" w:firstLineChars="20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（五）工作时间要求</w:t>
      </w:r>
    </w:p>
    <w:p>
      <w:pPr>
        <w:widowControl w:val="0"/>
        <w:adjustRightInd w:val="0"/>
        <w:snapToGrid w:val="0"/>
        <w:spacing w:line="560" w:lineRule="exact"/>
        <w:ind w:firstLine="561"/>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1.秩序维护员：实行24小时消防监控和安全防范，及时发现和处理各种安全事故隐患，迅速有效处置突发事件，每月工作21.75天。</w:t>
      </w:r>
    </w:p>
    <w:p>
      <w:pPr>
        <w:widowControl w:val="0"/>
        <w:adjustRightInd w:val="0"/>
        <w:snapToGrid w:val="0"/>
        <w:spacing w:line="560" w:lineRule="exact"/>
        <w:ind w:firstLine="561"/>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2.保洁员：周一至周五正常作息时间上班（具体每天上下班时间可根据采购方要求及时调整），每天工作8小时，每月工作21.75天。</w:t>
      </w:r>
    </w:p>
    <w:p>
      <w:pPr>
        <w:widowControl w:val="0"/>
        <w:adjustRightInd w:val="0"/>
        <w:snapToGrid w:val="0"/>
        <w:spacing w:line="560" w:lineRule="exact"/>
        <w:ind w:firstLine="561"/>
        <w:jc w:val="both"/>
        <w:rPr>
          <w:rFonts w:ascii="宋体" w:eastAsia="宋体" w:hAnsi="宋体" w:cs="宋体" w:hint="eastAsia"/>
          <w:b/>
          <w:bCs/>
          <w:kern w:val="2"/>
          <w:sz w:val="21"/>
          <w:szCs w:val="21"/>
          <w:lang w:eastAsia="zh-CN"/>
        </w:rPr>
      </w:pPr>
      <w:r>
        <w:rPr>
          <w:rFonts w:ascii="宋体" w:eastAsia="宋体" w:hAnsi="宋体" w:cs="宋体" w:hint="eastAsia"/>
          <w:bCs/>
          <w:kern w:val="2"/>
          <w:sz w:val="21"/>
          <w:szCs w:val="21"/>
          <w:lang w:eastAsia="zh-CN"/>
        </w:rPr>
        <w:t>3.绿化工：周一至周五正常作息时间上班（具体每天上下班时间可根据采购方要求及时调整），每天工作8小时，每月工作21.75天。</w:t>
      </w:r>
    </w:p>
    <w:p>
      <w:pPr>
        <w:widowControl w:val="0"/>
        <w:spacing w:line="520" w:lineRule="exact"/>
        <w:ind w:firstLine="420" w:firstLineChars="20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（六）服务成果要求</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1.物业管理服务理念应符合政府机关外在形象和优良办公秩序要求，且应满足科学、先进、适宜和可操作性要求，提供安全、舒适、温馨的工作及生活环境。</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2.物业管理服务的程序应符合政府部门办公特点及活动要求。</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3.人员的配备、培训与管理科学、合理，保证物业管理服务运行正常。</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4.安全保卫工作和维持办公秩序的整体设想和应急预案应完备、实用。</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5.安全管理、环境卫生管理等保障服务工作周到，且针对不同突发情况，有应急预案。</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6.物业管理服务中突击性工作与长效管理相结合且有计划性，与政府作息时间相匹配，不干扰正常办公。</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7.中标供应商须对其在服务期内所发生的生产、安全和交通事故负责，采购单位不承担任何责任。</w:t>
      </w:r>
    </w:p>
    <w:p>
      <w:pPr>
        <w:widowControl w:val="0"/>
        <w:spacing w:line="520" w:lineRule="exact"/>
        <w:ind w:firstLine="420" w:firstLineChars="20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（七）人员要求</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为了保证服务质量，人员配备必须遵守《劳动法》等相规定，避免引起劳动纠份，本项目配备人员清单如下：</w:t>
      </w:r>
    </w:p>
    <w:tbl>
      <w:tblPr>
        <w:tblStyle w:val="TableNormal"/>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1218"/>
        <w:gridCol w:w="2056"/>
        <w:gridCol w:w="2271"/>
        <w:gridCol w:w="2984"/>
      </w:tblGrid>
      <w:tr>
        <w:tblPrEx>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trHeight w:val="251"/>
        </w:trPr>
        <w:tc>
          <w:tcPr>
            <w:tcW w:w="1251" w:type="dxa"/>
            <w:tcBorders>
              <w:top w:val="single" w:sz="2" w:space="0" w:color="auto"/>
              <w:left w:val="single" w:sz="2" w:space="0" w:color="auto"/>
              <w:right w:val="single" w:sz="6" w:space="0" w:color="auto"/>
            </w:tcBorders>
            <w:vAlign w:val="center"/>
          </w:tcPr>
          <w:p>
            <w:pPr>
              <w:widowControl w:val="0"/>
              <w:spacing w:line="360" w:lineRule="auto"/>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2116" w:type="dxa"/>
            <w:tcBorders>
              <w:top w:val="single" w:sz="2" w:space="0" w:color="auto"/>
              <w:left w:val="single" w:sz="6" w:space="0" w:color="auto"/>
              <w:right w:val="single" w:sz="6" w:space="0" w:color="auto"/>
            </w:tcBorders>
            <w:vAlign w:val="center"/>
          </w:tcPr>
          <w:p>
            <w:pPr>
              <w:widowControl w:val="0"/>
              <w:spacing w:line="360" w:lineRule="auto"/>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岗位</w:t>
            </w:r>
          </w:p>
        </w:tc>
        <w:tc>
          <w:tcPr>
            <w:tcW w:w="2339" w:type="dxa"/>
            <w:tcBorders>
              <w:top w:val="single" w:sz="2" w:space="0" w:color="auto"/>
              <w:left w:val="single" w:sz="6" w:space="0" w:color="auto"/>
              <w:bottom w:val="single" w:sz="6" w:space="0" w:color="auto"/>
              <w:right w:val="single" w:sz="2" w:space="0" w:color="auto"/>
            </w:tcBorders>
            <w:vAlign w:val="center"/>
          </w:tcPr>
          <w:p>
            <w:pPr>
              <w:widowControl w:val="0"/>
              <w:spacing w:line="360" w:lineRule="auto"/>
              <w:ind w:firstLine="420" w:firstLineChars="20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人数</w:t>
            </w:r>
          </w:p>
        </w:tc>
        <w:tc>
          <w:tcPr>
            <w:tcW w:w="3075" w:type="dxa"/>
            <w:tcBorders>
              <w:top w:val="single" w:sz="2" w:space="0" w:color="auto"/>
              <w:left w:val="single" w:sz="4" w:space="0" w:color="auto"/>
              <w:right w:val="single" w:sz="2" w:space="0" w:color="auto"/>
            </w:tcBorders>
            <w:vAlign w:val="center"/>
          </w:tcPr>
          <w:p>
            <w:pPr>
              <w:widowControl w:val="0"/>
              <w:spacing w:line="360" w:lineRule="auto"/>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备注</w:t>
            </w:r>
          </w:p>
        </w:tc>
      </w:tr>
      <w:tr>
        <w:tblPrEx>
          <w:tblW w:w="5000" w:type="pct"/>
          <w:tblLayout w:type="fixed"/>
          <w:tblCellMar>
            <w:top w:w="0" w:type="dxa"/>
            <w:left w:w="108" w:type="dxa"/>
            <w:bottom w:w="0" w:type="dxa"/>
            <w:right w:w="108" w:type="dxa"/>
          </w:tblCellMar>
          <w:tblLook w:val="0000"/>
        </w:tblPrEx>
        <w:trPr>
          <w:trHeight w:val="251"/>
        </w:trPr>
        <w:tc>
          <w:tcPr>
            <w:tcW w:w="8781" w:type="dxa"/>
            <w:gridSpan w:val="4"/>
            <w:tcBorders>
              <w:top w:val="single" w:sz="2" w:space="0" w:color="auto"/>
              <w:left w:val="single" w:sz="2" w:space="0" w:color="auto"/>
              <w:bottom w:val="single" w:sz="4" w:space="0" w:color="auto"/>
              <w:right w:val="single" w:sz="2" w:space="0" w:color="auto"/>
            </w:tcBorders>
            <w:vAlign w:val="center"/>
          </w:tcPr>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一、1号雨水泵站</w:t>
            </w:r>
          </w:p>
        </w:tc>
      </w:tr>
      <w:tr>
        <w:tblPrEx>
          <w:tblW w:w="5000" w:type="pct"/>
          <w:tblLayout w:type="fixed"/>
          <w:tblCellMar>
            <w:top w:w="0" w:type="dxa"/>
            <w:left w:w="108" w:type="dxa"/>
            <w:bottom w:w="0" w:type="dxa"/>
            <w:right w:w="108" w:type="dxa"/>
          </w:tblCellMar>
          <w:tblLook w:val="0000"/>
        </w:tblPrEx>
        <w:trPr>
          <w:trHeight w:val="251"/>
        </w:trPr>
        <w:tc>
          <w:tcPr>
            <w:tcW w:w="1251" w:type="dxa"/>
            <w:tcBorders>
              <w:top w:val="single" w:sz="4" w:space="0" w:color="auto"/>
              <w:left w:val="single" w:sz="2" w:space="0" w:color="auto"/>
              <w:bottom w:val="single" w:sz="6" w:space="0" w:color="auto"/>
              <w:right w:val="single" w:sz="6" w:space="0" w:color="auto"/>
            </w:tcBorders>
            <w:vAlign w:val="center"/>
          </w:tcPr>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2116" w:type="dxa"/>
            <w:tcBorders>
              <w:top w:val="single" w:sz="4" w:space="0" w:color="auto"/>
              <w:left w:val="single" w:sz="6" w:space="0" w:color="auto"/>
              <w:bottom w:val="single" w:sz="6" w:space="0" w:color="auto"/>
              <w:right w:val="single" w:sz="6" w:space="0" w:color="auto"/>
            </w:tcBorders>
            <w:vAlign w:val="center"/>
          </w:tcPr>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秩序维护人员</w:t>
            </w:r>
          </w:p>
        </w:tc>
        <w:tc>
          <w:tcPr>
            <w:tcW w:w="2339" w:type="dxa"/>
            <w:tcBorders>
              <w:top w:val="single" w:sz="2" w:space="0" w:color="auto"/>
              <w:left w:val="single" w:sz="6" w:space="0" w:color="auto"/>
              <w:bottom w:val="single" w:sz="6" w:space="0" w:color="auto"/>
              <w:right w:val="single" w:sz="2" w:space="0" w:color="auto"/>
            </w:tcBorders>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4人</w:t>
            </w:r>
          </w:p>
        </w:tc>
        <w:tc>
          <w:tcPr>
            <w:tcW w:w="3075" w:type="dxa"/>
            <w:tcBorders>
              <w:top w:val="single" w:sz="2" w:space="0" w:color="auto"/>
              <w:left w:val="single" w:sz="4" w:space="0" w:color="auto"/>
              <w:bottom w:val="single" w:sz="6" w:space="0" w:color="auto"/>
              <w:right w:val="single" w:sz="2" w:space="0" w:color="auto"/>
            </w:tcBorders>
            <w:vAlign w:val="center"/>
          </w:tcPr>
          <w:p>
            <w:pPr>
              <w:widowControl w:val="0"/>
              <w:spacing w:line="36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含安全主管</w:t>
            </w:r>
          </w:p>
        </w:tc>
      </w:tr>
      <w:tr>
        <w:tblPrEx>
          <w:tblW w:w="5000" w:type="pct"/>
          <w:tblLayout w:type="fixed"/>
          <w:tblCellMar>
            <w:top w:w="0" w:type="dxa"/>
            <w:left w:w="108" w:type="dxa"/>
            <w:bottom w:w="0" w:type="dxa"/>
            <w:right w:w="108" w:type="dxa"/>
          </w:tblCellMar>
          <w:tblLook w:val="0000"/>
        </w:tblPrEx>
        <w:trPr>
          <w:trHeight w:val="251"/>
        </w:trPr>
        <w:tc>
          <w:tcPr>
            <w:tcW w:w="1251" w:type="dxa"/>
            <w:tcBorders>
              <w:left w:val="single" w:sz="2" w:space="0" w:color="auto"/>
              <w:bottom w:val="single" w:sz="6" w:space="0" w:color="auto"/>
              <w:right w:val="single" w:sz="6" w:space="0" w:color="auto"/>
            </w:tcBorders>
            <w:vAlign w:val="center"/>
          </w:tcPr>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2116" w:type="dxa"/>
            <w:tcBorders>
              <w:top w:val="single" w:sz="2" w:space="0" w:color="auto"/>
              <w:left w:val="single" w:sz="6" w:space="0" w:color="auto"/>
              <w:bottom w:val="single" w:sz="6" w:space="0" w:color="auto"/>
              <w:right w:val="single" w:sz="6" w:space="0" w:color="auto"/>
            </w:tcBorders>
            <w:vAlign w:val="center"/>
          </w:tcPr>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保洁员</w:t>
            </w:r>
          </w:p>
        </w:tc>
        <w:tc>
          <w:tcPr>
            <w:tcW w:w="2339" w:type="dxa"/>
            <w:tcBorders>
              <w:top w:val="single" w:sz="2" w:space="0" w:color="auto"/>
              <w:left w:val="single" w:sz="6" w:space="0" w:color="auto"/>
              <w:bottom w:val="single" w:sz="6" w:space="0" w:color="auto"/>
              <w:right w:val="single" w:sz="2" w:space="0" w:color="auto"/>
            </w:tcBorders>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3人</w:t>
            </w:r>
          </w:p>
        </w:tc>
        <w:tc>
          <w:tcPr>
            <w:tcW w:w="3075" w:type="dxa"/>
            <w:tcBorders>
              <w:top w:val="single" w:sz="2" w:space="0" w:color="auto"/>
              <w:left w:val="single" w:sz="4" w:space="0" w:color="auto"/>
              <w:bottom w:val="single" w:sz="6" w:space="0" w:color="auto"/>
              <w:right w:val="single" w:sz="2" w:space="0" w:color="auto"/>
            </w:tcBorders>
            <w:vAlign w:val="center"/>
          </w:tcPr>
          <w:p>
            <w:pPr>
              <w:widowControl w:val="0"/>
              <w:spacing w:line="36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含保洁主管、绿化消杀主管</w:t>
            </w:r>
          </w:p>
        </w:tc>
      </w:tr>
      <w:tr>
        <w:tblPrEx>
          <w:tblW w:w="5000" w:type="pct"/>
          <w:tblLayout w:type="fixed"/>
          <w:tblCellMar>
            <w:top w:w="0" w:type="dxa"/>
            <w:left w:w="108" w:type="dxa"/>
            <w:bottom w:w="0" w:type="dxa"/>
            <w:right w:w="108" w:type="dxa"/>
          </w:tblCellMar>
          <w:tblLook w:val="0000"/>
        </w:tblPrEx>
        <w:trPr>
          <w:trHeight w:val="470"/>
        </w:trPr>
        <w:tc>
          <w:tcPr>
            <w:tcW w:w="3367" w:type="dxa"/>
            <w:gridSpan w:val="2"/>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小计</w:t>
            </w:r>
          </w:p>
        </w:tc>
        <w:tc>
          <w:tcPr>
            <w:tcW w:w="2339" w:type="dxa"/>
            <w:tcBorders>
              <w:right w:val="single" w:sz="4" w:space="0" w:color="auto"/>
            </w:tcBorders>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7人</w:t>
            </w:r>
          </w:p>
        </w:tc>
        <w:tc>
          <w:tcPr>
            <w:tcW w:w="3075" w:type="dxa"/>
            <w:tcBorders>
              <w:left w:val="single" w:sz="4" w:space="0" w:color="auto"/>
            </w:tcBorders>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p>
        </w:tc>
      </w:tr>
      <w:tr>
        <w:tblPrEx>
          <w:tblW w:w="5000" w:type="pct"/>
          <w:tblLayout w:type="fixed"/>
          <w:tblCellMar>
            <w:top w:w="0" w:type="dxa"/>
            <w:left w:w="108" w:type="dxa"/>
            <w:bottom w:w="0" w:type="dxa"/>
            <w:right w:w="108" w:type="dxa"/>
          </w:tblCellMar>
          <w:tblLook w:val="0000"/>
        </w:tblPrEx>
        <w:trPr>
          <w:trHeight w:val="234"/>
        </w:trPr>
        <w:tc>
          <w:tcPr>
            <w:tcW w:w="8781" w:type="dxa"/>
            <w:gridSpan w:val="4"/>
            <w:vAlign w:val="center"/>
          </w:tcPr>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二、2号雨水泵站</w:t>
            </w:r>
          </w:p>
        </w:tc>
      </w:tr>
      <w:tr>
        <w:tblPrEx>
          <w:tblW w:w="5000" w:type="pct"/>
          <w:tblLayout w:type="fixed"/>
          <w:tblCellMar>
            <w:top w:w="0" w:type="dxa"/>
            <w:left w:w="108" w:type="dxa"/>
            <w:bottom w:w="0" w:type="dxa"/>
            <w:right w:w="108" w:type="dxa"/>
          </w:tblCellMar>
          <w:tblLook w:val="0000"/>
        </w:tblPrEx>
        <w:trPr>
          <w:trHeight w:val="234"/>
        </w:trPr>
        <w:tc>
          <w:tcPr>
            <w:tcW w:w="1251" w:type="dxa"/>
            <w:vAlign w:val="center"/>
          </w:tcPr>
          <w:p>
            <w:pPr>
              <w:widowControl w:val="0"/>
              <w:spacing w:line="36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2116" w:type="dxa"/>
            <w:vAlign w:val="center"/>
          </w:tcPr>
          <w:p>
            <w:pPr>
              <w:widowControl w:val="0"/>
              <w:spacing w:line="36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秩序维护人员</w:t>
            </w:r>
          </w:p>
        </w:tc>
        <w:tc>
          <w:tcPr>
            <w:tcW w:w="2339" w:type="dxa"/>
            <w:tcBorders>
              <w:right w:val="single" w:sz="4" w:space="0" w:color="auto"/>
            </w:tcBorders>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4人</w:t>
            </w:r>
          </w:p>
        </w:tc>
        <w:tc>
          <w:tcPr>
            <w:tcW w:w="3075" w:type="dxa"/>
            <w:tcBorders>
              <w:left w:val="single" w:sz="4" w:space="0" w:color="auto"/>
            </w:tcBorders>
            <w:vAlign w:val="center"/>
          </w:tcPr>
          <w:p>
            <w:pPr>
              <w:widowControl w:val="0"/>
              <w:spacing w:line="36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含项目负责人、安全主管</w:t>
            </w:r>
          </w:p>
        </w:tc>
      </w:tr>
      <w:tr>
        <w:tblPrEx>
          <w:tblW w:w="5000" w:type="pct"/>
          <w:tblLayout w:type="fixed"/>
          <w:tblCellMar>
            <w:top w:w="0" w:type="dxa"/>
            <w:left w:w="108" w:type="dxa"/>
            <w:bottom w:w="0" w:type="dxa"/>
            <w:right w:w="108" w:type="dxa"/>
          </w:tblCellMar>
          <w:tblLook w:val="0000"/>
        </w:tblPrEx>
        <w:trPr>
          <w:trHeight w:val="234"/>
        </w:trPr>
        <w:tc>
          <w:tcPr>
            <w:tcW w:w="1251" w:type="dxa"/>
            <w:vAlign w:val="center"/>
          </w:tcPr>
          <w:p>
            <w:pPr>
              <w:widowControl w:val="0"/>
              <w:spacing w:line="36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2116" w:type="dxa"/>
            <w:vAlign w:val="center"/>
          </w:tcPr>
          <w:p>
            <w:pPr>
              <w:widowControl w:val="0"/>
              <w:spacing w:line="36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保洁员</w:t>
            </w:r>
          </w:p>
        </w:tc>
        <w:tc>
          <w:tcPr>
            <w:tcW w:w="2339" w:type="dxa"/>
            <w:tcBorders>
              <w:right w:val="single" w:sz="4" w:space="0" w:color="auto"/>
            </w:tcBorders>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2人</w:t>
            </w:r>
          </w:p>
        </w:tc>
        <w:tc>
          <w:tcPr>
            <w:tcW w:w="3075" w:type="dxa"/>
            <w:tcBorders>
              <w:left w:val="single" w:sz="4" w:space="0" w:color="auto"/>
            </w:tcBorders>
            <w:vAlign w:val="center"/>
          </w:tcPr>
          <w:p>
            <w:pPr>
              <w:widowControl w:val="0"/>
              <w:spacing w:line="36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含保洁主管、绿化消杀主管</w:t>
            </w:r>
          </w:p>
        </w:tc>
      </w:tr>
      <w:tr>
        <w:tblPrEx>
          <w:tblW w:w="5000" w:type="pct"/>
          <w:tblLayout w:type="fixed"/>
          <w:tblCellMar>
            <w:top w:w="0" w:type="dxa"/>
            <w:left w:w="108" w:type="dxa"/>
            <w:bottom w:w="0" w:type="dxa"/>
            <w:right w:w="108" w:type="dxa"/>
          </w:tblCellMar>
          <w:tblLook w:val="0000"/>
        </w:tblPrEx>
        <w:trPr>
          <w:trHeight w:val="234"/>
        </w:trPr>
        <w:tc>
          <w:tcPr>
            <w:tcW w:w="3367" w:type="dxa"/>
            <w:gridSpan w:val="2"/>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小计</w:t>
            </w:r>
          </w:p>
        </w:tc>
        <w:tc>
          <w:tcPr>
            <w:tcW w:w="2339" w:type="dxa"/>
            <w:tcBorders>
              <w:right w:val="single" w:sz="4" w:space="0" w:color="auto"/>
            </w:tcBorders>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6人</w:t>
            </w:r>
          </w:p>
        </w:tc>
        <w:tc>
          <w:tcPr>
            <w:tcW w:w="3075" w:type="dxa"/>
            <w:tcBorders>
              <w:left w:val="single" w:sz="4" w:space="0" w:color="auto"/>
            </w:tcBorders>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p>
        </w:tc>
      </w:tr>
      <w:tr>
        <w:tblPrEx>
          <w:tblW w:w="5000" w:type="pct"/>
          <w:tblLayout w:type="fixed"/>
          <w:tblCellMar>
            <w:top w:w="0" w:type="dxa"/>
            <w:left w:w="108" w:type="dxa"/>
            <w:bottom w:w="0" w:type="dxa"/>
            <w:right w:w="108" w:type="dxa"/>
          </w:tblCellMar>
          <w:tblLook w:val="0000"/>
        </w:tblPrEx>
        <w:trPr>
          <w:trHeight w:val="234"/>
        </w:trPr>
        <w:tc>
          <w:tcPr>
            <w:tcW w:w="3367" w:type="dxa"/>
            <w:gridSpan w:val="2"/>
            <w:vAlign w:val="center"/>
          </w:tcPr>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三、绿化工</w:t>
            </w:r>
          </w:p>
        </w:tc>
        <w:tc>
          <w:tcPr>
            <w:tcW w:w="2339" w:type="dxa"/>
            <w:tcBorders>
              <w:right w:val="single" w:sz="4" w:space="0" w:color="auto"/>
            </w:tcBorders>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1人</w:t>
            </w:r>
          </w:p>
        </w:tc>
        <w:tc>
          <w:tcPr>
            <w:tcW w:w="3075" w:type="dxa"/>
            <w:tcBorders>
              <w:left w:val="single" w:sz="4" w:space="0" w:color="auto"/>
            </w:tcBorders>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p>
        </w:tc>
      </w:tr>
      <w:tr>
        <w:tblPrEx>
          <w:tblW w:w="5000" w:type="pct"/>
          <w:tblLayout w:type="fixed"/>
          <w:tblCellMar>
            <w:top w:w="0" w:type="dxa"/>
            <w:left w:w="108" w:type="dxa"/>
            <w:bottom w:w="0" w:type="dxa"/>
            <w:right w:w="108" w:type="dxa"/>
          </w:tblCellMar>
          <w:tblLook w:val="0000"/>
        </w:tblPrEx>
        <w:trPr>
          <w:trHeight w:val="234"/>
        </w:trPr>
        <w:tc>
          <w:tcPr>
            <w:tcW w:w="3367" w:type="dxa"/>
            <w:gridSpan w:val="2"/>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合  计</w:t>
            </w:r>
          </w:p>
        </w:tc>
        <w:tc>
          <w:tcPr>
            <w:tcW w:w="5414" w:type="dxa"/>
            <w:gridSpan w:val="2"/>
            <w:vAlign w:val="center"/>
          </w:tcPr>
          <w:p>
            <w:pPr>
              <w:widowControl w:val="0"/>
              <w:spacing w:line="360" w:lineRule="auto"/>
              <w:ind w:firstLine="420" w:firstLineChars="20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14人</w:t>
            </w:r>
          </w:p>
        </w:tc>
      </w:tr>
    </w:tbl>
    <w:p>
      <w:pPr>
        <w:widowControl w:val="0"/>
        <w:spacing w:line="520" w:lineRule="exact"/>
        <w:ind w:firstLine="420" w:firstLineChars="20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（八）设备要求</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1.中标供应商必须承诺配置的设备要求如下:</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18"/>
        <w:gridCol w:w="1987"/>
        <w:gridCol w:w="2978"/>
        <w:gridCol w:w="27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817" w:type="dxa"/>
            <w:vAlign w:val="center"/>
          </w:tcPr>
          <w:p>
            <w:pPr>
              <w:widowControl w:val="0"/>
              <w:spacing w:line="560" w:lineRule="exact"/>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1985" w:type="dxa"/>
            <w:vAlign w:val="center"/>
          </w:tcPr>
          <w:p>
            <w:pPr>
              <w:widowControl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项目名称</w:t>
            </w:r>
          </w:p>
        </w:tc>
        <w:tc>
          <w:tcPr>
            <w:tcW w:w="2976" w:type="dxa"/>
            <w:vAlign w:val="center"/>
          </w:tcPr>
          <w:p>
            <w:pPr>
              <w:widowControl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设备名称</w:t>
            </w:r>
          </w:p>
        </w:tc>
        <w:tc>
          <w:tcPr>
            <w:tcW w:w="2744" w:type="dxa"/>
            <w:vAlign w:val="center"/>
          </w:tcPr>
          <w:p>
            <w:pPr>
              <w:widowControl w:val="0"/>
              <w:spacing w:line="56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备注</w:t>
            </w:r>
          </w:p>
        </w:tc>
      </w:tr>
      <w:tr>
        <w:tblPrEx>
          <w:tblW w:w="5000" w:type="pct"/>
          <w:tblLayout w:type="fixed"/>
          <w:tblCellMar>
            <w:top w:w="0" w:type="dxa"/>
            <w:left w:w="108" w:type="dxa"/>
            <w:bottom w:w="0" w:type="dxa"/>
            <w:right w:w="108" w:type="dxa"/>
          </w:tblCellMar>
          <w:tblLook w:val="0000"/>
        </w:tblPrEx>
        <w:tc>
          <w:tcPr>
            <w:tcW w:w="817" w:type="dxa"/>
            <w:vMerge w:val="restart"/>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1985" w:type="dxa"/>
            <w:vMerge w:val="restart"/>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一号雨水泵站</w:t>
            </w:r>
          </w:p>
        </w:tc>
        <w:tc>
          <w:tcPr>
            <w:tcW w:w="2976" w:type="dxa"/>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高压冲水机</w:t>
            </w:r>
          </w:p>
        </w:tc>
        <w:tc>
          <w:tcPr>
            <w:tcW w:w="2744" w:type="dxa"/>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不少于1台</w:t>
            </w:r>
          </w:p>
        </w:tc>
      </w:tr>
      <w:tr>
        <w:tblPrEx>
          <w:tblW w:w="5000" w:type="pct"/>
          <w:tblLayout w:type="fixed"/>
          <w:tblCellMar>
            <w:top w:w="0" w:type="dxa"/>
            <w:left w:w="108" w:type="dxa"/>
            <w:bottom w:w="0" w:type="dxa"/>
            <w:right w:w="108" w:type="dxa"/>
          </w:tblCellMar>
          <w:tblLook w:val="0000"/>
        </w:tblPrEx>
        <w:tc>
          <w:tcPr>
            <w:tcW w:w="817" w:type="dxa"/>
            <w:vMerge/>
            <w:vAlign w:val="center"/>
          </w:tcPr>
          <w:p>
            <w:pPr>
              <w:widowControl w:val="0"/>
              <w:spacing w:after="60" w:afterLines="25" w:line="400" w:lineRule="exact"/>
              <w:jc w:val="center"/>
              <w:rPr>
                <w:rFonts w:ascii="宋体" w:eastAsia="宋体" w:hAnsi="宋体" w:cs="宋体" w:hint="eastAsia"/>
                <w:bCs/>
                <w:kern w:val="2"/>
                <w:sz w:val="21"/>
                <w:szCs w:val="21"/>
                <w:lang w:eastAsia="zh-CN"/>
              </w:rPr>
            </w:pPr>
          </w:p>
        </w:tc>
        <w:tc>
          <w:tcPr>
            <w:tcW w:w="1985" w:type="dxa"/>
            <w:vMerge/>
            <w:vAlign w:val="center"/>
          </w:tcPr>
          <w:p>
            <w:pPr>
              <w:widowControl w:val="0"/>
              <w:spacing w:after="60" w:afterLines="25" w:line="400" w:lineRule="exact"/>
              <w:jc w:val="center"/>
              <w:rPr>
                <w:rFonts w:ascii="宋体" w:eastAsia="宋体" w:hAnsi="宋体" w:cs="宋体" w:hint="eastAsia"/>
                <w:bCs/>
                <w:kern w:val="2"/>
                <w:sz w:val="21"/>
                <w:szCs w:val="21"/>
                <w:lang w:eastAsia="zh-CN"/>
              </w:rPr>
            </w:pPr>
          </w:p>
        </w:tc>
        <w:tc>
          <w:tcPr>
            <w:tcW w:w="2976" w:type="dxa"/>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多功能清洁工具车</w:t>
            </w:r>
          </w:p>
        </w:tc>
        <w:tc>
          <w:tcPr>
            <w:tcW w:w="2744" w:type="dxa"/>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不少于1台</w:t>
            </w:r>
          </w:p>
        </w:tc>
      </w:tr>
      <w:tr>
        <w:tblPrEx>
          <w:tblW w:w="5000" w:type="pct"/>
          <w:tblLayout w:type="fixed"/>
          <w:tblCellMar>
            <w:top w:w="0" w:type="dxa"/>
            <w:left w:w="108" w:type="dxa"/>
            <w:bottom w:w="0" w:type="dxa"/>
            <w:right w:w="108" w:type="dxa"/>
          </w:tblCellMar>
          <w:tblLook w:val="0000"/>
        </w:tblPrEx>
        <w:tc>
          <w:tcPr>
            <w:tcW w:w="817" w:type="dxa"/>
            <w:vMerge w:val="restart"/>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1985" w:type="dxa"/>
            <w:vMerge w:val="restart"/>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二号雨水泵站</w:t>
            </w:r>
          </w:p>
        </w:tc>
        <w:tc>
          <w:tcPr>
            <w:tcW w:w="2976" w:type="dxa"/>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高压冲水机</w:t>
            </w:r>
          </w:p>
        </w:tc>
        <w:tc>
          <w:tcPr>
            <w:tcW w:w="2744" w:type="dxa"/>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不少于1台</w:t>
            </w:r>
          </w:p>
        </w:tc>
      </w:tr>
      <w:tr>
        <w:tblPrEx>
          <w:tblW w:w="5000" w:type="pct"/>
          <w:tblLayout w:type="fixed"/>
          <w:tblCellMar>
            <w:top w:w="0" w:type="dxa"/>
            <w:left w:w="108" w:type="dxa"/>
            <w:bottom w:w="0" w:type="dxa"/>
            <w:right w:w="108" w:type="dxa"/>
          </w:tblCellMar>
          <w:tblLook w:val="0000"/>
        </w:tblPrEx>
        <w:trPr>
          <w:trHeight w:val="528"/>
        </w:trPr>
        <w:tc>
          <w:tcPr>
            <w:tcW w:w="817" w:type="dxa"/>
            <w:vMerge/>
            <w:vAlign w:val="center"/>
          </w:tcPr>
          <w:p>
            <w:pPr>
              <w:widowControl w:val="0"/>
              <w:spacing w:after="60" w:afterLines="25" w:line="400" w:lineRule="exact"/>
              <w:jc w:val="center"/>
              <w:rPr>
                <w:rFonts w:ascii="宋体" w:eastAsia="宋体" w:hAnsi="宋体" w:cs="宋体" w:hint="eastAsia"/>
                <w:bCs/>
                <w:kern w:val="2"/>
                <w:sz w:val="21"/>
                <w:szCs w:val="21"/>
                <w:lang w:eastAsia="zh-CN"/>
              </w:rPr>
            </w:pPr>
          </w:p>
        </w:tc>
        <w:tc>
          <w:tcPr>
            <w:tcW w:w="1985" w:type="dxa"/>
            <w:vMerge/>
            <w:vAlign w:val="center"/>
          </w:tcPr>
          <w:p>
            <w:pPr>
              <w:widowControl w:val="0"/>
              <w:spacing w:after="60" w:afterLines="25" w:line="400" w:lineRule="exact"/>
              <w:jc w:val="center"/>
              <w:rPr>
                <w:rFonts w:ascii="宋体" w:eastAsia="宋体" w:hAnsi="宋体" w:cs="宋体" w:hint="eastAsia"/>
                <w:bCs/>
                <w:kern w:val="2"/>
                <w:sz w:val="21"/>
                <w:szCs w:val="21"/>
                <w:lang w:eastAsia="zh-CN"/>
              </w:rPr>
            </w:pPr>
          </w:p>
        </w:tc>
        <w:tc>
          <w:tcPr>
            <w:tcW w:w="2976" w:type="dxa"/>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多功能清洁工具车</w:t>
            </w:r>
          </w:p>
        </w:tc>
        <w:tc>
          <w:tcPr>
            <w:tcW w:w="2744" w:type="dxa"/>
            <w:vAlign w:val="center"/>
          </w:tcPr>
          <w:p>
            <w:pPr>
              <w:widowControl w:val="0"/>
              <w:spacing w:line="56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不少于1台</w:t>
            </w:r>
          </w:p>
        </w:tc>
      </w:tr>
    </w:tbl>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2.其它设备投标单位根据本项目实际服务需求合理配备。</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以上设备中标供应商必须承诺在中标公告公示后15天内全部配备到位并且能正常投入使用。</w:t>
      </w:r>
    </w:p>
    <w:p>
      <w:pPr>
        <w:widowControl w:val="0"/>
        <w:spacing w:before="120" w:beforeLines="50" w:after="120" w:afterLines="50" w:line="600" w:lineRule="exact"/>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二、报价要求</w:t>
      </w:r>
    </w:p>
    <w:p>
      <w:pPr>
        <w:widowControl w:val="0"/>
        <w:spacing w:line="560" w:lineRule="exact"/>
        <w:ind w:firstLine="420" w:firstLineChars="200"/>
        <w:jc w:val="both"/>
        <w:rPr>
          <w:rFonts w:ascii="宋体" w:eastAsia="宋体" w:hAnsi="宋体" w:cs="宋体" w:hint="eastAsia"/>
          <w:bCs/>
          <w:kern w:val="2"/>
          <w:sz w:val="21"/>
          <w:szCs w:val="21"/>
          <w:lang w:eastAsia="zh-CN"/>
        </w:rPr>
      </w:pPr>
      <w:bookmarkStart w:id="34" w:name="OLE_LINK2"/>
      <w:r>
        <w:rPr>
          <w:rFonts w:ascii="宋体" w:eastAsia="宋体" w:hAnsi="宋体" w:cs="宋体" w:hint="eastAsia"/>
          <w:bCs/>
          <w:kern w:val="2"/>
          <w:sz w:val="21"/>
          <w:szCs w:val="21"/>
          <w:lang w:eastAsia="zh-CN"/>
        </w:rPr>
        <w:t>投标总价以人民币报价，为一年的物业管理费用，包括但不限于：行政福利费用（含作业/管理人员工资、节假日加班费、社保、员工年休假补助、辞工辞退员工补偿金、员工培训费、办公经费、交通运输费、员工食宿费等）、清洁卫生费用、绿化管养费用、消杀管理费用、企业法定利润、管理费用和税金等完成本项目所涉及的一切费用，采购单位不予支付额外费用。</w:t>
      </w:r>
    </w:p>
    <w:p>
      <w:pPr>
        <w:widowControl w:val="0"/>
        <w:spacing w:before="120" w:beforeLines="50" w:after="120" w:afterLines="50" w:line="600" w:lineRule="exact"/>
        <w:jc w:val="both"/>
        <w:rPr>
          <w:rFonts w:ascii="宋体" w:eastAsia="宋体" w:hAnsi="宋体" w:cs="宋体" w:hint="eastAsia"/>
          <w:b/>
          <w:kern w:val="2"/>
          <w:sz w:val="21"/>
          <w:szCs w:val="21"/>
          <w:lang w:eastAsia="zh-CN"/>
        </w:rPr>
      </w:pPr>
      <w:bookmarkEnd w:id="34"/>
      <w:r>
        <w:rPr>
          <w:rFonts w:ascii="宋体" w:eastAsia="宋体" w:hAnsi="宋体" w:cs="宋体" w:hint="eastAsia"/>
          <w:b/>
          <w:kern w:val="2"/>
          <w:sz w:val="21"/>
          <w:szCs w:val="21"/>
          <w:lang w:eastAsia="zh-CN"/>
        </w:rPr>
        <w:t>三、其他需说明的事项</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1、中标供应商根据相关法规与采购单位签订服务合同，对该服务实行统一管理，综合服务，自主经营，自负盈亏。</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2、管理用房：采购单位提供必要的办公用房、值班用房、仓库和需用物品存放场地，供中标供应商无偿使用。</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3、公共水电费及发电机燃油费：公共水电费及发电机燃油费由采购单位承担（包括卫生间、空调、清洁卫生、生活等各类用水；消防、水泵、照明、各类机电设备等各类的用电）。</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5、其他设施设备的说明：采购单位物业内岗亭、道闸、设备设施专用工具、各类门牌、各类标示指示牌、垃圾中转站及垃圾桶均由采购单位负责安装及提供。</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6、重要说明：</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（1）中标供应商违反国家相关法规，与其聘用人员发生纠纷，均由中标供应商负责调解与处理，采购单位不承担任何责任并有权解除合同。</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（2）因中标供应商试用期间不合格终止服务合同，中标供应商应承担全部的责任及负责全部人员的安置，不得向委托方提出赔偿。</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（3）中标供应商服务人员在岗履行工作职责期间，发生自身的人身伤害、伤亡，均由中标供应商负责处理并承担经济和道义上的责任，采购单位不承担任何责任。</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（4）中标供应商人员在管理服务中违反国家相关法规或行业规范，因过失造成他人人身伤亡的，均由中标供应商负责处理并承担经济和道义上的责任，采购单位不承担任何责任。</w:t>
      </w:r>
    </w:p>
    <w:p>
      <w:pPr>
        <w:widowControl w:val="0"/>
        <w:spacing w:before="120" w:beforeLines="50" w:after="120" w:afterLines="50" w:line="600" w:lineRule="exact"/>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四、付款方式</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1.按月支付，每月10日前支付上月费用。凭承包方完税发票，由采购单位签署付款凭证,办理付款手续。</w:t>
      </w:r>
    </w:p>
    <w:p>
      <w:pPr>
        <w:widowControl w:val="0"/>
        <w:spacing w:line="56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2.项目付款均需按照财政集中支付程序办理付款手续，且在拨款到位后支付，若因中标供应商原因或财政支付程序导致付款迟延的，采购单位不承担任何责任，中标供应商应当继续履行合同义务。</w:t>
      </w:r>
    </w:p>
    <w:p>
      <w:pPr>
        <w:widowControl w:val="0"/>
        <w:spacing w:before="120" w:beforeLines="50" w:after="120" w:afterLines="50" w:line="600" w:lineRule="exact"/>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五、考核管理办法表</w:t>
      </w:r>
    </w:p>
    <w:tbl>
      <w:tblPr>
        <w:tblStyle w:val="TableNorm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731"/>
        <w:gridCol w:w="870"/>
        <w:gridCol w:w="3569"/>
        <w:gridCol w:w="3359"/>
      </w:tblGrid>
      <w:tr>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trHeight w:val="350"/>
        </w:trPr>
        <w:tc>
          <w:tcPr>
            <w:tcW w:w="784" w:type="dxa"/>
            <w:vAlign w:val="center"/>
          </w:tcPr>
          <w:p>
            <w:pPr>
              <w:widowControl w:val="0"/>
              <w:spacing w:before="48" w:beforeLines="20" w:after="48" w:afterLines="20" w:line="360" w:lineRule="exact"/>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936" w:type="dxa"/>
            <w:vAlign w:val="center"/>
          </w:tcPr>
          <w:p>
            <w:pPr>
              <w:widowControl w:val="0"/>
              <w:spacing w:before="48" w:beforeLines="20" w:after="48" w:afterLines="20" w:line="360" w:lineRule="exact"/>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项目</w:t>
            </w:r>
          </w:p>
        </w:tc>
        <w:tc>
          <w:tcPr>
            <w:tcW w:w="3917" w:type="dxa"/>
            <w:vAlign w:val="center"/>
          </w:tcPr>
          <w:p>
            <w:pPr>
              <w:widowControl w:val="0"/>
              <w:spacing w:before="48" w:beforeLines="20" w:after="48" w:afterLines="20" w:line="360" w:lineRule="exact"/>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考核内容</w:t>
            </w:r>
          </w:p>
        </w:tc>
        <w:tc>
          <w:tcPr>
            <w:tcW w:w="3685" w:type="dxa"/>
            <w:vAlign w:val="center"/>
          </w:tcPr>
          <w:p>
            <w:pPr>
              <w:widowControl w:val="0"/>
              <w:spacing w:before="48" w:beforeLines="20" w:after="48" w:afterLines="20" w:line="360" w:lineRule="exact"/>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扣分标准</w:t>
            </w:r>
          </w:p>
        </w:tc>
      </w:tr>
      <w:tr>
        <w:tblPrEx>
          <w:tblW w:w="5000" w:type="pct"/>
          <w:tblLayout w:type="fixed"/>
          <w:tblCellMar>
            <w:top w:w="0" w:type="dxa"/>
            <w:left w:w="108" w:type="dxa"/>
            <w:bottom w:w="0" w:type="dxa"/>
            <w:right w:w="108" w:type="dxa"/>
          </w:tblCellMar>
          <w:tblLook w:val="0000"/>
        </w:tblPrEx>
        <w:trPr>
          <w:trHeight w:val="1959"/>
        </w:trPr>
        <w:tc>
          <w:tcPr>
            <w:tcW w:w="784" w:type="dxa"/>
            <w:vAlign w:val="center"/>
          </w:tcPr>
          <w:p>
            <w:pPr>
              <w:widowControl w:val="0"/>
              <w:spacing w:before="48" w:beforeLines="20" w:after="48" w:afterLines="20" w:line="360" w:lineRule="exact"/>
              <w:ind w:firstLine="210" w:firstLineChars="1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936" w:type="dxa"/>
            <w:vAlign w:val="center"/>
          </w:tcPr>
          <w:p>
            <w:pPr>
              <w:widowControl w:val="0"/>
              <w:spacing w:before="48" w:beforeLines="20" w:after="48" w:afterLines="20" w:line="3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基础</w:t>
            </w:r>
          </w:p>
          <w:p>
            <w:pPr>
              <w:widowControl w:val="0"/>
              <w:spacing w:before="48" w:beforeLines="20" w:after="48" w:afterLines="20" w:line="3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管理</w:t>
            </w:r>
          </w:p>
          <w:p>
            <w:pPr>
              <w:widowControl w:val="0"/>
              <w:spacing w:before="48" w:beforeLines="20" w:after="48" w:afterLines="20" w:line="3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10分</w:t>
            </w:r>
          </w:p>
        </w:tc>
        <w:tc>
          <w:tcPr>
            <w:tcW w:w="3917"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1、建立健全各项管理制度、各岗位工作标准，并制定具体的落实措施和考核办法；</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2、管理人员和专业技术人员持证上岗；员工统一着装，佩戴明显标志，工作规范，作风严谨。</w:t>
            </w:r>
          </w:p>
        </w:tc>
        <w:tc>
          <w:tcPr>
            <w:tcW w:w="3685" w:type="dxa"/>
            <w:vAlign w:val="center"/>
          </w:tcPr>
          <w:p>
            <w:pPr>
              <w:widowControl w:val="0"/>
              <w:spacing w:after="60" w:afterLines="25" w:line="320" w:lineRule="exact"/>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1、物业管理服务工作程度、质量保证制度、财务制度、岗位考核制度等每发现一处不完整规范扣0.2分，未制定具体的落实措施扣0.5分，未制定考核办法扣0.5分；</w:t>
            </w:r>
          </w:p>
          <w:p>
            <w:pPr>
              <w:widowControl w:val="0"/>
              <w:spacing w:after="60" w:afterLines="25" w:line="320" w:lineRule="exact"/>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2、管理人员、专业技术人员每发现1人无上岗证书扣0.1分，无统一着装及标志扣0.5分。</w:t>
            </w:r>
          </w:p>
        </w:tc>
      </w:tr>
      <w:tr>
        <w:tblPrEx>
          <w:tblW w:w="5000" w:type="pct"/>
          <w:tblLayout w:type="fixed"/>
          <w:tblCellMar>
            <w:top w:w="0" w:type="dxa"/>
            <w:left w:w="108" w:type="dxa"/>
            <w:bottom w:w="0" w:type="dxa"/>
            <w:right w:w="108" w:type="dxa"/>
          </w:tblCellMar>
          <w:tblLook w:val="0000"/>
        </w:tblPrEx>
        <w:trPr>
          <w:trHeight w:val="617"/>
        </w:trPr>
        <w:tc>
          <w:tcPr>
            <w:tcW w:w="784" w:type="dxa"/>
            <w:vAlign w:val="center"/>
          </w:tcPr>
          <w:p>
            <w:pPr>
              <w:widowControl w:val="0"/>
              <w:spacing w:before="48" w:beforeLines="20" w:after="48" w:afterLines="20" w:line="360" w:lineRule="exact"/>
              <w:ind w:firstLine="210" w:firstLineChars="1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936" w:type="dxa"/>
            <w:vAlign w:val="center"/>
          </w:tcPr>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安全 管理</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15分</w:t>
            </w:r>
          </w:p>
        </w:tc>
        <w:tc>
          <w:tcPr>
            <w:tcW w:w="3917"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1、大院内实行半封闭式管理；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2、有专业保安队伍,实行24小时值班及巡逻制度，文明值勤、训练有素、言语规划、认真负责；</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3、危及人身安全有明显标识和具体的防范措施；</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4、机动车停车场管理制度完善,管理责任明确,车辆进出有登记；</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5、非机动车车辆管理制度完善,按规定位置停放，管理有序；</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6、协助做好流行性疾病的应急处置和防控工作。</w:t>
            </w:r>
          </w:p>
        </w:tc>
        <w:tc>
          <w:tcPr>
            <w:tcW w:w="3685"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1、不符合扣1分；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2、无专业保安队伍扣1.0分,其它每发现一处不符合扣0.2分；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3、不符合扣1分；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4、制度不完善扣0.5分；每发现一台车辆乱停放扣0.1分,出入无记录扣0.2分；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5、制度不全或不落实的扣1.0分,乱停放每部车扣0.2分。</w:t>
            </w:r>
          </w:p>
          <w:p>
            <w:pPr>
              <w:widowControl w:val="0"/>
              <w:spacing w:after="60" w:afterLines="25" w:line="320" w:lineRule="exact"/>
              <w:jc w:val="both"/>
              <w:rPr>
                <w:rFonts w:ascii="宋体" w:eastAsia="宋体" w:hAnsi="宋体" w:cs="宋体" w:hint="eastAsia"/>
                <w:kern w:val="2"/>
                <w:sz w:val="21"/>
                <w:szCs w:val="21"/>
                <w:lang w:eastAsia="zh-CN"/>
              </w:rPr>
            </w:pPr>
          </w:p>
        </w:tc>
      </w:tr>
      <w:tr>
        <w:tblPrEx>
          <w:tblW w:w="5000" w:type="pct"/>
          <w:tblLayout w:type="fixed"/>
          <w:tblCellMar>
            <w:top w:w="0" w:type="dxa"/>
            <w:left w:w="108" w:type="dxa"/>
            <w:bottom w:w="0" w:type="dxa"/>
            <w:right w:w="108" w:type="dxa"/>
          </w:tblCellMar>
          <w:tblLook w:val="0000"/>
        </w:tblPrEx>
        <w:trPr>
          <w:trHeight w:val="1158"/>
        </w:trPr>
        <w:tc>
          <w:tcPr>
            <w:tcW w:w="784" w:type="dxa"/>
            <w:vAlign w:val="center"/>
          </w:tcPr>
          <w:p>
            <w:pPr>
              <w:widowControl w:val="0"/>
              <w:spacing w:before="48" w:beforeLines="20" w:after="48" w:afterLines="20" w:line="360" w:lineRule="exact"/>
              <w:ind w:firstLine="210" w:firstLineChars="1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936" w:type="dxa"/>
            <w:vAlign w:val="center"/>
          </w:tcPr>
          <w:p>
            <w:pPr>
              <w:widowControl w:val="0"/>
              <w:spacing w:after="60" w:afterLines="25" w:line="320" w:lineRule="exact"/>
              <w:ind w:firstLine="105" w:firstLineChars="5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环境</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卫生</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管理</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20分</w:t>
            </w:r>
          </w:p>
        </w:tc>
        <w:tc>
          <w:tcPr>
            <w:tcW w:w="3917"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1、设施设备完备，设有垃圾箱、果皮箱、垃圾中转站；</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2、清洁卫生实行责任制，有专职的清洁人员和明确的责任范围，实行标准化保洁；</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3、垃圾日产日清，定期进行卫生消毒；</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4、大院内道路等共用场地无纸屑、烟头等杂物；</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5、房屋共用部位保持清洁，无乱贴、乱画，无擅自占用和堆放杂物现象；楼梯扶拦、天台公共玻璃窗等保持洁净。</w:t>
            </w:r>
          </w:p>
        </w:tc>
        <w:tc>
          <w:tcPr>
            <w:tcW w:w="3685"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1、每发现一处不符合项扣0.2分；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2、未实行责任制的扣1.0分,无专职清洁人员和责任范围的扣0.5分,未实行标准化保洁的扣0.5分；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3、每发现一处垃圾扣0.2分,未达到垃圾日产日清的扣0.5分,未定期进行卫生消毒杀灭扣0.5分；</w:t>
            </w:r>
          </w:p>
          <w:p>
            <w:pPr>
              <w:widowControl w:val="0"/>
              <w:spacing w:after="60" w:afterLines="25" w:line="320" w:lineRule="exact"/>
              <w:jc w:val="both"/>
              <w:rPr>
                <w:rFonts w:ascii="宋体" w:eastAsia="宋体" w:hAnsi="宋体" w:cs="宋体" w:hint="eastAsia"/>
                <w:spacing w:val="-12"/>
                <w:kern w:val="2"/>
                <w:sz w:val="21"/>
                <w:szCs w:val="21"/>
                <w:lang w:eastAsia="zh-CN"/>
              </w:rPr>
            </w:pPr>
            <w:r>
              <w:rPr>
                <w:rFonts w:ascii="宋体" w:eastAsia="宋体" w:hAnsi="宋体" w:cs="宋体" w:hint="eastAsia"/>
                <w:spacing w:val="-12"/>
                <w:kern w:val="2"/>
                <w:sz w:val="21"/>
                <w:szCs w:val="21"/>
                <w:lang w:eastAsia="zh-CN"/>
              </w:rPr>
              <w:t>4、每发现一处不符合扣0.2分；</w:t>
            </w:r>
          </w:p>
          <w:p>
            <w:pPr>
              <w:widowControl w:val="0"/>
              <w:spacing w:after="60" w:afterLines="25" w:line="320" w:lineRule="exact"/>
              <w:jc w:val="both"/>
              <w:rPr>
                <w:rFonts w:ascii="宋体" w:eastAsia="宋体" w:hAnsi="宋体" w:cs="宋体" w:hint="eastAsia"/>
                <w:spacing w:val="-12"/>
                <w:kern w:val="2"/>
                <w:sz w:val="21"/>
                <w:szCs w:val="21"/>
                <w:lang w:eastAsia="zh-CN"/>
              </w:rPr>
            </w:pPr>
            <w:r>
              <w:rPr>
                <w:rFonts w:ascii="宋体" w:eastAsia="宋体" w:hAnsi="宋体" w:cs="宋体" w:hint="eastAsia"/>
                <w:spacing w:val="-12"/>
                <w:kern w:val="2"/>
                <w:sz w:val="21"/>
                <w:szCs w:val="21"/>
                <w:lang w:eastAsia="zh-CN"/>
              </w:rPr>
              <w:t>5、如发现一处不符合扣0.2分。</w:t>
            </w:r>
          </w:p>
          <w:p>
            <w:pPr>
              <w:widowControl w:val="0"/>
              <w:spacing w:after="60" w:afterLines="25" w:line="320" w:lineRule="exact"/>
              <w:jc w:val="both"/>
              <w:rPr>
                <w:rFonts w:ascii="宋体" w:eastAsia="宋体" w:hAnsi="宋体" w:cs="宋体" w:hint="eastAsia"/>
                <w:kern w:val="2"/>
                <w:sz w:val="21"/>
                <w:szCs w:val="21"/>
                <w:lang w:eastAsia="zh-CN"/>
              </w:rPr>
            </w:pPr>
          </w:p>
        </w:tc>
      </w:tr>
      <w:tr>
        <w:tblPrEx>
          <w:tblW w:w="5000" w:type="pct"/>
          <w:tblLayout w:type="fixed"/>
          <w:tblCellMar>
            <w:top w:w="0" w:type="dxa"/>
            <w:left w:w="108" w:type="dxa"/>
            <w:bottom w:w="0" w:type="dxa"/>
            <w:right w:w="108" w:type="dxa"/>
          </w:tblCellMar>
          <w:tblLook w:val="0000"/>
        </w:tblPrEx>
        <w:trPr>
          <w:trHeight w:val="1158"/>
        </w:trPr>
        <w:tc>
          <w:tcPr>
            <w:tcW w:w="784" w:type="dxa"/>
            <w:vMerge w:val="restart"/>
            <w:vAlign w:val="center"/>
          </w:tcPr>
          <w:p>
            <w:pPr>
              <w:widowControl w:val="0"/>
              <w:spacing w:before="48" w:beforeLines="20" w:after="48" w:afterLines="20" w:line="360" w:lineRule="exact"/>
              <w:ind w:firstLine="210" w:firstLineChars="1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tc>
        <w:tc>
          <w:tcPr>
            <w:tcW w:w="936" w:type="dxa"/>
            <w:vMerge w:val="restart"/>
            <w:vAlign w:val="center"/>
          </w:tcPr>
          <w:p>
            <w:pPr>
              <w:widowControl w:val="0"/>
              <w:spacing w:after="78"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除</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四</w:t>
            </w:r>
          </w:p>
          <w:p>
            <w:pPr>
              <w:widowControl w:val="0"/>
              <w:spacing w:after="78"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害</w:t>
            </w:r>
            <w:r>
              <w:rPr>
                <w:rFonts w:ascii="宋体" w:eastAsia="宋体" w:hAnsi="宋体" w:cs="宋体" w:hint="eastAsia"/>
                <w:kern w:val="2"/>
                <w:sz w:val="21"/>
                <w:szCs w:val="21"/>
                <w:lang w:eastAsia="zh-CN"/>
              </w:rPr>
              <w:t>”</w:t>
            </w:r>
          </w:p>
          <w:p>
            <w:pPr>
              <w:widowControl w:val="0"/>
              <w:spacing w:after="78"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消杀</w:t>
            </w:r>
          </w:p>
          <w:p>
            <w:pPr>
              <w:widowControl w:val="0"/>
              <w:spacing w:after="78"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15分</w:t>
            </w:r>
          </w:p>
        </w:tc>
        <w:tc>
          <w:tcPr>
            <w:tcW w:w="3917" w:type="dxa"/>
            <w:vAlign w:val="center"/>
          </w:tcPr>
          <w:p>
            <w:pPr>
              <w:widowControl w:val="0"/>
              <w:spacing w:before="72" w:beforeLines="30" w:after="72" w:afterLines="30" w:line="3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1、灭鼠。鼠密度不超过5%；鼠药投放必须在毒鼠站里面，经常投药，达到饱和，15平方米设毒鼠站2个。</w:t>
            </w:r>
          </w:p>
        </w:tc>
        <w:tc>
          <w:tcPr>
            <w:tcW w:w="3685" w:type="dxa"/>
            <w:vAlign w:val="center"/>
          </w:tcPr>
          <w:p>
            <w:pPr>
              <w:widowControl w:val="0"/>
              <w:spacing w:before="72" w:beforeLines="30" w:after="72" w:afterLines="30" w:line="3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1、有鼠迹一处扣0.2分；</w:t>
            </w:r>
          </w:p>
          <w:p>
            <w:pPr>
              <w:widowControl w:val="0"/>
              <w:spacing w:before="72" w:beforeLines="30" w:after="72" w:afterLines="30" w:line="3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2、有鼠洞而没有封堵的一处扣0.2分；</w:t>
            </w:r>
          </w:p>
          <w:p>
            <w:pPr>
              <w:widowControl w:val="0"/>
              <w:spacing w:before="72" w:beforeLines="30" w:after="72" w:afterLines="30" w:line="3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3、投药量不足，每一百米扣0.2分；</w:t>
            </w:r>
          </w:p>
          <w:p>
            <w:pPr>
              <w:widowControl w:val="0"/>
              <w:spacing w:before="72" w:beforeLines="30" w:after="72" w:afterLines="30" w:line="3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4、使用急性药扣5分；</w:t>
            </w:r>
          </w:p>
          <w:p>
            <w:pPr>
              <w:widowControl w:val="0"/>
              <w:spacing w:before="72" w:beforeLines="30" w:after="72" w:afterLines="30" w:line="3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5、毒鼠站不按标准投入，每个扣0.2。</w:t>
            </w:r>
          </w:p>
        </w:tc>
      </w:tr>
      <w:tr>
        <w:tblPrEx>
          <w:tblW w:w="5000" w:type="pct"/>
          <w:tblLayout w:type="fixed"/>
          <w:tblCellMar>
            <w:top w:w="0" w:type="dxa"/>
            <w:left w:w="108" w:type="dxa"/>
            <w:bottom w:w="0" w:type="dxa"/>
            <w:right w:w="108" w:type="dxa"/>
          </w:tblCellMar>
          <w:tblLook w:val="0000"/>
        </w:tblPrEx>
        <w:trPr>
          <w:trHeight w:val="1158"/>
        </w:trPr>
        <w:tc>
          <w:tcPr>
            <w:tcW w:w="784" w:type="dxa"/>
            <w:vMerge/>
            <w:vAlign w:val="center"/>
          </w:tcPr>
          <w:p>
            <w:pPr>
              <w:widowControl w:val="0"/>
              <w:spacing w:before="48" w:beforeLines="20" w:after="48" w:afterLines="20" w:line="360" w:lineRule="exact"/>
              <w:ind w:firstLine="210" w:firstLineChars="100"/>
              <w:jc w:val="both"/>
              <w:rPr>
                <w:rFonts w:ascii="宋体" w:eastAsia="宋体" w:hAnsi="宋体" w:cs="宋体" w:hint="eastAsia"/>
                <w:kern w:val="2"/>
                <w:sz w:val="21"/>
                <w:szCs w:val="21"/>
                <w:lang w:eastAsia="zh-CN"/>
              </w:rPr>
            </w:pPr>
          </w:p>
        </w:tc>
        <w:tc>
          <w:tcPr>
            <w:tcW w:w="936" w:type="dxa"/>
            <w:vMerge/>
            <w:vAlign w:val="center"/>
          </w:tcPr>
          <w:p>
            <w:pPr>
              <w:widowControl w:val="0"/>
              <w:spacing w:after="60" w:afterLines="25" w:line="320" w:lineRule="exact"/>
              <w:ind w:firstLine="420" w:firstLineChars="200"/>
              <w:jc w:val="both"/>
              <w:rPr>
                <w:rFonts w:ascii="宋体" w:eastAsia="宋体" w:hAnsi="宋体" w:cs="宋体" w:hint="eastAsia"/>
                <w:kern w:val="2"/>
                <w:sz w:val="21"/>
                <w:szCs w:val="21"/>
                <w:lang w:eastAsia="zh-CN"/>
              </w:rPr>
            </w:pPr>
          </w:p>
        </w:tc>
        <w:tc>
          <w:tcPr>
            <w:tcW w:w="3917"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2、灭蝇。灭蝇标准:蝇类孳生地幼虫和蛹的检出率不超过3%；所有孳生蝇类的地点（含垃圾池等地）每周投放药物每周不低于二次，成蝇及时消杀，检查时一视野不得超过10个成蝇。</w:t>
            </w:r>
          </w:p>
        </w:tc>
        <w:tc>
          <w:tcPr>
            <w:tcW w:w="3685"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1、有蝇孳生地一处扣0.2分；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2、成蝇密度大，每处扣0.2分；3、投药量不足，每一百米扣0.2分。</w:t>
            </w:r>
          </w:p>
        </w:tc>
      </w:tr>
      <w:tr>
        <w:tblPrEx>
          <w:tblW w:w="5000" w:type="pct"/>
          <w:tblLayout w:type="fixed"/>
          <w:tblCellMar>
            <w:top w:w="0" w:type="dxa"/>
            <w:left w:w="108" w:type="dxa"/>
            <w:bottom w:w="0" w:type="dxa"/>
            <w:right w:w="108" w:type="dxa"/>
          </w:tblCellMar>
          <w:tblLook w:val="0000"/>
        </w:tblPrEx>
        <w:trPr>
          <w:trHeight w:val="1158"/>
        </w:trPr>
        <w:tc>
          <w:tcPr>
            <w:tcW w:w="784" w:type="dxa"/>
            <w:vMerge/>
            <w:vAlign w:val="center"/>
          </w:tcPr>
          <w:p>
            <w:pPr>
              <w:widowControl w:val="0"/>
              <w:spacing w:before="48" w:beforeLines="20" w:after="48" w:afterLines="20" w:line="360" w:lineRule="exact"/>
              <w:ind w:firstLine="210" w:firstLineChars="100"/>
              <w:jc w:val="both"/>
              <w:rPr>
                <w:rFonts w:ascii="宋体" w:eastAsia="宋体" w:hAnsi="宋体" w:cs="宋体" w:hint="eastAsia"/>
                <w:kern w:val="2"/>
                <w:sz w:val="21"/>
                <w:szCs w:val="21"/>
                <w:lang w:eastAsia="zh-CN"/>
              </w:rPr>
            </w:pPr>
          </w:p>
        </w:tc>
        <w:tc>
          <w:tcPr>
            <w:tcW w:w="936" w:type="dxa"/>
            <w:vMerge/>
            <w:vAlign w:val="center"/>
          </w:tcPr>
          <w:p>
            <w:pPr>
              <w:widowControl w:val="0"/>
              <w:spacing w:after="60" w:afterLines="25" w:line="320" w:lineRule="exact"/>
              <w:ind w:firstLine="420" w:firstLineChars="200"/>
              <w:jc w:val="both"/>
              <w:rPr>
                <w:rFonts w:ascii="宋体" w:eastAsia="宋体" w:hAnsi="宋体" w:cs="宋体" w:hint="eastAsia"/>
                <w:kern w:val="2"/>
                <w:sz w:val="21"/>
                <w:szCs w:val="21"/>
                <w:lang w:eastAsia="zh-CN"/>
              </w:rPr>
            </w:pPr>
          </w:p>
        </w:tc>
        <w:tc>
          <w:tcPr>
            <w:tcW w:w="3917"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3、灭蚊。积水中蚊幼或蛹的阳性率不超过3%；有积水处可清理的要及时清理，不能清理的每周投放药物每周不低于二次。</w:t>
            </w:r>
          </w:p>
        </w:tc>
        <w:tc>
          <w:tcPr>
            <w:tcW w:w="3685"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1、有蚊幼积水一处扣0.2分；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2、蚊密度超过3%一处扣0.5分；3、投药量不足，每一百米扣0.2分；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4、处在大型积水而没有处理的，一处扣1分。</w:t>
            </w:r>
          </w:p>
        </w:tc>
      </w:tr>
      <w:tr>
        <w:tblPrEx>
          <w:tblW w:w="5000" w:type="pct"/>
          <w:tblLayout w:type="fixed"/>
          <w:tblCellMar>
            <w:top w:w="0" w:type="dxa"/>
            <w:left w:w="108" w:type="dxa"/>
            <w:bottom w:w="0" w:type="dxa"/>
            <w:right w:w="108" w:type="dxa"/>
          </w:tblCellMar>
          <w:tblLook w:val="0000"/>
        </w:tblPrEx>
        <w:trPr>
          <w:trHeight w:val="1158"/>
        </w:trPr>
        <w:tc>
          <w:tcPr>
            <w:tcW w:w="784" w:type="dxa"/>
            <w:vMerge/>
            <w:vAlign w:val="center"/>
          </w:tcPr>
          <w:p>
            <w:pPr>
              <w:widowControl w:val="0"/>
              <w:spacing w:before="48" w:beforeLines="20" w:after="48" w:afterLines="20" w:line="360" w:lineRule="exact"/>
              <w:ind w:firstLine="210" w:firstLineChars="100"/>
              <w:jc w:val="both"/>
              <w:rPr>
                <w:rFonts w:ascii="宋体" w:eastAsia="宋体" w:hAnsi="宋体" w:cs="宋体" w:hint="eastAsia"/>
                <w:kern w:val="2"/>
                <w:sz w:val="21"/>
                <w:szCs w:val="21"/>
                <w:lang w:eastAsia="zh-CN"/>
              </w:rPr>
            </w:pPr>
          </w:p>
        </w:tc>
        <w:tc>
          <w:tcPr>
            <w:tcW w:w="936" w:type="dxa"/>
            <w:vMerge/>
            <w:vAlign w:val="center"/>
          </w:tcPr>
          <w:p>
            <w:pPr>
              <w:widowControl w:val="0"/>
              <w:spacing w:after="60" w:afterLines="25" w:line="320" w:lineRule="exact"/>
              <w:ind w:firstLine="420" w:firstLineChars="200"/>
              <w:jc w:val="both"/>
              <w:rPr>
                <w:rFonts w:ascii="宋体" w:eastAsia="宋体" w:hAnsi="宋体" w:cs="宋体" w:hint="eastAsia"/>
                <w:kern w:val="2"/>
                <w:sz w:val="21"/>
                <w:szCs w:val="21"/>
                <w:lang w:eastAsia="zh-CN"/>
              </w:rPr>
            </w:pPr>
          </w:p>
        </w:tc>
        <w:tc>
          <w:tcPr>
            <w:tcW w:w="3917" w:type="dxa"/>
            <w:vAlign w:val="center"/>
          </w:tcPr>
          <w:p>
            <w:pPr>
              <w:widowControl w:val="0"/>
              <w:spacing w:before="72" w:beforeLines="30" w:after="72" w:afterLines="30" w:line="3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4、灭蟑螂。蟑螂和蟑粪、蜕皮等蟑迹不超过5%；所有沙井、电缆沟等地每月喷杀每周不低于二次，检查时小蠊不超过10只，大蠊不超过5只。</w:t>
            </w:r>
          </w:p>
        </w:tc>
        <w:tc>
          <w:tcPr>
            <w:tcW w:w="3685" w:type="dxa"/>
            <w:vAlign w:val="center"/>
          </w:tcPr>
          <w:p>
            <w:pPr>
              <w:widowControl w:val="0"/>
              <w:spacing w:before="72" w:beforeLines="30" w:after="72" w:afterLines="30" w:line="3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1、有蟑螂和蟑粪、蜕皮等蟑迹超过5%，一处扣0.2分；</w:t>
            </w:r>
          </w:p>
          <w:p>
            <w:pPr>
              <w:widowControl w:val="0"/>
              <w:spacing w:before="72" w:beforeLines="30" w:after="72" w:afterLines="30" w:line="3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2、蚊密度超过3%（小蠊不超过10只，大蠊不超过5只）一处扣0.5分；</w:t>
            </w:r>
          </w:p>
          <w:p>
            <w:pPr>
              <w:widowControl w:val="0"/>
              <w:spacing w:before="72" w:beforeLines="30" w:after="72" w:afterLines="30" w:line="3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3、投药量不足，每一百米扣0.2分。</w:t>
            </w:r>
          </w:p>
        </w:tc>
      </w:tr>
      <w:tr>
        <w:tblPrEx>
          <w:tblW w:w="5000" w:type="pct"/>
          <w:tblLayout w:type="fixed"/>
          <w:tblCellMar>
            <w:top w:w="0" w:type="dxa"/>
            <w:left w:w="108" w:type="dxa"/>
            <w:bottom w:w="0" w:type="dxa"/>
            <w:right w:w="108" w:type="dxa"/>
          </w:tblCellMar>
          <w:tblLook w:val="0000"/>
        </w:tblPrEx>
        <w:trPr>
          <w:trHeight w:val="1158"/>
        </w:trPr>
        <w:tc>
          <w:tcPr>
            <w:tcW w:w="784" w:type="dxa"/>
            <w:vMerge w:val="restart"/>
            <w:vAlign w:val="center"/>
          </w:tcPr>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936" w:type="dxa"/>
            <w:vMerge w:val="restart"/>
            <w:vAlign w:val="center"/>
          </w:tcPr>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绿化</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管理</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15分</w:t>
            </w:r>
          </w:p>
        </w:tc>
        <w:tc>
          <w:tcPr>
            <w:tcW w:w="3917" w:type="dxa"/>
            <w:vAlign w:val="center"/>
          </w:tcPr>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5.1草坪管理</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5.1.1草坪生长势</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5.1.2草坪纯度</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5.1.3草坪修剪</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5.1.4草坪病虫害</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5.1.5无坑凹积水、无黄土裸露</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5.1.6草坪管养措施</w:t>
            </w:r>
          </w:p>
        </w:tc>
        <w:tc>
          <w:tcPr>
            <w:tcW w:w="3685" w:type="dxa"/>
            <w:vAlign w:val="center"/>
          </w:tcPr>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1、草坪不按要求修剪,每平方米扣0.5分；</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2、草坪不按要求除杂草，目的草率不符合要求，每平方米扣0.2分；</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3、草地有坑洼或积水，每平方米扣1分；</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4、草坪生长不良，在干旱季节，有供水条件的草地没淋足水，每平方米扣0.3分；</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r>
              <w:rPr>
                <w:rFonts w:ascii="宋体" w:eastAsia="宋体" w:hAnsi="宋体" w:cs="宋体" w:hint="eastAsia"/>
                <w:spacing w:val="-10"/>
                <w:kern w:val="2"/>
                <w:sz w:val="21"/>
                <w:szCs w:val="21"/>
                <w:lang w:eastAsia="zh-CN"/>
              </w:rPr>
              <w:t>草坪管理不善致使黄土裸露，每平方米扣0.5分（注：成片的经济林林下不算黄土裸露）；</w:t>
            </w:r>
          </w:p>
          <w:p>
            <w:pPr>
              <w:widowControl w:val="0"/>
              <w:tabs>
                <w:tab w:val="left" w:pos="4760"/>
              </w:tabs>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6、草坪管养操作不当造成草坪成片枯黄或死亡的</w:t>
            </w:r>
            <w:r>
              <w:rPr>
                <w:rFonts w:ascii="宋体" w:eastAsia="宋体" w:hAnsi="宋体" w:cs="宋体" w:hint="eastAsia"/>
                <w:spacing w:val="-10"/>
                <w:kern w:val="2"/>
                <w:sz w:val="21"/>
                <w:szCs w:val="21"/>
                <w:lang w:eastAsia="zh-CN"/>
              </w:rPr>
              <w:t>，由管养公司恢复或更新，并每平方米扣1分。</w:t>
            </w:r>
          </w:p>
        </w:tc>
      </w:tr>
      <w:tr>
        <w:tblPrEx>
          <w:tblW w:w="5000" w:type="pct"/>
          <w:tblLayout w:type="fixed"/>
          <w:tblCellMar>
            <w:top w:w="0" w:type="dxa"/>
            <w:left w:w="108" w:type="dxa"/>
            <w:bottom w:w="0" w:type="dxa"/>
            <w:right w:w="108" w:type="dxa"/>
          </w:tblCellMar>
          <w:tblLook w:val="0000"/>
        </w:tblPrEx>
        <w:trPr>
          <w:trHeight w:val="269"/>
        </w:trPr>
        <w:tc>
          <w:tcPr>
            <w:tcW w:w="784" w:type="dxa"/>
            <w:vMerge/>
            <w:vAlign w:val="center"/>
          </w:tcPr>
          <w:p>
            <w:pPr>
              <w:widowControl w:val="0"/>
              <w:spacing w:after="60" w:afterLines="25" w:line="320" w:lineRule="exact"/>
              <w:jc w:val="center"/>
              <w:rPr>
                <w:rFonts w:ascii="宋体" w:eastAsia="宋体" w:hAnsi="宋体" w:cs="宋体" w:hint="eastAsia"/>
                <w:kern w:val="2"/>
                <w:sz w:val="21"/>
                <w:szCs w:val="21"/>
                <w:lang w:eastAsia="zh-CN"/>
              </w:rPr>
            </w:pPr>
          </w:p>
        </w:tc>
        <w:tc>
          <w:tcPr>
            <w:tcW w:w="936" w:type="dxa"/>
            <w:vMerge/>
            <w:vAlign w:val="center"/>
          </w:tcPr>
          <w:p>
            <w:pPr>
              <w:widowControl w:val="0"/>
              <w:spacing w:after="60" w:afterLines="25" w:line="320" w:lineRule="exact"/>
              <w:jc w:val="center"/>
              <w:rPr>
                <w:rFonts w:ascii="宋体" w:eastAsia="宋体" w:hAnsi="宋体" w:cs="宋体" w:hint="eastAsia"/>
                <w:kern w:val="2"/>
                <w:sz w:val="21"/>
                <w:szCs w:val="21"/>
                <w:lang w:eastAsia="zh-CN"/>
              </w:rPr>
            </w:pPr>
          </w:p>
        </w:tc>
        <w:tc>
          <w:tcPr>
            <w:tcW w:w="3917" w:type="dxa"/>
            <w:vAlign w:val="center"/>
          </w:tcPr>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5.2灌木、时花管养、灌木</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5.2.1时花生长势</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5.2.2灌木景观、绿篱整齐、花多色艳</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5.2.3灌木、时花病虫害</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5.2.4老化及死亡植株及时更换</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5.2.5灌木、时花管养措施</w:t>
            </w:r>
          </w:p>
        </w:tc>
        <w:tc>
          <w:tcPr>
            <w:tcW w:w="3685" w:type="dxa"/>
            <w:vAlign w:val="center"/>
          </w:tcPr>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1、绿地上单植灌木未及时扶正，影响景观，每株扣2分；</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2、灌木生长不良，单株灌木每株扣1－5分，片植灌木每平方米扣2分；</w:t>
            </w:r>
          </w:p>
          <w:p>
            <w:pPr>
              <w:widowControl w:val="0"/>
              <w:spacing w:after="60" w:afterLines="25" w:line="300" w:lineRule="exact"/>
              <w:jc w:val="both"/>
              <w:rPr>
                <w:rFonts w:ascii="宋体" w:eastAsia="宋体" w:hAnsi="宋体" w:cs="宋体" w:hint="eastAsia"/>
                <w:spacing w:val="-14"/>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spacing w:val="-14"/>
                <w:kern w:val="2"/>
                <w:sz w:val="21"/>
                <w:szCs w:val="21"/>
                <w:lang w:eastAsia="zh-CN"/>
              </w:rPr>
              <w:t>灌木、时花有病虫害每株扣1分；</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 因管理不善造成灌木死亡的，由管养公司补植相应规格树木，并每株扣1－10分；</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5、灌木、时花管养措施不当造成枯黄或死亡的，由管养公司恢复或更新，并每平方米扣1分。</w:t>
            </w:r>
          </w:p>
        </w:tc>
      </w:tr>
      <w:tr>
        <w:tblPrEx>
          <w:tblW w:w="5000" w:type="pct"/>
          <w:tblLayout w:type="fixed"/>
          <w:tblCellMar>
            <w:top w:w="0" w:type="dxa"/>
            <w:left w:w="108" w:type="dxa"/>
            <w:bottom w:w="0" w:type="dxa"/>
            <w:right w:w="108" w:type="dxa"/>
          </w:tblCellMar>
          <w:tblLook w:val="0000"/>
        </w:tblPrEx>
        <w:trPr>
          <w:trHeight w:val="3128"/>
        </w:trPr>
        <w:tc>
          <w:tcPr>
            <w:tcW w:w="784" w:type="dxa"/>
            <w:vMerge/>
            <w:vAlign w:val="center"/>
          </w:tcPr>
          <w:p>
            <w:pPr>
              <w:widowControl w:val="0"/>
              <w:spacing w:after="60" w:afterLines="25" w:line="320" w:lineRule="exact"/>
              <w:jc w:val="center"/>
              <w:rPr>
                <w:rFonts w:ascii="宋体" w:eastAsia="宋体" w:hAnsi="宋体" w:cs="宋体" w:hint="eastAsia"/>
                <w:kern w:val="2"/>
                <w:sz w:val="21"/>
                <w:szCs w:val="21"/>
                <w:lang w:eastAsia="zh-CN"/>
              </w:rPr>
            </w:pPr>
          </w:p>
        </w:tc>
        <w:tc>
          <w:tcPr>
            <w:tcW w:w="936" w:type="dxa"/>
            <w:vMerge/>
            <w:vAlign w:val="center"/>
          </w:tcPr>
          <w:p>
            <w:pPr>
              <w:widowControl w:val="0"/>
              <w:spacing w:after="60" w:afterLines="25" w:line="320" w:lineRule="exact"/>
              <w:jc w:val="center"/>
              <w:rPr>
                <w:rFonts w:ascii="宋体" w:eastAsia="宋体" w:hAnsi="宋体" w:cs="宋体" w:hint="eastAsia"/>
                <w:kern w:val="2"/>
                <w:sz w:val="21"/>
                <w:szCs w:val="21"/>
                <w:lang w:eastAsia="zh-CN"/>
              </w:rPr>
            </w:pPr>
          </w:p>
        </w:tc>
        <w:tc>
          <w:tcPr>
            <w:tcW w:w="3917" w:type="dxa"/>
            <w:vAlign w:val="center"/>
          </w:tcPr>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5.3乔木管养</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5.3.1乔木生长势</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5.3.2乔木修剪合理、无枯枝败叶</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5.3.3乔木病虫害</w:t>
            </w:r>
          </w:p>
          <w:p>
            <w:pPr>
              <w:widowControl w:val="0"/>
              <w:spacing w:after="60" w:afterLines="25" w:line="30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5.3.4乔木管养措施</w:t>
            </w:r>
          </w:p>
        </w:tc>
        <w:tc>
          <w:tcPr>
            <w:tcW w:w="3685" w:type="dxa"/>
            <w:vAlign w:val="center"/>
          </w:tcPr>
          <w:p>
            <w:pPr>
              <w:widowControl w:val="0"/>
              <w:spacing w:after="60" w:afterLines="25" w:line="2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1、绿地上乔木未及时扶正，影响景观，每株扣2分；</w:t>
            </w:r>
          </w:p>
          <w:p>
            <w:pPr>
              <w:widowControl w:val="0"/>
              <w:spacing w:after="60" w:afterLines="25" w:line="2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2、乔木生长不良，单株灌木每株扣1－5分 ；</w:t>
            </w:r>
          </w:p>
          <w:p>
            <w:pPr>
              <w:widowControl w:val="0"/>
              <w:spacing w:after="60" w:afterLines="25" w:line="260" w:lineRule="exact"/>
              <w:jc w:val="both"/>
              <w:rPr>
                <w:rFonts w:ascii="宋体" w:eastAsia="宋体" w:hAnsi="宋体" w:cs="宋体" w:hint="eastAsia"/>
                <w:spacing w:val="-10"/>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spacing w:val="-10"/>
                <w:kern w:val="2"/>
                <w:sz w:val="21"/>
                <w:szCs w:val="21"/>
                <w:lang w:eastAsia="zh-CN"/>
              </w:rPr>
              <w:t>乔木有病虫害的每株扣1分；</w:t>
            </w:r>
          </w:p>
          <w:p>
            <w:pPr>
              <w:widowControl w:val="0"/>
              <w:spacing w:after="60" w:afterLines="25" w:line="2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 因管理不善造成乔木死亡的，由管养公司补植相应规格树木，并每株扣1－10分；</w:t>
            </w:r>
          </w:p>
          <w:p>
            <w:pPr>
              <w:widowControl w:val="0"/>
              <w:spacing w:after="60" w:afterLines="25" w:line="26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5、乔木管养措施不当造成枯黄或死亡的，由管养公司负责恢复或更新，并每平方米扣1分。</w:t>
            </w:r>
          </w:p>
        </w:tc>
      </w:tr>
      <w:tr>
        <w:tblPrEx>
          <w:tblW w:w="5000" w:type="pct"/>
          <w:tblLayout w:type="fixed"/>
          <w:tblCellMar>
            <w:top w:w="0" w:type="dxa"/>
            <w:left w:w="108" w:type="dxa"/>
            <w:bottom w:w="0" w:type="dxa"/>
            <w:right w:w="108" w:type="dxa"/>
          </w:tblCellMar>
          <w:tblLook w:val="0000"/>
        </w:tblPrEx>
        <w:trPr>
          <w:trHeight w:val="2253"/>
        </w:trPr>
        <w:tc>
          <w:tcPr>
            <w:tcW w:w="784" w:type="dxa"/>
            <w:vAlign w:val="center"/>
          </w:tcPr>
          <w:p>
            <w:pPr>
              <w:widowControl w:val="0"/>
              <w:spacing w:before="48" w:beforeLines="20" w:after="48" w:afterLines="20" w:line="360" w:lineRule="exact"/>
              <w:ind w:firstLine="210" w:firstLineChars="1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936" w:type="dxa"/>
            <w:vAlign w:val="center"/>
          </w:tcPr>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物业</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档案</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资料</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管理</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10分</w:t>
            </w:r>
          </w:p>
        </w:tc>
        <w:tc>
          <w:tcPr>
            <w:tcW w:w="3917"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1、严格执行档案管理制度；</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2、对车辆出入，来访人员的信息登记并存档。 </w:t>
            </w:r>
          </w:p>
        </w:tc>
        <w:tc>
          <w:tcPr>
            <w:tcW w:w="3685"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1、一次不合要求扣1分；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2、因工作不力视后果扣分（1分起）；</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3、一次不合要求扣0.5分；</w:t>
            </w:r>
          </w:p>
          <w:p>
            <w:pPr>
              <w:widowControl w:val="0"/>
              <w:spacing w:after="60" w:afterLines="25" w:line="320" w:lineRule="exact"/>
              <w:jc w:val="both"/>
              <w:rPr>
                <w:rFonts w:ascii="宋体" w:eastAsia="宋体" w:hAnsi="宋体" w:cs="宋体" w:hint="eastAsia"/>
                <w:b/>
                <w:kern w:val="2"/>
                <w:sz w:val="21"/>
                <w:szCs w:val="21"/>
                <w:lang w:eastAsia="zh-CN"/>
              </w:rPr>
            </w:pPr>
            <w:r>
              <w:rPr>
                <w:rFonts w:ascii="宋体" w:eastAsia="宋体" w:hAnsi="宋体" w:cs="宋体" w:hint="eastAsia"/>
                <w:kern w:val="2"/>
                <w:sz w:val="21"/>
                <w:szCs w:val="21"/>
                <w:lang w:eastAsia="zh-CN"/>
              </w:rPr>
              <w:t>4、因工作不力视后果扣分（1分起）。</w:t>
            </w:r>
          </w:p>
        </w:tc>
      </w:tr>
      <w:tr>
        <w:tblPrEx>
          <w:tblW w:w="5000" w:type="pct"/>
          <w:tblLayout w:type="fixed"/>
          <w:tblCellMar>
            <w:top w:w="0" w:type="dxa"/>
            <w:left w:w="108" w:type="dxa"/>
            <w:bottom w:w="0" w:type="dxa"/>
            <w:right w:w="108" w:type="dxa"/>
          </w:tblCellMar>
          <w:tblLook w:val="0000"/>
        </w:tblPrEx>
        <w:trPr>
          <w:trHeight w:val="411"/>
        </w:trPr>
        <w:tc>
          <w:tcPr>
            <w:tcW w:w="784" w:type="dxa"/>
            <w:vAlign w:val="center"/>
          </w:tcPr>
          <w:p>
            <w:pPr>
              <w:widowControl w:val="0"/>
              <w:spacing w:after="60" w:afterLines="25" w:line="320" w:lineRule="exact"/>
              <w:ind w:firstLine="210" w:firstLineChars="1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p>
        </w:tc>
        <w:tc>
          <w:tcPr>
            <w:tcW w:w="936" w:type="dxa"/>
            <w:vAlign w:val="center"/>
          </w:tcPr>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报刊、信件</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管理</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10分</w:t>
            </w:r>
          </w:p>
        </w:tc>
        <w:tc>
          <w:tcPr>
            <w:tcW w:w="3917"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1、指定专人做好信件收发工作，每天及时分派报纸和信件、杂志。根据要求准确无误投放信箱或送至办公室，不得截留节假日期间的报纸；</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2、对挂号信和特快专递要交到收件人处并签收，对文件和各类通知发放要严格签收手续，以免误漏现象发生；</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3、对所有投递错误的和地址、收件处或姓名不详者信件要在五天内处理完毕。</w:t>
            </w:r>
          </w:p>
        </w:tc>
        <w:tc>
          <w:tcPr>
            <w:tcW w:w="3685"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1、无专人信件收发扣1分；分派报纸、信件等不及时扣0.5分，信件、报纸等发放错误每次扣0.5分；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2、对信件、文件和各类通知不按要求签收登记每次扣0.5分；</w:t>
            </w:r>
          </w:p>
          <w:p>
            <w:pPr>
              <w:widowControl w:val="0"/>
              <w:spacing w:after="60" w:afterLines="25" w:line="320" w:lineRule="exact"/>
              <w:jc w:val="both"/>
              <w:rPr>
                <w:rFonts w:ascii="宋体" w:eastAsia="宋体" w:hAnsi="宋体" w:cs="宋体" w:hint="eastAsia"/>
                <w:b/>
                <w:kern w:val="2"/>
                <w:sz w:val="21"/>
                <w:szCs w:val="21"/>
                <w:lang w:eastAsia="zh-CN"/>
              </w:rPr>
            </w:pPr>
            <w:r>
              <w:rPr>
                <w:rFonts w:ascii="宋体" w:eastAsia="宋体" w:hAnsi="宋体" w:cs="宋体" w:hint="eastAsia"/>
                <w:kern w:val="2"/>
                <w:sz w:val="21"/>
                <w:szCs w:val="21"/>
                <w:lang w:eastAsia="zh-CN"/>
              </w:rPr>
              <w:t>3、未按要求处理不详信件每发现一次扣0.2分。</w:t>
            </w:r>
          </w:p>
        </w:tc>
      </w:tr>
      <w:tr>
        <w:tblPrEx>
          <w:tblW w:w="5000" w:type="pct"/>
          <w:tblLayout w:type="fixed"/>
          <w:tblCellMar>
            <w:top w:w="0" w:type="dxa"/>
            <w:left w:w="108" w:type="dxa"/>
            <w:bottom w:w="0" w:type="dxa"/>
            <w:right w:w="108" w:type="dxa"/>
          </w:tblCellMar>
          <w:tblLook w:val="0000"/>
        </w:tblPrEx>
        <w:trPr>
          <w:trHeight w:val="2314"/>
        </w:trPr>
        <w:tc>
          <w:tcPr>
            <w:tcW w:w="784" w:type="dxa"/>
            <w:vAlign w:val="center"/>
          </w:tcPr>
          <w:p>
            <w:pPr>
              <w:widowControl w:val="0"/>
              <w:spacing w:after="60" w:afterLines="25" w:line="320" w:lineRule="exact"/>
              <w:ind w:firstLine="210" w:firstLineChars="1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p>
        </w:tc>
        <w:tc>
          <w:tcPr>
            <w:tcW w:w="936" w:type="dxa"/>
            <w:vAlign w:val="center"/>
          </w:tcPr>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其它</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服务</w:t>
            </w:r>
          </w:p>
          <w:p>
            <w:pPr>
              <w:widowControl w:val="0"/>
              <w:spacing w:after="60" w:afterLines="25"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5分</w:t>
            </w:r>
          </w:p>
        </w:tc>
        <w:tc>
          <w:tcPr>
            <w:tcW w:w="3917"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1、做好业主各使用单位的日常后勤协助工作安排；</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2、无有效投诉；</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3、完成业主主管单位交办的属于服务范围内的其它事项。</w:t>
            </w:r>
          </w:p>
        </w:tc>
        <w:tc>
          <w:tcPr>
            <w:tcW w:w="3685" w:type="dxa"/>
            <w:vAlign w:val="center"/>
          </w:tcPr>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1、违反一次扣0.5分；</w:t>
            </w:r>
          </w:p>
          <w:p>
            <w:pPr>
              <w:widowControl w:val="0"/>
              <w:spacing w:after="60" w:afterLines="25"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2、出现一次有效投诉扣0.5分；</w:t>
            </w:r>
          </w:p>
          <w:p>
            <w:pPr>
              <w:widowControl w:val="0"/>
              <w:spacing w:after="60" w:afterLines="25" w:line="320" w:lineRule="exact"/>
              <w:jc w:val="both"/>
              <w:rPr>
                <w:rFonts w:ascii="宋体" w:eastAsia="宋体" w:hAnsi="宋体" w:cs="宋体" w:hint="eastAsia"/>
                <w:b/>
                <w:kern w:val="2"/>
                <w:sz w:val="21"/>
                <w:szCs w:val="21"/>
                <w:lang w:eastAsia="zh-CN"/>
              </w:rPr>
            </w:pPr>
            <w:r>
              <w:rPr>
                <w:rFonts w:ascii="宋体" w:eastAsia="宋体" w:hAnsi="宋体" w:cs="宋体" w:hint="eastAsia"/>
                <w:kern w:val="2"/>
                <w:sz w:val="21"/>
                <w:szCs w:val="21"/>
                <w:lang w:eastAsia="zh-CN"/>
              </w:rPr>
              <w:t>3、视后果扣分（0.5分起）。</w:t>
            </w:r>
          </w:p>
        </w:tc>
      </w:tr>
    </w:tbl>
    <w:p>
      <w:pPr>
        <w:widowControl w:val="0"/>
        <w:jc w:val="both"/>
        <w:rPr>
          <w:rFonts w:ascii="Calibri" w:eastAsia="宋体" w:hAnsi="Calibri"/>
          <w:kern w:val="2"/>
          <w:sz w:val="21"/>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hint="eastAsia"/>
          <w:b/>
          <w:bCs/>
          <w:kern w:val="2"/>
          <w:sz w:val="32"/>
          <w:lang w:eastAsia="zh-CN"/>
        </w:rPr>
        <w:t>六、其他重要条款</w:t>
      </w:r>
    </w:p>
    <w:p>
      <w:pPr>
        <w:widowControl w:val="0"/>
        <w:ind w:firstLine="420" w:firstLineChars="200"/>
        <w:jc w:val="both"/>
        <w:rPr>
          <w:rFonts w:ascii="Calibri" w:eastAsia="宋体" w:hAnsi="Calibri"/>
          <w:bCs/>
          <w:kern w:val="2"/>
          <w:sz w:val="21"/>
          <w:szCs w:val="21"/>
          <w:lang w:eastAsia="zh-CN"/>
        </w:rPr>
      </w:pPr>
      <w:r>
        <w:rPr>
          <w:rFonts w:ascii="Calibri" w:eastAsia="宋体" w:hAnsi="Calibri"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kern w:val="2"/>
          <w:sz w:val="21"/>
          <w:szCs w:val="21"/>
          <w:lang w:eastAsia="zh-CN"/>
        </w:rPr>
      </w:pPr>
      <w:r>
        <w:rPr>
          <w:rFonts w:ascii="Calibri" w:eastAsia="宋体" w:hAnsi="Calibri"/>
          <w:bCs/>
          <w:kern w:val="2"/>
          <w:sz w:val="21"/>
          <w:szCs w:val="21"/>
          <w:lang w:eastAsia="zh-CN"/>
        </w:rPr>
        <w:t>2</w:t>
      </w:r>
      <w:r>
        <w:rPr>
          <w:rFonts w:ascii="Calibri" w:eastAsia="宋体" w:hAnsi="Calibri"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ind w:firstLine="420" w:firstLineChars="200"/>
        <w:jc w:val="both"/>
        <w:rPr>
          <w:rFonts w:ascii="Calibri" w:eastAsia="宋体" w:hAnsi="Calibri"/>
          <w:bCs/>
          <w:kern w:val="2"/>
          <w:sz w:val="21"/>
          <w:szCs w:val="21"/>
          <w:lang w:eastAsia="zh-CN"/>
        </w:rPr>
      </w:pPr>
      <w:r>
        <w:rPr>
          <w:rFonts w:ascii="Calibri" w:eastAsia="宋体" w:hAnsi="Calibri"/>
          <w:bCs/>
          <w:kern w:val="2"/>
          <w:sz w:val="21"/>
          <w:szCs w:val="21"/>
          <w:lang w:eastAsia="zh-CN"/>
        </w:rPr>
        <w:t>3</w:t>
      </w:r>
      <w:r>
        <w:rPr>
          <w:rFonts w:ascii="Calibri" w:eastAsia="宋体" w:hAnsi="Calibri"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ascii="Calibri" w:eastAsia="宋体" w:hAnsi="Calibri"/>
          <w:bCs/>
          <w:kern w:val="2"/>
          <w:sz w:val="21"/>
          <w:szCs w:val="21"/>
          <w:lang w:eastAsia="zh-CN"/>
        </w:rPr>
      </w:pPr>
      <w:r>
        <w:rPr>
          <w:rFonts w:eastAsia="宋体" w:hAnsi="Calibri" w:hint="eastAsia"/>
          <w:bCs/>
          <w:kern w:val="2"/>
          <w:sz w:val="21"/>
          <w:szCs w:val="21"/>
          <w:lang w:eastAsia="zh-CN"/>
        </w:rPr>
        <w:t>4</w:t>
      </w:r>
      <w:r>
        <w:rPr>
          <w:rFonts w:ascii="Calibri" w:eastAsia="宋体" w:hAnsi="Calibri" w:hint="eastAsia"/>
          <w:bCs/>
          <w:kern w:val="2"/>
          <w:sz w:val="21"/>
          <w:szCs w:val="21"/>
          <w:lang w:eastAsia="zh-CN"/>
        </w:rPr>
        <w:t>、除政府采购合同继续履行将损害国家利益和社会公共利益外，双方当事人不得擅自变更、中止或者终止合同。</w:t>
      </w:r>
    </w:p>
    <w:p>
      <w:pPr>
        <w:widowControl w:val="0"/>
        <w:ind w:firstLine="420" w:firstLineChars="200"/>
        <w:jc w:val="both"/>
        <w:rPr>
          <w:rFonts w:ascii="Calibri" w:eastAsia="宋体" w:hAnsi="Calibri" w:hint="eastAsia"/>
          <w:bCs/>
          <w:kern w:val="2"/>
          <w:sz w:val="21"/>
          <w:szCs w:val="21"/>
          <w:lang w:eastAsia="zh-CN"/>
        </w:rPr>
      </w:pPr>
      <w:r>
        <w:rPr>
          <w:rFonts w:eastAsia="宋体" w:hAnsi="Calibri" w:hint="eastAsia"/>
          <w:bCs/>
          <w:kern w:val="2"/>
          <w:sz w:val="21"/>
          <w:szCs w:val="21"/>
          <w:lang w:eastAsia="zh-CN"/>
        </w:rPr>
        <w:t>5</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信用中国</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中</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信用服务</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栏的</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重大税收违法失信主体</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失信被执行人</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中国政府采购网</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中的</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政府采购严重违法失信行为记录名单</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，以及</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深圳市政府采购监管网</w:t>
      </w:r>
      <w:r>
        <w:rPr>
          <w:rFonts w:ascii="Calibri" w:eastAsia="宋体" w:hAnsi="Calibri" w:hint="eastAsia"/>
          <w:bCs/>
          <w:kern w:val="2"/>
          <w:sz w:val="21"/>
          <w:szCs w:val="21"/>
          <w:lang w:eastAsia="zh-CN"/>
        </w:rPr>
        <w:t>”</w:t>
      </w:r>
      <w:r>
        <w:rPr>
          <w:rFonts w:ascii="Calibri" w:eastAsia="宋体" w:hAnsi="Calibri" w:hint="eastAsia"/>
          <w:bCs/>
          <w:kern w:val="2"/>
          <w:sz w:val="21"/>
          <w:szCs w:val="21"/>
          <w:lang w:eastAsia="zh-CN"/>
        </w:rPr>
        <w:t>为供应商信用信息的查询渠道，相关信息以开标当日的查询结果为准</w:t>
      </w:r>
      <w:r>
        <w:rPr>
          <w:rFonts w:eastAsia="宋体" w:hAnsi="Calibri" w:hint="eastAsia"/>
          <w:bCs/>
          <w:kern w:val="2"/>
          <w:sz w:val="21"/>
          <w:szCs w:val="21"/>
          <w:lang w:eastAsia="zh-CN"/>
        </w:rPr>
        <w:t>。</w:t>
      </w:r>
    </w:p>
    <w:p>
      <w:pPr>
        <w:widowControl w:val="0"/>
        <w:spacing w:before="60" w:beforeLines="25" w:after="60" w:afterLines="25"/>
        <w:ind w:firstLine="393" w:firstLineChars="187"/>
        <w:jc w:val="both"/>
        <w:rPr>
          <w:rFonts w:ascii="宋体" w:eastAsia="宋体" w:hAnsi="宋体"/>
          <w:kern w:val="2"/>
          <w:sz w:val="21"/>
          <w:szCs w:val="21"/>
          <w:lang w:eastAsia="zh-CN"/>
        </w:rPr>
      </w:pPr>
    </w:p>
    <w:p>
      <w:pPr>
        <w:widowControl w:val="0"/>
        <w:spacing w:before="60" w:beforeLines="25" w:after="60" w:afterLines="25"/>
        <w:ind w:firstLine="393" w:firstLineChars="187"/>
        <w:jc w:val="both"/>
        <w:rPr>
          <w:rFonts w:ascii="宋体" w:eastAsia="宋体" w:hAnsi="宋体"/>
          <w:kern w:val="2"/>
          <w:sz w:val="21"/>
          <w:szCs w:val="21"/>
          <w:lang w:eastAsia="zh-CN"/>
        </w:rPr>
      </w:pPr>
    </w:p>
    <w:p>
      <w:pPr>
        <w:widowControl w:val="0"/>
        <w:spacing w:before="60" w:beforeLines="25" w:after="60" w:afterLines="25"/>
        <w:ind w:firstLine="393" w:firstLineChars="187"/>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pPr>
      <w:r>
        <w:rPr>
          <w:rFonts w:ascii="Calibri" w:eastAsia="宋体" w:hAnsi="Calibri" w:hint="eastAsia"/>
          <w:kern w:val="2"/>
          <w:sz w:val="21"/>
          <w:szCs w:val="22"/>
          <w:lang w:eastAsia="zh-CN"/>
        </w:rPr>
        <w:br w:type="page"/>
      </w: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hint="eastAsia"/>
          <w:b/>
          <w:bCs/>
          <w:kern w:val="2"/>
          <w:sz w:val="32"/>
          <w:szCs w:val="32"/>
          <w:lang w:eastAsia="zh-CN"/>
        </w:rPr>
        <w:t>第四章 投标文件组成要求及格式</w:t>
      </w:r>
    </w:p>
    <w:p>
      <w:pPr>
        <w:widowControl w:val="0"/>
        <w:jc w:val="both"/>
        <w:rPr>
          <w:rFonts w:ascii="黑体" w:eastAsia="黑体" w:hAnsi="Calibri"/>
          <w:bCs/>
          <w:kern w:val="2"/>
          <w:szCs w:val="22"/>
          <w:lang w:eastAsia="zh-CN"/>
        </w:rPr>
      </w:pPr>
      <w:r>
        <w:rPr>
          <w:rFonts w:ascii="黑体" w:eastAsia="黑体" w:hAnsi="Calibri" w:hint="eastAsia"/>
          <w:bCs/>
          <w:kern w:val="2"/>
          <w:szCs w:val="22"/>
          <w:lang w:eastAsia="zh-CN"/>
        </w:rPr>
        <w:t>特别提醒：</w:t>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hint="eastAsia"/>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jc w:val="both"/>
        <w:rPr>
          <w:rFonts w:ascii="仿宋_GB2312" w:eastAsia="仿宋_GB2312" w:hAnsi="Calibri"/>
          <w:kern w:val="2"/>
          <w:szCs w:val="22"/>
          <w:lang w:eastAsia="zh-CN"/>
        </w:rPr>
      </w:pPr>
      <w:r>
        <w:rPr>
          <w:rFonts w:ascii="仿宋_GB2312" w:eastAsia="仿宋_GB2312" w:hAnsi="Calibri" w:hint="eastAsia"/>
          <w:kern w:val="2"/>
          <w:szCs w:val="22"/>
          <w:lang w:eastAsia="zh-CN"/>
        </w:rPr>
        <w:t xml:space="preserve">    投标文件正文（信息公开部分）必须编制于</w:t>
      </w:r>
      <w:r>
        <w:rPr>
          <w:rFonts w:ascii="仿宋_GB2312" w:eastAsia="仿宋_GB2312" w:hAnsi="Calibri" w:hint="eastAsia"/>
          <w:kern w:val="2"/>
          <w:szCs w:val="22"/>
          <w:lang w:eastAsia="zh-CN"/>
        </w:rPr>
        <w:t>“</w:t>
      </w:r>
      <w:r>
        <w:rPr>
          <w:rFonts w:ascii="仿宋_GB2312" w:eastAsia="仿宋_GB2312" w:hAnsi="Calibri" w:hint="eastAsia"/>
          <w:kern w:val="2"/>
          <w:szCs w:val="22"/>
          <w:lang w:eastAsia="zh-CN"/>
        </w:rPr>
        <w:t>正文（公开部分）</w:t>
      </w:r>
      <w:r>
        <w:rPr>
          <w:rFonts w:ascii="仿宋_GB2312" w:eastAsia="仿宋_GB2312" w:hAnsi="Calibri" w:hint="eastAsia"/>
          <w:kern w:val="2"/>
          <w:szCs w:val="22"/>
          <w:lang w:eastAsia="zh-CN"/>
        </w:rPr>
        <w:t>”</w:t>
      </w:r>
      <w:r>
        <w:rPr>
          <w:rFonts w:ascii="仿宋_GB2312" w:eastAsia="仿宋_GB2312" w:hAnsi="Calibri" w:hint="eastAsia"/>
          <w:kern w:val="2"/>
          <w:szCs w:val="22"/>
          <w:lang w:eastAsia="zh-CN"/>
        </w:rPr>
        <w:t>，投标文件附件（非信息公开部分）必须编制于</w:t>
      </w:r>
      <w:r>
        <w:rPr>
          <w:rFonts w:ascii="仿宋_GB2312" w:eastAsia="仿宋_GB2312" w:hAnsi="Calibri" w:hint="eastAsia"/>
          <w:kern w:val="2"/>
          <w:szCs w:val="22"/>
          <w:lang w:eastAsia="zh-CN"/>
        </w:rPr>
        <w:t>“</w:t>
      </w:r>
      <w:r>
        <w:rPr>
          <w:rFonts w:ascii="仿宋_GB2312" w:eastAsia="仿宋_GB2312" w:hAnsi="Calibri" w:hint="eastAsia"/>
          <w:kern w:val="2"/>
          <w:szCs w:val="22"/>
          <w:lang w:eastAsia="zh-CN"/>
        </w:rPr>
        <w:t>附件（不公开部分）</w:t>
      </w:r>
      <w:r>
        <w:rPr>
          <w:rFonts w:ascii="仿宋_GB2312" w:eastAsia="仿宋_GB2312" w:hAnsi="Calibri" w:hint="eastAsia"/>
          <w:kern w:val="2"/>
          <w:szCs w:val="22"/>
          <w:lang w:eastAsia="zh-CN"/>
        </w:rPr>
        <w:t>”</w:t>
      </w:r>
      <w:r>
        <w:rPr>
          <w:rFonts w:ascii="仿宋_GB2312" w:eastAsia="仿宋_GB2312" w:hAnsi="Calibri" w:hint="eastAsia"/>
          <w:kern w:val="2"/>
          <w:szCs w:val="22"/>
          <w:lang w:eastAsia="zh-CN"/>
        </w:rPr>
        <w:t>，如下图所示。</w:t>
      </w:r>
    </w:p>
    <w:p>
      <w:pPr>
        <w:widowControl/>
        <w:jc w:val="left"/>
        <w:rPr>
          <w:rFonts w:ascii="宋体" w:eastAsia="宋体" w:hAnsi="宋体" w:cs="宋体"/>
          <w:szCs w:val="2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c66f322b8feee32c1a3f0d48f365c82" style="width:409.69pt;height:318.34pt;mso-position-horizontal-relative:page;mso-position-vertical-relative:page;mso-wrap-style:square" o:preferrelative="t" filled="f" stroked="f">
            <v:fill o:detectmouseclick="t"/>
            <v:stroke linestyle="single"/>
            <v:imagedata r:id="rId7" o:title="c66f322b8feee32c1a3f0d48f365c82"/>
            <v:path o:extrusionok="f"/>
            <o:lock v:ext="edit" aspectratio="t"/>
          </v:shape>
        </w:pict>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hint="eastAsia"/>
          <w:kern w:val="2"/>
          <w:szCs w:val="22"/>
          <w:lang w:eastAsia="zh-CN"/>
        </w:rPr>
        <w:t>政府集中采购机构公布投标文件正文（信息公开部分）时为计算机截取信息自动公布，</w:t>
      </w:r>
      <w:r>
        <w:rPr>
          <w:rFonts w:ascii="仿宋_GB2312" w:eastAsia="仿宋_GB2312" w:hAnsi="Calibri" w:hint="eastAsia"/>
          <w:b/>
          <w:bCs/>
          <w:kern w:val="2"/>
          <w:szCs w:val="22"/>
          <w:lang w:eastAsia="zh-CN"/>
        </w:rPr>
        <w:t>如投标人误将涉及个人隐私的信息放入投标文件正文，相关后果由投标人自负；</w:t>
      </w:r>
      <w:r>
        <w:rPr>
          <w:rFonts w:ascii="仿宋_GB2312" w:eastAsia="仿宋_GB2312" w:hAnsi="Calibri" w:hint="eastAsia"/>
          <w:kern w:val="2"/>
          <w:szCs w:val="22"/>
          <w:highlight w:val="yellow"/>
          <w:lang w:eastAsia="zh-CN"/>
        </w:rPr>
        <w:t>如投标人将必须放于投标文件正文（信息公开部分）的内容放入投标文件附件（非信息公开部分），将作投标无效处理。</w:t>
      </w:r>
    </w:p>
    <w:p>
      <w:pPr>
        <w:widowControl w:val="0"/>
        <w:ind w:firstLine="480" w:firstLineChars="200"/>
        <w:jc w:val="both"/>
        <w:rPr>
          <w:rFonts w:ascii="仿宋_GB2312" w:eastAsia="仿宋_GB2312" w:hAnsi="Calibri"/>
          <w:kern w:val="2"/>
          <w:szCs w:val="22"/>
          <w:lang w:eastAsia="zh-CN"/>
        </w:rPr>
      </w:pPr>
    </w:p>
    <w:p>
      <w:pPr>
        <w:widowControl w:val="0"/>
        <w:ind w:firstLine="480" w:firstLineChars="200"/>
        <w:jc w:val="both"/>
        <w:rPr>
          <w:rFonts w:ascii="宋体" w:eastAsia="宋体" w:hAnsi="宋体"/>
          <w:b/>
          <w:kern w:val="2"/>
          <w:szCs w:val="22"/>
          <w:lang w:eastAsia="zh-CN"/>
        </w:rPr>
      </w:pPr>
    </w:p>
    <w:p>
      <w:pPr>
        <w:widowControl w:val="0"/>
        <w:jc w:val="both"/>
        <w:rPr>
          <w:rFonts w:ascii="宋体" w:eastAsia="宋体" w:hAnsi="宋体"/>
          <w:kern w:val="2"/>
          <w:szCs w:val="22"/>
          <w:lang w:eastAsia="zh-CN"/>
        </w:rPr>
      </w:pPr>
      <w:r>
        <w:rPr>
          <w:rFonts w:ascii="宋体" w:eastAsia="宋体" w:hAnsi="宋体" w:hint="eastAsia"/>
          <w:kern w:val="2"/>
          <w:szCs w:val="22"/>
          <w:lang w:eastAsia="zh-CN"/>
        </w:rPr>
        <w:t>投标文件组成：</w:t>
      </w:r>
    </w:p>
    <w:p>
      <w:pPr>
        <w:widowControl w:val="0"/>
        <w:ind w:firstLine="1200" w:firstLineChars="500"/>
        <w:jc w:val="both"/>
        <w:rPr>
          <w:rFonts w:ascii="宋体" w:eastAsia="宋体" w:hAnsi="宋体"/>
          <w:kern w:val="2"/>
          <w:szCs w:val="22"/>
          <w:lang w:eastAsia="zh-CN"/>
        </w:rPr>
      </w:pPr>
      <w:r>
        <w:rPr>
          <w:rFonts w:ascii="宋体" w:eastAsia="宋体" w:hAnsi="宋体" w:hint="eastAsia"/>
          <w:kern w:val="2"/>
          <w:szCs w:val="22"/>
          <w:lang w:eastAsia="zh-CN"/>
        </w:rPr>
        <w:t>1.投标文件正文</w:t>
      </w:r>
      <w:r>
        <w:rPr>
          <w:rFonts w:ascii="宋体" w:eastAsia="宋体" w:hAnsi="宋体" w:hint="eastAsia"/>
          <w:b/>
          <w:color w:val="FF0000"/>
          <w:kern w:val="2"/>
          <w:szCs w:val="22"/>
          <w:lang w:eastAsia="zh-CN"/>
        </w:rPr>
        <w:t>（信息公开部分）</w:t>
      </w:r>
      <w:r>
        <w:rPr>
          <w:rFonts w:ascii="宋体" w:eastAsia="宋体" w:hAnsi="宋体" w:hint="eastAsia"/>
          <w:kern w:val="2"/>
          <w:szCs w:val="22"/>
          <w:lang w:eastAsia="zh-CN"/>
        </w:rPr>
        <w:t>，主要包括以下内容：</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（1）</w:t>
      </w:r>
      <w:bookmarkStart w:id="35" w:name="_Hlk72070784"/>
      <w:r>
        <w:rPr>
          <w:rFonts w:ascii="Calibri" w:eastAsia="宋体" w:hAnsi="Calibri" w:hint="eastAsia"/>
          <w:kern w:val="2"/>
          <w:sz w:val="21"/>
          <w:szCs w:val="21"/>
          <w:lang w:eastAsia="zh-CN"/>
        </w:rPr>
        <w:t>投标函</w:t>
      </w:r>
      <w:bookmarkEnd w:id="35"/>
      <w:r>
        <w:rPr>
          <w:rFonts w:ascii="Calibri" w:eastAsia="宋体" w:hAnsi="Calibr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（2）自行采购投标及履约承诺函；</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w:t>
      </w:r>
      <w:r>
        <w:rPr>
          <w:rFonts w:ascii="Calibri" w:eastAsia="宋体" w:hAnsi="Calibri"/>
          <w:kern w:val="2"/>
          <w:sz w:val="21"/>
          <w:szCs w:val="21"/>
          <w:lang w:eastAsia="zh-CN"/>
        </w:rPr>
        <w:t>3</w:t>
      </w:r>
      <w:r>
        <w:rPr>
          <w:rFonts w:ascii="Calibri" w:eastAsia="宋体" w:hAnsi="Calibri" w:hint="eastAsia"/>
          <w:kern w:val="2"/>
          <w:sz w:val="21"/>
          <w:szCs w:val="21"/>
          <w:lang w:eastAsia="zh-CN"/>
        </w:rPr>
        <w:t>）投标人情况及资格证明文件；</w:t>
      </w:r>
    </w:p>
    <w:p>
      <w:pPr>
        <w:widowControl w:val="0"/>
        <w:ind w:left="821" w:firstLine="1418" w:leftChars="342" w:firstLineChars="675"/>
        <w:jc w:val="both"/>
        <w:rPr>
          <w:rFonts w:ascii="Calibri" w:eastAsia="宋体" w:hAnsi="Calibri" w:hint="eastAsia"/>
          <w:kern w:val="2"/>
          <w:sz w:val="21"/>
          <w:szCs w:val="21"/>
          <w:lang w:eastAsia="zh-CN"/>
        </w:rPr>
      </w:pPr>
      <w:bookmarkStart w:id="36" w:name="_Hlk72257201"/>
      <w:r>
        <w:rPr>
          <w:rFonts w:ascii="Calibri" w:eastAsia="宋体" w:hAnsi="Calibri" w:hint="eastAsia"/>
          <w:kern w:val="2"/>
          <w:sz w:val="21"/>
          <w:szCs w:val="21"/>
          <w:lang w:eastAsia="zh-CN"/>
        </w:rPr>
        <w:t>（</w:t>
      </w:r>
      <w:r>
        <w:rPr>
          <w:rFonts w:ascii="Calibri" w:eastAsia="宋体" w:hAnsi="Calibri"/>
          <w:kern w:val="2"/>
          <w:sz w:val="21"/>
          <w:szCs w:val="21"/>
          <w:lang w:eastAsia="zh-CN"/>
        </w:rPr>
        <w:t>4</w:t>
      </w:r>
      <w:r>
        <w:rPr>
          <w:rFonts w:ascii="Calibri" w:eastAsia="宋体" w:hAnsi="Calibri" w:hint="eastAsia"/>
          <w:kern w:val="2"/>
          <w:sz w:val="21"/>
          <w:szCs w:val="21"/>
          <w:lang w:eastAsia="zh-CN"/>
        </w:rPr>
        <w:t>）</w:t>
      </w:r>
      <w:bookmarkEnd w:id="36"/>
      <w:r>
        <w:rPr>
          <w:rFonts w:ascii="Calibri" w:eastAsia="宋体" w:hAnsi="Calibri" w:hint="eastAsia"/>
          <w:kern w:val="2"/>
          <w:sz w:val="21"/>
          <w:szCs w:val="21"/>
          <w:lang w:eastAsia="zh-CN"/>
        </w:rPr>
        <w:t>项目详细报价；</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（5）供应商认证、及资质情况；</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（6）供应商自主知识产权产品（创新、设计）情况；</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（7）供应商同类业绩情况；</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（8）荣誉情况；</w:t>
      </w:r>
    </w:p>
    <w:p>
      <w:pPr>
        <w:widowControl w:val="0"/>
        <w:ind w:left="821" w:firstLine="1628" w:leftChars="342" w:firstLineChars="775"/>
        <w:jc w:val="both"/>
        <w:rPr>
          <w:rFonts w:ascii="Calibri" w:eastAsia="宋体" w:hAnsi="Calibri"/>
          <w:kern w:val="2"/>
          <w:sz w:val="21"/>
          <w:szCs w:val="21"/>
          <w:lang w:eastAsia="zh-CN"/>
        </w:rPr>
      </w:pPr>
      <w:r>
        <w:rPr>
          <w:rFonts w:ascii="Calibri" w:eastAsia="宋体" w:hAnsi="Calibri" w:hint="eastAsia"/>
          <w:kern w:val="2"/>
          <w:sz w:val="21"/>
          <w:szCs w:val="21"/>
          <w:lang w:eastAsia="zh-CN"/>
        </w:rPr>
        <w:t>（9）投标人认为需要加以说明的其他内容</w:t>
      </w:r>
    </w:p>
    <w:p>
      <w:pPr>
        <w:widowControl w:val="0"/>
        <w:ind w:firstLine="1200" w:firstLineChars="500"/>
        <w:jc w:val="both"/>
        <w:rPr>
          <w:rFonts w:ascii="宋体" w:eastAsia="宋体" w:hAnsi="宋体"/>
          <w:kern w:val="2"/>
          <w:szCs w:val="22"/>
          <w:lang w:eastAsia="zh-CN"/>
        </w:rPr>
      </w:pPr>
      <w:r>
        <w:rPr>
          <w:rFonts w:ascii="宋体" w:eastAsia="宋体" w:hAnsi="宋体" w:hint="eastAsia"/>
          <w:kern w:val="2"/>
          <w:szCs w:val="22"/>
          <w:lang w:eastAsia="zh-CN"/>
        </w:rPr>
        <w:t>2.投标文件附件</w:t>
      </w:r>
      <w:r>
        <w:rPr>
          <w:rFonts w:ascii="宋体" w:eastAsia="宋体" w:hAnsi="宋体" w:hint="eastAsia"/>
          <w:b/>
          <w:color w:val="FF0000"/>
          <w:kern w:val="2"/>
          <w:szCs w:val="22"/>
          <w:lang w:eastAsia="zh-CN"/>
        </w:rPr>
        <w:t>（信息不公开部分）</w:t>
      </w:r>
      <w:r>
        <w:rPr>
          <w:rFonts w:ascii="宋体" w:eastAsia="宋体" w:hAnsi="宋体" w:hint="eastAsia"/>
          <w:kern w:val="2"/>
          <w:szCs w:val="22"/>
          <w:lang w:eastAsia="zh-CN"/>
        </w:rPr>
        <w:t>：主要包括以下内容：</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（1）供应商基本情况表；</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（2）法定代表人（负责人）证明书；</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（3）投标文件签署授权委托书；</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（4）</w:t>
      </w:r>
      <w:r>
        <w:rPr>
          <w:rFonts w:ascii="Calibri" w:eastAsia="宋体" w:hAnsi="Calibri"/>
          <w:kern w:val="2"/>
          <w:sz w:val="21"/>
          <w:szCs w:val="21"/>
          <w:lang w:eastAsia="zh-CN"/>
        </w:rPr>
        <w:t>实质性条款响应情况表</w:t>
      </w:r>
      <w:r>
        <w:rPr>
          <w:rFonts w:ascii="Calibri" w:eastAsia="宋体" w:hAnsi="Calibr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（5）实施方案；</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（6）项目完成（服务期满）后的服务承诺；</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（7）违约承诺；</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（8）项目负责人（仅限1人）情况</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（9）拟投入项目团队成员（项目负责人除外）情况</w:t>
      </w:r>
    </w:p>
    <w:p>
      <w:pPr>
        <w:widowControl w:val="0"/>
        <w:ind w:left="821" w:firstLine="1418" w:leftChars="342" w:firstLineChars="675"/>
        <w:jc w:val="both"/>
        <w:rPr>
          <w:rFonts w:ascii="Calibri" w:eastAsia="宋体" w:hAnsi="Calibri" w:hint="eastAsia"/>
          <w:kern w:val="2"/>
          <w:sz w:val="21"/>
          <w:szCs w:val="22"/>
          <w:lang w:eastAsia="zh-CN"/>
        </w:rPr>
      </w:pPr>
      <w:r>
        <w:rPr>
          <w:rFonts w:ascii="宋体" w:eastAsia="宋体" w:hAnsi="宋体" w:hint="eastAsia"/>
          <w:kern w:val="2"/>
          <w:sz w:val="21"/>
          <w:szCs w:val="21"/>
          <w:lang w:eastAsia="zh-CN"/>
        </w:rPr>
        <w:t>（10）投标人认为需要加以说明的其他内容；</w:t>
      </w:r>
    </w:p>
    <w:p>
      <w:pPr>
        <w:widowControl w:val="0"/>
        <w:ind w:left="240" w:firstLine="781" w:leftChars="100" w:firstLineChars="372"/>
        <w:jc w:val="both"/>
        <w:rPr>
          <w:rFonts w:ascii="宋体" w:eastAsia="宋体" w:hAnsi="宋体"/>
          <w:kern w:val="2"/>
          <w:sz w:val="21"/>
          <w:szCs w:val="21"/>
          <w:lang w:eastAsia="zh-CN"/>
        </w:rPr>
      </w:pPr>
    </w:p>
    <w:p>
      <w:pPr>
        <w:widowControl w:val="0"/>
        <w:jc w:val="both"/>
        <w:rPr>
          <w:rFonts w:ascii="仿宋_GB2312" w:eastAsia="仿宋_GB2312" w:hAnsi="Calibri"/>
          <w:kern w:val="2"/>
          <w:szCs w:val="22"/>
          <w:lang w:eastAsia="zh-CN"/>
        </w:rPr>
      </w:pPr>
    </w:p>
    <w:p>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备注：</w:t>
      </w:r>
    </w:p>
    <w:p>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1.本项目为网上电子投标项目，投标文件不需法人或授权委托人另行签字，无需加盖单位公章，招标文件另有规定的除外。</w:t>
      </w:r>
    </w:p>
    <w:p>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2.关于填写</w:t>
      </w: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开标一览表</w:t>
      </w: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的说明：</w:t>
      </w: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开标一览表</w:t>
      </w: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中除</w:t>
      </w: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投标总价</w:t>
      </w: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外，其他信息不作评审依据。</w:t>
      </w:r>
    </w:p>
    <w:p>
      <w:pPr>
        <w:widowControl w:val="0"/>
        <w:jc w:val="both"/>
        <w:rPr>
          <w:rFonts w:ascii="仿宋_GB2312" w:eastAsia="仿宋_GB2312" w:hAnsi="Calibri"/>
          <w:kern w:val="2"/>
          <w:szCs w:val="22"/>
          <w:lang w:eastAsia="zh-CN"/>
        </w:rPr>
      </w:pPr>
    </w:p>
    <w:p>
      <w:pPr>
        <w:widowControl w:val="0"/>
        <w:jc w:val="both"/>
        <w:rPr>
          <w:rFonts w:ascii="宋体" w:eastAsia="宋体" w:hAnsi="宋体"/>
          <w:b/>
          <w:kern w:val="2"/>
          <w:sz w:val="21"/>
          <w:szCs w:val="21"/>
          <w:lang w:eastAsia="zh-CN"/>
        </w:rPr>
      </w:pPr>
    </w:p>
    <w:p>
      <w:pPr>
        <w:widowControl w:val="0"/>
        <w:jc w:val="both"/>
        <w:rPr>
          <w:rFonts w:ascii="宋体" w:eastAsia="宋体" w:hAnsi="宋体"/>
          <w:b/>
          <w:kern w:val="2"/>
          <w:sz w:val="21"/>
          <w:szCs w:val="21"/>
          <w:lang w:eastAsia="zh-CN"/>
        </w:rPr>
      </w:pPr>
    </w:p>
    <w:p>
      <w:pPr>
        <w:widowControl w:val="0"/>
        <w:jc w:val="left"/>
        <w:rPr>
          <w:rFonts w:ascii="宋体" w:eastAsia="宋体" w:hAnsi="宋体"/>
          <w:b/>
          <w:color w:val="FF0000"/>
          <w:kern w:val="2"/>
          <w:sz w:val="36"/>
          <w:szCs w:val="36"/>
          <w:lang w:eastAsia="zh-CN"/>
        </w:rPr>
      </w:pPr>
      <w:r>
        <w:rPr>
          <w:rFonts w:ascii="宋体" w:eastAsia="宋体" w:hAnsi="宋体" w:hint="eastAsia"/>
          <w:b/>
          <w:color w:val="FF0000"/>
          <w:kern w:val="2"/>
          <w:sz w:val="36"/>
          <w:szCs w:val="36"/>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eastAsia="黑体" w:hAnsi="宋体"/>
          <w:bCs/>
          <w:szCs w:val="32"/>
          <w:lang w:eastAsia="zh-CN"/>
        </w:rPr>
      </w:pPr>
      <w:r>
        <w:rPr>
          <w:rFonts w:ascii="黑体" w:eastAsia="黑体" w:hAnsi="宋体" w:hint="eastAsia"/>
          <w:bCs/>
          <w:szCs w:val="32"/>
          <w:lang w:eastAsia="zh-CN"/>
        </w:rPr>
        <w:t>一、投标函</w:t>
      </w:r>
    </w:p>
    <w:p>
      <w:pPr>
        <w:widowControl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致：</w:t>
      </w:r>
      <w:r>
        <w:rPr>
          <w:rFonts w:ascii="宋体" w:eastAsia="宋体" w:hAnsi="宋体" w:hint="eastAsia"/>
          <w:kern w:val="2"/>
          <w:sz w:val="21"/>
          <w:szCs w:val="21"/>
          <w:u w:val="single"/>
          <w:lang w:eastAsia="zh-CN"/>
        </w:rPr>
        <w:t xml:space="preserve">  </w:t>
      </w:r>
      <w:r>
        <w:rPr>
          <w:rFonts w:ascii="宋体" w:eastAsia="宋体" w:hAnsi="宋体" w:hint="eastAsia"/>
          <w:color w:val="FF0000"/>
          <w:kern w:val="2"/>
          <w:sz w:val="21"/>
          <w:szCs w:val="21"/>
          <w:u w:val="single"/>
          <w:lang w:eastAsia="zh-CN"/>
        </w:rPr>
        <w:t>深圳公共资源交易中心</w:t>
      </w:r>
      <w:r>
        <w:rPr>
          <w:rFonts w:ascii="宋体" w:eastAsia="宋体" w:hAnsi="宋体" w:hint="eastAsia"/>
          <w:kern w:val="2"/>
          <w:sz w:val="21"/>
          <w:szCs w:val="21"/>
          <w:u w:val="single"/>
          <w:lang w:eastAsia="zh-CN"/>
        </w:rPr>
        <w:t xml:space="preserve">  </w:t>
      </w:r>
    </w:p>
    <w:p>
      <w:pPr>
        <w:widowControl w:val="0"/>
        <w:ind w:firstLine="420" w:firstLineChars="200"/>
        <w:jc w:val="both"/>
        <w:rPr>
          <w:rFonts w:ascii="宋体" w:eastAsia="宋体" w:hAnsi="宋体"/>
          <w:kern w:val="2"/>
          <w:sz w:val="21"/>
          <w:szCs w:val="21"/>
          <w:lang w:eastAsia="zh-CN"/>
        </w:rPr>
      </w:pPr>
      <w:bookmarkStart w:id="37" w:name="_Hlk73818812"/>
      <w:r>
        <w:rPr>
          <w:rFonts w:ascii="Calibri" w:eastAsia="宋体" w:hAnsi="Calibri" w:hint="eastAsia"/>
          <w:kern w:val="2"/>
          <w:sz w:val="21"/>
          <w:szCs w:val="21"/>
          <w:lang w:eastAsia="zh-CN"/>
        </w:rPr>
        <w:t>1、根据已收到贵单位的项目编号为</w:t>
      </w:r>
      <w:r>
        <w:rPr>
          <w:rFonts w:ascii="Calibri" w:eastAsia="宋体" w:hAnsi="Calibri" w:hint="eastAsia"/>
          <w:kern w:val="2"/>
          <w:sz w:val="21"/>
          <w:szCs w:val="21"/>
          <w:u w:val="thick"/>
          <w:lang w:eastAsia="zh-CN"/>
        </w:rPr>
        <w:t xml:space="preserve">          xxx（项目编号）xxx         </w:t>
      </w:r>
      <w:r>
        <w:rPr>
          <w:rFonts w:ascii="Calibri" w:eastAsia="宋体" w:hAnsi="Calibri" w:hint="eastAsia"/>
          <w:kern w:val="2"/>
          <w:sz w:val="21"/>
          <w:szCs w:val="21"/>
          <w:lang w:eastAsia="zh-CN"/>
        </w:rPr>
        <w:t>的</w:t>
      </w:r>
      <w:r>
        <w:rPr>
          <w:rFonts w:ascii="Calibri" w:eastAsia="宋体" w:hAnsi="Calibri" w:hint="eastAsia"/>
          <w:kern w:val="2"/>
          <w:sz w:val="21"/>
          <w:szCs w:val="21"/>
          <w:u w:val="thick"/>
          <w:lang w:eastAsia="zh-CN"/>
        </w:rPr>
        <w:t xml:space="preserve">      xxx（项目名称）xxx           </w:t>
      </w:r>
      <w:r>
        <w:rPr>
          <w:rFonts w:ascii="Calibri" w:eastAsia="宋体" w:hAnsi="Calibri" w:hint="eastAsia"/>
          <w:kern w:val="2"/>
          <w:sz w:val="21"/>
          <w:szCs w:val="21"/>
          <w:lang w:eastAsia="zh-CN"/>
        </w:rPr>
        <w:t>项目的招标文件，参照《深圳经济特区政府采购条例》和《深圳网上政府采购管理暂行办法》等有关规定，我单位经研究上述招标文件的专用条款及通用条款后，</w:t>
      </w:r>
      <w:bookmarkStart w:id="38" w:name="_Hlk72263588"/>
      <w:r>
        <w:rPr>
          <w:rFonts w:ascii="Calibri" w:eastAsia="宋体" w:hAnsi="Calibri" w:hint="eastAsia"/>
          <w:kern w:val="2"/>
          <w:sz w:val="21"/>
          <w:szCs w:val="21"/>
          <w:lang w:eastAsia="zh-CN"/>
        </w:rPr>
        <w:t>愿意按照招标文件要求承包上述项目并修补其任何缺陷。</w:t>
      </w:r>
      <w:bookmarkEnd w:id="38"/>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w:t>
      </w:r>
      <w:bookmarkStart w:id="39" w:name="_Hlk73819847"/>
      <w:r>
        <w:rPr>
          <w:rFonts w:ascii="宋体" w:eastAsia="宋体" w:hAnsi="宋体" w:hint="eastAsia"/>
          <w:kern w:val="2"/>
          <w:sz w:val="21"/>
          <w:szCs w:val="21"/>
          <w:lang w:eastAsia="zh-CN"/>
        </w:rPr>
        <w:t>投标价格见</w:t>
      </w:r>
      <w:r>
        <w:rPr>
          <w:rFonts w:ascii="Calibri" w:eastAsia="宋体" w:hAnsi="Calibri" w:hint="eastAsia"/>
          <w:kern w:val="2"/>
          <w:sz w:val="21"/>
          <w:szCs w:val="21"/>
          <w:lang w:eastAsia="zh-CN"/>
        </w:rPr>
        <w:t>投标书编制软件中《开标一览表》中填写的投标总价。</w:t>
      </w:r>
      <w:bookmarkEnd w:id="39"/>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4、我单位同意所递交的投标文件在</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对通用条款的补充内容</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中明确的投标有效期内有效，在此期间内我单位的投标有可能中标，我方将受此约束。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5、除非另外达成协议并生效，贵单位的中标通知书和本投标文件将构成合同的重要内容。</w:t>
      </w:r>
    </w:p>
    <w:p>
      <w:pPr>
        <w:widowControl w:val="0"/>
        <w:ind w:left="480" w:leftChars="200"/>
        <w:jc w:val="both"/>
        <w:rPr>
          <w:rFonts w:ascii="宋体" w:eastAsia="宋体" w:hAnsi="宋体"/>
          <w:b/>
          <w:kern w:val="2"/>
          <w:sz w:val="21"/>
          <w:szCs w:val="21"/>
          <w:lang w:eastAsia="zh-CN"/>
        </w:rPr>
      </w:pPr>
      <w:r>
        <w:rPr>
          <w:rFonts w:ascii="宋体" w:eastAsia="宋体" w:hAnsi="宋体" w:hint="eastAsia"/>
          <w:kern w:val="2"/>
          <w:sz w:val="21"/>
          <w:szCs w:val="21"/>
          <w:lang w:eastAsia="zh-CN"/>
        </w:rPr>
        <w:t>6、我单位理解贵单位将不受必须接受所收到的最低报价或其它任何投标文件的约束。</w:t>
      </w:r>
      <w:bookmarkEnd w:id="37"/>
      <w:r>
        <w:rPr>
          <w:rFonts w:ascii="宋体" w:eastAsia="宋体" w:hAnsi="宋体" w:hint="eastAsia"/>
          <w:b/>
          <w:kern w:val="2"/>
          <w:sz w:val="21"/>
          <w:szCs w:val="21"/>
          <w:lang w:eastAsia="zh-CN"/>
        </w:rPr>
        <w:t>7</w:t>
      </w:r>
      <w:r>
        <w:rPr>
          <w:rFonts w:ascii="宋体" w:eastAsia="宋体" w:hAnsi="宋体"/>
          <w:b/>
          <w:kern w:val="2"/>
          <w:sz w:val="21"/>
          <w:szCs w:val="21"/>
          <w:lang w:eastAsia="zh-CN"/>
        </w:rPr>
        <w:t>、</w:t>
      </w:r>
      <w:r>
        <w:rPr>
          <w:rFonts w:ascii="宋体" w:eastAsia="宋体" w:hAnsi="宋体" w:hint="eastAsia"/>
          <w:b/>
          <w:kern w:val="2"/>
          <w:sz w:val="21"/>
          <w:szCs w:val="21"/>
          <w:lang w:eastAsia="zh-CN"/>
        </w:rPr>
        <w:t>7、</w:t>
      </w:r>
      <w:r>
        <w:rPr>
          <w:rFonts w:ascii="宋体" w:eastAsia="宋体" w:hAnsi="宋体"/>
          <w:b/>
          <w:kern w:val="2"/>
          <w:sz w:val="21"/>
          <w:szCs w:val="21"/>
          <w:lang w:eastAsia="zh-CN"/>
        </w:rPr>
        <w:t>如我单位提交样品，且未在规定时间内取回样品的，视同放弃取回，同意深圳公共资源交易中心对我单位提交的样品进行清理。</w:t>
      </w:r>
    </w:p>
    <w:p>
      <w:pPr>
        <w:widowControl w:val="0"/>
        <w:ind w:left="480" w:leftChars="200"/>
        <w:jc w:val="both"/>
        <w:rPr>
          <w:rFonts w:ascii="宋体" w:eastAsia="宋体" w:hAnsi="宋体"/>
          <w:b/>
          <w:kern w:val="2"/>
          <w:sz w:val="21"/>
          <w:szCs w:val="21"/>
          <w:lang w:eastAsia="zh-CN"/>
        </w:rPr>
      </w:pP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投标人：</w:t>
      </w:r>
      <w:r>
        <w:rPr>
          <w:rFonts w:ascii="Calibri"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  单位地址：</w:t>
      </w:r>
      <w:r>
        <w:rPr>
          <w:rFonts w:ascii="Calibri" w:eastAsia="宋体" w:hAnsi="Calibri" w:hint="eastAsia"/>
          <w:kern w:val="2"/>
          <w:sz w:val="21"/>
          <w:szCs w:val="21"/>
          <w:u w:val="thick"/>
          <w:lang w:eastAsia="zh-CN"/>
        </w:rPr>
        <w:t xml:space="preserve">       </w:t>
      </w:r>
      <w:r>
        <w:rPr>
          <w:rFonts w:eastAsia="宋体" w:hAnsi="Calibri" w:hint="eastAsia"/>
          <w:kern w:val="2"/>
          <w:sz w:val="21"/>
          <w:szCs w:val="21"/>
          <w:u w:val="thick"/>
          <w:lang w:eastAsia="zh-CN"/>
        </w:rPr>
        <w:t xml:space="preserve">          </w:t>
      </w:r>
      <w:r>
        <w:rPr>
          <w:rFonts w:ascii="Calibri" w:eastAsia="宋体" w:hAnsi="Calibri" w:hint="eastAsia"/>
          <w:kern w:val="2"/>
          <w:sz w:val="21"/>
          <w:szCs w:val="21"/>
          <w:u w:val="thick"/>
          <w:lang w:eastAsia="zh-CN"/>
        </w:rPr>
        <w:t xml:space="preserve"> </w:t>
      </w:r>
      <w:r>
        <w:rPr>
          <w:rFonts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法定代表人（负责人）或其</w:t>
      </w:r>
      <w:r>
        <w:rPr>
          <w:rFonts w:eastAsia="宋体" w:hAnsi="Calibri" w:hint="eastAsia"/>
          <w:kern w:val="2"/>
          <w:sz w:val="21"/>
          <w:szCs w:val="21"/>
          <w:lang w:eastAsia="zh-CN"/>
        </w:rPr>
        <w:t>授权</w:t>
      </w:r>
      <w:r>
        <w:rPr>
          <w:rFonts w:ascii="Calibri" w:eastAsia="宋体" w:hAnsi="Calibri" w:hint="eastAsia"/>
          <w:kern w:val="2"/>
          <w:sz w:val="21"/>
          <w:szCs w:val="21"/>
          <w:lang w:eastAsia="zh-CN"/>
        </w:rPr>
        <w:t>委托代理人：</w:t>
      </w:r>
      <w:r>
        <w:rPr>
          <w:rFonts w:ascii="Calibri"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电话：</w:t>
      </w:r>
      <w:r>
        <w:rPr>
          <w:rFonts w:ascii="Calibri"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 xml:space="preserve"> ；     </w:t>
      </w:r>
    </w:p>
    <w:p>
      <w:pPr>
        <w:widowControl w:val="0"/>
        <w:ind w:left="480" w:firstLine="210" w:leftChars="200" w:firstLineChars="100"/>
        <w:jc w:val="both"/>
        <w:rPr>
          <w:rFonts w:ascii="Calibri" w:eastAsia="宋体" w:hAnsi="Calibri"/>
          <w:kern w:val="2"/>
          <w:szCs w:val="2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日</w:t>
      </w:r>
      <w:r>
        <w:rPr>
          <w:rFonts w:ascii="Calibri" w:eastAsia="宋体" w:hAnsi="Calibri" w:hint="eastAsia"/>
          <w:kern w:val="2"/>
          <w:szCs w:val="22"/>
          <w:lang w:eastAsia="zh-CN"/>
        </w:rPr>
        <w:t xml:space="preserve">                                </w:t>
      </w:r>
    </w:p>
    <w:p>
      <w:pPr>
        <w:widowControl w:val="0"/>
        <w:ind w:left="480" w:leftChars="200"/>
        <w:jc w:val="both"/>
        <w:rPr>
          <w:rFonts w:ascii="Calibri" w:eastAsia="宋体" w:hAnsi="Calibri"/>
          <w:kern w:val="2"/>
          <w:szCs w:val="22"/>
          <w:lang w:eastAsia="zh-CN"/>
        </w:rPr>
      </w:pPr>
      <w:r>
        <w:rPr>
          <w:rFonts w:ascii="Calibri" w:eastAsia="宋体" w:hAnsi="Calibri" w:hint="eastAsia"/>
          <w:kern w:val="2"/>
          <w:szCs w:val="22"/>
          <w:lang w:eastAsia="zh-CN"/>
        </w:rPr>
        <w:t xml:space="preserve">                       </w:t>
      </w:r>
    </w:p>
    <w:p>
      <w:pPr>
        <w:widowControl w:val="0"/>
        <w:jc w:val="both"/>
        <w:rPr>
          <w:rFonts w:ascii="黑体" w:eastAsia="黑体" w:hAnsi="宋体"/>
          <w:kern w:val="2"/>
          <w:sz w:val="21"/>
          <w:szCs w:val="22"/>
          <w:lang w:eastAsia="zh-CN"/>
        </w:rPr>
      </w:pPr>
    </w:p>
    <w:p>
      <w:pPr>
        <w:widowControl w:val="0"/>
        <w:jc w:val="both"/>
        <w:rPr>
          <w:rFonts w:ascii="宋体" w:eastAsia="宋体" w:hAnsi="宋体"/>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二、自行采购投标及履约承诺函</w:t>
      </w:r>
    </w:p>
    <w:p>
      <w:pPr>
        <w:widowControl w:val="0"/>
        <w:jc w:val="both"/>
        <w:rPr>
          <w:rFonts w:ascii="宋体" w:eastAsia="宋体" w:hAnsi="宋体"/>
          <w:kern w:val="2"/>
          <w:szCs w:val="22"/>
          <w:lang w:eastAsia="zh-CN"/>
        </w:rPr>
      </w:pPr>
    </w:p>
    <w:p>
      <w:pPr>
        <w:widowControl w:val="0"/>
        <w:jc w:val="both"/>
        <w:rPr>
          <w:rFonts w:ascii="宋体" w:eastAsia="宋体" w:hAnsi="宋体"/>
          <w:color w:val="FF0000"/>
          <w:kern w:val="2"/>
          <w:sz w:val="21"/>
          <w:szCs w:val="21"/>
          <w:lang w:eastAsia="zh-CN"/>
        </w:rPr>
      </w:pPr>
      <w:bookmarkStart w:id="40" w:name="_Hlk72257530"/>
      <w:r>
        <w:rPr>
          <w:rFonts w:ascii="宋体" w:eastAsia="宋体" w:hAnsi="宋体" w:hint="eastAsia"/>
          <w:color w:val="FF0000"/>
          <w:kern w:val="2"/>
          <w:sz w:val="21"/>
          <w:szCs w:val="21"/>
          <w:lang w:eastAsia="zh-CN"/>
        </w:rPr>
        <w:t>致：</w:t>
      </w:r>
      <w:r>
        <w:rPr>
          <w:rFonts w:ascii="宋体" w:eastAsia="宋体" w:hAnsi="宋体"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Cs/>
          <w:kern w:val="2"/>
          <w:sz w:val="21"/>
          <w:szCs w:val="21"/>
          <w:lang w:eastAsia="zh-CN"/>
        </w:rPr>
        <w:t>1.我单位参与本项目所投标的货物、工程或服务，不存在侵犯知识产权的情况。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2.我单位参与本项目</w:t>
      </w:r>
      <w:r>
        <w:rPr>
          <w:rFonts w:ascii="Calibri" w:eastAsia="宋体" w:hAnsi="Calibri" w:hint="eastAsia"/>
          <w:kern w:val="2"/>
          <w:sz w:val="21"/>
          <w:szCs w:val="22"/>
          <w:lang w:eastAsia="zh-CN"/>
        </w:rPr>
        <w:t>政府采购（自行采购）活动时不存在被有关部门禁止参与政府采购（自行采购）活动且在有效期内的情况。符合招标文件关于联合体及进口产品的相关资格要求。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3.我单位具备《中华人民共和国政府采购法》第二十二条第一款规定的六项条件。</w:t>
      </w:r>
    </w:p>
    <w:p>
      <w:pPr>
        <w:widowControl w:val="0"/>
        <w:ind w:firstLine="420" w:firstLineChars="200"/>
        <w:jc w:val="both"/>
        <w:rPr>
          <w:rFonts w:ascii="Calibri" w:eastAsia="宋体" w:hAnsi="Calibri" w:hint="eastAsia"/>
          <w:kern w:val="2"/>
          <w:sz w:val="21"/>
          <w:szCs w:val="22"/>
          <w:lang w:eastAsia="zh-CN"/>
        </w:rPr>
      </w:pPr>
      <w:r>
        <w:rPr>
          <w:rFonts w:ascii="宋体" w:eastAsia="宋体" w:hAnsi="宋体" w:hint="eastAsia"/>
          <w:kern w:val="2"/>
          <w:sz w:val="21"/>
          <w:szCs w:val="21"/>
          <w:lang w:eastAsia="zh-CN"/>
        </w:rPr>
        <w:t>4.我单位</w:t>
      </w:r>
      <w:r>
        <w:rPr>
          <w:rFonts w:ascii="Calibri" w:eastAsia="宋体" w:hAnsi="Calibri" w:hint="eastAsia"/>
          <w:kern w:val="2"/>
          <w:sz w:val="21"/>
          <w:szCs w:val="22"/>
          <w:lang w:eastAsia="zh-CN"/>
        </w:rPr>
        <w:t>未被列入失信被执行人、重大税收违法案件当事人名单、政府采购（自行采购）严重违法失信行为记录名单。</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hint="eastAsia"/>
          <w:color w:val="FF0000"/>
          <w:kern w:val="2"/>
          <w:sz w:val="21"/>
          <w:szCs w:val="22"/>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w:t>
      </w:r>
      <w:bookmarkStart w:id="41" w:name="_Hlk72587269"/>
      <w:bookmarkStart w:id="42" w:name="_Hlk72587299"/>
      <w:r>
        <w:rPr>
          <w:rFonts w:ascii="宋体" w:eastAsia="宋体" w:hAnsi="宋体" w:hint="eastAsia"/>
          <w:kern w:val="2"/>
          <w:sz w:val="21"/>
          <w:szCs w:val="21"/>
          <w:lang w:eastAsia="zh-CN"/>
        </w:rPr>
        <w:t>我单位参与该项目投标，严格遵守政府采购（自行采购）相关法律，不造假，不围标、串标、陪标。我单位已清楚，如违反上述要求，投标将作无效处理，被列入不良记录名单并在网上曝光，同时将被提请政府采购（自行采购）主管部门给予一定年限内禁止参与政府采购（自行采购）活动或其他处罚</w:t>
      </w:r>
      <w:bookmarkEnd w:id="41"/>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bookmarkEnd w:id="42"/>
      <w:r>
        <w:rPr>
          <w:rFonts w:ascii="宋体" w:eastAsia="宋体" w:hAnsi="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我单位清楚，若以</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报价太低而无法履约</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9.我单位承诺中标后项目不转包，未经采购人同意不进行分包。</w:t>
      </w:r>
    </w:p>
    <w:p>
      <w:pPr>
        <w:widowControl w:val="0"/>
        <w:ind w:firstLine="420" w:firstLineChars="200"/>
        <w:jc w:val="both"/>
        <w:rPr>
          <w:rFonts w:ascii="宋体" w:eastAsia="宋体" w:hAnsi="宋体"/>
          <w:kern w:val="2"/>
          <w:sz w:val="21"/>
          <w:szCs w:val="22"/>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hint="eastAsia"/>
          <w:kern w:val="2"/>
          <w:sz w:val="21"/>
          <w:szCs w:val="22"/>
          <w:lang w:eastAsia="zh-CN"/>
        </w:rPr>
      </w:pPr>
      <w:r>
        <w:rPr>
          <w:rFonts w:ascii="宋体" w:eastAsia="宋体" w:hAnsi="宋体" w:hint="eastAsia"/>
          <w:kern w:val="2"/>
          <w:sz w:val="21"/>
          <w:szCs w:val="22"/>
          <w:lang w:eastAsia="zh-CN"/>
        </w:rPr>
        <w:t>11</w:t>
      </w:r>
      <w:r>
        <w:rPr>
          <w:rFonts w:ascii="宋体" w:eastAsia="宋体" w:hAnsi="宋体"/>
          <w:kern w:val="2"/>
          <w:sz w:val="21"/>
          <w:szCs w:val="22"/>
          <w:lang w:eastAsia="zh-CN"/>
        </w:rPr>
        <w:t>.</w:t>
      </w:r>
      <w:r>
        <w:rPr>
          <w:rFonts w:ascii="宋体" w:eastAsia="宋体" w:hAnsi="宋体" w:hint="eastAsia"/>
          <w:kern w:val="2"/>
          <w:sz w:val="21"/>
          <w:szCs w:val="22"/>
          <w:lang w:eastAsia="zh-CN"/>
        </w:rPr>
        <w:t>我单位保证，若所投货物涉及</w:t>
      </w:r>
      <w:r>
        <w:rPr>
          <w:rFonts w:ascii="宋体" w:eastAsia="宋体" w:hAnsi="宋体"/>
          <w:kern w:val="2"/>
          <w:sz w:val="21"/>
          <w:szCs w:val="22"/>
          <w:lang w:eastAsia="zh-CN"/>
        </w:rPr>
        <w:t>《</w:t>
      </w:r>
      <w:r>
        <w:rPr>
          <w:rFonts w:ascii="宋体" w:eastAsia="宋体" w:hAnsi="宋体" w:hint="eastAsia"/>
          <w:kern w:val="2"/>
          <w:sz w:val="21"/>
          <w:szCs w:val="22"/>
          <w:lang w:eastAsia="zh-CN"/>
        </w:rPr>
        <w:t>财政部生态环境部关于印发节能产品政府采购品目清单的通知》（财库〔20</w:t>
      </w:r>
      <w:r>
        <w:rPr>
          <w:rFonts w:ascii="宋体" w:eastAsia="宋体" w:hAnsi="宋体"/>
          <w:kern w:val="2"/>
          <w:sz w:val="21"/>
          <w:szCs w:val="22"/>
          <w:lang w:eastAsia="zh-CN"/>
        </w:rPr>
        <w:t>19</w:t>
      </w:r>
      <w:r>
        <w:rPr>
          <w:rFonts w:ascii="宋体" w:eastAsia="宋体" w:hAnsi="宋体" w:hint="eastAsia"/>
          <w:kern w:val="2"/>
          <w:sz w:val="21"/>
          <w:szCs w:val="22"/>
          <w:lang w:eastAsia="zh-CN"/>
        </w:rPr>
        <w:t>〕</w:t>
      </w:r>
      <w:r>
        <w:rPr>
          <w:rFonts w:ascii="宋体" w:eastAsia="宋体" w:hAnsi="宋体"/>
          <w:kern w:val="2"/>
          <w:sz w:val="21"/>
          <w:szCs w:val="22"/>
          <w:lang w:eastAsia="zh-CN"/>
        </w:rPr>
        <w:t>19</w:t>
      </w:r>
      <w:r>
        <w:rPr>
          <w:rFonts w:ascii="宋体" w:eastAsia="宋体" w:hAnsi="宋体" w:hint="eastAsia"/>
          <w:kern w:val="2"/>
          <w:sz w:val="21"/>
          <w:szCs w:val="22"/>
          <w:lang w:eastAsia="zh-CN"/>
        </w:rPr>
        <w:t>号）列明的政府采购强制产品，则所投该产品符合节能产品的认证要求。若所投产品包括数据中心相关设备的，应满足</w:t>
      </w:r>
      <w:r>
        <w:rPr>
          <w:rFonts w:ascii="Calibri" w:eastAsia="宋体" w:hAnsi="Calibri" w:hint="eastAsia"/>
          <w:kern w:val="2"/>
          <w:sz w:val="21"/>
          <w:szCs w:val="22"/>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bCs/>
          <w:kern w:val="2"/>
          <w:sz w:val="21"/>
          <w:szCs w:val="22"/>
          <w:lang w:eastAsia="zh-CN"/>
        </w:rPr>
      </w:pPr>
      <w:r>
        <w:rPr>
          <w:rFonts w:ascii="宋体" w:eastAsia="宋体" w:hAnsi="宋体" w:cs="宋体" w:hint="eastAsia"/>
          <w:bCs/>
          <w:sz w:val="21"/>
          <w:szCs w:val="21"/>
          <w:lang w:eastAsia="zh-CN"/>
        </w:rPr>
        <w:t>12.</w:t>
      </w:r>
      <w:r>
        <w:rPr>
          <w:rFonts w:ascii="宋体" w:eastAsia="宋体" w:hAnsi="宋体" w:hint="eastAsia"/>
          <w:bCs/>
          <w:kern w:val="2"/>
          <w:sz w:val="21"/>
          <w:szCs w:val="22"/>
          <w:lang w:eastAsia="zh-CN"/>
        </w:rPr>
        <w:t>我单位已知悉并同意中标（成交）结果信息公示（公开）的内容。</w:t>
      </w:r>
    </w:p>
    <w:p>
      <w:pPr>
        <w:widowControl w:val="0"/>
        <w:ind w:firstLine="420" w:firstLineChars="200"/>
        <w:jc w:val="both"/>
        <w:rPr>
          <w:rFonts w:ascii="宋体" w:eastAsia="宋体" w:hAnsi="宋体" w:cs="宋体" w:hint="eastAsia"/>
          <w:b/>
          <w:color w:val="FF0000"/>
          <w:sz w:val="21"/>
          <w:szCs w:val="21"/>
          <w:lang w:eastAsia="zh-CN"/>
        </w:rPr>
      </w:pPr>
      <w:r>
        <w:rPr>
          <w:rFonts w:ascii="宋体" w:eastAsia="宋体" w:hAnsi="宋体" w:hint="eastAsia"/>
          <w:bCs/>
          <w:kern w:val="2"/>
          <w:sz w:val="21"/>
          <w:szCs w:val="22"/>
          <w:lang w:eastAsia="zh-CN"/>
        </w:rPr>
        <w:t>13</w:t>
      </w:r>
      <w:r>
        <w:rPr>
          <w:rFonts w:ascii="宋体" w:eastAsia="宋体" w:hAnsi="宋体"/>
          <w:bCs/>
          <w:kern w:val="2"/>
          <w:sz w:val="21"/>
          <w:szCs w:val="22"/>
          <w:lang w:eastAsia="zh-CN"/>
        </w:rPr>
        <w:t>.我单位保证，符合《中华人民共和国政府采购法实施条例》第十八条规定，与其他投标供应商不存在单位负责人为同一人或者存在直接控股、管理关系；</w:t>
      </w:r>
      <w:r>
        <w:rPr>
          <w:rFonts w:ascii="宋体" w:eastAsia="宋体" w:hAnsi="宋体" w:hint="eastAsia"/>
          <w:bCs/>
          <w:kern w:val="2"/>
          <w:sz w:val="21"/>
          <w:szCs w:val="22"/>
          <w:lang w:eastAsia="zh-CN"/>
        </w:rPr>
        <w:t>不存在为</w:t>
      </w:r>
      <w:r>
        <w:rPr>
          <w:rFonts w:ascii="宋体" w:eastAsia="宋体" w:hAnsi="宋体"/>
          <w:bCs/>
          <w:kern w:val="2"/>
          <w:sz w:val="21"/>
          <w:szCs w:val="22"/>
          <w:lang w:eastAsia="zh-CN"/>
        </w:rPr>
        <w:t>本次采购项目提供整体设计、规范编制或者项目管理、监理、检测等服务的情形。</w:t>
      </w:r>
      <w:r>
        <w:rPr>
          <w:rFonts w:ascii="宋体" w:eastAsia="宋体" w:hAnsi="宋体" w:hint="eastAsia"/>
          <w:bCs/>
          <w:kern w:val="2"/>
          <w:sz w:val="21"/>
          <w:szCs w:val="22"/>
          <w:lang w:eastAsia="zh-CN"/>
        </w:rPr>
        <w:t>若存在</w:t>
      </w:r>
      <w:r>
        <w:rPr>
          <w:rFonts w:ascii="宋体" w:eastAsia="宋体" w:hAnsi="宋体" w:hint="eastAsia"/>
          <w:bCs/>
          <w:kern w:val="2"/>
          <w:sz w:val="21"/>
          <w:szCs w:val="22"/>
          <w:lang w:eastAsia="zh-CN"/>
        </w:rPr>
        <w:t>“</w:t>
      </w:r>
      <w:r>
        <w:rPr>
          <w:rFonts w:ascii="宋体" w:eastAsia="宋体" w:hAnsi="宋体" w:hint="eastAsia"/>
          <w:bCs/>
          <w:kern w:val="2"/>
          <w:sz w:val="21"/>
          <w:szCs w:val="22"/>
          <w:lang w:eastAsia="zh-CN"/>
        </w:rPr>
        <w:t>不同供应商的董事、股东或其他高级管理人员为同一人的</w:t>
      </w:r>
      <w:r>
        <w:rPr>
          <w:rFonts w:ascii="宋体" w:eastAsia="宋体" w:hAnsi="宋体" w:hint="eastAsia"/>
          <w:bCs/>
          <w:kern w:val="2"/>
          <w:sz w:val="21"/>
          <w:szCs w:val="22"/>
          <w:lang w:eastAsia="zh-CN"/>
        </w:rPr>
        <w:t>”</w:t>
      </w:r>
      <w:r>
        <w:rPr>
          <w:rFonts w:ascii="宋体" w:eastAsia="宋体" w:hAnsi="宋体" w:hint="eastAsia"/>
          <w:bCs/>
          <w:kern w:val="2"/>
          <w:sz w:val="21"/>
          <w:szCs w:val="22"/>
          <w:lang w:eastAsia="zh-CN"/>
        </w:rPr>
        <w:t>情形的，我单位保证不存在串通投标、恶意串通或者视为串通投标的情形。</w:t>
      </w:r>
    </w:p>
    <w:p>
      <w:pPr>
        <w:widowControl w:val="0"/>
        <w:ind w:firstLine="420" w:firstLineChars="200"/>
        <w:jc w:val="both"/>
        <w:rPr>
          <w:rFonts w:ascii="宋体" w:eastAsia="宋体" w:hAnsi="宋体" w:hint="eastAsia"/>
          <w:b/>
          <w:kern w:val="2"/>
          <w:sz w:val="21"/>
          <w:szCs w:val="22"/>
          <w:lang w:eastAsia="zh-CN"/>
        </w:rPr>
      </w:pPr>
      <w:r>
        <w:rPr>
          <w:rFonts w:ascii="宋体" w:eastAsia="宋体" w:hAnsi="宋体"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pPr>
        <w:widowControl w:val="0"/>
        <w:spacing w:line="260" w:lineRule="exact"/>
        <w:ind w:firstLine="420" w:firstLineChars="200"/>
        <w:jc w:val="both"/>
        <w:rPr>
          <w:rFonts w:ascii="宋体" w:eastAsia="宋体" w:hAnsi="宋体"/>
          <w:b/>
          <w:kern w:val="2"/>
          <w:sz w:val="21"/>
          <w:szCs w:val="22"/>
          <w:lang w:eastAsia="zh-CN"/>
        </w:rPr>
      </w:pPr>
      <w:r>
        <w:rPr>
          <w:rFonts w:ascii="宋体" w:eastAsia="宋体" w:hAnsi="宋体" w:hint="eastAsia"/>
          <w:kern w:val="2"/>
          <w:sz w:val="21"/>
          <w:szCs w:val="22"/>
          <w:lang w:eastAsia="zh-CN"/>
        </w:rPr>
        <w:t>15.我单位保证，若所投产品列入强制性产品认证目录的，则所投该产品须获得强制性产品认证证书（即CCC认证）；其中适用自我声明评价方式的产品，则所投该产品须具有</w:t>
      </w:r>
      <w:r>
        <w:rPr>
          <w:rFonts w:ascii="宋体" w:eastAsia="宋体" w:hAnsi="宋体" w:hint="eastAsia"/>
          <w:kern w:val="2"/>
          <w:sz w:val="21"/>
          <w:szCs w:val="22"/>
          <w:lang w:eastAsia="zh-CN"/>
        </w:rPr>
        <w:t>“</w:t>
      </w:r>
      <w:r>
        <w:rPr>
          <w:rFonts w:ascii="宋体" w:eastAsia="宋体" w:hAnsi="宋体" w:hint="eastAsia"/>
          <w:kern w:val="2"/>
          <w:sz w:val="21"/>
          <w:szCs w:val="22"/>
          <w:lang w:eastAsia="zh-CN"/>
        </w:rPr>
        <w:t>强制性认证产品符合性自我声明</w:t>
      </w:r>
      <w:r>
        <w:rPr>
          <w:rFonts w:ascii="宋体" w:eastAsia="宋体" w:hAnsi="宋体" w:hint="eastAsia"/>
          <w:kern w:val="2"/>
          <w:sz w:val="21"/>
          <w:szCs w:val="22"/>
          <w:lang w:eastAsia="zh-CN"/>
        </w:rPr>
        <w:t>”</w:t>
      </w:r>
      <w:r>
        <w:rPr>
          <w:rFonts w:ascii="宋体" w:eastAsia="宋体" w:hAnsi="宋体" w:hint="eastAsia"/>
          <w:kern w:val="2"/>
          <w:sz w:val="21"/>
          <w:szCs w:val="22"/>
          <w:lang w:eastAsia="zh-CN"/>
        </w:rPr>
        <w:t>；若所投产品列入工业产品生产许可证管理的产品目录的，则所投该产品生产者（制造商）须获得《全国工业产品生产许可证》。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kern w:val="2"/>
          <w:sz w:val="21"/>
          <w:szCs w:val="22"/>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p>
    <w:p>
      <w:pPr>
        <w:widowControl w:val="0"/>
        <w:spacing w:before="60" w:beforeLines="25" w:after="60" w:afterLines="25"/>
        <w:ind w:firstLine="5460" w:firstLineChars="2600"/>
        <w:jc w:val="both"/>
        <w:rPr>
          <w:rFonts w:ascii="Calibri" w:eastAsia="宋体" w:hAnsi="Calibri"/>
          <w:color w:val="FF0000"/>
          <w:kern w:val="2"/>
          <w:sz w:val="21"/>
          <w:szCs w:val="22"/>
          <w:lang w:eastAsia="zh-CN"/>
        </w:rPr>
      </w:pPr>
      <w:bookmarkEnd w:id="40"/>
      <w:r>
        <w:rPr>
          <w:rFonts w:ascii="Calibri" w:eastAsia="宋体" w:hAnsi="Calibri" w:hint="eastAsia"/>
          <w:color w:val="FF0000"/>
          <w:kern w:val="2"/>
          <w:sz w:val="21"/>
          <w:szCs w:val="21"/>
          <w:lang w:eastAsia="zh-CN"/>
        </w:rPr>
        <w:t>投标人：</w:t>
      </w:r>
      <w:r>
        <w:rPr>
          <w:rFonts w:ascii="Calibri" w:eastAsia="宋体" w:hAnsi="Calibri" w:hint="eastAsia"/>
          <w:color w:val="FF0000"/>
          <w:kern w:val="2"/>
          <w:sz w:val="21"/>
          <w:szCs w:val="21"/>
          <w:u w:val="single"/>
          <w:lang w:eastAsia="zh-CN"/>
        </w:rPr>
        <w:t xml:space="preserve">              </w:t>
      </w:r>
    </w:p>
    <w:p>
      <w:pPr>
        <w:widowControl w:val="0"/>
        <w:ind w:firstLine="645"/>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 xml:space="preserve">                                              日期：</w:t>
      </w:r>
      <w:r>
        <w:rPr>
          <w:rFonts w:ascii="宋体" w:eastAsia="宋体" w:hAnsi="宋体" w:hint="eastAsia"/>
          <w:color w:val="FF0000"/>
          <w:kern w:val="2"/>
          <w:sz w:val="21"/>
          <w:szCs w:val="21"/>
          <w:u w:val="single"/>
          <w:lang w:eastAsia="zh-CN"/>
        </w:rPr>
        <w:t xml:space="preserve">    </w:t>
      </w:r>
      <w:r>
        <w:rPr>
          <w:rFonts w:ascii="宋体" w:eastAsia="宋体" w:hAnsi="宋体" w:hint="eastAsia"/>
          <w:color w:val="FF0000"/>
          <w:kern w:val="2"/>
          <w:sz w:val="21"/>
          <w:szCs w:val="21"/>
          <w:lang w:eastAsia="zh-CN"/>
        </w:rPr>
        <w:t>年</w:t>
      </w:r>
      <w:r>
        <w:rPr>
          <w:rFonts w:ascii="宋体" w:eastAsia="宋体" w:hAnsi="宋体" w:hint="eastAsia"/>
          <w:color w:val="FF0000"/>
          <w:kern w:val="2"/>
          <w:sz w:val="21"/>
          <w:szCs w:val="21"/>
          <w:u w:val="single"/>
          <w:lang w:eastAsia="zh-CN"/>
        </w:rPr>
        <w:t xml:space="preserve">   </w:t>
      </w:r>
      <w:r>
        <w:rPr>
          <w:rFonts w:ascii="宋体" w:eastAsia="宋体" w:hAnsi="宋体" w:hint="eastAsia"/>
          <w:color w:val="FF0000"/>
          <w:kern w:val="2"/>
          <w:sz w:val="21"/>
          <w:szCs w:val="21"/>
          <w:lang w:eastAsia="zh-CN"/>
        </w:rPr>
        <w:t>月</w:t>
      </w:r>
      <w:r>
        <w:rPr>
          <w:rFonts w:ascii="宋体" w:eastAsia="宋体" w:hAnsi="宋体" w:hint="eastAsia"/>
          <w:color w:val="FF0000"/>
          <w:kern w:val="2"/>
          <w:sz w:val="21"/>
          <w:szCs w:val="21"/>
          <w:u w:val="single"/>
          <w:lang w:eastAsia="zh-CN"/>
        </w:rPr>
        <w:t xml:space="preserve">   </w:t>
      </w:r>
      <w:r>
        <w:rPr>
          <w:rFonts w:ascii="宋体" w:eastAsia="宋体" w:hAnsi="宋体" w:hint="eastAsia"/>
          <w:color w:val="FF0000"/>
          <w:kern w:val="2"/>
          <w:sz w:val="21"/>
          <w:szCs w:val="21"/>
          <w:lang w:eastAsia="zh-CN"/>
        </w:rPr>
        <w:t>日</w:t>
      </w:r>
    </w:p>
    <w:p>
      <w:pPr>
        <w:widowControl w:val="0"/>
        <w:jc w:val="both"/>
        <w:rPr>
          <w:rFonts w:ascii="宋体" w:eastAsia="宋体" w:hAnsi="宋体"/>
          <w:kern w:val="2"/>
          <w:sz w:val="21"/>
          <w:szCs w:val="21"/>
          <w:lang w:eastAsia="zh-CN"/>
        </w:rPr>
      </w:pPr>
    </w:p>
    <w:p>
      <w:pPr>
        <w:widowControl w:val="0"/>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120" w:after="120" w:line="240" w:lineRule="auto"/>
        <w:jc w:val="center"/>
        <w:outlineLvl w:val="2"/>
        <w:rPr>
          <w:rFonts w:ascii="黑体" w:eastAsia="黑体" w:hAnsi="宋体"/>
          <w:bCs/>
          <w:szCs w:val="32"/>
          <w:lang w:eastAsia="zh-CN"/>
        </w:rPr>
      </w:pPr>
      <w:r>
        <w:rPr>
          <w:rFonts w:ascii="黑体" w:eastAsia="黑体" w:hAnsi="宋体" w:hint="eastAsia"/>
          <w:bCs/>
          <w:szCs w:val="32"/>
          <w:lang w:eastAsia="zh-CN"/>
        </w:rPr>
        <w:t>三、投标人情况及资格证明文件</w:t>
      </w:r>
    </w:p>
    <w:p>
      <w:pPr>
        <w:widowControl w:val="0"/>
        <w:ind w:firstLine="2640" w:firstLineChars="1100"/>
        <w:jc w:val="both"/>
        <w:outlineLvl w:val="3"/>
        <w:rPr>
          <w:rFonts w:ascii="黑体" w:eastAsia="黑体" w:hAnsi="宋体"/>
          <w:bCs/>
          <w:szCs w:val="32"/>
          <w:lang w:eastAsia="zh-CN"/>
        </w:rPr>
      </w:pPr>
      <w:r>
        <w:rPr>
          <w:rFonts w:ascii="黑体" w:eastAsia="黑体" w:hAnsi="宋体"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hint="eastAsia"/>
          <w:b/>
          <w:bCs/>
          <w:color w:val="FF0000"/>
          <w:kern w:val="2"/>
          <w:sz w:val="21"/>
          <w:szCs w:val="22"/>
          <w:lang w:eastAsia="zh-CN"/>
        </w:rPr>
        <w:t xml:space="preserve">（特别提示：投标人须按本招标文件第一册第一章招标公告 </w:t>
      </w:r>
      <w:r>
        <w:rPr>
          <w:rFonts w:ascii="Calibri" w:eastAsia="宋体" w:hAnsi="Calibri" w:hint="eastAsia"/>
          <w:b/>
          <w:bCs/>
          <w:color w:val="FF0000"/>
          <w:kern w:val="2"/>
          <w:sz w:val="21"/>
          <w:szCs w:val="22"/>
          <w:lang w:eastAsia="zh-CN"/>
        </w:rPr>
        <w:t>“</w:t>
      </w:r>
      <w:r>
        <w:rPr>
          <w:rFonts w:ascii="Calibri" w:eastAsia="宋体" w:hAnsi="Calibri" w:hint="eastAsia"/>
          <w:b/>
          <w:bCs/>
          <w:color w:val="FF0000"/>
          <w:kern w:val="2"/>
          <w:sz w:val="21"/>
          <w:szCs w:val="22"/>
          <w:lang w:eastAsia="zh-CN"/>
        </w:rPr>
        <w:t>申请人的资格要求</w:t>
      </w:r>
      <w:r>
        <w:rPr>
          <w:rFonts w:ascii="Calibri" w:eastAsia="宋体" w:hAnsi="Calibri" w:hint="eastAsia"/>
          <w:b/>
          <w:bCs/>
          <w:color w:val="FF0000"/>
          <w:kern w:val="2"/>
          <w:sz w:val="21"/>
          <w:szCs w:val="22"/>
          <w:lang w:eastAsia="zh-CN"/>
        </w:rPr>
        <w:t>”</w:t>
      </w:r>
      <w:r>
        <w:rPr>
          <w:rFonts w:ascii="Calibri" w:eastAsia="宋体" w:hAnsi="Calibri" w:hint="eastAsia"/>
          <w:b/>
          <w:bCs/>
          <w:color w:val="FF0000"/>
          <w:kern w:val="2"/>
          <w:sz w:val="21"/>
          <w:szCs w:val="22"/>
          <w:lang w:eastAsia="zh-CN"/>
        </w:rPr>
        <w:t>（即投标人资格要求）提供相关的资格证明资料，未提供或提供不完整、不符合要求的，将作投标无效处理，其中要求提供《自行采购投标及履约承诺函》《供应商基本情况表》且已在规定章节中提供的，此处不重复提供。）</w:t>
      </w:r>
    </w:p>
    <w:p>
      <w:pPr>
        <w:widowControl w:val="0"/>
        <w:ind w:firstLine="480" w:firstLineChars="200"/>
        <w:jc w:val="both"/>
        <w:rPr>
          <w:rFonts w:ascii="Calibri" w:eastAsia="宋体" w:hAnsi="Calibri"/>
          <w:b/>
          <w:kern w:val="2"/>
          <w:szCs w:val="22"/>
          <w:lang w:eastAsia="zh-CN"/>
        </w:rPr>
      </w:pPr>
    </w:p>
    <w:p>
      <w:pPr>
        <w:widowControl w:val="0"/>
        <w:ind w:firstLine="480" w:firstLineChars="200"/>
        <w:jc w:val="both"/>
        <w:outlineLvl w:val="3"/>
        <w:rPr>
          <w:rFonts w:ascii="黑体" w:eastAsia="黑体" w:hAnsi="宋体"/>
          <w:bCs/>
          <w:szCs w:val="32"/>
          <w:lang w:eastAsia="zh-CN"/>
        </w:rPr>
      </w:pPr>
      <w:r>
        <w:rPr>
          <w:rFonts w:ascii="黑体" w:eastAsia="黑体" w:hAnsi="宋体" w:hint="eastAsia"/>
          <w:bCs/>
          <w:szCs w:val="32"/>
          <w:lang w:eastAsia="zh-CN"/>
        </w:rPr>
        <w:t>（二）中小企业声明函、残疾人福利性单位声明函及监狱企业声明函</w:t>
      </w:r>
    </w:p>
    <w:p>
      <w:pPr>
        <w:widowControl w:val="0"/>
        <w:jc w:val="left"/>
        <w:rPr>
          <w:rFonts w:ascii="黑体" w:eastAsia="黑体" w:hAnsi="宋体"/>
          <w:bCs/>
          <w:szCs w:val="32"/>
          <w:lang w:eastAsia="zh-CN"/>
        </w:rPr>
      </w:pP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填写指引：</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hint="eastAsia"/>
          <w:color w:val="FF0000"/>
          <w:kern w:val="2"/>
          <w:sz w:val="21"/>
          <w:szCs w:val="21"/>
          <w:lang w:eastAsia="zh-CN"/>
        </w:rPr>
        <w:t>投标人提供的声明函不属实的，属于提供虚假资料谋取中标，参照《中华人民共和国政府采购法》等国家有关规定追究相应责任。</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1</w:t>
      </w:r>
      <w:r>
        <w:rPr>
          <w:rFonts w:ascii="黑体" w:eastAsia="黑体" w:hAnsi="黑体"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2</w:t>
      </w:r>
      <w:r>
        <w:rPr>
          <w:rFonts w:ascii="黑体" w:eastAsia="黑体" w:hAnsi="黑体" w:hint="eastAsia"/>
          <w:color w:val="FF0000"/>
          <w:kern w:val="2"/>
          <w:sz w:val="21"/>
          <w:szCs w:val="21"/>
          <w:lang w:eastAsia="zh-CN"/>
        </w:rPr>
        <w:t>)</w:t>
      </w:r>
      <w:bookmarkStart w:id="43" w:name="_Hlk71925120"/>
      <w:r>
        <w:rPr>
          <w:rFonts w:ascii="黑体" w:eastAsia="黑体" w:hAnsi="黑体" w:hint="eastAsia"/>
          <w:color w:val="FF0000"/>
          <w:kern w:val="2"/>
          <w:sz w:val="21"/>
          <w:szCs w:val="21"/>
          <w:lang w:eastAsia="zh-CN"/>
        </w:rPr>
        <w:t>《工业和信息化部、国家统计局、国家发展和改革委员会、财政部关于印发中小企业划型标准规定的通知》（工信部联企业〔2011〕300号</w:t>
      </w:r>
      <w:bookmarkEnd w:id="43"/>
      <w:r>
        <w:rPr>
          <w:rFonts w:ascii="黑体" w:eastAsia="黑体" w:hAnsi="黑体" w:hint="eastAsia"/>
          <w:color w:val="FF0000"/>
          <w:kern w:val="2"/>
          <w:sz w:val="21"/>
          <w:szCs w:val="21"/>
          <w:lang w:eastAsia="zh-CN"/>
        </w:rPr>
        <w:t>）</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(3)《统计上大中小微型企业划分办法(2017)》（国统字〔2017〕213号）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3、请依照提供的格式和内容填写声明函，不要随意变更格式；声明函不需要盖章或签字；</w:t>
      </w:r>
      <w:r>
        <w:rPr>
          <w:rFonts w:ascii="黑体" w:eastAsia="黑体" w:hAnsi="黑体"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4、声明函具体填写要求：</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第一处，在</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单位名称</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下划线处如实填写采购人名称（深圳公共资源交易中心不是本项目的采购人，而是组织实施机构）；</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第二处，在</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项目名称</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第三处，在</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标的名称</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下划线处填写所采购标的具体名称（以招标文件第一册第三章用户需求书</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服务需求明细</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的</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服务需求名称（标的名称）</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一栏为准）；如果涉及多项服务（标的）为同一企业承接的，</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标的名称</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下划线处可以如实填写多项服务；对于分包方式面向中小企业采购的项目，</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标的名称</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应填写采购文件中注明的分包给中小企业的采购标的名称；对于以联合体方式面向中小企业采购的项目</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标的名称</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应填写采购文件中注明的联合体中中小企业承担的采购标的名称。</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第四处，在</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采购文件中明确的所属行业</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下划线处填写采购标的对应的中小企业划分标准所属行业（所属行业以招标文件第一册第三章用户需求书</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服务需求明细</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的</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标的所属行业</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一栏为准），并应确保与采购标的涉及的服务承接商本身的所属行业保持一致。对于分包方式面向中小企业采购的项目，</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采购文件中明确的所属行业</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应按照采购文件中注明的分包给中小企业的采购标的所属行业填写，并应确保与该分包部分采购标的涉及的服务承接商本身的所属行业保持一致；对于以联合体方式面向中小企业采购的项目，</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采购文件中明确的所属行业</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应按照采购文件中注明的联合体中中小企业承担的采购标的所属行业填写，并应确保与该分包部分采购标的涉及的服务承接商本身的所属行业保持一致；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第五处，在</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企业名称</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下划线处如实填写</w:t>
      </w:r>
      <w:r>
        <w:rPr>
          <w:rFonts w:ascii="黑体" w:eastAsia="黑体" w:hAnsi="宋体" w:hint="eastAsia"/>
          <w:b/>
          <w:color w:val="FF0000"/>
          <w:sz w:val="21"/>
          <w:szCs w:val="21"/>
          <w:lang w:eastAsia="zh-CN"/>
        </w:rPr>
        <w:t>服务承接商名称。</w:t>
      </w:r>
      <w:r>
        <w:rPr>
          <w:rFonts w:ascii="黑体" w:eastAsia="黑体" w:hAnsi="宋体" w:hint="eastAsia"/>
          <w:bCs/>
          <w:color w:val="FF0000"/>
          <w:sz w:val="21"/>
          <w:szCs w:val="21"/>
          <w:lang w:eastAsia="zh-CN"/>
        </w:rPr>
        <w:t>对于分包方式面向中小企业采购的项目，</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企业名称</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应填写分包部分采购标的对应的服务承接商；对于以联合体方式面向中小企业采购的项目，</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企业名称</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应填写联合体中中小企业承担采购标的对应的服务承接商；</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第六、七、八处，在</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从业人员</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营业收入</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资产总额</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下划线处如实填写从业人员、营业收入、资产总额。从业人员、资产总额指标以上年度末数据为依据，营业收入指标以上年度累计数据为依据。无上年度数据的新成立企业可不填报。</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第九处，在</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中型企业、小型企业、微型企业</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（3）事业单位、社会组织等非企业主体不享受中小企业扶持政策。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（4）声明是残疾人福利性单位须填写《残疾人福利性单位声明函》的相关内容，具体参照以上《中小企业声明函》填写要求执行。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（5）声明是监狱企业须填写《监狱企业声明函》的三项内容（填写位置的字体已加粗），具体参照以上《中小企业声明函》填写要求执行。</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5、本项目属于服务类项目，如包含硬件设备、产品等货物采购的，不再对其中涉及的货物制造商作出要求。</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黑体" w:eastAsia="黑体" w:hAnsi="宋体"/>
          <w:bCs/>
          <w:color w:val="FF0000"/>
          <w:sz w:val="21"/>
          <w:szCs w:val="21"/>
          <w:lang w:eastAsia="zh-CN"/>
        </w:rPr>
      </w:pPr>
      <w:r>
        <w:rPr>
          <w:rFonts w:ascii="黑体" w:eastAsia="黑体" w:hAnsi="宋体" w:hint="eastAsia"/>
          <w:bCs/>
          <w:color w:val="FF0000"/>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Calibri" w:eastAsia="宋体" w:hAnsi="Calibri"/>
          <w:kern w:val="2"/>
          <w:sz w:val="21"/>
          <w:szCs w:val="22"/>
          <w:lang w:eastAsia="zh-CN"/>
        </w:rPr>
      </w:pPr>
    </w:p>
    <w:p>
      <w:pPr>
        <w:widowControl w:val="0"/>
        <w:numPr>
          <w:ilvl w:val="0"/>
          <w:numId w:val="3"/>
        </w:numPr>
        <w:jc w:val="center"/>
        <w:rPr>
          <w:rFonts w:ascii="Calibri" w:eastAsia="宋体" w:hAnsi="Calibri"/>
          <w:b/>
          <w:kern w:val="2"/>
          <w:szCs w:val="22"/>
          <w:lang w:eastAsia="zh-CN"/>
        </w:rPr>
      </w:pPr>
      <w:r>
        <w:rPr>
          <w:rFonts w:ascii="Calibri" w:eastAsia="宋体" w:hAnsi="Calibri"/>
          <w:b/>
          <w:kern w:val="2"/>
          <w:szCs w:val="22"/>
          <w:lang w:eastAsia="zh-CN"/>
        </w:rPr>
        <w:t>中小企业声明函（</w:t>
      </w:r>
      <w:r>
        <w:rPr>
          <w:rFonts w:ascii="Calibri" w:eastAsia="宋体" w:hAnsi="Calibri" w:hint="eastAsia"/>
          <w:b/>
          <w:kern w:val="2"/>
          <w:szCs w:val="22"/>
          <w:lang w:eastAsia="zh-CN"/>
        </w:rPr>
        <w:t>服务</w:t>
      </w:r>
      <w:r>
        <w:rPr>
          <w:rFonts w:ascii="Calibri" w:eastAsia="宋体" w:hAnsi="Calibri"/>
          <w:b/>
          <w:kern w:val="2"/>
          <w:szCs w:val="22"/>
          <w:lang w:eastAsia="zh-CN"/>
        </w:rPr>
        <w:t>）</w:t>
      </w:r>
    </w:p>
    <w:p>
      <w:pPr>
        <w:widowControl w:val="0"/>
        <w:spacing w:line="360" w:lineRule="auto"/>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本公司（联合体）郑重声明，参照《政府采购促进中小企业发展管理办法》（财库</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2020</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widowControl w:val="0"/>
        <w:spacing w:line="360" w:lineRule="auto"/>
        <w:ind w:firstLine="420" w:firstLineChars="200"/>
        <w:jc w:val="both"/>
        <w:rPr>
          <w:rFonts w:ascii="宋体" w:eastAsia="宋体" w:hAnsi="宋体" w:cs="宋体" w:hint="eastAsia"/>
          <w:kern w:val="2"/>
          <w:sz w:val="21"/>
          <w:szCs w:val="21"/>
          <w:lang w:eastAsia="zh-CN"/>
        </w:rPr>
      </w:pPr>
      <w:bookmarkStart w:id="44"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号）、《统计上大中小微型企业划分办法（2017）》等规定，承诺提供的声明函内容是真实的，并知悉参照《政府采购促进中小企业发展管理办法》（财库〔2020〕46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pPr>
        <w:widowControl w:val="0"/>
        <w:ind w:firstLine="420" w:firstLineChars="200"/>
        <w:jc w:val="both"/>
        <w:rPr>
          <w:rFonts w:ascii="Calibri" w:eastAsia="宋体" w:hAnsi="Calibri"/>
          <w:kern w:val="2"/>
          <w:sz w:val="21"/>
          <w:szCs w:val="22"/>
          <w:lang w:eastAsia="zh-CN"/>
        </w:rPr>
      </w:pPr>
    </w:p>
    <w:p>
      <w:pPr>
        <w:widowControl w:val="0"/>
        <w:jc w:val="center"/>
        <w:rPr>
          <w:rFonts w:ascii="Calibri" w:eastAsia="宋体" w:hAnsi="Calibri"/>
          <w:b/>
          <w:kern w:val="2"/>
          <w:szCs w:val="22"/>
          <w:lang w:eastAsia="zh-CN"/>
        </w:rPr>
      </w:pPr>
      <w:r>
        <w:rPr>
          <w:rFonts w:ascii="Calibri" w:eastAsia="宋体" w:hAnsi="Calibri" w:hint="eastAsia"/>
          <w:b/>
          <w:kern w:val="2"/>
          <w:szCs w:val="22"/>
          <w:lang w:eastAsia="zh-CN"/>
        </w:rPr>
        <w:t>2、残疾人福利性单位声明函（服务类）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本单位郑重声明，参照《财政部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rPr>
          <w:rFonts w:ascii="Calibri" w:eastAsia="宋体" w:hAnsi="Calibri"/>
          <w:b/>
          <w:kern w:val="2"/>
          <w:szCs w:val="22"/>
          <w:lang w:eastAsia="zh-CN"/>
        </w:rPr>
      </w:pPr>
      <w:r>
        <w:rPr>
          <w:rFonts w:ascii="Calibri" w:eastAsia="宋体" w:hAnsi="Calibri" w:hint="eastAsia"/>
          <w:b/>
          <w:kern w:val="2"/>
          <w:szCs w:val="2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本投标人郑重声明，</w:t>
      </w:r>
      <w:r>
        <w:rPr>
          <w:rFonts w:ascii="宋体" w:eastAsia="宋体" w:hAnsi="宋体" w:cs="宋体" w:hint="eastAsia"/>
          <w:kern w:val="2"/>
          <w:sz w:val="21"/>
          <w:szCs w:val="21"/>
          <w:lang w:eastAsia="zh-CN"/>
        </w:rPr>
        <w:t>参照</w:t>
      </w:r>
      <w:r>
        <w:rPr>
          <w:rFonts w:ascii="宋体" w:eastAsia="宋体" w:hAnsi="宋体" w:hint="eastAsia"/>
          <w:kern w:val="2"/>
          <w:sz w:val="21"/>
          <w:szCs w:val="21"/>
          <w:lang w:eastAsia="zh-CN"/>
        </w:rPr>
        <w:t>《财政部司法部关于政府采购支持监狱企业发展有关问题的通知》（财库〔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号）的规定，本投标人</w:t>
      </w:r>
      <w:r>
        <w:rPr>
          <w:rFonts w:ascii="宋体" w:eastAsia="宋体" w:hAnsi="宋体"/>
          <w:kern w:val="2"/>
          <w:sz w:val="21"/>
          <w:szCs w:val="21"/>
          <w:lang w:eastAsia="zh-CN"/>
        </w:rPr>
        <w:t>参加</w:t>
      </w:r>
      <w:r>
        <w:rPr>
          <w:rFonts w:ascii="宋体" w:eastAsia="宋体" w:hAnsi="宋体"/>
          <w:b/>
          <w:bCs/>
          <w:kern w:val="2"/>
          <w:sz w:val="21"/>
          <w:szCs w:val="21"/>
          <w:u w:val="single"/>
          <w:lang w:eastAsia="zh-CN"/>
        </w:rPr>
        <w:t>（</w:t>
      </w:r>
      <w:r>
        <w:rPr>
          <w:rFonts w:ascii="宋体" w:eastAsia="宋体" w:hAnsi="宋体" w:hint="eastAsia"/>
          <w:b/>
          <w:bCs/>
          <w:kern w:val="2"/>
          <w:sz w:val="21"/>
          <w:szCs w:val="21"/>
          <w:u w:val="single"/>
          <w:lang w:eastAsia="zh-CN"/>
        </w:rPr>
        <w:t>采购人</w:t>
      </w:r>
      <w:r>
        <w:rPr>
          <w:rFonts w:ascii="宋体" w:eastAsia="宋体" w:hAnsi="宋体"/>
          <w:b/>
          <w:b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kern w:val="2"/>
          <w:sz w:val="21"/>
          <w:szCs w:val="21"/>
          <w:u w:val="single"/>
          <w:lang w:eastAsia="zh-CN"/>
        </w:rPr>
        <w:t>（项目名称）</w:t>
      </w:r>
      <w:r>
        <w:rPr>
          <w:rFonts w:ascii="宋体" w:eastAsia="宋体" w:hAnsi="宋体"/>
          <w:kern w:val="2"/>
          <w:sz w:val="21"/>
          <w:szCs w:val="21"/>
          <w:lang w:eastAsia="zh-CN"/>
        </w:rPr>
        <w:t>采购活动，</w:t>
      </w:r>
      <w:r>
        <w:rPr>
          <w:rFonts w:ascii="宋体" w:eastAsia="宋体" w:hAnsi="宋体" w:hint="eastAsia"/>
          <w:kern w:val="2"/>
          <w:sz w:val="21"/>
          <w:szCs w:val="21"/>
          <w:lang w:eastAsia="zh-CN"/>
        </w:rPr>
        <w:t>服务</w:t>
      </w:r>
      <w:r>
        <w:rPr>
          <w:rFonts w:ascii="宋体" w:eastAsia="宋体" w:hAnsi="宋体"/>
          <w:kern w:val="2"/>
          <w:sz w:val="21"/>
          <w:szCs w:val="21"/>
          <w:lang w:eastAsia="zh-CN"/>
        </w:rPr>
        <w:t>全部由符合政策要求的</w:t>
      </w:r>
      <w:r>
        <w:rPr>
          <w:rFonts w:ascii="宋体" w:eastAsia="宋体" w:hAnsi="宋体" w:hint="eastAsia"/>
          <w:kern w:val="2"/>
          <w:sz w:val="21"/>
          <w:szCs w:val="21"/>
          <w:lang w:eastAsia="zh-CN"/>
        </w:rPr>
        <w:t>监狱企业承接</w:t>
      </w:r>
      <w:r>
        <w:rPr>
          <w:rFonts w:ascii="宋体" w:eastAsia="宋体" w:hAnsi="宋体"/>
          <w:kern w:val="2"/>
          <w:sz w:val="21"/>
          <w:szCs w:val="21"/>
          <w:lang w:eastAsia="zh-CN"/>
        </w:rPr>
        <w:t>。相关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b/>
          <w:bCs/>
          <w:kern w:val="2"/>
          <w:sz w:val="21"/>
          <w:szCs w:val="21"/>
          <w:u w:val="single"/>
          <w:lang w:eastAsia="zh-CN"/>
        </w:rPr>
        <w:t>）</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i/>
          <w:iCs/>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本</w:t>
      </w:r>
      <w:r>
        <w:rPr>
          <w:rFonts w:ascii="宋体" w:eastAsia="宋体" w:hAnsi="宋体" w:hint="eastAsia"/>
          <w:kern w:val="2"/>
          <w:sz w:val="21"/>
          <w:szCs w:val="21"/>
          <w:lang w:eastAsia="zh-CN"/>
        </w:rPr>
        <w:t>投标人</w:t>
      </w:r>
      <w:r>
        <w:rPr>
          <w:rFonts w:ascii="宋体" w:eastAsia="宋体" w:hAnsi="宋体"/>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附：省级以上监狱管理局、戒毒管理局（含新疆生产建设兵团）出具的监狱企业证明文件。</w:t>
      </w:r>
    </w:p>
    <w:p>
      <w:pPr>
        <w:widowControl w:val="0"/>
        <w:ind w:left="720" w:hanging="720" w:hangingChars="300"/>
        <w:jc w:val="both"/>
        <w:rPr>
          <w:rFonts w:ascii="Calibri" w:eastAsia="宋体" w:hAnsi="Calibri"/>
          <w:b/>
          <w:kern w:val="2"/>
          <w:szCs w:val="22"/>
          <w:lang w:eastAsia="zh-CN"/>
        </w:rPr>
      </w:pPr>
    </w:p>
    <w:p>
      <w:pPr>
        <w:widowControl w:val="0"/>
        <w:ind w:left="720" w:hanging="720" w:hangingChars="300"/>
        <w:jc w:val="both"/>
        <w:rPr>
          <w:rFonts w:ascii="Calibri" w:eastAsia="宋体" w:hAnsi="Calibri"/>
          <w:b/>
          <w:kern w:val="2"/>
          <w:szCs w:val="22"/>
          <w:lang w:eastAsia="zh-CN"/>
        </w:rPr>
      </w:pP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hint="eastAsia"/>
          <w:bCs/>
          <w:kern w:val="2"/>
          <w:lang w:eastAsia="zh-CN"/>
        </w:rPr>
        <w:t>四、项目详细报价</w:t>
      </w:r>
    </w:p>
    <w:p>
      <w:pPr>
        <w:widowControl w:val="0"/>
        <w:tabs>
          <w:tab w:val="left" w:pos="720"/>
        </w:tabs>
        <w:ind w:firstLine="3120" w:firstLineChars="1300"/>
        <w:jc w:val="both"/>
        <w:rPr>
          <w:rFonts w:ascii="Calibri" w:eastAsia="宋体" w:hAnsi="Calibri"/>
          <w:b/>
          <w:kern w:val="2"/>
          <w:szCs w:val="22"/>
          <w:lang w:eastAsia="zh-CN"/>
        </w:rPr>
      </w:pPr>
      <w:r>
        <w:rPr>
          <w:rFonts w:ascii="Calibri" w:eastAsia="宋体" w:hAnsi="Calibri" w:hint="eastAsia"/>
          <w:b/>
          <w:kern w:val="2"/>
          <w:szCs w:val="22"/>
          <w:lang w:eastAsia="zh-CN"/>
        </w:rPr>
        <w:t>（一）分项报价表</w:t>
      </w:r>
    </w:p>
    <w:tbl>
      <w:tblPr>
        <w:tblStyle w:val="TableNormal"/>
        <w:tblW w:w="5000" w:type="pct"/>
        <w:tblLayout w:type="fixed"/>
        <w:tblCellMar>
          <w:top w:w="0" w:type="dxa"/>
          <w:left w:w="108" w:type="dxa"/>
          <w:bottom w:w="0" w:type="dxa"/>
          <w:right w:w="108" w:type="dxa"/>
        </w:tblCellMar>
        <w:tblLook w:val="0000"/>
      </w:tblPr>
      <w:tblGrid>
        <w:gridCol w:w="614"/>
        <w:gridCol w:w="1007"/>
        <w:gridCol w:w="3119"/>
        <w:gridCol w:w="1544"/>
        <w:gridCol w:w="2245"/>
      </w:tblGrid>
      <w:tr>
        <w:tblPrEx>
          <w:tblW w:w="5000" w:type="pct"/>
          <w:tblLayout w:type="fixed"/>
          <w:tblCellMar>
            <w:top w:w="0" w:type="dxa"/>
            <w:left w:w="108" w:type="dxa"/>
            <w:bottom w:w="0" w:type="dxa"/>
            <w:right w:w="108" w:type="dxa"/>
          </w:tblCellMar>
          <w:tblLook w:val="0000"/>
        </w:tblPrEx>
        <w:trPr>
          <w:trHeight w:val="285"/>
        </w:trPr>
        <w:tc>
          <w:tcPr>
            <w:tcW w:w="618" w:type="dxa"/>
            <w:tcBorders>
              <w:top w:val="single" w:sz="8" w:space="0" w:color="auto"/>
              <w:left w:val="single" w:sz="8" w:space="0" w:color="auto"/>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序号</w:t>
            </w:r>
          </w:p>
        </w:tc>
        <w:tc>
          <w:tcPr>
            <w:tcW w:w="4168" w:type="dxa"/>
            <w:gridSpan w:val="2"/>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需求名称</w:t>
            </w:r>
          </w:p>
        </w:tc>
        <w:tc>
          <w:tcPr>
            <w:tcW w:w="1559" w:type="dxa"/>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金额（元）</w:t>
            </w:r>
          </w:p>
        </w:tc>
        <w:tc>
          <w:tcPr>
            <w:tcW w:w="2268" w:type="dxa"/>
            <w:tcBorders>
              <w:top w:val="single" w:sz="8" w:space="0" w:color="auto"/>
              <w:left w:val="nil"/>
              <w:bottom w:val="single" w:sz="4" w:space="0" w:color="auto"/>
              <w:right w:val="single" w:sz="8"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说明</w:t>
            </w:r>
          </w:p>
        </w:tc>
      </w:tr>
      <w:tr>
        <w:tblPrEx>
          <w:tblW w:w="5000" w:type="pct"/>
          <w:tblLayout w:type="fixed"/>
          <w:tblCellMar>
            <w:top w:w="0" w:type="dxa"/>
            <w:left w:w="108" w:type="dxa"/>
            <w:bottom w:w="0" w:type="dxa"/>
            <w:right w:w="108" w:type="dxa"/>
          </w:tblCellMar>
          <w:tblLook w:val="0000"/>
        </w:tblPrEx>
        <w:trPr>
          <w:trHeight w:val="285"/>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一</w:t>
            </w:r>
          </w:p>
        </w:tc>
        <w:tc>
          <w:tcPr>
            <w:tcW w:w="4168"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深圳市宝安区水务技术监管中心物业管理服务</w:t>
            </w:r>
          </w:p>
        </w:tc>
        <w:tc>
          <w:tcPr>
            <w:tcW w:w="1559" w:type="dxa"/>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single" w:sz="4" w:space="0" w:color="auto"/>
              <w:left w:val="nil"/>
              <w:bottom w:val="single" w:sz="4" w:space="0" w:color="auto"/>
              <w:right w:val="single" w:sz="8" w:space="0" w:color="auto"/>
            </w:tcBorders>
            <w:vAlign w:val="center"/>
          </w:tcPr>
          <w:p>
            <w:pPr>
              <w:widowControl/>
              <w:jc w:val="left"/>
              <w:rPr>
                <w:rFonts w:ascii="宋体" w:eastAsia="宋体" w:hAnsi="宋体" w:cs="宋体"/>
                <w:sz w:val="20"/>
                <w:szCs w:val="20"/>
                <w:lang w:eastAsia="zh-CN"/>
              </w:rPr>
            </w:pPr>
          </w:p>
        </w:tc>
      </w:tr>
      <w:tr>
        <w:tblPrEx>
          <w:tblW w:w="5000" w:type="pct"/>
          <w:tblLayout w:type="fixed"/>
          <w:tblCellMar>
            <w:top w:w="0" w:type="dxa"/>
            <w:left w:w="108" w:type="dxa"/>
            <w:bottom w:w="0" w:type="dxa"/>
            <w:right w:w="108" w:type="dxa"/>
          </w:tblCellMar>
          <w:tblLook w:val="0000"/>
        </w:tblPrEx>
        <w:trPr>
          <w:trHeight w:val="480"/>
        </w:trPr>
        <w:tc>
          <w:tcPr>
            <w:tcW w:w="618" w:type="dxa"/>
            <w:vMerge w:val="restart"/>
            <w:tcBorders>
              <w:top w:val="nil"/>
              <w:left w:val="single" w:sz="8" w:space="0" w:color="auto"/>
              <w:right w:val="single" w:sz="4" w:space="0" w:color="auto"/>
            </w:tcBorders>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二</w:t>
            </w:r>
          </w:p>
        </w:tc>
        <w:tc>
          <w:tcPr>
            <w:tcW w:w="1016" w:type="dxa"/>
            <w:vMerge w:val="restart"/>
            <w:tcBorders>
              <w:top w:val="nil"/>
              <w:left w:val="single" w:sz="4" w:space="0" w:color="auto"/>
              <w:bottom w:val="single" w:sz="4" w:space="0" w:color="auto"/>
              <w:right w:val="single" w:sz="4" w:space="0" w:color="auto"/>
            </w:tcBorders>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r>
              <w:rPr>
                <w:rFonts w:ascii="宋体" w:eastAsia="宋体" w:hAnsi="宋体" w:cs="宋体" w:hint="eastAsia"/>
                <w:sz w:val="20"/>
                <w:szCs w:val="20"/>
                <w:lang w:eastAsia="zh-CN"/>
              </w:rPr>
              <w:t>费用</w:t>
            </w:r>
          </w:p>
        </w:tc>
        <w:tc>
          <w:tcPr>
            <w:tcW w:w="3152" w:type="dxa"/>
            <w:tcBorders>
              <w:top w:val="nil"/>
              <w:left w:val="nil"/>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val="restart"/>
            <w:tcBorders>
              <w:top w:val="nil"/>
              <w:left w:val="nil"/>
              <w:right w:val="single" w:sz="8" w:space="0" w:color="auto"/>
            </w:tcBorders>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Layout w:type="fixed"/>
          <w:tblCellMar>
            <w:top w:w="0" w:type="dxa"/>
            <w:left w:w="108" w:type="dxa"/>
            <w:bottom w:w="0" w:type="dxa"/>
            <w:right w:w="108" w:type="dxa"/>
          </w:tblCellMar>
          <w:tblLook w:val="0000"/>
        </w:tblPrEx>
        <w:trPr>
          <w:trHeight w:val="285"/>
        </w:trPr>
        <w:tc>
          <w:tcPr>
            <w:tcW w:w="618" w:type="dxa"/>
            <w:vMerge/>
            <w:tcBorders>
              <w:left w:val="single" w:sz="8" w:space="0" w:color="auto"/>
              <w:right w:val="single" w:sz="4" w:space="0" w:color="auto"/>
            </w:tcBorders>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vAlign w:val="center"/>
          </w:tcPr>
          <w:p>
            <w:pPr>
              <w:widowControl w:val="0"/>
              <w:jc w:val="left"/>
              <w:rPr>
                <w:rFonts w:ascii="宋体" w:eastAsia="宋体" w:hAnsi="宋体" w:cs="宋体"/>
                <w:sz w:val="20"/>
                <w:szCs w:val="20"/>
                <w:lang w:eastAsia="zh-CN"/>
              </w:rPr>
            </w:pPr>
          </w:p>
        </w:tc>
      </w:tr>
      <w:tr>
        <w:tblPrEx>
          <w:tblW w:w="5000" w:type="pct"/>
          <w:tblLayout w:type="fixed"/>
          <w:tblCellMar>
            <w:top w:w="0" w:type="dxa"/>
            <w:left w:w="108" w:type="dxa"/>
            <w:bottom w:w="0" w:type="dxa"/>
            <w:right w:w="108" w:type="dxa"/>
          </w:tblCellMar>
          <w:tblLook w:val="0000"/>
        </w:tblPrEx>
        <w:trPr>
          <w:trHeight w:val="285"/>
        </w:trPr>
        <w:tc>
          <w:tcPr>
            <w:tcW w:w="618" w:type="dxa"/>
            <w:vMerge/>
            <w:tcBorders>
              <w:left w:val="single" w:sz="8" w:space="0" w:color="auto"/>
              <w:right w:val="single" w:sz="4" w:space="0" w:color="auto"/>
            </w:tcBorders>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vAlign w:val="center"/>
          </w:tcPr>
          <w:p>
            <w:pPr>
              <w:widowControl w:val="0"/>
              <w:jc w:val="left"/>
              <w:rPr>
                <w:rFonts w:ascii="宋体" w:eastAsia="宋体" w:hAnsi="宋体" w:cs="宋体"/>
                <w:sz w:val="20"/>
                <w:szCs w:val="20"/>
                <w:lang w:eastAsia="zh-CN"/>
              </w:rPr>
            </w:pPr>
          </w:p>
        </w:tc>
      </w:tr>
      <w:tr>
        <w:tblPrEx>
          <w:tblW w:w="5000" w:type="pct"/>
          <w:tblLayout w:type="fixed"/>
          <w:tblCellMar>
            <w:top w:w="0" w:type="dxa"/>
            <w:left w:w="108" w:type="dxa"/>
            <w:bottom w:w="0" w:type="dxa"/>
            <w:right w:w="108" w:type="dxa"/>
          </w:tblCellMar>
          <w:tblLook w:val="0000"/>
        </w:tblPrEx>
        <w:trPr>
          <w:trHeight w:val="285"/>
        </w:trPr>
        <w:tc>
          <w:tcPr>
            <w:tcW w:w="618" w:type="dxa"/>
            <w:vMerge/>
            <w:tcBorders>
              <w:left w:val="single" w:sz="8" w:space="0" w:color="auto"/>
              <w:right w:val="single" w:sz="4" w:space="0" w:color="auto"/>
            </w:tcBorders>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vAlign w:val="center"/>
          </w:tcPr>
          <w:p>
            <w:pPr>
              <w:widowControl w:val="0"/>
              <w:jc w:val="left"/>
              <w:rPr>
                <w:rFonts w:ascii="宋体" w:eastAsia="宋体" w:hAnsi="宋体" w:cs="宋体"/>
                <w:sz w:val="20"/>
                <w:szCs w:val="20"/>
                <w:lang w:eastAsia="zh-CN"/>
              </w:rPr>
            </w:pPr>
          </w:p>
        </w:tc>
      </w:tr>
      <w:tr>
        <w:tblPrEx>
          <w:tblW w:w="5000" w:type="pct"/>
          <w:tblLayout w:type="fixed"/>
          <w:tblCellMar>
            <w:top w:w="0" w:type="dxa"/>
            <w:left w:w="108" w:type="dxa"/>
            <w:bottom w:w="0" w:type="dxa"/>
            <w:right w:w="108" w:type="dxa"/>
          </w:tblCellMar>
          <w:tblLook w:val="0000"/>
        </w:tblPrEx>
        <w:trPr>
          <w:trHeight w:val="285"/>
        </w:trPr>
        <w:tc>
          <w:tcPr>
            <w:tcW w:w="618" w:type="dxa"/>
            <w:vMerge/>
            <w:tcBorders>
              <w:left w:val="single" w:sz="8" w:space="0" w:color="auto"/>
              <w:right w:val="single" w:sz="4" w:space="0" w:color="auto"/>
            </w:tcBorders>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vAlign w:val="center"/>
          </w:tcPr>
          <w:p>
            <w:pPr>
              <w:widowControl w:val="0"/>
              <w:jc w:val="left"/>
              <w:rPr>
                <w:rFonts w:ascii="宋体" w:eastAsia="宋体" w:hAnsi="宋体" w:cs="宋体"/>
                <w:sz w:val="20"/>
                <w:szCs w:val="20"/>
                <w:lang w:eastAsia="zh-CN"/>
              </w:rPr>
            </w:pPr>
          </w:p>
        </w:tc>
      </w:tr>
      <w:tr>
        <w:tblPrEx>
          <w:tblW w:w="5000" w:type="pct"/>
          <w:tblLayout w:type="fixed"/>
          <w:tblCellMar>
            <w:top w:w="0" w:type="dxa"/>
            <w:left w:w="108" w:type="dxa"/>
            <w:bottom w:w="0" w:type="dxa"/>
            <w:right w:w="108" w:type="dxa"/>
          </w:tblCellMar>
          <w:tblLook w:val="0000"/>
        </w:tblPrEx>
        <w:trPr>
          <w:trHeight w:val="285"/>
        </w:trPr>
        <w:tc>
          <w:tcPr>
            <w:tcW w:w="618" w:type="dxa"/>
            <w:vMerge/>
            <w:tcBorders>
              <w:left w:val="single" w:sz="8" w:space="0" w:color="auto"/>
              <w:right w:val="single" w:sz="4" w:space="0" w:color="auto"/>
            </w:tcBorders>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bottom w:val="single" w:sz="4" w:space="0" w:color="auto"/>
              <w:right w:val="single" w:sz="8" w:space="0" w:color="auto"/>
            </w:tcBorders>
            <w:vAlign w:val="center"/>
          </w:tcPr>
          <w:p>
            <w:pPr>
              <w:widowControl/>
              <w:jc w:val="left"/>
              <w:rPr>
                <w:rFonts w:ascii="宋体" w:eastAsia="宋体" w:hAnsi="宋体" w:cs="宋体"/>
                <w:sz w:val="20"/>
                <w:szCs w:val="20"/>
                <w:lang w:eastAsia="zh-CN"/>
              </w:rPr>
            </w:pPr>
          </w:p>
        </w:tc>
      </w:tr>
      <w:tr>
        <w:tblPrEx>
          <w:tblW w:w="5000" w:type="pct"/>
          <w:tblLayout w:type="fixed"/>
          <w:tblCellMar>
            <w:top w:w="0" w:type="dxa"/>
            <w:left w:w="108" w:type="dxa"/>
            <w:bottom w:w="0" w:type="dxa"/>
            <w:right w:w="108" w:type="dxa"/>
          </w:tblCellMar>
          <w:tblLook w:val="0000"/>
        </w:tblPrEx>
        <w:trPr>
          <w:trHeight w:val="285"/>
        </w:trPr>
        <w:tc>
          <w:tcPr>
            <w:tcW w:w="618" w:type="dxa"/>
            <w:vMerge/>
            <w:tcBorders>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r>
              <w:rPr>
                <w:rFonts w:ascii="宋体" w:eastAsia="宋体" w:hAnsi="宋体" w:cs="宋体" w:hint="eastAsia"/>
                <w:sz w:val="20"/>
                <w:szCs w:val="20"/>
                <w:lang w:eastAsia="zh-CN"/>
              </w:rPr>
              <w:t>费用小计</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Layout w:type="fixed"/>
          <w:tblCellMar>
            <w:top w:w="0" w:type="dxa"/>
            <w:left w:w="108" w:type="dxa"/>
            <w:bottom w:w="0" w:type="dxa"/>
            <w:right w:w="108" w:type="dxa"/>
          </w:tblCellMar>
          <w:tblLook w:val="0000"/>
        </w:tblPrEx>
        <w:trPr>
          <w:trHeight w:val="285"/>
        </w:trPr>
        <w:tc>
          <w:tcPr>
            <w:tcW w:w="618" w:type="dxa"/>
            <w:vMerge w:val="restart"/>
            <w:tcBorders>
              <w:top w:val="nil"/>
              <w:left w:val="single" w:sz="8"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三</w:t>
            </w:r>
          </w:p>
        </w:tc>
        <w:tc>
          <w:tcPr>
            <w:tcW w:w="1016" w:type="dxa"/>
            <w:vMerge w:val="restar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其他费用</w:t>
            </w:r>
          </w:p>
        </w:tc>
        <w:tc>
          <w:tcPr>
            <w:tcW w:w="3152"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p>
        </w:tc>
      </w:tr>
      <w:tr>
        <w:tblPrEx>
          <w:tblW w:w="5000" w:type="pct"/>
          <w:tblLayout w:type="fixed"/>
          <w:tblCellMar>
            <w:top w:w="0" w:type="dxa"/>
            <w:left w:w="108" w:type="dxa"/>
            <w:bottom w:w="0" w:type="dxa"/>
            <w:right w:w="108" w:type="dxa"/>
          </w:tblCellMar>
          <w:tblLook w:val="0000"/>
        </w:tblPrEx>
        <w:trPr>
          <w:trHeight w:val="285"/>
        </w:trPr>
        <w:tc>
          <w:tcPr>
            <w:tcW w:w="618" w:type="dxa"/>
            <w:vMerge/>
            <w:tcBorders>
              <w:left w:val="single" w:sz="8" w:space="0" w:color="auto"/>
              <w:right w:val="single" w:sz="4" w:space="0" w:color="auto"/>
            </w:tcBorders>
            <w:shd w:val="clear" w:color="000000" w:fill="FFFFFF"/>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p>
        </w:tc>
      </w:tr>
      <w:tr>
        <w:tblPrEx>
          <w:tblW w:w="5000" w:type="pct"/>
          <w:tblLayout w:type="fixed"/>
          <w:tblCellMar>
            <w:top w:w="0" w:type="dxa"/>
            <w:left w:w="108" w:type="dxa"/>
            <w:bottom w:w="0" w:type="dxa"/>
            <w:right w:w="108" w:type="dxa"/>
          </w:tblCellMar>
          <w:tblLook w:val="0000"/>
        </w:tblPrEx>
        <w:trPr>
          <w:trHeight w:val="285"/>
        </w:trPr>
        <w:tc>
          <w:tcPr>
            <w:tcW w:w="618" w:type="dxa"/>
            <w:vMerge/>
            <w:tcBorders>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其他费用小计</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Layout w:type="fixed"/>
          <w:tblCellMar>
            <w:top w:w="0" w:type="dxa"/>
            <w:left w:w="108" w:type="dxa"/>
            <w:bottom w:w="0" w:type="dxa"/>
            <w:right w:w="108" w:type="dxa"/>
          </w:tblCellMar>
          <w:tblLook w:val="0000"/>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四</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税金</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Layout w:type="fixed"/>
          <w:tblCellMar>
            <w:top w:w="0" w:type="dxa"/>
            <w:left w:w="108" w:type="dxa"/>
            <w:bottom w:w="0" w:type="dxa"/>
            <w:right w:w="108" w:type="dxa"/>
          </w:tblCellMar>
          <w:tblLook w:val="0000"/>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b/>
                <w:bCs/>
                <w:sz w:val="20"/>
                <w:szCs w:val="20"/>
                <w:lang w:eastAsia="zh-CN"/>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p>
        </w:tc>
      </w:tr>
      <w:tr>
        <w:tblPrEx>
          <w:tblW w:w="5000" w:type="pct"/>
          <w:tblLayout w:type="fixed"/>
          <w:tblCellMar>
            <w:top w:w="0" w:type="dxa"/>
            <w:left w:w="108" w:type="dxa"/>
            <w:bottom w:w="0" w:type="dxa"/>
            <w:right w:w="108" w:type="dxa"/>
          </w:tblCellMar>
          <w:tblLook w:val="0000"/>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合计(元)</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b/>
                <w:bCs/>
                <w:sz w:val="20"/>
                <w:szCs w:val="20"/>
                <w:lang w:eastAsia="zh-CN"/>
              </w:rPr>
            </w:pPr>
            <w:r>
              <w:rPr>
                <w:rFonts w:ascii="宋体" w:eastAsia="宋体" w:hAnsi="宋体" w:cs="宋体" w:hint="eastAsia"/>
                <w:b/>
                <w:bCs/>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以上各项之和</w:t>
            </w:r>
          </w:p>
        </w:tc>
      </w:tr>
    </w:tbl>
    <w:p>
      <w:pPr>
        <w:widowControl w:val="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注：</w:t>
      </w:r>
    </w:p>
    <w:p>
      <w:pPr>
        <w:widowControl w:val="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1、此表可延长，各投标人根据本项目实际涉及的所有支出项情况修改后填写。本表如有缺漏项，由投标人自行承担。</w:t>
      </w:r>
    </w:p>
    <w:p>
      <w:pPr>
        <w:widowControl w:val="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2、中标人签订合同前将详细的《分项报价表》递交采购单位，经采购单位审核同意后方可实施。</w:t>
      </w:r>
    </w:p>
    <w:p>
      <w:pPr>
        <w:widowControl w:val="0"/>
        <w:spacing w:line="360" w:lineRule="auto"/>
        <w:jc w:val="both"/>
        <w:rPr>
          <w:rFonts w:ascii="宋体" w:eastAsia="宋体" w:hAnsi="宋体" w:cs="宋体"/>
          <w:kern w:val="2"/>
          <w:sz w:val="20"/>
          <w:szCs w:val="20"/>
          <w:lang w:eastAsia="zh-CN"/>
        </w:rPr>
      </w:pPr>
      <w:r>
        <w:rPr>
          <w:rFonts w:ascii="宋体" w:eastAsia="宋体" w:hAnsi="宋体" w:cs="宋体" w:hint="eastAsia"/>
          <w:kern w:val="2"/>
          <w:sz w:val="20"/>
          <w:szCs w:val="20"/>
          <w:lang w:eastAsia="zh-CN"/>
        </w:rPr>
        <w:t>3、投标人的投标报价不得超过预算金额，否则将导致投标无效。</w:t>
      </w:r>
    </w:p>
    <w:p>
      <w:pPr>
        <w:widowControl w:val="0"/>
        <w:tabs>
          <w:tab w:val="left" w:pos="720"/>
        </w:tabs>
        <w:jc w:val="center"/>
        <w:rPr>
          <w:rFonts w:ascii="Calibri" w:eastAsia="宋体" w:hAnsi="Calibri"/>
          <w:b/>
          <w:kern w:val="2"/>
          <w:szCs w:val="22"/>
          <w:lang w:eastAsia="zh-CN"/>
        </w:rPr>
      </w:pPr>
      <w:r>
        <w:rPr>
          <w:rFonts w:ascii="Calibri" w:eastAsia="宋体" w:hAnsi="Calibri" w:hint="eastAsia"/>
          <w:b/>
          <w:kern w:val="2"/>
          <w:szCs w:val="22"/>
          <w:lang w:eastAsia="zh-CN"/>
        </w:rPr>
        <w:t>（二）</w:t>
      </w:r>
      <w:bookmarkStart w:id="45" w:name="_Hlk72073235"/>
      <w:r>
        <w:rPr>
          <w:rFonts w:ascii="Calibri" w:eastAsia="宋体" w:hAnsi="Calibri" w:hint="eastAsia"/>
          <w:b/>
          <w:kern w:val="2"/>
          <w:szCs w:val="22"/>
          <w:lang w:eastAsia="zh-CN"/>
        </w:rPr>
        <w:t>投标人认为需要涉及的其他内容报价清单</w:t>
      </w:r>
      <w:bookmarkEnd w:id="45"/>
    </w:p>
    <w:p>
      <w:pPr>
        <w:widowControl w:val="0"/>
        <w:jc w:val="both"/>
        <w:rPr>
          <w:rFonts w:ascii="Calibri" w:eastAsia="宋体" w:hAnsi="Calibri"/>
          <w:b/>
          <w:bCs/>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黑体" w:eastAsia="黑体" w:hAnsi="宋体" w:hint="eastAsia"/>
          <w:bCs/>
          <w:kern w:val="2"/>
          <w:lang w:eastAsia="zh-CN"/>
        </w:rPr>
      </w:pPr>
      <w:r>
        <w:rPr>
          <w:rFonts w:ascii="黑体" w:eastAsia="黑体" w:hAnsi="宋体" w:hint="eastAsia"/>
          <w:bCs/>
          <w:kern w:val="2"/>
          <w:lang w:eastAsia="zh-CN"/>
        </w:rPr>
        <w:t>五、供应商认证、及资质情况；</w:t>
      </w:r>
    </w:p>
    <w:p>
      <w:pPr>
        <w:widowControl w:val="0"/>
        <w:jc w:val="center"/>
        <w:rPr>
          <w:rFonts w:ascii="黑体" w:eastAsia="黑体" w:hAnsi="宋体" w:hint="eastAsia"/>
          <w:bCs/>
          <w:kern w:val="2"/>
          <w:lang w:eastAsia="zh-CN"/>
        </w:rPr>
      </w:pPr>
      <w:r>
        <w:rPr>
          <w:rFonts w:ascii="黑体" w:eastAsia="黑体" w:hAnsi="宋体" w:hint="eastAsia"/>
          <w:bCs/>
          <w:kern w:val="2"/>
          <w:lang w:eastAsia="zh-CN"/>
        </w:rPr>
        <w:t>六、供应商自主知识产权产品（创新、设计）情况；</w:t>
      </w:r>
    </w:p>
    <w:p>
      <w:pPr>
        <w:widowControl w:val="0"/>
        <w:jc w:val="center"/>
        <w:rPr>
          <w:rFonts w:ascii="黑体" w:eastAsia="黑体" w:hAnsi="宋体" w:hint="eastAsia"/>
          <w:bCs/>
          <w:kern w:val="2"/>
          <w:lang w:eastAsia="zh-CN"/>
        </w:rPr>
      </w:pPr>
      <w:r>
        <w:rPr>
          <w:rFonts w:ascii="黑体" w:eastAsia="黑体" w:hAnsi="宋体" w:hint="eastAsia"/>
          <w:bCs/>
          <w:kern w:val="2"/>
          <w:lang w:eastAsia="zh-CN"/>
        </w:rPr>
        <w:t>七、供应商同类业绩情况；</w:t>
      </w:r>
    </w:p>
    <w:p>
      <w:pPr>
        <w:widowControl w:val="0"/>
        <w:jc w:val="center"/>
        <w:rPr>
          <w:rFonts w:ascii="黑体" w:eastAsia="黑体" w:hAnsi="宋体" w:hint="eastAsia"/>
          <w:bCs/>
          <w:kern w:val="2"/>
          <w:lang w:eastAsia="zh-CN"/>
        </w:rPr>
      </w:pPr>
      <w:r>
        <w:rPr>
          <w:rFonts w:ascii="黑体" w:eastAsia="黑体" w:hAnsi="宋体" w:hint="eastAsia"/>
          <w:bCs/>
          <w:kern w:val="2"/>
          <w:lang w:eastAsia="zh-CN"/>
        </w:rPr>
        <w:t>八、荣誉情况；</w:t>
      </w:r>
    </w:p>
    <w:p>
      <w:pPr>
        <w:widowControl w:val="0"/>
        <w:jc w:val="center"/>
        <w:rPr>
          <w:rFonts w:ascii="黑体" w:eastAsia="黑体" w:hAnsi="宋体" w:hint="eastAsia"/>
          <w:bCs/>
          <w:kern w:val="2"/>
          <w:lang w:eastAsia="zh-CN"/>
        </w:rPr>
      </w:pPr>
      <w:r>
        <w:rPr>
          <w:rFonts w:ascii="黑体" w:eastAsia="黑体" w:hAnsi="宋体" w:hint="eastAsia"/>
          <w:bCs/>
          <w:kern w:val="2"/>
          <w:lang w:eastAsia="zh-CN"/>
        </w:rPr>
        <w:t>九、投标人认为需要加以说明的其他内容</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ind w:firstLine="1440" w:firstLineChars="600"/>
        <w:jc w:val="both"/>
        <w:rPr>
          <w:rFonts w:ascii="Calibri" w:eastAsia="宋体" w:hAnsi="Calibri"/>
          <w:b/>
          <w:color w:val="FF0000"/>
          <w:kern w:val="2"/>
          <w:szCs w:val="22"/>
          <w:lang w:eastAsia="zh-CN"/>
        </w:rPr>
      </w:pPr>
      <w:r>
        <w:rPr>
          <w:rFonts w:ascii="Calibri" w:eastAsia="宋体" w:hAnsi="Calibri" w:hint="eastAsia"/>
          <w:b/>
          <w:color w:val="FF0000"/>
          <w:kern w:val="2"/>
          <w:szCs w:val="22"/>
          <w:lang w:eastAsia="zh-CN"/>
        </w:rPr>
        <w:t>（信息公开部分的内容到此为止！以下为信息不公开部分。）</w:t>
      </w: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both"/>
        <w:rPr>
          <w:rFonts w:ascii="仿宋_GB2312" w:eastAsia="仿宋_GB2312" w:hAnsi="Calibri"/>
          <w:b/>
          <w:kern w:val="2"/>
          <w:sz w:val="30"/>
          <w:szCs w:val="30"/>
          <w:lang w:eastAsia="zh-CN"/>
        </w:rPr>
      </w:pPr>
      <w:r>
        <w:rPr>
          <w:rFonts w:ascii="仿宋_GB2312" w:eastAsia="仿宋_GB2312" w:hAnsi="Calibri" w:hint="eastAsia"/>
          <w:b/>
          <w:kern w:val="2"/>
          <w:sz w:val="30"/>
          <w:szCs w:val="30"/>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投标文件附件（信息不公开部分）</w:t>
      </w:r>
    </w:p>
    <w:p>
      <w:pPr>
        <w:keepNext/>
        <w:keepLines/>
        <w:widowControl w:val="0"/>
        <w:spacing w:before="260" w:after="260" w:line="240" w:lineRule="auto"/>
        <w:jc w:val="center"/>
        <w:outlineLvl w:val="2"/>
        <w:rPr>
          <w:rFonts w:ascii="宋体" w:eastAsia="宋体" w:hAnsi="宋体"/>
          <w:b/>
          <w:bCs/>
          <w:kern w:val="2"/>
          <w:szCs w:val="32"/>
          <w:lang w:eastAsia="zh-CN"/>
        </w:rPr>
      </w:pPr>
      <w:r>
        <w:rPr>
          <w:rFonts w:ascii="黑体" w:eastAsia="黑体" w:hAnsi="宋体" w:hint="eastAsia"/>
          <w:bCs/>
          <w:kern w:val="2"/>
          <w:szCs w:val="32"/>
          <w:lang w:eastAsia="zh-CN"/>
        </w:rPr>
        <w:t>一、</w:t>
      </w:r>
      <w:bookmarkStart w:id="46" w:name="_Hlk72092499"/>
      <w:r>
        <w:rPr>
          <w:rFonts w:ascii="黑体" w:eastAsia="黑体" w:hAnsi="宋体" w:hint="eastAsia"/>
          <w:bCs/>
          <w:kern w:val="2"/>
          <w:szCs w:val="32"/>
          <w:lang w:eastAsia="zh-CN"/>
        </w:rPr>
        <w:t>供应商基本情况表</w:t>
      </w:r>
      <w:bookmarkEnd w:id="46"/>
    </w:p>
    <w:p>
      <w:pPr>
        <w:widowControl w:val="0"/>
        <w:jc w:val="both"/>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填表单位：（加盖单位公章）</w:t>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 xml:space="preserve">            填表日期：    年   月   日</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07"/>
        <w:gridCol w:w="644"/>
        <w:gridCol w:w="1527"/>
        <w:gridCol w:w="908"/>
        <w:gridCol w:w="753"/>
        <w:gridCol w:w="1143"/>
        <w:gridCol w:w="1430"/>
        <w:gridCol w:w="14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10"/>
        </w:trPr>
        <w:tc>
          <w:tcPr>
            <w:tcW w:w="1402" w:type="dxa"/>
            <w:gridSpan w:val="2"/>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采购人</w:t>
            </w:r>
          </w:p>
        </w:tc>
        <w:tc>
          <w:tcPr>
            <w:tcW w:w="2535" w:type="dxa"/>
            <w:gridSpan w:val="2"/>
            <w:vAlign w:val="center"/>
          </w:tcPr>
          <w:p>
            <w:pPr>
              <w:widowControl w:val="0"/>
              <w:jc w:val="center"/>
              <w:rPr>
                <w:rFonts w:ascii="方正仿宋_GBK" w:eastAsia="方正仿宋_GBK" w:hAnsi="方正仿宋_GBK" w:cs="方正仿宋_GBK" w:hint="eastAsia"/>
                <w:kern w:val="2"/>
                <w:lang w:eastAsia="zh-CN"/>
              </w:rPr>
            </w:pPr>
          </w:p>
        </w:tc>
        <w:tc>
          <w:tcPr>
            <w:tcW w:w="1977" w:type="dxa"/>
            <w:gridSpan w:val="2"/>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项目名称</w:t>
            </w:r>
          </w:p>
        </w:tc>
        <w:tc>
          <w:tcPr>
            <w:tcW w:w="2964" w:type="dxa"/>
            <w:gridSpan w:val="2"/>
            <w:vAlign w:val="center"/>
          </w:tcPr>
          <w:p>
            <w:pPr>
              <w:widowControl w:val="0"/>
              <w:jc w:val="center"/>
              <w:rPr>
                <w:rFonts w:ascii="方正仿宋_GBK" w:eastAsia="方正仿宋_GBK" w:hAnsi="方正仿宋_GBK" w:cs="方正仿宋_GBK" w:hint="eastAsia"/>
                <w:kern w:val="2"/>
                <w:lang w:eastAsia="zh-CN"/>
              </w:rPr>
            </w:pPr>
          </w:p>
        </w:tc>
      </w:tr>
      <w:tr>
        <w:tblPrEx>
          <w:tblW w:w="5000" w:type="pct"/>
          <w:tblLayout w:type="fixed"/>
          <w:tblCellMar>
            <w:top w:w="0" w:type="dxa"/>
            <w:left w:w="108" w:type="dxa"/>
            <w:bottom w:w="0" w:type="dxa"/>
            <w:right w:w="108" w:type="dxa"/>
          </w:tblCellMar>
          <w:tblLook w:val="0000"/>
        </w:tblPrEx>
        <w:trPr>
          <w:trHeight w:val="862"/>
        </w:trPr>
        <w:tc>
          <w:tcPr>
            <w:tcW w:w="1402" w:type="dxa"/>
            <w:gridSpan w:val="2"/>
            <w:vAlign w:val="center"/>
          </w:tcPr>
          <w:p>
            <w:pPr>
              <w:widowControl w:val="0"/>
              <w:snapToGrid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投标（响应）供应商</w:t>
            </w:r>
          </w:p>
        </w:tc>
        <w:tc>
          <w:tcPr>
            <w:tcW w:w="2535" w:type="dxa"/>
            <w:gridSpan w:val="2"/>
            <w:vAlign w:val="center"/>
          </w:tcPr>
          <w:p>
            <w:pPr>
              <w:widowControl w:val="0"/>
              <w:jc w:val="center"/>
              <w:rPr>
                <w:rFonts w:ascii="方正仿宋_GBK" w:eastAsia="方正仿宋_GBK" w:hAnsi="方正仿宋_GBK" w:cs="方正仿宋_GBK" w:hint="eastAsia"/>
                <w:kern w:val="2"/>
                <w:lang w:eastAsia="zh-CN"/>
              </w:rPr>
            </w:pPr>
          </w:p>
        </w:tc>
        <w:tc>
          <w:tcPr>
            <w:tcW w:w="1977" w:type="dxa"/>
            <w:gridSpan w:val="2"/>
            <w:vAlign w:val="center"/>
          </w:tcPr>
          <w:p>
            <w:pPr>
              <w:widowControl w:val="0"/>
              <w:snapToGrid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供应商统一社会信用代码</w:t>
            </w:r>
          </w:p>
        </w:tc>
        <w:tc>
          <w:tcPr>
            <w:tcW w:w="2964" w:type="dxa"/>
            <w:gridSpan w:val="2"/>
            <w:vAlign w:val="center"/>
          </w:tcPr>
          <w:p>
            <w:pPr>
              <w:widowControl w:val="0"/>
              <w:jc w:val="center"/>
              <w:rPr>
                <w:rFonts w:ascii="方正仿宋_GBK" w:eastAsia="方正仿宋_GBK" w:hAnsi="方正仿宋_GBK" w:cs="方正仿宋_GBK" w:hint="eastAsia"/>
                <w:kern w:val="2"/>
                <w:lang w:eastAsia="zh-CN"/>
              </w:rPr>
            </w:pPr>
          </w:p>
        </w:tc>
      </w:tr>
      <w:tr>
        <w:tblPrEx>
          <w:tblW w:w="5000" w:type="pct"/>
          <w:tblLayout w:type="fixed"/>
          <w:tblCellMar>
            <w:top w:w="0" w:type="dxa"/>
            <w:left w:w="108" w:type="dxa"/>
            <w:bottom w:w="0" w:type="dxa"/>
            <w:right w:w="108" w:type="dxa"/>
          </w:tblCellMar>
          <w:tblLook w:val="0000"/>
        </w:tblPrEx>
        <w:trPr>
          <w:trHeight w:val="510"/>
        </w:trPr>
        <w:tc>
          <w:tcPr>
            <w:tcW w:w="8878" w:type="dxa"/>
            <w:gridSpan w:val="8"/>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投标（响应）供应商相关人员情况</w:t>
            </w:r>
          </w:p>
        </w:tc>
      </w:tr>
      <w:tr>
        <w:tblPrEx>
          <w:tblW w:w="5000" w:type="pct"/>
          <w:tblLayout w:type="fixed"/>
          <w:tblCellMar>
            <w:top w:w="0" w:type="dxa"/>
            <w:left w:w="108" w:type="dxa"/>
            <w:bottom w:w="0" w:type="dxa"/>
            <w:right w:w="108" w:type="dxa"/>
          </w:tblCellMar>
          <w:tblLook w:val="0000"/>
        </w:tblPrEx>
        <w:trPr>
          <w:trHeight w:val="862"/>
        </w:trPr>
        <w:tc>
          <w:tcPr>
            <w:tcW w:w="730" w:type="dxa"/>
            <w:tcBorders>
              <w:bottom w:val="single" w:sz="4" w:space="0" w:color="auto"/>
            </w:tcBorders>
            <w:vAlign w:val="center"/>
          </w:tcPr>
          <w:p>
            <w:pPr>
              <w:widowControl w:val="0"/>
              <w:snapToGrid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序号</w:t>
            </w:r>
          </w:p>
        </w:tc>
        <w:tc>
          <w:tcPr>
            <w:tcW w:w="2266" w:type="dxa"/>
            <w:gridSpan w:val="2"/>
            <w:tcBorders>
              <w:bottom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职务</w:t>
            </w:r>
          </w:p>
        </w:tc>
        <w:tc>
          <w:tcPr>
            <w:tcW w:w="941" w:type="dxa"/>
            <w:tcBorders>
              <w:bottom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姓名</w:t>
            </w:r>
          </w:p>
        </w:tc>
        <w:tc>
          <w:tcPr>
            <w:tcW w:w="1977" w:type="dxa"/>
            <w:gridSpan w:val="2"/>
            <w:tcBorders>
              <w:bottom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身份证号码</w:t>
            </w:r>
          </w:p>
        </w:tc>
        <w:tc>
          <w:tcPr>
            <w:tcW w:w="1489" w:type="dxa"/>
            <w:tcBorders>
              <w:bottom w:val="single" w:sz="4" w:space="0" w:color="auto"/>
            </w:tcBorders>
            <w:vAlign w:val="center"/>
          </w:tcPr>
          <w:p>
            <w:pPr>
              <w:widowControl w:val="0"/>
              <w:snapToGrid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劳动合同</w:t>
            </w:r>
          </w:p>
          <w:p>
            <w:pPr>
              <w:widowControl w:val="0"/>
              <w:snapToGrid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关系单位</w:t>
            </w:r>
          </w:p>
        </w:tc>
        <w:tc>
          <w:tcPr>
            <w:tcW w:w="1475" w:type="dxa"/>
            <w:tcBorders>
              <w:bottom w:val="single" w:sz="4" w:space="0" w:color="auto"/>
            </w:tcBorders>
            <w:vAlign w:val="center"/>
          </w:tcPr>
          <w:p>
            <w:pPr>
              <w:widowControl w:val="0"/>
              <w:snapToGrid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缴纳社会</w:t>
            </w:r>
          </w:p>
          <w:p>
            <w:pPr>
              <w:widowControl w:val="0"/>
              <w:snapToGrid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保险单位</w:t>
            </w:r>
          </w:p>
        </w:tc>
      </w:tr>
      <w:tr>
        <w:tblPrEx>
          <w:tblW w:w="5000" w:type="pct"/>
          <w:tblLayout w:type="fixed"/>
          <w:tblCellMar>
            <w:top w:w="0" w:type="dxa"/>
            <w:left w:w="108" w:type="dxa"/>
            <w:bottom w:w="0" w:type="dxa"/>
            <w:right w:w="108" w:type="dxa"/>
          </w:tblCellMar>
          <w:tblLook w:val="0000"/>
        </w:tblPrEx>
        <w:trPr>
          <w:trHeight w:val="1153"/>
        </w:trPr>
        <w:tc>
          <w:tcPr>
            <w:tcW w:w="730"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1</w:t>
            </w:r>
          </w:p>
        </w:tc>
        <w:tc>
          <w:tcPr>
            <w:tcW w:w="2266" w:type="dxa"/>
            <w:gridSpan w:val="2"/>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法定代表人/单位负责人/主要经营负责人</w:t>
            </w:r>
          </w:p>
        </w:tc>
        <w:tc>
          <w:tcPr>
            <w:tcW w:w="941"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r>
      <w:tr>
        <w:tblPrEx>
          <w:tblW w:w="5000" w:type="pct"/>
          <w:tblLayout w:type="fixed"/>
          <w:tblCellMar>
            <w:top w:w="0" w:type="dxa"/>
            <w:left w:w="108" w:type="dxa"/>
            <w:bottom w:w="0" w:type="dxa"/>
            <w:right w:w="108" w:type="dxa"/>
          </w:tblCellMar>
          <w:tblLook w:val="0000"/>
        </w:tblPrEx>
        <w:trPr>
          <w:trHeight w:val="510"/>
        </w:trPr>
        <w:tc>
          <w:tcPr>
            <w:tcW w:w="730"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2</w:t>
            </w:r>
          </w:p>
        </w:tc>
        <w:tc>
          <w:tcPr>
            <w:tcW w:w="2266" w:type="dxa"/>
            <w:gridSpan w:val="2"/>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项目投标授权代表人</w:t>
            </w:r>
          </w:p>
        </w:tc>
        <w:tc>
          <w:tcPr>
            <w:tcW w:w="941"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r>
      <w:tr>
        <w:tblPrEx>
          <w:tblW w:w="5000" w:type="pct"/>
          <w:tblLayout w:type="fixed"/>
          <w:tblCellMar>
            <w:top w:w="0" w:type="dxa"/>
            <w:left w:w="108" w:type="dxa"/>
            <w:bottom w:w="0" w:type="dxa"/>
            <w:right w:w="108" w:type="dxa"/>
          </w:tblCellMar>
          <w:tblLook w:val="0000"/>
        </w:tblPrEx>
        <w:trPr>
          <w:trHeight w:val="510"/>
        </w:trPr>
        <w:tc>
          <w:tcPr>
            <w:tcW w:w="730" w:type="dxa"/>
            <w:tcBorders>
              <w:top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3</w:t>
            </w:r>
          </w:p>
        </w:tc>
        <w:tc>
          <w:tcPr>
            <w:tcW w:w="2266" w:type="dxa"/>
            <w:gridSpan w:val="2"/>
            <w:tcBorders>
              <w:top w:val="single" w:sz="4" w:space="0" w:color="auto"/>
            </w:tcBorders>
            <w:vAlign w:val="center"/>
          </w:tcPr>
          <w:p>
            <w:pPr>
              <w:widowControl w:val="0"/>
              <w:jc w:val="center"/>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项目负责人</w:t>
            </w:r>
          </w:p>
        </w:tc>
        <w:tc>
          <w:tcPr>
            <w:tcW w:w="941" w:type="dxa"/>
            <w:tcBorders>
              <w:top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1977" w:type="dxa"/>
            <w:gridSpan w:val="2"/>
            <w:tcBorders>
              <w:top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1489" w:type="dxa"/>
            <w:tcBorders>
              <w:top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1475" w:type="dxa"/>
            <w:tcBorders>
              <w:top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r>
      <w:tr>
        <w:tblPrEx>
          <w:tblW w:w="5000" w:type="pct"/>
          <w:tblLayout w:type="fixed"/>
          <w:tblCellMar>
            <w:top w:w="0" w:type="dxa"/>
            <w:left w:w="108" w:type="dxa"/>
            <w:bottom w:w="0" w:type="dxa"/>
            <w:right w:w="108" w:type="dxa"/>
          </w:tblCellMar>
          <w:tblLook w:val="0000"/>
        </w:tblPrEx>
        <w:trPr>
          <w:trHeight w:val="510"/>
        </w:trPr>
        <w:tc>
          <w:tcPr>
            <w:tcW w:w="730" w:type="dxa"/>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4</w:t>
            </w:r>
          </w:p>
        </w:tc>
        <w:tc>
          <w:tcPr>
            <w:tcW w:w="2266" w:type="dxa"/>
            <w:gridSpan w:val="2"/>
            <w:vAlign w:val="center"/>
          </w:tcPr>
          <w:p>
            <w:pPr>
              <w:widowControl w:val="0"/>
              <w:jc w:val="center"/>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主要技术人员</w:t>
            </w:r>
          </w:p>
        </w:tc>
        <w:tc>
          <w:tcPr>
            <w:tcW w:w="941" w:type="dxa"/>
            <w:vAlign w:val="center"/>
          </w:tcPr>
          <w:p>
            <w:pPr>
              <w:widowControl w:val="0"/>
              <w:jc w:val="center"/>
              <w:rPr>
                <w:rFonts w:ascii="方正仿宋_GBK" w:eastAsia="方正仿宋_GBK" w:hAnsi="方正仿宋_GBK" w:cs="方正仿宋_GBK" w:hint="eastAsia"/>
                <w:kern w:val="2"/>
                <w:lang w:eastAsia="zh-CN"/>
              </w:rPr>
            </w:pPr>
          </w:p>
        </w:tc>
        <w:tc>
          <w:tcPr>
            <w:tcW w:w="1977" w:type="dxa"/>
            <w:gridSpan w:val="2"/>
            <w:vAlign w:val="center"/>
          </w:tcPr>
          <w:p>
            <w:pPr>
              <w:widowControl w:val="0"/>
              <w:jc w:val="center"/>
              <w:rPr>
                <w:rFonts w:ascii="方正仿宋_GBK" w:eastAsia="方正仿宋_GBK" w:hAnsi="方正仿宋_GBK" w:cs="方正仿宋_GBK" w:hint="eastAsia"/>
                <w:kern w:val="2"/>
                <w:lang w:eastAsia="zh-CN"/>
              </w:rPr>
            </w:pPr>
          </w:p>
        </w:tc>
        <w:tc>
          <w:tcPr>
            <w:tcW w:w="1489" w:type="dxa"/>
            <w:vAlign w:val="center"/>
          </w:tcPr>
          <w:p>
            <w:pPr>
              <w:widowControl w:val="0"/>
              <w:jc w:val="center"/>
              <w:rPr>
                <w:rFonts w:ascii="方正仿宋_GBK" w:eastAsia="方正仿宋_GBK" w:hAnsi="方正仿宋_GBK" w:cs="方正仿宋_GBK" w:hint="eastAsia"/>
                <w:kern w:val="2"/>
                <w:lang w:eastAsia="zh-CN"/>
              </w:rPr>
            </w:pPr>
          </w:p>
        </w:tc>
        <w:tc>
          <w:tcPr>
            <w:tcW w:w="1475" w:type="dxa"/>
            <w:vAlign w:val="center"/>
          </w:tcPr>
          <w:p>
            <w:pPr>
              <w:widowControl w:val="0"/>
              <w:jc w:val="center"/>
              <w:rPr>
                <w:rFonts w:ascii="方正仿宋_GBK" w:eastAsia="方正仿宋_GBK" w:hAnsi="方正仿宋_GBK" w:cs="方正仿宋_GBK" w:hint="eastAsia"/>
                <w:kern w:val="2"/>
                <w:lang w:eastAsia="zh-CN"/>
              </w:rPr>
            </w:pPr>
          </w:p>
        </w:tc>
      </w:tr>
      <w:tr>
        <w:tblPrEx>
          <w:tblW w:w="5000" w:type="pct"/>
          <w:tblLayout w:type="fixed"/>
          <w:tblCellMar>
            <w:top w:w="0" w:type="dxa"/>
            <w:left w:w="108" w:type="dxa"/>
            <w:bottom w:w="0" w:type="dxa"/>
            <w:right w:w="108" w:type="dxa"/>
          </w:tblCellMar>
          <w:tblLook w:val="0000"/>
        </w:tblPrEx>
        <w:trPr>
          <w:trHeight w:val="510"/>
        </w:trPr>
        <w:tc>
          <w:tcPr>
            <w:tcW w:w="730" w:type="dxa"/>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5</w:t>
            </w:r>
          </w:p>
        </w:tc>
        <w:tc>
          <w:tcPr>
            <w:tcW w:w="2266" w:type="dxa"/>
            <w:gridSpan w:val="2"/>
            <w:vAlign w:val="center"/>
          </w:tcPr>
          <w:p>
            <w:pPr>
              <w:widowControl w:val="0"/>
              <w:snapToGrid w:val="0"/>
              <w:jc w:val="center"/>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投标文件编制人员</w:t>
            </w:r>
          </w:p>
        </w:tc>
        <w:tc>
          <w:tcPr>
            <w:tcW w:w="941" w:type="dxa"/>
            <w:vAlign w:val="center"/>
          </w:tcPr>
          <w:p>
            <w:pPr>
              <w:widowControl w:val="0"/>
              <w:jc w:val="center"/>
              <w:rPr>
                <w:rFonts w:ascii="方正仿宋_GBK" w:eastAsia="方正仿宋_GBK" w:hAnsi="方正仿宋_GBK" w:cs="方正仿宋_GBK" w:hint="eastAsia"/>
                <w:kern w:val="2"/>
                <w:lang w:eastAsia="zh-CN"/>
              </w:rPr>
            </w:pPr>
          </w:p>
        </w:tc>
        <w:tc>
          <w:tcPr>
            <w:tcW w:w="1977" w:type="dxa"/>
            <w:gridSpan w:val="2"/>
            <w:vAlign w:val="center"/>
          </w:tcPr>
          <w:p>
            <w:pPr>
              <w:widowControl w:val="0"/>
              <w:jc w:val="center"/>
              <w:rPr>
                <w:rFonts w:ascii="方正仿宋_GBK" w:eastAsia="方正仿宋_GBK" w:hAnsi="方正仿宋_GBK" w:cs="方正仿宋_GBK" w:hint="eastAsia"/>
                <w:kern w:val="2"/>
                <w:lang w:eastAsia="zh-CN"/>
              </w:rPr>
            </w:pPr>
          </w:p>
        </w:tc>
        <w:tc>
          <w:tcPr>
            <w:tcW w:w="1489" w:type="dxa"/>
            <w:vAlign w:val="center"/>
          </w:tcPr>
          <w:p>
            <w:pPr>
              <w:widowControl w:val="0"/>
              <w:jc w:val="center"/>
              <w:rPr>
                <w:rFonts w:ascii="方正仿宋_GBK" w:eastAsia="方正仿宋_GBK" w:hAnsi="方正仿宋_GBK" w:cs="方正仿宋_GBK" w:hint="eastAsia"/>
                <w:kern w:val="2"/>
                <w:lang w:eastAsia="zh-CN"/>
              </w:rPr>
            </w:pPr>
          </w:p>
        </w:tc>
        <w:tc>
          <w:tcPr>
            <w:tcW w:w="1475" w:type="dxa"/>
            <w:vAlign w:val="center"/>
          </w:tcPr>
          <w:p>
            <w:pPr>
              <w:widowControl w:val="0"/>
              <w:jc w:val="center"/>
              <w:rPr>
                <w:rFonts w:ascii="方正仿宋_GBK" w:eastAsia="方正仿宋_GBK" w:hAnsi="方正仿宋_GBK" w:cs="方正仿宋_GBK" w:hint="eastAsia"/>
                <w:kern w:val="2"/>
                <w:lang w:eastAsia="zh-CN"/>
              </w:rPr>
            </w:pPr>
          </w:p>
        </w:tc>
      </w:tr>
      <w:tr>
        <w:tblPrEx>
          <w:tblW w:w="5000" w:type="pct"/>
          <w:tblLayout w:type="fixed"/>
          <w:tblCellMar>
            <w:top w:w="0" w:type="dxa"/>
            <w:left w:w="108" w:type="dxa"/>
            <w:bottom w:w="0" w:type="dxa"/>
            <w:right w:w="108" w:type="dxa"/>
          </w:tblCellMar>
          <w:tblLook w:val="0000"/>
        </w:tblPrEx>
        <w:trPr>
          <w:trHeight w:val="510"/>
        </w:trPr>
        <w:tc>
          <w:tcPr>
            <w:tcW w:w="8878" w:type="dxa"/>
            <w:gridSpan w:val="8"/>
            <w:vAlign w:val="center"/>
          </w:tcPr>
          <w:p>
            <w:pPr>
              <w:widowControl w:val="0"/>
              <w:jc w:val="left"/>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说明：同一职务有多人担任（如主要技术人员），应分行填写。</w:t>
            </w:r>
          </w:p>
        </w:tc>
      </w:tr>
      <w:tr>
        <w:tblPrEx>
          <w:tblW w:w="5000" w:type="pct"/>
          <w:tblLayout w:type="fixed"/>
          <w:tblCellMar>
            <w:top w:w="0" w:type="dxa"/>
            <w:left w:w="108" w:type="dxa"/>
            <w:bottom w:w="0" w:type="dxa"/>
            <w:right w:w="108" w:type="dxa"/>
          </w:tblCellMar>
          <w:tblLook w:val="0000"/>
        </w:tblPrEx>
        <w:trPr>
          <w:trHeight w:val="510"/>
        </w:trPr>
        <w:tc>
          <w:tcPr>
            <w:tcW w:w="8878" w:type="dxa"/>
            <w:gridSpan w:val="8"/>
            <w:vAlign w:val="center"/>
          </w:tcPr>
          <w:p>
            <w:pPr>
              <w:widowControl w:val="0"/>
              <w:jc w:val="center"/>
              <w:rPr>
                <w:rFonts w:ascii="方正仿宋_GBK" w:eastAsia="方正仿宋_GBK" w:hAnsi="方正仿宋_GBK" w:cs="方正仿宋_GBK" w:hint="eastAsia"/>
                <w:b/>
                <w:bCs/>
                <w:kern w:val="2"/>
                <w:lang w:eastAsia="zh-CN"/>
              </w:rPr>
            </w:pPr>
            <w:r>
              <w:rPr>
                <w:rFonts w:ascii="方正仿宋_GBK" w:eastAsia="方正仿宋_GBK" w:hAnsi="方正仿宋_GBK" w:cs="方正仿宋_GBK" w:hint="eastAsia"/>
                <w:b/>
                <w:bCs/>
                <w:kern w:val="2"/>
                <w:lang w:eastAsia="zh-CN"/>
              </w:rPr>
              <w:t>投标（响应）供应商关联关系情况</w:t>
            </w:r>
          </w:p>
        </w:tc>
      </w:tr>
      <w:tr>
        <w:tblPrEx>
          <w:tblW w:w="5000" w:type="pct"/>
          <w:tblLayout w:type="fixed"/>
          <w:tblCellMar>
            <w:top w:w="0" w:type="dxa"/>
            <w:left w:w="108" w:type="dxa"/>
            <w:bottom w:w="0" w:type="dxa"/>
            <w:right w:w="108" w:type="dxa"/>
          </w:tblCellMar>
          <w:tblLook w:val="0000"/>
        </w:tblPrEx>
        <w:trPr>
          <w:trHeight w:val="510"/>
        </w:trPr>
        <w:tc>
          <w:tcPr>
            <w:tcW w:w="730" w:type="dxa"/>
            <w:tcBorders>
              <w:bottom w:val="single" w:sz="4" w:space="0" w:color="auto"/>
            </w:tcBorders>
            <w:vAlign w:val="center"/>
          </w:tcPr>
          <w:p>
            <w:pPr>
              <w:widowControl w:val="0"/>
              <w:jc w:val="center"/>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序号</w:t>
            </w:r>
          </w:p>
        </w:tc>
        <w:tc>
          <w:tcPr>
            <w:tcW w:w="2266" w:type="dxa"/>
            <w:gridSpan w:val="2"/>
            <w:tcBorders>
              <w:bottom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关联关系类型</w:t>
            </w:r>
          </w:p>
        </w:tc>
        <w:tc>
          <w:tcPr>
            <w:tcW w:w="1726" w:type="dxa"/>
            <w:gridSpan w:val="2"/>
            <w:tcBorders>
              <w:bottom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关联主体名称</w:t>
            </w:r>
          </w:p>
        </w:tc>
        <w:tc>
          <w:tcPr>
            <w:tcW w:w="4156" w:type="dxa"/>
            <w:gridSpan w:val="3"/>
            <w:tcBorders>
              <w:bottom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备注</w:t>
            </w:r>
          </w:p>
        </w:tc>
      </w:tr>
      <w:tr>
        <w:tblPrEx>
          <w:tblW w:w="5000" w:type="pct"/>
          <w:tblLayout w:type="fixed"/>
          <w:tblCellMar>
            <w:top w:w="0" w:type="dxa"/>
            <w:left w:w="108" w:type="dxa"/>
            <w:bottom w:w="0" w:type="dxa"/>
            <w:right w:w="108" w:type="dxa"/>
          </w:tblCellMar>
          <w:tblLook w:val="0000"/>
        </w:tblPrEx>
        <w:trPr>
          <w:trHeight w:val="1690"/>
        </w:trPr>
        <w:tc>
          <w:tcPr>
            <w:tcW w:w="730"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1</w:t>
            </w:r>
          </w:p>
        </w:tc>
        <w:tc>
          <w:tcPr>
            <w:tcW w:w="2266" w:type="dxa"/>
            <w:gridSpan w:val="2"/>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控股股东</w:t>
            </w:r>
          </w:p>
        </w:tc>
        <w:tc>
          <w:tcPr>
            <w:tcW w:w="1726" w:type="dxa"/>
            <w:gridSpan w:val="2"/>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vAlign w:val="center"/>
          </w:tcPr>
          <w:p>
            <w:pPr>
              <w:widowControl w:val="0"/>
              <w:snapToGrid w:val="0"/>
              <w:jc w:val="left"/>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W w:w="5000" w:type="pct"/>
          <w:tblLayout w:type="fixed"/>
          <w:tblCellMar>
            <w:top w:w="0" w:type="dxa"/>
            <w:left w:w="108" w:type="dxa"/>
            <w:bottom w:w="0" w:type="dxa"/>
            <w:right w:w="108" w:type="dxa"/>
          </w:tblCellMar>
          <w:tblLook w:val="0000"/>
        </w:tblPrEx>
        <w:trPr>
          <w:trHeight w:val="862"/>
        </w:trPr>
        <w:tc>
          <w:tcPr>
            <w:tcW w:w="730"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2</w:t>
            </w:r>
          </w:p>
        </w:tc>
        <w:tc>
          <w:tcPr>
            <w:tcW w:w="2266" w:type="dxa"/>
            <w:gridSpan w:val="2"/>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管理关系</w:t>
            </w:r>
          </w:p>
        </w:tc>
        <w:tc>
          <w:tcPr>
            <w:tcW w:w="1726" w:type="dxa"/>
            <w:gridSpan w:val="2"/>
            <w:tcBorders>
              <w:top w:val="single" w:sz="4" w:space="0" w:color="auto"/>
              <w:left w:val="single" w:sz="4" w:space="0" w:color="auto"/>
              <w:bottom w:val="single" w:sz="4" w:space="0" w:color="auto"/>
              <w:right w:val="single" w:sz="4" w:space="0" w:color="auto"/>
            </w:tcBorders>
            <w:vAlign w:val="center"/>
          </w:tcPr>
          <w:p>
            <w:pPr>
              <w:widowControl w:val="0"/>
              <w:jc w:val="center"/>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vAlign w:val="center"/>
          </w:tcPr>
          <w:p>
            <w:pPr>
              <w:widowControl w:val="0"/>
              <w:snapToGrid w:val="0"/>
              <w:jc w:val="left"/>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指对投标（响应）供应商不具有出资持股关系，但对其存在管理关系的主体。</w:t>
            </w:r>
          </w:p>
        </w:tc>
      </w:tr>
      <w:tr>
        <w:tblPrEx>
          <w:tblW w:w="5000" w:type="pct"/>
          <w:tblLayout w:type="fixed"/>
          <w:tblCellMar>
            <w:top w:w="0" w:type="dxa"/>
            <w:left w:w="108" w:type="dxa"/>
            <w:bottom w:w="0" w:type="dxa"/>
            <w:right w:w="108" w:type="dxa"/>
          </w:tblCellMar>
          <w:tblLook w:val="0000"/>
        </w:tblPrEx>
        <w:trPr>
          <w:trHeight w:val="510"/>
        </w:trPr>
        <w:tc>
          <w:tcPr>
            <w:tcW w:w="8878" w:type="dxa"/>
            <w:gridSpan w:val="8"/>
            <w:tcBorders>
              <w:top w:val="single" w:sz="4" w:space="0" w:color="auto"/>
              <w:left w:val="single" w:sz="4" w:space="0" w:color="auto"/>
              <w:bottom w:val="single" w:sz="4" w:space="0" w:color="auto"/>
              <w:right w:val="single" w:sz="4" w:space="0" w:color="auto"/>
            </w:tcBorders>
            <w:vAlign w:val="center"/>
          </w:tcPr>
          <w:p>
            <w:pPr>
              <w:widowControl w:val="0"/>
              <w:snapToGrid w:val="0"/>
              <w:jc w:val="left"/>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说明：同一关联关系类型有多个主体的，应分行填写。</w:t>
            </w:r>
          </w:p>
        </w:tc>
      </w:tr>
    </w:tbl>
    <w:p>
      <w:pPr>
        <w:widowControl w:val="0"/>
        <w:spacing w:line="360" w:lineRule="auto"/>
        <w:ind w:firstLine="480" w:firstLineChars="200"/>
        <w:jc w:val="both"/>
        <w:rPr>
          <w:rFonts w:ascii="Calibri" w:eastAsia="宋体" w:hAnsi="Calibri" w:hint="eastAsia"/>
          <w:kern w:val="2"/>
          <w:sz w:val="21"/>
          <w:szCs w:val="21"/>
          <w:lang w:eastAsia="zh-Hans"/>
        </w:rPr>
      </w:pPr>
      <w:r>
        <w:rPr>
          <w:rFonts w:ascii="方正仿宋_GBK" w:eastAsia="方正仿宋_GBK" w:hAnsi="方正仿宋_GBK" w:cs="方正仿宋_GBK" w:hint="eastAsia"/>
          <w:b/>
          <w:bCs/>
          <w:kern w:val="2"/>
          <w:lang w:eastAsia="zh-CN"/>
        </w:rPr>
        <w:t>备注：</w:t>
      </w:r>
      <w:r>
        <w:rPr>
          <w:rFonts w:ascii="方正仿宋_GBK" w:eastAsia="方正仿宋_GBK" w:hAnsi="方正仿宋_GBK" w:cs="方正仿宋_GBK" w:hint="eastAsia"/>
          <w:b/>
          <w:bCs/>
          <w:color w:val="0000FF"/>
          <w:kern w:val="2"/>
          <w:lang w:eastAsia="zh-CN"/>
        </w:rPr>
        <w:t>鼓励</w:t>
      </w:r>
      <w:r>
        <w:rPr>
          <w:rFonts w:ascii="方正仿宋_GBK" w:eastAsia="方正仿宋_GBK" w:hAnsi="方正仿宋_GBK" w:cs="方正仿宋_GBK" w:hint="eastAsia"/>
          <w:b/>
          <w:bCs/>
          <w:kern w:val="2"/>
          <w:lang w:eastAsia="zh-CN"/>
        </w:rPr>
        <w:t>投标（响应）供应商在投标（响应）文件中要求投标（响应）供应商提供法定代表人、投标（响应）授权代表人、项目负责人（如有）最近一个月的社保缴纳证明，以及企业股权关系证明。</w:t>
      </w:r>
    </w:p>
    <w:p>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hint="eastAsia"/>
          <w:bCs/>
          <w:kern w:val="2"/>
          <w:szCs w:val="32"/>
          <w:lang w:eastAsia="zh-CN"/>
        </w:rPr>
        <w:t>二、法定代表人（负责人）证明书</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hint="eastAsia"/>
          <w:kern w:val="2"/>
          <w:sz w:val="21"/>
          <w:szCs w:val="21"/>
          <w:u w:val="single"/>
          <w:lang w:eastAsia="zh-CN"/>
        </w:rPr>
        <w:t xml:space="preserve">         </w:t>
      </w:r>
      <w:r>
        <w:rPr>
          <w:rFonts w:eastAsia="宋体" w:hAnsi="Calibri" w:hint="eastAsia"/>
          <w:kern w:val="2"/>
          <w:sz w:val="21"/>
          <w:szCs w:val="21"/>
          <w:u w:val="single"/>
          <w:lang w:eastAsia="zh-CN"/>
        </w:rPr>
        <w:t xml:space="preserve">  </w:t>
      </w:r>
      <w:r>
        <w:rPr>
          <w:rFonts w:ascii="Calibri" w:eastAsia="宋体" w:hAnsi="Calibri" w:hint="eastAsia"/>
          <w:kern w:val="2"/>
          <w:sz w:val="21"/>
          <w:szCs w:val="21"/>
          <w:u w:val="single"/>
          <w:lang w:eastAsia="zh-CN"/>
        </w:rPr>
        <w:t xml:space="preserve">   </w:t>
      </w:r>
      <w:r>
        <w:rPr>
          <w:rFonts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w:t>
      </w:r>
      <w:r>
        <w:rPr>
          <w:rFonts w:eastAsia="宋体" w:hAnsi="Calibri" w:hint="eastAsia"/>
          <w:kern w:val="2"/>
          <w:sz w:val="21"/>
          <w:szCs w:val="21"/>
          <w:lang w:eastAsia="zh-CN"/>
        </w:rPr>
        <w:t>姓名</w:t>
      </w:r>
      <w:r>
        <w:rPr>
          <w:rFonts w:ascii="Calibri" w:eastAsia="宋体" w:hAnsi="Calibri" w:hint="eastAsia"/>
          <w:kern w:val="2"/>
          <w:sz w:val="21"/>
          <w:szCs w:val="21"/>
          <w:lang w:eastAsia="zh-CN"/>
        </w:rPr>
        <w:t>），现任我单位</w:t>
      </w:r>
      <w:r>
        <w:rPr>
          <w:rFonts w:ascii="Calibri" w:eastAsia="宋体" w:hAnsi="Calibri" w:hint="eastAsia"/>
          <w:kern w:val="2"/>
          <w:sz w:val="21"/>
          <w:szCs w:val="21"/>
          <w:u w:val="single"/>
          <w:lang w:eastAsia="zh-CN"/>
        </w:rPr>
        <w:t xml:space="preserve">     </w:t>
      </w:r>
      <w:r>
        <w:rPr>
          <w:rFonts w:eastAsia="宋体" w:hAnsi="Calibri" w:hint="eastAsia"/>
          <w:kern w:val="2"/>
          <w:sz w:val="21"/>
          <w:szCs w:val="21"/>
          <w:u w:val="single"/>
          <w:lang w:eastAsia="zh-CN"/>
        </w:rPr>
        <w:t xml:space="preserve">    </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职务，为法定代表人（负责人），</w:t>
      </w:r>
      <w:r>
        <w:rPr>
          <w:rFonts w:eastAsia="宋体" w:hAnsi="Calibri" w:hint="eastAsia"/>
          <w:kern w:val="2"/>
          <w:sz w:val="21"/>
          <w:szCs w:val="21"/>
          <w:lang w:eastAsia="zh-CN"/>
        </w:rPr>
        <w:t>身份证件</w:t>
      </w:r>
      <w:r>
        <w:rPr>
          <w:rFonts w:ascii="Calibri" w:eastAsia="宋体" w:hAnsi="Calibri" w:hint="eastAsia"/>
          <w:kern w:val="2"/>
          <w:sz w:val="21"/>
          <w:szCs w:val="21"/>
          <w:lang w:eastAsia="zh-CN"/>
        </w:rPr>
        <w:t>号</w:t>
      </w:r>
      <w:r>
        <w:rPr>
          <w:rFonts w:eastAsia="宋体" w:hAnsi="Calibri" w:hint="eastAsia"/>
          <w:kern w:val="2"/>
          <w:sz w:val="21"/>
          <w:szCs w:val="21"/>
          <w:lang w:eastAsia="zh-CN"/>
        </w:rPr>
        <w:t>为</w:t>
      </w:r>
      <w:r>
        <w:rPr>
          <w:rFonts w:ascii="Calibri" w:eastAsia="宋体" w:hAnsi="Calibri" w:hint="eastAsia"/>
          <w:kern w:val="2"/>
          <w:sz w:val="21"/>
          <w:szCs w:val="21"/>
          <w:lang w:eastAsia="zh-CN"/>
        </w:rPr>
        <w:t>：</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，联系电话：</w:t>
      </w:r>
      <w:r>
        <w:rPr>
          <w:rFonts w:eastAsia="宋体" w:hAnsi="Calibri" w:hint="eastAsia"/>
          <w:kern w:val="2"/>
          <w:sz w:val="21"/>
          <w:szCs w:val="21"/>
          <w:u w:val="single"/>
          <w:lang w:eastAsia="zh-CN"/>
        </w:rPr>
        <w:t xml:space="preserve">                </w:t>
      </w:r>
      <w:r>
        <w:rPr>
          <w:rFonts w:eastAsia="宋体" w:hAnsi="Calibr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hint="eastAsia"/>
          <w:kern w:val="2"/>
          <w:sz w:val="21"/>
          <w:szCs w:val="21"/>
          <w:lang w:eastAsia="zh-CN"/>
        </w:rPr>
        <w:t>特此证明。</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说明：1、法定代表人为投标人（企业事业单位、国家机关、社会团体）的主要行政负责人。</w:t>
      </w:r>
    </w:p>
    <w:p>
      <w:pPr>
        <w:widowControl w:val="0"/>
        <w:numPr>
          <w:ilvl w:val="0"/>
          <w:numId w:val="4"/>
        </w:numPr>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Hans"/>
        </w:rPr>
        <w:t>本证明书要供法定代表人（负责人）</w:t>
      </w:r>
      <w:r>
        <w:rPr>
          <w:rFonts w:eastAsia="宋体" w:hAnsi="Calibri"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hint="eastAsia"/>
          <w:kern w:val="2"/>
          <w:sz w:val="21"/>
          <w:szCs w:val="21"/>
          <w:lang w:eastAsia="zh-Hans"/>
        </w:rPr>
        <w:t>本项目投标授权代表为法定代表人（负责人）的，无需提供</w:t>
      </w:r>
      <w:r>
        <w:rPr>
          <w:rFonts w:ascii="Calibri" w:eastAsia="宋体" w:hAnsi="Calibri" w:hint="eastAsia"/>
          <w:kern w:val="2"/>
          <w:sz w:val="21"/>
          <w:szCs w:val="21"/>
          <w:lang w:eastAsia="zh-CN"/>
        </w:rPr>
        <w:t>《投标文件签署授权委托书》</w:t>
      </w:r>
      <w:r>
        <w:rPr>
          <w:rFonts w:ascii="Calibri" w:eastAsia="宋体" w:hAnsi="Calibri" w:hint="eastAsia"/>
          <w:kern w:val="2"/>
          <w:sz w:val="21"/>
          <w:szCs w:val="21"/>
          <w:lang w:eastAsia="zh-Hans"/>
        </w:rPr>
        <w:t>。</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hint="eastAsia"/>
          <w:kern w:val="2"/>
          <w:sz w:val="21"/>
          <w:szCs w:val="21"/>
          <w:lang w:eastAsia="zh-CN"/>
        </w:rPr>
        <w:t>内容必须填写真实、清楚，涂改无效，不得转让、买卖。</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264"/>
        <w:gridCol w:w="42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4264" w:type="dxa"/>
          </w:tcPr>
          <w:p>
            <w:pPr>
              <w:widowControl w:val="0"/>
              <w:jc w:val="center"/>
              <w:rPr>
                <w:rFonts w:ascii="Calibri" w:eastAsia="宋体" w:hAnsi="Calibri" w:hint="eastAsia"/>
                <w:kern w:val="2"/>
                <w:sz w:val="21"/>
                <w:szCs w:val="22"/>
                <w:lang w:eastAsia="zh-CN"/>
              </w:rPr>
            </w:pPr>
            <w:r>
              <w:rPr>
                <w:rFonts w:eastAsia="宋体" w:hAnsi="Calibri" w:hint="eastAsia"/>
                <w:kern w:val="2"/>
                <w:sz w:val="21"/>
                <w:szCs w:val="22"/>
                <w:lang w:eastAsia="zh-CN"/>
              </w:rPr>
              <w:t>证件扫描件正面</w:t>
            </w:r>
          </w:p>
          <w:p>
            <w:pPr>
              <w:widowControl w:val="0"/>
              <w:spacing w:line="360" w:lineRule="auto"/>
              <w:jc w:val="both"/>
              <w:rPr>
                <w:rFonts w:ascii="Calibri" w:eastAsia="宋体" w:hAnsi="Calibri" w:hint="eastAsia"/>
                <w:b/>
                <w:bCs/>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kern w:val="2"/>
                <w:szCs w:val="22"/>
                <w:lang w:eastAsia="zh-CN"/>
              </w:rPr>
            </w:pPr>
          </w:p>
          <w:p>
            <w:pPr>
              <w:widowControl w:val="0"/>
              <w:spacing w:line="360" w:lineRule="auto"/>
              <w:jc w:val="both"/>
              <w:rPr>
                <w:rFonts w:ascii="Calibri" w:eastAsia="宋体" w:hAnsi="Calibri"/>
                <w:kern w:val="2"/>
                <w:szCs w:val="22"/>
                <w:lang w:eastAsia="zh-CN"/>
              </w:rPr>
            </w:pPr>
          </w:p>
        </w:tc>
        <w:tc>
          <w:tcPr>
            <w:tcW w:w="4265" w:type="dxa"/>
          </w:tcPr>
          <w:p>
            <w:pPr>
              <w:widowControl w:val="0"/>
              <w:jc w:val="center"/>
              <w:rPr>
                <w:rFonts w:ascii="Calibri" w:eastAsia="宋体" w:hAnsi="Calibri" w:hint="eastAsia"/>
                <w:kern w:val="2"/>
                <w:sz w:val="21"/>
                <w:szCs w:val="22"/>
                <w:lang w:eastAsia="zh-CN"/>
              </w:rPr>
            </w:pPr>
            <w:r>
              <w:rPr>
                <w:rFonts w:eastAsia="宋体" w:hAnsi="Calibri" w:hint="eastAsia"/>
                <w:kern w:val="2"/>
                <w:sz w:val="21"/>
                <w:szCs w:val="22"/>
                <w:lang w:eastAsia="zh-CN"/>
              </w:rPr>
              <w:t>证件扫描件反面</w:t>
            </w:r>
          </w:p>
          <w:p>
            <w:pPr>
              <w:widowControl w:val="0"/>
              <w:spacing w:line="360" w:lineRule="auto"/>
              <w:jc w:val="center"/>
              <w:rPr>
                <w:rFonts w:ascii="Calibri" w:eastAsia="宋体" w:hAnsi="Calibri" w:hint="eastAsia"/>
                <w:b/>
                <w:bCs/>
                <w:kern w:val="2"/>
                <w:szCs w:val="22"/>
                <w:lang w:eastAsia="zh-CN"/>
              </w:rPr>
            </w:pPr>
          </w:p>
          <w:p>
            <w:pPr>
              <w:widowControl w:val="0"/>
              <w:spacing w:line="360" w:lineRule="auto"/>
              <w:jc w:val="center"/>
              <w:rPr>
                <w:rFonts w:ascii="Calibri" w:eastAsia="宋体" w:hAnsi="Calibri" w:hint="eastAsia"/>
                <w:kern w:val="2"/>
                <w:szCs w:val="22"/>
                <w:lang w:eastAsia="zh-CN"/>
              </w:rPr>
            </w:pPr>
          </w:p>
        </w:tc>
      </w:tr>
    </w:tbl>
    <w:p>
      <w:pPr>
        <w:widowControl w:val="0"/>
        <w:spacing w:line="360" w:lineRule="auto"/>
        <w:ind w:firstLine="480" w:firstLineChars="200"/>
        <w:rPr>
          <w:rFonts w:ascii="黑体" w:eastAsia="黑体" w:hAnsi="黑体" w:cs="黑体" w:hint="eastAsia"/>
          <w:b/>
          <w:bCs/>
          <w:kern w:val="2"/>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hint="eastAsia"/>
          <w:bCs/>
          <w:lang w:eastAsia="zh-CN"/>
        </w:rPr>
        <w:t>三、</w:t>
      </w:r>
      <w:r>
        <w:rPr>
          <w:rFonts w:ascii="黑体" w:eastAsia="黑体" w:hAnsi="宋体" w:hint="eastAsia"/>
          <w:bCs/>
          <w:kern w:val="2"/>
          <w:szCs w:val="32"/>
          <w:lang w:eastAsia="zh-CN"/>
        </w:rPr>
        <w:t>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本授权委托书声明：我</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（姓名）系</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（投标人名称）的法定代表人（负责人），现授权委托</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代理人：</w:t>
      </w:r>
      <w:r>
        <w:rPr>
          <w:rFonts w:ascii="Calibri" w:eastAsia="宋体" w:hAnsi="Calibri" w:hint="eastAsia"/>
          <w:kern w:val="2"/>
          <w:sz w:val="21"/>
          <w:szCs w:val="21"/>
          <w:u w:val="single"/>
          <w:lang w:eastAsia="zh-CN"/>
        </w:rPr>
        <w:t xml:space="preserve">      </w:t>
      </w:r>
      <w:r>
        <w:rPr>
          <w:rFonts w:eastAsia="宋体" w:hAnsi="Calibri" w:hint="eastAsia"/>
          <w:kern w:val="2"/>
          <w:sz w:val="21"/>
          <w:szCs w:val="21"/>
          <w:u w:val="single"/>
          <w:lang w:eastAsia="zh-CN"/>
        </w:rPr>
        <w:t xml:space="preserve">  </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身份</w:t>
      </w:r>
      <w:r>
        <w:rPr>
          <w:rFonts w:eastAsia="宋体" w:hAnsi="Calibri" w:hint="eastAsia"/>
          <w:kern w:val="2"/>
          <w:sz w:val="21"/>
          <w:szCs w:val="21"/>
          <w:lang w:eastAsia="zh-CN"/>
        </w:rPr>
        <w:t>证件号</w:t>
      </w:r>
      <w:r>
        <w:rPr>
          <w:rFonts w:ascii="Calibri" w:eastAsia="宋体" w:hAnsi="Calibri" w:hint="eastAsia"/>
          <w:kern w:val="2"/>
          <w:sz w:val="21"/>
          <w:szCs w:val="21"/>
          <w:lang w:eastAsia="zh-CN"/>
        </w:rPr>
        <w:t>：</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，职务：</w:t>
      </w:r>
      <w:r>
        <w:rPr>
          <w:rFonts w:ascii="Calibri" w:eastAsia="宋体" w:hAnsi="Calibri" w:hint="eastAsia"/>
          <w:kern w:val="2"/>
          <w:sz w:val="21"/>
          <w:szCs w:val="21"/>
          <w:u w:val="single"/>
          <w:lang w:eastAsia="zh-CN"/>
        </w:rPr>
        <w:t xml:space="preserve">   </w:t>
      </w:r>
      <w:r>
        <w:rPr>
          <w:rFonts w:eastAsia="宋体" w:hAnsi="Calibri" w:hint="eastAsia"/>
          <w:kern w:val="2"/>
          <w:sz w:val="21"/>
          <w:szCs w:val="21"/>
          <w:u w:val="single"/>
          <w:lang w:eastAsia="zh-CN"/>
        </w:rPr>
        <w:t xml:space="preserve">         </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hint="eastAsia"/>
          <w:kern w:val="2"/>
          <w:sz w:val="21"/>
          <w:szCs w:val="21"/>
          <w:lang w:eastAsia="zh-CN"/>
        </w:rPr>
        <w:t>联系电话：</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，手机：</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w:t>
      </w:r>
      <w:r>
        <w:rPr>
          <w:rFonts w:eastAsia="宋体" w:hAnsi="Calibri" w:hint="eastAsia"/>
          <w:kern w:val="2"/>
          <w:sz w:val="21"/>
          <w:szCs w:val="21"/>
          <w:lang w:eastAsia="zh-CN"/>
        </w:rPr>
        <w:t>电子邮箱：</w:t>
      </w:r>
      <w:r>
        <w:rPr>
          <w:rFonts w:ascii="Calibri" w:eastAsia="宋体" w:hAnsi="Calibri" w:hint="eastAsia"/>
          <w:kern w:val="2"/>
          <w:sz w:val="21"/>
          <w:szCs w:val="21"/>
          <w:u w:val="single"/>
          <w:lang w:eastAsia="zh-CN"/>
        </w:rPr>
        <w:t xml:space="preserve">            </w:t>
      </w:r>
      <w:r>
        <w:rPr>
          <w:rFonts w:eastAsia="宋体" w:hAnsi="Calibri" w:hint="eastAsia"/>
          <w:kern w:val="2"/>
          <w:sz w:val="21"/>
          <w:szCs w:val="21"/>
          <w:u w:val="single"/>
          <w:lang w:eastAsia="zh-CN"/>
        </w:rPr>
        <w:t xml:space="preserve">  </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授权委托日期：</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年</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 xml:space="preserve">月 </w:t>
      </w:r>
      <w:r>
        <w:rPr>
          <w:rFonts w:ascii="Calibri" w:eastAsia="宋体" w:hAnsi="Calibri" w:hint="eastAsia"/>
          <w:kern w:val="2"/>
          <w:sz w:val="21"/>
          <w:szCs w:val="21"/>
          <w:u w:val="single"/>
          <w:lang w:eastAsia="zh-CN"/>
        </w:rPr>
        <w:t xml:space="preserve">      </w:t>
      </w:r>
      <w:r>
        <w:rPr>
          <w:rFonts w:ascii="Calibri" w:eastAsia="宋体" w:hAnsi="Calibri" w:hint="eastAsia"/>
          <w:kern w:val="2"/>
          <w:sz w:val="21"/>
          <w:szCs w:val="21"/>
          <w:lang w:eastAsia="zh-CN"/>
        </w:rPr>
        <w:t>日。</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264"/>
        <w:gridCol w:w="42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4264" w:type="dxa"/>
          </w:tcPr>
          <w:p>
            <w:pPr>
              <w:widowControl w:val="0"/>
              <w:jc w:val="center"/>
              <w:rPr>
                <w:rFonts w:ascii="Calibri" w:eastAsia="宋体" w:hAnsi="Calibri" w:hint="eastAsia"/>
                <w:kern w:val="2"/>
                <w:sz w:val="21"/>
                <w:szCs w:val="22"/>
                <w:lang w:eastAsia="zh-CN"/>
              </w:rPr>
            </w:pPr>
            <w:r>
              <w:rPr>
                <w:rFonts w:eastAsia="宋体" w:hAnsi="Calibri" w:hint="eastAsia"/>
                <w:kern w:val="2"/>
                <w:sz w:val="21"/>
                <w:szCs w:val="22"/>
                <w:lang w:eastAsia="zh-CN"/>
              </w:rPr>
              <w:t>证件扫描件正面</w:t>
            </w:r>
          </w:p>
          <w:p>
            <w:pPr>
              <w:widowControl w:val="0"/>
              <w:spacing w:line="360" w:lineRule="auto"/>
              <w:jc w:val="both"/>
              <w:rPr>
                <w:rFonts w:ascii="Calibri" w:eastAsia="宋体" w:hAnsi="Calibri" w:hint="eastAsia"/>
                <w:b/>
                <w:bCs/>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kern w:val="2"/>
                <w:szCs w:val="22"/>
                <w:lang w:eastAsia="zh-CN"/>
              </w:rPr>
            </w:pPr>
          </w:p>
          <w:p>
            <w:pPr>
              <w:widowControl w:val="0"/>
              <w:spacing w:line="360" w:lineRule="auto"/>
              <w:jc w:val="both"/>
              <w:rPr>
                <w:rFonts w:ascii="Calibri" w:eastAsia="宋体" w:hAnsi="Calibri"/>
                <w:kern w:val="2"/>
                <w:szCs w:val="22"/>
                <w:lang w:eastAsia="zh-CN"/>
              </w:rPr>
            </w:pPr>
          </w:p>
        </w:tc>
        <w:tc>
          <w:tcPr>
            <w:tcW w:w="4265" w:type="dxa"/>
          </w:tcPr>
          <w:p>
            <w:pPr>
              <w:widowControl w:val="0"/>
              <w:jc w:val="center"/>
              <w:rPr>
                <w:rFonts w:ascii="Calibri" w:eastAsia="宋体" w:hAnsi="Calibri" w:hint="eastAsia"/>
                <w:kern w:val="2"/>
                <w:sz w:val="21"/>
                <w:szCs w:val="22"/>
                <w:lang w:eastAsia="zh-CN"/>
              </w:rPr>
            </w:pPr>
            <w:r>
              <w:rPr>
                <w:rFonts w:eastAsia="宋体" w:hAnsi="Calibri" w:hint="eastAsia"/>
                <w:kern w:val="2"/>
                <w:sz w:val="21"/>
                <w:szCs w:val="22"/>
                <w:lang w:eastAsia="zh-CN"/>
              </w:rPr>
              <w:t>证件扫描件反面</w:t>
            </w:r>
          </w:p>
          <w:p>
            <w:pPr>
              <w:widowControl w:val="0"/>
              <w:spacing w:line="360" w:lineRule="auto"/>
              <w:jc w:val="center"/>
              <w:rPr>
                <w:rFonts w:ascii="Calibri" w:eastAsia="宋体" w:hAnsi="Calibri" w:hint="eastAsia"/>
                <w:b/>
                <w:bCs/>
                <w:kern w:val="2"/>
                <w:szCs w:val="22"/>
                <w:lang w:eastAsia="zh-CN"/>
              </w:rPr>
            </w:pPr>
          </w:p>
          <w:p>
            <w:pPr>
              <w:widowControl w:val="0"/>
              <w:spacing w:line="360" w:lineRule="auto"/>
              <w:jc w:val="center"/>
              <w:rPr>
                <w:rFonts w:ascii="Calibri" w:eastAsia="宋体" w:hAnsi="Calibri" w:hint="eastAsia"/>
                <w:kern w:val="2"/>
                <w:szCs w:val="22"/>
                <w:lang w:eastAsia="zh-CN"/>
              </w:rPr>
            </w:pPr>
          </w:p>
        </w:tc>
      </w:tr>
    </w:tbl>
    <w:p>
      <w:pPr>
        <w:widowControl w:val="0"/>
        <w:spacing w:line="360" w:lineRule="auto"/>
        <w:ind w:firstLine="480" w:firstLineChars="200"/>
        <w:rPr>
          <w:rFonts w:ascii="黑体" w:eastAsia="黑体" w:hAnsi="黑体" w:cs="黑体" w:hint="eastAsia"/>
          <w:b/>
          <w:bCs/>
          <w:kern w:val="2"/>
          <w:lang w:eastAsia="zh-CN"/>
        </w:rPr>
      </w:pPr>
    </w:p>
    <w:p>
      <w:pPr>
        <w:widowControl w:val="0"/>
        <w:ind w:firstLine="480" w:firstLineChars="200"/>
        <w:jc w:val="both"/>
        <w:rPr>
          <w:rFonts w:ascii="Calibri" w:eastAsia="宋体" w:hAnsi="Calibri" w:hint="eastAsia"/>
          <w:b/>
          <w:kern w:val="2"/>
          <w:szCs w:val="22"/>
          <w:lang w:eastAsia="zh-CN"/>
        </w:rPr>
        <w:sectPr>
          <w:pgSz w:w="11907" w:h="16840"/>
          <w:pgMar w:top="1440" w:right="1797" w:bottom="1440" w:left="1797" w:header="851" w:footer="992" w:gutter="0"/>
          <w:cols w:space="708"/>
          <w:titlePg/>
          <w:docGrid w:linePitch="462"/>
        </w:sect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widowControl w:val="0"/>
        <w:snapToGrid w:val="0"/>
        <w:spacing w:before="0" w:after="0"/>
        <w:jc w:val="both"/>
        <w:outlineLvl w:val="9"/>
        <w:rPr>
          <w:rFonts w:ascii="方正小标宋简体" w:eastAsia="方正小标宋简体" w:hAnsi="方正小标宋简体" w:cs="方正小标宋简体" w:hint="eastAsia"/>
          <w:kern w:val="2"/>
          <w:sz w:val="44"/>
          <w:szCs w:val="44"/>
          <w:lang w:eastAsia="zh-CN"/>
        </w:rPr>
      </w:pPr>
    </w:p>
    <w:p>
      <w:pPr>
        <w:widowControl w:val="0"/>
        <w:snapToGrid w:val="0"/>
        <w:spacing w:before="0" w:after="0"/>
        <w:jc w:val="center"/>
        <w:outlineLvl w:val="2"/>
        <w:rPr>
          <w:rFonts w:ascii="Arial" w:eastAsia="宋体" w:hAnsi="Arial" w:cs="Arial"/>
          <w:b/>
          <w:bCs/>
          <w:kern w:val="2"/>
          <w:sz w:val="32"/>
          <w:szCs w:val="32"/>
          <w:lang w:eastAsia="zh-CN"/>
        </w:rPr>
      </w:pPr>
      <w:r>
        <w:rPr>
          <w:rFonts w:ascii="黑体" w:eastAsia="黑体" w:hAnsi="宋体" w:hint="eastAsia"/>
          <w:bCs/>
          <w:lang w:eastAsia="zh-CN"/>
        </w:rPr>
        <w:t>四、</w:t>
      </w:r>
      <w:bookmarkStart w:id="47" w:name="_Hlk72092634"/>
      <w:r>
        <w:rPr>
          <w:rFonts w:ascii="黑体" w:eastAsia="黑体" w:hAnsi="Arial" w:cs="Arial" w:hint="eastAsia"/>
          <w:bCs/>
          <w:lang w:eastAsia="zh-CN"/>
        </w:rPr>
        <w:t>实质性条款响应情况表</w:t>
      </w:r>
      <w:bookmarkEnd w:id="47"/>
    </w:p>
    <w:p>
      <w:pPr>
        <w:widowControl w:val="0"/>
        <w:spacing w:line="360" w:lineRule="auto"/>
        <w:ind w:firstLine="480" w:firstLineChars="200"/>
        <w:rPr>
          <w:rFonts w:ascii="Calibri" w:eastAsia="宋体" w:hAnsi="Calibri"/>
          <w:kern w:val="2"/>
          <w:szCs w:val="22"/>
          <w:lang w:eastAsia="zh-C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31"/>
        <w:gridCol w:w="2894"/>
        <w:gridCol w:w="1520"/>
        <w:gridCol w:w="1912"/>
        <w:gridCol w:w="14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631"/>
        </w:trPr>
        <w:tc>
          <w:tcPr>
            <w:tcW w:w="705" w:type="dxa"/>
            <w:vAlign w:val="center"/>
          </w:tcPr>
          <w:p>
            <w:pPr>
              <w:widowControl w:val="0"/>
              <w:adjustRightInd w:val="0"/>
              <w:snapToGrid w:val="0"/>
              <w:spacing w:line="360" w:lineRule="auto"/>
              <w:jc w:val="center"/>
              <w:rPr>
                <w:rFonts w:ascii="宋体" w:eastAsia="宋体" w:hAnsi="宋体"/>
                <w:sz w:val="21"/>
                <w:szCs w:val="21"/>
                <w:lang w:eastAsia="zh-CN"/>
              </w:rPr>
            </w:pPr>
            <w:bookmarkStart w:id="48" w:name="_Hlk72092651"/>
            <w:r>
              <w:rPr>
                <w:rFonts w:ascii="宋体" w:eastAsia="宋体" w:hAnsi="宋体" w:hint="eastAsia"/>
                <w:sz w:val="21"/>
                <w:szCs w:val="21"/>
                <w:lang w:eastAsia="zh-CN"/>
              </w:rPr>
              <w:t>序号</w:t>
            </w:r>
          </w:p>
        </w:tc>
        <w:tc>
          <w:tcPr>
            <w:tcW w:w="278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c>
          <w:tcPr>
            <w:tcW w:w="1464"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hint="eastAsia"/>
                <w:kern w:val="2"/>
                <w:sz w:val="21"/>
                <w:szCs w:val="22"/>
                <w:lang w:eastAsia="zh-CN"/>
              </w:rPr>
              <w:t>投标响应</w:t>
            </w:r>
          </w:p>
        </w:tc>
        <w:tc>
          <w:tcPr>
            <w:tcW w:w="1842"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hint="eastAsia"/>
                <w:kern w:val="2"/>
                <w:sz w:val="21"/>
                <w:szCs w:val="22"/>
                <w:lang w:eastAsia="zh-CN"/>
              </w:rPr>
              <w:t>偏离情况</w:t>
            </w:r>
          </w:p>
        </w:tc>
        <w:tc>
          <w:tcPr>
            <w:tcW w:w="141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hint="eastAsia"/>
                <w:kern w:val="2"/>
                <w:sz w:val="21"/>
                <w:szCs w:val="22"/>
                <w:lang w:eastAsia="zh-CN"/>
              </w:rPr>
              <w:t>说明</w:t>
            </w:r>
          </w:p>
        </w:tc>
      </w:tr>
      <w:bookmarkEnd w:id="48"/>
      <w:tr>
        <w:tblPrEx>
          <w:tblW w:w="5000" w:type="pct"/>
          <w:tblLayout w:type="fixed"/>
          <w:tblCellMar>
            <w:top w:w="0" w:type="dxa"/>
            <w:left w:w="108" w:type="dxa"/>
            <w:bottom w:w="0" w:type="dxa"/>
            <w:right w:w="108" w:type="dxa"/>
          </w:tblCellMar>
          <w:tblLook w:val="0000"/>
        </w:tblPrEx>
        <w:tc>
          <w:tcPr>
            <w:tcW w:w="705" w:type="dxa"/>
          </w:tcPr>
          <w:p>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1</w:t>
            </w:r>
          </w:p>
        </w:tc>
        <w:tc>
          <w:tcPr>
            <w:tcW w:w="2788" w:type="dxa"/>
            <w:vAlign w:val="center"/>
          </w:tcPr>
          <w:p>
            <w:pPr>
              <w:widowControl w:val="0"/>
              <w:adjustRightInd w:val="0"/>
              <w:snapToGrid w:val="0"/>
              <w:spacing w:line="360" w:lineRule="auto"/>
              <w:jc w:val="center"/>
              <w:rPr>
                <w:rFonts w:ascii="Calibri" w:eastAsia="宋体" w:hAnsi="宋体"/>
                <w:sz w:val="21"/>
                <w:szCs w:val="21"/>
                <w:lang w:eastAsia="zh-CN"/>
              </w:rPr>
            </w:pPr>
            <w:r>
              <w:rPr>
                <w:rFonts w:ascii="Calibri" w:eastAsia="宋体" w:hAnsi="宋体" w:hint="eastAsia"/>
                <w:color w:val="FF0000"/>
                <w:sz w:val="21"/>
                <w:szCs w:val="21"/>
                <w:lang w:eastAsia="zh-CN"/>
              </w:rPr>
              <w:t>满足本项目标</w:t>
            </w:r>
            <w:r>
              <w:rPr>
                <w:rFonts w:ascii="Calibri" w:eastAsia="宋体" w:hAnsi="宋体" w:hint="eastAsia"/>
                <w:color w:val="FF0000"/>
                <w:sz w:val="21"/>
                <w:szCs w:val="21"/>
                <w:lang w:eastAsia="zh-CN"/>
              </w:rPr>
              <w:t>★</w:t>
            </w:r>
            <w:r>
              <w:rPr>
                <w:rFonts w:ascii="Calibri" w:eastAsia="宋体" w:hAnsi="宋体" w:hint="eastAsia"/>
                <w:color w:val="FF0000"/>
                <w:sz w:val="21"/>
                <w:szCs w:val="21"/>
                <w:lang w:eastAsia="zh-CN"/>
              </w:rPr>
              <w:t>的条款要求</w:t>
            </w:r>
          </w:p>
        </w:tc>
        <w:tc>
          <w:tcPr>
            <w:tcW w:w="1464" w:type="dxa"/>
          </w:tcPr>
          <w:p>
            <w:pPr>
              <w:widowControl w:val="0"/>
              <w:adjustRightInd w:val="0"/>
              <w:snapToGrid w:val="0"/>
              <w:spacing w:line="360" w:lineRule="auto"/>
              <w:jc w:val="both"/>
              <w:rPr>
                <w:rFonts w:ascii="宋体" w:eastAsia="宋体" w:hAnsi="宋体"/>
                <w:sz w:val="21"/>
                <w:szCs w:val="21"/>
                <w:lang w:eastAsia="zh-CN"/>
              </w:rPr>
            </w:pPr>
          </w:p>
        </w:tc>
        <w:tc>
          <w:tcPr>
            <w:tcW w:w="1842" w:type="dxa"/>
          </w:tcPr>
          <w:p>
            <w:pPr>
              <w:widowControl w:val="0"/>
              <w:adjustRightInd w:val="0"/>
              <w:snapToGrid w:val="0"/>
              <w:spacing w:line="360" w:lineRule="auto"/>
              <w:jc w:val="both"/>
              <w:rPr>
                <w:rFonts w:ascii="宋体" w:eastAsia="宋体" w:hAnsi="宋体"/>
                <w:sz w:val="21"/>
                <w:szCs w:val="21"/>
                <w:lang w:eastAsia="zh-CN"/>
              </w:rPr>
            </w:pPr>
          </w:p>
        </w:tc>
        <w:tc>
          <w:tcPr>
            <w:tcW w:w="1418" w:type="dxa"/>
          </w:tcPr>
          <w:p>
            <w:pPr>
              <w:widowControl w:val="0"/>
              <w:adjustRightInd w:val="0"/>
              <w:snapToGrid w:val="0"/>
              <w:spacing w:line="360" w:lineRule="auto"/>
              <w:jc w:val="both"/>
              <w:rPr>
                <w:rFonts w:ascii="宋体" w:eastAsia="宋体" w:hAnsi="宋体"/>
                <w:sz w:val="21"/>
                <w:szCs w:val="21"/>
                <w:lang w:eastAsia="zh-CN"/>
              </w:rPr>
            </w:pPr>
          </w:p>
        </w:tc>
      </w:tr>
    </w:tbl>
    <w:p>
      <w:pPr>
        <w:widowControl w:val="0"/>
        <w:ind w:firstLine="480" w:firstLineChars="200"/>
        <w:jc w:val="both"/>
        <w:rPr>
          <w:rFonts w:ascii="Calibri" w:eastAsia="宋体" w:hAnsi="Calibri"/>
          <w:b/>
          <w:kern w:val="2"/>
          <w:szCs w:val="22"/>
          <w:lang w:eastAsia="zh-CN"/>
        </w:rPr>
      </w:pPr>
      <w:r>
        <w:rPr>
          <w:rFonts w:ascii="Calibri" w:eastAsia="宋体" w:hAnsi="Calibri" w:hint="eastAsia"/>
          <w:b/>
          <w:kern w:val="2"/>
          <w:szCs w:val="22"/>
          <w:lang w:eastAsia="zh-CN"/>
        </w:rPr>
        <w:t>注：1.上表所列各项均为不可负偏离条款。</w:t>
      </w:r>
    </w:p>
    <w:p>
      <w:pPr>
        <w:widowControl w:val="0"/>
        <w:ind w:firstLine="480" w:firstLineChars="200"/>
        <w:jc w:val="both"/>
        <w:rPr>
          <w:rFonts w:ascii="Calibri" w:eastAsia="宋体" w:hAnsi="Calibri"/>
          <w:b/>
          <w:kern w:val="2"/>
          <w:szCs w:val="22"/>
          <w:lang w:eastAsia="zh-CN"/>
        </w:rPr>
      </w:pPr>
      <w:r>
        <w:rPr>
          <w:rFonts w:ascii="Calibri" w:eastAsia="宋体" w:hAnsi="Calibri" w:hint="eastAsia"/>
          <w:b/>
          <w:kern w:val="2"/>
          <w:szCs w:val="22"/>
          <w:lang w:eastAsia="zh-CN"/>
        </w:rPr>
        <w:t>2.</w:t>
      </w:r>
      <w:r>
        <w:rPr>
          <w:rFonts w:ascii="Calibri" w:eastAsia="宋体" w:hAnsi="Calibri" w:hint="eastAsia"/>
          <w:b/>
          <w:kern w:val="2"/>
          <w:szCs w:val="22"/>
          <w:lang w:eastAsia="zh-CN"/>
        </w:rPr>
        <w:t>“</w:t>
      </w:r>
      <w:r>
        <w:rPr>
          <w:rFonts w:ascii="Calibri" w:eastAsia="宋体" w:hAnsi="Calibri" w:hint="eastAsia"/>
          <w:b/>
          <w:kern w:val="2"/>
          <w:szCs w:val="22"/>
          <w:lang w:eastAsia="zh-CN"/>
        </w:rPr>
        <w:t>投标响应</w:t>
      </w:r>
      <w:r>
        <w:rPr>
          <w:rFonts w:ascii="Calibri" w:eastAsia="宋体" w:hAnsi="Calibri" w:hint="eastAsia"/>
          <w:b/>
          <w:kern w:val="2"/>
          <w:szCs w:val="22"/>
          <w:lang w:eastAsia="zh-CN"/>
        </w:rPr>
        <w:t>”</w:t>
      </w:r>
      <w:r>
        <w:rPr>
          <w:rFonts w:ascii="Calibri" w:eastAsia="宋体" w:hAnsi="Calibri" w:hint="eastAsia"/>
          <w:b/>
          <w:kern w:val="2"/>
          <w:szCs w:val="22"/>
          <w:lang w:eastAsia="zh-CN"/>
        </w:rPr>
        <w:t>一栏应当详细填写投标人自身响应情况，而不能不合理照搬照抄招实质性条款具体内容。</w:t>
      </w:r>
    </w:p>
    <w:p>
      <w:pPr>
        <w:widowControl w:val="0"/>
        <w:ind w:firstLine="480" w:firstLineChars="200"/>
        <w:jc w:val="both"/>
        <w:rPr>
          <w:rFonts w:ascii="Calibri" w:eastAsia="宋体" w:hAnsi="Calibri"/>
          <w:b/>
          <w:kern w:val="2"/>
          <w:szCs w:val="22"/>
          <w:lang w:eastAsia="zh-CN"/>
        </w:rPr>
      </w:pPr>
      <w:r>
        <w:rPr>
          <w:rFonts w:ascii="Calibri" w:eastAsia="宋体" w:hAnsi="Calibri" w:hint="eastAsia"/>
          <w:b/>
          <w:kern w:val="2"/>
          <w:szCs w:val="22"/>
          <w:lang w:eastAsia="zh-CN"/>
        </w:rPr>
        <w:t>3</w:t>
      </w:r>
      <w:r>
        <w:rPr>
          <w:rFonts w:ascii="Calibri" w:eastAsia="宋体" w:hAnsi="Calibri"/>
          <w:b/>
          <w:kern w:val="2"/>
          <w:szCs w:val="22"/>
          <w:lang w:eastAsia="zh-CN"/>
        </w:rPr>
        <w:t>.</w:t>
      </w:r>
      <w:r>
        <w:rPr>
          <w:rFonts w:ascii="Calibri" w:eastAsia="宋体" w:hAnsi="Calibri" w:hint="eastAsia"/>
          <w:b/>
          <w:kern w:val="2"/>
          <w:szCs w:val="22"/>
          <w:lang w:eastAsia="zh-CN"/>
        </w:rPr>
        <w:t>“</w:t>
      </w:r>
      <w:r>
        <w:rPr>
          <w:rFonts w:ascii="Calibri" w:eastAsia="宋体" w:hAnsi="Calibri" w:hint="eastAsia"/>
          <w:b/>
          <w:kern w:val="2"/>
          <w:szCs w:val="22"/>
          <w:lang w:eastAsia="zh-CN"/>
        </w:rPr>
        <w:t>偏离情况</w:t>
      </w:r>
      <w:r>
        <w:rPr>
          <w:rFonts w:ascii="Calibri" w:eastAsia="宋体" w:hAnsi="Calibri" w:hint="eastAsia"/>
          <w:b/>
          <w:kern w:val="2"/>
          <w:szCs w:val="22"/>
          <w:lang w:eastAsia="zh-CN"/>
        </w:rPr>
        <w:t>”</w:t>
      </w:r>
      <w:r>
        <w:rPr>
          <w:rFonts w:ascii="Calibri" w:eastAsia="宋体" w:hAnsi="Calibri" w:hint="eastAsia"/>
          <w:b/>
          <w:kern w:val="2"/>
          <w:szCs w:val="22"/>
          <w:lang w:eastAsia="zh-CN"/>
        </w:rPr>
        <w:t>一栏应填写</w:t>
      </w:r>
      <w:r>
        <w:rPr>
          <w:rFonts w:ascii="Calibri" w:eastAsia="宋体" w:hAnsi="Calibri" w:hint="eastAsia"/>
          <w:b/>
          <w:kern w:val="2"/>
          <w:szCs w:val="22"/>
          <w:lang w:eastAsia="zh-CN"/>
        </w:rPr>
        <w:t>“</w:t>
      </w:r>
      <w:r>
        <w:rPr>
          <w:rFonts w:ascii="Calibri" w:eastAsia="宋体" w:hAnsi="Calibri" w:hint="eastAsia"/>
          <w:b/>
          <w:kern w:val="2"/>
          <w:szCs w:val="22"/>
          <w:lang w:eastAsia="zh-CN"/>
        </w:rPr>
        <w:t>正偏离</w:t>
      </w:r>
      <w:r>
        <w:rPr>
          <w:rFonts w:ascii="Calibri" w:eastAsia="宋体" w:hAnsi="Calibri" w:hint="eastAsia"/>
          <w:b/>
          <w:kern w:val="2"/>
          <w:szCs w:val="22"/>
          <w:lang w:eastAsia="zh-CN"/>
        </w:rPr>
        <w:t>”</w:t>
      </w:r>
      <w:r>
        <w:rPr>
          <w:rFonts w:ascii="Calibri" w:eastAsia="宋体" w:hAnsi="Calibri" w:hint="eastAsia"/>
          <w:b/>
          <w:kern w:val="2"/>
          <w:szCs w:val="22"/>
          <w:lang w:eastAsia="zh-CN"/>
        </w:rPr>
        <w:t>、</w:t>
      </w:r>
      <w:r>
        <w:rPr>
          <w:rFonts w:ascii="Calibri" w:eastAsia="宋体" w:hAnsi="Calibri" w:hint="eastAsia"/>
          <w:b/>
          <w:kern w:val="2"/>
          <w:szCs w:val="22"/>
          <w:lang w:eastAsia="zh-CN"/>
        </w:rPr>
        <w:t>“</w:t>
      </w:r>
      <w:r>
        <w:rPr>
          <w:rFonts w:ascii="Calibri" w:eastAsia="宋体" w:hAnsi="Calibri" w:hint="eastAsia"/>
          <w:b/>
          <w:kern w:val="2"/>
          <w:szCs w:val="22"/>
          <w:lang w:eastAsia="zh-CN"/>
        </w:rPr>
        <w:t>负偏离</w:t>
      </w:r>
      <w:r>
        <w:rPr>
          <w:rFonts w:ascii="Calibri" w:eastAsia="宋体" w:hAnsi="Calibri" w:hint="eastAsia"/>
          <w:b/>
          <w:kern w:val="2"/>
          <w:szCs w:val="22"/>
          <w:lang w:eastAsia="zh-CN"/>
        </w:rPr>
        <w:t>”</w:t>
      </w:r>
      <w:r>
        <w:rPr>
          <w:rFonts w:ascii="Calibri" w:eastAsia="宋体" w:hAnsi="Calibri" w:hint="eastAsia"/>
          <w:b/>
          <w:kern w:val="2"/>
          <w:szCs w:val="22"/>
          <w:lang w:eastAsia="zh-CN"/>
        </w:rPr>
        <w:t>或</w:t>
      </w:r>
      <w:r>
        <w:rPr>
          <w:rFonts w:ascii="Calibri" w:eastAsia="宋体" w:hAnsi="Calibri" w:hint="eastAsia"/>
          <w:b/>
          <w:kern w:val="2"/>
          <w:szCs w:val="22"/>
          <w:lang w:eastAsia="zh-CN"/>
        </w:rPr>
        <w:t>“</w:t>
      </w:r>
      <w:r>
        <w:rPr>
          <w:rFonts w:ascii="Calibri" w:eastAsia="宋体" w:hAnsi="Calibri" w:hint="eastAsia"/>
          <w:b/>
          <w:kern w:val="2"/>
          <w:szCs w:val="22"/>
          <w:lang w:eastAsia="zh-CN"/>
        </w:rPr>
        <w:t>无偏离</w:t>
      </w:r>
      <w:r>
        <w:rPr>
          <w:rFonts w:ascii="Calibri" w:eastAsia="宋体" w:hAnsi="Calibri" w:hint="eastAsia"/>
          <w:b/>
          <w:kern w:val="2"/>
          <w:szCs w:val="22"/>
          <w:lang w:eastAsia="zh-CN"/>
        </w:rPr>
        <w:t>”</w:t>
      </w:r>
      <w:r>
        <w:rPr>
          <w:rFonts w:ascii="Calibri" w:eastAsia="宋体" w:hAnsi="Calibri" w:hint="eastAsia"/>
          <w:b/>
          <w:kern w:val="2"/>
          <w:szCs w:val="22"/>
          <w:lang w:eastAsia="zh-CN"/>
        </w:rPr>
        <w:t>，</w:t>
      </w:r>
      <w:r>
        <w:rPr>
          <w:rFonts w:ascii="Calibri" w:eastAsia="宋体" w:hAnsi="Calibri" w:hint="eastAsia"/>
          <w:b/>
          <w:kern w:val="2"/>
          <w:szCs w:val="22"/>
          <w:lang w:eastAsia="zh-CN"/>
        </w:rPr>
        <w:t>“</w:t>
      </w:r>
      <w:r>
        <w:rPr>
          <w:rFonts w:ascii="Calibri" w:eastAsia="宋体" w:hAnsi="Calibri" w:hint="eastAsia"/>
          <w:b/>
          <w:kern w:val="2"/>
          <w:szCs w:val="22"/>
          <w:lang w:eastAsia="zh-CN"/>
        </w:rPr>
        <w:t>正偏离</w:t>
      </w:r>
      <w:r>
        <w:rPr>
          <w:rFonts w:ascii="Calibri" w:eastAsia="宋体" w:hAnsi="Calibri" w:hint="eastAsia"/>
          <w:b/>
          <w:kern w:val="2"/>
          <w:szCs w:val="22"/>
          <w:lang w:eastAsia="zh-CN"/>
        </w:rPr>
        <w:t>”</w:t>
      </w:r>
      <w:r>
        <w:rPr>
          <w:rFonts w:ascii="Calibri" w:eastAsia="宋体" w:hAnsi="Calibri" w:hint="eastAsia"/>
          <w:b/>
          <w:kern w:val="2"/>
          <w:szCs w:val="22"/>
          <w:lang w:eastAsia="zh-CN"/>
        </w:rPr>
        <w:t>表示</w:t>
      </w:r>
      <w:r>
        <w:rPr>
          <w:rFonts w:ascii="Calibri" w:eastAsia="宋体" w:hAnsi="Calibri" w:hint="eastAsia"/>
          <w:b/>
          <w:kern w:val="2"/>
          <w:szCs w:val="22"/>
          <w:lang w:eastAsia="zh-CN"/>
        </w:rPr>
        <w:t>“</w:t>
      </w:r>
      <w:r>
        <w:rPr>
          <w:rFonts w:ascii="Calibri" w:eastAsia="宋体" w:hAnsi="Calibri" w:hint="eastAsia"/>
          <w:b/>
          <w:kern w:val="2"/>
          <w:szCs w:val="22"/>
          <w:lang w:eastAsia="zh-CN"/>
        </w:rPr>
        <w:t>投标响应优于实质性条款具体内容要求</w:t>
      </w:r>
      <w:r>
        <w:rPr>
          <w:rFonts w:ascii="Calibri" w:eastAsia="宋体" w:hAnsi="Calibri" w:hint="eastAsia"/>
          <w:b/>
          <w:kern w:val="2"/>
          <w:szCs w:val="22"/>
          <w:lang w:eastAsia="zh-CN"/>
        </w:rPr>
        <w:t>”</w:t>
      </w:r>
      <w:r>
        <w:rPr>
          <w:rFonts w:ascii="Calibri" w:eastAsia="宋体" w:hAnsi="Calibri" w:hint="eastAsia"/>
          <w:b/>
          <w:kern w:val="2"/>
          <w:szCs w:val="22"/>
          <w:lang w:eastAsia="zh-CN"/>
        </w:rPr>
        <w:t>，</w:t>
      </w:r>
      <w:r>
        <w:rPr>
          <w:rFonts w:ascii="Calibri" w:eastAsia="宋体" w:hAnsi="Calibri" w:hint="eastAsia"/>
          <w:b/>
          <w:kern w:val="2"/>
          <w:szCs w:val="22"/>
          <w:lang w:eastAsia="zh-CN"/>
        </w:rPr>
        <w:t>“</w:t>
      </w:r>
      <w:r>
        <w:rPr>
          <w:rFonts w:ascii="Calibri" w:eastAsia="宋体" w:hAnsi="Calibri" w:hint="eastAsia"/>
          <w:b/>
          <w:kern w:val="2"/>
          <w:szCs w:val="22"/>
          <w:lang w:eastAsia="zh-CN"/>
        </w:rPr>
        <w:t>负偏离</w:t>
      </w:r>
      <w:r>
        <w:rPr>
          <w:rFonts w:ascii="Calibri" w:eastAsia="宋体" w:hAnsi="Calibri" w:hint="eastAsia"/>
          <w:b/>
          <w:kern w:val="2"/>
          <w:szCs w:val="22"/>
          <w:lang w:eastAsia="zh-CN"/>
        </w:rPr>
        <w:t>”</w:t>
      </w:r>
      <w:r>
        <w:rPr>
          <w:rFonts w:ascii="Calibri" w:eastAsia="宋体" w:hAnsi="Calibri" w:hint="eastAsia"/>
          <w:b/>
          <w:kern w:val="2"/>
          <w:szCs w:val="22"/>
          <w:lang w:eastAsia="zh-CN"/>
        </w:rPr>
        <w:t>表示</w:t>
      </w:r>
      <w:r>
        <w:rPr>
          <w:rFonts w:ascii="Calibri" w:eastAsia="宋体" w:hAnsi="Calibri" w:hint="eastAsia"/>
          <w:b/>
          <w:kern w:val="2"/>
          <w:szCs w:val="22"/>
          <w:lang w:eastAsia="zh-CN"/>
        </w:rPr>
        <w:t>“</w:t>
      </w:r>
      <w:r>
        <w:rPr>
          <w:rFonts w:ascii="Calibri" w:eastAsia="宋体" w:hAnsi="Calibri" w:hint="eastAsia"/>
          <w:b/>
          <w:kern w:val="2"/>
          <w:szCs w:val="22"/>
          <w:lang w:eastAsia="zh-CN"/>
        </w:rPr>
        <w:t>投标响应不满足实质性条款具体内容要求</w:t>
      </w:r>
      <w:r>
        <w:rPr>
          <w:rFonts w:ascii="Calibri" w:eastAsia="宋体" w:hAnsi="Calibri" w:hint="eastAsia"/>
          <w:b/>
          <w:kern w:val="2"/>
          <w:szCs w:val="22"/>
          <w:lang w:eastAsia="zh-CN"/>
        </w:rPr>
        <w:t>”</w:t>
      </w:r>
      <w:r>
        <w:rPr>
          <w:rFonts w:ascii="Calibri" w:eastAsia="宋体" w:hAnsi="Calibri" w:hint="eastAsia"/>
          <w:b/>
          <w:kern w:val="2"/>
          <w:szCs w:val="22"/>
          <w:lang w:eastAsia="zh-CN"/>
        </w:rPr>
        <w:t>，</w:t>
      </w:r>
      <w:r>
        <w:rPr>
          <w:rFonts w:ascii="Calibri" w:eastAsia="宋体" w:hAnsi="Calibri" w:hint="eastAsia"/>
          <w:b/>
          <w:kern w:val="2"/>
          <w:szCs w:val="22"/>
          <w:lang w:eastAsia="zh-CN"/>
        </w:rPr>
        <w:t>“</w:t>
      </w:r>
      <w:r>
        <w:rPr>
          <w:rFonts w:ascii="Calibri" w:eastAsia="宋体" w:hAnsi="Calibri" w:hint="eastAsia"/>
          <w:b/>
          <w:kern w:val="2"/>
          <w:szCs w:val="22"/>
          <w:lang w:eastAsia="zh-CN"/>
        </w:rPr>
        <w:t>无偏离</w:t>
      </w:r>
      <w:r>
        <w:rPr>
          <w:rFonts w:ascii="Calibri" w:eastAsia="宋体" w:hAnsi="Calibri" w:hint="eastAsia"/>
          <w:b/>
          <w:kern w:val="2"/>
          <w:szCs w:val="22"/>
          <w:lang w:eastAsia="zh-CN"/>
        </w:rPr>
        <w:t>”</w:t>
      </w:r>
      <w:r>
        <w:rPr>
          <w:rFonts w:ascii="Calibri" w:eastAsia="宋体" w:hAnsi="Calibri" w:hint="eastAsia"/>
          <w:b/>
          <w:kern w:val="2"/>
          <w:szCs w:val="22"/>
          <w:lang w:eastAsia="zh-CN"/>
        </w:rPr>
        <w:t>表示</w:t>
      </w:r>
      <w:r>
        <w:rPr>
          <w:rFonts w:ascii="Calibri" w:eastAsia="宋体" w:hAnsi="Calibri" w:hint="eastAsia"/>
          <w:b/>
          <w:kern w:val="2"/>
          <w:szCs w:val="22"/>
          <w:lang w:eastAsia="zh-CN"/>
        </w:rPr>
        <w:t>“</w:t>
      </w:r>
      <w:r>
        <w:rPr>
          <w:rFonts w:ascii="Calibri" w:eastAsia="宋体" w:hAnsi="Calibri" w:hint="eastAsia"/>
          <w:b/>
          <w:kern w:val="2"/>
          <w:szCs w:val="22"/>
          <w:lang w:eastAsia="zh-CN"/>
        </w:rPr>
        <w:t>投标响应与实质性条款具体内容要求一致</w:t>
      </w:r>
      <w:r>
        <w:rPr>
          <w:rFonts w:ascii="Calibri" w:eastAsia="宋体" w:hAnsi="Calibri" w:hint="eastAsia"/>
          <w:b/>
          <w:kern w:val="2"/>
          <w:szCs w:val="22"/>
          <w:lang w:eastAsia="zh-CN"/>
        </w:rPr>
        <w:t>”</w:t>
      </w:r>
      <w:r>
        <w:rPr>
          <w:rFonts w:ascii="Calibri" w:eastAsia="宋体" w:hAnsi="Calibri" w:hint="eastAsia"/>
          <w:b/>
          <w:kern w:val="2"/>
          <w:szCs w:val="22"/>
          <w:lang w:eastAsia="zh-CN"/>
        </w:rPr>
        <w:t>。</w:t>
      </w:r>
    </w:p>
    <w:p>
      <w:pPr>
        <w:widowControl w:val="0"/>
        <w:ind w:firstLine="480" w:firstLineChars="200"/>
        <w:jc w:val="both"/>
        <w:rPr>
          <w:rFonts w:ascii="Calibri" w:eastAsia="宋体" w:hAnsi="Calibri"/>
          <w:b/>
          <w:kern w:val="2"/>
          <w:szCs w:val="22"/>
          <w:lang w:eastAsia="zh-CN"/>
        </w:rPr>
      </w:pPr>
      <w:r>
        <w:rPr>
          <w:rFonts w:ascii="Calibri" w:eastAsia="宋体" w:hAnsi="Calibri"/>
          <w:b/>
          <w:kern w:val="2"/>
          <w:szCs w:val="22"/>
          <w:lang w:eastAsia="zh-CN"/>
        </w:rPr>
        <w:t>4.</w:t>
      </w:r>
      <w:r>
        <w:rPr>
          <w:rFonts w:ascii="Calibri" w:eastAsia="宋体" w:hAnsi="Calibri" w:hint="eastAsia"/>
          <w:b/>
          <w:kern w:val="2"/>
          <w:szCs w:val="22"/>
          <w:lang w:eastAsia="zh-CN"/>
        </w:rPr>
        <w:t>评审委员会有权对投标响应情况作出判断（作出评审结论）。</w:t>
      </w:r>
    </w:p>
    <w:p>
      <w:pPr>
        <w:widowControl w:val="0"/>
        <w:ind w:firstLine="480" w:firstLineChars="200"/>
        <w:jc w:val="both"/>
        <w:rPr>
          <w:rFonts w:ascii="Calibri" w:eastAsia="宋体" w:hAnsi="Calibri"/>
          <w:b/>
          <w:kern w:val="2"/>
          <w:szCs w:val="22"/>
          <w:lang w:eastAsia="zh-CN"/>
        </w:rPr>
      </w:pPr>
      <w:r>
        <w:rPr>
          <w:rFonts w:ascii="Calibri" w:eastAsia="宋体" w:hAnsi="Calibri"/>
          <w:b/>
          <w:kern w:val="2"/>
          <w:szCs w:val="22"/>
          <w:lang w:eastAsia="zh-CN"/>
        </w:rPr>
        <w:t>5</w:t>
      </w:r>
      <w:r>
        <w:rPr>
          <w:rFonts w:ascii="Calibri" w:eastAsia="宋体" w:hAnsi="Calibri" w:hint="eastAsia"/>
          <w:b/>
          <w:kern w:val="2"/>
          <w:szCs w:val="22"/>
          <w:lang w:eastAsia="zh-CN"/>
        </w:rPr>
        <w:t>.实质性响应条款</w:t>
      </w:r>
      <w:r>
        <w:rPr>
          <w:rFonts w:ascii="Calibri" w:eastAsia="宋体" w:hAnsi="Calibri" w:hint="eastAsia"/>
          <w:b/>
          <w:kern w:val="2"/>
          <w:szCs w:val="22"/>
          <w:lang w:eastAsia="zh-CN"/>
        </w:rPr>
        <w:t>“</w:t>
      </w:r>
      <w:r>
        <w:rPr>
          <w:rFonts w:ascii="Calibri" w:eastAsia="宋体" w:hAnsi="Calibri" w:hint="eastAsia"/>
          <w:b/>
          <w:kern w:val="2"/>
          <w:szCs w:val="22"/>
          <w:lang w:eastAsia="zh-CN"/>
        </w:rPr>
        <w:t>投标响应情况</w:t>
      </w:r>
      <w:r>
        <w:rPr>
          <w:rFonts w:ascii="Calibri" w:eastAsia="宋体" w:hAnsi="Calibri" w:hint="eastAsia"/>
          <w:b/>
          <w:kern w:val="2"/>
          <w:szCs w:val="22"/>
          <w:lang w:eastAsia="zh-CN"/>
        </w:rPr>
        <w:t>”</w:t>
      </w:r>
      <w:r>
        <w:rPr>
          <w:rFonts w:ascii="Calibri" w:eastAsia="宋体" w:hAnsi="Calibri" w:hint="eastAsia"/>
          <w:b/>
          <w:kern w:val="2"/>
          <w:szCs w:val="22"/>
          <w:lang w:eastAsia="zh-CN"/>
        </w:rPr>
        <w:t>与投标文件其它内容冲突的，以实质性响应条款</w:t>
      </w:r>
      <w:r>
        <w:rPr>
          <w:rFonts w:ascii="Calibri" w:eastAsia="宋体" w:hAnsi="Calibri" w:hint="eastAsia"/>
          <w:b/>
          <w:kern w:val="2"/>
          <w:szCs w:val="22"/>
          <w:lang w:eastAsia="zh-CN"/>
        </w:rPr>
        <w:t>“</w:t>
      </w:r>
      <w:r>
        <w:rPr>
          <w:rFonts w:ascii="Calibri" w:eastAsia="宋体" w:hAnsi="Calibri" w:hint="eastAsia"/>
          <w:b/>
          <w:kern w:val="2"/>
          <w:szCs w:val="22"/>
          <w:lang w:eastAsia="zh-CN"/>
        </w:rPr>
        <w:t>投标响应情况</w:t>
      </w:r>
      <w:r>
        <w:rPr>
          <w:rFonts w:ascii="Calibri" w:eastAsia="宋体" w:hAnsi="Calibri" w:hint="eastAsia"/>
          <w:b/>
          <w:kern w:val="2"/>
          <w:szCs w:val="22"/>
          <w:lang w:eastAsia="zh-CN"/>
        </w:rPr>
        <w:t>”</w:t>
      </w:r>
      <w:r>
        <w:rPr>
          <w:rFonts w:ascii="Calibri" w:eastAsia="宋体" w:hAnsi="Calibri" w:hint="eastAsia"/>
          <w:b/>
          <w:kern w:val="2"/>
          <w:szCs w:val="22"/>
          <w:lang w:eastAsia="zh-CN"/>
        </w:rPr>
        <w:t>为准。</w:t>
      </w:r>
    </w:p>
    <w:p>
      <w:pPr>
        <w:widowControl w:val="0"/>
        <w:ind w:firstLine="480" w:firstLineChars="200"/>
        <w:jc w:val="both"/>
        <w:rPr>
          <w:rFonts w:ascii="Calibri" w:eastAsia="宋体" w:hAnsi="Calibri"/>
          <w:b/>
          <w:kern w:val="2"/>
          <w:szCs w:val="22"/>
          <w:lang w:eastAsia="zh-CN"/>
        </w:rPr>
      </w:pPr>
      <w:r>
        <w:rPr>
          <w:rFonts w:ascii="Calibri" w:eastAsia="宋体" w:hAnsi="Calibri" w:hint="eastAsia"/>
          <w:b/>
          <w:kern w:val="2"/>
          <w:szCs w:val="22"/>
          <w:lang w:eastAsia="zh-CN"/>
        </w:rPr>
        <w:t>6.要求提供证明资料，在</w:t>
      </w:r>
      <w:r>
        <w:rPr>
          <w:rFonts w:ascii="Calibri" w:eastAsia="宋体" w:hAnsi="Calibri" w:hint="eastAsia"/>
          <w:b/>
          <w:kern w:val="2"/>
          <w:szCs w:val="22"/>
          <w:lang w:eastAsia="zh-CN"/>
        </w:rPr>
        <w:t>“</w:t>
      </w:r>
      <w:r>
        <w:rPr>
          <w:rFonts w:ascii="Calibri" w:eastAsia="宋体" w:hAnsi="Calibri" w:hint="eastAsia"/>
          <w:b/>
          <w:kern w:val="2"/>
          <w:szCs w:val="22"/>
          <w:lang w:eastAsia="zh-CN"/>
        </w:rPr>
        <w:t>说明</w:t>
      </w:r>
      <w:r>
        <w:rPr>
          <w:rFonts w:ascii="Calibri" w:eastAsia="宋体" w:hAnsi="Calibri" w:hint="eastAsia"/>
          <w:b/>
          <w:kern w:val="2"/>
          <w:szCs w:val="22"/>
          <w:lang w:eastAsia="zh-CN"/>
        </w:rPr>
        <w:t>”</w:t>
      </w:r>
      <w:r>
        <w:rPr>
          <w:rFonts w:ascii="Calibri" w:eastAsia="宋体" w:hAnsi="Calibri" w:hint="eastAsia"/>
          <w:b/>
          <w:kern w:val="2"/>
          <w:szCs w:val="22"/>
          <w:lang w:eastAsia="zh-CN"/>
        </w:rPr>
        <w:t>一栏中列明证明资料的位置,以便评审；未要求提供证明材料的，投标人可以不提供。</w:t>
      </w:r>
    </w:p>
    <w:p>
      <w:pPr>
        <w:widowControl w:val="0"/>
        <w:spacing w:line="360" w:lineRule="auto"/>
        <w:ind w:firstLine="480" w:firstLineChars="200"/>
        <w:rPr>
          <w:rFonts w:ascii="Calibri" w:eastAsia="宋体" w:hAnsi="Calibri"/>
          <w:kern w:val="2"/>
          <w:szCs w:val="22"/>
          <w:lang w:eastAsia="zh-CN"/>
        </w:rPr>
        <w:sectPr>
          <w:pgSz w:w="11907" w:h="16840"/>
          <w:pgMar w:top="1440" w:right="1797" w:bottom="1440" w:left="1797" w:header="851" w:footer="992" w:gutter="0"/>
          <w:cols w:space="708"/>
          <w:titlePg/>
          <w:docGrid w:linePitch="462"/>
        </w:sect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五、</w:t>
      </w:r>
      <w:bookmarkStart w:id="49" w:name="_Hlk72062872"/>
      <w:r>
        <w:rPr>
          <w:rFonts w:ascii="黑体" w:eastAsia="黑体" w:hAnsi="宋体" w:hint="eastAsia"/>
          <w:bCs/>
          <w:lang w:eastAsia="zh-CN"/>
        </w:rPr>
        <w:t>实施方案；</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六、项目完成（服务期满）后的服务承诺；</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七、违约承诺；</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八、项目负责人（仅限1人）情况</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九、拟投入项目团队成员（项目负责人除外）情况</w:t>
      </w:r>
    </w:p>
    <w:p>
      <w:pPr>
        <w:keepNext/>
        <w:keepLines/>
        <w:widowControl w:val="0"/>
        <w:spacing w:before="260" w:after="260" w:line="240" w:lineRule="auto"/>
        <w:jc w:val="center"/>
        <w:outlineLvl w:val="2"/>
        <w:rPr>
          <w:rFonts w:ascii="黑体" w:eastAsia="黑体" w:hAnsi="宋体"/>
          <w:kern w:val="2"/>
          <w:szCs w:val="20"/>
          <w:lang w:eastAsia="zh-CN"/>
        </w:rPr>
      </w:pPr>
      <w:r>
        <w:rPr>
          <w:rFonts w:ascii="黑体" w:eastAsia="黑体" w:hAnsi="宋体" w:hint="eastAsia"/>
          <w:bCs/>
          <w:lang w:eastAsia="zh-CN"/>
        </w:rPr>
        <w:t>十、投标人认为需要加以说明的其他内容；</w:t>
      </w:r>
      <w:bookmarkEnd w:id="49"/>
    </w:p>
    <w:p>
      <w:pPr>
        <w:widowControl/>
        <w:jc w:val="center"/>
        <w:rPr>
          <w:rFonts w:ascii="黑体" w:eastAsia="黑体" w:hAnsi="宋体" w:hint="eastAsia"/>
          <w:szCs w:val="20"/>
          <w:lang w:eastAsia="zh-CN"/>
        </w:rPr>
      </w:pPr>
      <w:r>
        <w:rPr>
          <w:rFonts w:ascii="黑体" w:eastAsia="黑体" w:hAnsi="宋体" w:hint="eastAsia"/>
          <w:szCs w:val="20"/>
          <w:lang w:eastAsia="zh-CN"/>
        </w:rPr>
        <w:t>（一）</w:t>
      </w:r>
      <w:r>
        <w:rPr>
          <w:rFonts w:ascii="黑体" w:eastAsia="黑体" w:hAnsi="宋体" w:hint="eastAsia"/>
          <w:szCs w:val="20"/>
          <w:highlight w:val="yellow"/>
          <w:lang w:eastAsia="zh-CN"/>
        </w:rPr>
        <w:t>政府采购（自行采购）违法行为风险知悉确认书</w:t>
      </w:r>
    </w:p>
    <w:p>
      <w:pPr>
        <w:widowControl/>
        <w:jc w:val="center"/>
        <w:rPr>
          <w:rFonts w:ascii="黑体" w:eastAsia="黑体" w:hAnsi="宋体"/>
          <w:szCs w:val="20"/>
          <w:lang w:eastAsia="zh-CN"/>
        </w:rPr>
      </w:pPr>
    </w:p>
    <w:p>
      <w:pPr>
        <w:widowControl w:val="0"/>
        <w:ind w:firstLine="480" w:firstLineChars="200"/>
        <w:jc w:val="both"/>
        <w:rPr>
          <w:rFonts w:ascii="Calibri" w:eastAsia="宋体" w:hAnsi="Calibri"/>
          <w:kern w:val="2"/>
          <w:sz w:val="21"/>
          <w:szCs w:val="22"/>
          <w:lang w:eastAsia="zh-CN"/>
        </w:rPr>
      </w:pPr>
      <w:r>
        <w:rPr>
          <w:rFonts w:ascii="Calibri" w:eastAsia="宋体" w:hAnsi="Calibri" w:hint="eastAsia"/>
          <w:b/>
          <w:bCs/>
          <w:kern w:val="2"/>
          <w:szCs w:val="22"/>
          <w:lang w:eastAsia="zh-CN"/>
        </w:rPr>
        <w:t>我</w:t>
      </w:r>
      <w:r>
        <w:rPr>
          <w:rFonts w:ascii="Calibri" w:eastAsia="宋体" w:hAnsi="Calibri" w:hint="eastAsia"/>
          <w:b/>
          <w:bCs/>
          <w:kern w:val="2"/>
          <w:lang w:eastAsia="zh-CN"/>
        </w:rPr>
        <w:t>单位</w:t>
      </w:r>
      <w:r>
        <w:rPr>
          <w:rFonts w:ascii="Calibri" w:eastAsia="宋体" w:hAnsi="Calibri" w:hint="eastAsia"/>
          <w:b/>
          <w:bCs/>
          <w:kern w:val="2"/>
          <w:szCs w:val="22"/>
          <w:lang w:eastAsia="zh-CN"/>
        </w:rPr>
        <w:t>在投标前已充分知悉以下情形为参与政府采购（自行采购）活动时的重大风险事项，并承诺已对下述风险提示事项重点排查，若存在下述情况，我单位愿意依法承担被记入供应商诚信档案、罚款、取消参与政府采购（自行采购）资格、吊销营业执照等处罚；构成犯罪的，依法承担刑事责任。</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12"/>
        <w:gridCol w:w="78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51"/>
        </w:trPr>
        <w:tc>
          <w:tcPr>
            <w:tcW w:w="711" w:type="dxa"/>
          </w:tcPr>
          <w:p>
            <w:pPr>
              <w:widowControl w:val="0"/>
              <w:spacing w:line="400" w:lineRule="exact"/>
              <w:jc w:val="center"/>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序号</w:t>
            </w:r>
          </w:p>
        </w:tc>
        <w:tc>
          <w:tcPr>
            <w:tcW w:w="7811" w:type="dxa"/>
          </w:tcPr>
          <w:p>
            <w:pPr>
              <w:widowControl w:val="0"/>
              <w:spacing w:line="400" w:lineRule="exact"/>
              <w:jc w:val="center"/>
              <w:rPr>
                <w:rFonts w:ascii="仿宋_GB2312" w:eastAsia="仿宋_GB2312" w:hAnsi="仿宋_GB2312" w:cs="仿宋_GB2312" w:hint="eastAsia"/>
                <w:kern w:val="2"/>
                <w:lang w:eastAsia="zh-CN"/>
              </w:rPr>
            </w:pPr>
            <w:r>
              <w:rPr>
                <w:rFonts w:ascii="仿宋_GB2312" w:eastAsia="仿宋_GB2312" w:hAnsi="仿宋_GB2312" w:cs="仿宋_GB2312" w:hint="eastAsia"/>
                <w:b/>
                <w:bCs/>
                <w:kern w:val="2"/>
                <w:lang w:eastAsia="zh-CN"/>
              </w:rPr>
              <w:t>供应商参与投标禁止情形</w:t>
            </w:r>
          </w:p>
        </w:tc>
      </w:tr>
      <w:tr>
        <w:tblPrEx>
          <w:tblW w:w="5000" w:type="pct"/>
          <w:tblLayout w:type="fixed"/>
          <w:tblCellMar>
            <w:top w:w="0" w:type="dxa"/>
            <w:left w:w="108" w:type="dxa"/>
            <w:bottom w:w="0" w:type="dxa"/>
            <w:right w:w="108" w:type="dxa"/>
          </w:tblCellMar>
          <w:tblLook w:val="0000"/>
        </w:tblPrEx>
        <w:tc>
          <w:tcPr>
            <w:tcW w:w="711" w:type="dxa"/>
          </w:tcPr>
          <w:p>
            <w:pPr>
              <w:widowControl w:val="0"/>
              <w:spacing w:line="400" w:lineRule="exact"/>
              <w:jc w:val="center"/>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p>
        </w:tc>
        <w:tc>
          <w:tcPr>
            <w:tcW w:w="7811" w:type="dxa"/>
            <w:vAlign w:val="center"/>
          </w:tcPr>
          <w:p>
            <w:pPr>
              <w:widowControl w:val="0"/>
              <w:spacing w:line="400" w:lineRule="exact"/>
              <w:jc w:val="left"/>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与其他投标供应商的法定代表人、主要经营负责人、投标授权代表人、项目负责人、主要技术人员为</w:t>
            </w:r>
            <w:r>
              <w:rPr>
                <w:rFonts w:ascii="仿宋_GB2312" w:eastAsia="仿宋_GB2312" w:hAnsi="仿宋_GB2312" w:cs="仿宋_GB2312" w:hint="eastAsia"/>
                <w:b/>
                <w:bCs/>
                <w:kern w:val="2"/>
                <w:lang w:eastAsia="zh-CN"/>
              </w:rPr>
              <w:t>同一人、属同一单位或者在同一单位缴纳社会保险</w:t>
            </w:r>
            <w:r>
              <w:rPr>
                <w:rFonts w:ascii="仿宋_GB2312" w:eastAsia="仿宋_GB2312" w:hAnsi="仿宋_GB2312" w:cs="仿宋_GB2312" w:hint="eastAsia"/>
                <w:kern w:val="2"/>
                <w:lang w:eastAsia="zh-CN"/>
              </w:rPr>
              <w:t>。</w:t>
            </w:r>
          </w:p>
        </w:tc>
      </w:tr>
      <w:tr>
        <w:tblPrEx>
          <w:tblW w:w="5000" w:type="pct"/>
          <w:tblLayout w:type="fixed"/>
          <w:tblCellMar>
            <w:top w:w="0" w:type="dxa"/>
            <w:left w:w="108" w:type="dxa"/>
            <w:bottom w:w="0" w:type="dxa"/>
            <w:right w:w="108" w:type="dxa"/>
          </w:tblCellMar>
          <w:tblLook w:val="0000"/>
        </w:tblPrEx>
        <w:trPr>
          <w:trHeight w:val="90"/>
        </w:trPr>
        <w:tc>
          <w:tcPr>
            <w:tcW w:w="711" w:type="dxa"/>
          </w:tcPr>
          <w:p>
            <w:pPr>
              <w:widowControl w:val="0"/>
              <w:spacing w:line="400" w:lineRule="exact"/>
              <w:jc w:val="center"/>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w:t>
            </w:r>
          </w:p>
        </w:tc>
        <w:tc>
          <w:tcPr>
            <w:tcW w:w="7811" w:type="dxa"/>
            <w:vAlign w:val="center"/>
          </w:tcPr>
          <w:p>
            <w:pPr>
              <w:widowControl w:val="0"/>
              <w:spacing w:line="400" w:lineRule="exact"/>
              <w:jc w:val="left"/>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参与本项目政府采购（自行采购）活动时，与其他投标供应商存在单位负责人为</w:t>
            </w:r>
            <w:r>
              <w:rPr>
                <w:rFonts w:ascii="仿宋_GB2312" w:eastAsia="仿宋_GB2312" w:hAnsi="仿宋_GB2312" w:cs="仿宋_GB2312" w:hint="eastAsia"/>
                <w:b/>
                <w:bCs/>
                <w:kern w:val="2"/>
                <w:lang w:eastAsia="zh-CN"/>
              </w:rPr>
              <w:t>同一人或直接控股、管理关系</w:t>
            </w:r>
            <w:r>
              <w:rPr>
                <w:rFonts w:ascii="仿宋_GB2312" w:eastAsia="仿宋_GB2312" w:hAnsi="仿宋_GB2312" w:cs="仿宋_GB2312" w:hint="eastAsia"/>
                <w:kern w:val="2"/>
                <w:lang w:eastAsia="zh-CN"/>
              </w:rPr>
              <w:t>。</w:t>
            </w:r>
          </w:p>
        </w:tc>
      </w:tr>
      <w:tr>
        <w:tblPrEx>
          <w:tblW w:w="5000" w:type="pct"/>
          <w:tblLayout w:type="fixed"/>
          <w:tblCellMar>
            <w:top w:w="0" w:type="dxa"/>
            <w:left w:w="108" w:type="dxa"/>
            <w:bottom w:w="0" w:type="dxa"/>
            <w:right w:w="108" w:type="dxa"/>
          </w:tblCellMar>
          <w:tblLook w:val="0000"/>
        </w:tblPrEx>
        <w:tc>
          <w:tcPr>
            <w:tcW w:w="711" w:type="dxa"/>
          </w:tcPr>
          <w:p>
            <w:pPr>
              <w:widowControl w:val="0"/>
              <w:spacing w:line="400" w:lineRule="exact"/>
              <w:jc w:val="center"/>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w:t>
            </w:r>
          </w:p>
        </w:tc>
        <w:tc>
          <w:tcPr>
            <w:tcW w:w="7811" w:type="dxa"/>
            <w:vAlign w:val="center"/>
          </w:tcPr>
          <w:p>
            <w:pPr>
              <w:widowControl w:val="0"/>
              <w:spacing w:line="400" w:lineRule="exact"/>
              <w:jc w:val="left"/>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与其他投标供应商的投标文件或部分投标文件</w:t>
            </w:r>
            <w:r>
              <w:rPr>
                <w:rFonts w:ascii="仿宋_GB2312" w:eastAsia="仿宋_GB2312" w:hAnsi="仿宋_GB2312" w:cs="仿宋_GB2312" w:hint="eastAsia"/>
                <w:b/>
                <w:bCs/>
                <w:kern w:val="2"/>
                <w:lang w:eastAsia="zh-CN"/>
              </w:rPr>
              <w:t>相互混装或存在非正常一致</w:t>
            </w:r>
            <w:r>
              <w:rPr>
                <w:rFonts w:ascii="仿宋_GB2312" w:eastAsia="仿宋_GB2312" w:hAnsi="仿宋_GB2312" w:cs="仿宋_GB2312" w:hint="eastAsia"/>
                <w:kern w:val="2"/>
                <w:lang w:eastAsia="zh-CN"/>
              </w:rPr>
              <w:t>。</w:t>
            </w:r>
          </w:p>
        </w:tc>
      </w:tr>
      <w:tr>
        <w:tblPrEx>
          <w:tblW w:w="5000" w:type="pct"/>
          <w:tblLayout w:type="fixed"/>
          <w:tblCellMar>
            <w:top w:w="0" w:type="dxa"/>
            <w:left w:w="108" w:type="dxa"/>
            <w:bottom w:w="0" w:type="dxa"/>
            <w:right w:w="108" w:type="dxa"/>
          </w:tblCellMar>
          <w:tblLook w:val="0000"/>
        </w:tblPrEx>
        <w:tc>
          <w:tcPr>
            <w:tcW w:w="711" w:type="dxa"/>
          </w:tcPr>
          <w:p>
            <w:pPr>
              <w:widowControl w:val="0"/>
              <w:spacing w:line="400" w:lineRule="exact"/>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4</w:t>
            </w:r>
          </w:p>
        </w:tc>
        <w:tc>
          <w:tcPr>
            <w:tcW w:w="7811" w:type="dxa"/>
            <w:vAlign w:val="center"/>
          </w:tcPr>
          <w:p>
            <w:pPr>
              <w:widowControl w:val="0"/>
              <w:spacing w:line="400" w:lineRule="exact"/>
              <w:jc w:val="left"/>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与其他投标供应商的投标文件由</w:t>
            </w:r>
            <w:r>
              <w:rPr>
                <w:rFonts w:ascii="仿宋_GB2312" w:eastAsia="仿宋_GB2312" w:hAnsi="仿宋_GB2312" w:cs="仿宋_GB2312" w:hint="eastAsia"/>
                <w:b/>
                <w:bCs/>
                <w:kern w:val="2"/>
                <w:lang w:eastAsia="zh-CN"/>
              </w:rPr>
              <w:t>同一单位或者同一人编制</w:t>
            </w:r>
            <w:r>
              <w:rPr>
                <w:rFonts w:ascii="仿宋_GB2312" w:eastAsia="仿宋_GB2312" w:hAnsi="仿宋_GB2312" w:cs="仿宋_GB2312" w:hint="eastAsia"/>
                <w:kern w:val="2"/>
                <w:lang w:eastAsia="zh-CN"/>
              </w:rPr>
              <w:t>，或者使用</w:t>
            </w:r>
            <w:r>
              <w:rPr>
                <w:rFonts w:ascii="仿宋_GB2312" w:eastAsia="仿宋_GB2312" w:hAnsi="仿宋_GB2312" w:cs="仿宋_GB2312" w:hint="eastAsia"/>
                <w:b/>
                <w:bCs/>
                <w:kern w:val="2"/>
                <w:lang w:eastAsia="zh-CN"/>
              </w:rPr>
              <w:t>同一设备编制</w:t>
            </w:r>
            <w:r>
              <w:rPr>
                <w:rFonts w:ascii="仿宋_GB2312" w:eastAsia="仿宋_GB2312" w:hAnsi="仿宋_GB2312" w:cs="仿宋_GB2312" w:hint="eastAsia"/>
                <w:kern w:val="2"/>
                <w:lang w:eastAsia="zh-CN"/>
              </w:rPr>
              <w:t>（</w:t>
            </w:r>
            <w:r>
              <w:rPr>
                <w:rFonts w:ascii="仿宋_GB2312" w:eastAsia="仿宋_GB2312" w:hAnsi="仿宋_GB2312" w:cs="仿宋_GB2312" w:hint="eastAsia"/>
                <w:kern w:val="2"/>
                <w:lang w:eastAsia="zh-CN"/>
              </w:rPr>
              <w:t>“</w:t>
            </w:r>
            <w:r>
              <w:rPr>
                <w:rFonts w:ascii="仿宋_GB2312" w:eastAsia="仿宋_GB2312" w:hAnsi="仿宋_GB2312" w:cs="仿宋_GB2312" w:hint="eastAsia"/>
                <w:kern w:val="2"/>
                <w:lang w:eastAsia="zh-CN"/>
              </w:rPr>
              <w:t>文件制作机器码</w:t>
            </w:r>
            <w:r>
              <w:rPr>
                <w:rFonts w:ascii="仿宋_GB2312" w:eastAsia="仿宋_GB2312" w:hAnsi="仿宋_GB2312" w:cs="仿宋_GB2312" w:hint="eastAsia"/>
                <w:kern w:val="2"/>
                <w:lang w:eastAsia="zh-CN"/>
              </w:rPr>
              <w:t>”“</w:t>
            </w:r>
            <w:r>
              <w:rPr>
                <w:rFonts w:ascii="仿宋_GB2312" w:eastAsia="仿宋_GB2312" w:hAnsi="仿宋_GB2312" w:cs="仿宋_GB2312" w:hint="eastAsia"/>
                <w:kern w:val="2"/>
                <w:lang w:eastAsia="zh-CN"/>
              </w:rPr>
              <w:t>文件创建标识码</w:t>
            </w:r>
            <w:r>
              <w:rPr>
                <w:rFonts w:ascii="仿宋_GB2312" w:eastAsia="仿宋_GB2312" w:hAnsi="仿宋_GB2312" w:cs="仿宋_GB2312" w:hint="eastAsia"/>
                <w:kern w:val="2"/>
                <w:lang w:eastAsia="zh-CN"/>
              </w:rPr>
              <w:t>”</w:t>
            </w:r>
            <w:r>
              <w:rPr>
                <w:rFonts w:ascii="仿宋_GB2312" w:eastAsia="仿宋_GB2312" w:hAnsi="仿宋_GB2312" w:cs="仿宋_GB2312" w:hint="eastAsia"/>
                <w:kern w:val="2"/>
                <w:lang w:eastAsia="zh-CN"/>
              </w:rPr>
              <w:t>一致）。</w:t>
            </w:r>
          </w:p>
        </w:tc>
      </w:tr>
      <w:tr>
        <w:tblPrEx>
          <w:tblW w:w="5000" w:type="pct"/>
          <w:tblLayout w:type="fixed"/>
          <w:tblCellMar>
            <w:top w:w="0" w:type="dxa"/>
            <w:left w:w="108" w:type="dxa"/>
            <w:bottom w:w="0" w:type="dxa"/>
            <w:right w:w="108" w:type="dxa"/>
          </w:tblCellMar>
          <w:tblLook w:val="0000"/>
        </w:tblPrEx>
        <w:trPr>
          <w:trHeight w:val="90"/>
        </w:trPr>
        <w:tc>
          <w:tcPr>
            <w:tcW w:w="711" w:type="dxa"/>
          </w:tcPr>
          <w:p>
            <w:pPr>
              <w:widowControl w:val="0"/>
              <w:spacing w:line="400" w:lineRule="exact"/>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5</w:t>
            </w:r>
          </w:p>
        </w:tc>
        <w:tc>
          <w:tcPr>
            <w:tcW w:w="7811" w:type="dxa"/>
            <w:vAlign w:val="center"/>
          </w:tcPr>
          <w:p>
            <w:pPr>
              <w:widowControl w:val="0"/>
              <w:spacing w:line="400" w:lineRule="exact"/>
              <w:jc w:val="left"/>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提供</w:t>
            </w:r>
            <w:r>
              <w:rPr>
                <w:rFonts w:ascii="仿宋_GB2312" w:eastAsia="仿宋_GB2312" w:hAnsi="仿宋_GB2312" w:cs="仿宋_GB2312" w:hint="eastAsia"/>
                <w:b/>
                <w:bCs/>
                <w:kern w:val="2"/>
                <w:lang w:eastAsia="zh-CN"/>
              </w:rPr>
              <w:t>未经出具机构核实</w:t>
            </w:r>
            <w:r>
              <w:rPr>
                <w:rFonts w:ascii="仿宋_GB2312" w:eastAsia="仿宋_GB2312" w:hAnsi="仿宋_GB2312" w:cs="仿宋_GB2312" w:hint="eastAsia"/>
                <w:kern w:val="2"/>
                <w:lang w:eastAsia="zh-CN"/>
              </w:rPr>
              <w:t>的虚假的检验检测报告、业绩材料、社保缴纳证明、学历学位证书、职称认证证书等材料。</w:t>
            </w:r>
          </w:p>
        </w:tc>
      </w:tr>
      <w:tr>
        <w:tblPrEx>
          <w:tblW w:w="5000" w:type="pct"/>
          <w:tblLayout w:type="fixed"/>
          <w:tblCellMar>
            <w:top w:w="0" w:type="dxa"/>
            <w:left w:w="108" w:type="dxa"/>
            <w:bottom w:w="0" w:type="dxa"/>
            <w:right w:w="108" w:type="dxa"/>
          </w:tblCellMar>
          <w:tblLook w:val="0000"/>
        </w:tblPrEx>
        <w:tc>
          <w:tcPr>
            <w:tcW w:w="711" w:type="dxa"/>
          </w:tcPr>
          <w:p>
            <w:pPr>
              <w:widowControl w:val="0"/>
              <w:spacing w:line="400" w:lineRule="exact"/>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6</w:t>
            </w:r>
          </w:p>
        </w:tc>
        <w:tc>
          <w:tcPr>
            <w:tcW w:w="7811" w:type="dxa"/>
            <w:vAlign w:val="center"/>
          </w:tcPr>
          <w:p>
            <w:pPr>
              <w:widowControl w:val="0"/>
              <w:spacing w:line="400" w:lineRule="exact"/>
              <w:jc w:val="left"/>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擅自将投标密钥或电子营业执照出借他人使用或未妥善保管。</w:t>
            </w:r>
          </w:p>
        </w:tc>
      </w:tr>
    </w:tbl>
    <w:p>
      <w:pPr>
        <w:widowControl w:val="0"/>
        <w:spacing w:before="120" w:beforeLines="50" w:line="380" w:lineRule="exact"/>
        <w:ind w:firstLine="420" w:firstLineChars="200"/>
        <w:jc w:val="both"/>
        <w:rPr>
          <w:rFonts w:ascii="Calibri" w:eastAsia="宋体" w:hAnsi="Calibri"/>
          <w:b/>
          <w:kern w:val="2"/>
          <w:sz w:val="21"/>
          <w:szCs w:val="22"/>
          <w:lang w:eastAsia="zh-CN"/>
        </w:rPr>
      </w:pPr>
      <w:r>
        <w:rPr>
          <w:rFonts w:ascii="Calibri" w:eastAsia="宋体" w:hAnsi="Calibri" w:hint="eastAsia"/>
          <w:b/>
          <w:kern w:val="2"/>
          <w:sz w:val="21"/>
          <w:szCs w:val="22"/>
          <w:lang w:eastAsia="zh-CN"/>
        </w:rPr>
        <w:t>一、我单位已充分知悉</w:t>
      </w:r>
      <w:r>
        <w:rPr>
          <w:rFonts w:ascii="Calibri" w:eastAsia="宋体" w:hAnsi="Calibri" w:hint="eastAsia"/>
          <w:b/>
          <w:kern w:val="2"/>
          <w:sz w:val="21"/>
          <w:szCs w:val="22"/>
          <w:lang w:eastAsia="zh-CN"/>
        </w:rPr>
        <w:t>“</w:t>
      </w:r>
      <w:r>
        <w:rPr>
          <w:rFonts w:ascii="Calibri" w:eastAsia="宋体" w:hAnsi="Calibri" w:hint="eastAsia"/>
          <w:b/>
          <w:kern w:val="2"/>
          <w:sz w:val="21"/>
          <w:szCs w:val="22"/>
          <w:lang w:eastAsia="zh-CN"/>
        </w:rPr>
        <w:t>隐瞒真实情况，提供虚假资料</w:t>
      </w:r>
      <w:r>
        <w:rPr>
          <w:rFonts w:ascii="Calibri" w:eastAsia="宋体" w:hAnsi="Calibri" w:hint="eastAsia"/>
          <w:b/>
          <w:kern w:val="2"/>
          <w:sz w:val="21"/>
          <w:szCs w:val="22"/>
          <w:lang w:eastAsia="zh-CN"/>
        </w:rPr>
        <w:t>”</w:t>
      </w:r>
      <w:r>
        <w:rPr>
          <w:rFonts w:ascii="Calibri" w:eastAsia="宋体" w:hAnsi="Calibri" w:hint="eastAsia"/>
          <w:b/>
          <w:kern w:val="2"/>
          <w:sz w:val="21"/>
          <w:szCs w:val="22"/>
          <w:lang w:eastAsia="zh-CN"/>
        </w:rPr>
        <w:t>的法定情形，包括但不限于：</w:t>
      </w:r>
    </w:p>
    <w:p>
      <w:pPr>
        <w:widowControl w:val="0"/>
        <w:spacing w:line="38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（一）通过转让或者租借等方式从其他单位获取资格或者资质证书投标的。</w:t>
      </w:r>
    </w:p>
    <w:p>
      <w:pPr>
        <w:widowControl w:val="0"/>
        <w:spacing w:line="38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（二）由其他单位或者其他单位负责人在投标供应商编制的投标文件上加盖印章或者签字的。</w:t>
      </w:r>
    </w:p>
    <w:p>
      <w:pPr>
        <w:widowControl w:val="0"/>
        <w:spacing w:line="38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（三）项目负责人或者主要技术人员不是本单位人员的。</w:t>
      </w:r>
    </w:p>
    <w:p>
      <w:pPr>
        <w:widowControl w:val="0"/>
        <w:spacing w:line="38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（四）投标保证金不是从投标供应商基本账户转出的。</w:t>
      </w:r>
    </w:p>
    <w:p>
      <w:pPr>
        <w:widowControl w:val="0"/>
        <w:spacing w:line="38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（五）其他隐瞒真实情况、提供虚假资料的行为。</w:t>
      </w:r>
    </w:p>
    <w:p>
      <w:pPr>
        <w:widowControl w:val="0"/>
        <w:spacing w:line="380" w:lineRule="exact"/>
        <w:ind w:firstLine="420" w:firstLineChars="200"/>
        <w:jc w:val="both"/>
        <w:rPr>
          <w:rFonts w:ascii="Calibri" w:eastAsia="宋体" w:hAnsi="Calibri"/>
          <w:b/>
          <w:kern w:val="2"/>
          <w:sz w:val="21"/>
          <w:szCs w:val="22"/>
          <w:lang w:eastAsia="zh-CN"/>
        </w:rPr>
      </w:pPr>
      <w:r>
        <w:rPr>
          <w:rFonts w:ascii="Calibri" w:eastAsia="宋体" w:hAnsi="Calibri" w:hint="eastAsia"/>
          <w:b/>
          <w:kern w:val="2"/>
          <w:sz w:val="21"/>
          <w:szCs w:val="22"/>
          <w:lang w:eastAsia="zh-CN"/>
        </w:rPr>
        <w:t>二、我单位已充分知悉</w:t>
      </w:r>
      <w:r>
        <w:rPr>
          <w:rFonts w:ascii="Calibri" w:eastAsia="宋体" w:hAnsi="Calibri" w:hint="eastAsia"/>
          <w:b/>
          <w:kern w:val="2"/>
          <w:sz w:val="21"/>
          <w:szCs w:val="22"/>
          <w:lang w:eastAsia="zh-CN"/>
        </w:rPr>
        <w:t>“</w:t>
      </w:r>
      <w:r>
        <w:rPr>
          <w:rFonts w:ascii="Calibri" w:eastAsia="宋体" w:hAnsi="Calibri" w:hint="eastAsia"/>
          <w:b/>
          <w:kern w:val="2"/>
          <w:sz w:val="21"/>
          <w:szCs w:val="22"/>
          <w:lang w:eastAsia="zh-CN"/>
        </w:rPr>
        <w:t>与其他采购参加人串通投标</w:t>
      </w:r>
      <w:r>
        <w:rPr>
          <w:rFonts w:ascii="Calibri" w:eastAsia="宋体" w:hAnsi="Calibri" w:hint="eastAsia"/>
          <w:b/>
          <w:kern w:val="2"/>
          <w:sz w:val="21"/>
          <w:szCs w:val="22"/>
          <w:lang w:eastAsia="zh-CN"/>
        </w:rPr>
        <w:t>”</w:t>
      </w:r>
      <w:r>
        <w:rPr>
          <w:rFonts w:ascii="Calibri" w:eastAsia="宋体" w:hAnsi="Calibri" w:hint="eastAsia"/>
          <w:b/>
          <w:kern w:val="2"/>
          <w:sz w:val="21"/>
          <w:szCs w:val="22"/>
          <w:lang w:eastAsia="zh-CN"/>
        </w:rPr>
        <w:t>的法定情形，包括但不限于：</w:t>
      </w:r>
    </w:p>
    <w:p>
      <w:pPr>
        <w:widowControl w:val="0"/>
        <w:spacing w:line="38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（一）投标供应商之间相互约定给予未中标的供应商利益补偿。</w:t>
      </w:r>
    </w:p>
    <w:p>
      <w:pPr>
        <w:widowControl w:val="0"/>
        <w:spacing w:line="38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widowControl w:val="0"/>
        <w:spacing w:line="34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（三）不同投标供应商的投标文件由同一单位或者同一人编制，或者由同一人分阶段参与编制的。</w:t>
      </w:r>
    </w:p>
    <w:p>
      <w:pPr>
        <w:widowControl w:val="0"/>
        <w:spacing w:line="34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（四）不同投标供应商的投标文件或部分投标文件相互混装。</w:t>
      </w:r>
    </w:p>
    <w:p>
      <w:pPr>
        <w:widowControl w:val="0"/>
        <w:spacing w:line="34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（五）不同投标供应商的投标文件内容存在非正常一致。</w:t>
      </w:r>
    </w:p>
    <w:p>
      <w:pPr>
        <w:widowControl w:val="0"/>
        <w:spacing w:line="34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（六）由同一单位工作人员为两家以上（含两家）供应商进行同一项投标活动的。</w:t>
      </w:r>
    </w:p>
    <w:p>
      <w:pPr>
        <w:widowControl w:val="0"/>
        <w:spacing w:line="34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（七）不同投标人的投标报价呈规律性差异。</w:t>
      </w:r>
    </w:p>
    <w:p>
      <w:pPr>
        <w:widowControl w:val="0"/>
        <w:spacing w:line="34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（八）不同投标人的投标保证金从同一单位或者个人的账户转出。</w:t>
      </w:r>
    </w:p>
    <w:p>
      <w:pPr>
        <w:widowControl w:val="0"/>
        <w:spacing w:line="34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（九）主管部门依照法律、法规认定的其他情形。</w:t>
      </w:r>
    </w:p>
    <w:p>
      <w:pPr>
        <w:widowControl w:val="0"/>
        <w:spacing w:line="340" w:lineRule="exact"/>
        <w:ind w:firstLine="420" w:firstLineChars="200"/>
        <w:jc w:val="both"/>
        <w:rPr>
          <w:rFonts w:ascii="Calibri" w:eastAsia="宋体" w:hAnsi="Calibri"/>
          <w:b/>
          <w:kern w:val="2"/>
          <w:sz w:val="21"/>
          <w:szCs w:val="22"/>
          <w:lang w:eastAsia="zh-CN"/>
        </w:rPr>
      </w:pPr>
      <w:r>
        <w:rPr>
          <w:rFonts w:ascii="Calibri" w:eastAsia="宋体" w:hAnsi="Calibri" w:hint="eastAsia"/>
          <w:b/>
          <w:kern w:val="2"/>
          <w:sz w:val="21"/>
          <w:szCs w:val="22"/>
          <w:lang w:eastAsia="zh-CN"/>
        </w:rPr>
        <w:t>三、我单位已充分知悉下列情形存在法律风险，在投标前已对相关风险事项进行排查。</w:t>
      </w:r>
    </w:p>
    <w:p>
      <w:pPr>
        <w:widowControl w:val="0"/>
        <w:spacing w:line="340" w:lineRule="exact"/>
        <w:ind w:firstLine="420" w:firstLineChars="200"/>
        <w:jc w:val="both"/>
        <w:rPr>
          <w:rFonts w:ascii="Calibri" w:eastAsia="宋体" w:hAnsi="Calibri"/>
          <w:b/>
          <w:kern w:val="2"/>
          <w:sz w:val="21"/>
          <w:szCs w:val="22"/>
          <w:lang w:eastAsia="zh-CN"/>
        </w:rPr>
      </w:pPr>
      <w:r>
        <w:rPr>
          <w:rFonts w:ascii="Calibri" w:eastAsia="宋体" w:hAnsi="Calibri" w:hint="eastAsia"/>
          <w:kern w:val="2"/>
          <w:sz w:val="21"/>
          <w:szCs w:val="22"/>
          <w:lang w:eastAsia="zh-CN"/>
        </w:rPr>
        <w:t>（一）对于从其他主体获取的投标资料，我单位应审慎核查，确保其真实性。</w:t>
      </w:r>
      <w:r>
        <w:rPr>
          <w:rFonts w:ascii="Calibri" w:eastAsia="宋体" w:hAnsi="Calibri" w:hint="eastAsia"/>
          <w:b/>
          <w:kern w:val="2"/>
          <w:sz w:val="21"/>
          <w:szCs w:val="22"/>
          <w:lang w:eastAsia="zh-CN"/>
        </w:rPr>
        <w:t>如主管部门查实投标文件中存在虚假资料的，无论相关资料是否由第三方或本公司员工提供，均不影响主管部门对供应商存在</w:t>
      </w:r>
      <w:r>
        <w:rPr>
          <w:rFonts w:ascii="Calibri" w:eastAsia="宋体" w:hAnsi="Calibri" w:hint="eastAsia"/>
          <w:b/>
          <w:kern w:val="2"/>
          <w:sz w:val="21"/>
          <w:szCs w:val="22"/>
          <w:lang w:eastAsia="zh-CN"/>
        </w:rPr>
        <w:t>“</w:t>
      </w:r>
      <w:r>
        <w:rPr>
          <w:rFonts w:ascii="Calibri" w:eastAsia="宋体" w:hAnsi="Calibri" w:hint="eastAsia"/>
          <w:b/>
          <w:kern w:val="2"/>
          <w:sz w:val="21"/>
          <w:szCs w:val="22"/>
          <w:lang w:eastAsia="zh-CN"/>
        </w:rPr>
        <w:t>隐瞒真实情况，提供虚假资料</w:t>
      </w:r>
      <w:r>
        <w:rPr>
          <w:rFonts w:ascii="Calibri" w:eastAsia="宋体" w:hAnsi="Calibri" w:hint="eastAsia"/>
          <w:b/>
          <w:kern w:val="2"/>
          <w:sz w:val="21"/>
          <w:szCs w:val="22"/>
          <w:lang w:eastAsia="zh-CN"/>
        </w:rPr>
        <w:t>”</w:t>
      </w:r>
      <w:r>
        <w:rPr>
          <w:rFonts w:ascii="Calibri" w:eastAsia="宋体" w:hAnsi="Calibri" w:hint="eastAsia"/>
          <w:b/>
          <w:kern w:val="2"/>
          <w:sz w:val="21"/>
          <w:szCs w:val="22"/>
          <w:lang w:eastAsia="zh-CN"/>
        </w:rPr>
        <w:t>违法行为的认定。</w:t>
      </w:r>
    </w:p>
    <w:p>
      <w:pPr>
        <w:widowControl w:val="0"/>
        <w:spacing w:line="34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（二）对于涉及国家机关出具的公文、证件、证明材料等文件，一旦涉嫌虚假，经查实，主管部门将依法从严处理，并移送有关部门追究法律责任；涉嫌犯罪的，移送司法机关处理。</w:t>
      </w:r>
    </w:p>
    <w:p>
      <w:pPr>
        <w:widowControl w:val="0"/>
        <w:spacing w:line="34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三）我单位对投标电子密钥或电子营业执照负有妥善保管、及时变更和续期等主体责任；使用电子密钥或电子营业执照在深圳政府采购（自行采购）网站进行的活动，均具有法律效力，须承担相应的法律后果。若</w:t>
      </w:r>
      <w:r>
        <w:rPr>
          <w:rFonts w:ascii="Calibri" w:eastAsia="宋体" w:hAnsi="Calibri" w:hint="eastAsia"/>
          <w:b/>
          <w:bCs/>
          <w:kern w:val="2"/>
          <w:sz w:val="21"/>
          <w:szCs w:val="22"/>
          <w:lang w:eastAsia="zh-CN"/>
        </w:rPr>
        <w:t>擅自将投标密钥或电子营业执照出借他人使用所造成的法律后果，由我单位自行承担</w:t>
      </w:r>
      <w:r>
        <w:rPr>
          <w:rFonts w:ascii="Calibri" w:eastAsia="宋体" w:hAnsi="Calibri" w:hint="eastAsia"/>
          <w:kern w:val="2"/>
          <w:sz w:val="21"/>
          <w:szCs w:val="22"/>
          <w:lang w:eastAsia="zh-CN"/>
        </w:rPr>
        <w:t>。</w:t>
      </w:r>
    </w:p>
    <w:p>
      <w:pPr>
        <w:widowControl w:val="0"/>
        <w:spacing w:line="340" w:lineRule="exact"/>
        <w:ind w:firstLine="420" w:firstLineChars="200"/>
        <w:jc w:val="both"/>
        <w:rPr>
          <w:rFonts w:ascii="Calibri" w:eastAsia="宋体" w:hAnsi="Calibri"/>
          <w:b/>
          <w:kern w:val="2"/>
          <w:sz w:val="21"/>
          <w:szCs w:val="22"/>
          <w:lang w:eastAsia="zh-CN"/>
        </w:rPr>
      </w:pPr>
      <w:r>
        <w:rPr>
          <w:rFonts w:ascii="Calibri" w:eastAsia="宋体" w:hAnsi="Calibri" w:hint="eastAsia"/>
          <w:b/>
          <w:kern w:val="2"/>
          <w:sz w:val="21"/>
          <w:szCs w:val="22"/>
          <w:lang w:eastAsia="zh-CN"/>
        </w:rPr>
        <w:t>四、我单位已充分知悉政府采购（自行采购）违法、违规行为的法律后果。</w:t>
      </w:r>
    </w:p>
    <w:p>
      <w:pPr>
        <w:widowControl w:val="0"/>
        <w:spacing w:line="340" w:lineRule="exact"/>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经查实，若我单位存在政府采购（自行采购）违法、违规行为，主管部门将参照《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widowControl w:val="0"/>
        <w:ind w:firstLine="420" w:firstLineChars="200"/>
        <w:jc w:val="both"/>
        <w:rPr>
          <w:rFonts w:ascii="Calibri" w:eastAsia="宋体" w:hAnsi="Calibri"/>
          <w:kern w:val="2"/>
          <w:sz w:val="21"/>
          <w:szCs w:val="22"/>
          <w:highlight w:val="yellow"/>
          <w:lang w:eastAsia="zh-CN"/>
        </w:rPr>
      </w:pPr>
      <w:r>
        <w:rPr>
          <w:rFonts w:ascii="Calibri" w:eastAsia="宋体" w:hAnsi="Calibri" w:hint="eastAsia"/>
          <w:kern w:val="2"/>
          <w:sz w:val="21"/>
          <w:szCs w:val="22"/>
          <w:highlight w:val="yellow"/>
          <w:lang w:eastAsia="zh-CN"/>
        </w:rPr>
        <w:t>以下文字请投标供应商抄写并确认：</w:t>
      </w:r>
      <w:r>
        <w:rPr>
          <w:rFonts w:ascii="Calibri" w:eastAsia="宋体" w:hAnsi="Calibri" w:hint="eastAsia"/>
          <w:kern w:val="2"/>
          <w:sz w:val="21"/>
          <w:szCs w:val="22"/>
          <w:highlight w:val="yellow"/>
          <w:lang w:eastAsia="zh-CN"/>
        </w:rPr>
        <w:t>“</w:t>
      </w:r>
      <w:r>
        <w:rPr>
          <w:rFonts w:ascii="Calibri" w:eastAsia="宋体" w:hAnsi="Calibri" w:hint="eastAsia"/>
          <w:kern w:val="2"/>
          <w:sz w:val="21"/>
          <w:szCs w:val="22"/>
          <w:highlight w:val="yellow"/>
          <w:lang w:eastAsia="zh-CN"/>
        </w:rPr>
        <w:t>我单位已仔细阅读《政府采购（自行采购）违法行为风险知悉确认书》，充分知悉违法行为的法律后果，并承诺将严谨、诚信、依法依规参与政府采购（自行采购）活动</w:t>
      </w:r>
      <w:r>
        <w:rPr>
          <w:rFonts w:ascii="Calibri" w:eastAsia="宋体" w:hAnsi="Calibri" w:hint="eastAsia"/>
          <w:kern w:val="2"/>
          <w:sz w:val="21"/>
          <w:szCs w:val="22"/>
          <w:highlight w:val="yellow"/>
          <w:lang w:eastAsia="zh-CN"/>
        </w:rPr>
        <w:t>”</w:t>
      </w:r>
      <w:r>
        <w:rPr>
          <w:rFonts w:ascii="Calibri" w:eastAsia="宋体" w:hAnsi="Calibri" w:hint="eastAsia"/>
          <w:kern w:val="2"/>
          <w:sz w:val="21"/>
          <w:szCs w:val="22"/>
          <w:highlight w:val="yellow"/>
          <w:lang w:eastAsia="zh-CN"/>
        </w:rPr>
        <w:t>。</w:t>
      </w:r>
    </w:p>
    <w:tbl>
      <w:tblPr>
        <w:tblStyle w:val="TableNormal"/>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
      <w:tblGrid>
        <w:gridCol w:w="8529"/>
      </w:tblGrid>
      <w:tr>
        <w:tblPrEx>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trHeight w:val="304"/>
        </w:trPr>
        <w:tc>
          <w:tcPr>
            <w:tcW w:w="8529" w:type="dxa"/>
            <w:tcBorders>
              <w:top w:val="nil"/>
              <w:left w:val="nil"/>
              <w:bottom w:val="single" w:sz="8" w:space="0" w:color="000000"/>
              <w:right w:val="nil"/>
            </w:tcBorders>
          </w:tcPr>
          <w:p>
            <w:pPr>
              <w:widowControl w:val="0"/>
              <w:autoSpaceDE w:val="0"/>
              <w:autoSpaceDN w:val="0"/>
              <w:spacing w:line="400" w:lineRule="exact"/>
              <w:ind w:firstLine="1866"/>
              <w:jc w:val="both"/>
              <w:rPr>
                <w:rFonts w:ascii="宋体" w:eastAsia="宋体" w:hAnsi="宋体"/>
                <w:spacing w:val="-4"/>
                <w:sz w:val="21"/>
                <w:szCs w:val="21"/>
                <w:lang w:eastAsia="zh-CN"/>
              </w:rPr>
            </w:pPr>
          </w:p>
        </w:tc>
      </w:tr>
      <w:tr>
        <w:tblPrEx>
          <w:tblW w:w="5000" w:type="pct"/>
          <w:tblLayout w:type="fixed"/>
          <w:tblCellMar>
            <w:top w:w="0" w:type="dxa"/>
            <w:left w:w="108" w:type="dxa"/>
            <w:bottom w:w="0" w:type="dxa"/>
            <w:right w:w="108" w:type="dxa"/>
          </w:tblCellMar>
          <w:tblLook w:val="0000"/>
        </w:tblPrEx>
        <w:tc>
          <w:tcPr>
            <w:tcW w:w="8529" w:type="dxa"/>
            <w:tcBorders>
              <w:top w:val="single" w:sz="8" w:space="0" w:color="000000"/>
              <w:left w:val="nil"/>
              <w:bottom w:val="single" w:sz="8" w:space="0" w:color="000000"/>
              <w:right w:val="nil"/>
            </w:tcBorders>
          </w:tcPr>
          <w:p>
            <w:pPr>
              <w:widowControl w:val="0"/>
              <w:autoSpaceDE w:val="0"/>
              <w:autoSpaceDN w:val="0"/>
              <w:spacing w:line="400" w:lineRule="exact"/>
              <w:ind w:firstLine="1866"/>
              <w:jc w:val="both"/>
              <w:rPr>
                <w:rFonts w:ascii="宋体" w:eastAsia="宋体" w:hAnsi="宋体"/>
                <w:spacing w:val="-4"/>
                <w:sz w:val="21"/>
                <w:szCs w:val="21"/>
                <w:lang w:eastAsia="zh-CN"/>
              </w:rPr>
            </w:pPr>
          </w:p>
        </w:tc>
      </w:tr>
      <w:tr>
        <w:tblPrEx>
          <w:tblW w:w="5000" w:type="pct"/>
          <w:tblLayout w:type="fixed"/>
          <w:tblCellMar>
            <w:top w:w="0" w:type="dxa"/>
            <w:left w:w="108" w:type="dxa"/>
            <w:bottom w:w="0" w:type="dxa"/>
            <w:right w:w="108" w:type="dxa"/>
          </w:tblCellMar>
          <w:tblLook w:val="0000"/>
        </w:tblPrEx>
        <w:tc>
          <w:tcPr>
            <w:tcW w:w="8529" w:type="dxa"/>
            <w:tcBorders>
              <w:top w:val="single" w:sz="8" w:space="0" w:color="000000"/>
              <w:left w:val="nil"/>
              <w:bottom w:val="single" w:sz="8" w:space="0" w:color="000000"/>
              <w:right w:val="nil"/>
            </w:tcBorders>
          </w:tcPr>
          <w:p>
            <w:pPr>
              <w:widowControl w:val="0"/>
              <w:autoSpaceDE w:val="0"/>
              <w:autoSpaceDN w:val="0"/>
              <w:spacing w:line="400" w:lineRule="exact"/>
              <w:ind w:firstLine="1866"/>
              <w:jc w:val="both"/>
              <w:rPr>
                <w:rFonts w:ascii="宋体" w:eastAsia="宋体" w:hAnsi="宋体"/>
                <w:spacing w:val="-4"/>
                <w:sz w:val="21"/>
                <w:szCs w:val="21"/>
                <w:lang w:eastAsia="zh-CN"/>
              </w:rPr>
            </w:pPr>
          </w:p>
        </w:tc>
      </w:tr>
      <w:tr>
        <w:tblPrEx>
          <w:tblW w:w="5000" w:type="pct"/>
          <w:tblLayout w:type="fixed"/>
          <w:tblCellMar>
            <w:top w:w="0" w:type="dxa"/>
            <w:left w:w="108" w:type="dxa"/>
            <w:bottom w:w="0" w:type="dxa"/>
            <w:right w:w="108" w:type="dxa"/>
          </w:tblCellMar>
          <w:tblLook w:val="0000"/>
        </w:tblPrEx>
        <w:tc>
          <w:tcPr>
            <w:tcW w:w="8529" w:type="dxa"/>
            <w:tcBorders>
              <w:top w:val="single" w:sz="8" w:space="0" w:color="000000"/>
              <w:left w:val="nil"/>
              <w:bottom w:val="single" w:sz="8" w:space="0" w:color="auto"/>
              <w:right w:val="nil"/>
            </w:tcBorders>
          </w:tcPr>
          <w:p>
            <w:pPr>
              <w:widowControl w:val="0"/>
              <w:autoSpaceDE w:val="0"/>
              <w:autoSpaceDN w:val="0"/>
              <w:spacing w:line="400" w:lineRule="exact"/>
              <w:ind w:firstLine="1866"/>
              <w:jc w:val="both"/>
              <w:rPr>
                <w:rFonts w:ascii="宋体" w:eastAsia="宋体" w:hAnsi="宋体"/>
                <w:spacing w:val="-4"/>
                <w:sz w:val="21"/>
                <w:szCs w:val="21"/>
                <w:lang w:eastAsia="zh-CN"/>
              </w:rPr>
            </w:pPr>
          </w:p>
        </w:tc>
      </w:tr>
    </w:tbl>
    <w:p>
      <w:pPr>
        <w:widowControl/>
        <w:wordWrap w:val="0"/>
        <w:autoSpaceDE w:val="0"/>
        <w:autoSpaceDN w:val="0"/>
        <w:spacing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单位负责人签名：</w:t>
      </w:r>
      <w:r>
        <w:rPr>
          <w:rFonts w:ascii="宋体" w:eastAsia="宋体" w:hAnsi="宋体" w:hint="eastAsia"/>
          <w:spacing w:val="-4"/>
          <w:sz w:val="21"/>
          <w:szCs w:val="21"/>
          <w:u w:val="single"/>
          <w:lang w:eastAsia="zh-CN"/>
        </w:rPr>
        <w:t xml:space="preserve">              </w:t>
      </w:r>
    </w:p>
    <w:p>
      <w:pPr>
        <w:widowControl/>
        <w:wordWrap w:val="0"/>
        <w:autoSpaceDE w:val="0"/>
        <w:autoSpaceDN w:val="0"/>
        <w:spacing w:line="340" w:lineRule="exact"/>
        <w:ind w:right="808" w:firstLine="420" w:firstLineChars="200"/>
        <w:jc w:val="center"/>
        <w:rPr>
          <w:rFonts w:ascii="宋体" w:eastAsia="宋体" w:hAnsi="宋体"/>
          <w:spacing w:val="-4"/>
          <w:sz w:val="21"/>
          <w:szCs w:val="21"/>
          <w:u w:val="single"/>
          <w:lang w:eastAsia="zh-CN"/>
        </w:rPr>
      </w:pPr>
      <w:r>
        <w:rPr>
          <w:rFonts w:ascii="宋体" w:eastAsia="宋体" w:hAnsi="宋体" w:hint="eastAsia"/>
          <w:spacing w:val="-4"/>
          <w:sz w:val="21"/>
          <w:szCs w:val="21"/>
          <w:lang w:eastAsia="zh-CN"/>
        </w:rPr>
        <w:t xml:space="preserve">                                 （加盖公章）</w:t>
      </w:r>
    </w:p>
    <w:p>
      <w:pPr>
        <w:widowControl/>
        <w:wordWrap w:val="0"/>
        <w:autoSpaceDE w:val="0"/>
        <w:autoSpaceDN w:val="0"/>
        <w:spacing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 xml:space="preserve">     日期：</w:t>
      </w:r>
      <w:r>
        <w:rPr>
          <w:rFonts w:ascii="宋体" w:eastAsia="宋体" w:hAnsi="宋体" w:hint="eastAsia"/>
          <w:spacing w:val="-4"/>
          <w:sz w:val="21"/>
          <w:szCs w:val="21"/>
          <w:u w:val="single"/>
          <w:lang w:eastAsia="zh-CN"/>
        </w:rPr>
        <w:t xml:space="preserve">              </w:t>
      </w:r>
    </w:p>
    <w:p>
      <w:pPr>
        <w:widowControl/>
        <w:autoSpaceDE w:val="0"/>
        <w:autoSpaceDN w:val="0"/>
        <w:spacing w:line="340" w:lineRule="exact"/>
        <w:ind w:firstLine="420" w:firstLineChars="200"/>
        <w:jc w:val="left"/>
        <w:rPr>
          <w:rFonts w:ascii="宋体" w:eastAsia="宋体" w:hAnsi="宋体" w:hint="eastAsia"/>
          <w:b/>
          <w:bCs/>
          <w:spacing w:val="-4"/>
          <w:sz w:val="21"/>
          <w:szCs w:val="21"/>
          <w:lang w:eastAsia="zh-CN"/>
        </w:rPr>
      </w:pPr>
    </w:p>
    <w:p>
      <w:pPr>
        <w:widowControl/>
        <w:autoSpaceDE w:val="0"/>
        <w:autoSpaceDN w:val="0"/>
        <w:spacing w:line="340" w:lineRule="exact"/>
        <w:ind w:firstLine="420" w:firstLineChars="20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注：1.《政府采购（自行采购）违法行为风险知悉确认书》需由投标供应商负责人签字并加盖单位公章后，扫描上传至投标文件一并提交。</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2.《政府采购（自行采购）违法行为风险知悉确认书》用于对供应商违法行为的提醒，不作为供应商资格性审查及符合性审查条件。</w:t>
      </w:r>
      <w:r>
        <w:rPr>
          <w:rFonts w:ascii="宋体" w:eastAsia="宋体" w:hAnsi="宋体" w:hint="eastAsia"/>
          <w:b/>
          <w:bCs/>
          <w:color w:val="FF0000"/>
          <w:spacing w:val="-4"/>
          <w:sz w:val="21"/>
          <w:szCs w:val="21"/>
          <w:lang w:eastAsia="zh-CN"/>
        </w:rPr>
        <w:t xml:space="preserve">     </w:t>
      </w: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val="0"/>
        <w:jc w:val="center"/>
        <w:rPr>
          <w:rFonts w:ascii="黑体" w:eastAsia="黑体" w:hAnsi="Calibri" w:hint="eastAsia"/>
          <w:kern w:val="2"/>
          <w:szCs w:val="20"/>
          <w:lang w:eastAsia="zh-CN"/>
        </w:rPr>
      </w:pPr>
      <w:r>
        <w:rPr>
          <w:rFonts w:ascii="黑体" w:eastAsia="黑体" w:hAnsi="Calibri" w:hint="eastAsia"/>
          <w:kern w:val="2"/>
          <w:szCs w:val="20"/>
          <w:lang w:eastAsia="zh-CN"/>
        </w:rPr>
        <w:t>（二）订单融资情况</w:t>
      </w:r>
    </w:p>
    <w:p>
      <w:pPr>
        <w:widowControl w:val="0"/>
        <w:ind w:firstLine="420" w:firstLineChars="200"/>
        <w:jc w:val="both"/>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1、关于政府采购订单融资政策</w:t>
      </w:r>
    </w:p>
    <w:p>
      <w:pPr>
        <w:widowControl w:val="0"/>
        <w:spacing w:line="240" w:lineRule="auto"/>
        <w:ind w:firstLine="420" w:firstLineChars="200"/>
        <w:jc w:val="both"/>
        <w:rPr>
          <w:rFonts w:eastAsia="宋体" w:hint="eastAsia"/>
          <w:bCs/>
          <w:kern w:val="2"/>
          <w:sz w:val="21"/>
          <w:szCs w:val="21"/>
          <w:lang w:eastAsia="zh-CN"/>
        </w:rPr>
      </w:pPr>
      <w:r>
        <w:rPr>
          <w:rFonts w:eastAsia="宋体" w:hint="eastAsia"/>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2、供应商账户信息</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投标人（单位全称）：</w:t>
      </w:r>
      <w:r>
        <w:rPr>
          <w:rFonts w:ascii="Calibri"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 xml:space="preserve">；  </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投标人单位地址：</w:t>
      </w:r>
      <w:r>
        <w:rPr>
          <w:rFonts w:ascii="Calibri" w:eastAsia="宋体" w:hAnsi="Calibri" w:hint="eastAsia"/>
          <w:kern w:val="2"/>
          <w:sz w:val="21"/>
          <w:szCs w:val="21"/>
          <w:u w:val="thick"/>
          <w:lang w:eastAsia="zh-CN"/>
        </w:rPr>
        <w:t xml:space="preserve">       </w:t>
      </w:r>
      <w:r>
        <w:rPr>
          <w:rFonts w:eastAsia="宋体" w:hAnsi="Calibri" w:hint="eastAsia"/>
          <w:kern w:val="2"/>
          <w:sz w:val="21"/>
          <w:szCs w:val="21"/>
          <w:u w:val="thick"/>
          <w:lang w:eastAsia="zh-CN"/>
        </w:rPr>
        <w:t xml:space="preserve">          </w:t>
      </w:r>
      <w:r>
        <w:rPr>
          <w:rFonts w:ascii="Calibri" w:eastAsia="宋体" w:hAnsi="Calibri" w:hint="eastAsia"/>
          <w:kern w:val="2"/>
          <w:sz w:val="21"/>
          <w:szCs w:val="21"/>
          <w:u w:val="thick"/>
          <w:lang w:eastAsia="zh-CN"/>
        </w:rPr>
        <w:t xml:space="preserve"> </w:t>
      </w:r>
      <w:r>
        <w:rPr>
          <w:rFonts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法定代表人（负责人）或其</w:t>
      </w:r>
      <w:r>
        <w:rPr>
          <w:rFonts w:eastAsia="宋体" w:hAnsi="Calibri" w:hint="eastAsia"/>
          <w:kern w:val="2"/>
          <w:sz w:val="21"/>
          <w:szCs w:val="21"/>
          <w:lang w:eastAsia="zh-CN"/>
        </w:rPr>
        <w:t>授权</w:t>
      </w:r>
      <w:r>
        <w:rPr>
          <w:rFonts w:ascii="Calibri" w:eastAsia="宋体" w:hAnsi="Calibri" w:hint="eastAsia"/>
          <w:kern w:val="2"/>
          <w:sz w:val="21"/>
          <w:szCs w:val="21"/>
          <w:lang w:eastAsia="zh-CN"/>
        </w:rPr>
        <w:t>委托代理人：</w:t>
      </w:r>
      <w:r>
        <w:rPr>
          <w:rFonts w:ascii="Calibri"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hint="eastAsia"/>
          <w:kern w:val="2"/>
          <w:sz w:val="21"/>
          <w:szCs w:val="21"/>
          <w:lang w:eastAsia="zh-CN"/>
        </w:rPr>
        <w:t>联系电话：</w:t>
      </w:r>
      <w:r>
        <w:rPr>
          <w:rFonts w:ascii="Calibri" w:eastAsia="宋体" w:hAnsi="Calibri" w:hint="eastAsia"/>
          <w:kern w:val="2"/>
          <w:sz w:val="21"/>
          <w:szCs w:val="21"/>
          <w:u w:val="thick"/>
          <w:lang w:eastAsia="zh-CN"/>
        </w:rPr>
        <w:t xml:space="preserve">        </w:t>
      </w:r>
      <w:r>
        <w:rPr>
          <w:rFonts w:eastAsia="宋体" w:hAnsi="Calibri" w:hint="eastAsia"/>
          <w:kern w:val="2"/>
          <w:sz w:val="21"/>
          <w:szCs w:val="21"/>
          <w:u w:val="thick"/>
          <w:lang w:eastAsia="zh-CN"/>
        </w:rPr>
        <w:t xml:space="preserve">          </w:t>
      </w:r>
      <w:r>
        <w:rPr>
          <w:rFonts w:ascii="Calibri" w:eastAsia="宋体" w:hAnsi="Calibri" w:hint="eastAsia"/>
          <w:kern w:val="2"/>
          <w:sz w:val="21"/>
          <w:szCs w:val="21"/>
          <w:u w:val="thick"/>
          <w:lang w:eastAsia="zh-CN"/>
        </w:rPr>
        <w:t xml:space="preserve"> </w:t>
      </w:r>
      <w:r>
        <w:rPr>
          <w:rFonts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eastAsia="宋体" w:hAnsi="Calibri" w:hint="eastAsia"/>
          <w:kern w:val="2"/>
          <w:sz w:val="21"/>
          <w:szCs w:val="21"/>
          <w:lang w:eastAsia="zh-CN"/>
        </w:rPr>
        <w:t>开户银行名称：</w:t>
      </w:r>
      <w:r>
        <w:rPr>
          <w:rFonts w:ascii="Calibri"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hint="eastAsia"/>
          <w:kern w:val="2"/>
          <w:sz w:val="21"/>
          <w:szCs w:val="21"/>
          <w:lang w:eastAsia="zh-CN"/>
        </w:rPr>
        <w:t>开户银行账号：</w:t>
      </w:r>
      <w:r>
        <w:rPr>
          <w:rFonts w:ascii="Calibri"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开户银行地址：</w:t>
      </w:r>
      <w:r>
        <w:rPr>
          <w:rFonts w:ascii="Calibri" w:eastAsia="宋体" w:hAnsi="Calibri" w:hint="eastAsia"/>
          <w:kern w:val="2"/>
          <w:sz w:val="21"/>
          <w:szCs w:val="21"/>
          <w:u w:val="thick"/>
          <w:lang w:eastAsia="zh-CN"/>
        </w:rPr>
        <w:t xml:space="preserve">                                                  </w:t>
      </w:r>
      <w:r>
        <w:rPr>
          <w:rFonts w:ascii="Calibri" w:eastAsia="宋体" w:hAnsi="Calibr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hint="eastAsia"/>
          <w:kern w:val="2"/>
          <w:sz w:val="21"/>
          <w:szCs w:val="21"/>
          <w:lang w:eastAsia="zh-CN"/>
        </w:rPr>
        <w:t xml:space="preserve"> </w:t>
      </w:r>
      <w:r>
        <w:rPr>
          <w:rFonts w:ascii="宋体" w:eastAsia="宋体" w:hAnsi="宋体" w:hint="eastAsia"/>
          <w:b/>
          <w:bCs/>
          <w:color w:val="FF0000"/>
          <w:spacing w:val="-4"/>
          <w:sz w:val="21"/>
          <w:szCs w:val="21"/>
          <w:lang w:eastAsia="zh-CN"/>
        </w:rPr>
        <w:t>注：本项填写内容作为订单融资开展的参考信息，不作为供应商资格性审查及符合性审查条件。</w:t>
      </w: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val="0"/>
        <w:ind w:firstLine="720" w:firstLineChars="300"/>
        <w:jc w:val="both"/>
        <w:rPr>
          <w:rFonts w:ascii="Calibri" w:eastAsia="宋体" w:hAnsi="Calibri"/>
          <w:kern w:val="2"/>
          <w:szCs w:val="22"/>
          <w:lang w:eastAsia="zh-CN"/>
        </w:rPr>
      </w:pPr>
    </w:p>
    <w:p>
      <w:pPr>
        <w:widowControl/>
        <w:spacing w:line="360" w:lineRule="auto"/>
        <w:jc w:val="left"/>
        <w:rPr>
          <w:rFonts w:ascii="Calibri" w:eastAsia="宋体" w:hAnsi="Calibri"/>
          <w:b/>
          <w:bCs/>
          <w:szCs w:val="22"/>
          <w:lang w:eastAsia="zh-CN"/>
        </w:rPr>
      </w:pPr>
    </w:p>
    <w:p>
      <w:pPr>
        <w:widowControl/>
        <w:jc w:val="center"/>
        <w:rPr>
          <w:rFonts w:ascii="黑体" w:eastAsia="黑体" w:hAnsi="宋体"/>
          <w:szCs w:val="20"/>
          <w:lang w:eastAsia="zh-CN"/>
        </w:rPr>
      </w:pPr>
      <w:r>
        <w:rPr>
          <w:rFonts w:ascii="黑体" w:eastAsia="黑体" w:hAnsi="宋体" w:hint="eastAsia"/>
          <w:szCs w:val="20"/>
          <w:lang w:eastAsia="zh-CN"/>
        </w:rPr>
        <w:t>（三）投标人认为需要加以说明的其他内容（格式自定）</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b/>
          <w:bCs/>
          <w:kern w:val="2"/>
          <w:szCs w:val="22"/>
          <w:lang w:eastAsia="zh-CN"/>
        </w:rPr>
        <w:sectPr>
          <w:pgSz w:w="11907" w:h="16840"/>
          <w:pgMar w:top="1440" w:right="1797" w:bottom="1440" w:left="1797" w:header="851" w:footer="992" w:gutter="0"/>
          <w:cols w:space="708"/>
          <w:titlePg/>
          <w:docGrid w:linePitch="462"/>
        </w:sect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hint="eastAsia"/>
          <w:b/>
          <w:bCs/>
          <w:kern w:val="2"/>
          <w:sz w:val="32"/>
          <w:szCs w:val="32"/>
          <w:lang w:eastAsia="zh-CN"/>
        </w:rPr>
        <w:t>第五章  合同条款及格式</w:t>
      </w:r>
    </w:p>
    <w:p>
      <w:pPr>
        <w:widowControl w:val="0"/>
        <w:ind w:firstLine="412" w:firstLineChars="196"/>
        <w:jc w:val="both"/>
        <w:rPr>
          <w:rFonts w:ascii="Calibri" w:eastAsia="宋体" w:hAnsi="Calibri"/>
          <w:kern w:val="2"/>
          <w:sz w:val="21"/>
          <w:szCs w:val="22"/>
          <w:lang w:eastAsia="zh-CN"/>
        </w:rPr>
      </w:pPr>
    </w:p>
    <w:p>
      <w:pPr>
        <w:widowControl w:val="0"/>
        <w:jc w:val="center"/>
        <w:rPr>
          <w:rFonts w:ascii="Calibri" w:eastAsia="宋体" w:hAnsi="Calibri"/>
          <w:kern w:val="2"/>
          <w:sz w:val="21"/>
          <w:szCs w:val="22"/>
          <w:lang w:eastAsia="zh-CN"/>
        </w:rPr>
      </w:pPr>
      <w:r>
        <w:rPr>
          <w:rFonts w:ascii="Calibri" w:eastAsia="宋体" w:hAnsi="Calibri" w:hint="eastAsia"/>
          <w:b/>
          <w:kern w:val="2"/>
          <w:szCs w:val="22"/>
          <w:lang w:eastAsia="zh-CN"/>
        </w:rPr>
        <w:t>（仅供参考，具体以项目需求及采购结果为准）</w:t>
      </w: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根据深圳公共资源交易中心（深圳交易集团有限公司宝安分公司）*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合同价款：合同总价为元，含一切税、费。</w:t>
      </w:r>
      <w:r>
        <w:rPr>
          <w:rFonts w:ascii="Calibri" w:eastAsia="宋体" w:hAnsi="Calibri"/>
          <w:kern w:val="2"/>
          <w:sz w:val="21"/>
          <w:szCs w:val="22"/>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ascii="Calibri" w:eastAsia="宋体" w:hAnsi="Calibri"/>
          <w:kern w:val="2"/>
          <w:sz w:val="21"/>
          <w:szCs w:val="22"/>
          <w:lang w:eastAsia="zh-CN"/>
        </w:rPr>
        <w:t>服务</w:t>
      </w:r>
      <w:r>
        <w:rPr>
          <w:rFonts w:ascii="Calibri" w:eastAsia="宋体" w:hAnsi="Calibri" w:hint="eastAsia"/>
          <w:kern w:val="2"/>
          <w:sz w:val="21"/>
          <w:szCs w:val="22"/>
          <w:lang w:eastAsia="zh-CN"/>
        </w:rPr>
        <w:t>和</w:t>
      </w:r>
      <w:r>
        <w:rPr>
          <w:rFonts w:ascii="Calibri" w:eastAsia="宋体" w:hAnsi="Calibri"/>
          <w:kern w:val="2"/>
          <w:sz w:val="21"/>
          <w:szCs w:val="22"/>
          <w:lang w:eastAsia="zh-CN"/>
        </w:rPr>
        <w:t>技术费用</w:t>
      </w:r>
      <w:r>
        <w:rPr>
          <w:rFonts w:ascii="Calibri" w:eastAsia="宋体" w:hAnsi="Calibri" w:hint="eastAsia"/>
          <w:kern w:val="2"/>
          <w:sz w:val="21"/>
          <w:szCs w:val="22"/>
          <w:lang w:eastAsia="zh-CN"/>
        </w:rPr>
        <w:t>等</w:t>
      </w:r>
      <w:r>
        <w:rPr>
          <w:rFonts w:ascii="Calibri" w:eastAsia="宋体" w:hAnsi="Calibri"/>
          <w:kern w:val="2"/>
          <w:sz w:val="21"/>
          <w:szCs w:val="22"/>
          <w:lang w:eastAsia="zh-CN"/>
        </w:rPr>
        <w:t>，为固定不变价格，且不随通货膨胀的影响而波动。合同总价包括</w:t>
      </w:r>
      <w:r>
        <w:rPr>
          <w:rFonts w:ascii="宋体" w:eastAsia="宋体" w:hAnsi="宋体" w:hint="eastAsia"/>
          <w:kern w:val="2"/>
          <w:sz w:val="21"/>
          <w:szCs w:val="21"/>
          <w:lang w:eastAsia="zh-CN"/>
        </w:rPr>
        <w:t>乙方</w:t>
      </w:r>
      <w:r>
        <w:rPr>
          <w:rFonts w:ascii="Calibri" w:eastAsia="宋体" w:hAnsi="Calibri"/>
          <w:kern w:val="2"/>
          <w:sz w:val="21"/>
          <w:szCs w:val="22"/>
          <w:lang w:eastAsia="zh-CN"/>
        </w:rPr>
        <w:t>履行本合同义务所发生的一切费用和支出和以各种方式寄送技术资料到</w:t>
      </w:r>
      <w:r>
        <w:rPr>
          <w:rFonts w:ascii="Calibri" w:eastAsia="宋体" w:hAnsi="Calibri" w:hint="eastAsia"/>
          <w:kern w:val="2"/>
          <w:sz w:val="21"/>
          <w:szCs w:val="22"/>
          <w:lang w:eastAsia="zh-CN"/>
        </w:rPr>
        <w:t>甲</w:t>
      </w:r>
      <w:r>
        <w:rPr>
          <w:rFonts w:ascii="Calibri" w:eastAsia="宋体" w:hAnsi="Calibri"/>
          <w:kern w:val="2"/>
          <w:sz w:val="21"/>
          <w:szCs w:val="22"/>
          <w:lang w:eastAsia="zh-CN"/>
        </w:rPr>
        <w:t>方办公室所发生的费用。</w:t>
      </w:r>
    </w:p>
    <w:p>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 其他合同未明示的相关工作。</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1、合同签订天内完成项目实施的准备工作，包括工作大纲和试验细则的编制；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第四条  服务资料归属</w:t>
      </w:r>
    </w:p>
    <w:p>
      <w:pPr>
        <w:widowControl w:val="0"/>
        <w:ind w:firstLine="420" w:firstLineChars="200"/>
        <w:jc w:val="both"/>
        <w:rPr>
          <w:rFonts w:ascii="Calibri" w:eastAsia="宋体" w:hAnsi="Calibri"/>
          <w:kern w:val="2"/>
          <w:sz w:val="21"/>
          <w:szCs w:val="22"/>
          <w:lang w:eastAsia="zh-CN"/>
        </w:rPr>
      </w:pPr>
      <w:r>
        <w:rPr>
          <w:rFonts w:ascii="Calibri" w:eastAsia="宋体" w:hAnsi="Calibri"/>
          <w:kern w:val="2"/>
          <w:sz w:val="21"/>
          <w:szCs w:val="22"/>
          <w:lang w:eastAsia="zh-CN"/>
        </w:rPr>
        <w:t>1</w:t>
      </w:r>
      <w:r>
        <w:rPr>
          <w:rFonts w:ascii="Calibri" w:eastAsia="宋体" w:hAnsi="Calibri" w:hint="eastAsia"/>
          <w:kern w:val="2"/>
          <w:sz w:val="21"/>
          <w:szCs w:val="22"/>
          <w:lang w:eastAsia="zh-CN"/>
        </w:rPr>
        <w:t>、</w:t>
      </w:r>
      <w:r>
        <w:rPr>
          <w:rFonts w:ascii="Calibri" w:eastAsia="宋体" w:hAnsi="Calibri"/>
          <w:kern w:val="2"/>
          <w:sz w:val="21"/>
          <w:szCs w:val="22"/>
          <w:lang w:eastAsia="zh-CN"/>
        </w:rPr>
        <w:t>所有提交给</w:t>
      </w:r>
      <w:r>
        <w:rPr>
          <w:rFonts w:ascii="Calibri" w:eastAsia="宋体" w:hAnsi="Calibri" w:hint="eastAsia"/>
          <w:kern w:val="2"/>
          <w:sz w:val="21"/>
          <w:szCs w:val="22"/>
          <w:lang w:eastAsia="zh-CN"/>
        </w:rPr>
        <w:t>甲</w:t>
      </w:r>
      <w:r>
        <w:rPr>
          <w:rFonts w:ascii="Calibri" w:eastAsia="宋体" w:hAnsi="Calibri"/>
          <w:kern w:val="2"/>
          <w:sz w:val="21"/>
          <w:szCs w:val="22"/>
          <w:lang w:eastAsia="zh-CN"/>
        </w:rPr>
        <w:t>方的服务</w:t>
      </w:r>
      <w:r>
        <w:rPr>
          <w:rFonts w:ascii="Calibri" w:eastAsia="宋体" w:hAnsi="Calibri" w:hint="eastAsia"/>
          <w:kern w:val="2"/>
          <w:sz w:val="21"/>
          <w:szCs w:val="22"/>
          <w:lang w:eastAsia="zh-CN"/>
        </w:rPr>
        <w:t>文件</w:t>
      </w:r>
      <w:r>
        <w:rPr>
          <w:rFonts w:ascii="Calibri" w:eastAsia="宋体" w:hAnsi="Calibri"/>
          <w:kern w:val="2"/>
          <w:sz w:val="21"/>
          <w:szCs w:val="22"/>
          <w:lang w:eastAsia="zh-CN"/>
        </w:rPr>
        <w:t>及相关的资料的最后文本，包括为履行技术服务范围所编制的图纸、计划和证明资料等，都属于</w:t>
      </w:r>
      <w:r>
        <w:rPr>
          <w:rFonts w:ascii="Calibri" w:eastAsia="宋体" w:hAnsi="Calibri" w:hint="eastAsia"/>
          <w:kern w:val="2"/>
          <w:sz w:val="21"/>
          <w:szCs w:val="22"/>
          <w:lang w:eastAsia="zh-CN"/>
        </w:rPr>
        <w:t>甲</w:t>
      </w:r>
      <w:r>
        <w:rPr>
          <w:rFonts w:ascii="Calibri" w:eastAsia="宋体" w:hAnsi="Calibri"/>
          <w:kern w:val="2"/>
          <w:sz w:val="21"/>
          <w:szCs w:val="22"/>
          <w:lang w:eastAsia="zh-CN"/>
        </w:rPr>
        <w:t>方的财产，</w:t>
      </w:r>
      <w:r>
        <w:rPr>
          <w:rFonts w:ascii="宋体" w:eastAsia="宋体" w:hAnsi="宋体" w:hint="eastAsia"/>
          <w:kern w:val="2"/>
          <w:sz w:val="21"/>
          <w:szCs w:val="21"/>
          <w:lang w:eastAsia="zh-CN"/>
        </w:rPr>
        <w:t>乙</w:t>
      </w:r>
      <w:r>
        <w:rPr>
          <w:rFonts w:ascii="Calibri" w:eastAsia="宋体" w:hAnsi="Calibri"/>
          <w:kern w:val="2"/>
          <w:sz w:val="21"/>
          <w:szCs w:val="22"/>
          <w:lang w:eastAsia="zh-CN"/>
        </w:rPr>
        <w:t>方在提交给</w:t>
      </w:r>
      <w:r>
        <w:rPr>
          <w:rFonts w:ascii="Calibri" w:eastAsia="宋体" w:hAnsi="Calibri" w:hint="eastAsia"/>
          <w:kern w:val="2"/>
          <w:sz w:val="21"/>
          <w:szCs w:val="22"/>
          <w:lang w:eastAsia="zh-CN"/>
        </w:rPr>
        <w:t>甲</w:t>
      </w:r>
      <w:r>
        <w:rPr>
          <w:rFonts w:ascii="Calibri" w:eastAsia="宋体" w:hAnsi="Calibri"/>
          <w:kern w:val="2"/>
          <w:sz w:val="21"/>
          <w:szCs w:val="22"/>
          <w:lang w:eastAsia="zh-CN"/>
        </w:rPr>
        <w:t>方之前应将上述资料进行整理归类和编制索引</w:t>
      </w:r>
      <w:r>
        <w:rPr>
          <w:rFonts w:ascii="Calibri" w:eastAsia="宋体" w:hAnsi="Calibri" w:hint="eastAsia"/>
          <w:kern w:val="2"/>
          <w:sz w:val="21"/>
          <w:szCs w:val="22"/>
          <w:lang w:eastAsia="zh-CN"/>
        </w:rPr>
        <w:t>。</w:t>
      </w:r>
    </w:p>
    <w:p>
      <w:pPr>
        <w:widowControl w:val="0"/>
        <w:ind w:firstLine="420" w:firstLineChars="200"/>
        <w:jc w:val="both"/>
        <w:rPr>
          <w:rFonts w:ascii="Calibri" w:eastAsia="宋体" w:hAnsi="Calibri"/>
          <w:kern w:val="2"/>
          <w:sz w:val="21"/>
          <w:szCs w:val="22"/>
          <w:lang w:eastAsia="zh-CN"/>
        </w:rPr>
      </w:pPr>
      <w:r>
        <w:rPr>
          <w:rFonts w:ascii="Calibri" w:eastAsia="宋体" w:hAnsi="Calibri"/>
          <w:kern w:val="2"/>
          <w:sz w:val="21"/>
          <w:szCs w:val="22"/>
          <w:lang w:eastAsia="zh-CN"/>
        </w:rPr>
        <w:t>2</w:t>
      </w:r>
      <w:r>
        <w:rPr>
          <w:rFonts w:ascii="Calibri" w:eastAsia="宋体" w:hAnsi="Calibri" w:hint="eastAsia"/>
          <w:kern w:val="2"/>
          <w:sz w:val="21"/>
          <w:szCs w:val="22"/>
          <w:lang w:eastAsia="zh-CN"/>
        </w:rPr>
        <w:t>、</w:t>
      </w:r>
      <w:r>
        <w:rPr>
          <w:rFonts w:ascii="宋体" w:eastAsia="宋体" w:hAnsi="宋体" w:hint="eastAsia"/>
          <w:kern w:val="2"/>
          <w:sz w:val="21"/>
          <w:szCs w:val="21"/>
          <w:lang w:eastAsia="zh-CN"/>
        </w:rPr>
        <w:t>乙</w:t>
      </w:r>
      <w:r>
        <w:rPr>
          <w:rFonts w:ascii="Calibri" w:eastAsia="宋体" w:hAnsi="Calibri"/>
          <w:kern w:val="2"/>
          <w:sz w:val="21"/>
          <w:szCs w:val="22"/>
          <w:lang w:eastAsia="zh-CN"/>
        </w:rPr>
        <w:t>方未经</w:t>
      </w:r>
      <w:r>
        <w:rPr>
          <w:rFonts w:ascii="Calibri" w:eastAsia="宋体" w:hAnsi="Calibri" w:hint="eastAsia"/>
          <w:kern w:val="2"/>
          <w:sz w:val="21"/>
          <w:szCs w:val="22"/>
          <w:lang w:eastAsia="zh-CN"/>
        </w:rPr>
        <w:t>甲</w:t>
      </w:r>
      <w:r>
        <w:rPr>
          <w:rFonts w:ascii="Calibri" w:eastAsia="宋体" w:hAnsi="Calibri"/>
          <w:kern w:val="2"/>
          <w:sz w:val="21"/>
          <w:szCs w:val="22"/>
          <w:lang w:eastAsia="zh-CN"/>
        </w:rPr>
        <w:t>方的书面同意，不得将上述资料用于与本服务项目之外的任何项目</w:t>
      </w:r>
      <w:r>
        <w:rPr>
          <w:rFonts w:ascii="Calibri" w:eastAsia="宋体" w:hAnsi="Calibri" w:hint="eastAsia"/>
          <w:kern w:val="2"/>
          <w:sz w:val="21"/>
          <w:szCs w:val="22"/>
          <w:lang w:eastAsia="zh-CN"/>
        </w:rPr>
        <w:t>。</w:t>
      </w:r>
    </w:p>
    <w:p>
      <w:pPr>
        <w:widowControl w:val="0"/>
        <w:ind w:firstLine="420" w:firstLineChars="200"/>
        <w:jc w:val="both"/>
        <w:rPr>
          <w:rFonts w:ascii="Calibri" w:eastAsia="宋体" w:hAnsi="Calibri"/>
          <w:kern w:val="2"/>
          <w:sz w:val="21"/>
          <w:szCs w:val="22"/>
          <w:lang w:eastAsia="zh-CN"/>
        </w:rPr>
      </w:pPr>
      <w:r>
        <w:rPr>
          <w:rFonts w:ascii="Calibri" w:eastAsia="宋体" w:hAnsi="Calibri" w:hint="eastAsia"/>
          <w:kern w:val="2"/>
          <w:sz w:val="21"/>
          <w:szCs w:val="22"/>
          <w:lang w:eastAsia="zh-CN"/>
        </w:rPr>
        <w:t>3、</w:t>
      </w:r>
      <w:r>
        <w:rPr>
          <w:rFonts w:ascii="Calibri" w:eastAsia="宋体" w:hAnsi="Calibri"/>
          <w:kern w:val="2"/>
          <w:sz w:val="21"/>
          <w:szCs w:val="22"/>
          <w:lang w:eastAsia="zh-CN"/>
        </w:rPr>
        <w:t>合同履行</w:t>
      </w:r>
      <w:r>
        <w:rPr>
          <w:rFonts w:ascii="Calibri" w:eastAsia="宋体" w:hAnsi="Calibri" w:hint="eastAsia"/>
          <w:kern w:val="2"/>
          <w:sz w:val="21"/>
          <w:szCs w:val="22"/>
          <w:lang w:eastAsia="zh-CN"/>
        </w:rPr>
        <w:t>完毕，</w:t>
      </w:r>
      <w:r>
        <w:rPr>
          <w:rFonts w:ascii="Calibri" w:eastAsia="宋体" w:hAnsi="Calibri"/>
          <w:kern w:val="2"/>
          <w:sz w:val="21"/>
          <w:szCs w:val="22"/>
          <w:lang w:eastAsia="zh-CN"/>
        </w:rPr>
        <w:t>未经</w:t>
      </w:r>
      <w:r>
        <w:rPr>
          <w:rFonts w:ascii="Calibri" w:eastAsia="宋体" w:hAnsi="Calibri" w:hint="eastAsia"/>
          <w:kern w:val="2"/>
          <w:sz w:val="21"/>
          <w:szCs w:val="22"/>
          <w:lang w:eastAsia="zh-CN"/>
        </w:rPr>
        <w:t>甲</w:t>
      </w:r>
      <w:r>
        <w:rPr>
          <w:rFonts w:ascii="Calibri" w:eastAsia="宋体" w:hAnsi="Calibri"/>
          <w:kern w:val="2"/>
          <w:sz w:val="21"/>
          <w:szCs w:val="22"/>
          <w:lang w:eastAsia="zh-CN"/>
        </w:rPr>
        <w:t>方的书面同意</w:t>
      </w:r>
      <w:r>
        <w:rPr>
          <w:rFonts w:ascii="Calibri" w:eastAsia="宋体" w:hAnsi="Calibri" w:hint="eastAsia"/>
          <w:kern w:val="2"/>
          <w:sz w:val="21"/>
          <w:szCs w:val="22"/>
          <w:lang w:eastAsia="zh-CN"/>
        </w:rPr>
        <w:t>，</w:t>
      </w:r>
      <w:r>
        <w:rPr>
          <w:rFonts w:ascii="宋体" w:eastAsia="宋体" w:hAnsi="宋体" w:hint="eastAsia"/>
          <w:kern w:val="2"/>
          <w:sz w:val="21"/>
          <w:szCs w:val="21"/>
          <w:lang w:eastAsia="zh-CN"/>
        </w:rPr>
        <w:t>乙</w:t>
      </w:r>
      <w:r>
        <w:rPr>
          <w:rFonts w:ascii="Calibri" w:eastAsia="宋体" w:hAnsi="Calibri"/>
          <w:kern w:val="2"/>
          <w:sz w:val="21"/>
          <w:szCs w:val="22"/>
          <w:lang w:eastAsia="zh-CN"/>
        </w:rPr>
        <w:t>方</w:t>
      </w:r>
      <w:r>
        <w:rPr>
          <w:rFonts w:ascii="Calibri" w:eastAsia="宋体" w:hAnsi="Calibri" w:hint="eastAsia"/>
          <w:kern w:val="2"/>
          <w:sz w:val="21"/>
          <w:szCs w:val="22"/>
          <w:lang w:eastAsia="zh-CN"/>
        </w:rPr>
        <w:t>不得保存在</w:t>
      </w:r>
      <w:r>
        <w:rPr>
          <w:rFonts w:ascii="Calibri" w:eastAsia="宋体" w:hAnsi="Calibri"/>
          <w:kern w:val="2"/>
          <w:sz w:val="21"/>
          <w:szCs w:val="22"/>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2、向乙方提供与本项目服务工作有关的资料。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3、负责组织有关专家对项目试验成果评估报告的评审。</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第六条　乙方的义务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１、应按照招标文件、投标文件要求按期完成本项目服务工作。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2、负责组织项目的实施，保证工程进度和成桥荷载试验工作质量，并满足交通部交工验收相关标准。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2"/>
          <w:lang w:eastAsia="zh-CN"/>
        </w:rPr>
        <w:t>向甲方提交检测资料等各套，一套电子版文件。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第七条  甲方的权利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第八条  乙方的权利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、乙方在本项目服务过程中，有权对第三方提出与本服务业务有关的问题进行核对或查问。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、乙方在本项目服务过程中，有到工程现场勘察的权利。</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第九条  甲方的责任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第十条  乙方的责任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第十一条  人员要求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1、参加本项目试验的人员必须具有国家和有关部门规定的相应资质。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 参加本项目的试验人员的配置必须与投标文件中的服务承诺书和试验服务组织实施方案一致。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3、必须以直属试验人员参与本项目服务，不得使用挂靠队伍。</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第十二条  乙方服务工具要求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第十三条  保密要求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 xml:space="preserve">第十四条  验收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三</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3、验收依据为招标文件、投标文件，国家和行业有关规范、规程和标准。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第十五条  付款方式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1、合同签订后   天内乙方向甲方开具合法有效的发票后，甲方于   天内向乙方支付合同总价%的款项。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2、检测完成并提交评估报告后  天内，乙方向甲方开具合法有效发票后 天，甲方向乙方支付合同总价%的款项。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3、报告通过专家评审后，甲方向乙方支付合同总价%的款项。</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第十六条  争议解决办法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第十七条  风险责任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2、乙方在实施荷载试验过程中应对自身的安全生产负责，若非因甲方原因发生的各种事故甲方不承担任何责任。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第十八条  违约责任</w:t>
      </w:r>
    </w:p>
    <w:p>
      <w:pPr>
        <w:widowControl w:val="0"/>
        <w:spacing w:line="24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2、由于乙方原因造成试验成果质量低劣，不能满足大纲要求时，应继续完善试验工作，其费用由乙方承担。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第十九条  其他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1、本协议书与下列文件一起构成合同文件，如下述文件之间有任何抵触、矛盾或歧义，应按以下顺序解释：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（1）政府采购合同协议书及其变更、补充协议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（2）政府采购合同专用条款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（3）政府采购合同通用条款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（4）中标（成交）通知书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（5）投标（响应）文件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（6）采购文件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（7）有关技术文件，图纸</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（8）国家法律、行政法规和规章制度规定或合同约定的作为合同组成部分的其他文件。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（1）号招标文件、答疑及补充通知；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委托代理人：                     委托代理人：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日期：   年     月    日         日期：   年     月    日</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jc w:val="left"/>
        <w:rPr>
          <w:rFonts w:ascii="宋体" w:eastAsia="宋体" w:hAnsi="宋体"/>
          <w:kern w:val="2"/>
          <w:sz w:val="21"/>
          <w:szCs w:val="21"/>
          <w:lang w:eastAsia="zh-CN"/>
        </w:rPr>
      </w:pPr>
      <w:r>
        <w:rPr>
          <w:rFonts w:ascii="宋体" w:eastAsia="宋体" w:hAnsi="宋体"/>
          <w:kern w:val="2"/>
          <w:sz w:val="21"/>
          <w:szCs w:val="21"/>
          <w:lang w:eastAsia="zh-CN"/>
        </w:rPr>
        <w:br w:type="page"/>
      </w:r>
    </w:p>
    <w:p>
      <w:pPr>
        <w:keepNext/>
        <w:keepLines/>
        <w:widowControl w:val="0"/>
        <w:spacing w:before="156" w:beforeLines="50" w:after="156" w:afterLines="50" w:line="416" w:lineRule="auto"/>
        <w:ind w:left="562"/>
        <w:jc w:val="center"/>
        <w:outlineLvl w:val="1"/>
        <w:rPr>
          <w:rFonts w:ascii="Cambria" w:eastAsia="宋体" w:hAnsi="Cambria"/>
          <w:b/>
          <w:bCs/>
          <w:kern w:val="2"/>
          <w:sz w:val="28"/>
          <w:szCs w:val="28"/>
          <w:lang w:eastAsia="zh-CN"/>
        </w:rPr>
      </w:pPr>
      <w:r>
        <w:rPr>
          <w:rFonts w:ascii="Cambria" w:eastAsia="宋体" w:hAnsi="Cambria" w:hint="eastAsia"/>
          <w:b/>
          <w:bCs/>
          <w:kern w:val="2"/>
          <w:sz w:val="28"/>
          <w:szCs w:val="28"/>
          <w:lang w:eastAsia="zh-CN"/>
        </w:rPr>
        <w:t>第二册  通用条款（公开招标）</w:t>
      </w:r>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50" w:name="_Hlk72399513"/>
      <w:bookmarkStart w:id="51" w:name="_Hlk72439706"/>
      <w:r>
        <w:rPr>
          <w:rFonts w:ascii="Cambria" w:eastAsia="宋体" w:hAnsi="Cambria" w:hint="eastAsia"/>
          <w:b/>
          <w:bCs/>
          <w:kern w:val="2"/>
          <w:sz w:val="28"/>
          <w:szCs w:val="28"/>
          <w:lang w:eastAsia="zh-CN"/>
        </w:rPr>
        <w:t>总则</w:t>
      </w:r>
    </w:p>
    <w:p>
      <w:pPr>
        <w:widowControl w:val="0"/>
        <w:ind w:firstLine="420" w:firstLineChars="200"/>
        <w:jc w:val="both"/>
        <w:rPr>
          <w:rFonts w:ascii="黑体" w:eastAsia="黑体" w:hAnsi="宋体"/>
          <w:kern w:val="2"/>
          <w:sz w:val="21"/>
          <w:szCs w:val="21"/>
          <w:lang w:eastAsia="zh-CN"/>
        </w:rPr>
      </w:pPr>
      <w:bookmarkEnd w:id="50"/>
      <w:r>
        <w:rPr>
          <w:rFonts w:ascii="黑体" w:eastAsia="黑体" w:hAnsi="宋体" w:hint="eastAsia"/>
          <w:kern w:val="2"/>
          <w:sz w:val="21"/>
          <w:szCs w:val="21"/>
          <w:lang w:eastAsia="zh-CN"/>
        </w:rPr>
        <w:t>1. 通用条款说明</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1.1政府集中采购机构发出招标文件通用条款版本，列出深圳市自行采购项目进行招标采购所适用的通用条款内容。</w:t>
      </w:r>
      <w:bookmarkStart w:id="52" w:name="_Hlk72399729"/>
      <w:r>
        <w:rPr>
          <w:rFonts w:ascii="宋体" w:eastAsia="宋体" w:hAnsi="宋体" w:hint="eastAsia"/>
          <w:kern w:val="2"/>
          <w:sz w:val="21"/>
          <w:szCs w:val="21"/>
          <w:lang w:eastAsia="zh-CN"/>
        </w:rPr>
        <w:t>如有需要，政府集中采购机构可以对通用条款的内容进行补充。</w:t>
      </w:r>
      <w:bookmarkEnd w:id="52"/>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1.2招标文件分为第一册</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专用条款</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和第二册</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通用条款</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1.3</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专用条款</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1.4</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通用条款</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是适用于自行采购公开招标项目的基础性条款，具有普遍性和通用性。</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1.5 </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专用条款</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和</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通用条款</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表述不一致或有冲突时，以</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专用条款</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为准。</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w:t>
      </w:r>
      <w:r>
        <w:rPr>
          <w:rFonts w:ascii="黑体" w:eastAsia="黑体" w:hAnsi="宋体"/>
          <w:kern w:val="2"/>
          <w:sz w:val="21"/>
          <w:szCs w:val="21"/>
          <w:lang w:eastAsia="zh-CN"/>
        </w:rPr>
        <w:t>．</w:t>
      </w:r>
      <w:r>
        <w:rPr>
          <w:rFonts w:ascii="黑体" w:eastAsia="黑体" w:hAnsi="宋体" w:hint="eastAsia"/>
          <w:kern w:val="2"/>
          <w:sz w:val="21"/>
          <w:szCs w:val="21"/>
          <w:lang w:eastAsia="zh-CN"/>
        </w:rPr>
        <w:t>招标说明</w:t>
      </w:r>
    </w:p>
    <w:p>
      <w:pPr>
        <w:widowControl w:val="0"/>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3．定义</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招标</w:t>
      </w:r>
      <w:r>
        <w:rPr>
          <w:rFonts w:ascii="宋体" w:eastAsia="宋体" w:hAnsi="宋体"/>
          <w:kern w:val="2"/>
          <w:sz w:val="21"/>
          <w:szCs w:val="21"/>
          <w:lang w:eastAsia="zh-CN"/>
        </w:rPr>
        <w:t>文件中下列术语应解释为：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1</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采购人</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：指利用财政性资金依法进行</w:t>
      </w:r>
      <w:r>
        <w:rPr>
          <w:rFonts w:ascii="宋体" w:eastAsia="宋体" w:hAnsi="宋体" w:hint="eastAsia"/>
          <w:b/>
          <w:bCs/>
          <w:color w:val="FF0000"/>
          <w:kern w:val="2"/>
          <w:sz w:val="21"/>
          <w:szCs w:val="21"/>
          <w:lang w:eastAsia="zh-CN"/>
        </w:rPr>
        <w:t>自行采购</w:t>
      </w:r>
      <w:r>
        <w:rPr>
          <w:rFonts w:ascii="宋体" w:eastAsia="宋体" w:hAnsi="宋体" w:hint="eastAsia"/>
          <w:kern w:val="2"/>
          <w:sz w:val="21"/>
          <w:szCs w:val="21"/>
          <w:lang w:eastAsia="zh-CN"/>
        </w:rPr>
        <w:t>的国家机关、事业单位、团体组织；</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3.2 </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政府集中采购机构</w:t>
      </w:r>
      <w:r>
        <w:rPr>
          <w:rFonts w:ascii="宋体" w:eastAsia="宋体" w:hAnsi="宋体" w:hint="eastAsia"/>
          <w:kern w:val="2"/>
          <w:sz w:val="21"/>
          <w:szCs w:val="21"/>
          <w:lang w:eastAsia="zh-CN"/>
        </w:rPr>
        <w:t>”</w:t>
      </w:r>
      <w:r>
        <w:rPr>
          <w:rFonts w:ascii="Arial" w:eastAsia="宋体" w:hAnsi="Arial" w:cs="Arial" w:hint="eastAsia"/>
          <w:kern w:val="2"/>
          <w:sz w:val="21"/>
          <w:szCs w:val="21"/>
          <w:lang w:eastAsia="zh-CN"/>
        </w:rPr>
        <w:t>是指市政府设立的，组织实施采购项目，并对采购活动提供服务的专门机构；</w:t>
      </w:r>
      <w:r>
        <w:rPr>
          <w:rFonts w:ascii="宋体" w:eastAsia="宋体" w:hAnsi="宋体" w:hint="eastAsia"/>
          <w:kern w:val="2"/>
          <w:sz w:val="21"/>
          <w:szCs w:val="21"/>
          <w:lang w:eastAsia="zh-CN"/>
        </w:rPr>
        <w:t>本文件所述的</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政府集中采购机构</w:t>
      </w:r>
      <w:r>
        <w:rPr>
          <w:rFonts w:ascii="宋体" w:eastAsia="宋体" w:hAnsi="宋体" w:hint="eastAsia"/>
          <w:kern w:val="2"/>
          <w:sz w:val="21"/>
          <w:szCs w:val="21"/>
          <w:lang w:eastAsia="zh-CN"/>
        </w:rPr>
        <w:t>”</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3.3</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投标人</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评审委员会</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3.5</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日期</w:t>
      </w:r>
      <w:r>
        <w:rPr>
          <w:rFonts w:ascii="宋体" w:eastAsia="宋体" w:hAnsi="宋体" w:hint="eastAsia"/>
          <w:kern w:val="2"/>
          <w:sz w:val="21"/>
          <w:szCs w:val="21"/>
          <w:lang w:eastAsia="zh-CN"/>
        </w:rPr>
        <w:t>”</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3.6</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合同</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指由本次招标所产生的合同或合约文件；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3.7</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电子投标文件</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指利用</w:t>
      </w:r>
      <w:r>
        <w:rPr>
          <w:rFonts w:ascii="宋体" w:eastAsia="宋体" w:hAnsi="宋体" w:hint="eastAsia"/>
          <w:b/>
          <w:bCs/>
          <w:color w:val="FF0000"/>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网站提供的深圳政府采购自行采购系统投标文件制作专用软件（以下简称：投标文件制作软件）制作并加密的投标文件,适用于网上投标；（投标文件制作软件可从</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下载地址：https://www.szggzy.com/jyfw/details.html?contentId=2053275深圳政府采购自行采购系统投标文件编制工具</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下载）</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网上投标</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指通过</w:t>
      </w:r>
      <w:r>
        <w:rPr>
          <w:rFonts w:ascii="宋体" w:eastAsia="宋体" w:hAnsi="宋体" w:hint="eastAsia"/>
          <w:b/>
          <w:bCs/>
          <w:color w:val="FF0000"/>
          <w:kern w:val="2"/>
          <w:sz w:val="21"/>
          <w:szCs w:val="21"/>
          <w:lang w:eastAsia="zh-CN"/>
        </w:rPr>
        <w:t>深圳政府采购自行采购系统</w:t>
      </w:r>
      <w:r>
        <w:rPr>
          <w:rFonts w:ascii="宋体" w:eastAsia="宋体" w:hAnsi="宋体" w:hint="eastAsia"/>
          <w:kern w:val="2"/>
          <w:sz w:val="21"/>
          <w:szCs w:val="21"/>
          <w:lang w:eastAsia="zh-CN"/>
        </w:rPr>
        <w:t>网站上传电子投标文件；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 xml:space="preserve">4. </w:t>
      </w:r>
      <w:bookmarkStart w:id="53" w:name="_Hlk72398643"/>
      <w:r>
        <w:rPr>
          <w:rFonts w:ascii="黑体" w:eastAsia="黑体" w:hAnsi="宋体" w:hint="eastAsia"/>
          <w:kern w:val="2"/>
          <w:sz w:val="21"/>
          <w:szCs w:val="21"/>
          <w:lang w:eastAsia="zh-CN"/>
        </w:rPr>
        <w:t>自行采购供应商责任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5．投标人参加自行采购的条件</w:t>
      </w:r>
    </w:p>
    <w:p>
      <w:pPr>
        <w:widowControl w:val="0"/>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5.1投标人应在投标前到</w:t>
      </w:r>
      <w:r>
        <w:rPr>
          <w:rFonts w:ascii="宋体" w:eastAsia="宋体" w:hAnsi="宋体" w:hint="eastAsia"/>
          <w:b/>
          <w:bCs/>
          <w:kern w:val="2"/>
          <w:sz w:val="21"/>
          <w:szCs w:val="21"/>
          <w:lang w:eastAsia="zh-CN"/>
        </w:rPr>
        <w:t>深圳政府采购自行采购系统（具体在深圳交易集团有限公司政府采购业务分公司进行办理）</w:t>
      </w:r>
      <w:r>
        <w:rPr>
          <w:rFonts w:ascii="宋体" w:eastAsia="宋体" w:hAnsi="宋体" w:hint="eastAsia"/>
          <w:kern w:val="2"/>
          <w:sz w:val="21"/>
          <w:szCs w:val="21"/>
          <w:lang w:eastAsia="zh-CN"/>
        </w:rPr>
        <w:t>进行注册并办理电子密钥。《深圳政府采购自行采购系统用户操作指引（供应商）》详见www.szggzy.com网站</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交易服务指南-政府采购-资料下载</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5.2投标人资格要求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参加本项目的投标人应具备的资格条件详见本项目招标公告中 </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投标人资格要求</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的内容。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5.3联合体投标</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（1）投标联合体各方参加采购活动应当具备下列条件：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1、具有独立承担民事责任的能力；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2、有良好的商业信誉和健全的财务会计制度；</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3、具有履行合同所必需的设备和专业技术能力；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4、有依法缴纳税收和社会保障资金的良好记录；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5、参加采购活动前三年内，在经营活动中没有重大违法记录；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6、法律、行政法规规定的其他条件。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（2）在投标截止前，投标联合体各方均应注册成</w:t>
      </w:r>
      <w:r>
        <w:rPr>
          <w:rFonts w:ascii="宋体" w:eastAsia="宋体" w:hAnsi="宋体" w:hint="eastAsia"/>
          <w:b/>
          <w:bCs/>
          <w:color w:val="FF0000"/>
          <w:kern w:val="2"/>
          <w:sz w:val="21"/>
          <w:szCs w:val="21"/>
          <w:lang w:eastAsia="zh-CN"/>
        </w:rPr>
        <w:t>深圳政府采购自行采购系统</w:t>
      </w:r>
      <w:r>
        <w:rPr>
          <w:rFonts w:ascii="宋体" w:eastAsia="宋体" w:hAnsi="宋体" w:hint="eastAsia"/>
          <w:kern w:val="2"/>
          <w:sz w:val="21"/>
          <w:szCs w:val="21"/>
          <w:lang w:eastAsia="zh-CN"/>
        </w:rPr>
        <w:t>供应商；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ascii="Calibri" w:eastAsia="宋体" w:hAnsi="Calibri"/>
          <w:kern w:val="2"/>
          <w:sz w:val="21"/>
          <w:szCs w:val="21"/>
          <w:lang w:eastAsia="zh-CN"/>
        </w:rPr>
      </w:pPr>
      <w:r>
        <w:rPr>
          <w:rFonts w:ascii="Calibri" w:eastAsia="宋体" w:hAnsi="Calibri"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（9）本通用条款中</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投标人</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一词亦指联合体各方，专用条款另有规定或说明的除外。</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6．政策导向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6.1</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ascii="Calibri" w:eastAsia="宋体" w:hAnsi="Calibri"/>
          <w:kern w:val="2"/>
          <w:sz w:val="21"/>
          <w:szCs w:val="21"/>
          <w:lang w:eastAsia="zh-CN"/>
        </w:rPr>
      </w:pPr>
      <w:r>
        <w:rPr>
          <w:rFonts w:ascii="宋体" w:eastAsia="宋体" w:hAnsi="宋体" w:hint="eastAsia"/>
          <w:kern w:val="2"/>
          <w:sz w:val="21"/>
          <w:szCs w:val="21"/>
          <w:lang w:eastAsia="zh-CN"/>
        </w:rPr>
        <w:t>6.2</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投标人</w:t>
      </w:r>
      <w:bookmarkStart w:id="54" w:name="_Hlk72152753"/>
      <w:r>
        <w:rPr>
          <w:rFonts w:ascii="宋体" w:eastAsia="宋体" w:hAnsi="宋体"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4"/>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8．投标费用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9．踏勘现场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w:t>
      </w:r>
      <w:r>
        <w:rPr>
          <w:rFonts w:ascii="宋体" w:eastAsia="宋体" w:hAnsi="宋体"/>
          <w:kern w:val="2"/>
          <w:sz w:val="21"/>
          <w:szCs w:val="21"/>
          <w:lang w:eastAsia="zh-CN"/>
        </w:rPr>
        <w:t>5</w:t>
      </w:r>
      <w:r>
        <w:rPr>
          <w:rFonts w:ascii="宋体" w:eastAsia="宋体" w:hAnsi="宋体"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0</w:t>
      </w:r>
      <w:r>
        <w:rPr>
          <w:rFonts w:ascii="黑体" w:eastAsia="黑体" w:hAnsi="宋体" w:hint="eastAsia"/>
          <w:kern w:val="2"/>
          <w:sz w:val="21"/>
          <w:szCs w:val="21"/>
          <w:lang w:eastAsia="zh-CN"/>
        </w:rPr>
        <w:t>．标前会议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10</w:t>
      </w:r>
      <w:r>
        <w:rPr>
          <w:rFonts w:ascii="宋体" w:eastAsia="宋体" w:hAnsi="宋体" w:hint="eastAsia"/>
          <w:kern w:val="2"/>
          <w:sz w:val="21"/>
          <w:szCs w:val="21"/>
          <w:lang w:eastAsia="zh-CN"/>
        </w:rPr>
        <w:t>.</w:t>
      </w:r>
      <w:r>
        <w:rPr>
          <w:rFonts w:ascii="宋体" w:eastAsia="宋体" w:hAnsi="宋体"/>
          <w:kern w:val="2"/>
          <w:sz w:val="21"/>
          <w:szCs w:val="21"/>
          <w:lang w:eastAsia="zh-CN"/>
        </w:rPr>
        <w:t>2</w:t>
      </w:r>
      <w:r>
        <w:rPr>
          <w:rFonts w:ascii="宋体" w:eastAsia="宋体" w:hAnsi="宋体"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3</w:t>
      </w:r>
      <w:r>
        <w:rPr>
          <w:rFonts w:ascii="宋体" w:eastAsia="宋体" w:hAnsi="宋体" w:hint="eastAsia"/>
          <w:kern w:val="2"/>
          <w:sz w:val="21"/>
          <w:szCs w:val="21"/>
          <w:lang w:eastAsia="zh-CN"/>
        </w:rPr>
        <w:t>未参与标前会议不作为否定投标人资格的理由。</w:t>
      </w:r>
    </w:p>
    <w:p>
      <w:pPr>
        <w:widowControl w:val="0"/>
        <w:ind w:firstLine="412" w:firstLineChars="196"/>
        <w:jc w:val="both"/>
        <w:rPr>
          <w:rFonts w:ascii="宋体" w:eastAsia="宋体" w:hAnsi="宋体"/>
          <w:kern w:val="2"/>
          <w:sz w:val="21"/>
          <w:szCs w:val="22"/>
          <w:lang w:eastAsia="zh-CN"/>
        </w:rPr>
      </w:pPr>
      <w:bookmarkEnd w:id="53"/>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hint="eastAsia"/>
          <w:b/>
          <w:bCs/>
          <w:kern w:val="2"/>
          <w:sz w:val="28"/>
          <w:szCs w:val="28"/>
          <w:lang w:eastAsia="zh-CN"/>
        </w:rPr>
        <w:t>招标文件</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1</w:t>
      </w:r>
      <w:r>
        <w:rPr>
          <w:rFonts w:ascii="黑体" w:eastAsia="黑体" w:hAnsi="宋体" w:hint="eastAsia"/>
          <w:kern w:val="2"/>
          <w:sz w:val="21"/>
          <w:szCs w:val="21"/>
          <w:lang w:eastAsia="zh-CN"/>
        </w:rPr>
        <w:t>．</w:t>
      </w:r>
      <w:bookmarkStart w:id="55" w:name="_Hlk72399819"/>
      <w:r>
        <w:rPr>
          <w:rFonts w:ascii="黑体" w:eastAsia="黑体" w:hAnsi="宋体" w:hint="eastAsia"/>
          <w:kern w:val="2"/>
          <w:sz w:val="21"/>
          <w:szCs w:val="21"/>
          <w:lang w:eastAsia="zh-CN"/>
        </w:rPr>
        <w:t>招标文件的编制与组成</w:t>
      </w:r>
    </w:p>
    <w:p>
      <w:pPr>
        <w:widowControl w:val="0"/>
        <w:snapToGrid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招标文件包括下列内容：</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第一册  专用条款</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招标公告</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用户需求书</w:t>
      </w:r>
    </w:p>
    <w:p>
      <w:pPr>
        <w:widowControl w:val="0"/>
        <w:ind w:firstLine="420" w:firstLineChars="200"/>
        <w:jc w:val="both"/>
        <w:rPr>
          <w:rFonts w:ascii="宋体" w:eastAsia="宋体" w:hAnsi="宋体"/>
          <w:kern w:val="2"/>
          <w:sz w:val="21"/>
          <w:szCs w:val="21"/>
          <w:lang w:eastAsia="zh-CN"/>
        </w:rPr>
      </w:pPr>
      <w:r>
        <w:rPr>
          <w:rFonts w:ascii="Calibri" w:eastAsia="宋体" w:hAnsi="Calibri" w:hint="eastAsia"/>
          <w:kern w:val="2"/>
          <w:sz w:val="21"/>
          <w:szCs w:val="21"/>
          <w:lang w:eastAsia="zh-CN"/>
        </w:rPr>
        <w:t xml:space="preserve">第四章 </w:t>
      </w:r>
      <w:r>
        <w:rPr>
          <w:rFonts w:ascii="Calibri" w:eastAsia="宋体" w:hAnsi="Calibri"/>
          <w:kern w:val="2"/>
          <w:sz w:val="21"/>
          <w:szCs w:val="21"/>
          <w:lang w:eastAsia="zh-CN"/>
        </w:rPr>
        <w:t xml:space="preserve"> </w:t>
      </w:r>
      <w:r>
        <w:rPr>
          <w:rFonts w:ascii="Calibri" w:eastAsia="宋体" w:hAnsi="Calibri" w:hint="eastAsia"/>
          <w:kern w:val="2"/>
          <w:sz w:val="21"/>
          <w:szCs w:val="21"/>
          <w:lang w:eastAsia="zh-CN"/>
        </w:rPr>
        <w:t>投标文件格式及附件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合同条款及格式</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第二册  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总则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招标文件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投标文件的编制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投标文件的递交</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开标</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第六章  评审要求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第八章  定标及公示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第十章  合同的授予与备案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第十一章  质疑处理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2</w:t>
      </w:r>
      <w:r>
        <w:rPr>
          <w:rFonts w:ascii="黑体" w:eastAsia="黑体" w:hAnsi="宋体" w:hint="eastAsia"/>
          <w:kern w:val="2"/>
          <w:sz w:val="21"/>
          <w:szCs w:val="21"/>
          <w:lang w:eastAsia="zh-CN"/>
        </w:rPr>
        <w:t>．招标文件的澄清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1</w:t>
      </w:r>
      <w:r>
        <w:rPr>
          <w:rFonts w:ascii="宋体" w:eastAsia="宋体" w:hAnsi="宋体"/>
          <w:color w:val="FF0000"/>
          <w:kern w:val="2"/>
          <w:sz w:val="21"/>
          <w:szCs w:val="21"/>
          <w:lang w:eastAsia="zh-CN"/>
        </w:rPr>
        <w:t>2</w:t>
      </w:r>
      <w:r>
        <w:rPr>
          <w:rFonts w:ascii="宋体" w:eastAsia="宋体" w:hAnsi="宋体"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kern w:val="2"/>
          <w:sz w:val="21"/>
          <w:szCs w:val="21"/>
          <w:lang w:eastAsia="zh-CN"/>
        </w:rPr>
        <w:t>3.3</w:t>
      </w:r>
      <w:r>
        <w:rPr>
          <w:rFonts w:ascii="宋体" w:eastAsia="宋体" w:hAnsi="宋体" w:hint="eastAsia"/>
          <w:kern w:val="2"/>
          <w:sz w:val="21"/>
          <w:szCs w:val="21"/>
          <w:lang w:eastAsia="zh-CN"/>
        </w:rPr>
        <w:t>、1</w:t>
      </w:r>
      <w:r>
        <w:rPr>
          <w:rFonts w:ascii="宋体" w:eastAsia="宋体" w:hAnsi="宋体"/>
          <w:kern w:val="2"/>
          <w:sz w:val="21"/>
          <w:szCs w:val="21"/>
          <w:lang w:eastAsia="zh-CN"/>
        </w:rPr>
        <w:t>3.4</w:t>
      </w:r>
      <w:r>
        <w:rPr>
          <w:rFonts w:ascii="宋体" w:eastAsia="宋体" w:hAnsi="宋体" w:hint="eastAsia"/>
          <w:kern w:val="2"/>
          <w:sz w:val="21"/>
          <w:szCs w:val="21"/>
          <w:lang w:eastAsia="zh-CN"/>
        </w:rPr>
        <w:t>款规定执行。</w:t>
      </w:r>
    </w:p>
    <w:p>
      <w:pPr>
        <w:widowControl w:val="0"/>
        <w:ind w:firstLine="420" w:firstLineChars="200"/>
        <w:jc w:val="both"/>
        <w:rPr>
          <w:rFonts w:ascii="黑体" w:eastAsia="黑体" w:hAnsi="宋体"/>
          <w:kern w:val="2"/>
          <w:sz w:val="21"/>
          <w:szCs w:val="21"/>
          <w:lang w:eastAsia="zh-CN"/>
        </w:rPr>
      </w:pPr>
      <w:r>
        <w:rPr>
          <w:rFonts w:ascii="黑体" w:eastAsia="黑体" w:hAnsi="宋体"/>
          <w:kern w:val="2"/>
          <w:sz w:val="21"/>
          <w:szCs w:val="21"/>
          <w:lang w:eastAsia="zh-CN"/>
        </w:rPr>
        <w:t>1</w:t>
      </w:r>
      <w:r>
        <w:rPr>
          <w:rFonts w:ascii="黑体" w:eastAsia="黑体" w:hAnsi="宋体" w:hint="eastAsia"/>
          <w:kern w:val="2"/>
          <w:sz w:val="21"/>
          <w:szCs w:val="21"/>
          <w:lang w:eastAsia="zh-CN"/>
        </w:rPr>
        <w:t>3．招标文件的修改</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5"/>
    </w:p>
    <w:p>
      <w:pPr>
        <w:widowControl w:val="0"/>
        <w:jc w:val="both"/>
        <w:rPr>
          <w:rFonts w:ascii="宋体" w:eastAsia="宋体" w:hAnsi="宋体"/>
          <w:kern w:val="2"/>
          <w:sz w:val="21"/>
          <w:szCs w:val="21"/>
          <w:lang w:eastAsia="zh-CN"/>
        </w:rPr>
      </w:pPr>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hint="eastAsia"/>
          <w:b/>
          <w:bCs/>
          <w:kern w:val="2"/>
          <w:sz w:val="28"/>
          <w:szCs w:val="28"/>
          <w:lang w:eastAsia="zh-CN"/>
        </w:rPr>
        <w:t>投标文件的编制</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14．</w:t>
      </w:r>
      <w:bookmarkStart w:id="56" w:name="_Hlk72400236"/>
      <w:r>
        <w:rPr>
          <w:rFonts w:ascii="黑体" w:eastAsia="黑体" w:hAnsi="宋体" w:hint="eastAsia"/>
          <w:kern w:val="2"/>
          <w:sz w:val="21"/>
          <w:szCs w:val="21"/>
          <w:lang w:eastAsia="zh-CN"/>
        </w:rPr>
        <w:t>投标文件的语言及度量单位</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14.2 除技术规范另有规定外，投标文件使用的度量单位，均采用中华人民共和国法定计量单位。</w:t>
      </w:r>
    </w:p>
    <w:p>
      <w:pPr>
        <w:widowControl w:val="0"/>
        <w:ind w:firstLine="420" w:firstLineChars="200"/>
        <w:jc w:val="both"/>
        <w:rPr>
          <w:rFonts w:ascii="黑体" w:eastAsia="黑体" w:hAnsi="宋体"/>
          <w:kern w:val="2"/>
          <w:sz w:val="21"/>
          <w:szCs w:val="21"/>
          <w:lang w:eastAsia="zh-CN"/>
        </w:rPr>
      </w:pPr>
      <w:bookmarkEnd w:id="56"/>
      <w:r>
        <w:rPr>
          <w:rFonts w:ascii="黑体" w:eastAsia="黑体" w:hAnsi="宋体" w:hint="eastAsia"/>
          <w:kern w:val="2"/>
          <w:sz w:val="21"/>
          <w:szCs w:val="21"/>
          <w:lang w:eastAsia="zh-CN"/>
        </w:rPr>
        <w:t>15．</w:t>
      </w:r>
      <w:bookmarkStart w:id="57" w:name="_Hlk72401567"/>
      <w:r>
        <w:rPr>
          <w:rFonts w:ascii="黑体" w:eastAsia="黑体" w:hAnsi="宋体" w:hint="eastAsia"/>
          <w:kern w:val="2"/>
          <w:sz w:val="21"/>
          <w:szCs w:val="21"/>
          <w:lang w:eastAsia="zh-CN"/>
        </w:rPr>
        <w:t>投标文件的组成</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具体内容在招标文件专用条款中进行规定。</w:t>
      </w:r>
    </w:p>
    <w:p>
      <w:pPr>
        <w:widowControl w:val="0"/>
        <w:ind w:firstLine="420" w:firstLineChars="200"/>
        <w:jc w:val="both"/>
        <w:rPr>
          <w:rFonts w:ascii="黑体" w:eastAsia="黑体" w:hAnsi="宋体"/>
          <w:kern w:val="2"/>
          <w:sz w:val="21"/>
          <w:szCs w:val="21"/>
          <w:lang w:eastAsia="zh-CN"/>
        </w:rPr>
      </w:pPr>
      <w:r>
        <w:rPr>
          <w:rFonts w:ascii="黑体" w:eastAsia="黑体" w:hAnsi="宋体"/>
          <w:kern w:val="2"/>
          <w:sz w:val="21"/>
          <w:szCs w:val="21"/>
          <w:lang w:eastAsia="zh-CN"/>
        </w:rPr>
        <w:t>16．投标文件格式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投标文件包括本通用条款第</w:t>
      </w:r>
      <w:r>
        <w:rPr>
          <w:rFonts w:ascii="宋体" w:eastAsia="宋体" w:hAnsi="宋体"/>
          <w:kern w:val="2"/>
          <w:sz w:val="21"/>
          <w:szCs w:val="21"/>
          <w:lang w:eastAsia="zh-CN"/>
        </w:rPr>
        <w:t>15条中规定的内容。如</w:t>
      </w:r>
      <w:r>
        <w:rPr>
          <w:rFonts w:ascii="宋体" w:eastAsia="宋体" w:hAnsi="宋体" w:hint="eastAsia"/>
          <w:kern w:val="2"/>
          <w:sz w:val="21"/>
          <w:szCs w:val="21"/>
          <w:lang w:eastAsia="zh-CN"/>
        </w:rPr>
        <w:t>招标</w:t>
      </w:r>
      <w:r>
        <w:rPr>
          <w:rFonts w:ascii="宋体" w:eastAsia="宋体" w:hAnsi="宋体"/>
          <w:kern w:val="2"/>
          <w:sz w:val="21"/>
          <w:szCs w:val="21"/>
          <w:lang w:eastAsia="zh-CN"/>
        </w:rPr>
        <w:t>文件提供了投标文件格式，则</w:t>
      </w:r>
      <w:r>
        <w:rPr>
          <w:rFonts w:ascii="宋体" w:eastAsia="宋体" w:hAnsi="宋体" w:hint="eastAsia"/>
          <w:b/>
          <w:bCs/>
          <w:kern w:val="2"/>
          <w:sz w:val="21"/>
          <w:szCs w:val="21"/>
          <w:lang w:eastAsia="zh-CN"/>
        </w:rPr>
        <w:t>投标人提交的投标文件应毫无例外地使用招标文件所提供的相应格式</w:t>
      </w:r>
      <w:r>
        <w:rPr>
          <w:rFonts w:ascii="宋体" w:eastAsia="宋体" w:hAnsi="宋体" w:hint="eastAsia"/>
          <w:kern w:val="2"/>
          <w:sz w:val="21"/>
          <w:szCs w:val="21"/>
          <w:lang w:eastAsia="zh-CN"/>
        </w:rPr>
        <w:t>（表格均可按同样格式扩展）。</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17．投标货币</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本项目的投标报价应以人民币计。</w:t>
      </w:r>
    </w:p>
    <w:p>
      <w:pPr>
        <w:widowControl w:val="0"/>
        <w:ind w:firstLine="420" w:firstLineChars="200"/>
        <w:jc w:val="both"/>
        <w:rPr>
          <w:rFonts w:ascii="黑体" w:eastAsia="黑体" w:hAnsi="宋体"/>
          <w:kern w:val="2"/>
          <w:sz w:val="21"/>
          <w:szCs w:val="21"/>
          <w:lang w:eastAsia="zh-CN"/>
        </w:rPr>
      </w:pPr>
      <w:bookmarkEnd w:id="57"/>
      <w:r>
        <w:rPr>
          <w:rFonts w:ascii="黑体" w:eastAsia="黑体" w:hAnsi="宋体" w:hint="eastAsia"/>
          <w:kern w:val="2"/>
          <w:sz w:val="21"/>
          <w:szCs w:val="21"/>
          <w:lang w:eastAsia="zh-CN"/>
        </w:rPr>
        <w:t>18．</w:t>
      </w:r>
      <w:bookmarkStart w:id="58" w:name="_Hlk72401735"/>
      <w:r>
        <w:rPr>
          <w:rFonts w:ascii="黑体" w:eastAsia="黑体" w:hAnsi="宋体"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 xml:space="preserve">.2 </w:t>
      </w:r>
      <w:r>
        <w:rPr>
          <w:rFonts w:ascii="宋体" w:eastAsia="宋体" w:hAnsi="宋体"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18.2.1主要技术指标和性能的详细说明。</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2</w:t>
      </w:r>
      <w:r>
        <w:rPr>
          <w:rFonts w:ascii="宋体" w:eastAsia="宋体" w:hAnsi="宋体"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3</w:t>
      </w:r>
      <w:r>
        <w:rPr>
          <w:rFonts w:ascii="宋体" w:eastAsia="宋体" w:hAnsi="宋体"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hint="eastAsia"/>
          <w:kern w:val="2"/>
          <w:sz w:val="21"/>
          <w:szCs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Calibri" w:eastAsia="宋体" w:hAnsi="Calibri" w:hint="eastAsia"/>
          <w:kern w:val="2"/>
          <w:sz w:val="21"/>
          <w:szCs w:val="21"/>
          <w:lang w:eastAsia="zh-CN"/>
        </w:rPr>
        <w:t>满足要求</w:t>
      </w:r>
      <w:r>
        <w:rPr>
          <w:rFonts w:ascii="宋体" w:eastAsia="宋体" w:hAnsi="宋体" w:hint="eastAsia"/>
          <w:kern w:val="2"/>
          <w:sz w:val="21"/>
          <w:szCs w:val="21"/>
          <w:lang w:eastAsia="zh-CN"/>
        </w:rPr>
        <w:t>，由评审委员会来评判。</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18.5除非另有规定或说明，投标人对同一项目投标时，不得同时提供两套或两套以上的投标方案。</w:t>
      </w:r>
    </w:p>
    <w:p>
      <w:pPr>
        <w:widowControl w:val="0"/>
        <w:ind w:firstLine="420" w:firstLineChars="200"/>
        <w:jc w:val="both"/>
        <w:rPr>
          <w:rFonts w:ascii="黑体" w:eastAsia="黑体" w:hAnsi="宋体"/>
          <w:kern w:val="2"/>
          <w:sz w:val="21"/>
          <w:szCs w:val="21"/>
          <w:lang w:eastAsia="zh-CN"/>
        </w:rPr>
      </w:pPr>
      <w:bookmarkEnd w:id="58"/>
      <w:r>
        <w:rPr>
          <w:rFonts w:ascii="黑体" w:eastAsia="黑体" w:hAnsi="宋体" w:hint="eastAsia"/>
          <w:kern w:val="2"/>
          <w:sz w:val="21"/>
          <w:szCs w:val="21"/>
          <w:lang w:eastAsia="zh-CN"/>
        </w:rPr>
        <w:t>19．</w:t>
      </w:r>
      <w:bookmarkStart w:id="59" w:name="_Hlk72402034"/>
      <w:r>
        <w:rPr>
          <w:rFonts w:ascii="黑体" w:eastAsia="黑体" w:hAnsi="宋体" w:hint="eastAsia"/>
          <w:kern w:val="2"/>
          <w:sz w:val="21"/>
          <w:szCs w:val="21"/>
          <w:lang w:eastAsia="zh-CN"/>
        </w:rPr>
        <w:t>投标文件其他证明文件的要求</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0" w:name="_Hlk71407299"/>
    </w:p>
    <w:p>
      <w:pPr>
        <w:widowControl w:val="0"/>
        <w:ind w:firstLine="420" w:firstLineChars="200"/>
        <w:jc w:val="both"/>
        <w:rPr>
          <w:rFonts w:ascii="宋体" w:eastAsia="宋体" w:hAnsi="宋体"/>
          <w:kern w:val="2"/>
          <w:sz w:val="21"/>
          <w:szCs w:val="21"/>
          <w:lang w:eastAsia="zh-CN"/>
        </w:rPr>
      </w:pPr>
      <w:bookmarkEnd w:id="60"/>
      <w:r>
        <w:rPr>
          <w:rFonts w:ascii="宋体" w:eastAsia="宋体" w:hAnsi="宋体"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20．投标有效期</w:t>
      </w:r>
    </w:p>
    <w:p>
      <w:pPr>
        <w:widowControl w:val="0"/>
        <w:ind w:firstLine="420" w:firstLineChars="200"/>
        <w:jc w:val="both"/>
        <w:rPr>
          <w:rFonts w:ascii="宋体" w:eastAsia="宋体" w:hAnsi="宋体"/>
          <w:kern w:val="2"/>
          <w:sz w:val="21"/>
          <w:szCs w:val="21"/>
          <w:lang w:eastAsia="zh-CN"/>
        </w:rPr>
      </w:pPr>
      <w:bookmarkStart w:id="61" w:name="_Hlk72402214"/>
      <w:bookmarkEnd w:id="59"/>
      <w:r>
        <w:rPr>
          <w:rFonts w:ascii="宋体" w:eastAsia="宋体" w:hAnsi="宋体"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hint="eastAsia"/>
          <w:kern w:val="2"/>
          <w:sz w:val="21"/>
          <w:szCs w:val="21"/>
          <w:lang w:eastAsia="zh-CN"/>
        </w:rPr>
        <w:t>在此期限内，所有投标文件均保持有效。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20</w:t>
      </w:r>
      <w:r>
        <w:rPr>
          <w:rFonts w:ascii="宋体" w:eastAsia="宋体" w:hAnsi="宋体"/>
          <w:kern w:val="2"/>
          <w:sz w:val="21"/>
          <w:szCs w:val="21"/>
          <w:lang w:eastAsia="zh-CN"/>
        </w:rPr>
        <w:t>.3</w:t>
      </w:r>
      <w:r>
        <w:rPr>
          <w:rFonts w:ascii="宋体" w:eastAsia="宋体" w:hAnsi="宋体" w:hint="eastAsia"/>
          <w:kern w:val="2"/>
          <w:sz w:val="21"/>
          <w:szCs w:val="21"/>
          <w:lang w:eastAsia="zh-CN"/>
        </w:rPr>
        <w:t xml:space="preserve"> 中标供应商的投标文件有效期，截止于完成本招标文件规定的全部项目内容，并通过竣工验收及保修期结束。</w:t>
      </w:r>
    </w:p>
    <w:p>
      <w:pPr>
        <w:widowControl w:val="0"/>
        <w:ind w:firstLine="420" w:firstLineChars="200"/>
        <w:jc w:val="both"/>
        <w:rPr>
          <w:rFonts w:ascii="黑体" w:eastAsia="黑体" w:hAnsi="宋体"/>
          <w:kern w:val="2"/>
          <w:sz w:val="21"/>
          <w:szCs w:val="21"/>
          <w:lang w:eastAsia="zh-CN"/>
        </w:rPr>
      </w:pPr>
      <w:bookmarkEnd w:id="61"/>
      <w:r>
        <w:rPr>
          <w:rFonts w:ascii="黑体" w:eastAsia="黑体" w:hAnsi="宋体" w:hint="eastAsia"/>
          <w:kern w:val="2"/>
          <w:sz w:val="21"/>
          <w:szCs w:val="21"/>
          <w:lang w:eastAsia="zh-CN"/>
        </w:rPr>
        <w:t>21．</w:t>
      </w:r>
      <w:bookmarkStart w:id="62" w:name="_Hlk72402325"/>
      <w:r>
        <w:rPr>
          <w:rFonts w:ascii="黑体" w:eastAsia="黑体" w:hAnsi="宋体" w:hint="eastAsia"/>
          <w:kern w:val="2"/>
          <w:sz w:val="21"/>
          <w:szCs w:val="21"/>
          <w:lang w:eastAsia="zh-CN"/>
        </w:rPr>
        <w:t xml:space="preserve">关于投标保证金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21.1</w:t>
      </w:r>
      <w:r>
        <w:rPr>
          <w:rFonts w:ascii="Calibri" w:eastAsia="宋体" w:hAnsi="Calibri"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22．投标人的替代方案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p>
      <w:pPr>
        <w:widowControl w:val="0"/>
        <w:ind w:firstLine="420" w:firstLineChars="200"/>
        <w:jc w:val="both"/>
        <w:rPr>
          <w:rFonts w:ascii="黑体" w:eastAsia="黑体" w:hAnsi="宋体"/>
          <w:kern w:val="2"/>
          <w:sz w:val="21"/>
          <w:szCs w:val="21"/>
          <w:lang w:eastAsia="zh-CN"/>
        </w:rPr>
      </w:pPr>
      <w:bookmarkEnd w:id="62"/>
      <w:r>
        <w:rPr>
          <w:rFonts w:ascii="黑体" w:eastAsia="黑体" w:hAnsi="宋体" w:hint="eastAsia"/>
          <w:kern w:val="2"/>
          <w:sz w:val="21"/>
          <w:szCs w:val="21"/>
          <w:lang w:eastAsia="zh-CN"/>
        </w:rPr>
        <w:t>23．</w:t>
      </w:r>
      <w:bookmarkStart w:id="63" w:name="_Hlk72402860"/>
      <w:r>
        <w:rPr>
          <w:rFonts w:ascii="黑体" w:eastAsia="黑体" w:hAnsi="宋体"/>
          <w:kern w:val="2"/>
          <w:sz w:val="21"/>
          <w:szCs w:val="21"/>
          <w:lang w:eastAsia="zh-CN"/>
        </w:rPr>
        <w:t>投标文件的</w:t>
      </w:r>
      <w:r>
        <w:rPr>
          <w:rFonts w:ascii="黑体" w:eastAsia="黑体" w:hAnsi="宋体" w:hint="eastAsia"/>
          <w:kern w:val="2"/>
          <w:sz w:val="21"/>
          <w:szCs w:val="21"/>
          <w:lang w:eastAsia="zh-CN"/>
        </w:rPr>
        <w:t>制作</w:t>
      </w:r>
      <w:r>
        <w:rPr>
          <w:rFonts w:ascii="黑体" w:eastAsia="黑体" w:hAnsi="宋体"/>
          <w:kern w:val="2"/>
          <w:sz w:val="21"/>
          <w:szCs w:val="21"/>
          <w:lang w:eastAsia="zh-CN"/>
        </w:rPr>
        <w:t>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23.2.5投标人在编辑投标文件时，</w:t>
      </w:r>
      <w:r>
        <w:rPr>
          <w:rFonts w:ascii="宋体" w:eastAsia="宋体" w:hAnsi="宋体" w:hint="eastAsia"/>
          <w:b/>
          <w:kern w:val="2"/>
          <w:sz w:val="21"/>
          <w:szCs w:val="21"/>
          <w:lang w:eastAsia="zh-CN"/>
        </w:rPr>
        <w:t>在投标文件目录中属于本节点内容的必须在本节点中填写，填写到其他节点或附件，</w:t>
      </w:r>
      <w:r>
        <w:rPr>
          <w:rFonts w:ascii="宋体" w:eastAsia="宋体" w:hAnsi="宋体" w:hint="eastAsia"/>
          <w:kern w:val="2"/>
          <w:sz w:val="21"/>
          <w:szCs w:val="21"/>
          <w:lang w:eastAsia="zh-CN"/>
        </w:rPr>
        <w:t>一切后果由供应商自行承担。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23.3电报、电话、传真形式的投标概不接受。</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23.4全流程线上投标的投标文件无须盖章或签字，</w:t>
      </w:r>
      <w:r>
        <w:rPr>
          <w:rFonts w:ascii="宋体" w:eastAsia="宋体" w:hAnsi="宋体" w:hint="eastAsia"/>
          <w:kern w:val="2"/>
          <w:sz w:val="21"/>
          <w:szCs w:val="21"/>
          <w:lang w:eastAsia="zh-CN"/>
        </w:rPr>
        <w:t>专用条款另有要求的除外。</w:t>
      </w:r>
    </w:p>
    <w:p>
      <w:pPr>
        <w:widowControl w:val="0"/>
        <w:ind w:firstLine="420" w:firstLineChars="200"/>
        <w:jc w:val="both"/>
        <w:rPr>
          <w:rFonts w:ascii="宋体" w:eastAsia="宋体" w:hAnsi="宋体"/>
          <w:kern w:val="2"/>
          <w:sz w:val="21"/>
          <w:szCs w:val="22"/>
          <w:lang w:eastAsia="zh-CN"/>
        </w:rPr>
      </w:pPr>
      <w:r>
        <w:rPr>
          <w:rFonts w:ascii="宋体" w:eastAsia="宋体" w:hAnsi="宋体" w:hint="eastAsia"/>
          <w:b/>
          <w:kern w:val="2"/>
          <w:sz w:val="21"/>
          <w:szCs w:val="21"/>
          <w:lang w:eastAsia="zh-CN"/>
        </w:rPr>
        <w:t>23.5</w:t>
      </w:r>
      <w:r>
        <w:rPr>
          <w:rFonts w:ascii="宋体" w:eastAsia="宋体" w:hAnsi="宋体" w:hint="eastAsia"/>
          <w:kern w:val="2"/>
          <w:sz w:val="21"/>
          <w:szCs w:val="21"/>
          <w:lang w:eastAsia="zh-CN"/>
        </w:rPr>
        <w:t xml:space="preserve"> 各类资格（资质）文件提供扫描件，专用条款另有要求的除外。</w:t>
      </w:r>
      <w:bookmarkEnd w:id="63"/>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hint="eastAsia"/>
          <w:b/>
          <w:bCs/>
          <w:kern w:val="2"/>
          <w:sz w:val="28"/>
          <w:szCs w:val="28"/>
          <w:lang w:eastAsia="zh-CN"/>
        </w:rPr>
        <w:t>投标文件的递交</w:t>
      </w:r>
    </w:p>
    <w:p>
      <w:pPr>
        <w:widowControl w:val="0"/>
        <w:ind w:firstLine="420" w:firstLineChars="200"/>
        <w:jc w:val="both"/>
        <w:rPr>
          <w:rFonts w:ascii="黑体" w:eastAsia="黑体" w:hAnsi="宋体"/>
          <w:kern w:val="2"/>
          <w:sz w:val="21"/>
          <w:szCs w:val="21"/>
          <w:lang w:eastAsia="zh-CN"/>
        </w:rPr>
      </w:pPr>
      <w:bookmarkStart w:id="64" w:name="_Hlk72405459"/>
      <w:r>
        <w:rPr>
          <w:rFonts w:ascii="黑体" w:eastAsia="黑体" w:hAnsi="宋体" w:hint="eastAsia"/>
          <w:kern w:val="2"/>
          <w:sz w:val="21"/>
          <w:szCs w:val="21"/>
          <w:lang w:eastAsia="zh-CN"/>
        </w:rPr>
        <w:t>24．投标文件的保密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24.2若采购项目出现延期情况：</w:t>
      </w:r>
    </w:p>
    <w:p>
      <w:pPr>
        <w:widowControl w:val="0"/>
        <w:ind w:firstLine="420" w:firstLineChars="200"/>
        <w:jc w:val="both"/>
        <w:rPr>
          <w:rFonts w:ascii="黑体" w:eastAsia="黑体" w:hAnsi="宋体"/>
          <w:b/>
          <w:kern w:val="2"/>
          <w:sz w:val="21"/>
          <w:szCs w:val="21"/>
          <w:lang w:eastAsia="zh-CN"/>
        </w:rPr>
      </w:pPr>
      <w:r>
        <w:rPr>
          <w:rFonts w:ascii="宋体" w:eastAsia="宋体" w:hAnsi="宋体"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25．上传投标文件及投标截止日期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1</w:t>
      </w:r>
      <w:r>
        <w:rPr>
          <w:rFonts w:ascii="宋体" w:eastAsia="宋体" w:hAnsi="宋体" w:hint="eastAsia"/>
          <w:kern w:val="2"/>
          <w:sz w:val="21"/>
          <w:szCs w:val="22"/>
          <w:lang w:eastAsia="zh-CN"/>
        </w:rPr>
        <w:t>实行网上投标，</w:t>
      </w:r>
      <w:r>
        <w:rPr>
          <w:rFonts w:ascii="宋体" w:eastAsia="宋体" w:hAnsi="宋体"/>
          <w:kern w:val="2"/>
          <w:sz w:val="21"/>
          <w:szCs w:val="22"/>
          <w:lang w:eastAsia="zh-CN"/>
        </w:rPr>
        <w:t>投标人必须</w:t>
      </w:r>
      <w:r>
        <w:rPr>
          <w:rFonts w:ascii="宋体" w:eastAsia="宋体" w:hAnsi="宋体" w:hint="eastAsia"/>
          <w:kern w:val="2"/>
          <w:sz w:val="21"/>
          <w:szCs w:val="22"/>
          <w:lang w:eastAsia="zh-CN"/>
        </w:rPr>
        <w:t>在招标</w:t>
      </w:r>
      <w:r>
        <w:rPr>
          <w:rFonts w:ascii="宋体" w:eastAsia="宋体" w:hAnsi="宋体"/>
          <w:kern w:val="2"/>
          <w:sz w:val="21"/>
          <w:szCs w:val="22"/>
          <w:lang w:eastAsia="zh-CN"/>
        </w:rPr>
        <w:t>文件规定的投标截止时间前</w:t>
      </w:r>
      <w:r>
        <w:rPr>
          <w:rFonts w:ascii="宋体" w:eastAsia="宋体" w:hAnsi="宋体" w:hint="eastAsia"/>
          <w:kern w:val="2"/>
          <w:sz w:val="21"/>
          <w:szCs w:val="22"/>
          <w:lang w:eastAsia="zh-CN"/>
        </w:rPr>
        <w:t>用电子密钥登录</w:t>
      </w:r>
      <w:r>
        <w:rPr>
          <w:rFonts w:ascii="宋体" w:eastAsia="宋体" w:hAnsi="宋体" w:hint="eastAsia"/>
          <w:kern w:val="2"/>
          <w:sz w:val="21"/>
          <w:szCs w:val="22"/>
          <w:lang w:eastAsia="zh-CN"/>
        </w:rPr>
        <w:t>“</w:t>
      </w:r>
      <w:r>
        <w:rPr>
          <w:rFonts w:ascii="宋体" w:eastAsia="宋体" w:hAnsi="宋体" w:hint="eastAsia"/>
          <w:kern w:val="2"/>
          <w:sz w:val="21"/>
          <w:szCs w:val="22"/>
          <w:lang w:eastAsia="zh-CN"/>
        </w:rPr>
        <w:t>深圳自行采购系统（https://trade.szggzy.com/）</w:t>
      </w:r>
      <w:r>
        <w:rPr>
          <w:rFonts w:ascii="宋体" w:eastAsia="宋体" w:hAnsi="宋体" w:hint="eastAsia"/>
          <w:kern w:val="2"/>
          <w:sz w:val="21"/>
          <w:szCs w:val="22"/>
          <w:lang w:eastAsia="zh-CN"/>
        </w:rPr>
        <w:t>”</w:t>
      </w:r>
      <w:r>
        <w:rPr>
          <w:rFonts w:ascii="宋体" w:eastAsia="宋体" w:hAnsi="宋体" w:hint="eastAsia"/>
          <w:kern w:val="2"/>
          <w:sz w:val="21"/>
          <w:szCs w:val="22"/>
          <w:lang w:eastAsia="zh-CN"/>
        </w:rPr>
        <w:t>上传投标文件。如上传过程中遇到问题，</w:t>
      </w:r>
      <w:r>
        <w:rPr>
          <w:rFonts w:ascii="宋体" w:eastAsia="宋体" w:hAnsi="宋体" w:hint="eastAsia"/>
          <w:b/>
          <w:bCs/>
          <w:kern w:val="2"/>
          <w:sz w:val="21"/>
          <w:szCs w:val="22"/>
          <w:lang w:eastAsia="zh-CN"/>
        </w:rPr>
        <w:t>可拨打采购公告中的技术支持电话（0755-36568999 1转7）</w:t>
      </w:r>
      <w:r>
        <w:rPr>
          <w:rFonts w:ascii="宋体" w:eastAsia="宋体" w:hAnsi="宋体" w:hint="eastAsia"/>
          <w:kern w:val="2"/>
          <w:sz w:val="21"/>
          <w:szCs w:val="22"/>
          <w:lang w:eastAsia="zh-CN"/>
        </w:rPr>
        <w:t>。如多次上传均告失败，请在投标截止时间之前携带电子投标文件送达至</w:t>
      </w:r>
      <w:r>
        <w:rPr>
          <w:rFonts w:ascii="宋体" w:eastAsia="宋体" w:hAnsi="宋体" w:hint="eastAsia"/>
          <w:b/>
          <w:bCs/>
          <w:kern w:val="2"/>
          <w:sz w:val="21"/>
          <w:szCs w:val="21"/>
          <w:lang w:eastAsia="zh-CN"/>
        </w:rPr>
        <w:t>深圳公共资源交易中心（深圳交易集团有限公司宝安分公司）</w:t>
      </w:r>
      <w:r>
        <w:rPr>
          <w:rFonts w:ascii="宋体" w:eastAsia="宋体" w:hAnsi="宋体" w:hint="eastAsia"/>
          <w:b/>
          <w:bCs/>
          <w:kern w:val="2"/>
          <w:sz w:val="21"/>
          <w:szCs w:val="22"/>
          <w:lang w:eastAsia="zh-CN"/>
        </w:rPr>
        <w:t>一楼服务大厅（地址：深圳市宝安区湖滨东路40号）</w:t>
      </w:r>
      <w:r>
        <w:rPr>
          <w:rFonts w:ascii="宋体" w:eastAsia="宋体" w:hAnsi="宋体"/>
          <w:b/>
          <w:bCs/>
          <w:kern w:val="2"/>
          <w:sz w:val="21"/>
          <w:szCs w:val="22"/>
          <w:lang w:eastAsia="zh-CN"/>
        </w:rPr>
        <w:t>协助上传</w:t>
      </w:r>
      <w:r>
        <w:rPr>
          <w:rFonts w:ascii="宋体" w:eastAsia="宋体" w:hAnsi="宋体" w:hint="eastAsia"/>
          <w:b/>
          <w:bCs/>
          <w:kern w:val="2"/>
          <w:sz w:val="21"/>
          <w:szCs w:val="22"/>
          <w:lang w:eastAsia="zh-CN"/>
        </w:rPr>
        <w:t>，</w:t>
      </w:r>
      <w:r>
        <w:rPr>
          <w:rFonts w:ascii="宋体" w:eastAsia="宋体" w:hAnsi="宋体"/>
          <w:b/>
          <w:bCs/>
          <w:kern w:val="2"/>
          <w:sz w:val="21"/>
          <w:szCs w:val="22"/>
          <w:lang w:eastAsia="zh-CN"/>
        </w:rPr>
        <w:t>但上传过程</w:t>
      </w:r>
      <w:r>
        <w:rPr>
          <w:rFonts w:ascii="宋体" w:eastAsia="宋体" w:hAnsi="宋体" w:hint="eastAsia"/>
          <w:b/>
          <w:bCs/>
          <w:kern w:val="2"/>
          <w:sz w:val="21"/>
          <w:szCs w:val="22"/>
          <w:lang w:eastAsia="zh-CN"/>
        </w:rPr>
        <w:t>中</w:t>
      </w:r>
      <w:r>
        <w:rPr>
          <w:rFonts w:ascii="宋体" w:eastAsia="宋体" w:hAnsi="宋体"/>
          <w:b/>
          <w:bCs/>
          <w:kern w:val="2"/>
          <w:sz w:val="21"/>
          <w:szCs w:val="22"/>
          <w:lang w:eastAsia="zh-CN"/>
        </w:rPr>
        <w:t>投标截止时间到达仍无法上传成功的，由投标人自行负责</w:t>
      </w:r>
      <w:r>
        <w:rPr>
          <w:rFonts w:ascii="宋体" w:eastAsia="宋体" w:hAnsi="宋体" w:hint="eastAsia"/>
          <w:kern w:val="2"/>
          <w:sz w:val="21"/>
          <w:szCs w:val="22"/>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3投标截止时间以后不得上传投标文件。</w:t>
      </w:r>
    </w:p>
    <w:p>
      <w:pPr>
        <w:widowControl w:val="0"/>
        <w:ind w:firstLine="420" w:firstLineChars="200"/>
        <w:jc w:val="both"/>
        <w:rPr>
          <w:rFonts w:ascii="黑体" w:eastAsia="黑体" w:hAnsi="宋体"/>
          <w:kern w:val="2"/>
          <w:sz w:val="21"/>
          <w:szCs w:val="21"/>
          <w:lang w:eastAsia="zh-CN"/>
        </w:rPr>
      </w:pPr>
      <w:bookmarkEnd w:id="64"/>
      <w:r>
        <w:rPr>
          <w:rFonts w:ascii="黑体" w:eastAsia="黑体" w:hAnsi="宋体" w:hint="eastAsia"/>
          <w:kern w:val="2"/>
          <w:sz w:val="21"/>
          <w:szCs w:val="21"/>
          <w:lang w:eastAsia="zh-CN"/>
        </w:rPr>
        <w:t>26. 样品、现场演示、方案讲解</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kern w:val="2"/>
          <w:sz w:val="21"/>
          <w:szCs w:val="21"/>
          <w:lang w:eastAsia="zh-CN"/>
        </w:rPr>
      </w:pPr>
      <w:bookmarkStart w:id="65" w:name="_Hlk72428346"/>
      <w:r>
        <w:rPr>
          <w:rFonts w:ascii="黑体" w:eastAsia="黑体" w:hAnsi="宋体"/>
          <w:kern w:val="2"/>
          <w:sz w:val="21"/>
          <w:szCs w:val="21"/>
          <w:lang w:eastAsia="zh-CN"/>
        </w:rPr>
        <w:t>2</w:t>
      </w:r>
      <w:r>
        <w:rPr>
          <w:rFonts w:ascii="黑体" w:eastAsia="黑体" w:hAnsi="宋体" w:hint="eastAsia"/>
          <w:kern w:val="2"/>
          <w:sz w:val="21"/>
          <w:szCs w:val="21"/>
          <w:lang w:eastAsia="zh-CN"/>
        </w:rPr>
        <w:t>7．</w:t>
      </w:r>
      <w:r>
        <w:rPr>
          <w:rFonts w:ascii="黑体" w:eastAsia="黑体" w:hAnsi="宋体"/>
          <w:kern w:val="2"/>
          <w:sz w:val="21"/>
          <w:szCs w:val="21"/>
          <w:lang w:eastAsia="zh-CN"/>
        </w:rPr>
        <w:t>投标文件的修改和撤销</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1</w:t>
      </w:r>
      <w:r>
        <w:rPr>
          <w:rFonts w:ascii="宋体" w:eastAsia="宋体" w:hAnsi="宋体"/>
          <w:kern w:val="2"/>
          <w:sz w:val="21"/>
          <w:szCs w:val="21"/>
          <w:lang w:eastAsia="zh-CN"/>
        </w:rPr>
        <w:t>投标方在提交投标文件后可对其投标文件进行修改</w:t>
      </w:r>
      <w:r>
        <w:rPr>
          <w:rFonts w:ascii="宋体" w:eastAsia="宋体" w:hAnsi="宋体" w:hint="eastAsia"/>
          <w:kern w:val="2"/>
          <w:sz w:val="21"/>
          <w:szCs w:val="21"/>
          <w:lang w:eastAsia="zh-CN"/>
        </w:rPr>
        <w:t>并重新上传投标文件</w:t>
      </w:r>
      <w:r>
        <w:rPr>
          <w:rFonts w:ascii="宋体" w:eastAsia="宋体" w:hAnsi="宋体"/>
          <w:kern w:val="2"/>
          <w:sz w:val="21"/>
          <w:szCs w:val="21"/>
          <w:lang w:eastAsia="zh-CN"/>
        </w:rPr>
        <w:t>或</w:t>
      </w:r>
      <w:r>
        <w:rPr>
          <w:rFonts w:ascii="宋体" w:eastAsia="宋体" w:hAnsi="宋体" w:hint="eastAsia"/>
          <w:kern w:val="2"/>
          <w:sz w:val="21"/>
          <w:szCs w:val="21"/>
          <w:lang w:eastAsia="zh-CN"/>
        </w:rPr>
        <w:t>在网上进行</w:t>
      </w:r>
      <w:r>
        <w:rPr>
          <w:rFonts w:ascii="宋体" w:eastAsia="宋体" w:hAnsi="宋体"/>
          <w:kern w:val="2"/>
          <w:sz w:val="21"/>
          <w:szCs w:val="21"/>
          <w:lang w:eastAsia="zh-CN"/>
        </w:rPr>
        <w:t>撤销</w:t>
      </w:r>
      <w:r>
        <w:rPr>
          <w:rFonts w:ascii="宋体" w:eastAsia="宋体" w:hAnsi="宋体" w:hint="eastAsia"/>
          <w:kern w:val="2"/>
          <w:sz w:val="21"/>
          <w:szCs w:val="21"/>
          <w:lang w:eastAsia="zh-CN"/>
        </w:rPr>
        <w:t>投标的操作</w:t>
      </w:r>
      <w:r>
        <w:rPr>
          <w:rFonts w:ascii="宋体" w:eastAsia="宋体" w:hAnsi="宋体"/>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投标截止时间以后不得修改投标文件。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27.4政府集中采购机构不退还投标文件，专用条款另有规定的除外。</w:t>
      </w:r>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End w:id="65"/>
      <w:r>
        <w:rPr>
          <w:rFonts w:ascii="Cambria" w:eastAsia="宋体" w:hAnsi="Cambria" w:hint="eastAsia"/>
          <w:b/>
          <w:bCs/>
          <w:kern w:val="2"/>
          <w:sz w:val="28"/>
          <w:szCs w:val="28"/>
          <w:lang w:eastAsia="zh-CN"/>
        </w:rPr>
        <w:t>开标</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28．开标</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1投标人须在开标当日的开标时间至解密截止时间内进行解密，逾期未解密的作无效处理。解密方法：登录</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深圳政府采购自行采购系统（https://trade.szggzy.com/ggzy/center/#/login）</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，使用本单位制作电子投标文件同一个电子密钥进行在线解密、查询开标情况。</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28.2政府集中采购机构将在满足开标条件（</w:t>
      </w:r>
      <w:r>
        <w:rPr>
          <w:rFonts w:ascii="宋体" w:eastAsia="宋体" w:hAnsi="宋体" w:hint="eastAsia"/>
          <w:kern w:val="2"/>
          <w:sz w:val="21"/>
          <w:szCs w:val="21"/>
          <w:lang w:eastAsia="zh-CN"/>
        </w:rPr>
        <w:t>①</w:t>
      </w:r>
      <w:r>
        <w:rPr>
          <w:rFonts w:ascii="宋体" w:eastAsia="宋体" w:hAnsi="宋体" w:hint="eastAsia"/>
          <w:kern w:val="2"/>
          <w:sz w:val="21"/>
          <w:szCs w:val="21"/>
          <w:lang w:eastAsia="zh-CN"/>
        </w:rPr>
        <w:t>解密时间结束，解密后的投标供应商数量满足开标要求或</w:t>
      </w:r>
      <w:r>
        <w:rPr>
          <w:rFonts w:ascii="宋体" w:eastAsia="宋体" w:hAnsi="宋体" w:hint="eastAsia"/>
          <w:kern w:val="2"/>
          <w:sz w:val="21"/>
          <w:szCs w:val="21"/>
          <w:lang w:eastAsia="zh-CN"/>
        </w:rPr>
        <w:t>②</w:t>
      </w:r>
      <w:r>
        <w:rPr>
          <w:rFonts w:ascii="宋体" w:eastAsia="宋体" w:hAnsi="宋体" w:hint="eastAsia"/>
          <w:kern w:val="2"/>
          <w:sz w:val="21"/>
          <w:szCs w:val="21"/>
          <w:lang w:eastAsia="zh-CN"/>
        </w:rPr>
        <w:t>解密时间结束前所有投标供应商均完成投标文件解密）后，对投标文件进行开标，并在网上公布开标结果。</w:t>
      </w:r>
    </w:p>
    <w:p>
      <w:pPr>
        <w:widowControl w:val="0"/>
        <w:ind w:firstLine="315" w:firstLineChars="150"/>
        <w:jc w:val="both"/>
        <w:rPr>
          <w:rFonts w:ascii="宋体" w:eastAsia="宋体" w:hAnsi="宋体"/>
          <w:kern w:val="2"/>
          <w:sz w:val="21"/>
          <w:szCs w:val="21"/>
          <w:lang w:eastAsia="zh-CN"/>
        </w:rPr>
      </w:pPr>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hint="eastAsia"/>
          <w:b/>
          <w:bCs/>
          <w:kern w:val="2"/>
          <w:sz w:val="28"/>
          <w:szCs w:val="28"/>
          <w:lang w:eastAsia="zh-CN"/>
        </w:rPr>
        <w:t>评审要求</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29．评审委员会组成</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kern w:val="2"/>
          <w:sz w:val="21"/>
          <w:szCs w:val="21"/>
          <w:lang w:eastAsia="zh-CN"/>
        </w:rPr>
      </w:pPr>
      <w:bookmarkStart w:id="66" w:name="_Hlk72436580"/>
      <w:r>
        <w:rPr>
          <w:rFonts w:ascii="宋体" w:eastAsia="宋体" w:hAnsi="宋体"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66"/>
      <w:r>
        <w:rPr>
          <w:rFonts w:ascii="宋体" w:eastAsia="宋体" w:hAnsi="宋体" w:hint="eastAsia"/>
          <w:kern w:val="2"/>
          <w:sz w:val="21"/>
          <w:szCs w:val="21"/>
          <w:lang w:eastAsia="zh-CN"/>
        </w:rPr>
        <w:t>评定</w:t>
      </w:r>
      <w:r>
        <w:rPr>
          <w:rFonts w:ascii="Calibri" w:eastAsia="宋体" w:hAnsi="Calibri" w:hint="eastAsia"/>
          <w:kern w:val="2"/>
          <w:sz w:val="21"/>
          <w:szCs w:val="21"/>
          <w:lang w:eastAsia="zh-CN"/>
        </w:rPr>
        <w:t>分离项目</w:t>
      </w:r>
      <w:r>
        <w:rPr>
          <w:rFonts w:ascii="Calibri" w:eastAsia="宋体" w:hAnsi="Calibri"/>
          <w:kern w:val="2"/>
          <w:sz w:val="21"/>
          <w:szCs w:val="21"/>
          <w:lang w:eastAsia="zh-CN"/>
        </w:rPr>
        <w:t>评审专家</w:t>
      </w:r>
      <w:r>
        <w:rPr>
          <w:rFonts w:ascii="Calibri" w:eastAsia="宋体" w:hAnsi="Calibri" w:hint="eastAsia"/>
          <w:kern w:val="2"/>
          <w:sz w:val="21"/>
          <w:szCs w:val="21"/>
          <w:lang w:eastAsia="zh-CN"/>
        </w:rPr>
        <w:t>均</w:t>
      </w:r>
      <w:r>
        <w:rPr>
          <w:rFonts w:ascii="Calibri" w:eastAsia="宋体" w:hAnsi="Calibri"/>
          <w:kern w:val="2"/>
          <w:sz w:val="21"/>
          <w:szCs w:val="21"/>
          <w:lang w:eastAsia="zh-CN"/>
        </w:rPr>
        <w:t>由</w:t>
      </w:r>
      <w:r>
        <w:rPr>
          <w:rFonts w:ascii="Calibri" w:eastAsia="宋体" w:hAnsi="Calibri" w:hint="eastAsia"/>
          <w:kern w:val="2"/>
          <w:sz w:val="21"/>
          <w:szCs w:val="21"/>
          <w:lang w:eastAsia="zh-CN"/>
        </w:rPr>
        <w:t>评审专家组成。</w:t>
      </w:r>
      <w:r>
        <w:rPr>
          <w:rFonts w:ascii="宋体" w:eastAsia="宋体" w:hAnsi="宋体"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hint="eastAsia"/>
          <w:kern w:val="2"/>
          <w:sz w:val="21"/>
          <w:szCs w:val="21"/>
          <w:lang w:eastAsia="zh-CN"/>
        </w:rPr>
        <w:t>信息公开的内容除外</w:t>
      </w:r>
      <w:r>
        <w:rPr>
          <w:rFonts w:ascii="宋体" w:eastAsia="宋体" w:hAnsi="宋体" w:hint="eastAsia"/>
          <w:bCs/>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30．向评审委员会提供的资料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30.2其他评标必须的资料。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（1）招标的目的；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（2）招标项目需求的范围和性质；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31．独立评审</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w:t>
      </w:r>
      <w:r>
        <w:rPr>
          <w:rFonts w:ascii="宋体" w:eastAsia="宋体" w:hAnsi="宋体"/>
          <w:bCs/>
          <w:kern w:val="2"/>
          <w:sz w:val="21"/>
          <w:szCs w:val="21"/>
          <w:lang w:eastAsia="zh-CN"/>
        </w:rPr>
        <w:t>1</w:t>
      </w:r>
      <w:r>
        <w:rPr>
          <w:rFonts w:ascii="宋体" w:eastAsia="宋体" w:hAnsi="宋体" w:hint="eastAsia"/>
          <w:bCs/>
          <w:kern w:val="2"/>
          <w:sz w:val="21"/>
          <w:szCs w:val="21"/>
          <w:lang w:eastAsia="zh-CN"/>
        </w:rPr>
        <w:t>.1</w:t>
      </w:r>
      <w:r>
        <w:rPr>
          <w:rFonts w:ascii="宋体" w:eastAsia="宋体" w:hAnsi="宋体" w:hint="eastAsia"/>
          <w:kern w:val="2"/>
          <w:sz w:val="21"/>
          <w:szCs w:val="21"/>
          <w:lang w:eastAsia="zh-CN"/>
        </w:rPr>
        <w:t>评审委员会</w:t>
      </w:r>
      <w:r>
        <w:rPr>
          <w:rFonts w:ascii="宋体" w:eastAsia="宋体" w:hAnsi="宋体"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bCs/>
          <w:kern w:val="2"/>
          <w:sz w:val="21"/>
          <w:szCs w:val="21"/>
          <w:lang w:eastAsia="zh-CN"/>
        </w:rPr>
      </w:pPr>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hint="eastAsia"/>
          <w:b/>
          <w:bCs/>
          <w:kern w:val="2"/>
          <w:sz w:val="28"/>
          <w:szCs w:val="28"/>
          <w:lang w:eastAsia="zh-CN"/>
        </w:rPr>
        <w:t>评审程序及评审方法</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32．投标文件初审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32.4投标人投标文件作无效处理的情形，具体包括但不限于以下：</w:t>
      </w:r>
    </w:p>
    <w:p>
      <w:pPr>
        <w:widowControl w:val="0"/>
        <w:ind w:firstLine="420" w:firstLineChars="200"/>
        <w:jc w:val="both"/>
        <w:rPr>
          <w:rFonts w:ascii="Calibri" w:eastAsia="宋体" w:hAnsi="Calibri"/>
          <w:kern w:val="2"/>
          <w:sz w:val="21"/>
          <w:szCs w:val="21"/>
          <w:lang w:eastAsia="zh-CN"/>
        </w:rPr>
      </w:pPr>
      <w:r>
        <w:rPr>
          <w:rFonts w:ascii="宋体" w:eastAsia="宋体" w:hAnsi="宋体" w:hint="eastAsia"/>
          <w:kern w:val="2"/>
          <w:sz w:val="21"/>
          <w:szCs w:val="21"/>
          <w:lang w:eastAsia="zh-CN"/>
        </w:rPr>
        <w:t>32.4.1</w:t>
      </w:r>
      <w:r>
        <w:rPr>
          <w:rFonts w:ascii="Calibri" w:eastAsia="宋体" w:hAnsi="Calibri"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ascii="Calibri" w:eastAsia="宋体" w:hAnsi="Calibri"/>
          <w:kern w:val="2"/>
          <w:sz w:val="21"/>
          <w:szCs w:val="21"/>
          <w:lang w:eastAsia="zh-CN"/>
        </w:rPr>
      </w:pPr>
      <w:r>
        <w:rPr>
          <w:rFonts w:ascii="宋体" w:eastAsia="宋体" w:hAnsi="宋体"/>
          <w:kern w:val="2"/>
          <w:sz w:val="21"/>
          <w:szCs w:val="21"/>
          <w:lang w:eastAsia="zh-CN"/>
        </w:rPr>
        <w:t>32.4.</w:t>
      </w:r>
      <w:r>
        <w:rPr>
          <w:rFonts w:ascii="宋体" w:eastAsia="宋体" w:hAnsi="宋体" w:hint="eastAsia"/>
          <w:kern w:val="2"/>
          <w:sz w:val="21"/>
          <w:szCs w:val="21"/>
          <w:lang w:eastAsia="zh-CN"/>
        </w:rPr>
        <w:t>2</w:t>
      </w:r>
      <w:r>
        <w:rPr>
          <w:rFonts w:ascii="Calibri" w:eastAsia="宋体" w:hAnsi="Calibri"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32.4.5</w:t>
      </w:r>
      <w:r>
        <w:rPr>
          <w:rFonts w:ascii="宋体" w:eastAsia="宋体" w:hAnsi="宋体"/>
          <w:kern w:val="2"/>
          <w:sz w:val="21"/>
          <w:szCs w:val="21"/>
          <w:lang w:eastAsia="zh-CN"/>
        </w:rPr>
        <w:t>不同投标供应商的投标文件或部分投标文件相互混装</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32.4.10主管部门依照法律、法规认定的其他情形。</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33．澄清有关问题</w:t>
      </w:r>
    </w:p>
    <w:p>
      <w:pPr>
        <w:widowControl w:val="0"/>
        <w:ind w:firstLine="420" w:firstLineChars="200"/>
        <w:jc w:val="both"/>
        <w:rPr>
          <w:rFonts w:ascii="宋体" w:eastAsia="宋体" w:hAnsi="宋体"/>
          <w:kern w:val="2"/>
          <w:sz w:val="21"/>
          <w:szCs w:val="21"/>
          <w:lang w:eastAsia="zh-CN"/>
        </w:rPr>
      </w:pPr>
      <w:bookmarkStart w:id="67" w:name="_Hlk71407321"/>
      <w:r>
        <w:rPr>
          <w:rFonts w:ascii="宋体" w:eastAsia="宋体" w:hAnsi="宋体" w:hint="eastAsia"/>
          <w:kern w:val="2"/>
          <w:sz w:val="21"/>
          <w:szCs w:val="21"/>
          <w:lang w:eastAsia="zh-CN"/>
        </w:rPr>
        <w:t>3</w:t>
      </w:r>
      <w:r>
        <w:rPr>
          <w:rFonts w:ascii="宋体" w:eastAsia="宋体" w:hAnsi="宋体"/>
          <w:kern w:val="2"/>
          <w:sz w:val="21"/>
          <w:szCs w:val="21"/>
          <w:lang w:eastAsia="zh-CN"/>
        </w:rPr>
        <w:t>3.1</w:t>
      </w:r>
      <w:r>
        <w:rPr>
          <w:rFonts w:ascii="宋体" w:eastAsia="宋体" w:hAnsi="宋体" w:hint="eastAsia"/>
          <w:kern w:val="2"/>
          <w:sz w:val="21"/>
          <w:szCs w:val="21"/>
          <w:lang w:eastAsia="zh-CN"/>
        </w:rPr>
        <w:t>对招标文件中描述有歧义或前后不一致的地方（不含</w:t>
      </w:r>
      <w:r>
        <w:rPr>
          <w:rFonts w:ascii="Calibri" w:eastAsia="宋体" w:hAnsi="Calibri" w:hint="eastAsia"/>
          <w:kern w:val="2"/>
          <w:sz w:val="21"/>
          <w:szCs w:val="21"/>
          <w:lang w:eastAsia="zh-CN"/>
        </w:rPr>
        <w:t>招标</w:t>
      </w:r>
      <w:r>
        <w:rPr>
          <w:rFonts w:ascii="Calibri" w:eastAsia="宋体" w:hAnsi="Calibri"/>
          <w:kern w:val="2"/>
          <w:sz w:val="21"/>
          <w:szCs w:val="21"/>
          <w:lang w:eastAsia="zh-CN"/>
        </w:rPr>
        <w:t>文件存在歧义、重大缺陷导致评</w:t>
      </w:r>
      <w:r>
        <w:rPr>
          <w:rFonts w:ascii="Calibri" w:eastAsia="宋体" w:hAnsi="Calibri" w:hint="eastAsia"/>
          <w:kern w:val="2"/>
          <w:sz w:val="21"/>
          <w:szCs w:val="21"/>
          <w:lang w:eastAsia="zh-CN"/>
        </w:rPr>
        <w:t>审</w:t>
      </w:r>
      <w:r>
        <w:rPr>
          <w:rFonts w:ascii="Calibri" w:eastAsia="宋体" w:hAnsi="Calibri"/>
          <w:kern w:val="2"/>
          <w:sz w:val="21"/>
          <w:szCs w:val="21"/>
          <w:lang w:eastAsia="zh-CN"/>
        </w:rPr>
        <w:t>工作无法进行</w:t>
      </w:r>
      <w:r>
        <w:rPr>
          <w:rFonts w:ascii="Calibri" w:eastAsia="宋体" w:hAnsi="Calibri" w:hint="eastAsia"/>
          <w:kern w:val="2"/>
          <w:sz w:val="21"/>
          <w:szCs w:val="21"/>
          <w:lang w:eastAsia="zh-CN"/>
        </w:rPr>
        <w:t>的情况）</w:t>
      </w:r>
      <w:r>
        <w:rPr>
          <w:rFonts w:ascii="宋体" w:eastAsia="宋体" w:hAnsi="宋体" w:hint="eastAsia"/>
          <w:kern w:val="2"/>
          <w:sz w:val="21"/>
          <w:szCs w:val="21"/>
          <w:lang w:eastAsia="zh-CN"/>
        </w:rPr>
        <w:t>，评审委员会有权进行评判，但对同一条款的评判应适用于每个投标人。</w:t>
      </w:r>
      <w:bookmarkEnd w:id="67"/>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3.2</w:t>
      </w:r>
      <w:r>
        <w:rPr>
          <w:rFonts w:ascii="Calibri" w:eastAsia="宋体" w:hAnsi="Calibri"/>
          <w:kern w:val="2"/>
          <w:sz w:val="21"/>
          <w:szCs w:val="21"/>
          <w:lang w:eastAsia="zh-CN"/>
        </w:rPr>
        <w:t>评</w:t>
      </w:r>
      <w:r>
        <w:rPr>
          <w:rFonts w:ascii="Calibri" w:eastAsia="宋体" w:hAnsi="Calibri" w:hint="eastAsia"/>
          <w:kern w:val="2"/>
          <w:sz w:val="21"/>
          <w:szCs w:val="21"/>
          <w:lang w:eastAsia="zh-CN"/>
        </w:rPr>
        <w:t>审</w:t>
      </w:r>
      <w:r>
        <w:rPr>
          <w:rFonts w:ascii="Calibri" w:eastAsia="宋体" w:hAnsi="Calibri"/>
          <w:kern w:val="2"/>
          <w:sz w:val="21"/>
          <w:szCs w:val="21"/>
          <w:lang w:eastAsia="zh-CN"/>
        </w:rPr>
        <w:t>委员会发现</w:t>
      </w:r>
      <w:r>
        <w:rPr>
          <w:rFonts w:ascii="Calibri" w:eastAsia="宋体" w:hAnsi="Calibri" w:hint="eastAsia"/>
          <w:kern w:val="2"/>
          <w:sz w:val="21"/>
          <w:szCs w:val="21"/>
          <w:lang w:eastAsia="zh-CN"/>
        </w:rPr>
        <w:t>招标</w:t>
      </w:r>
      <w:r>
        <w:rPr>
          <w:rFonts w:ascii="Calibri" w:eastAsia="宋体" w:hAnsi="Calibri"/>
          <w:kern w:val="2"/>
          <w:sz w:val="21"/>
          <w:szCs w:val="21"/>
          <w:lang w:eastAsia="zh-CN"/>
        </w:rPr>
        <w:t>文件存在歧义、重大缺陷导致评</w:t>
      </w:r>
      <w:r>
        <w:rPr>
          <w:rFonts w:ascii="Calibri" w:eastAsia="宋体" w:hAnsi="Calibri" w:hint="eastAsia"/>
          <w:kern w:val="2"/>
          <w:sz w:val="21"/>
          <w:szCs w:val="21"/>
          <w:lang w:eastAsia="zh-CN"/>
        </w:rPr>
        <w:t>审</w:t>
      </w:r>
      <w:r>
        <w:rPr>
          <w:rFonts w:ascii="Calibri" w:eastAsia="宋体" w:hAnsi="Calibri"/>
          <w:kern w:val="2"/>
          <w:sz w:val="21"/>
          <w:szCs w:val="21"/>
          <w:lang w:eastAsia="zh-CN"/>
        </w:rPr>
        <w:t>工作无法进行，或者</w:t>
      </w:r>
      <w:r>
        <w:rPr>
          <w:rFonts w:ascii="Calibri" w:eastAsia="宋体" w:hAnsi="Calibri" w:hint="eastAsia"/>
          <w:kern w:val="2"/>
          <w:sz w:val="21"/>
          <w:szCs w:val="21"/>
          <w:lang w:eastAsia="zh-CN"/>
        </w:rPr>
        <w:t>招标</w:t>
      </w:r>
      <w:r>
        <w:rPr>
          <w:rFonts w:ascii="Calibri" w:eastAsia="宋体" w:hAnsi="Calibri"/>
          <w:kern w:val="2"/>
          <w:sz w:val="21"/>
          <w:szCs w:val="21"/>
          <w:lang w:eastAsia="zh-CN"/>
        </w:rPr>
        <w:t>文件内容违反国家有关强制性规定的，应当停止评</w:t>
      </w:r>
      <w:r>
        <w:rPr>
          <w:rFonts w:ascii="Calibri" w:eastAsia="宋体" w:hAnsi="Calibri" w:hint="eastAsia"/>
          <w:kern w:val="2"/>
          <w:sz w:val="21"/>
          <w:szCs w:val="21"/>
          <w:lang w:eastAsia="zh-CN"/>
        </w:rPr>
        <w:t>审</w:t>
      </w:r>
      <w:r>
        <w:rPr>
          <w:rFonts w:ascii="Calibri" w:eastAsia="宋体" w:hAnsi="Calibri"/>
          <w:kern w:val="2"/>
          <w:sz w:val="21"/>
          <w:szCs w:val="21"/>
          <w:lang w:eastAsia="zh-CN"/>
        </w:rPr>
        <w:t>工作，与</w:t>
      </w:r>
      <w:r>
        <w:rPr>
          <w:rFonts w:ascii="Calibri" w:eastAsia="宋体" w:hAnsi="Calibri" w:hint="eastAsia"/>
          <w:kern w:val="2"/>
          <w:sz w:val="21"/>
          <w:szCs w:val="21"/>
          <w:lang w:eastAsia="zh-CN"/>
        </w:rPr>
        <w:t>政府集中采购机构</w:t>
      </w:r>
      <w:r>
        <w:rPr>
          <w:rFonts w:ascii="Calibri" w:eastAsia="宋体" w:hAnsi="Calibri"/>
          <w:kern w:val="2"/>
          <w:sz w:val="21"/>
          <w:szCs w:val="21"/>
          <w:lang w:eastAsia="zh-CN"/>
        </w:rPr>
        <w:t>沟通并作书面记录。</w:t>
      </w:r>
      <w:r>
        <w:rPr>
          <w:rFonts w:ascii="Calibri" w:eastAsia="宋体" w:hAnsi="Calibri" w:hint="eastAsia"/>
          <w:kern w:val="2"/>
          <w:sz w:val="21"/>
          <w:szCs w:val="21"/>
          <w:lang w:eastAsia="zh-CN"/>
        </w:rPr>
        <w:t>经</w:t>
      </w:r>
      <w:r>
        <w:rPr>
          <w:rFonts w:ascii="Calibri" w:eastAsia="宋体" w:hAnsi="Calibri"/>
          <w:kern w:val="2"/>
          <w:sz w:val="21"/>
          <w:szCs w:val="21"/>
          <w:lang w:eastAsia="zh-CN"/>
        </w:rPr>
        <w:t>确认后，</w:t>
      </w:r>
      <w:r>
        <w:rPr>
          <w:rFonts w:ascii="Calibri" w:eastAsia="宋体" w:hAnsi="Calibri" w:hint="eastAsia"/>
          <w:kern w:val="2"/>
          <w:sz w:val="21"/>
          <w:szCs w:val="21"/>
          <w:lang w:eastAsia="zh-CN"/>
        </w:rPr>
        <w:t>项目</w:t>
      </w:r>
      <w:r>
        <w:rPr>
          <w:rFonts w:ascii="Calibri" w:eastAsia="宋体" w:hAnsi="Calibri"/>
          <w:kern w:val="2"/>
          <w:sz w:val="21"/>
          <w:szCs w:val="21"/>
          <w:lang w:eastAsia="zh-CN"/>
        </w:rPr>
        <w:t>应当修改</w:t>
      </w:r>
      <w:r>
        <w:rPr>
          <w:rFonts w:ascii="Calibri" w:eastAsia="宋体" w:hAnsi="Calibri" w:hint="eastAsia"/>
          <w:kern w:val="2"/>
          <w:sz w:val="21"/>
          <w:szCs w:val="21"/>
          <w:lang w:eastAsia="zh-CN"/>
        </w:rPr>
        <w:t>招标</w:t>
      </w:r>
      <w:r>
        <w:rPr>
          <w:rFonts w:ascii="Calibri" w:eastAsia="宋体" w:hAnsi="Calibri"/>
          <w:kern w:val="2"/>
          <w:sz w:val="21"/>
          <w:szCs w:val="21"/>
          <w:lang w:eastAsia="zh-CN"/>
        </w:rPr>
        <w:t>文件，重新组织采购活动。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33.3</w:t>
      </w:r>
      <w:r>
        <w:rPr>
          <w:rFonts w:ascii="宋体" w:eastAsia="宋体" w:hAnsi="宋体"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kern w:val="2"/>
          <w:sz w:val="21"/>
          <w:szCs w:val="21"/>
          <w:lang w:eastAsia="zh-CN"/>
        </w:rPr>
      </w:pPr>
      <w:bookmarkStart w:id="68" w:name="_Toc73517673"/>
      <w:bookmarkStart w:id="69" w:name="_Toc73518151"/>
      <w:bookmarkStart w:id="70" w:name="_Toc73521669"/>
      <w:bookmarkStart w:id="71" w:name="_Toc73521581"/>
      <w:bookmarkStart w:id="72" w:name="_Toc100052400"/>
      <w:r>
        <w:rPr>
          <w:rFonts w:ascii="黑体" w:eastAsia="黑体" w:hAnsi="宋体" w:hint="eastAsia"/>
          <w:kern w:val="2"/>
          <w:sz w:val="21"/>
          <w:szCs w:val="21"/>
          <w:lang w:eastAsia="zh-CN"/>
        </w:rPr>
        <w:t>34．错误的修正</w:t>
      </w:r>
      <w:bookmarkEnd w:id="68"/>
      <w:bookmarkEnd w:id="69"/>
      <w:bookmarkEnd w:id="70"/>
      <w:bookmarkEnd w:id="71"/>
      <w:bookmarkEnd w:id="72"/>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35．投标文件的比较与评价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36. 实地考察或资料查验</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37．评审方法</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37.1.1最低价法</w:t>
      </w:r>
    </w:p>
    <w:p>
      <w:pPr>
        <w:widowControl w:val="0"/>
        <w:ind w:firstLine="420" w:firstLineChars="200"/>
        <w:jc w:val="both"/>
        <w:rPr>
          <w:rFonts w:ascii="ˎ̥" w:eastAsia="宋体" w:hAnsi="ˎ̥"/>
          <w:kern w:val="2"/>
          <w:sz w:val="21"/>
          <w:szCs w:val="21"/>
          <w:lang w:eastAsia="zh-CN"/>
        </w:rPr>
      </w:pPr>
      <w:bookmarkStart w:id="73" w:name="_Hlk72438142"/>
      <w:r>
        <w:rPr>
          <w:rFonts w:ascii="ˎ̥" w:eastAsia="宋体" w:hAnsi="ˎ̥"/>
          <w:kern w:val="2"/>
          <w:sz w:val="21"/>
          <w:szCs w:val="21"/>
          <w:lang w:eastAsia="zh-CN"/>
        </w:rPr>
        <w:t>最低价法，是指</w:t>
      </w:r>
      <w:r>
        <w:rPr>
          <w:rFonts w:ascii="ˎ̥" w:eastAsia="宋体" w:hAnsi="ˎ̥" w:hint="eastAsia"/>
          <w:kern w:val="2"/>
          <w:sz w:val="21"/>
          <w:szCs w:val="21"/>
          <w:lang w:eastAsia="zh-CN"/>
        </w:rPr>
        <w:t>完全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文件实质性要求，</w:t>
      </w:r>
      <w:r>
        <w:rPr>
          <w:rFonts w:ascii="ˎ̥" w:eastAsia="宋体" w:hAnsi="ˎ̥"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37.1.2综合评分法</w:t>
      </w:r>
    </w:p>
    <w:p>
      <w:pPr>
        <w:widowControl w:val="0"/>
        <w:ind w:firstLine="420" w:firstLineChars="200"/>
        <w:jc w:val="both"/>
        <w:rPr>
          <w:rFonts w:ascii="ˎ̥" w:eastAsia="宋体" w:hAnsi="ˎ̥"/>
          <w:kern w:val="2"/>
          <w:sz w:val="21"/>
          <w:szCs w:val="21"/>
          <w:lang w:eastAsia="zh-CN"/>
        </w:rPr>
      </w:pPr>
      <w:r>
        <w:rPr>
          <w:rFonts w:ascii="ˎ̥" w:eastAsia="宋体" w:hAnsi="ˎ̥"/>
          <w:kern w:val="2"/>
          <w:sz w:val="21"/>
          <w:szCs w:val="21"/>
          <w:lang w:eastAsia="zh-CN"/>
        </w:rPr>
        <w:t>综合评分法，是指</w:t>
      </w:r>
      <w:r>
        <w:rPr>
          <w:rFonts w:ascii="ˎ̥" w:eastAsia="宋体" w:hAnsi="ˎ̥" w:hint="eastAsia"/>
          <w:kern w:val="2"/>
          <w:sz w:val="21"/>
          <w:szCs w:val="21"/>
          <w:lang w:eastAsia="zh-CN"/>
        </w:rPr>
        <w:t>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w:t>
      </w:r>
      <w:r>
        <w:rPr>
          <w:rFonts w:ascii="ˎ̥" w:eastAsia="宋体" w:hAnsi="ˎ̥" w:hint="eastAsia"/>
          <w:kern w:val="2"/>
          <w:sz w:val="21"/>
          <w:szCs w:val="21"/>
          <w:lang w:eastAsia="zh-CN"/>
        </w:rPr>
        <w:t>的前提下</w:t>
      </w:r>
      <w:r>
        <w:rPr>
          <w:rFonts w:ascii="ˎ̥" w:eastAsia="宋体" w:hAnsi="ˎ̥"/>
          <w:kern w:val="2"/>
          <w:sz w:val="21"/>
          <w:szCs w:val="21"/>
          <w:lang w:eastAsia="zh-CN"/>
        </w:rPr>
        <w:t>，</w:t>
      </w:r>
      <w:r>
        <w:rPr>
          <w:rFonts w:ascii="ˎ̥" w:eastAsia="宋体" w:hAnsi="ˎ̥" w:hint="eastAsia"/>
          <w:kern w:val="2"/>
          <w:sz w:val="21"/>
          <w:szCs w:val="21"/>
          <w:lang w:eastAsia="zh-CN"/>
        </w:rPr>
        <w:t>按照招标文件中规定的各项因素进行综合评审，评审总得分排名前列的投标人，作为推荐的候选中标供应商。</w:t>
      </w:r>
      <w:bookmarkEnd w:id="73"/>
      <w:r>
        <w:rPr>
          <w:rFonts w:ascii="宋体" w:eastAsia="宋体" w:hAnsi="宋体" w:hint="eastAsia"/>
          <w:bCs/>
          <w:color w:val="FF0000"/>
          <w:kern w:val="2"/>
          <w:sz w:val="21"/>
          <w:szCs w:val="21"/>
          <w:lang w:eastAsia="zh-CN"/>
        </w:rPr>
        <w:t xml:space="preserve">  </w:t>
      </w:r>
      <w:r>
        <w:rPr>
          <w:rFonts w:ascii="宋体" w:eastAsia="宋体" w:hAnsi="宋体" w:hint="eastAsia"/>
          <w:bCs/>
          <w:kern w:val="2"/>
          <w:sz w:val="21"/>
          <w:szCs w:val="21"/>
          <w:lang w:eastAsia="zh-CN"/>
        </w:rPr>
        <w:t xml:space="preserve">                                                                                                                                                                                                                                                                                                                                                                                                                                                                                                                                                                                                                                                                                                                                                                                                                                                                                                                                                                                                                                                                                                                                                                                                                                                                                                                                                                                                                                                                                                                                                                                                                                                                                                                                                                                                                                                                                                                                                                                                                                                                                                                                                                                                                                                                                                                                                                                                                                                                                                                                                                                                                                                                                                                                                                                                                                                                                                                                                                                                                           </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37.2 本项目采用的评审方法见本项目招标文件第一册</w:t>
      </w:r>
      <w:r>
        <w:rPr>
          <w:rFonts w:ascii="宋体" w:eastAsia="宋体" w:hAnsi="宋体" w:hint="eastAsia"/>
          <w:b/>
          <w:bCs/>
          <w:kern w:val="2"/>
          <w:sz w:val="21"/>
          <w:szCs w:val="21"/>
          <w:lang w:eastAsia="zh-CN"/>
        </w:rPr>
        <w:t>“</w:t>
      </w:r>
      <w:r>
        <w:rPr>
          <w:rFonts w:ascii="宋体" w:eastAsia="宋体" w:hAnsi="宋体" w:hint="eastAsia"/>
          <w:b/>
          <w:bCs/>
          <w:kern w:val="2"/>
          <w:sz w:val="21"/>
          <w:szCs w:val="21"/>
          <w:lang w:eastAsia="zh-CN"/>
        </w:rPr>
        <w:t>专用条款</w:t>
      </w:r>
      <w:r>
        <w:rPr>
          <w:rFonts w:ascii="宋体" w:eastAsia="宋体" w:hAnsi="宋体" w:hint="eastAsia"/>
          <w:b/>
          <w:bCs/>
          <w:kern w:val="2"/>
          <w:sz w:val="21"/>
          <w:szCs w:val="21"/>
          <w:lang w:eastAsia="zh-CN"/>
        </w:rPr>
        <w:t>”</w:t>
      </w:r>
      <w:r>
        <w:rPr>
          <w:rFonts w:ascii="宋体" w:eastAsia="宋体" w:hAnsi="宋体" w:hint="eastAsia"/>
          <w:b/>
          <w:bCs/>
          <w:kern w:val="2"/>
          <w:sz w:val="21"/>
          <w:szCs w:val="21"/>
          <w:lang w:eastAsia="zh-CN"/>
        </w:rPr>
        <w:t>的相关内容。</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37.3重新评审的情形</w:t>
      </w:r>
    </w:p>
    <w:p>
      <w:pPr>
        <w:widowControl w:val="0"/>
        <w:ind w:firstLine="420" w:firstLineChars="200"/>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hint="eastAsia"/>
          <w:b/>
          <w:bCs/>
          <w:kern w:val="2"/>
          <w:sz w:val="28"/>
          <w:szCs w:val="28"/>
          <w:lang w:eastAsia="zh-CN"/>
        </w:rPr>
        <w:t>定标及公示</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38．定标方法</w:t>
      </w:r>
    </w:p>
    <w:p>
      <w:pPr>
        <w:widowControl w:val="0"/>
        <w:ind w:firstLine="420" w:firstLineChars="200"/>
        <w:jc w:val="both"/>
        <w:rPr>
          <w:rFonts w:ascii="宋体" w:eastAsia="宋体" w:hAnsi="宋体"/>
          <w:kern w:val="2"/>
          <w:sz w:val="21"/>
          <w:szCs w:val="21"/>
          <w:lang w:eastAsia="zh-CN"/>
        </w:rPr>
      </w:pPr>
      <w:bookmarkStart w:id="74" w:name="_Hlk73782795"/>
      <w:r>
        <w:rPr>
          <w:rFonts w:ascii="宋体" w:eastAsia="宋体" w:hAnsi="宋体" w:hint="eastAsia"/>
          <w:kern w:val="2"/>
          <w:sz w:val="21"/>
          <w:szCs w:val="21"/>
          <w:lang w:eastAsia="zh-CN"/>
        </w:rPr>
        <w:t>38.1非评定分离项目定标方法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1.2</w:t>
      </w:r>
      <w:r>
        <w:rPr>
          <w:rFonts w:ascii="ˎ̥" w:eastAsia="宋体" w:hAnsi="ˎ̥"/>
          <w:kern w:val="2"/>
          <w:sz w:val="21"/>
          <w:szCs w:val="21"/>
          <w:lang w:eastAsia="zh-CN"/>
        </w:rPr>
        <w:t>采用最低价法的，评</w:t>
      </w:r>
      <w:r>
        <w:rPr>
          <w:rFonts w:ascii="ˎ̥" w:eastAsia="宋体" w:hAnsi="ˎ̥" w:hint="eastAsia"/>
          <w:kern w:val="2"/>
          <w:sz w:val="21"/>
          <w:szCs w:val="21"/>
          <w:lang w:eastAsia="zh-CN"/>
        </w:rPr>
        <w:t>审</w:t>
      </w:r>
      <w:r>
        <w:rPr>
          <w:rFonts w:ascii="ˎ̥" w:eastAsia="宋体" w:hAnsi="ˎ̥"/>
          <w:kern w:val="2"/>
          <w:sz w:val="21"/>
          <w:szCs w:val="21"/>
          <w:lang w:eastAsia="zh-CN"/>
        </w:rPr>
        <w:t>结果按投标报价由低到高顺序排列。投标报价相同的并列。投标文件满足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文件全部实质性要求且投标报价最低的</w:t>
      </w:r>
      <w:r>
        <w:rPr>
          <w:rFonts w:ascii="ˎ̥" w:eastAsia="宋体" w:hAnsi="ˎ̥" w:hint="eastAsia"/>
          <w:kern w:val="2"/>
          <w:sz w:val="21"/>
          <w:szCs w:val="21"/>
          <w:lang w:eastAsia="zh-CN"/>
        </w:rPr>
        <w:t>投标人为</w:t>
      </w:r>
      <w:bookmarkStart w:id="75" w:name="_Hlk73821177"/>
      <w:r>
        <w:rPr>
          <w:rFonts w:ascii="ˎ̥" w:eastAsia="宋体" w:hAnsi="ˎ̥" w:hint="eastAsia"/>
          <w:kern w:val="2"/>
          <w:sz w:val="21"/>
          <w:szCs w:val="21"/>
          <w:lang w:eastAsia="zh-CN"/>
        </w:rPr>
        <w:t>唯一候选中标供应商</w:t>
      </w:r>
      <w:bookmarkEnd w:id="75"/>
      <w:r>
        <w:rPr>
          <w:rFonts w:ascii="ˎ̥" w:eastAsia="宋体" w:hAnsi="ˎ̥"/>
          <w:kern w:val="2"/>
          <w:sz w:val="21"/>
          <w:szCs w:val="21"/>
          <w:lang w:eastAsia="zh-CN"/>
        </w:rPr>
        <w:t>。</w:t>
      </w:r>
    </w:p>
    <w:p>
      <w:pPr>
        <w:widowControl w:val="0"/>
        <w:ind w:firstLine="420" w:firstLineChars="200"/>
        <w:jc w:val="both"/>
        <w:rPr>
          <w:rFonts w:ascii="ˎ̥" w:eastAsia="宋体" w:hAnsi="ˎ̥"/>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1.3</w:t>
      </w:r>
      <w:r>
        <w:rPr>
          <w:rFonts w:ascii="宋体" w:eastAsia="宋体" w:hAnsi="宋体"/>
          <w:kern w:val="2"/>
          <w:sz w:val="21"/>
          <w:szCs w:val="21"/>
          <w:lang w:eastAsia="zh-CN"/>
        </w:rPr>
        <w:t>采</w:t>
      </w:r>
      <w:r>
        <w:rPr>
          <w:rFonts w:ascii="ˎ̥" w:eastAsia="宋体" w:hAnsi="ˎ̥"/>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文件全部实质性要求，且按照评审因素的量化指标评审得分最高的投标人</w:t>
      </w:r>
      <w:r>
        <w:rPr>
          <w:rFonts w:ascii="ˎ̥" w:eastAsia="宋体" w:hAnsi="ˎ̥" w:hint="eastAsia"/>
          <w:kern w:val="2"/>
          <w:sz w:val="21"/>
          <w:szCs w:val="21"/>
          <w:lang w:eastAsia="zh-CN"/>
        </w:rPr>
        <w:t>为唯一候选中标供应商</w:t>
      </w:r>
      <w:r>
        <w:rPr>
          <w:rFonts w:ascii="ˎ̥" w:eastAsia="宋体" w:hAnsi="ˎ̥"/>
          <w:kern w:val="2"/>
          <w:sz w:val="21"/>
          <w:szCs w:val="21"/>
          <w:lang w:eastAsia="zh-CN"/>
        </w:rPr>
        <w:t>。</w:t>
      </w:r>
      <w:r>
        <w:rPr>
          <w:rFonts w:ascii="ˎ̥" w:eastAsia="宋体" w:hAnsi="ˎ̥" w:hint="eastAsia"/>
          <w:kern w:val="2"/>
          <w:sz w:val="21"/>
          <w:szCs w:val="21"/>
          <w:lang w:eastAsia="zh-CN"/>
        </w:rPr>
        <w:t>出现</w:t>
      </w:r>
      <w:r>
        <w:rPr>
          <w:rFonts w:ascii="ˎ̥" w:eastAsia="宋体" w:hAnsi="ˎ̥"/>
          <w:kern w:val="2"/>
          <w:sz w:val="21"/>
          <w:szCs w:val="21"/>
          <w:lang w:eastAsia="zh-CN"/>
        </w:rPr>
        <w:t>得分且投标报价相同的并列</w:t>
      </w:r>
      <w:r>
        <w:rPr>
          <w:rFonts w:ascii="ˎ̥" w:eastAsia="宋体" w:hAnsi="ˎ̥" w:hint="eastAsia"/>
          <w:kern w:val="2"/>
          <w:sz w:val="21"/>
          <w:szCs w:val="21"/>
          <w:lang w:eastAsia="zh-CN"/>
        </w:rPr>
        <w:t>情况时，采取随机抽取的方式确定，具体操作办法及流程由评审委员会确定（如</w:t>
      </w:r>
      <w:r>
        <w:rPr>
          <w:rFonts w:ascii="ˎ̥" w:eastAsia="宋体" w:hAnsi="ˎ̥" w:hint="eastAsia"/>
          <w:kern w:val="2"/>
          <w:sz w:val="21"/>
          <w:szCs w:val="21"/>
          <w:lang w:eastAsia="zh-CN"/>
        </w:rPr>
        <w:t>“</w:t>
      </w:r>
      <w:r>
        <w:rPr>
          <w:rFonts w:ascii="ˎ̥" w:eastAsia="宋体" w:hAnsi="ˎ̥" w:hint="eastAsia"/>
          <w:kern w:val="2"/>
          <w:sz w:val="21"/>
          <w:szCs w:val="21"/>
          <w:lang w:eastAsia="zh-CN"/>
        </w:rPr>
        <w:t>专用条款</w:t>
      </w:r>
      <w:r>
        <w:rPr>
          <w:rFonts w:ascii="ˎ̥" w:eastAsia="宋体" w:hAnsi="ˎ̥" w:hint="eastAsia"/>
          <w:kern w:val="2"/>
          <w:sz w:val="21"/>
          <w:szCs w:val="21"/>
          <w:lang w:eastAsia="zh-CN"/>
        </w:rPr>
        <w:t>”</w:t>
      </w:r>
      <w:r>
        <w:rPr>
          <w:rFonts w:ascii="ˎ̥" w:eastAsia="宋体" w:hAnsi="ˎ̥" w:hint="eastAsia"/>
          <w:kern w:val="2"/>
          <w:sz w:val="21"/>
          <w:szCs w:val="21"/>
          <w:lang w:eastAsia="zh-CN"/>
        </w:rPr>
        <w:t>中另有规定的以</w:t>
      </w:r>
      <w:r>
        <w:rPr>
          <w:rFonts w:ascii="ˎ̥" w:eastAsia="宋体" w:hAnsi="ˎ̥" w:hint="eastAsia"/>
          <w:kern w:val="2"/>
          <w:sz w:val="21"/>
          <w:szCs w:val="21"/>
          <w:lang w:eastAsia="zh-CN"/>
        </w:rPr>
        <w:t>“</w:t>
      </w:r>
      <w:r>
        <w:rPr>
          <w:rFonts w:ascii="ˎ̥" w:eastAsia="宋体" w:hAnsi="ˎ̥" w:hint="eastAsia"/>
          <w:kern w:val="2"/>
          <w:sz w:val="21"/>
          <w:szCs w:val="21"/>
          <w:lang w:eastAsia="zh-CN"/>
        </w:rPr>
        <w:t>专用条款</w:t>
      </w:r>
      <w:r>
        <w:rPr>
          <w:rFonts w:ascii="ˎ̥" w:eastAsia="宋体" w:hAnsi="ˎ̥" w:hint="eastAsia"/>
          <w:kern w:val="2"/>
          <w:sz w:val="21"/>
          <w:szCs w:val="21"/>
          <w:lang w:eastAsia="zh-CN"/>
        </w:rPr>
        <w:t>”</w:t>
      </w:r>
      <w:r>
        <w:rPr>
          <w:rFonts w:ascii="ˎ̥" w:eastAsia="宋体" w:hAnsi="ˎ̥" w:hint="eastAsia"/>
          <w:kern w:val="2"/>
          <w:sz w:val="21"/>
          <w:szCs w:val="21"/>
          <w:lang w:eastAsia="zh-CN"/>
        </w:rPr>
        <w:t>相关规定内容为准）。如唯一候选中标供应商被认定投标或中标无效，采购人应当重新开展采购活动。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38.2评定分离项目定标方法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ascii="Calibri" w:eastAsia="宋体" w:hAnsi="Calibri"/>
          <w:kern w:val="2"/>
          <w:sz w:val="21"/>
          <w:szCs w:val="21"/>
          <w:lang w:eastAsia="zh-CN"/>
        </w:rPr>
      </w:pPr>
      <w:r>
        <w:rPr>
          <w:rFonts w:ascii="宋体" w:eastAsia="宋体" w:hAnsi="宋体"/>
          <w:kern w:val="2"/>
          <w:sz w:val="21"/>
          <w:szCs w:val="21"/>
          <w:lang w:eastAsia="zh-CN"/>
        </w:rPr>
        <w:t xml:space="preserve">38.2.2 </w:t>
      </w:r>
      <w:bookmarkStart w:id="76" w:name="_Hlk71469733"/>
      <w:r>
        <w:rPr>
          <w:rFonts w:ascii="Calibri" w:eastAsia="宋体" w:hAnsi="Calibri"/>
          <w:kern w:val="2"/>
          <w:sz w:val="21"/>
          <w:szCs w:val="21"/>
          <w:lang w:eastAsia="zh-CN"/>
        </w:rPr>
        <w:t>适用评定分离的</w:t>
      </w:r>
      <w:r>
        <w:rPr>
          <w:rFonts w:ascii="Calibri" w:eastAsia="宋体" w:hAnsi="Calibri" w:hint="eastAsia"/>
          <w:kern w:val="2"/>
          <w:sz w:val="21"/>
          <w:szCs w:val="21"/>
          <w:lang w:eastAsia="zh-CN"/>
        </w:rPr>
        <w:t>采购</w:t>
      </w:r>
      <w:r>
        <w:rPr>
          <w:rFonts w:ascii="Calibri" w:eastAsia="宋体" w:hAnsi="Calibri"/>
          <w:kern w:val="2"/>
          <w:sz w:val="21"/>
          <w:szCs w:val="21"/>
          <w:lang w:eastAsia="zh-CN"/>
        </w:rPr>
        <w:t>项目，采用综合评分法评</w:t>
      </w:r>
      <w:r>
        <w:rPr>
          <w:rFonts w:ascii="Calibri" w:eastAsia="宋体" w:hAnsi="Calibri" w:hint="eastAsia"/>
          <w:kern w:val="2"/>
          <w:sz w:val="21"/>
          <w:szCs w:val="21"/>
          <w:lang w:eastAsia="zh-CN"/>
        </w:rPr>
        <w:t>审。</w:t>
      </w:r>
      <w:r>
        <w:rPr>
          <w:rFonts w:ascii="宋体" w:eastAsia="宋体" w:hAnsi="宋体" w:hint="eastAsia"/>
          <w:kern w:val="2"/>
          <w:sz w:val="21"/>
          <w:szCs w:val="21"/>
          <w:lang w:eastAsia="zh-CN"/>
        </w:rPr>
        <w:t>评审委员会按照评审结果，推荐</w:t>
      </w:r>
      <w:r>
        <w:rPr>
          <w:rFonts w:ascii="Calibri" w:eastAsia="宋体" w:hAnsi="Calibri"/>
          <w:kern w:val="2"/>
          <w:sz w:val="21"/>
          <w:szCs w:val="21"/>
          <w:lang w:eastAsia="zh-CN"/>
        </w:rPr>
        <w:t>三个合格的候选中标供应商。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38.2.3</w:t>
      </w:r>
      <w:bookmarkStart w:id="77" w:name="_Hlk71469688"/>
      <w:r>
        <w:rPr>
          <w:rFonts w:ascii="Calibri" w:eastAsia="宋体" w:hAnsi="Calibri"/>
          <w:kern w:val="2"/>
          <w:sz w:val="21"/>
          <w:szCs w:val="21"/>
          <w:lang w:eastAsia="zh-CN"/>
        </w:rPr>
        <w:t>适用评定分离的</w:t>
      </w:r>
      <w:r>
        <w:rPr>
          <w:rFonts w:ascii="Calibri" w:eastAsia="宋体" w:hAnsi="Calibri" w:hint="eastAsia"/>
          <w:kern w:val="2"/>
          <w:sz w:val="21"/>
          <w:szCs w:val="21"/>
          <w:lang w:eastAsia="zh-CN"/>
        </w:rPr>
        <w:t>采购</w:t>
      </w:r>
      <w:r>
        <w:rPr>
          <w:rFonts w:ascii="Calibri" w:eastAsia="宋体" w:hAnsi="Calibri"/>
          <w:kern w:val="2"/>
          <w:sz w:val="21"/>
          <w:szCs w:val="21"/>
          <w:lang w:eastAsia="zh-CN"/>
        </w:rPr>
        <w:t>项目，</w:t>
      </w:r>
      <w:r>
        <w:rPr>
          <w:rFonts w:ascii="宋体" w:eastAsia="宋体" w:hAnsi="宋体" w:hint="eastAsia"/>
          <w:kern w:val="2"/>
          <w:sz w:val="21"/>
          <w:szCs w:val="21"/>
          <w:lang w:eastAsia="zh-CN"/>
        </w:rPr>
        <w:t>按照自定法确定中标供应商：自定法是指采购人组织定标委员会，由定标委员会在三家候选中标供应商中确定中标供应商。</w:t>
      </w:r>
      <w:bookmarkEnd w:id="76"/>
      <w:bookmarkEnd w:id="77"/>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政府集中采购机构</w:t>
      </w:r>
      <w:r>
        <w:rPr>
          <w:rFonts w:ascii="Calibri" w:eastAsia="宋体" w:hAnsi="Calibri"/>
          <w:kern w:val="2"/>
          <w:sz w:val="21"/>
          <w:szCs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ascii="Calibri" w:eastAsia="宋体" w:hAnsi="Calibri"/>
          <w:kern w:val="2"/>
          <w:sz w:val="21"/>
          <w:szCs w:val="21"/>
          <w:lang w:eastAsia="zh-CN"/>
        </w:rPr>
        <w:t>采购人应当安排专人对定标过程进行书面记录，形成定标报告，作为采购文件的组成部分存档，并及时将定标结果反馈</w:t>
      </w:r>
      <w:r>
        <w:rPr>
          <w:rFonts w:ascii="Calibri" w:eastAsia="宋体" w:hAnsi="Calibri" w:hint="eastAsia"/>
          <w:kern w:val="2"/>
          <w:sz w:val="21"/>
          <w:szCs w:val="21"/>
          <w:lang w:eastAsia="zh-CN"/>
        </w:rPr>
        <w:t>政府集中采购机构。具体定标程序及相关要求以参照《</w:t>
      </w:r>
      <w:r>
        <w:rPr>
          <w:rFonts w:ascii="Calibri" w:eastAsia="宋体" w:hAnsi="Calibri"/>
          <w:kern w:val="2"/>
          <w:sz w:val="21"/>
          <w:szCs w:val="21"/>
          <w:lang w:eastAsia="zh-CN"/>
        </w:rPr>
        <w:t>深圳市财政局关于印发</w:t>
      </w:r>
      <w:r>
        <w:rPr>
          <w:rFonts w:ascii="宋体" w:eastAsia="宋体" w:hAnsi="宋体" w:hint="eastAsia"/>
          <w:kern w:val="2"/>
          <w:sz w:val="21"/>
          <w:szCs w:val="21"/>
          <w:lang w:eastAsia="zh-CN"/>
        </w:rPr>
        <w:t>〈</w:t>
      </w:r>
      <w:r>
        <w:rPr>
          <w:rFonts w:ascii="Calibri" w:eastAsia="宋体" w:hAnsi="Calibri"/>
          <w:kern w:val="2"/>
          <w:sz w:val="21"/>
          <w:szCs w:val="21"/>
          <w:lang w:eastAsia="zh-CN"/>
        </w:rPr>
        <w:t>深圳市政府采购评标定标分离管理办法</w:t>
      </w:r>
      <w:r>
        <w:rPr>
          <w:rFonts w:ascii="宋体" w:eastAsia="宋体" w:hAnsi="宋体" w:hint="eastAsia"/>
          <w:kern w:val="2"/>
          <w:sz w:val="21"/>
          <w:szCs w:val="21"/>
          <w:lang w:eastAsia="zh-CN"/>
        </w:rPr>
        <w:t>〉</w:t>
      </w:r>
      <w:r>
        <w:rPr>
          <w:rFonts w:ascii="Calibri" w:eastAsia="宋体" w:hAnsi="Calibri"/>
          <w:kern w:val="2"/>
          <w:sz w:val="21"/>
          <w:szCs w:val="21"/>
          <w:lang w:eastAsia="zh-CN"/>
        </w:rPr>
        <w:t>的通知</w:t>
      </w:r>
      <w:r>
        <w:rPr>
          <w:rFonts w:ascii="Calibri" w:eastAsia="宋体" w:hAnsi="Calibri" w:hint="eastAsia"/>
          <w:kern w:val="2"/>
          <w:sz w:val="21"/>
          <w:szCs w:val="21"/>
          <w:lang w:eastAsia="zh-CN"/>
        </w:rPr>
        <w:t>》（深财规【2</w:t>
      </w:r>
      <w:r>
        <w:rPr>
          <w:rFonts w:ascii="Calibri" w:eastAsia="宋体" w:hAnsi="Calibri"/>
          <w:kern w:val="2"/>
          <w:sz w:val="21"/>
          <w:szCs w:val="21"/>
          <w:lang w:eastAsia="zh-CN"/>
        </w:rPr>
        <w:t>020</w:t>
      </w:r>
      <w:r>
        <w:rPr>
          <w:rFonts w:ascii="Calibri" w:eastAsia="宋体" w:hAnsi="Calibri" w:hint="eastAsia"/>
          <w:kern w:val="2"/>
          <w:sz w:val="21"/>
          <w:szCs w:val="21"/>
          <w:lang w:eastAsia="zh-CN"/>
        </w:rPr>
        <w:t>】1号）执行。</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38.3专用条款另有规定的，按专用条款相关要求定标。</w:t>
      </w:r>
      <w:bookmarkEnd w:id="74"/>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39．编写评审报告</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40．中标（成交）公告</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40.1</w:t>
      </w:r>
      <w:bookmarkStart w:id="78" w:name="_Hlk72438709"/>
      <w:r>
        <w:rPr>
          <w:rFonts w:ascii="宋体" w:eastAsia="宋体" w:hAnsi="宋体" w:hint="eastAsia"/>
          <w:kern w:val="2"/>
          <w:sz w:val="21"/>
          <w:szCs w:val="21"/>
          <w:lang w:eastAsia="zh-CN"/>
        </w:rPr>
        <w:t>为体现</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公开、公平、公正</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的原则，评审结束后经采购人确认（确定）评审结果，政府集中采购机构将在深圳交易集团（深圳公共资源交易中心）官网</w:t>
      </w:r>
      <w:r>
        <w:rPr>
          <w:rFonts w:ascii="宋体" w:eastAsia="宋体" w:hAnsi="宋体" w:hint="eastAsia"/>
          <w:b/>
          <w:bCs/>
          <w:kern w:val="2"/>
          <w:sz w:val="21"/>
          <w:szCs w:val="21"/>
          <w:lang w:eastAsia="zh-CN"/>
        </w:rPr>
        <w:t>https://www.szexgrp.com/jyfw/zfcg-view.html?id=zfcg</w:t>
      </w:r>
      <w:r>
        <w:rPr>
          <w:rFonts w:ascii="宋体" w:eastAsia="宋体" w:hAnsi="宋体" w:hint="eastAsia"/>
          <w:kern w:val="2"/>
          <w:sz w:val="21"/>
          <w:szCs w:val="21"/>
          <w:lang w:eastAsia="zh-CN"/>
        </w:rPr>
        <w:t>上发布中标结果公告。</w:t>
      </w:r>
      <w:bookmarkStart w:id="79" w:name="_Hlk72438751"/>
      <w:bookmarkEnd w:id="78"/>
      <w:r>
        <w:rPr>
          <w:rFonts w:ascii="宋体" w:eastAsia="宋体" w:hAnsi="宋体" w:hint="eastAsia"/>
          <w:kern w:val="2"/>
          <w:sz w:val="21"/>
          <w:szCs w:val="21"/>
          <w:lang w:eastAsia="zh-CN"/>
        </w:rPr>
        <w:t>中标(成交)公告公示内容包含:采购人名称、项目名称、预算金额、采购方式、成交供应商名称、成交金额。供应商如对评审结果有异议，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 xml:space="preserve">提出。 </w:t>
      </w:r>
      <w:r>
        <w:rPr>
          <w:rFonts w:ascii="宋体" w:eastAsia="宋体" w:hAnsi="宋体" w:hint="eastAsia"/>
          <w:kern w:val="2"/>
          <w:sz w:val="21"/>
          <w:szCs w:val="21"/>
          <w:lang w:eastAsia="zh-CN"/>
        </w:rPr>
        <w:t xml:space="preserve"> 监督电话：0755-86500050</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p>
      <w:pPr>
        <w:widowControl w:val="0"/>
        <w:ind w:firstLine="420" w:firstLineChars="200"/>
        <w:jc w:val="both"/>
        <w:rPr>
          <w:rFonts w:ascii="宋体" w:eastAsia="宋体" w:hAnsi="宋体"/>
          <w:kern w:val="2"/>
          <w:sz w:val="21"/>
          <w:szCs w:val="21"/>
          <w:lang w:eastAsia="zh-CN"/>
        </w:rPr>
      </w:pPr>
      <w:bookmarkEnd w:id="79"/>
      <w:r>
        <w:rPr>
          <w:rFonts w:ascii="宋体" w:eastAsia="宋体" w:hAnsi="宋体"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41．中标通知书</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w:t>
      </w:r>
      <w:bookmarkStart w:id="80" w:name="_Hlk72438863"/>
      <w:r>
        <w:rPr>
          <w:rFonts w:ascii="宋体" w:eastAsia="宋体" w:hAnsi="宋体" w:hint="eastAsia"/>
          <w:kern w:val="2"/>
          <w:sz w:val="21"/>
          <w:szCs w:val="21"/>
          <w:lang w:eastAsia="zh-CN"/>
        </w:rPr>
        <w:t>中标公告公布以后无异常的情况下,中标供应商和采购人可自行在</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深圳政府采购自行采购系统（https://trade.szggzy.com/ggzy/center/#/login）</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bookmarkEnd w:id="80"/>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.2</w:t>
      </w:r>
      <w:r>
        <w:rPr>
          <w:rFonts w:ascii="宋体" w:eastAsia="宋体" w:hAnsi="宋体" w:hint="eastAsia"/>
          <w:kern w:val="2"/>
          <w:sz w:val="21"/>
          <w:szCs w:val="21"/>
          <w:lang w:eastAsia="zh-CN"/>
        </w:rPr>
        <w:t>中标通知书是合同的重要组成部分。</w:t>
      </w:r>
    </w:p>
    <w:p>
      <w:pPr>
        <w:widowControl w:val="0"/>
        <w:ind w:firstLine="420" w:firstLineChars="200"/>
        <w:jc w:val="both"/>
        <w:rPr>
          <w:rFonts w:ascii="宋体" w:eastAsia="宋体" w:hAnsi="宋体"/>
          <w:kern w:val="2"/>
          <w:sz w:val="21"/>
          <w:szCs w:val="21"/>
          <w:lang w:eastAsia="zh-CN"/>
        </w:rPr>
      </w:pPr>
      <w:bookmarkStart w:id="81" w:name="_Hlk71407340"/>
      <w:r>
        <w:rPr>
          <w:rFonts w:ascii="宋体" w:eastAsia="宋体" w:hAnsi="宋体" w:hint="eastAsia"/>
          <w:kern w:val="2"/>
          <w:sz w:val="21"/>
          <w:szCs w:val="21"/>
          <w:lang w:eastAsia="zh-CN"/>
        </w:rPr>
        <w:t>41.3因质疑投诉或其他原因导致项目结果变更或采购终止的，政府集中采购机构有权吊销中标通知书。</w:t>
      </w:r>
    </w:p>
    <w:p>
      <w:pPr>
        <w:widowControl w:val="0"/>
        <w:ind w:firstLine="412" w:firstLineChars="196"/>
        <w:jc w:val="both"/>
        <w:rPr>
          <w:rFonts w:ascii="宋体" w:eastAsia="宋体" w:hAnsi="宋体"/>
          <w:kern w:val="2"/>
          <w:sz w:val="21"/>
          <w:szCs w:val="21"/>
          <w:lang w:eastAsia="zh-CN"/>
        </w:rPr>
      </w:pPr>
      <w:bookmarkEnd w:id="81"/>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hint="eastAsia"/>
          <w:b/>
          <w:bCs/>
          <w:kern w:val="2"/>
          <w:sz w:val="28"/>
          <w:szCs w:val="28"/>
          <w:lang w:eastAsia="zh-CN"/>
        </w:rPr>
        <w:t>公开招标失败的后续处理</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42．公开招标失败的处理</w:t>
      </w:r>
    </w:p>
    <w:p>
      <w:pPr>
        <w:widowControl w:val="0"/>
        <w:ind w:firstLine="412" w:firstLineChars="196"/>
        <w:jc w:val="both"/>
        <w:rPr>
          <w:rFonts w:ascii="宋体" w:eastAsia="宋体" w:hAnsi="宋体"/>
          <w:kern w:val="2"/>
          <w:sz w:val="21"/>
          <w:szCs w:val="22"/>
          <w:lang w:eastAsia="zh-CN"/>
        </w:rPr>
      </w:pPr>
      <w:r>
        <w:rPr>
          <w:rFonts w:ascii="宋体" w:eastAsia="宋体" w:hAnsi="宋体" w:hint="eastAsia"/>
          <w:kern w:val="2"/>
          <w:sz w:val="21"/>
          <w:szCs w:val="21"/>
          <w:lang w:eastAsia="zh-CN"/>
        </w:rPr>
        <w:t>42.1本项目公开招标过程中若由于投标截止后</w:t>
      </w:r>
      <w:r>
        <w:rPr>
          <w:rFonts w:ascii="宋体" w:eastAsia="宋体" w:hAnsi="宋体" w:hint="eastAsia"/>
          <w:kern w:val="2"/>
          <w:sz w:val="21"/>
          <w:szCs w:val="22"/>
          <w:lang w:eastAsia="zh-CN"/>
        </w:rPr>
        <w:t>实际递交</w:t>
      </w:r>
      <w:r>
        <w:rPr>
          <w:rFonts w:ascii="宋体" w:eastAsia="宋体" w:hAnsi="宋体"/>
          <w:kern w:val="2"/>
          <w:sz w:val="21"/>
          <w:szCs w:val="22"/>
          <w:lang w:eastAsia="zh-CN"/>
        </w:rPr>
        <w:t>投标</w:t>
      </w:r>
      <w:r>
        <w:rPr>
          <w:rFonts w:ascii="宋体" w:eastAsia="宋体" w:hAnsi="宋体" w:hint="eastAsia"/>
          <w:kern w:val="2"/>
          <w:sz w:val="21"/>
          <w:szCs w:val="22"/>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hint="eastAsia"/>
          <w:kern w:val="2"/>
          <w:sz w:val="21"/>
          <w:szCs w:val="22"/>
          <w:lang w:eastAsia="zh-CN"/>
        </w:rPr>
        <w:t>重新组织采购。</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42.3重新组织采购有以下两种组织形式：</w:t>
      </w:r>
    </w:p>
    <w:p>
      <w:pPr>
        <w:widowControl w:val="0"/>
        <w:ind w:firstLine="412" w:firstLineChars="196"/>
        <w:jc w:val="both"/>
        <w:rPr>
          <w:rFonts w:ascii="宋体" w:eastAsia="宋体" w:hAnsi="宋体"/>
          <w:kern w:val="2"/>
          <w:sz w:val="21"/>
          <w:szCs w:val="22"/>
          <w:lang w:eastAsia="zh-CN"/>
        </w:rPr>
      </w:pPr>
      <w:r>
        <w:rPr>
          <w:rFonts w:ascii="宋体" w:eastAsia="宋体" w:hAnsi="宋体" w:hint="eastAsia"/>
          <w:kern w:val="2"/>
          <w:sz w:val="21"/>
          <w:szCs w:val="22"/>
          <w:lang w:eastAsia="zh-CN"/>
        </w:rPr>
        <w:t>（1）由政府集中采购机构重新组织公开招标；</w:t>
      </w:r>
    </w:p>
    <w:p>
      <w:pPr>
        <w:widowControl w:val="0"/>
        <w:ind w:firstLine="412" w:firstLineChars="196"/>
        <w:jc w:val="both"/>
        <w:rPr>
          <w:rFonts w:ascii="宋体" w:eastAsia="宋体" w:hAnsi="宋体"/>
          <w:kern w:val="2"/>
          <w:sz w:val="21"/>
          <w:szCs w:val="22"/>
          <w:lang w:eastAsia="zh-CN"/>
        </w:rPr>
      </w:pPr>
      <w:r>
        <w:rPr>
          <w:rFonts w:ascii="宋体" w:eastAsia="宋体" w:hAnsi="宋体" w:hint="eastAsia"/>
          <w:kern w:val="2"/>
          <w:sz w:val="21"/>
          <w:szCs w:val="22"/>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kern w:val="2"/>
          <w:sz w:val="21"/>
          <w:szCs w:val="22"/>
          <w:lang w:eastAsia="zh-CN"/>
        </w:rPr>
      </w:pPr>
      <w:r>
        <w:rPr>
          <w:rFonts w:ascii="宋体" w:eastAsia="宋体" w:hAnsi="宋体" w:hint="eastAsia"/>
          <w:kern w:val="2"/>
          <w:sz w:val="21"/>
          <w:szCs w:val="22"/>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kern w:val="2"/>
          <w:szCs w:val="22"/>
          <w:lang w:eastAsia="zh-CN"/>
        </w:rPr>
      </w:pPr>
      <w:r>
        <w:rPr>
          <w:rFonts w:ascii="宋体" w:eastAsia="宋体" w:hAnsi="宋体" w:hint="eastAsia"/>
          <w:kern w:val="2"/>
          <w:sz w:val="21"/>
          <w:szCs w:val="22"/>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kern w:val="2"/>
          <w:sz w:val="21"/>
          <w:szCs w:val="21"/>
          <w:lang w:eastAsia="zh-CN"/>
        </w:rPr>
      </w:pPr>
    </w:p>
    <w:p>
      <w:pPr>
        <w:widowControl w:val="0"/>
        <w:jc w:val="both"/>
        <w:rPr>
          <w:rFonts w:ascii="黑体" w:eastAsia="黑体" w:hAnsi="宋体"/>
          <w:kern w:val="2"/>
          <w:szCs w:val="22"/>
          <w:lang w:eastAsia="zh-CN"/>
        </w:rPr>
      </w:pPr>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82" w:name="_Hlk72439043"/>
      <w:r>
        <w:rPr>
          <w:rFonts w:ascii="Cambria" w:eastAsia="宋体" w:hAnsi="Cambria" w:hint="eastAsia"/>
          <w:b/>
          <w:bCs/>
          <w:kern w:val="2"/>
          <w:sz w:val="28"/>
          <w:szCs w:val="28"/>
          <w:lang w:eastAsia="zh-CN"/>
        </w:rPr>
        <w:t>合同的授予与备案</w:t>
      </w:r>
      <w:bookmarkEnd w:id="82"/>
    </w:p>
    <w:p>
      <w:pPr>
        <w:widowControl w:val="0"/>
        <w:ind w:firstLine="420" w:firstLineChars="200"/>
        <w:jc w:val="both"/>
        <w:rPr>
          <w:rFonts w:ascii="黑体" w:eastAsia="黑体" w:hAnsi="宋体"/>
          <w:kern w:val="2"/>
          <w:sz w:val="21"/>
          <w:szCs w:val="21"/>
          <w:lang w:eastAsia="zh-CN"/>
        </w:rPr>
      </w:pPr>
      <w:bookmarkStart w:id="83" w:name="_Toc73521674"/>
      <w:bookmarkStart w:id="84" w:name="_Toc73521586"/>
      <w:bookmarkStart w:id="85" w:name="_Toc73517679"/>
      <w:bookmarkStart w:id="86" w:name="_Toc100052408"/>
      <w:bookmarkStart w:id="87" w:name="_Toc73518157"/>
      <w:bookmarkStart w:id="88" w:name="_Hlk72439088"/>
      <w:r>
        <w:rPr>
          <w:rFonts w:ascii="黑体" w:eastAsia="黑体" w:hAnsi="宋体" w:hint="eastAsia"/>
          <w:kern w:val="2"/>
          <w:sz w:val="21"/>
          <w:szCs w:val="21"/>
          <w:lang w:eastAsia="zh-CN"/>
        </w:rPr>
        <w:t>43．合同授予标准</w:t>
      </w:r>
      <w:bookmarkEnd w:id="83"/>
      <w:bookmarkEnd w:id="84"/>
      <w:bookmarkEnd w:id="85"/>
      <w:bookmarkEnd w:id="86"/>
      <w:bookmarkEnd w:id="87"/>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kern w:val="2"/>
          <w:sz w:val="21"/>
          <w:szCs w:val="21"/>
          <w:lang w:eastAsia="zh-CN"/>
        </w:rPr>
      </w:pPr>
      <w:bookmarkStart w:id="89" w:name="_Toc73517680"/>
      <w:bookmarkStart w:id="90" w:name="_Toc73521587"/>
      <w:bookmarkStart w:id="91" w:name="_Toc100052409"/>
      <w:bookmarkStart w:id="92" w:name="_Toc73521675"/>
      <w:bookmarkStart w:id="93" w:name="_Toc73518158"/>
      <w:r>
        <w:rPr>
          <w:rFonts w:ascii="黑体" w:eastAsia="黑体" w:hAnsi="宋体" w:hint="eastAsia"/>
          <w:kern w:val="2"/>
          <w:sz w:val="21"/>
          <w:szCs w:val="21"/>
          <w:lang w:eastAsia="zh-CN"/>
        </w:rPr>
        <w:t>44．</w:t>
      </w:r>
      <w:bookmarkEnd w:id="89"/>
      <w:bookmarkEnd w:id="90"/>
      <w:bookmarkEnd w:id="91"/>
      <w:bookmarkEnd w:id="92"/>
      <w:bookmarkEnd w:id="93"/>
      <w:r>
        <w:rPr>
          <w:rFonts w:ascii="黑体" w:eastAsia="黑体" w:hAnsi="宋体" w:hint="eastAsia"/>
          <w:kern w:val="2"/>
          <w:sz w:val="21"/>
          <w:szCs w:val="21"/>
          <w:lang w:eastAsia="zh-CN"/>
        </w:rPr>
        <w:t>接受和拒绝任何或所有投标的权力</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kern w:val="2"/>
          <w:sz w:val="21"/>
          <w:szCs w:val="21"/>
          <w:lang w:eastAsia="zh-CN"/>
        </w:rPr>
      </w:pPr>
      <w:bookmarkStart w:id="94" w:name="_Toc100052410"/>
      <w:bookmarkStart w:id="95" w:name="_Toc73521677"/>
      <w:bookmarkStart w:id="96" w:name="_Toc73517682"/>
      <w:bookmarkStart w:id="97" w:name="_Toc73518160"/>
      <w:bookmarkStart w:id="98" w:name="_Toc73521589"/>
      <w:r>
        <w:rPr>
          <w:rFonts w:ascii="黑体" w:eastAsia="黑体" w:hAnsi="宋体" w:hint="eastAsia"/>
          <w:kern w:val="2"/>
          <w:sz w:val="21"/>
          <w:szCs w:val="21"/>
          <w:lang w:eastAsia="zh-CN"/>
        </w:rPr>
        <w:t>45．合同的签订</w:t>
      </w:r>
      <w:bookmarkEnd w:id="98"/>
      <w:bookmarkEnd w:id="94"/>
      <w:bookmarkEnd w:id="95"/>
      <w:bookmarkEnd w:id="96"/>
      <w:bookmarkEnd w:id="97"/>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kern w:val="2"/>
          <w:sz w:val="21"/>
          <w:szCs w:val="21"/>
          <w:lang w:eastAsia="zh-CN"/>
        </w:rPr>
      </w:pPr>
      <w:bookmarkStart w:id="99" w:name="_Toc73518161"/>
      <w:bookmarkStart w:id="100" w:name="_Toc73521590"/>
      <w:bookmarkStart w:id="101" w:name="_Toc100052411"/>
      <w:bookmarkStart w:id="102" w:name="_Toc73517683"/>
      <w:bookmarkStart w:id="103" w:name="_Toc73521678"/>
      <w:r>
        <w:rPr>
          <w:rFonts w:ascii="黑体" w:eastAsia="黑体" w:hAnsi="宋体" w:hint="eastAsia"/>
          <w:kern w:val="2"/>
          <w:sz w:val="21"/>
          <w:szCs w:val="21"/>
          <w:lang w:eastAsia="zh-CN"/>
        </w:rPr>
        <w:t>46．履约担保</w:t>
      </w:r>
      <w:bookmarkEnd w:id="99"/>
      <w:bookmarkEnd w:id="100"/>
      <w:bookmarkEnd w:id="103"/>
      <w:bookmarkEnd w:id="101"/>
      <w:bookmarkEnd w:id="102"/>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46.1在签订项目合同的同时，中标人应按</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对通用条款的补充内容</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中规定的金额向采购人提交履约担保；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ascii="Calibri" w:eastAsia="宋体" w:hAnsi="Calibri"/>
          <w:kern w:val="2"/>
          <w:sz w:val="21"/>
          <w:szCs w:val="21"/>
          <w:lang w:eastAsia="zh-CN"/>
        </w:rPr>
        <w:t>中标</w:t>
      </w:r>
      <w:r>
        <w:rPr>
          <w:rFonts w:ascii="Calibri" w:eastAsia="宋体" w:hAnsi="Calibri" w:hint="eastAsia"/>
          <w:kern w:val="2"/>
          <w:sz w:val="21"/>
          <w:szCs w:val="21"/>
          <w:lang w:eastAsia="zh-CN"/>
        </w:rPr>
        <w:t>人</w:t>
      </w:r>
      <w:r>
        <w:rPr>
          <w:rFonts w:ascii="Calibri" w:eastAsia="宋体" w:hAnsi="Calibri"/>
          <w:kern w:val="2"/>
          <w:sz w:val="21"/>
          <w:szCs w:val="21"/>
          <w:lang w:eastAsia="zh-CN"/>
        </w:rPr>
        <w:t>提交履约</w:t>
      </w:r>
      <w:r>
        <w:rPr>
          <w:rFonts w:ascii="Calibri" w:eastAsia="宋体" w:hAnsi="Calibri" w:hint="eastAsia"/>
          <w:kern w:val="2"/>
          <w:sz w:val="21"/>
          <w:szCs w:val="21"/>
          <w:lang w:eastAsia="zh-CN"/>
        </w:rPr>
        <w:t>担保不是</w:t>
      </w:r>
      <w:r>
        <w:rPr>
          <w:rFonts w:ascii="Calibri" w:eastAsia="宋体" w:hAnsi="Calibri"/>
          <w:kern w:val="2"/>
          <w:sz w:val="21"/>
          <w:szCs w:val="21"/>
          <w:lang w:eastAsia="zh-CN"/>
        </w:rPr>
        <w:t>合同签订的</w:t>
      </w:r>
      <w:r>
        <w:rPr>
          <w:rFonts w:ascii="Calibri" w:eastAsia="宋体" w:hAnsi="Calibri" w:hint="eastAsia"/>
          <w:kern w:val="2"/>
          <w:sz w:val="21"/>
          <w:szCs w:val="21"/>
          <w:lang w:eastAsia="zh-CN"/>
        </w:rPr>
        <w:t>前提</w:t>
      </w:r>
      <w:r>
        <w:rPr>
          <w:rFonts w:ascii="Calibri" w:eastAsia="宋体" w:hAnsi="Calibri"/>
          <w:kern w:val="2"/>
          <w:sz w:val="21"/>
          <w:szCs w:val="21"/>
          <w:lang w:eastAsia="zh-CN"/>
        </w:rPr>
        <w:t>条件，不要求中标</w:t>
      </w:r>
      <w:r>
        <w:rPr>
          <w:rFonts w:ascii="Calibri" w:eastAsia="宋体" w:hAnsi="Calibri" w:hint="eastAsia"/>
          <w:kern w:val="2"/>
          <w:sz w:val="21"/>
          <w:szCs w:val="21"/>
          <w:lang w:eastAsia="zh-CN"/>
        </w:rPr>
        <w:t>人</w:t>
      </w:r>
      <w:r>
        <w:rPr>
          <w:rFonts w:ascii="Calibri" w:eastAsia="宋体" w:hAnsi="Calibri"/>
          <w:kern w:val="2"/>
          <w:sz w:val="21"/>
          <w:szCs w:val="21"/>
          <w:lang w:eastAsia="zh-CN"/>
        </w:rPr>
        <w:t>提供除法律、法规明确规定外的其他担保</w:t>
      </w:r>
      <w:r>
        <w:rPr>
          <w:rFonts w:ascii="Calibri" w:eastAsia="宋体" w:hAnsi="Calibri" w:hint="eastAsia"/>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47. 合同备案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Hans"/>
        </w:rPr>
        <w:t>采购人与中标供应商自中标通知书发出之日起10个工作日内签订采购合同，</w:t>
      </w:r>
      <w:r>
        <w:rPr>
          <w:rFonts w:ascii="宋体" w:eastAsia="宋体" w:hAnsi="宋体" w:hint="eastAsia"/>
          <w:kern w:val="2"/>
          <w:sz w:val="21"/>
          <w:szCs w:val="21"/>
          <w:lang w:eastAsia="zh-CN"/>
        </w:rPr>
        <w:t>并按采购人内控制度规定提交备案。</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48. 合同变更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49. 项目验收</w:t>
      </w:r>
    </w:p>
    <w:p>
      <w:pPr>
        <w:widowControl/>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49.1采购人应当按照招标文件和合同规定的标准和方法，及时组织验收。</w:t>
      </w:r>
      <w:r>
        <w:rPr>
          <w:rFonts w:ascii="宋体" w:eastAsia="宋体" w:hAnsi="宋体"/>
          <w:kern w:val="2"/>
          <w:sz w:val="21"/>
          <w:szCs w:val="21"/>
          <w:lang w:eastAsia="zh-CN"/>
        </w:rPr>
        <w:t xml:space="preserve"> </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50. 宣传</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a.名片、宣传册、广告标语等；</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b.案例介绍、推广等；</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c.工作人员向其他消费群体宣传。</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51. 供应商违法责任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1.1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（5）与其他采购参加人串通投标的；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（6）恶意投诉的；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 xml:space="preserve">1.2 </w:t>
      </w:r>
      <w:r>
        <w:rPr>
          <w:rFonts w:ascii="宋体" w:eastAsia="宋体" w:hAnsi="宋体"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04" w:name="_Hlk72440769"/>
      <w:r>
        <w:rPr>
          <w:rFonts w:ascii="宋体" w:eastAsia="宋体" w:hAnsi="宋体" w:hint="eastAsia"/>
          <w:kern w:val="2"/>
          <w:sz w:val="21"/>
          <w:szCs w:val="21"/>
          <w:lang w:eastAsia="zh-CN"/>
        </w:rPr>
        <w:t>政府集中采购机构或采购人不予退还其交纳的谈判保证金，情节严重的，并由主管部门</w:t>
      </w:r>
      <w:bookmarkEnd w:id="104"/>
      <w:r>
        <w:rPr>
          <w:rFonts w:ascii="宋体" w:eastAsia="宋体" w:hAnsi="宋体" w:hint="eastAsia"/>
          <w:kern w:val="2"/>
          <w:sz w:val="21"/>
          <w:szCs w:val="21"/>
          <w:lang w:eastAsia="zh-CN"/>
        </w:rPr>
        <w:t>记入供应商诚信档案，予以通报：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）投标截止后，撤销投标的；</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）中标后无正当理由未在规定期限内签订合同的；</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）将中标项目转让给他人、或者在投标文件中未说明且未经采购人、采购</w:t>
      </w:r>
      <w:r>
        <w:rPr>
          <w:rFonts w:ascii="宋体" w:eastAsia="宋体" w:hAnsi="宋体" w:hint="eastAsia"/>
          <w:kern w:val="2"/>
          <w:sz w:val="21"/>
          <w:szCs w:val="21"/>
          <w:lang w:eastAsia="zh-CN"/>
        </w:rPr>
        <w:t>招标</w:t>
      </w:r>
      <w:r>
        <w:rPr>
          <w:rFonts w:ascii="宋体" w:eastAsia="宋体" w:hAnsi="宋体"/>
          <w:kern w:val="2"/>
          <w:sz w:val="21"/>
          <w:szCs w:val="21"/>
          <w:lang w:eastAsia="zh-CN"/>
        </w:rPr>
        <w:t>机构同意，将中标项目分包给他人的；</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widowControl w:val="0"/>
        <w:spacing w:line="360" w:lineRule="auto"/>
        <w:jc w:val="both"/>
        <w:rPr>
          <w:rFonts w:ascii="Calibri" w:eastAsia="宋体" w:hAnsi="Calibri"/>
          <w:b/>
          <w:bCs/>
          <w:kern w:val="2"/>
          <w:szCs w:val="22"/>
          <w:lang w:eastAsia="zh-CN"/>
        </w:rPr>
      </w:pPr>
    </w:p>
    <w:p>
      <w:pPr>
        <w:keepNext/>
        <w:keepLines/>
        <w:widowControl w:val="0"/>
        <w:numPr>
          <w:ilvl w:val="0"/>
          <w:numId w:val="5"/>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End w:id="88"/>
      <w:r>
        <w:rPr>
          <w:rFonts w:ascii="Cambria" w:eastAsia="宋体" w:hAnsi="Cambria" w:hint="eastAsia"/>
          <w:b/>
          <w:bCs/>
          <w:kern w:val="2"/>
          <w:sz w:val="28"/>
          <w:szCs w:val="28"/>
          <w:lang w:eastAsia="zh-CN"/>
        </w:rPr>
        <w:t>质疑处理</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52.质疑提出与答复</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52.1提出质疑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52.2</w:t>
      </w:r>
      <w:r>
        <w:rPr>
          <w:rFonts w:ascii="宋体" w:eastAsia="宋体" w:hAnsi="宋体"/>
          <w:kern w:val="2"/>
          <w:sz w:val="21"/>
          <w:szCs w:val="21"/>
          <w:lang w:eastAsia="zh-CN"/>
        </w:rPr>
        <w:t>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52.3质疑条件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52.3.1提出质疑的供应商应当是参与所质疑项目采购活动的供应商；</w:t>
      </w:r>
      <w:bookmarkStart w:id="105" w:name="_Hlk75374941"/>
      <w:r>
        <w:rPr>
          <w:rFonts w:ascii="宋体" w:eastAsia="宋体" w:hAnsi="宋体" w:hint="eastAsia"/>
          <w:kern w:val="2"/>
          <w:sz w:val="21"/>
          <w:szCs w:val="21"/>
          <w:lang w:eastAsia="zh-CN"/>
        </w:rPr>
        <w:t>以联合体形式参与的，质疑应当由组成联合体的所有成员共同提出</w:t>
      </w:r>
      <w:bookmarkEnd w:id="105"/>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52.3.3应提交书面质疑函，质疑函应当包括以下内容：</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52.5收文地点</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地址：深圳公共资源交易中心（深圳交易集团有限公司宝安分公司）一楼服务大厅，质疑咨询电话：0755-27758331。</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kern w:val="2"/>
          <w:sz w:val="21"/>
          <w:szCs w:val="21"/>
          <w:lang w:eastAsia="zh-CN"/>
        </w:rPr>
      </w:pPr>
      <w:r>
        <w:rPr>
          <w:rFonts w:ascii="宋体" w:eastAsia="宋体" w:hAnsi="宋体"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52.7质疑答复时限</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自收文之日起七个工作日内。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52.8争议（投诉）</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53. 质疑后续处理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ascii="Calibri" w:eastAsia="宋体" w:hAnsi="Calibri"/>
          <w:kern w:val="2"/>
          <w:sz w:val="21"/>
          <w:szCs w:val="21"/>
          <w:lang w:eastAsia="zh-CN"/>
        </w:rPr>
      </w:pPr>
      <w:r>
        <w:rPr>
          <w:rFonts w:ascii="宋体" w:eastAsia="宋体" w:hAnsi="宋体"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ascii="Calibri" w:eastAsia="宋体" w:hAnsi="Calibri"/>
          <w:kern w:val="2"/>
          <w:sz w:val="21"/>
          <w:szCs w:val="22"/>
          <w:lang w:eastAsia="zh-CN"/>
        </w:rPr>
      </w:pPr>
      <w:r>
        <w:rPr>
          <w:rFonts w:ascii="Calibri" w:eastAsia="宋体" w:hAnsi="Calibri"/>
          <w:kern w:val="2"/>
          <w:sz w:val="21"/>
          <w:szCs w:val="22"/>
          <w:lang w:eastAsia="zh-CN"/>
        </w:rPr>
        <w:t>---- END ----</w:t>
      </w:r>
      <w:bookmarkEnd w:id="51"/>
    </w:p>
    <w:p>
      <w:pPr>
        <w:widowControl w:val="0"/>
        <w:ind w:firstLine="420" w:firstLineChars="200"/>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sectPr>
          <w:headerReference w:type="even" r:id="rId8"/>
          <w:headerReference w:type="default" r:id="rId9"/>
          <w:footerReference w:type="even" r:id="rId10"/>
          <w:footerReference w:type="default" r:id="rId11"/>
          <w:headerReference w:type="first" r:id="rId12"/>
          <w:footerReference w:type="first" r:id="rId13"/>
          <w:pgSz w:w="11906" w:h="16838"/>
          <w:pgMar w:top="1440" w:right="1417" w:bottom="1440" w:left="1417" w:header="851" w:footer="992" w:gutter="0"/>
          <w:pgNumType w:start="1"/>
          <w:cols w:space="708"/>
          <w:docGrid w:type="lines" w:linePitch="312"/>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深圳市宝安区水务技术监管中心物业管理服务-A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供应商认证、及资质情况；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供应商自主知识产权产品（创新、设计）情况；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供应商同类业绩情况；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荣誉情况；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项目负责人（仅限1人）情况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拟投入项目团队成员（项目负责人除外）情况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BAZXCG-2025-00022-001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深圳市宝安区水务技术监管中心物业管理服务-A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本项目全部专门面向中小企业采购：否。：</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否。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2）供应商投标（上传投标文件）必须先行办理注册手续。</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投标人提供项目方案包括： 1、物业管理整体设想及策划； 2、管理运作和工作计划； 3、制度和档案的建立和管理； 4、人员各岗位配备及培训管理。 （二）评分依据： 考察投标人以上服务方案，如果全部满足得80分，满足任意三点得60分，满足任意二点得40分，满足任意一点得20分，其他情况不得分。 在此基础上，专家根据各供应商的具体响应内容按照量化的评审因素指标进一步评审： 1、评审为优（方案完善，内容合理性强）的加20分； 2、评价为良（方案较完善，内容合理性较强）的加15 分； 3、评价为中（方案一般，内容合理性一般）的加10 分； 4、评价为差（方案不完善，内容合理性较差）的不加分。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投标人承诺以下全部三项的得100分，否则不得分。 1、服务期满后主动离岗； 2、与后续服务公司进行交接； 3、服务期满，后续服务公司未到位前仍按原合同服务。 （二）评分依据： 提供承诺函（格式自拟）（未提供或未按要求提供或提供的不清晰导致专家无法判断的，不得分。）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投标人承诺以下全部三项的得100分，否则不得分。 1.人员严格按照招标文件及投标承诺配置； 2.服务质量达到招标文件要求； 3.对未能达到的管理要求承担管理责任。 （二）评分依据： 提供承诺函（格式自拟）（未提供或未按要求提供或提供的不清晰导致专家无法判断的，不得分。）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项目负责人（仅限1人）情况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拟安排的项目负责人须为投标人现有员工： (1)具有管理类专业本科(或以上)学历的，得50分； (2)具有相关机构颁发二级技师企业人力资源管理师职业资格证书的，得30分，一级高级技师企业人力资源管理师职业资格证书的，得50分，本小项最高得50分。 以上(1)-(2)项合计最高得100分。 （二）评分依据： 1、提供相关人员相关证书扫描件，其中：1）涉及学历的，需同时提供学信网信息查询截图（httpswww.chsi.com.cn）：①如较早颁发的学历证书，学信网无法查询的，可提供毕业院校或教育或人社部门等颁发机构或监管机构等出具的证明。②如海外留学（含港澳台）学历无法通过学信网站查询的，应当提供教育部留学服务中心出具的国外学历认证证书以及教育部留学服务中心官网（httpsportal.cscse.edu.cn）查询截图。若证明文件为其它语言，必须附中文译文，以中文译文为准。2）如证书颁发单位为相关行业协会（或学会）的，则需同时提供证书颁发单位在全国社会组织信用信息公示平台（httpsxxgs.chinanpo.mca.gov.cngsxtnewList）的信息查询截图（截图需显示发证单位状态为“正常”）；3）提供职业资格证书（或职业技能等级证书）证书的，还需同时提供技能人才评价证书全国联网查询（网址httpzscx.osta.org.cn）的查询截图（或人社部门官网职业技能认定证书 截图）； 2、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 3、未按要求提供相关证明材料（或相关证明材料无法判断是否符合评分要求）的不计得分，原件备查。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拟投入项目团队成员（项目负责人除外）情况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拟投入项目团队成员（项目经理项目负责人除外）须为投标人现有员工： 1、安全主管（仅限1人，本项最高得分40分）： （1）具有物业管理专业大专（或以上）学历的得5分； （2）具有相关机构颁发的三星（或以上）优秀项目经理称号的得5分； （3）具有相关机构颁发的初级（或以上）应急第一响应人证书的得5分； （4）具有国家机关（或事业单位）颁发的安全隐患自查巡查基本指引培训合格证书的得10分。 （5）具有国家机关（或事业单位）颁发的消防安全重点单位消防安全责任人培训证书的得10分。 （6）具有国家机关或事业单位颁发的保密类培训证书的，得5分。 2、保洁主管（仅限1人，本项最高得25分）： （1）具有本科（或以上）学历的，得10分； （2）具有人力资源和社会保障部门颁发的高级环境保护工程师专业技术证书的，得15分。 3、绿化消杀主管（仅限1人，本项最高得20分）： （1）具有本科（或以上）学历的得5分； （2）具有相关机构颁发的垃圾分类督导员结业证书的，得5分； （3）具有相关机构颁发的高级清洁管理师证书的，得5分； （4）具有相关机构颁发的公共环境消毒清洁管理师证书的，得5分。 4、团队成员（仅限1人，本项最高得15分）： （1）具有管理类专业大专（或以上）学历的，得5分； （2）具有退伍军人或退出现役证的，得5分； （3）具有国家机关或事业单位颁发的保密类培训证书的，得5分。 以上1-4大项合计最高得100分， 上述人员同一人不重复计分。如同一人满足1-4项多项条件的，以得分最高项计分。 （二）评分依据： 1、提供相关人员相关证书扫描件，其中：1）涉及学历的，需同时提供学信网信息查询截图（httpswww.chsi.com.cn）：①如较早颁发的学历证书，学信网无法查询的，可提供毕业院校或教育或人社部门等颁发机构或监管机构等出具的证明。②如海外留学（含港澳台）学历无法通过学信网站查询的，应当提供教育部留学服务中心出具的国外学历认证证书以及教育部留学服务中心官网（httpsportal.cscse.edu.cn）查询截图。若证明文件为其它语言，必须附中文译文，以中文译文为准。2）如证书颁发单位为相关行业协会（或学会）的，则需同时提供证书颁发单位在全国社会组织信用信息公示平台（httpsxxgs.chinanpo.mca.gov.cngsxtnewList）的信息查询截图（截图需显示发证单位状态为“正常”）；3）提供职业资格证书（或职业技能等级证书）证书的，还需同时提供技能人才评价证书全国联网查询（网址httpzscx.osta.org.cn）的查询截图（或人社部门官网职业技能认定证书 截图）； 2、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 3、未按要求提供相关证明材料（或相关证明材料无法判断是否符合评分要求）的不计得分，原件备查。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供应商认证、及资质情况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1、投标人具有以下体系认证证书： （1）合规管理体系认证证书的得20分； （2）环境卫生作业规范体系认证证书的得20分； （3）应急预案管理能力认证证书的得20分； （4）职业健康安全管理体系认证证书的得20分； 以上最高得80分。 2、投标人具有相关机构颁发的清洁服务资格相关证书，得20分。 以上合计最高得100分。 （二）评分依据： 1、评审内容1提供相关认证机构颁发的有效期内的认证证书扫描件及认证信息查询截图（截图需显示证书状态为有效）。说明：(1)证书与查询信息截图必须同时提供，缺一不可。未同时提供的不得分，后果由投标人自行承担。(2)投标人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 2、评审内容2提供证书扫描件，如证书颁发单位为相关行业协会（或学会）的，则需同时提供证书颁发单位在全国社会组织信用信息公示平台（httpsxxgs.chinanpo.mca.gov.cngsxtnewList）的信息查询截图（截图需显示发证单位状态为“正常”） 3、未按要求提供相关证明材料（或相关证明材料无法判断是否符合评分要求）的不计得分，原件备查。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供应商自主知识产权产品（创新、设计）情况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1、投标人具有以下计算机软件著作权登记证书： ①物业设施设备智慧运维管理类系统； ②物业环境清洁智慧调度服务类软件； ③垃圾分类投放点监控管理类软件； ④物业人力资源智慧调配管理类软件； 每提供其中任意一类证书的，得25分，全部提供得100分。注：以上每类证书仅限提供一种，其中，名称不同但类别相同的证书不重复计分。 以上1-2项总分100分。 （二）评分依据： 1、（1）如为自有的，提供国家版权局颁发的计算机软件著作权登记证书（需体现著作权人为投标人）和在中国版权登记查询服务平台（httpsregister.ccopyright.com.cnquery.html）的信息查询截图,需能体现投标人为著作权人； （2）如为租赁的，同时提供：①国家版权局颁发的计算机软件著作权登记证书（需体现著作权人为出租方）和在中国版权登记查询服务平台（httpsregister.ccopyright.com.cnquery.html）的信息查询截图②租赁合同（协议）扫描件； (3)如为购买（或转让）：同时提供：①国家版权局颁发的计算机软件著作权登记证书（需体现著作权人为出售方或出让方）和在中国版权登记查询服务平台（httpsregister.ccopyright.com.cnquery.html）的信息查询截图②购买（或转让）合同（协议）扫描件； 2、未按要求提供相关证明材料（或相关证明材料无法判断是否符合评分要求）的不计得分，原件备查。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供应商同类业绩 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2021年1月1日至本项目投标截止日为止（以合同服务期限为准）： 投标人具有国家机关（或事业单位）办公楼物业管理项目经验，合同服务期限一年或以上且服务（履约）评价为满意或优秀或优或良好或良或同等评价的（如服务评价证明不能反映上述评价内容的不得分)：每提供一个得10分，最高得100分。 （二）评分依据： 1、提供国家机关（或事业单位）出具的加盖公章（或业务章）的服务（履约）评价证明文件及合同关键页扫描件（合同需能体现服务内容，服务时间），出具服务（履约）评价证明的单位必须为合同甲方。 2、同一项目续签合同的不重复计分；每个项目须单独开具评价证明。如涉及到需要判断是否为同一项目续签的情形，如项目名称相同、出具评价证明单位相同的，投标单位应提供能判别为不属同一项目续签的相关证明材料（如中标通知书或能反映不属同一项目续签的合同关键页），如不能判别，评标委员会有权对投标单位作出不利判断。项目名称相同、出具服务评价证明单位相同，但是经过重新组织招标、招标编号不同的，不属同一项目续签。 3、未按要求提供相关证明材料（或相关证明材料无法判断是否符合评分要求）的不计得分，原件备查。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荣誉情况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投标人获得过国家机关或事业单位颁发的工伤预防先进单位荣誉的得100分 ①省级（或以上，含副省级）的得100分； ②市级的，得50分； ③区（县）级的，得30分。 以上提供多个荣誉奖项的不重复计分，以最高等级计分。 （二）评分依据： 提供相关荣誉（或表彰）证明材料扫描件（须能体现投标人信息），未按要求提供相关证明材料（或相关证明材料无法判断是否符合评分要求）的不计得分，原件备查。 注： ①省级（含副省级）或以上荣誉（或奖项）颁发单位为省级（或以上）人民政府（含副省级城市人民政府）及其直属的国家机关（或事业单位）； ②市级荣誉（或奖项）颁发单位为市人民政府及其直属的国家机关（或事业单位）; ③区（县）级荣誉（或奖项）颁发单位为区（县）级人民政府及其直属的国家机关（或事业单位）</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t xml:space="preserve">- </w:t>
    </w:r>
    <w:r>
      <w:fldChar w:fldCharType="begin"/>
    </w:r>
    <w:r>
      <w:instrText xml:space="preserve"> PAGE </w:instrText>
    </w:r>
    <w:r>
      <w:fldChar w:fldCharType="separate"/>
    </w:r>
    <w:r>
      <w:t>52</w:t>
    </w:r>
    <w:r>
      <w:fldChar w:fldCharType="end"/>
    </w:r>
    <w:r>
      <w:t xml:space="preserve"> -</w:t>
    </w:r>
  </w:p>
  <w:p>
    <w:pPr>
      <w:pStyle w:val="Foote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spacing w:after="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jc w:val="center"/>
    </w:pPr>
    <w:r>
      <w:fldChar w:fldCharType="begin"/>
    </w:r>
    <w:r>
      <w:instrText xml:space="preserve"> PAGE   \* MERGEFORMAT </w:instrText>
    </w:r>
    <w:r>
      <w:fldChar w:fldCharType="separate"/>
    </w:r>
    <w:r>
      <w:rPr>
        <w:lang w:val="zh-CN"/>
      </w:rPr>
      <w:t>19</w:t>
    </w:r>
    <w:r>
      <w:rPr>
        <w:lang w:val="zh-CN"/>
      </w:rPr>
      <w:fldChar w:fldCharType="end"/>
    </w:r>
  </w:p>
  <w:p>
    <w:pPr>
      <w:pStyle w:val="Footer"/>
      <w:tabs>
        <w:tab w:val="center" w:pos="4153"/>
        <w:tab w:val="right" w:pos="8306"/>
      </w:tabs>
      <w:spacing w:after="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tabs>
        <w:tab w:val="center" w:pos="4153"/>
        <w:tab w:val="right" w:pos="8306"/>
      </w:tabs>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spacing w:after="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spacing w:after="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02A6DD"/>
    <w:multiLevelType w:val="singleLevel"/>
    <w:tmpl w:val="A702A6DD"/>
    <w:lvl w:ilvl="0">
      <w:start w:val="1"/>
      <w:numFmt w:val="decimal"/>
      <w:suff w:val="nothing"/>
      <w:lvlText w:val="%1、"/>
      <w:lvlJc w:val="left"/>
    </w:lvl>
  </w:abstractNum>
  <w:abstractNum w:abstractNumId="1">
    <w:nsid w:val="A977738C"/>
    <w:multiLevelType w:val="singleLevel"/>
    <w:tmpl w:val="A977738C"/>
    <w:lvl w:ilvl="0">
      <w:start w:val="1"/>
      <w:numFmt w:val="decimal"/>
      <w:suff w:val="nothing"/>
      <w:lvlText w:val="（%1）"/>
      <w:lvlJc w:val="left"/>
      <w:pPr>
        <w:ind w:left="562" w:firstLine="0"/>
      </w:pPr>
    </w:lvl>
  </w:abstractNum>
  <w:abstractNum w:abstractNumId="2">
    <w:nsid w:val="B4F30691"/>
    <w:multiLevelType w:val="singleLevel"/>
    <w:tmpl w:val="B4F30691"/>
    <w:lvl w:ilvl="0">
      <w:start w:val="3"/>
      <w:numFmt w:val="decimal"/>
      <w:suff w:val="nothing"/>
      <w:lvlText w:val="（%1）"/>
      <w:lvlJc w:val="left"/>
    </w:lvl>
  </w:abstractNum>
  <w:abstractNum w:abstractNumId="3">
    <w:nsid w:val="B9358C2E"/>
    <w:multiLevelType w:val="singleLevel"/>
    <w:tmpl w:val="B9358C2E"/>
    <w:lvl w:ilvl="0">
      <w:start w:val="2"/>
      <w:numFmt w:val="decimal"/>
      <w:suff w:val="nothing"/>
      <w:lvlText w:val="%1、"/>
      <w:lvlJc w:val="left"/>
    </w:lvl>
  </w:abstractNum>
  <w:abstractNum w:abstractNumId="4">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Lines="25" w:line="578" w:lineRule="auto"/>
      <w:outlineLvl w:val="0"/>
    </w:pPr>
    <w:rPr>
      <w:rFonts w:ascii="Arial" w:hAnsi="Arial"/>
      <w:kern w:val="44"/>
      <w:sz w:val="44"/>
      <w:szCs w:val="44"/>
    </w:rPr>
  </w:style>
  <w:style w:type="paragraph" w:styleId="Heading2">
    <w:name w:val="heading 2"/>
    <w:basedOn w:val="Heading3"/>
    <w:next w:val="Heading4"/>
    <w:link w:val="2Char"/>
    <w:uiPriority w:val="9"/>
    <w:qFormat/>
    <w:pPr>
      <w:spacing w:line="416" w:lineRule="auto"/>
      <w:outlineLvl w:val="1"/>
    </w:pPr>
    <w:rPr>
      <w:rFonts w:ascii="Cambria" w:hAnsi="Cambria"/>
      <w:sz w:val="32"/>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qFormat/>
  </w:style>
  <w:style w:type="paragraph" w:styleId="Footer">
    <w:name w:val="footer"/>
    <w:basedOn w:val="Normal"/>
    <w:link w:val="Char"/>
    <w:uiPriority w:val="99"/>
    <w:unhideWhenUsed/>
    <w:qFormat/>
    <w:pPr>
      <w:widowControl w:val="0"/>
      <w:tabs>
        <w:tab w:val="center" w:pos="4153"/>
        <w:tab w:val="right" w:pos="8306"/>
      </w:tabs>
      <w:snapToGrid w:val="0"/>
    </w:pPr>
    <w:rPr>
      <w:rFonts w:ascii="Calibri" w:eastAsia="宋体" w:hAnsi="Calibri"/>
      <w:kern w:val="2"/>
      <w:sz w:val="18"/>
      <w:szCs w:val="18"/>
      <w:lang w:eastAsia="zh-CN"/>
    </w:rPr>
  </w:style>
  <w:style w:type="character" w:customStyle="1" w:styleId="Char">
    <w:name w:val="页脚 Char"/>
    <w:link w:val="Footer"/>
    <w:uiPriority w:val="99"/>
    <w:qFormat/>
    <w:rPr>
      <w:rFonts w:eastAsia="宋体"/>
      <w:sz w:val="18"/>
      <w:szCs w:val="18"/>
    </w:rPr>
  </w:style>
  <w:style w:type="paragraph" w:styleId="Header">
    <w:name w:val="header"/>
    <w:basedOn w:val="Normal"/>
    <w:link w:val="Char0"/>
    <w:uiPriority w:val="99"/>
    <w:unhideWhenUsed/>
    <w:qFormat/>
    <w:pPr>
      <w:widowControl w:val="0"/>
      <w:pBdr>
        <w:bottom w:val="single" w:sz="6" w:space="1" w:color="auto"/>
      </w:pBdr>
      <w:tabs>
        <w:tab w:val="center" w:pos="4153"/>
        <w:tab w:val="right" w:pos="8306"/>
      </w:tabs>
      <w:snapToGrid w:val="0"/>
      <w:jc w:val="center"/>
    </w:pPr>
    <w:rPr>
      <w:rFonts w:ascii="Calibri" w:eastAsia="宋体" w:hAnsi="Calibri"/>
      <w:kern w:val="2"/>
      <w:sz w:val="18"/>
      <w:szCs w:val="18"/>
      <w:lang w:eastAsia="zh-CN"/>
    </w:rPr>
  </w:style>
  <w:style w:type="character" w:customStyle="1" w:styleId="Char0">
    <w:name w:val="页眉 Char"/>
    <w:link w:val="Header"/>
    <w:uiPriority w:val="99"/>
    <w:semiHidden/>
    <w:qFormat/>
    <w:rPr>
      <w:rFonts w:eastAsia="宋体"/>
      <w:sz w:val="18"/>
      <w:szCs w:val="18"/>
    </w:rPr>
  </w:style>
  <w:style w:type="paragraph" w:styleId="NoSpacing">
    <w:name w:val="No Spacing"/>
    <w:uiPriority w:val="1"/>
    <w:qFormat/>
    <w:pPr>
      <w:widowControl w:val="0"/>
      <w:spacing w:line="360" w:lineRule="auto"/>
      <w:ind w:firstLine="200" w:firstLineChars="200"/>
    </w:pPr>
    <w:rPr>
      <w:rFonts w:ascii="Calibri" w:eastAsia="宋体" w:hAnsi="Calibri"/>
      <w:kern w:val="2"/>
      <w:sz w:val="24"/>
      <w:szCs w:val="22"/>
      <w:lang w:eastAsia="zh-CN"/>
    </w:rPr>
  </w:style>
  <w:style w:type="paragraph" w:styleId="NormalWeb">
    <w:name w:val="Normal (Web)"/>
    <w:basedOn w:val="Normal"/>
    <w:link w:val="Char1"/>
    <w:uiPriority w:val="99"/>
    <w:qFormat/>
    <w:pPr>
      <w:spacing w:before="100" w:beforeAutospacing="1" w:afterAutospacing="1"/>
    </w:pPr>
    <w:rPr>
      <w:rFonts w:ascii="宋体" w:eastAsia="宋体" w:hAnsi="宋体"/>
      <w:kern w:val="2"/>
      <w:lang w:eastAsia="zh-CN"/>
    </w:rPr>
  </w:style>
  <w:style w:type="character" w:customStyle="1" w:styleId="Char1">
    <w:name w:val="普通(网站) Char"/>
    <w:link w:val="NormalWeb"/>
    <w:uiPriority w:val="99"/>
    <w:qFormat/>
    <w:rPr>
      <w:rFonts w:ascii="宋体" w:eastAsia="宋体" w:hAnsi="宋体"/>
      <w:sz w:val="24"/>
      <w:szCs w:val="24"/>
    </w:rPr>
  </w:style>
  <w:style w:type="paragraph" w:styleId="CommentText">
    <w:name w:val="annotation text"/>
    <w:basedOn w:val="Normal"/>
    <w:link w:val="Char2"/>
    <w:uiPriority w:val="99"/>
    <w:unhideWhenUsed/>
    <w:qFormat/>
    <w:pPr>
      <w:widowControl w:val="0"/>
    </w:pPr>
    <w:rPr>
      <w:rFonts w:ascii="宋体" w:eastAsia="宋体" w:hAnsi="宋体"/>
      <w:sz w:val="20"/>
      <w:szCs w:val="20"/>
      <w:lang w:eastAsia="zh-CN" w:bidi="ar"/>
    </w:rPr>
  </w:style>
  <w:style w:type="character" w:customStyle="1" w:styleId="Char2">
    <w:name w:val="批注文字 Char"/>
    <w:link w:val="CommentText"/>
    <w:uiPriority w:val="99"/>
    <w:semiHidden/>
    <w:qFormat/>
    <w:rPr>
      <w:rFonts w:eastAsia="宋体"/>
    </w:rPr>
  </w:style>
  <w:style w:type="paragraph" w:customStyle="1" w:styleId="1">
    <w:name w:val="列出段落1"/>
    <w:basedOn w:val="Normal"/>
    <w:uiPriority w:val="99"/>
    <w:qFormat/>
    <w:pPr>
      <w:widowControl w:val="0"/>
      <w:ind w:firstLine="420" w:firstLineChars="200"/>
      <w:jc w:val="both"/>
    </w:pPr>
    <w:rPr>
      <w:rFonts w:ascii="Calibri" w:eastAsia="宋体" w:hAnsi="Calibri"/>
      <w:kern w:val="2"/>
      <w:sz w:val="21"/>
      <w:szCs w:val="22"/>
      <w:lang w:eastAsia="zh-CN"/>
    </w:rPr>
  </w:style>
  <w:style w:type="paragraph" w:styleId="BodyText">
    <w:name w:val="Body Text"/>
    <w:basedOn w:val="Normal"/>
    <w:next w:val="BodyText2"/>
    <w:qFormat/>
    <w:pPr>
      <w:widowControl w:val="0"/>
      <w:spacing w:line="360" w:lineRule="auto"/>
      <w:jc w:val="both"/>
    </w:pPr>
    <w:rPr>
      <w:rFonts w:ascii="Calibri" w:eastAsia="宋体" w:hAnsi="Calibri"/>
      <w:b/>
      <w:bCs/>
      <w:kern w:val="2"/>
      <w:szCs w:val="22"/>
      <w:lang w:eastAsia="zh-CN"/>
    </w:rPr>
  </w:style>
  <w:style w:type="paragraph" w:styleId="BodyText2">
    <w:name w:val="Body Text 2"/>
    <w:basedOn w:val="Normal"/>
    <w:qFormat/>
    <w:pPr>
      <w:widowControl w:val="0"/>
      <w:spacing w:line="360" w:lineRule="auto"/>
      <w:jc w:val="both"/>
    </w:pPr>
    <w:rPr>
      <w:rFonts w:ascii="Calibri" w:eastAsia="宋体" w:hAnsi="Calibri"/>
      <w:kern w:val="2"/>
      <w:szCs w:val="22"/>
      <w:lang w:eastAsia="zh-CN"/>
    </w:rPr>
  </w:style>
  <w:style w:type="paragraph" w:styleId="TOC1">
    <w:name w:val="toc 1"/>
    <w:basedOn w:val="Normal"/>
    <w:next w:val="Normal"/>
    <w:semiHidden/>
    <w:qFormat/>
    <w:pPr>
      <w:widowControl w:val="0"/>
      <w:spacing w:before="120" w:after="120"/>
    </w:pPr>
    <w:rPr>
      <w:rFonts w:ascii="Calibri" w:eastAsia="宋体" w:hAnsi="Calibri"/>
      <w:b/>
      <w:bCs/>
      <w:caps/>
      <w:kern w:val="2"/>
      <w:sz w:val="21"/>
      <w:szCs w:val="22"/>
      <w:lang w:eastAsia="zh-CN"/>
    </w:rPr>
  </w:style>
  <w:style w:type="character" w:customStyle="1" w:styleId="1Char">
    <w:name w:val="标题 1 Char"/>
    <w:link w:val="Heading1"/>
    <w:qFormat/>
    <w:rPr>
      <w:rFonts w:ascii="Arial" w:eastAsia="宋体" w:hAnsi="Arial"/>
      <w:b/>
      <w:bCs/>
      <w:kern w:val="44"/>
      <w:sz w:val="44"/>
      <w:szCs w:val="44"/>
    </w:rPr>
  </w:style>
  <w:style w:type="character" w:customStyle="1" w:styleId="2Char">
    <w:name w:val="标题 2 Char"/>
    <w:link w:val="Heading2"/>
    <w:uiPriority w:val="9"/>
    <w:semiHidden/>
    <w:qFormat/>
    <w:rPr>
      <w:rFonts w:ascii="Cambria" w:eastAsia="宋体" w:hAnsi="Cambria"/>
      <w:b/>
      <w:bCs/>
      <w:sz w:val="32"/>
      <w:szCs w:val="32"/>
    </w:rPr>
  </w:style>
  <w:style w:type="paragraph" w:styleId="NormalIndent">
    <w:name w:val="Normal Indent"/>
    <w:basedOn w:val="Normal"/>
    <w:next w:val="BodyText"/>
    <w:qFormat/>
    <w:pPr>
      <w:widowControl w:val="0"/>
      <w:ind w:firstLine="420"/>
      <w:jc w:val="both"/>
    </w:pPr>
    <w:rPr>
      <w:rFonts w:ascii="Calibri" w:eastAsia="宋体" w:hAnsi="Calibri"/>
      <w:kern w:val="2"/>
      <w:sz w:val="21"/>
      <w:szCs w:val="20"/>
      <w:lang w:eastAsia="zh-CN"/>
    </w:rPr>
  </w:style>
  <w:style w:type="character" w:customStyle="1" w:styleId="3Char">
    <w:name w:val="标题 3 Char"/>
    <w:qFormat/>
    <w:rPr>
      <w:rFonts w:ascii="黑体" w:eastAsia="黑体"/>
      <w:bCs/>
      <w:sz w:val="30"/>
    </w:rPr>
  </w:style>
  <w:style w:type="paragraph" w:styleId="Title">
    <w:name w:val="Title"/>
    <w:basedOn w:val="Normal"/>
    <w:next w:val="Normal"/>
    <w:qFormat/>
    <w:pPr>
      <w:widowControl w:val="0"/>
      <w:spacing w:before="240" w:after="60"/>
      <w:jc w:val="center"/>
      <w:outlineLvl w:val="0"/>
    </w:pPr>
    <w:rPr>
      <w:rFonts w:ascii="Arial" w:eastAsia="隶书" w:hAnsi="Arial" w:cs="Arial"/>
      <w:b/>
      <w:bCs/>
      <w:kern w:val="2"/>
      <w:sz w:val="32"/>
      <w:szCs w:val="32"/>
      <w:lang w:eastAsia="zh-CN"/>
    </w:rPr>
  </w:style>
  <w:style w:type="paragraph" w:styleId="BodyTextIndent">
    <w:name w:val="Body Text Indent"/>
    <w:basedOn w:val="Normal"/>
    <w:qFormat/>
    <w:pPr>
      <w:widowControl w:val="0"/>
      <w:spacing w:line="360" w:lineRule="auto"/>
      <w:ind w:firstLine="420" w:firstLineChars="200"/>
      <w:jc w:val="both"/>
    </w:pPr>
    <w:rPr>
      <w:rFonts w:ascii="Calibri" w:eastAsia="宋体" w:hAnsi="Calibri"/>
      <w:kern w:val="2"/>
      <w:sz w:val="21"/>
      <w:szCs w:val="22"/>
      <w:lang w:eastAsia="zh-CN"/>
    </w:rPr>
  </w:style>
  <w:style w:type="paragraph" w:styleId="ListParagraph">
    <w:name w:val="List Paragraph"/>
    <w:basedOn w:val="Normal"/>
    <w:uiPriority w:val="34"/>
    <w:qFormat/>
    <w:pPr>
      <w:widowControl w:val="0"/>
      <w:ind w:firstLine="420" w:firstLineChars="200"/>
      <w:jc w:val="both"/>
    </w:pPr>
    <w:rPr>
      <w:rFonts w:ascii="Calibri" w:eastAsia="宋体" w:hAnsi="Calibr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