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rFonts w:hint="eastAsia"/>
                <w:sz w:val="30"/>
                <w:szCs w:val="30"/>
              </w:rPr>
              <w:t>BAZXCG-2025-00283</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ascii="宋体" w:hAnsi="宋体"/>
                <w:sz w:val="30"/>
                <w:szCs w:val="30"/>
              </w:rPr>
              <w:t>深圳市宝安区立新湖学校触控一体机项目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综合评分法，是指</w:t>
            </w:r>
            <w:r>
              <w:rPr>
                <w:rFonts w:hint="eastAsia" w:ascii="Times New Roman" w:hAnsi="Times New Roman" w:eastAsia="宋体" w:cs="Times New Roman"/>
                <w:kern w:val="0"/>
                <w:sz w:val="21"/>
                <w:szCs w:val="21"/>
                <w:lang w:val="en-US" w:eastAsia="zh-CN" w:bidi="ar-SA"/>
              </w:rPr>
              <w:t>投标文件满足招标文件全部实质性要求</w:t>
            </w:r>
            <w:r>
              <w:rPr>
                <w:sz w:val="21"/>
                <w:szCs w:val="21"/>
              </w:rPr>
              <w:t>，且按照</w:t>
            </w:r>
            <w:r>
              <w:rPr>
                <w:rFonts w:hint="eastAsia" w:ascii="Times New Roman" w:eastAsia="宋体"/>
                <w:sz w:val="21"/>
                <w:szCs w:val="21"/>
                <w:lang w:val="en-US" w:eastAsia="zh-CN"/>
              </w:rPr>
              <w:t>招标文件规定的各项因素进行综合评审，评标总得分排名前列</w:t>
            </w:r>
            <w:r>
              <w:rPr>
                <w:sz w:val="21"/>
                <w:szCs w:val="21"/>
              </w:rPr>
              <w:t>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ascii="宋体" w:hAnsi="宋体" w:eastAsia="宋体" w:cs="宋体"/>
                <w:b/>
                <w:bCs/>
                <w:color w:val="0000FF"/>
                <w:sz w:val="24"/>
                <w:lang w:val="en-US" w:eastAsia="zh-CN"/>
              </w:rPr>
              <w:t>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30</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7.7</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15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none"/>
                <w:lang w:val="en-US" w:eastAsia="zh-CN"/>
              </w:rPr>
              <w:t>2.86</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宋体"/>
                <w:szCs w:val="21"/>
                <w:lang w:val="en-US" w:eastAsia="zh-CN"/>
              </w:rPr>
            </w:pPr>
            <w:r>
              <w:rPr>
                <w:rFonts w:hint="eastAsia"/>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eastAsiaTheme="minorEastAsia"/>
                <w:kern w:val="0"/>
                <w:sz w:val="21"/>
                <w:szCs w:val="21"/>
                <w:lang w:val="en-US" w:eastAsia="zh-CN" w:bidi="ar"/>
              </w:rPr>
            </w:pPr>
            <w:r>
              <w:rPr>
                <w:rFonts w:hint="eastAsia" w:ascii="宋体" w:hAnsi="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HAnsi" w:hAnsiTheme="minorHAnsi" w:eastAsiaTheme="minorEastAsia" w:cstheme="minorBidi"/>
                <w:kern w:val="2"/>
                <w:sz w:val="21"/>
                <w:szCs w:val="21"/>
                <w:lang w:val="en-US" w:eastAsia="zh-CN" w:bidi="ar-SA"/>
              </w:rPr>
            </w:pPr>
            <w:r>
              <w:rPr>
                <w:rFonts w:hint="eastAsia" w:ascii="Times New Roman" w:eastAsia="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lang w:val="en-US" w:eastAsia="zh-CN" w:bidi="ar"/>
              </w:rPr>
              <w:t>（一）</w:t>
            </w:r>
            <w:r>
              <w:rPr>
                <w:rFonts w:hint="eastAsia" w:ascii="宋体" w:hAnsi="宋体" w:eastAsia="宋体" w:cs="宋体"/>
                <w:b/>
                <w:bCs/>
                <w:kern w:val="0"/>
                <w:sz w:val="21"/>
                <w:szCs w:val="21"/>
                <w:highlight w:val="none"/>
                <w:lang w:val="en-US" w:eastAsia="zh-CN" w:bidi="ar"/>
              </w:rPr>
              <w:t>评审内容：</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投标人提供本项目的组织实施方案，方案中应包含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lang w:val="en-US" w:eastAsia="zh-CN" w:bidi="ar"/>
              </w:rPr>
              <w:t>1、</w:t>
            </w:r>
            <w:r>
              <w:rPr>
                <w:rFonts w:hint="eastAsia" w:ascii="宋体" w:hAnsi="宋体" w:eastAsia="宋体" w:cs="宋体"/>
                <w:kern w:val="0"/>
                <w:sz w:val="21"/>
                <w:szCs w:val="21"/>
                <w:highlight w:val="none"/>
                <w:lang w:val="en-US" w:eastAsia="zh-CN" w:bidi="ar"/>
              </w:rPr>
              <w:t xml:space="preserve">项目进度计划安排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2、施工组织计划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3、验收组织计划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4、产品培训方案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lang w:val="en-US" w:eastAsia="zh-CN" w:bidi="ar"/>
              </w:rPr>
              <w:t>5、实施图纸（含平面布局图、空间效果图）</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含有上述一</w:t>
            </w:r>
            <w:r>
              <w:rPr>
                <w:rFonts w:hint="eastAsia" w:ascii="宋体" w:hAnsi="宋体" w:cs="宋体"/>
                <w:kern w:val="0"/>
                <w:sz w:val="21"/>
                <w:szCs w:val="21"/>
                <w:highlight w:val="none"/>
                <w:lang w:val="en-US" w:eastAsia="zh-CN" w:bidi="ar"/>
              </w:rPr>
              <w:t>项</w:t>
            </w:r>
            <w:r>
              <w:rPr>
                <w:rFonts w:hint="eastAsia" w:ascii="宋体" w:hAnsi="宋体" w:eastAsia="宋体" w:cs="宋体"/>
                <w:kern w:val="0"/>
                <w:sz w:val="21"/>
                <w:szCs w:val="21"/>
                <w:highlight w:val="none"/>
                <w:lang w:val="en-US" w:eastAsia="zh-CN" w:bidi="ar"/>
              </w:rPr>
              <w:t>内容得12分</w:t>
            </w:r>
            <w:r>
              <w:rPr>
                <w:rFonts w:hint="eastAsia" w:ascii="宋体" w:hAnsi="宋体" w:cs="宋体"/>
                <w:kern w:val="0"/>
                <w:sz w:val="21"/>
                <w:szCs w:val="21"/>
                <w:highlight w:val="none"/>
                <w:lang w:val="en-US" w:eastAsia="zh-CN" w:bidi="ar"/>
              </w:rPr>
              <w:t>，最高得60分</w:t>
            </w:r>
            <w:r>
              <w:rPr>
                <w:rFonts w:hint="eastAsia" w:ascii="宋体" w:hAnsi="宋体" w:eastAsia="宋体" w:cs="宋体"/>
                <w:kern w:val="0"/>
                <w:sz w:val="21"/>
                <w:szCs w:val="21"/>
                <w:highlight w:val="none"/>
                <w:lang w:val="en-US" w:eastAsia="zh-CN" w:bidi="ar"/>
              </w:rPr>
              <w:t>。</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cs="宋体"/>
                <w:b/>
                <w:bCs/>
                <w:kern w:val="0"/>
                <w:sz w:val="21"/>
                <w:szCs w:val="21"/>
                <w:lang w:val="en-US" w:eastAsia="zh-CN" w:bidi="ar"/>
              </w:rPr>
              <w:t>（二）评分准则：</w:t>
            </w:r>
          </w:p>
          <w:p>
            <w:pPr>
              <w:keepNext w:val="0"/>
              <w:keepLines w:val="0"/>
              <w:widowControl/>
              <w:numPr>
                <w:ilvl w:val="0"/>
                <w:numId w:val="0"/>
              </w:numPr>
              <w:suppressLineNumbers w:val="0"/>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lang w:val="en-US" w:eastAsia="zh-CN" w:bidi="ar"/>
              </w:rPr>
              <w:t xml:space="preserve">在此基础上，对方案的合理性、可行性进行打分。 </w:t>
            </w:r>
          </w:p>
          <w:p>
            <w:pPr>
              <w:keepNext w:val="0"/>
              <w:keepLines w:val="0"/>
              <w:widowControl/>
              <w:numPr>
                <w:ilvl w:val="0"/>
                <w:numId w:val="1"/>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方案清晰周密、合理可行、表述完整、方法得当、技术先进、符合相关规范要求得40分。</w:t>
            </w:r>
          </w:p>
          <w:p>
            <w:pPr>
              <w:keepNext w:val="0"/>
              <w:keepLines w:val="0"/>
              <w:widowControl/>
              <w:numPr>
                <w:ilvl w:val="0"/>
                <w:numId w:val="0"/>
              </w:numPr>
              <w:suppressLineNumbers w:val="0"/>
              <w:ind w:leftChars="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highlight w:val="none"/>
                <w:lang w:val="en-US" w:eastAsia="zh-CN" w:bidi="ar"/>
              </w:rPr>
              <w:t>2、方案基本可行表述基本完整得20分。 3、未提供或方案计划不切合本项目的实际情况、合理完善性差、可行性差的对应项不得分。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b/>
                <w:bCs/>
                <w:kern w:val="0"/>
                <w:sz w:val="21"/>
                <w:szCs w:val="21"/>
                <w:lang w:val="en-US" w:eastAsia="zh-CN" w:bidi="ar"/>
              </w:rPr>
              <w:t>（一）</w:t>
            </w:r>
            <w:r>
              <w:rPr>
                <w:rFonts w:hint="eastAsia" w:ascii="宋体" w:hAnsi="宋体" w:eastAsia="宋体" w:cs="宋体"/>
                <w:b/>
                <w:bCs/>
                <w:kern w:val="0"/>
                <w:sz w:val="21"/>
                <w:szCs w:val="21"/>
                <w:highlight w:val="none"/>
                <w:lang w:val="en-US" w:eastAsia="zh-CN" w:bidi="ar"/>
              </w:rPr>
              <w:t>评审内容：</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投标人提供本项目的售后服务方案，方案中应包含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lang w:val="en-US" w:eastAsia="zh-CN" w:bidi="ar"/>
              </w:rPr>
              <w:t>1、</w:t>
            </w:r>
            <w:r>
              <w:rPr>
                <w:rFonts w:hint="eastAsia" w:ascii="宋体" w:hAnsi="宋体" w:eastAsia="宋体" w:cs="宋体"/>
                <w:kern w:val="0"/>
                <w:sz w:val="21"/>
                <w:szCs w:val="21"/>
                <w:highlight w:val="none"/>
                <w:lang w:val="en-US" w:eastAsia="zh-CN" w:bidi="ar"/>
              </w:rPr>
              <w:t xml:space="preserve">服务内容 </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lang w:val="en-US" w:eastAsia="zh-CN" w:bidi="ar"/>
              </w:rPr>
              <w:t>2、</w:t>
            </w:r>
            <w:r>
              <w:rPr>
                <w:rFonts w:hint="eastAsia" w:ascii="宋体" w:hAnsi="宋体" w:eastAsia="宋体" w:cs="宋体"/>
                <w:kern w:val="0"/>
                <w:sz w:val="21"/>
                <w:szCs w:val="21"/>
                <w:highlight w:val="none"/>
                <w:lang w:val="en-US" w:eastAsia="zh-CN" w:bidi="ar"/>
              </w:rPr>
              <w:t xml:space="preserve">维修应急方案 </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3、培训计划 </w:t>
            </w:r>
          </w:p>
          <w:p>
            <w:pPr>
              <w:keepNext w:val="0"/>
              <w:keepLines w:val="0"/>
              <w:widowControl/>
              <w:numPr>
                <w:ilvl w:val="0"/>
                <w:numId w:val="0"/>
              </w:numPr>
              <w:suppressLineNumbers w:val="0"/>
              <w:ind w:left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4、其他特色服务等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含有上述一</w:t>
            </w:r>
            <w:r>
              <w:rPr>
                <w:rFonts w:hint="eastAsia" w:ascii="宋体" w:hAnsi="宋体" w:cs="宋体"/>
                <w:kern w:val="0"/>
                <w:sz w:val="21"/>
                <w:szCs w:val="21"/>
                <w:highlight w:val="none"/>
                <w:lang w:val="en-US" w:eastAsia="zh-CN" w:bidi="ar"/>
              </w:rPr>
              <w:t>项</w:t>
            </w:r>
            <w:r>
              <w:rPr>
                <w:rFonts w:hint="eastAsia" w:ascii="宋体" w:hAnsi="宋体" w:eastAsia="宋体" w:cs="宋体"/>
                <w:kern w:val="0"/>
                <w:sz w:val="21"/>
                <w:szCs w:val="21"/>
                <w:highlight w:val="none"/>
                <w:lang w:val="en-US" w:eastAsia="zh-CN" w:bidi="ar"/>
              </w:rPr>
              <w:t>内容得15分</w:t>
            </w:r>
            <w:r>
              <w:rPr>
                <w:rFonts w:hint="eastAsia" w:ascii="宋体" w:hAnsi="宋体" w:cs="宋体"/>
                <w:kern w:val="0"/>
                <w:sz w:val="21"/>
                <w:szCs w:val="21"/>
                <w:highlight w:val="none"/>
                <w:lang w:val="en-US" w:eastAsia="zh-CN" w:bidi="ar"/>
              </w:rPr>
              <w:t>，最高得60分</w:t>
            </w:r>
            <w:r>
              <w:rPr>
                <w:rFonts w:hint="eastAsia" w:ascii="宋体" w:hAnsi="宋体" w:eastAsia="宋体" w:cs="宋体"/>
                <w:kern w:val="0"/>
                <w:sz w:val="21"/>
                <w:szCs w:val="21"/>
                <w:highlight w:val="none"/>
                <w:lang w:val="en-US" w:eastAsia="zh-CN" w:bidi="ar"/>
              </w:rPr>
              <w:t>。</w:t>
            </w:r>
          </w:p>
          <w:p>
            <w:pPr>
              <w:keepNext w:val="0"/>
              <w:keepLines w:val="0"/>
              <w:widowControl/>
              <w:numPr>
                <w:ilvl w:val="0"/>
                <w:numId w:val="0"/>
              </w:numPr>
              <w:suppressLineNumbers w:val="0"/>
              <w:ind w:left="0" w:leftChars="0" w:firstLine="0" w:firstLineChars="0"/>
              <w:jc w:val="left"/>
              <w:textAlignment w:val="center"/>
              <w:rPr>
                <w:rFonts w:hint="eastAsia" w:ascii="宋体" w:hAnsi="宋体" w:cs="宋体"/>
                <w:b/>
                <w:bCs/>
                <w:kern w:val="0"/>
                <w:sz w:val="21"/>
                <w:szCs w:val="21"/>
                <w:lang w:val="en-US" w:eastAsia="zh-CN" w:bidi="ar"/>
              </w:rPr>
            </w:pPr>
            <w:r>
              <w:rPr>
                <w:rFonts w:hint="eastAsia" w:ascii="宋体" w:hAnsi="宋体" w:eastAsia="宋体" w:cs="宋体"/>
                <w:b/>
                <w:bCs/>
                <w:kern w:val="0"/>
                <w:sz w:val="21"/>
                <w:szCs w:val="21"/>
                <w:lang w:val="en-US" w:eastAsia="zh-CN" w:bidi="ar"/>
              </w:rPr>
              <w:t>（二）</w:t>
            </w:r>
            <w:r>
              <w:rPr>
                <w:rFonts w:hint="eastAsia" w:ascii="宋体" w:hAnsi="宋体" w:cs="宋体"/>
                <w:b/>
                <w:bCs/>
                <w:kern w:val="0"/>
                <w:sz w:val="21"/>
                <w:szCs w:val="21"/>
                <w:lang w:val="en-US" w:eastAsia="zh-CN" w:bidi="ar"/>
              </w:rPr>
              <w:t>评分准则：</w:t>
            </w:r>
          </w:p>
          <w:p>
            <w:pPr>
              <w:keepNext w:val="0"/>
              <w:keepLines w:val="0"/>
              <w:widowControl/>
              <w:numPr>
                <w:ilvl w:val="0"/>
                <w:numId w:val="0"/>
              </w:numPr>
              <w:suppressLineNumbers w:val="0"/>
              <w:ind w:left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在此基础上，对方案的合理性、可行性进行打分。 </w:t>
            </w:r>
          </w:p>
          <w:p>
            <w:pPr>
              <w:keepNext w:val="0"/>
              <w:keepLines w:val="0"/>
              <w:widowControl/>
              <w:numPr>
                <w:ilvl w:val="0"/>
                <w:numId w:val="0"/>
              </w:numPr>
              <w:suppressLineNumbers w:val="0"/>
              <w:ind w:left="0" w:left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lang w:val="en-US" w:eastAsia="zh-CN" w:bidi="ar"/>
              </w:rPr>
              <w:t>(1)</w:t>
            </w:r>
            <w:r>
              <w:rPr>
                <w:rFonts w:hint="eastAsia" w:ascii="宋体" w:hAnsi="宋体" w:eastAsia="宋体" w:cs="宋体"/>
                <w:kern w:val="0"/>
                <w:sz w:val="21"/>
                <w:szCs w:val="21"/>
                <w:highlight w:val="none"/>
                <w:lang w:val="en-US" w:eastAsia="zh-CN" w:bidi="ar"/>
              </w:rPr>
              <w:t xml:space="preserve">售后服务方案非常详细，保障措施完善可行，得40分； </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lang w:val="en-US" w:eastAsia="zh-CN" w:bidi="ar"/>
              </w:rPr>
              <w:t>(2)</w:t>
            </w:r>
            <w:r>
              <w:rPr>
                <w:rFonts w:hint="eastAsia" w:ascii="宋体" w:hAnsi="宋体" w:eastAsia="宋体" w:cs="宋体"/>
                <w:kern w:val="0"/>
                <w:sz w:val="21"/>
                <w:szCs w:val="21"/>
                <w:highlight w:val="none"/>
                <w:lang w:val="en-US" w:eastAsia="zh-CN" w:bidi="ar"/>
              </w:rPr>
              <w:t xml:space="preserve">售后服务方案比较具体，保障措施比较完善可行，能够满足招标文件要求的得20分； </w:t>
            </w:r>
          </w:p>
          <w:p>
            <w:pPr>
              <w:keepNext w:val="0"/>
              <w:keepLines w:val="0"/>
              <w:widowControl/>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highlight w:val="none"/>
                <w:lang w:val="en-US" w:eastAsia="zh-CN" w:bidi="ar"/>
              </w:rPr>
              <w:t>(3)未提供售后服务方案和措施或方案不详细、可行性较差，无法满足招标文件要求的得0分。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7</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2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napToGrid w:val="0"/>
                <w:kern w:val="0"/>
                <w:sz w:val="21"/>
                <w:szCs w:val="21"/>
              </w:rPr>
              <w:t>实施及维护能力评价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numPr>
                <w:ilvl w:val="0"/>
                <w:numId w:val="0"/>
              </w:numPr>
              <w:suppressLineNumbers w:val="0"/>
              <w:jc w:val="left"/>
              <w:textAlignment w:val="center"/>
              <w:rPr>
                <w:rFonts w:hint="eastAsia" w:ascii="宋体" w:hAnsi="宋体" w:eastAsia="宋体" w:cs="宋体"/>
                <w:sz w:val="21"/>
                <w:szCs w:val="21"/>
              </w:rPr>
            </w:pPr>
            <w:r>
              <w:rPr>
                <w:rFonts w:hint="eastAsia" w:ascii="宋体" w:hAnsi="宋体" w:eastAsia="宋体" w:cs="宋体"/>
                <w:b/>
                <w:bCs/>
                <w:kern w:val="0"/>
                <w:sz w:val="21"/>
                <w:szCs w:val="21"/>
                <w:lang w:val="en-US" w:eastAsia="zh-CN" w:bidi="ar"/>
              </w:rPr>
              <w:t>（一）</w:t>
            </w:r>
            <w:r>
              <w:rPr>
                <w:rFonts w:hint="eastAsia" w:ascii="宋体" w:hAnsi="宋体" w:eastAsia="宋体" w:cs="宋体"/>
                <w:b/>
                <w:bCs/>
                <w:kern w:val="0"/>
                <w:sz w:val="21"/>
                <w:szCs w:val="21"/>
                <w:highlight w:val="none"/>
                <w:lang w:val="en-US" w:eastAsia="zh-CN" w:bidi="ar"/>
              </w:rPr>
              <w:t>评审内容：</w:t>
            </w:r>
          </w:p>
          <w:p>
            <w:pPr>
              <w:wordWrap w:val="0"/>
              <w:rPr>
                <w:rFonts w:hint="eastAsia" w:ascii="宋体" w:hAnsi="宋体" w:eastAsia="宋体" w:cs="宋体"/>
                <w:sz w:val="21"/>
                <w:szCs w:val="21"/>
              </w:rPr>
            </w:pPr>
            <w:r>
              <w:rPr>
                <w:rFonts w:hint="eastAsia" w:ascii="宋体" w:hAnsi="宋体" w:eastAsia="宋体" w:cs="宋体"/>
                <w:sz w:val="21"/>
                <w:szCs w:val="21"/>
              </w:rPr>
              <w:t>投标人实施及服务人员</w:t>
            </w:r>
            <w:r>
              <w:rPr>
                <w:rFonts w:hint="eastAsia" w:ascii="宋体" w:hAnsi="宋体"/>
                <w:bCs/>
                <w:szCs w:val="21"/>
              </w:rPr>
              <w:t>为投标人自有员工</w:t>
            </w:r>
          </w:p>
          <w:p>
            <w:pPr>
              <w:numPr>
                <w:ilvl w:val="0"/>
                <w:numId w:val="0"/>
              </w:numPr>
              <w:wordWrap w:val="0"/>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bidi="ar-SA"/>
              </w:rPr>
              <w:t>1.</w:t>
            </w:r>
            <w:r>
              <w:rPr>
                <w:rFonts w:hint="eastAsia" w:ascii="宋体" w:hAnsi="宋体" w:eastAsia="宋体" w:cs="宋体"/>
                <w:sz w:val="21"/>
                <w:szCs w:val="21"/>
              </w:rPr>
              <w:t>具有</w:t>
            </w:r>
            <w:r>
              <w:rPr>
                <w:rFonts w:hint="eastAsia" w:ascii="宋体" w:hAnsi="宋体" w:eastAsia="宋体" w:cs="宋体"/>
                <w:sz w:val="21"/>
                <w:szCs w:val="21"/>
                <w:highlight w:val="yellow"/>
                <w:lang w:val="en-US" w:eastAsia="zh-CN"/>
              </w:rPr>
              <w:t>人社部门</w:t>
            </w:r>
            <w:r>
              <w:rPr>
                <w:rFonts w:hint="eastAsia" w:ascii="宋体" w:hAnsi="宋体" w:eastAsia="宋体" w:cs="宋体"/>
                <w:sz w:val="21"/>
                <w:szCs w:val="21"/>
              </w:rPr>
              <w:t>颁发的</w:t>
            </w:r>
            <w:r>
              <w:rPr>
                <w:rFonts w:hint="eastAsia" w:ascii="宋体" w:hAnsi="宋体" w:eastAsia="宋体" w:cs="宋体"/>
                <w:color w:val="auto"/>
                <w:sz w:val="21"/>
                <w:szCs w:val="21"/>
                <w:highlight w:val="yellow"/>
              </w:rPr>
              <w:t>信息安全工程师证书</w:t>
            </w:r>
            <w:r>
              <w:rPr>
                <w:rFonts w:hint="eastAsia" w:ascii="宋体" w:hAnsi="宋体" w:eastAsia="宋体" w:cs="宋体"/>
                <w:color w:val="auto"/>
                <w:sz w:val="21"/>
                <w:szCs w:val="21"/>
                <w:highlight w:val="yellow"/>
                <w:lang w:eastAsia="zh-CN"/>
              </w:rPr>
              <w:t>。</w:t>
            </w:r>
          </w:p>
          <w:p>
            <w:pPr>
              <w:numPr>
                <w:ilvl w:val="0"/>
                <w:numId w:val="0"/>
              </w:numPr>
              <w:wordWrap w:val="0"/>
              <w:rPr>
                <w:rFonts w:hint="eastAsia" w:ascii="宋体" w:hAnsi="宋体" w:eastAsia="宋体" w:cs="宋体"/>
                <w:sz w:val="21"/>
                <w:szCs w:val="21"/>
              </w:rPr>
            </w:pPr>
            <w:r>
              <w:rPr>
                <w:rFonts w:hint="eastAsia" w:ascii="宋体" w:hAnsi="宋体"/>
                <w:bCs/>
                <w:szCs w:val="21"/>
              </w:rPr>
              <w:t>每提供1人得</w:t>
            </w:r>
            <w:r>
              <w:rPr>
                <w:rFonts w:hint="eastAsia" w:ascii="宋体" w:hAnsi="宋体"/>
                <w:bCs/>
                <w:szCs w:val="21"/>
                <w:lang w:val="en-US" w:eastAsia="zh-CN"/>
              </w:rPr>
              <w:t>50</w:t>
            </w:r>
            <w:r>
              <w:rPr>
                <w:rFonts w:hint="eastAsia" w:ascii="宋体" w:hAnsi="宋体"/>
                <w:bCs/>
                <w:szCs w:val="21"/>
              </w:rPr>
              <w:t>分，本小项最高得</w:t>
            </w:r>
            <w:r>
              <w:rPr>
                <w:rFonts w:hint="eastAsia" w:ascii="宋体" w:hAnsi="宋体"/>
                <w:bCs/>
                <w:szCs w:val="21"/>
                <w:lang w:val="en-US" w:eastAsia="zh-CN"/>
              </w:rPr>
              <w:t>100</w:t>
            </w:r>
            <w:r>
              <w:rPr>
                <w:rFonts w:hint="eastAsia" w:ascii="宋体" w:hAnsi="宋体"/>
                <w:bCs/>
                <w:szCs w:val="21"/>
              </w:rPr>
              <w:t>分</w:t>
            </w:r>
            <w:r>
              <w:rPr>
                <w:rFonts w:hint="eastAsia" w:ascii="宋体" w:hAnsi="宋体" w:eastAsia="宋体" w:cs="宋体"/>
                <w:sz w:val="21"/>
                <w:szCs w:val="21"/>
              </w:rPr>
              <w:t>。</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sz w:val="21"/>
                <w:szCs w:val="21"/>
              </w:rPr>
            </w:pPr>
            <w:r>
              <w:rPr>
                <w:rFonts w:hint="eastAsia" w:ascii="宋体" w:hAnsi="宋体" w:eastAsia="宋体" w:cs="宋体"/>
                <w:b/>
                <w:bCs/>
                <w:kern w:val="0"/>
                <w:sz w:val="21"/>
                <w:szCs w:val="21"/>
                <w:lang w:val="en-US" w:eastAsia="zh-CN" w:bidi="ar"/>
              </w:rPr>
              <w:t>（二）</w:t>
            </w:r>
            <w:r>
              <w:rPr>
                <w:rFonts w:hint="eastAsia" w:ascii="宋体" w:hAnsi="宋体" w:cs="宋体"/>
                <w:b/>
                <w:bCs/>
                <w:kern w:val="0"/>
                <w:sz w:val="21"/>
                <w:szCs w:val="21"/>
                <w:lang w:val="en-US" w:eastAsia="zh-CN" w:bidi="ar"/>
              </w:rPr>
              <w:t>评分准则：</w:t>
            </w:r>
          </w:p>
          <w:p>
            <w:pPr>
              <w:spacing w:line="320" w:lineRule="exact"/>
              <w:rPr>
                <w:rFonts w:hint="eastAsia" w:ascii="宋体" w:hAnsi="宋体"/>
                <w:bCs/>
                <w:szCs w:val="21"/>
              </w:rPr>
            </w:pPr>
            <w:r>
              <w:rPr>
                <w:rFonts w:hint="eastAsia" w:ascii="宋体" w:hAnsi="宋体"/>
                <w:bCs/>
                <w:szCs w:val="21"/>
              </w:rPr>
              <w:t>1、提供相关证书扫描件，其中：1</w:t>
            </w:r>
            <w:r>
              <w:rPr>
                <w:rFonts w:hint="eastAsia" w:ascii="宋体" w:hAnsi="宋体"/>
                <w:bCs/>
                <w:szCs w:val="21"/>
                <w:lang w:val="en-US" w:eastAsia="zh-CN"/>
              </w:rPr>
              <w:t>)</w:t>
            </w:r>
            <w:r>
              <w:rPr>
                <w:rFonts w:hint="eastAsia" w:ascii="宋体" w:hAnsi="宋体"/>
                <w:bCs/>
                <w:szCs w:val="21"/>
              </w:rPr>
              <w:t>涉及计算机技术与软件专业资格证书还需要提供全国专业技术人员职业资格证书查询验证系统查询截图（查询网址：https://zs.cpta.com.cn/certMng/loginPage.jsp）,如无法提供查询截图，则需提供发证部门出具的其他证明文件；</w:t>
            </w:r>
          </w:p>
          <w:p>
            <w:pPr>
              <w:spacing w:line="320" w:lineRule="exact"/>
              <w:rPr>
                <w:rFonts w:hint="eastAsia" w:ascii="宋体" w:hAnsi="宋体"/>
                <w:bCs/>
                <w:szCs w:val="21"/>
              </w:rPr>
            </w:pPr>
            <w:r>
              <w:rPr>
                <w:rFonts w:hint="eastAsia" w:ascii="宋体" w:hAnsi="宋体"/>
                <w:bCs/>
                <w:szCs w:val="21"/>
              </w:rPr>
              <w:t>2、提供相关人员开标日当月或前一个月在本公司缴纳且载有社保部门（或税务部门）公章（或税务部门公章）的社保缴交证明材料（如开标日当月或前一个月的社保材料因社保部门（或税务部门）原因暂时无法取得，则可以往前顺延一个月）；成立时间不满1个月的投标人需提供成立时间相关说明材料，并提供承诺函（格式自拟）承诺人员为投标人自有员工；</w:t>
            </w:r>
          </w:p>
          <w:p>
            <w:pPr>
              <w:snapToGrid w:val="0"/>
              <w:rPr>
                <w:rFonts w:hint="eastAsia" w:ascii="宋体" w:hAnsi="宋体" w:eastAsia="宋体" w:cs="宋体"/>
                <w:color w:val="000000"/>
                <w:kern w:val="2"/>
                <w:sz w:val="21"/>
                <w:szCs w:val="21"/>
                <w:lang w:val="en-US" w:eastAsia="zh-CN" w:bidi="ar-SA"/>
              </w:rPr>
            </w:pPr>
            <w:r>
              <w:rPr>
                <w:rFonts w:hint="eastAsia" w:ascii="宋体" w:hAnsi="宋体"/>
                <w:bCs/>
                <w:szCs w:val="21"/>
              </w:rPr>
              <w:t>3、未按要求提供相关证明材料（或相关证明材料无法判断是否符合评分要求）的不计得分，原件备查。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val="en-US" w:eastAsia="zh-CN"/>
              </w:rPr>
            </w:pPr>
            <w:r>
              <w:rPr>
                <w:rFonts w:hint="eastAsia"/>
                <w:b/>
                <w:bCs/>
                <w:color w:val="0000FF"/>
                <w:sz w:val="24"/>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b/>
                <w:bCs/>
                <w:kern w:val="0"/>
                <w:sz w:val="21"/>
                <w:szCs w:val="21"/>
                <w:lang w:val="en-US" w:eastAsia="zh-CN" w:bidi="ar"/>
              </w:rPr>
              <w:t>（一）</w:t>
            </w:r>
            <w:r>
              <w:rPr>
                <w:rFonts w:hint="eastAsia" w:ascii="宋体" w:hAnsi="宋体" w:eastAsia="宋体" w:cs="宋体"/>
                <w:b/>
                <w:bCs/>
                <w:kern w:val="0"/>
                <w:sz w:val="21"/>
                <w:szCs w:val="21"/>
                <w:highlight w:val="none"/>
                <w:lang w:val="en-US" w:eastAsia="zh-CN" w:bidi="ar"/>
              </w:rPr>
              <w:t>评审内容：</w:t>
            </w:r>
          </w:p>
          <w:p>
            <w:pPr>
              <w:pStyle w:val="10"/>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bidi="ar"/>
              </w:rPr>
              <w:t>202</w:t>
            </w:r>
            <w:r>
              <w:rPr>
                <w:rFonts w:hint="eastAsia" w:ascii="宋体" w:hAnsi="宋体" w:eastAsia="宋体" w:cs="宋体"/>
                <w:kern w:val="0"/>
                <w:sz w:val="21"/>
                <w:szCs w:val="21"/>
                <w:highlight w:val="none"/>
                <w:lang w:val="en-US" w:eastAsia="zh-CN" w:bidi="ar"/>
              </w:rPr>
              <w:t>2</w:t>
            </w:r>
            <w:r>
              <w:rPr>
                <w:rFonts w:hint="eastAsia" w:ascii="宋体" w:hAnsi="宋体" w:eastAsia="宋体" w:cs="宋体"/>
                <w:kern w:val="0"/>
                <w:sz w:val="21"/>
                <w:szCs w:val="21"/>
                <w:highlight w:val="none"/>
                <w:lang w:bidi="ar"/>
              </w:rPr>
              <w:t>年1月1日（以合同签订日期为准）</w:t>
            </w:r>
            <w:r>
              <w:rPr>
                <w:rFonts w:hint="eastAsia" w:ascii="宋体" w:hAnsi="宋体" w:eastAsia="宋体" w:cs="宋体"/>
                <w:kern w:val="0"/>
                <w:sz w:val="21"/>
                <w:szCs w:val="21"/>
                <w:highlight w:val="none"/>
                <w:lang w:val="en-US" w:eastAsia="zh-CN" w:bidi="ar"/>
              </w:rPr>
              <w:t>以后，投标人具有与本项目同类项目</w:t>
            </w:r>
            <w:r>
              <w:rPr>
                <w:rFonts w:hint="eastAsia" w:ascii="宋体" w:hAnsi="宋体" w:eastAsia="宋体" w:cs="宋体"/>
                <w:kern w:val="0"/>
                <w:sz w:val="21"/>
                <w:szCs w:val="21"/>
                <w:highlight w:val="yellow"/>
                <w:lang w:val="en-US" w:eastAsia="zh-CN" w:bidi="ar"/>
              </w:rPr>
              <w:t>（电教平台类项目，包含触控一体机或交互平板）</w:t>
            </w:r>
            <w:r>
              <w:rPr>
                <w:rFonts w:hint="eastAsia" w:ascii="宋体" w:hAnsi="宋体" w:eastAsia="宋体" w:cs="宋体"/>
                <w:kern w:val="0"/>
                <w:sz w:val="21"/>
                <w:szCs w:val="21"/>
                <w:highlight w:val="none"/>
                <w:lang w:val="en-US" w:eastAsia="zh-CN" w:bidi="ar"/>
              </w:rPr>
              <w:t>经验，且履约评价为优或满意（或同等评价），每提供一个得</w:t>
            </w:r>
            <w:r>
              <w:rPr>
                <w:rFonts w:hint="eastAsia" w:hAnsi="宋体" w:cs="宋体"/>
                <w:kern w:val="0"/>
                <w:sz w:val="21"/>
                <w:szCs w:val="21"/>
                <w:highlight w:val="none"/>
                <w:lang w:val="en-US" w:eastAsia="zh-CN" w:bidi="ar"/>
              </w:rPr>
              <w:t>50</w:t>
            </w:r>
            <w:r>
              <w:rPr>
                <w:rFonts w:hint="eastAsia" w:ascii="宋体" w:hAnsi="宋体" w:eastAsia="宋体" w:cs="宋体"/>
                <w:kern w:val="0"/>
                <w:sz w:val="21"/>
                <w:szCs w:val="21"/>
                <w:highlight w:val="none"/>
                <w:lang w:val="en-US" w:eastAsia="zh-CN" w:bidi="ar"/>
              </w:rPr>
              <w:t>分，最高得100分。</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cs="宋体"/>
                <w:b/>
                <w:bCs/>
                <w:kern w:val="0"/>
                <w:sz w:val="21"/>
                <w:szCs w:val="21"/>
                <w:lang w:val="en-US" w:eastAsia="zh-CN" w:bidi="ar"/>
              </w:rPr>
              <w:t>（二）评分准则：</w:t>
            </w:r>
          </w:p>
          <w:p>
            <w:pPr>
              <w:pStyle w:val="10"/>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1、同时提供以下：（1）合同关键页扫描件</w:t>
            </w:r>
            <w:r>
              <w:rPr>
                <w:rFonts w:hint="eastAsia" w:asciiTheme="minorEastAsia" w:hAnsiTheme="minorEastAsia" w:eastAsiaTheme="minorEastAsia" w:cstheme="minorEastAsia"/>
                <w:color w:val="auto"/>
                <w:sz w:val="21"/>
                <w:szCs w:val="21"/>
                <w:highlight w:val="none"/>
                <w:lang w:val="en-US" w:eastAsia="zh-CN"/>
              </w:rPr>
              <w:t>（包括但不限于合同双方的单位名称、合同项目名称、项目内容、合同双方的落款盖章、签订日期等）</w:t>
            </w:r>
            <w:r>
              <w:rPr>
                <w:rFonts w:hint="eastAsia" w:ascii="宋体" w:hAnsi="宋体" w:eastAsia="宋体" w:cs="宋体"/>
                <w:kern w:val="0"/>
                <w:sz w:val="21"/>
                <w:szCs w:val="21"/>
                <w:highlight w:val="none"/>
                <w:lang w:val="en-US" w:eastAsia="zh-CN" w:bidi="ar"/>
              </w:rPr>
              <w:t>；（2）设备配置清单扫描件；（3）验收报告[加盖合同甲方</w:t>
            </w:r>
            <w:r>
              <w:rPr>
                <w:rFonts w:hint="eastAsia" w:hAnsi="宋体" w:cs="宋体"/>
                <w:kern w:val="0"/>
                <w:sz w:val="21"/>
                <w:szCs w:val="21"/>
                <w:highlight w:val="none"/>
                <w:lang w:val="en-US" w:eastAsia="zh-CN" w:bidi="ar"/>
              </w:rPr>
              <w:t>（合同相对方）</w:t>
            </w:r>
            <w:r>
              <w:rPr>
                <w:rFonts w:hint="eastAsia" w:ascii="宋体" w:hAnsi="宋体" w:eastAsia="宋体" w:cs="宋体"/>
                <w:kern w:val="0"/>
                <w:sz w:val="21"/>
                <w:szCs w:val="21"/>
                <w:highlight w:val="none"/>
                <w:lang w:val="en-US" w:eastAsia="zh-CN" w:bidi="ar"/>
              </w:rPr>
              <w:t>公章</w:t>
            </w:r>
            <w:r>
              <w:rPr>
                <w:rFonts w:hint="eastAsia" w:hAnsi="宋体" w:cs="宋体"/>
                <w:kern w:val="0"/>
                <w:sz w:val="21"/>
                <w:szCs w:val="21"/>
                <w:highlight w:val="none"/>
                <w:lang w:val="en-US" w:eastAsia="zh-CN" w:bidi="ar"/>
              </w:rPr>
              <w:t>或</w:t>
            </w:r>
            <w:r>
              <w:rPr>
                <w:rFonts w:hint="eastAsia" w:ascii="宋体" w:hAnsi="宋体" w:eastAsia="宋体" w:cs="宋体"/>
                <w:kern w:val="0"/>
                <w:sz w:val="21"/>
                <w:szCs w:val="21"/>
                <w:highlight w:val="none"/>
                <w:lang w:val="en-US" w:eastAsia="zh-CN" w:bidi="ar"/>
              </w:rPr>
              <w:t>业务章）]；（4）履约评价证明[加盖合同甲方</w:t>
            </w:r>
            <w:r>
              <w:rPr>
                <w:rFonts w:hint="eastAsia" w:hAnsi="宋体" w:cs="宋体"/>
                <w:kern w:val="0"/>
                <w:sz w:val="21"/>
                <w:szCs w:val="21"/>
                <w:highlight w:val="none"/>
                <w:lang w:val="en-US" w:eastAsia="zh-CN" w:bidi="ar"/>
              </w:rPr>
              <w:t>（合同相对方）</w:t>
            </w:r>
            <w:r>
              <w:rPr>
                <w:rFonts w:hint="eastAsia" w:ascii="宋体" w:hAnsi="宋体" w:eastAsia="宋体" w:cs="宋体"/>
                <w:kern w:val="0"/>
                <w:sz w:val="21"/>
                <w:szCs w:val="21"/>
                <w:highlight w:val="none"/>
                <w:lang w:val="en-US" w:eastAsia="zh-CN" w:bidi="ar"/>
              </w:rPr>
              <w:t>公章</w:t>
            </w:r>
            <w:r>
              <w:rPr>
                <w:rFonts w:hint="eastAsia" w:hAnsi="宋体" w:cs="宋体"/>
                <w:kern w:val="0"/>
                <w:sz w:val="21"/>
                <w:szCs w:val="21"/>
                <w:highlight w:val="none"/>
                <w:lang w:val="en-US" w:eastAsia="zh-CN" w:bidi="ar"/>
              </w:rPr>
              <w:t>或</w:t>
            </w:r>
            <w:r>
              <w:rPr>
                <w:rFonts w:hint="eastAsia" w:ascii="宋体" w:hAnsi="宋体" w:eastAsia="宋体" w:cs="宋体"/>
                <w:kern w:val="0"/>
                <w:sz w:val="21"/>
                <w:szCs w:val="21"/>
                <w:highlight w:val="none"/>
                <w:lang w:val="en-US" w:eastAsia="zh-CN" w:bidi="ar"/>
              </w:rPr>
              <w:t>业务章）]。</w:t>
            </w:r>
          </w:p>
          <w:p>
            <w:pPr>
              <w:pStyle w:val="10"/>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2、未按要求提供相关证明材料（或相关证明材料无法判断是否符合评分要求）的不计得分，原件备查。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20" w:lineRule="exact"/>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rPr>
              <w:t>体系认证情况评价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20" w:lineRule="exact"/>
              <w:jc w:val="center"/>
              <w:rPr>
                <w:rFonts w:hint="eastAsia" w:ascii="宋体" w:hAnsi="宋体" w:eastAsia="宋体" w:cs="宋体"/>
                <w:kern w:val="0"/>
                <w:sz w:val="21"/>
                <w:szCs w:val="21"/>
                <w:lang w:val="en-US" w:eastAsia="zh-CN" w:bidi="ar"/>
              </w:rPr>
            </w:pPr>
            <w:r>
              <w:rPr>
                <w:rFonts w:hint="eastAsia" w:ascii="宋体" w:hAnsi="宋体" w:eastAsia="宋体" w:cs="宋体"/>
                <w:kern w:val="2"/>
                <w:sz w:val="21"/>
                <w:szCs w:val="21"/>
                <w:lang w:val="en-US" w:eastAsia="zh-CN" w:bidi="ar-SA"/>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b/>
                <w:bCs/>
                <w:kern w:val="0"/>
                <w:sz w:val="21"/>
                <w:szCs w:val="21"/>
                <w:lang w:val="en-US" w:eastAsia="zh-CN" w:bidi="ar"/>
              </w:rPr>
              <w:t>（一）</w:t>
            </w:r>
            <w:r>
              <w:rPr>
                <w:rFonts w:hint="eastAsia" w:ascii="宋体" w:hAnsi="宋体" w:eastAsia="宋体" w:cs="宋体"/>
                <w:b/>
                <w:bCs/>
                <w:kern w:val="0"/>
                <w:sz w:val="21"/>
                <w:szCs w:val="21"/>
                <w:highlight w:val="none"/>
                <w:lang w:val="en-US" w:eastAsia="zh-CN" w:bidi="ar"/>
              </w:rPr>
              <w:t>评审内容：</w:t>
            </w:r>
          </w:p>
          <w:p>
            <w:pPr>
              <w:spacing w:after="60" w:line="240" w:lineRule="exact"/>
              <w:rPr>
                <w:rFonts w:hint="eastAsia" w:ascii="宋体" w:hAnsi="宋体" w:eastAsia="宋体" w:cs="宋体"/>
                <w:sz w:val="21"/>
                <w:szCs w:val="21"/>
                <w:lang w:eastAsia="zh-CN"/>
              </w:rPr>
            </w:pPr>
            <w:r>
              <w:rPr>
                <w:rFonts w:hint="eastAsia" w:ascii="宋体" w:hAnsi="宋体" w:eastAsia="宋体" w:cs="宋体"/>
                <w:sz w:val="21"/>
                <w:szCs w:val="21"/>
              </w:rPr>
              <w:t>投标人具有以下</w:t>
            </w:r>
            <w:r>
              <w:rPr>
                <w:rFonts w:hint="eastAsia" w:ascii="宋体" w:hAnsi="宋体" w:eastAsia="宋体" w:cs="宋体"/>
                <w:sz w:val="21"/>
                <w:szCs w:val="21"/>
                <w:lang w:eastAsia="zh-CN"/>
              </w:rPr>
              <w:t>：</w:t>
            </w:r>
          </w:p>
          <w:p>
            <w:pPr>
              <w:numPr>
                <w:ilvl w:val="0"/>
                <w:numId w:val="0"/>
              </w:numPr>
              <w:spacing w:after="60" w:line="240" w:lineRule="exact"/>
              <w:rPr>
                <w:rFonts w:hint="eastAsia" w:ascii="宋体" w:hAnsi="宋体" w:eastAsia="宋体" w:cs="宋体"/>
                <w:sz w:val="21"/>
                <w:szCs w:val="21"/>
                <w:highlight w:val="yellow"/>
              </w:rPr>
            </w:pPr>
            <w:r>
              <w:rPr>
                <w:rFonts w:hint="eastAsia" w:ascii="宋体" w:hAnsi="宋体" w:eastAsia="宋体" w:cs="宋体"/>
                <w:kern w:val="2"/>
                <w:sz w:val="21"/>
                <w:szCs w:val="21"/>
                <w:highlight w:val="yellow"/>
                <w:lang w:val="en-US" w:eastAsia="zh-CN" w:bidi="ar-SA"/>
              </w:rPr>
              <w:t>1、</w:t>
            </w:r>
            <w:r>
              <w:rPr>
                <w:rFonts w:hint="eastAsia" w:ascii="宋体" w:hAnsi="宋体" w:eastAsia="宋体" w:cs="宋体"/>
                <w:sz w:val="21"/>
                <w:szCs w:val="21"/>
                <w:highlight w:val="yellow"/>
              </w:rPr>
              <w:t>职业健康管理体系认证证书；</w:t>
            </w:r>
          </w:p>
          <w:p>
            <w:pPr>
              <w:numPr>
                <w:ilvl w:val="0"/>
                <w:numId w:val="0"/>
              </w:numPr>
              <w:spacing w:after="60" w:line="240" w:lineRule="exact"/>
              <w:rPr>
                <w:rFonts w:hint="eastAsia" w:ascii="宋体" w:hAnsi="宋体" w:eastAsia="宋体" w:cs="宋体"/>
                <w:sz w:val="21"/>
                <w:szCs w:val="21"/>
                <w:highlight w:val="yellow"/>
              </w:rPr>
            </w:pPr>
            <w:r>
              <w:rPr>
                <w:rFonts w:hint="eastAsia" w:ascii="宋体" w:hAnsi="宋体" w:eastAsia="宋体" w:cs="宋体"/>
                <w:kern w:val="2"/>
                <w:sz w:val="21"/>
                <w:szCs w:val="21"/>
                <w:highlight w:val="yellow"/>
                <w:lang w:val="en-US" w:eastAsia="zh-CN" w:bidi="ar-SA"/>
              </w:rPr>
              <w:t>2、</w:t>
            </w:r>
            <w:r>
              <w:rPr>
                <w:rFonts w:hint="eastAsia" w:ascii="宋体" w:hAnsi="宋体" w:eastAsia="宋体" w:cs="宋体"/>
                <w:sz w:val="21"/>
                <w:szCs w:val="21"/>
                <w:highlight w:val="yellow"/>
              </w:rPr>
              <w:t>环境管理体系认证证书；</w:t>
            </w:r>
          </w:p>
          <w:p>
            <w:pPr>
              <w:spacing w:after="60" w:line="240" w:lineRule="exact"/>
              <w:rPr>
                <w:rFonts w:hint="eastAsia" w:ascii="宋体" w:hAnsi="宋体" w:eastAsia="宋体" w:cs="宋体"/>
                <w:sz w:val="21"/>
                <w:szCs w:val="21"/>
                <w:highlight w:val="yellow"/>
              </w:rPr>
            </w:pPr>
            <w:r>
              <w:rPr>
                <w:rFonts w:hint="eastAsia" w:ascii="宋体" w:hAnsi="宋体" w:eastAsia="宋体" w:cs="宋体"/>
                <w:sz w:val="21"/>
                <w:szCs w:val="21"/>
                <w:highlight w:val="yellow"/>
                <w:lang w:val="en-US" w:eastAsia="zh-CN"/>
              </w:rPr>
              <w:t>3、</w:t>
            </w:r>
            <w:r>
              <w:rPr>
                <w:rFonts w:hint="eastAsia" w:ascii="宋体" w:hAnsi="宋体" w:eastAsia="宋体" w:cs="宋体"/>
                <w:sz w:val="21"/>
                <w:szCs w:val="21"/>
                <w:highlight w:val="yellow"/>
              </w:rPr>
              <w:t>质量管理体系认证证书。</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Cs/>
                <w:sz w:val="21"/>
                <w:szCs w:val="21"/>
              </w:rPr>
            </w:pPr>
            <w:r>
              <w:rPr>
                <w:rFonts w:hint="eastAsia" w:ascii="宋体" w:hAnsi="宋体" w:eastAsia="宋体" w:cs="宋体"/>
                <w:bCs/>
                <w:sz w:val="21"/>
                <w:szCs w:val="21"/>
                <w:lang w:val="en-US" w:eastAsia="zh-CN"/>
              </w:rPr>
              <w:t>每具有1类证书得34分，</w:t>
            </w:r>
            <w:r>
              <w:rPr>
                <w:rFonts w:hint="eastAsia" w:ascii="宋体" w:hAnsi="宋体" w:eastAsia="宋体" w:cs="宋体"/>
                <w:bCs/>
                <w:sz w:val="21"/>
                <w:szCs w:val="21"/>
              </w:rPr>
              <w:t>最高得100分</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cs="宋体"/>
                <w:b/>
                <w:bCs/>
                <w:kern w:val="0"/>
                <w:sz w:val="21"/>
                <w:szCs w:val="21"/>
                <w:lang w:val="en-US" w:eastAsia="zh-CN" w:bidi="ar"/>
              </w:rPr>
              <w:t>（二）评分准则：</w:t>
            </w:r>
          </w:p>
          <w:p>
            <w:pPr>
              <w:wordWrap w:val="0"/>
              <w:ind w:left="0" w:leftChars="0" w:firstLine="0" w:firstLineChars="0"/>
              <w:rPr>
                <w:rFonts w:hint="eastAsia" w:ascii="宋体" w:hAnsi="宋体" w:cs="宋体"/>
                <w:color w:val="0000FF"/>
                <w:sz w:val="21"/>
                <w:szCs w:val="21"/>
              </w:rPr>
            </w:pPr>
            <w:r>
              <w:rPr>
                <w:rFonts w:hint="eastAsia" w:ascii="宋体" w:hAnsi="宋体" w:cs="宋体"/>
                <w:color w:val="0000FF"/>
                <w:sz w:val="21"/>
                <w:szCs w:val="21"/>
              </w:rPr>
              <w:t>1、提供相关认证机构颁发的有效期内的认证证书扫描件及认证信息查询截图（截图需显示证书状态为有效）。说明：1.证书与查询信息截图必须同时提供，缺一不可。未同时提供的不得分，后果由投标人自行承担。2.投标人应确保认证证书在开标当天仍处于有效状态，并对所提供的证书及查询截图的真实性负责，如出现与事实不符的情形，视同隐瞒真实情况，提供虚假资料，将依法承担相应的法律责任。3.质疑投诉处理中对证书是否有效的认定，以国家认监委网站【全国认证认可信息公共服务平台（//cx.cnca.cn）】或认证机构颁发官网查询结果为准。</w:t>
            </w:r>
          </w:p>
          <w:p>
            <w:pPr>
              <w:spacing w:after="60" w:line="240" w:lineRule="exact"/>
              <w:rPr>
                <w:rFonts w:hint="eastAsia" w:ascii="宋体" w:hAnsi="宋体" w:eastAsia="宋体" w:cs="宋体"/>
                <w:kern w:val="0"/>
                <w:sz w:val="21"/>
                <w:szCs w:val="21"/>
                <w:lang w:val="en-US" w:eastAsia="zh-CN" w:bidi="ar"/>
              </w:rPr>
            </w:pPr>
            <w:r>
              <w:rPr>
                <w:rFonts w:hint="eastAsia" w:ascii="宋体" w:hAnsi="宋体" w:cs="宋体"/>
                <w:color w:val="0000FF"/>
                <w:sz w:val="21"/>
                <w:szCs w:val="21"/>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5</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4"/>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7"/>
        <w:rPr>
          <w:rFonts w:hint="eastAsia"/>
        </w:rPr>
      </w:pPr>
    </w:p>
    <w:p>
      <w:pPr>
        <w:pStyle w:val="14"/>
        <w:rPr>
          <w:rFonts w:hint="eastAsia"/>
        </w:rPr>
      </w:pPr>
    </w:p>
    <w:p>
      <w:pPr>
        <w:pStyle w:val="14"/>
        <w:rPr>
          <w:rFonts w:hint="eastAsia"/>
        </w:rPr>
      </w:pPr>
    </w:p>
    <w:p>
      <w:pPr>
        <w:pStyle w:val="7"/>
        <w:rPr>
          <w:rFonts w:hint="eastAsia"/>
        </w:rPr>
        <w:sectPr>
          <w:pgSz w:w="11907" w:h="16840"/>
          <w:pgMar w:top="1440" w:right="1797" w:bottom="1440" w:left="1797" w:header="851" w:footer="992" w:gutter="0"/>
          <w:cols w:space="425" w:num="1"/>
          <w:titlePg/>
          <w:docGrid w:linePitch="462" w:charSpace="0"/>
        </w:sectPr>
      </w:pPr>
    </w:p>
    <w:bookmarkEnd w:id="4"/>
    <w:p>
      <w:pPr>
        <w:pStyle w:val="2"/>
        <w:jc w:val="center"/>
        <w:rPr>
          <w:color w:val="FF0000"/>
          <w:sz w:val="24"/>
        </w:rPr>
      </w:pPr>
      <w:bookmarkStart w:id="6" w:name="bt本工程承诺书"/>
      <w:bookmarkEnd w:id="6"/>
      <w:bookmarkStart w:id="7" w:name="bt其他资料2"/>
      <w:bookmarkEnd w:id="7"/>
      <w:bookmarkStart w:id="8" w:name="bt商务标投标文件格式"/>
      <w:bookmarkEnd w:id="8"/>
      <w:bookmarkStart w:id="9" w:name="bt投标文件签署授权委托书"/>
      <w:bookmarkEnd w:id="9"/>
      <w:bookmarkStart w:id="10" w:name="bt合同格式"/>
      <w:bookmarkEnd w:id="10"/>
      <w:bookmarkStart w:id="11" w:name="bt开标一览表"/>
      <w:bookmarkEnd w:id="11"/>
      <w:bookmarkStart w:id="12" w:name="bt其他资料由投标人自定"/>
      <w:bookmarkEnd w:id="12"/>
      <w:bookmarkStart w:id="13" w:name="bt投标函"/>
      <w:bookmarkEnd w:id="13"/>
      <w:bookmarkStart w:id="14" w:name="bt投标人情况介绍"/>
      <w:bookmarkEnd w:id="14"/>
      <w:bookmarkStart w:id="15" w:name="bt项目管理班子配备情况"/>
      <w:bookmarkEnd w:id="15"/>
      <w:bookmarkStart w:id="16" w:name="bt合同条款及格式"/>
      <w:bookmarkEnd w:id="16"/>
      <w:bookmarkStart w:id="17" w:name="bt合同条款"/>
      <w:bookmarkEnd w:id="17"/>
      <w:bookmarkStart w:id="18" w:name="bt技术标投标文件格式"/>
      <w:bookmarkEnd w:id="18"/>
      <w:bookmarkStart w:id="19" w:name="bt投标报价汇总表"/>
      <w:bookmarkEnd w:id="19"/>
      <w:bookmarkStart w:id="20" w:name="合同格式"/>
      <w:bookmarkEnd w:id="20"/>
      <w:bookmarkStart w:id="21" w:name="bt投标人须知"/>
      <w:bookmarkEnd w:id="21"/>
      <w:bookmarkStart w:id="22" w:name="bt说明"/>
      <w:bookmarkEnd w:id="22"/>
      <w:r>
        <w:rPr>
          <w:rFonts w:hint="eastAsia"/>
        </w:rPr>
        <w:t>第一册  专用条款</w:t>
      </w:r>
    </w:p>
    <w:p>
      <w:pPr>
        <w:pStyle w:val="5"/>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ind w:firstLine="420" w:firstLineChars="200"/>
        <w:rPr>
          <w:rFonts w:hint="default" w:eastAsia="宋体"/>
          <w:lang w:val="en-US" w:eastAsia="zh-CN"/>
        </w:rPr>
      </w:pP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5"/>
        <w:spacing w:before="120" w:beforeLines="50" w:after="120" w:afterLines="50"/>
        <w:jc w:val="center"/>
        <w:rPr>
          <w:szCs w:val="24"/>
        </w:rPr>
      </w:pPr>
      <w:bookmarkStart w:id="24" w:name="_Toc73521635"/>
      <w:bookmarkStart w:id="25" w:name="_Toc73521547"/>
      <w:bookmarkStart w:id="26" w:name="_Toc73518117"/>
      <w:bookmarkStart w:id="27" w:name="_Toc101074876"/>
      <w:bookmarkStart w:id="28" w:name="_Toc60631620"/>
      <w:bookmarkStart w:id="29" w:name="_Toc73517639"/>
      <w:bookmarkStart w:id="30" w:name="_Toc60560625"/>
      <w:bookmarkStart w:id="31" w:name="_Toc100052364"/>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eastAsia="宋体" w:cs="Arial"/>
                <w:b/>
                <w:szCs w:val="21"/>
              </w:rPr>
              <w:t>深圳市宝安区立新湖学校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5"/>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eastAsia" w:eastAsia="宋体"/>
                <w:lang w:val="en-US" w:eastAsia="zh-CN"/>
              </w:rPr>
            </w:pPr>
            <w:r>
              <w:rPr>
                <w:rFonts w:hint="eastAsia" w:eastAsia="宋体"/>
                <w:lang w:val="en-US" w:eastAsia="zh-CN"/>
              </w:rPr>
              <w:t>3</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4"/>
      </w:pPr>
    </w:p>
    <w:p>
      <w:pPr>
        <w:ind w:firstLine="480" w:firstLineChars="200"/>
        <w:rPr>
          <w:rFonts w:hint="eastAsia" w:ascii="Arial" w:hAnsi="Arial" w:eastAsia="宋体" w:cs="Arial"/>
          <w:color w:val="000000"/>
          <w:sz w:val="24"/>
          <w:szCs w:val="24"/>
          <w:highlight w:val="yellow"/>
        </w:rPr>
      </w:pPr>
    </w:p>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numPr>
          <w:ilvl w:val="0"/>
          <w:numId w:val="0"/>
        </w:numPr>
        <w:ind w:left="0" w:leftChars="0" w:firstLine="420" w:firstLineChars="200"/>
        <w:rPr>
          <w:rFonts w:hint="default" w:eastAsia="宋体"/>
          <w:lang w:val="en-US" w:eastAsia="zh-CN"/>
        </w:rPr>
      </w:pPr>
    </w:p>
    <w:p>
      <w:pPr>
        <w:spacing w:before="0" w:after="0"/>
        <w:jc w:val="both"/>
        <w:outlineLvl w:val="9"/>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7"/>
        <w:rPr>
          <w:b/>
        </w:rPr>
      </w:pPr>
    </w:p>
    <w:p>
      <w:pPr>
        <w:pStyle w:val="14"/>
        <w:rPr>
          <w:b/>
        </w:rPr>
      </w:pPr>
    </w:p>
    <w:p>
      <w:pPr>
        <w:pStyle w:val="14"/>
        <w:rPr>
          <w:b/>
        </w:rPr>
      </w:pPr>
    </w:p>
    <w:p>
      <w:pPr>
        <w:pStyle w:val="14"/>
        <w:rPr>
          <w:b/>
        </w:rPr>
        <w:sectPr>
          <w:pgSz w:w="11907" w:h="16840"/>
          <w:pgMar w:top="1440" w:right="1797" w:bottom="1440" w:left="1797" w:header="851" w:footer="992" w:gutter="0"/>
          <w:cols w:space="425" w:num="1"/>
          <w:titlePg/>
          <w:docGrid w:linePitch="462" w:charSpace="0"/>
        </w:sectPr>
      </w:pPr>
    </w:p>
    <w:bookmarkEnd w:id="34"/>
    <w:p>
      <w:pPr>
        <w:pStyle w:val="5"/>
        <w:jc w:val="center"/>
        <w:rPr>
          <w:sz w:val="28"/>
          <w:szCs w:val="28"/>
        </w:rPr>
      </w:pPr>
      <w:r>
        <w:rPr>
          <w:rFonts w:hint="eastAsia"/>
          <w:sz w:val="28"/>
          <w:szCs w:val="28"/>
        </w:rPr>
        <w:t>第三章 用户需求书</w:t>
      </w:r>
    </w:p>
    <w:p>
      <w:pPr>
        <w:pStyle w:val="5"/>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JYCG-DECL-2025-28693</w:t>
            </w:r>
          </w:p>
        </w:tc>
        <w:tc>
          <w:tcPr>
            <w:tcW w:w="3158" w:type="dxa"/>
            <w:vAlign w:val="center"/>
          </w:tcPr>
          <w:p>
            <w:pPr>
              <w:jc w:val="center"/>
              <w:rPr>
                <w:b/>
                <w:bCs/>
                <w:color w:val="FF0000"/>
                <w:szCs w:val="21"/>
              </w:rPr>
            </w:pPr>
            <w:r>
              <w:rPr>
                <w:rFonts w:hint="eastAsia"/>
                <w:b/>
                <w:bCs/>
                <w:color w:val="FF0000"/>
                <w:szCs w:val="21"/>
              </w:rPr>
              <w:t>深圳市宝安区立新湖学校触控一体机项目</w:t>
            </w:r>
          </w:p>
        </w:tc>
        <w:tc>
          <w:tcPr>
            <w:tcW w:w="2355" w:type="dxa"/>
            <w:vAlign w:val="center"/>
          </w:tcPr>
          <w:p>
            <w:pPr>
              <w:jc w:val="center"/>
              <w:rPr>
                <w:bCs/>
                <w:color w:val="FF0000"/>
                <w:szCs w:val="21"/>
              </w:rPr>
            </w:pPr>
            <w:r>
              <w:rPr>
                <w:rFonts w:hint="eastAsia"/>
                <w:bCs/>
                <w:color w:val="FF0000"/>
                <w:szCs w:val="21"/>
              </w:rPr>
              <w:t>453600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rPr>
              <w:t>453600</w:t>
            </w:r>
          </w:p>
        </w:tc>
      </w:tr>
    </w:tbl>
    <w:p>
      <w:pPr>
        <w:rPr>
          <w:rFonts w:ascii="宋体" w:hAnsi="宋体"/>
          <w:b/>
          <w:color w:val="FF0000"/>
          <w:szCs w:val="21"/>
        </w:rPr>
      </w:pPr>
    </w:p>
    <w:p>
      <w:pPr>
        <w:rPr>
          <w:rFonts w:ascii="宋体" w:hAnsi="宋体"/>
          <w:b/>
          <w:color w:val="FF0000"/>
          <w:szCs w:val="21"/>
        </w:rPr>
      </w:pPr>
    </w:p>
    <w:p>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
        <w:gridCol w:w="1814"/>
        <w:gridCol w:w="476"/>
        <w:gridCol w:w="437"/>
        <w:gridCol w:w="1288"/>
        <w:gridCol w:w="1288"/>
        <w:gridCol w:w="1288"/>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0" w:type="pct"/>
            <w:vAlign w:val="center"/>
          </w:tcPr>
          <w:p>
            <w:pPr>
              <w:jc w:val="center"/>
              <w:rPr>
                <w:bCs/>
                <w:szCs w:val="21"/>
              </w:rPr>
            </w:pPr>
            <w:r>
              <w:rPr>
                <w:rFonts w:hint="eastAsia"/>
                <w:bCs/>
                <w:szCs w:val="21"/>
              </w:rPr>
              <w:t>序号</w:t>
            </w:r>
          </w:p>
        </w:tc>
        <w:tc>
          <w:tcPr>
            <w:tcW w:w="1063" w:type="pct"/>
            <w:vAlign w:val="center"/>
          </w:tcPr>
          <w:p>
            <w:pPr>
              <w:jc w:val="center"/>
              <w:rPr>
                <w:bCs/>
                <w:szCs w:val="21"/>
              </w:rPr>
            </w:pPr>
            <w:r>
              <w:rPr>
                <w:rFonts w:hint="eastAsia"/>
                <w:bCs/>
                <w:szCs w:val="21"/>
              </w:rPr>
              <w:t>货物名称（标的名称）</w:t>
            </w:r>
          </w:p>
        </w:tc>
        <w:tc>
          <w:tcPr>
            <w:tcW w:w="279" w:type="pct"/>
            <w:vAlign w:val="center"/>
          </w:tcPr>
          <w:p>
            <w:pPr>
              <w:jc w:val="center"/>
              <w:rPr>
                <w:bCs/>
                <w:szCs w:val="21"/>
              </w:rPr>
            </w:pPr>
            <w:r>
              <w:rPr>
                <w:rFonts w:hint="eastAsia"/>
                <w:bCs/>
                <w:szCs w:val="21"/>
              </w:rPr>
              <w:t>数量</w:t>
            </w:r>
          </w:p>
        </w:tc>
        <w:tc>
          <w:tcPr>
            <w:tcW w:w="256" w:type="pct"/>
            <w:vAlign w:val="center"/>
          </w:tcPr>
          <w:p>
            <w:pPr>
              <w:jc w:val="center"/>
              <w:rPr>
                <w:bCs/>
                <w:szCs w:val="21"/>
              </w:rPr>
            </w:pPr>
            <w:r>
              <w:rPr>
                <w:rFonts w:hint="eastAsia"/>
                <w:bCs/>
                <w:szCs w:val="21"/>
              </w:rPr>
              <w:t>单位</w:t>
            </w:r>
          </w:p>
        </w:tc>
        <w:tc>
          <w:tcPr>
            <w:tcW w:w="755" w:type="pct"/>
            <w:vAlign w:val="center"/>
          </w:tcPr>
          <w:p>
            <w:pPr>
              <w:jc w:val="center"/>
              <w:rPr>
                <w:rFonts w:hint="eastAsia" w:eastAsia="宋体"/>
                <w:bCs/>
                <w:szCs w:val="21"/>
                <w:lang w:eastAsia="zh-CN"/>
              </w:rPr>
            </w:pPr>
            <w:r>
              <w:rPr>
                <w:rFonts w:hint="eastAsia" w:ascii="宋体" w:hAnsi="宋体" w:eastAsia="宋体" w:cs="Times New Roman"/>
                <w:b/>
                <w:color w:val="FF0000"/>
                <w:szCs w:val="21"/>
              </w:rPr>
              <w:t>单价控制</w:t>
            </w:r>
            <w:r>
              <w:rPr>
                <w:rFonts w:hint="eastAsia" w:ascii="宋体" w:hAnsi="宋体" w:eastAsia="宋体" w:cs="Times New Roman"/>
                <w:b/>
                <w:color w:val="FF0000"/>
                <w:szCs w:val="21"/>
              </w:rPr>
              <w:br w:type="textWrapping"/>
            </w:r>
            <w:r>
              <w:rPr>
                <w:rFonts w:hint="eastAsia" w:ascii="宋体" w:hAnsi="宋体" w:eastAsia="宋体" w:cs="Times New Roman"/>
                <w:b/>
                <w:color w:val="FF0000"/>
                <w:szCs w:val="21"/>
              </w:rPr>
              <w:t>金额</w:t>
            </w:r>
            <w:r>
              <w:rPr>
                <w:rFonts w:hint="eastAsia" w:ascii="宋体" w:hAnsi="宋体" w:eastAsia="宋体" w:cs="Times New Roman"/>
                <w:b/>
                <w:color w:val="FF0000"/>
                <w:szCs w:val="21"/>
                <w:lang w:eastAsia="zh-CN"/>
              </w:rPr>
              <w:t>（</w:t>
            </w:r>
            <w:r>
              <w:rPr>
                <w:rFonts w:hint="eastAsia" w:ascii="宋体" w:hAnsi="宋体" w:eastAsia="宋体" w:cs="Times New Roman"/>
                <w:b/>
                <w:color w:val="FF0000"/>
                <w:szCs w:val="21"/>
                <w:lang w:val="en-US" w:eastAsia="zh-CN"/>
              </w:rPr>
              <w:t>元</w:t>
            </w:r>
            <w:r>
              <w:rPr>
                <w:rFonts w:hint="eastAsia" w:ascii="宋体" w:hAnsi="宋体" w:eastAsia="宋体" w:cs="Times New Roman"/>
                <w:b/>
                <w:color w:val="FF0000"/>
                <w:szCs w:val="21"/>
                <w:lang w:eastAsia="zh-CN"/>
              </w:rPr>
              <w:t>）</w:t>
            </w:r>
          </w:p>
        </w:tc>
        <w:tc>
          <w:tcPr>
            <w:tcW w:w="755" w:type="pct"/>
            <w:vAlign w:val="center"/>
          </w:tcPr>
          <w:p>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755" w:type="pct"/>
            <w:vAlign w:val="center"/>
          </w:tcPr>
          <w:p>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853" w:type="pct"/>
            <w:vAlign w:val="center"/>
          </w:tcPr>
          <w:p>
            <w:pPr>
              <w:jc w:val="center"/>
              <w:rPr>
                <w:rFonts w:hint="default"/>
                <w:b/>
                <w:bCs/>
                <w:color w:val="FF0000"/>
                <w:szCs w:val="21"/>
                <w:lang w:val="en-US" w:eastAsia="zh-CN"/>
              </w:rPr>
            </w:pPr>
            <w:r>
              <w:rPr>
                <w:rFonts w:hint="eastAsia"/>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0" w:type="pct"/>
            <w:vAlign w:val="center"/>
          </w:tcPr>
          <w:p>
            <w:pPr>
              <w:jc w:val="center"/>
              <w:rPr>
                <w:bCs/>
                <w:szCs w:val="21"/>
              </w:rPr>
            </w:pPr>
            <w:r>
              <w:rPr>
                <w:rFonts w:hint="eastAsia"/>
                <w:bCs/>
                <w:szCs w:val="21"/>
              </w:rPr>
              <w:t>1</w:t>
            </w:r>
          </w:p>
        </w:tc>
        <w:tc>
          <w:tcPr>
            <w:tcW w:w="106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sz w:val="21"/>
                <w:szCs w:val="21"/>
                <w:u w:val="none"/>
                <w:lang w:val="en-US" w:eastAsia="zh-CN"/>
              </w:rPr>
              <w:t>触控一体机</w:t>
            </w:r>
          </w:p>
        </w:tc>
        <w:tc>
          <w:tcPr>
            <w:tcW w:w="27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sz w:val="21"/>
                <w:szCs w:val="21"/>
                <w:u w:val="none"/>
                <w:lang w:val="en-US" w:eastAsia="zh-CN"/>
              </w:rPr>
              <w:t>18</w:t>
            </w:r>
          </w:p>
        </w:tc>
        <w:tc>
          <w:tcPr>
            <w:tcW w:w="256"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套</w:t>
            </w:r>
          </w:p>
        </w:tc>
        <w:tc>
          <w:tcPr>
            <w:tcW w:w="755"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25200</w:t>
            </w:r>
          </w:p>
        </w:tc>
        <w:tc>
          <w:tcPr>
            <w:tcW w:w="755" w:type="pct"/>
            <w:vAlign w:val="center"/>
          </w:tcPr>
          <w:p>
            <w:pPr>
              <w:jc w:val="center"/>
              <w:rPr>
                <w:b/>
                <w:bCs/>
                <w:color w:val="FF0000"/>
                <w:szCs w:val="21"/>
              </w:rPr>
            </w:pPr>
            <w:r>
              <w:rPr>
                <w:rFonts w:hint="eastAsia"/>
                <w:b/>
                <w:bCs/>
                <w:szCs w:val="21"/>
              </w:rPr>
              <w:t>拒绝进口</w:t>
            </w:r>
          </w:p>
        </w:tc>
        <w:tc>
          <w:tcPr>
            <w:tcW w:w="755" w:type="pct"/>
            <w:vAlign w:val="center"/>
          </w:tcPr>
          <w:p>
            <w:pPr>
              <w:jc w:val="center"/>
              <w:rPr>
                <w:rFonts w:hint="default" w:eastAsiaTheme="minorEastAsia"/>
                <w:b/>
                <w:bCs/>
                <w:color w:val="FF0000"/>
                <w:szCs w:val="21"/>
                <w:lang w:val="en-US" w:eastAsia="zh-CN"/>
              </w:rPr>
            </w:pPr>
            <w:r>
              <w:rPr>
                <w:rFonts w:hint="eastAsia"/>
                <w:b/>
                <w:bCs/>
                <w:color w:val="FF0000"/>
                <w:szCs w:val="21"/>
                <w:lang w:val="en-US" w:eastAsia="zh-CN"/>
              </w:rPr>
              <w:t>否</w:t>
            </w:r>
          </w:p>
        </w:tc>
        <w:tc>
          <w:tcPr>
            <w:tcW w:w="853"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0"/>
        </w:numPr>
        <w:ind w:firstLine="422" w:firstLineChars="200"/>
        <w:rPr>
          <w:rFonts w:hint="eastAsia" w:ascii="宋体" w:hAnsi="宋体"/>
          <w:b/>
          <w:color w:val="FF0000"/>
          <w:szCs w:val="21"/>
        </w:rPr>
      </w:pPr>
      <w:r>
        <w:rPr>
          <w:rFonts w:hint="eastAsia" w:ascii="宋体" w:hAnsi="宋体" w:eastAsiaTheme="minorEastAsia" w:cstheme="minorBidi"/>
          <w:b/>
          <w:color w:val="FF0000"/>
          <w:kern w:val="2"/>
          <w:sz w:val="21"/>
          <w:szCs w:val="21"/>
          <w:lang w:val="en-US" w:eastAsia="zh-CN" w:bidi="ar-SA"/>
        </w:rPr>
        <w:t>2、</w:t>
      </w: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0"/>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kern w:val="2"/>
          <w:sz w:val="21"/>
          <w:szCs w:val="21"/>
          <w:lang w:val="en-US" w:eastAsia="zh-CN" w:bidi="ar-SA"/>
        </w:rPr>
        <w:t>3、</w:t>
      </w: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0"/>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kern w:val="2"/>
          <w:sz w:val="21"/>
          <w:szCs w:val="21"/>
          <w:lang w:val="en-US" w:eastAsia="zh-CN" w:bidi="ar-SA"/>
        </w:rPr>
        <w:t>4、</w:t>
      </w: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bookmarkEnd w:id="37"/>
    <w:p>
      <w:pPr>
        <w:rPr>
          <w:rFonts w:ascii="宋体" w:hAnsi="宋体"/>
          <w:b/>
          <w:color w:val="FF0000"/>
          <w:szCs w:val="21"/>
        </w:rPr>
      </w:pPr>
    </w:p>
    <w:p>
      <w:pPr>
        <w:pStyle w:val="7"/>
      </w:pPr>
    </w:p>
    <w:p>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7"/>
      </w:pPr>
    </w:p>
    <w:p>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7"/>
        <w:tblW w:w="84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vAlign w:val="center"/>
          </w:tcPr>
          <w:p>
            <w:pPr>
              <w:jc w:val="center"/>
              <w:rPr>
                <w:color w:val="000000" w:themeColor="text1"/>
                <w:szCs w:val="21"/>
              </w:rPr>
            </w:pPr>
            <w:bookmarkStart w:id="41" w:name="_Hlk70236148"/>
            <w:r>
              <w:rPr>
                <w:color w:val="000000" w:themeColor="text1"/>
                <w:szCs w:val="21"/>
              </w:rPr>
              <w:t>序号</w:t>
            </w:r>
          </w:p>
        </w:tc>
        <w:tc>
          <w:tcPr>
            <w:tcW w:w="1134" w:type="dxa"/>
            <w:vAlign w:val="center"/>
          </w:tcPr>
          <w:p>
            <w:pPr>
              <w:widowControl/>
              <w:jc w:val="center"/>
              <w:rPr>
                <w:color w:val="000000" w:themeColor="text1"/>
                <w:szCs w:val="21"/>
              </w:rPr>
            </w:pPr>
            <w:r>
              <w:rPr>
                <w:color w:val="000000" w:themeColor="text1"/>
                <w:szCs w:val="21"/>
              </w:rPr>
              <w:t>货物名称</w:t>
            </w:r>
          </w:p>
        </w:tc>
        <w:tc>
          <w:tcPr>
            <w:tcW w:w="6485" w:type="dxa"/>
            <w:vAlign w:val="center"/>
          </w:tcPr>
          <w:p>
            <w:pPr>
              <w:jc w:val="center"/>
              <w:rPr>
                <w:color w:val="000000" w:themeColor="text1"/>
                <w:szCs w:val="21"/>
              </w:rPr>
            </w:pPr>
            <w:r>
              <w:rPr>
                <w:rFonts w:hint="eastAsia"/>
                <w:color w:val="000000" w:themeColor="text1"/>
                <w:szCs w:val="21"/>
              </w:rPr>
              <w:t>招标</w:t>
            </w:r>
            <w:r>
              <w:rPr>
                <w:color w:val="000000" w:themeColor="text1"/>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rFonts w:hint="eastAsia" w:eastAsiaTheme="minorEastAsia"/>
                <w:color w:val="000000" w:themeColor="text1"/>
                <w:szCs w:val="21"/>
                <w:lang w:val="en-US" w:eastAsia="zh-CN"/>
              </w:rPr>
            </w:pPr>
            <w:r>
              <w:rPr>
                <w:rFonts w:hint="eastAsia"/>
                <w:color w:val="000000" w:themeColor="text1"/>
                <w:szCs w:val="21"/>
                <w:lang w:val="en-US" w:eastAsia="zh-CN"/>
              </w:rPr>
              <w:t>1</w:t>
            </w:r>
          </w:p>
        </w:tc>
        <w:tc>
          <w:tcPr>
            <w:tcW w:w="1134" w:type="dxa"/>
            <w:vMerge w:val="restart"/>
            <w:vAlign w:val="center"/>
          </w:tcPr>
          <w:p>
            <w:pPr>
              <w:jc w:val="center"/>
              <w:rPr>
                <w:color w:val="000000" w:themeColor="text1"/>
                <w:szCs w:val="21"/>
              </w:rPr>
            </w:pPr>
            <w:r>
              <w:rPr>
                <w:rFonts w:hint="eastAsia" w:ascii="宋体" w:hAnsi="宋体" w:eastAsia="宋体" w:cs="宋体"/>
                <w:i w:val="0"/>
                <w:iCs w:val="0"/>
                <w:color w:val="000000"/>
                <w:sz w:val="21"/>
                <w:szCs w:val="21"/>
                <w:u w:val="none"/>
                <w:lang w:val="en-US" w:eastAsia="zh-CN"/>
              </w:rPr>
              <w:t>触控一体机</w:t>
            </w:r>
          </w:p>
        </w:tc>
        <w:tc>
          <w:tcPr>
            <w:tcW w:w="6485" w:type="dxa"/>
            <w:vAlign w:val="center"/>
          </w:tcPr>
          <w:p>
            <w:pPr>
              <w:keepNext w:val="0"/>
              <w:keepLines w:val="0"/>
              <w:widowControl/>
              <w:suppressLineNumbers w:val="0"/>
              <w:jc w:val="left"/>
              <w:textAlignment w:val="center"/>
              <w:rPr>
                <w:color w:val="000000" w:themeColor="text1"/>
                <w:szCs w:val="21"/>
              </w:rPr>
            </w:pPr>
            <w:r>
              <w:rPr>
                <w:rStyle w:val="38"/>
                <w:b/>
                <w:bCs/>
                <w:lang w:val="en-US" w:eastAsia="zh-CN" w:bidi="ar"/>
              </w:rPr>
              <w:t>一、整体设计：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b w:val="0"/>
                <w:bCs w:val="0"/>
                <w:color w:val="000000" w:themeColor="text1"/>
                <w:szCs w:val="21"/>
              </w:rPr>
            </w:pPr>
            <w:r>
              <w:rPr>
                <w:rStyle w:val="38"/>
                <w:b w:val="0"/>
                <w:bCs w:val="0"/>
                <w:lang w:val="en-US" w:eastAsia="zh-CN" w:bidi="ar"/>
              </w:rPr>
              <w:t>1.</w:t>
            </w:r>
            <w:r>
              <w:rPr>
                <w:rStyle w:val="38"/>
                <w:rFonts w:hint="eastAsia"/>
                <w:b w:val="0"/>
                <w:bCs w:val="0"/>
                <w:lang w:val="en-US" w:eastAsia="zh-CN" w:bidi="ar"/>
              </w:rPr>
              <w:t>整机采用一体设计，外部无任何可见内部功能模块连接线。整机采用全金属外壳设计，边角采用弧形设计，表面无尖锐边缘或凸起。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b w:val="0"/>
                <w:bCs w:val="0"/>
                <w:lang w:val="en-US" w:eastAsia="zh-CN"/>
              </w:rPr>
            </w:pPr>
            <w:r>
              <w:rPr>
                <w:rStyle w:val="38"/>
                <w:b w:val="0"/>
                <w:bCs w:val="0"/>
                <w:lang w:val="en-US" w:eastAsia="zh-CN" w:bidi="ar"/>
              </w:rPr>
              <w:t>2.</w:t>
            </w:r>
            <w:r>
              <w:rPr>
                <w:rStyle w:val="38"/>
                <w:rFonts w:hint="eastAsia"/>
                <w:b w:val="0"/>
                <w:bCs w:val="0"/>
                <w:lang w:val="en-US" w:eastAsia="zh-CN" w:bidi="ar"/>
              </w:rPr>
              <w:t>整机屏幕采用86英寸液晶显示器。采用超高清LED液晶显示屏，显示比例16:9，分辨率3840×2160。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b w:val="0"/>
                <w:bCs w:val="0"/>
                <w:color w:val="000000" w:themeColor="text1"/>
                <w:szCs w:val="21"/>
              </w:rPr>
            </w:pPr>
            <w:r>
              <w:rPr>
                <w:rFonts w:hint="eastAsia" w:ascii="宋体" w:hAnsi="宋体" w:eastAsia="宋体" w:cs="宋体"/>
                <w:b w:val="0"/>
                <w:bCs w:val="0"/>
                <w:color w:val="000000" w:themeColor="text1"/>
                <w:szCs w:val="21"/>
                <w:lang w:val="en-US" w:eastAsia="zh-CN"/>
              </w:rPr>
              <w:t>3.</w:t>
            </w:r>
            <w:r>
              <w:rPr>
                <w:rFonts w:hint="eastAsia"/>
                <w:b w:val="0"/>
                <w:bCs w:val="0"/>
                <w:color w:val="000000" w:themeColor="text1"/>
                <w:szCs w:val="21"/>
              </w:rPr>
              <w:t>整机屏幕边缘采用金属圆角包边防护，整机背板采用金属材质，有效屏蔽内部电路器件辐射；防潮耐盐雾蚀锈，适应多种教学环境。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b w:val="0"/>
                <w:bCs w:val="0"/>
                <w:color w:val="000000" w:themeColor="text1"/>
                <w:szCs w:val="21"/>
              </w:rPr>
            </w:pPr>
            <w:r>
              <w:rPr>
                <w:rStyle w:val="38"/>
                <w:b w:val="0"/>
                <w:bCs w:val="0"/>
                <w:lang w:val="en-US" w:eastAsia="zh-CN" w:bidi="ar"/>
              </w:rPr>
              <w:t>4.</w:t>
            </w:r>
            <w:r>
              <w:rPr>
                <w:rStyle w:val="38"/>
                <w:rFonts w:hint="eastAsia"/>
                <w:b w:val="0"/>
                <w:bCs w:val="0"/>
                <w:lang w:val="en-US" w:eastAsia="zh-CN" w:bidi="ar"/>
              </w:rPr>
              <w:t>采用红外触控技术，支持Windows系统中进行40点或以上触控，支持在Android系统中进行40点或以上触控。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1"/>
                <w:szCs w:val="21"/>
                <w:u w:val="none"/>
                <w:lang w:val="en-US" w:eastAsia="zh-CN" w:bidi="ar"/>
              </w:rPr>
              <w:t>5.整机触控书写功能集成预测算法，在书写速度≥50cm/s，支持笔迹距离笔的距离小于20mm。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b/>
                <w:bCs/>
                <w:color w:val="000000" w:themeColor="text1"/>
                <w:szCs w:val="21"/>
              </w:rPr>
            </w:pPr>
            <w:r>
              <w:rPr>
                <w:rStyle w:val="38"/>
                <w:lang w:val="en-US" w:eastAsia="zh-CN" w:bidi="ar"/>
              </w:rPr>
              <w:t>6.</w:t>
            </w:r>
            <w:r>
              <w:rPr>
                <w:rStyle w:val="38"/>
                <w:rFonts w:hint="eastAsia"/>
                <w:lang w:val="en-US" w:eastAsia="zh-CN" w:bidi="ar"/>
              </w:rPr>
              <w:t>▲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r>
              <w:rPr>
                <w:rStyle w:val="38"/>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b/>
                <w:bCs/>
                <w:lang w:val="en-US" w:eastAsia="zh-CN" w:bidi="ar"/>
              </w:rPr>
              <w:t>二、护眼要求：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Fonts w:hint="eastAsia" w:ascii="宋体" w:hAnsi="宋体" w:eastAsia="宋体" w:cs="宋体"/>
                <w:color w:val="000000" w:themeColor="text1"/>
                <w:szCs w:val="21"/>
                <w:lang w:val="en-US" w:eastAsia="zh-CN"/>
              </w:rPr>
              <w:t>7.</w:t>
            </w:r>
            <w:r>
              <w:rPr>
                <w:rFonts w:hint="default"/>
                <w:color w:val="000000" w:themeColor="text1"/>
                <w:szCs w:val="21"/>
                <w:lang w:val="en-US" w:eastAsia="zh-CN"/>
              </w:rPr>
              <w:t>整机采用硬件低蓝光背光技术，在源头减少有害蓝光波段能量，蓝光占比（有害蓝光415～455nm能量综合）/（整体蓝光400～500能量综合）＜50%，低蓝光保护显示不偏色、不泛黄。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8.</w:t>
            </w:r>
            <w:r>
              <w:rPr>
                <w:rStyle w:val="38"/>
                <w:rFonts w:hint="eastAsia"/>
                <w:b w:val="0"/>
                <w:bCs w:val="0"/>
                <w:lang w:val="en-US" w:eastAsia="zh-CN" w:bidi="ar"/>
              </w:rPr>
              <w:t>整机视网膜蓝光危害（蓝光加权辐射亮度LB）满足IEC TR 62778:2014蓝光危害RG0级别。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9.</w:t>
            </w:r>
            <w:r>
              <w:rPr>
                <w:rStyle w:val="38"/>
                <w:rFonts w:hint="eastAsia"/>
                <w:b w:val="0"/>
                <w:bCs w:val="0"/>
                <w:lang w:val="en-US" w:eastAsia="zh-CN" w:bidi="ar"/>
              </w:rPr>
              <w:t>纸质护眼模式下，显示画面各像素点灰度不规则，减少背景干扰。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整机支持色彩空间可选，包含标准模式和sRGB模式，在sRGB模式下可做到高色准△E≤1。整机全通道支持纸质护眼模式，可实现画面纹理的实时调整；支持纸质纹理：牛皮纸、素描纸、宣纸、水彩纸、水纹纸；支持透明度调节；支持色温调节。</w:t>
            </w:r>
            <w:r>
              <w:rPr>
                <w:rStyle w:val="38"/>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b w:val="0"/>
                <w:bCs w:val="0"/>
                <w:lang w:val="en-US" w:eastAsia="zh-CN" w:bidi="ar"/>
              </w:rPr>
              <w:t>11.</w:t>
            </w:r>
            <w:r>
              <w:rPr>
                <w:rStyle w:val="38"/>
                <w:rFonts w:hint="eastAsia"/>
                <w:b w:val="0"/>
                <w:bCs w:val="0"/>
                <w:lang w:val="en-US" w:eastAsia="zh-CN" w:bidi="ar"/>
              </w:rPr>
              <w:t>整机背光系统支持DC调光方式，多级亮度调节，支持白颜色背景下最暗亮度≤100nit，用于提升显示对比度。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b/>
                <w:bCs/>
                <w:lang w:val="en-US" w:eastAsia="zh-CN" w:bidi="ar"/>
              </w:rPr>
              <w:t>三、音效与麦克风要求：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b w:val="0"/>
                <w:bCs w:val="0"/>
                <w:lang w:val="en-US" w:eastAsia="zh-CN" w:bidi="ar"/>
              </w:rPr>
              <w:t>1</w:t>
            </w:r>
            <w:r>
              <w:rPr>
                <w:rStyle w:val="38"/>
                <w:rFonts w:hint="eastAsia"/>
                <w:b w:val="0"/>
                <w:bCs w:val="0"/>
                <w:lang w:val="en-US" w:eastAsia="zh-CN" w:bidi="ar"/>
              </w:rPr>
              <w:t>2</w:t>
            </w:r>
            <w:r>
              <w:rPr>
                <w:rStyle w:val="38"/>
                <w:b w:val="0"/>
                <w:bCs w:val="0"/>
                <w:lang w:val="en-US" w:eastAsia="zh-CN" w:bidi="ar"/>
              </w:rPr>
              <w:t>.内</w:t>
            </w:r>
            <w:r>
              <w:rPr>
                <w:rFonts w:hint="eastAsia" w:ascii="宋体" w:hAnsi="宋体"/>
                <w:b w:val="0"/>
                <w:bCs/>
                <w:sz w:val="21"/>
                <w:szCs w:val="21"/>
                <w:vertAlign w:val="baseline"/>
                <w:lang w:val="en-US" w:eastAsia="zh-CN"/>
              </w:rPr>
              <w:t>置摄像头、麦克风无需外接线材连接，无任何可见外接线材及模块化拼接痕迹，未占用整机设备端口。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Style w:val="38"/>
                <w:lang w:val="en-US" w:eastAsia="zh-CN" w:bidi="ar"/>
              </w:rPr>
            </w:pPr>
            <w:r>
              <w:rPr>
                <w:rStyle w:val="38"/>
                <w:rFonts w:hint="eastAsia"/>
                <w:lang w:val="en-US" w:eastAsia="zh-CN" w:bidi="ar"/>
              </w:rPr>
              <w:t>13.▲整机侧边栏内置朗读工具，通过整机麦克风监测教室中学生的朗读情况，并以游戏化界面反馈学生朗读音量大小。</w:t>
            </w:r>
            <w:r>
              <w:rPr>
                <w:rStyle w:val="38"/>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4</w:t>
            </w:r>
            <w:r>
              <w:rPr>
                <w:rStyle w:val="38"/>
                <w:lang w:val="en-US" w:eastAsia="zh-CN" w:bidi="ar"/>
              </w:rPr>
              <w:t>.</w:t>
            </w:r>
            <w:r>
              <w:rPr>
                <w:rStyle w:val="38"/>
                <w:rFonts w:hint="eastAsia"/>
                <w:lang w:val="en-US" w:eastAsia="zh-CN" w:bidi="ar"/>
              </w:rPr>
              <w:t>▲整机内置2.2声道扬声器，位于设备上边框，顶置朝前发声，前朝向10W高音扬声器2个，上朝向20W中低音扬声器2个，额定总功率60W。</w:t>
            </w:r>
            <w:r>
              <w:rPr>
                <w:rStyle w:val="38"/>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1</w:t>
            </w:r>
            <w:r>
              <w:rPr>
                <w:rStyle w:val="38"/>
                <w:rFonts w:hint="eastAsia"/>
                <w:b w:val="0"/>
                <w:bCs w:val="0"/>
                <w:lang w:val="en-US" w:eastAsia="zh-CN" w:bidi="ar"/>
              </w:rPr>
              <w:t>5</w:t>
            </w:r>
            <w:r>
              <w:rPr>
                <w:rStyle w:val="38"/>
                <w:b w:val="0"/>
                <w:bCs w:val="0"/>
                <w:lang w:val="en-US" w:eastAsia="zh-CN" w:bidi="ar"/>
              </w:rPr>
              <w:t>.整机内置非独立外扩展的8阵列麦克风，拾音角度≥180°，可用于对教室环境音频进行采集，拾音距离≥12m。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1</w:t>
            </w:r>
            <w:r>
              <w:rPr>
                <w:rStyle w:val="38"/>
                <w:rFonts w:hint="eastAsia"/>
                <w:b w:val="0"/>
                <w:bCs w:val="0"/>
                <w:lang w:val="en-US" w:eastAsia="zh-CN" w:bidi="ar"/>
              </w:rPr>
              <w:t>6</w:t>
            </w:r>
            <w:r>
              <w:rPr>
                <w:rStyle w:val="38"/>
                <w:b w:val="0"/>
                <w:bCs w:val="0"/>
                <w:lang w:val="en-US" w:eastAsia="zh-CN" w:bidi="ar"/>
              </w:rPr>
              <w:t>.整机可选择高级音效设置，支持在左右声道平衡显示范围中进行更改；中低频段显示调节范围125Hz～1KHz，高频段显示调节范围 2KHz～16KHz，分贝显示-12dB～12dB 调节范围。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b/>
                <w:bCs/>
                <w:lang w:val="en-US" w:eastAsia="zh-CN" w:bidi="ar"/>
              </w:rPr>
              <w:t>四、主要功能要求：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Style w:val="38"/>
                <w:b/>
                <w:bCs/>
                <w:lang w:val="en-US" w:eastAsia="zh-CN" w:bidi="ar"/>
              </w:rPr>
            </w:pPr>
            <w:r>
              <w:rPr>
                <w:rStyle w:val="38"/>
                <w:rFonts w:hint="eastAsia"/>
                <w:b/>
                <w:bCs/>
                <w:lang w:val="en-US" w:eastAsia="zh-CN" w:bidi="ar"/>
              </w:rPr>
              <w:t>17.▲整机侧边栏内置自习工具，通过整机麦克风监测教室中学生音量大小，当学生音量大于阈值时，屏幕自动弹窗提醒进行自习纪律干预。</w:t>
            </w:r>
            <w:r>
              <w:rPr>
                <w:rStyle w:val="38"/>
                <w:rFonts w:hint="eastAsia"/>
                <w:b/>
                <w:bCs/>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18.</w:t>
            </w:r>
            <w:r>
              <w:rPr>
                <w:rStyle w:val="38"/>
                <w:rFonts w:hint="eastAsia"/>
                <w:lang w:val="en-US" w:eastAsia="zh-CN" w:bidi="ar"/>
              </w:rPr>
              <w:t>▲整机支持在无任何外部设备的情况下，实时录制用户朗读内容，识别用户声纹并进行统一身份登录，登录后自动获取个人云端教学课件列表，打开教学白板软件时可跳过软件自带登录步骤。</w:t>
            </w:r>
            <w:r>
              <w:rPr>
                <w:rStyle w:val="38"/>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19.整机内置双WiFi6无线网卡（不接受外接），在Android和Windows系统下，可实现Wi-Fi无线上网连接、AP无线热点发射。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20.整机支持蓝牙Bluetooth 5.4标准；Wi-Fi和AP热点工作距离≥12m。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21.</w:t>
            </w:r>
            <w:r>
              <w:rPr>
                <w:rStyle w:val="38"/>
                <w:rFonts w:hint="eastAsia"/>
                <w:lang w:val="en-US" w:eastAsia="zh-CN" w:bidi="ar"/>
              </w:rPr>
              <w:t>▲整机Windows通道支持文件传输应用，支持通过扫码、wifi直联、超声三种方式与手机进行握手连接，实现文件传输功能。</w:t>
            </w:r>
            <w:r>
              <w:rPr>
                <w:rStyle w:val="38"/>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b w:val="0"/>
                <w:bCs w:val="0"/>
                <w:lang w:val="en-US" w:eastAsia="zh-CN" w:bidi="ar"/>
              </w:rPr>
              <w:t>22.整机内置传屏接收模块，整机不需要连接任何附加设备，可实现外部电脑、手机等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等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23.</w:t>
            </w:r>
            <w:r>
              <w:rPr>
                <w:rStyle w:val="38"/>
                <w:rFonts w:hint="eastAsia"/>
                <w:lang w:val="en-US" w:eastAsia="zh-CN" w:bidi="ar"/>
              </w:rPr>
              <w:t>▲整机上边框内置非独立式摄像头，采用一体化集成设计，摄像头数量≥4个。整机上边框内置非独立式广角高清摄像头，视场角≥142度且水平视场角≥121度，支持输出4:3、16:9比例的图片和视频；在清晰度为2592 x 1944分辨率下，支持30帧的视频输出。</w:t>
            </w:r>
            <w:r>
              <w:rPr>
                <w:rStyle w:val="38"/>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24.整机</w:t>
            </w:r>
            <w:r>
              <w:rPr>
                <w:rFonts w:hint="eastAsia" w:ascii="宋体" w:hAnsi="宋体"/>
                <w:b w:val="0"/>
                <w:bCs w:val="0"/>
                <w:sz w:val="21"/>
                <w:szCs w:val="21"/>
                <w:vertAlign w:val="baseline"/>
                <w:lang w:val="en-US" w:eastAsia="zh-CN"/>
              </w:rPr>
              <w:t>上边框内置非独立式摄像头，视场角≥141度且水平视场角≥139度，可拍摄≥1600万像素的照片，支持输出8192×2048分辨率的照片和视频，支持画面畸变矫正功能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25.整机</w:t>
            </w:r>
            <w:r>
              <w:rPr>
                <w:rStyle w:val="38"/>
                <w:rFonts w:hint="eastAsia"/>
                <w:b w:val="0"/>
                <w:bCs w:val="0"/>
                <w:lang w:val="en-US" w:eastAsia="zh-CN" w:bidi="ar"/>
              </w:rPr>
              <w:t>全通道侧边栏快捷菜单包含如下小工具：批注、降半屏、截屏、放大镜、倒计时、日历、聚光灯、秒表、冻屏、倒数日、答题、节拍器。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2</w:t>
            </w:r>
            <w:r>
              <w:rPr>
                <w:rStyle w:val="38"/>
                <w:rFonts w:hint="eastAsia"/>
                <w:b w:val="0"/>
                <w:bCs w:val="0"/>
                <w:lang w:val="en-US" w:eastAsia="zh-CN" w:bidi="ar"/>
              </w:rPr>
              <w:t>6</w:t>
            </w:r>
            <w:r>
              <w:rPr>
                <w:rStyle w:val="38"/>
                <w:b w:val="0"/>
                <w:bCs w:val="0"/>
                <w:lang w:val="en-US" w:eastAsia="zh-CN" w:bidi="ar"/>
              </w:rPr>
              <w:t>.整机支持上边框内置非独立摄像头模组，同时输出至少 3 路视频流，同时支持课堂远程巡课、课堂教学数据采集、本地画面预览（拍照或视频录制）。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b/>
                <w:bCs/>
                <w:lang w:val="en-US" w:eastAsia="zh-CN" w:bidi="ar"/>
              </w:rPr>
              <w:t>五、内置电脑要求：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2</w:t>
            </w:r>
            <w:r>
              <w:rPr>
                <w:rStyle w:val="38"/>
                <w:rFonts w:hint="eastAsia"/>
                <w:b w:val="0"/>
                <w:bCs w:val="0"/>
                <w:lang w:val="en-US" w:eastAsia="zh-CN" w:bidi="ar"/>
              </w:rPr>
              <w:t>7</w:t>
            </w:r>
            <w:r>
              <w:rPr>
                <w:rStyle w:val="38"/>
                <w:b w:val="0"/>
                <w:bCs w:val="0"/>
                <w:lang w:val="en-US" w:eastAsia="zh-CN" w:bidi="ar"/>
              </w:rPr>
              <w:t>.搭载</w:t>
            </w:r>
            <w:r>
              <w:rPr>
                <w:rStyle w:val="38"/>
                <w:rFonts w:hint="eastAsia"/>
                <w:b w:val="0"/>
                <w:bCs w:val="0"/>
                <w:lang w:val="en-US" w:eastAsia="zh-CN" w:bidi="ar"/>
              </w:rPr>
              <w:t>四核</w:t>
            </w:r>
            <w:r>
              <w:rPr>
                <w:rStyle w:val="38"/>
                <w:b w:val="0"/>
                <w:bCs w:val="0"/>
                <w:lang w:val="en-US" w:eastAsia="zh-CN" w:bidi="ar"/>
              </w:rPr>
              <w:t>或以上性能CPU；内存：8GB DDR4笔记本内存或以上配置；硬盘：256 GB或以上SSD固态硬盘；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rFonts w:hint="eastAsia"/>
                <w:b w:val="0"/>
                <w:bCs w:val="0"/>
                <w:lang w:val="en-US" w:eastAsia="zh-CN" w:bidi="ar"/>
              </w:rPr>
              <w:t>28</w:t>
            </w:r>
            <w:r>
              <w:rPr>
                <w:rStyle w:val="38"/>
                <w:b w:val="0"/>
                <w:bCs w:val="0"/>
                <w:lang w:val="en-US" w:eastAsia="zh-CN" w:bidi="ar"/>
              </w:rPr>
              <w:t>.和整机的连接采用万兆级接口，传输速率≥10Gbps。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rFonts w:hint="eastAsia"/>
                <w:b w:val="0"/>
                <w:bCs w:val="0"/>
                <w:lang w:val="en-US" w:eastAsia="zh-CN" w:bidi="ar"/>
              </w:rPr>
              <w:t>29</w:t>
            </w:r>
            <w:r>
              <w:rPr>
                <w:rStyle w:val="38"/>
                <w:b w:val="0"/>
                <w:bCs w:val="0"/>
                <w:lang w:val="en-US" w:eastAsia="zh-CN" w:bidi="ar"/>
              </w:rPr>
              <w:t>.采用按压式卡扣，无需工具就可快速拆卸电脑模块。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六、教学白板软件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3</w:t>
            </w:r>
            <w:r>
              <w:rPr>
                <w:rStyle w:val="38"/>
                <w:rFonts w:hint="eastAsia"/>
                <w:b w:val="0"/>
                <w:bCs w:val="0"/>
                <w:lang w:val="en-US" w:eastAsia="zh-CN" w:bidi="ar"/>
              </w:rPr>
              <w:t>0</w:t>
            </w:r>
            <w:r>
              <w:rPr>
                <w:rStyle w:val="38"/>
                <w:b w:val="0"/>
                <w:bCs w:val="0"/>
                <w:lang w:val="en-US" w:eastAsia="zh-CN" w:bidi="ar"/>
              </w:rPr>
              <w:t>.互动教学软件能够帮助教师备课、授课；为教师提供可扩展，易于学校管理，安全可靠的云存储空间，根据每名教师使用时长与教学资料制作频率提供可扩展升级至不小于200G的个人云空间。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3</w:t>
            </w:r>
            <w:r>
              <w:rPr>
                <w:rStyle w:val="38"/>
                <w:rFonts w:hint="eastAsia"/>
                <w:b w:val="0"/>
                <w:bCs w:val="0"/>
                <w:lang w:val="en-US" w:eastAsia="zh-CN" w:bidi="ar"/>
              </w:rPr>
              <w:t>1</w:t>
            </w:r>
            <w:r>
              <w:rPr>
                <w:rStyle w:val="38"/>
                <w:b w:val="0"/>
                <w:bCs w:val="0"/>
                <w:lang w:val="en-US" w:eastAsia="zh-CN" w:bidi="ar"/>
              </w:rPr>
              <w:t>.互动教学软件要求为使用方全体教师配备个人账号，形成一体的信息化教学账号体系；根据教师账号信息将教师云空间匹配至对应学校、学科校本资源库。支持通过数字账号、微信二维码、硬件密钥方式登录教师个人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3</w:t>
            </w:r>
            <w:r>
              <w:rPr>
                <w:rStyle w:val="38"/>
                <w:rFonts w:hint="eastAsia"/>
                <w:b w:val="0"/>
                <w:bCs w:val="0"/>
                <w:lang w:val="en-US" w:eastAsia="zh-CN" w:bidi="ar"/>
              </w:rPr>
              <w:t>2</w:t>
            </w:r>
            <w:r>
              <w:rPr>
                <w:rStyle w:val="38"/>
                <w:b w:val="0"/>
                <w:bCs w:val="0"/>
                <w:lang w:val="en-US" w:eastAsia="zh-CN" w:bidi="ar"/>
              </w:rPr>
              <w:t>.互动教学课件支持开放式云分享：分享者可将互动课件、课件组以公开或加密的web链接和二维码形式进行分享，分享链接可设置访问有效期。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3</w:t>
            </w:r>
            <w:r>
              <w:rPr>
                <w:rStyle w:val="38"/>
                <w:rFonts w:hint="eastAsia"/>
                <w:b w:val="0"/>
                <w:bCs w:val="0"/>
                <w:lang w:val="en-US" w:eastAsia="zh-CN" w:bidi="ar"/>
              </w:rPr>
              <w:t>3</w:t>
            </w:r>
            <w:r>
              <w:rPr>
                <w:rStyle w:val="38"/>
                <w:b w:val="0"/>
                <w:bCs w:val="0"/>
                <w:lang w:val="en-US" w:eastAsia="zh-CN" w:bidi="ar"/>
              </w:rPr>
              <w:t>.互动教学软件为教师备课节省大量时间，立体几何工具：可自由绘制长方体、立方体、圆柱体、圆锥等立体几何图形。任意调节几何体的大小尺寸，支持几何图形按比例放大缩小和通过单独调整长宽高（半径/高）改变几何体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rFonts w:hint="eastAsia"/>
                <w:b w:val="0"/>
                <w:bCs w:val="0"/>
                <w:lang w:val="en-US" w:eastAsia="zh-CN" w:bidi="ar"/>
              </w:rPr>
              <w:t>34</w:t>
            </w:r>
            <w:r>
              <w:rPr>
                <w:rStyle w:val="38"/>
                <w:b w:val="0"/>
                <w:bCs w:val="0"/>
                <w:lang w:val="en-US" w:eastAsia="zh-CN" w:bidi="ar"/>
              </w:rPr>
              <w:t>.互动教学软件为教师备课节省大量时间，支持中英文、数学公式的编辑输入，可快速输入方程组、脱式运算，提供不少于70个数学符号及模板；预置不少于40个常用数学公式，无需编辑一键插入，输入内容可用不同颜色标记及重复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3</w:t>
            </w:r>
            <w:r>
              <w:rPr>
                <w:rStyle w:val="38"/>
                <w:rFonts w:hint="eastAsia"/>
                <w:b w:val="0"/>
                <w:bCs w:val="0"/>
                <w:lang w:val="en-US" w:eastAsia="zh-CN" w:bidi="ar"/>
              </w:rPr>
              <w:t>5</w:t>
            </w:r>
            <w:r>
              <w:rPr>
                <w:rStyle w:val="38"/>
                <w:b w:val="0"/>
                <w:bCs w:val="0"/>
                <w:lang w:val="en-US" w:eastAsia="zh-CN" w:bidi="ar"/>
              </w:rPr>
              <w:t>.互动教学软件要求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rFonts w:hint="eastAsia"/>
                <w:b w:val="0"/>
                <w:bCs w:val="0"/>
                <w:lang w:val="en-US" w:eastAsia="zh-CN" w:bidi="ar"/>
              </w:rPr>
              <w:t>36</w:t>
            </w:r>
            <w:r>
              <w:rPr>
                <w:rStyle w:val="38"/>
                <w:b w:val="0"/>
                <w:bCs w:val="0"/>
                <w:lang w:val="en-US" w:eastAsia="zh-CN" w:bidi="ar"/>
              </w:rPr>
              <w:t>.互动教学软件需要提供覆盖初中、高中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备课时可对原文进行注释、标重点等操作；提供原文朗读音频，全部诗词、古文均配备专业朗读配音，朗读音频支持关键帧打点标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rFonts w:hint="eastAsia"/>
                <w:b w:val="0"/>
                <w:bCs w:val="0"/>
                <w:lang w:val="en-US" w:eastAsia="zh-CN" w:bidi="ar"/>
              </w:rPr>
              <w:t>37</w:t>
            </w:r>
            <w:r>
              <w:rPr>
                <w:rStyle w:val="38"/>
                <w:b w:val="0"/>
                <w:bCs w:val="0"/>
                <w:lang w:val="en-US" w:eastAsia="zh-CN" w:bidi="ar"/>
              </w:rPr>
              <w:t>.多学科课件库：提供涵盖小学语文、数学、英语全部教学章节的不少于80000份的交互式课件。课件支持直接预览并下载，预览时支持拖动课堂活动、形状、几何、文本等元素；下载时课件可同步至教师个人云课件存储空间；课件支持教师在线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b/>
                <w:bCs/>
                <w:lang w:val="en-US" w:eastAsia="zh-CN" w:bidi="ar"/>
              </w:rPr>
              <w:t>六、</w:t>
            </w:r>
            <w:r>
              <w:rPr>
                <w:rStyle w:val="38"/>
                <w:b/>
                <w:bCs/>
                <w:lang w:val="en-US" w:eastAsia="zh-CN" w:bidi="ar"/>
              </w:rPr>
              <w:t>设备集中控制管理软件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Fonts w:hint="eastAsia" w:ascii="宋体" w:hAnsi="宋体" w:cs="宋体"/>
                <w:color w:val="000000" w:themeColor="text1"/>
                <w:szCs w:val="21"/>
                <w:lang w:val="en-US" w:eastAsia="zh-CN"/>
              </w:rPr>
              <w:t>38</w:t>
            </w:r>
            <w:r>
              <w:rPr>
                <w:rFonts w:hint="eastAsia" w:ascii="宋体" w:hAnsi="宋体" w:eastAsia="宋体" w:cs="宋体"/>
                <w:color w:val="000000" w:themeColor="text1"/>
                <w:szCs w:val="21"/>
                <w:lang w:val="en-US" w:eastAsia="zh-CN"/>
              </w:rPr>
              <w:t>.</w:t>
            </w:r>
            <w:r>
              <w:rPr>
                <w:rFonts w:hint="default"/>
                <w:color w:val="000000" w:themeColor="text1"/>
                <w:szCs w:val="21"/>
                <w:lang w:val="en-US" w:eastAsia="zh-CN"/>
              </w:rPr>
              <w:t>设计架构：系统采用模块化的架构设计B/S架构，通过浏览器打开并用微信扫码登录、账号密码登录和微信授权登录完成鉴权，即可使用数字校园产品的各项功能模块。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39.▲工作台配置：针对不同的客户诉求，提供个性化工作台自定义功能，在工作台配置页面，可通过拖拉拽可视化配置组件的方式，完成个性化工作台的配置；工作台可配置组件数量不小于30个；支持给每个工作台配置不同的使用角色，默认预设全员工作台和分别仅电教主任，德育主任，教研主任查看的工作台，对应的角色才能看到对应的工作台；同时工作台支持启用和停用管理。</w:t>
            </w:r>
            <w:r>
              <w:rPr>
                <w:rStyle w:val="38"/>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40.▲专属工作台：支持设置显隐组件来定制专属工作台。支持通过设备总览组件快捷查看学校所有设备实时状态及达标情况。支持通过设备巡视组件实时了解教室和设备的情况。支持通过设备使用情况组件了解设备活跃分布及长时间未使用的设备情况，设置智能策略来对设备进行管控；支持通过软件使用情况组件掌握学校教师常用的教学软件，快速拦截风险应用；支持通过老师使用情况了解教师对信息化设备的使用率；支持通过网站访问情况了解设备上使用的常用网址，并可快速设置黑名单来禁止设备上的违规访问行为。</w:t>
            </w:r>
            <w:r>
              <w:rPr>
                <w:rStyle w:val="38"/>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rFonts w:hint="eastAsia"/>
                <w:b w:val="0"/>
                <w:bCs w:val="0"/>
                <w:lang w:val="en-US" w:eastAsia="zh-CN" w:bidi="ar"/>
              </w:rPr>
              <w:t>41.远程巡课：支持管理者开启远程巡课服务，开启/关闭远程巡课的管控功能；拥有远程巡课权限的老师可在移动端或PC客户端实时巡班，并进行基础远程管控。支持管理者为普通老师直接分配、普通老师自行申请后由管理者在平台审核开通的2种方式管理远程巡课的班级权限，所有权限调整均配备操作日志；支持通过教师、设备维度查看拥有远程巡课的权限明细，并支持快速调整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rFonts w:hint="eastAsia"/>
                <w:b w:val="0"/>
                <w:bCs w:val="0"/>
                <w:lang w:val="en-US" w:eastAsia="zh-CN" w:bidi="ar"/>
              </w:rPr>
              <w:t>42.点播巡视：支持根据班级课程表，自动获取正在上课或者即将上课的科目、老师列表，快速定位老师所在教室，实时远程听课；支持听课过程中针对本节课的教学过程进行评价，支持创建和使用多个评课表，并将评价记录于巡视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w:t>
            </w:r>
            <w:r>
              <w:rPr>
                <w:rStyle w:val="38"/>
                <w:rFonts w:hint="eastAsia"/>
                <w:lang w:val="en-US" w:eastAsia="zh-CN" w:bidi="ar"/>
              </w:rPr>
              <w:t>3</w:t>
            </w:r>
            <w:r>
              <w:rPr>
                <w:rStyle w:val="38"/>
                <w:lang w:val="en-US" w:eastAsia="zh-CN" w:bidi="ar"/>
              </w:rPr>
              <w:t>.</w:t>
            </w:r>
            <w:r>
              <w:rPr>
                <w:rFonts w:hint="default" w:ascii="宋体" w:hAnsi="宋体"/>
                <w:b w:val="0"/>
                <w:bCs/>
                <w:sz w:val="21"/>
                <w:szCs w:val="21"/>
                <w:vertAlign w:val="baseline"/>
                <w:lang w:val="en-US" w:eastAsia="zh-CN"/>
              </w:rPr>
              <w:t>▲</w:t>
            </w:r>
            <w:r>
              <w:rPr>
                <w:rFonts w:hint="default" w:ascii="宋体" w:hAnsi="宋体"/>
                <w:b/>
                <w:bCs w:val="0"/>
                <w:sz w:val="21"/>
                <w:szCs w:val="21"/>
                <w:vertAlign w:val="baseline"/>
                <w:lang w:val="en-US" w:eastAsia="zh-CN"/>
              </w:rPr>
              <w:t>AI画面监测：支持AI自动监测设备画面色情、恐怖、暴力、游戏等风险内容或元素；支持设置警告内容，当监测到不良画面后自动提醒；支持将每天监测到的风险结果自动推送至公众号提醒管理；支持按设备、按画面维度回溯历史监测到的不良画面信息。</w:t>
            </w:r>
            <w:r>
              <w:rPr>
                <w:rFonts w:hint="eastAsia" w:ascii="宋体" w:hAnsi="宋体"/>
                <w:b/>
                <w:bCs w:val="0"/>
                <w:sz w:val="21"/>
                <w:szCs w:val="21"/>
                <w:highlight w:val="yellow"/>
                <w:vertAlign w:val="baseline"/>
                <w:lang w:val="en-US" w:eastAsia="zh-CN"/>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b w:val="0"/>
                <w:bCs w:val="0"/>
                <w:lang w:val="en-US" w:eastAsia="zh-CN" w:bidi="ar"/>
              </w:rPr>
              <w:t>44.多场景锁屏：支持一键下课锁屏、开机自动锁屏、无网络时验证身份解锁、联网时禁用密码解锁；支持下课锁屏，在班班通设备上点击“下课”按钮即可锁屏；支持开机自动锁屏，可设置生效时间和生效设备；支持无网络情况下，通过手机微信扫码，验证身份后获取密码进行解锁使用。支持设置屏幕锁壁纸；支持设置普通锁屏、极速锁屏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Style w:val="38"/>
                <w:rFonts w:hint="eastAsia"/>
                <w:b w:val="0"/>
                <w:bCs w:val="0"/>
                <w:lang w:val="en-US" w:eastAsia="zh-CN" w:bidi="ar"/>
              </w:rPr>
            </w:pPr>
            <w:r>
              <w:rPr>
                <w:rStyle w:val="38"/>
                <w:rFonts w:hint="eastAsia"/>
                <w:b w:val="0"/>
                <w:bCs w:val="0"/>
                <w:lang w:val="en-US" w:eastAsia="zh-CN" w:bidi="ar"/>
              </w:rPr>
              <w:t>45.移动端管理：支持通过微信小程序远程管理学校所有电子设备，支持查看设备运行状态，支持下发远程指令，支持查看设备数据，支持推送指令执行异常的设备信息、出现不良画面的设备及不良内容。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Style w:val="38"/>
                <w:rFonts w:hint="eastAsia"/>
                <w:b w:val="0"/>
                <w:bCs w:val="0"/>
                <w:lang w:val="en-US" w:eastAsia="zh-CN" w:bidi="ar"/>
              </w:rPr>
            </w:pPr>
            <w:r>
              <w:rPr>
                <w:rStyle w:val="38"/>
                <w:rFonts w:hint="eastAsia"/>
                <w:b w:val="0"/>
                <w:bCs w:val="0"/>
                <w:lang w:val="en-US" w:eastAsia="zh-CN" w:bidi="ar"/>
              </w:rPr>
              <w:t>46.系统管理：支持学校高级管理员添加多位管理员协同管理及快速转让高级管理员，支持为普通管理员分配不同权限，权限支持按系统功能菜单分配、按管理设备分配方式；支持设置在自定义时间段内自动升级设备辅助管理软件、开启/关闭自动升级后自动关机服务、开启/关闭限制旧版本覆盖安装的安全服务；支持启用/禁用管家身份验证服务，包含扫码验证、复杂密码验证服务。支持记录并回看管理员的操作日志，包含操作人、操作时间、操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Style w:val="38"/>
                <w:rFonts w:hint="eastAsia"/>
                <w:lang w:val="en-US" w:eastAsia="zh-CN" w:bidi="ar"/>
              </w:rPr>
            </w:pPr>
            <w:r>
              <w:rPr>
                <w:rStyle w:val="38"/>
                <w:rFonts w:hint="eastAsia"/>
                <w:lang w:val="en-US" w:eastAsia="zh-CN" w:bidi="ar"/>
              </w:rPr>
              <w:t>47.▲ 基建优化建议：支持解读设备运行数据，提供基建优化建议；支持根据网络带宽利用率分析网络稳定性并提供优化方案；支持根据硬件参数及流畅度达标情况分析设备运行稳定性并提供优化方案；支持根据安全服务开启情况分析设备运行风险并提供优化方案。</w:t>
            </w:r>
            <w:r>
              <w:rPr>
                <w:rStyle w:val="38"/>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Style w:val="38"/>
                <w:rFonts w:hint="eastAsia"/>
                <w:lang w:val="en-US" w:eastAsia="zh-CN" w:bidi="ar"/>
              </w:rPr>
            </w:pPr>
            <w:r>
              <w:rPr>
                <w:rFonts w:hint="eastAsia" w:ascii="宋体" w:hAnsi="宋体"/>
                <w:b/>
                <w:bCs w:val="0"/>
                <w:sz w:val="21"/>
                <w:szCs w:val="21"/>
                <w:vertAlign w:val="baseline"/>
                <w:lang w:val="en-US" w:eastAsia="zh-CN"/>
              </w:rPr>
              <w:t>48.</w:t>
            </w:r>
            <w:r>
              <w:rPr>
                <w:rFonts w:hint="default" w:ascii="宋体" w:hAnsi="宋体"/>
                <w:b/>
                <w:bCs w:val="0"/>
                <w:sz w:val="21"/>
                <w:szCs w:val="21"/>
                <w:vertAlign w:val="baseline"/>
                <w:lang w:val="en-US" w:eastAsia="zh-CN"/>
              </w:rPr>
              <w:t>▲素养提升建议：支持分析解读教师使用数据，提供信息化素养提升建议；支持根据各学科/设备/老师使用数据分析经验丰富的老师，并提供信息化素养提升建议；支持根据不同类型软件的使用明细分析本校常用软件，并提供软件普及、替换或拦截建议。</w:t>
            </w:r>
            <w:r>
              <w:rPr>
                <w:rFonts w:hint="eastAsia" w:ascii="宋体" w:hAnsi="宋体"/>
                <w:b/>
                <w:bCs w:val="0"/>
                <w:sz w:val="21"/>
                <w:szCs w:val="21"/>
                <w:highlight w:val="yellow"/>
                <w:vertAlign w:val="baseline"/>
                <w:lang w:val="en-US" w:eastAsia="zh-CN"/>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left"/>
              <w:textAlignment w:val="center"/>
              <w:rPr>
                <w:rStyle w:val="38"/>
                <w:rFonts w:hint="eastAsia"/>
                <w:lang w:val="en-US" w:eastAsia="zh-CN" w:bidi="ar"/>
              </w:rPr>
            </w:pPr>
            <w:r>
              <w:rPr>
                <w:rFonts w:hint="eastAsia" w:ascii="宋体" w:hAnsi="宋体" w:cs="宋体"/>
                <w:b/>
                <w:bCs/>
                <w:i w:val="0"/>
                <w:iCs w:val="0"/>
                <w:color w:val="FF0000"/>
                <w:sz w:val="21"/>
                <w:szCs w:val="21"/>
                <w:u w:val="none"/>
                <w:lang w:val="en-US" w:eastAsia="zh-CN"/>
              </w:rPr>
              <w:t>★实现与宝安区触控一体机管理平台互联互通，验收时须经区教育发展中心教育技术部确认。</w:t>
            </w:r>
          </w:p>
        </w:tc>
      </w:tr>
      <w:bookmarkEnd w:id="41"/>
    </w:tbl>
    <w:p>
      <w:pPr>
        <w:rPr>
          <w:rFonts w:hint="eastAsia"/>
          <w:b/>
          <w:szCs w:val="21"/>
        </w:rPr>
      </w:pPr>
    </w:p>
    <w:bookmarkEnd w:id="40"/>
    <w:p>
      <w:pPr>
        <w:rPr>
          <w:b/>
          <w:szCs w:val="21"/>
        </w:rPr>
      </w:pPr>
    </w:p>
    <w:p>
      <w:pPr>
        <w:rPr>
          <w:b/>
          <w:szCs w:val="21"/>
        </w:rPr>
      </w:pPr>
    </w:p>
    <w:p>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pPr w:leftFromText="180" w:rightFromText="180" w:vertAnchor="text" w:horzAnchor="page" w:tblpX="1686" w:tblpY="438"/>
        <w:tblOverlap w:val="never"/>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rFonts w:ascii="Times New Roman" w:hAnsi="Times New Roman" w:eastAsia="宋体" w:cs="Times New Roman"/>
                <w:b/>
                <w:sz w:val="21"/>
                <w:szCs w:val="21"/>
              </w:rPr>
            </w:pPr>
            <w:bookmarkStart w:id="42" w:name="OLE_LINK9"/>
            <w:r>
              <w:rPr>
                <w:rFonts w:hint="eastAsia" w:ascii="Times New Roman" w:hAnsi="Times New Roman" w:eastAsia="宋体" w:cs="Times New Roman"/>
                <w:b/>
                <w:sz w:val="21"/>
                <w:szCs w:val="21"/>
              </w:rPr>
              <w:t>序号</w:t>
            </w:r>
          </w:p>
        </w:tc>
        <w:tc>
          <w:tcPr>
            <w:tcW w:w="1457" w:type="dxa"/>
            <w:noWrap w:val="0"/>
            <w:vAlign w:val="center"/>
          </w:tcPr>
          <w:p>
            <w:pPr>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商务需求项</w:t>
            </w:r>
          </w:p>
        </w:tc>
        <w:tc>
          <w:tcPr>
            <w:tcW w:w="6523" w:type="dxa"/>
            <w:noWrap w:val="0"/>
            <w:vAlign w:val="center"/>
          </w:tcPr>
          <w:p>
            <w:pPr>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tcPr>
          <w:p>
            <w:pPr>
              <w:rPr>
                <w:rFonts w:ascii="Times New Roman" w:hAnsi="Times New Roman" w:eastAsia="宋体" w:cs="Times New Roman"/>
                <w:b/>
                <w:sz w:val="21"/>
                <w:szCs w:val="21"/>
              </w:rPr>
            </w:pPr>
            <w:r>
              <w:rPr>
                <w:rFonts w:hint="eastAsia" w:ascii="Times New Roman" w:hAnsi="Times New Roman" w:eastAsia="宋体" w:cs="Times New Roman"/>
                <w:b/>
                <w:sz w:val="21"/>
                <w:szCs w:val="21"/>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w:t>
            </w:r>
          </w:p>
        </w:tc>
        <w:tc>
          <w:tcPr>
            <w:tcW w:w="1457" w:type="dxa"/>
            <w:noWrap w:val="0"/>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维修响应及故障解决时间</w:t>
            </w:r>
          </w:p>
        </w:tc>
        <w:tc>
          <w:tcPr>
            <w:tcW w:w="6523" w:type="dxa"/>
            <w:noWrap w:val="0"/>
          </w:tcPr>
          <w:p>
            <w:pPr>
              <w:rPr>
                <w:rFonts w:ascii="Times New Roman" w:hAnsi="Times New Roman" w:eastAsia="宋体" w:cs="Times New Roman"/>
                <w:b/>
                <w:sz w:val="21"/>
                <w:szCs w:val="21"/>
              </w:rPr>
            </w:pPr>
            <w:r>
              <w:rPr>
                <w:rFonts w:hint="eastAsia" w:ascii="Times New Roman" w:hAnsi="Times New Roman" w:eastAsia="宋体" w:cs="Times New Roman"/>
                <w:bCs/>
                <w:sz w:val="21"/>
                <w:szCs w:val="21"/>
              </w:rPr>
              <w:t>在免费保修期内，一旦发生质量问题，中标人保证在接到通知</w:t>
            </w:r>
            <w:r>
              <w:rPr>
                <w:rFonts w:hint="eastAsia" w:cs="Times New Roman"/>
                <w:bCs/>
                <w:sz w:val="21"/>
                <w:szCs w:val="21"/>
                <w:lang w:val="en-US" w:eastAsia="zh-CN"/>
              </w:rPr>
              <w:t>6</w:t>
            </w:r>
            <w:r>
              <w:rPr>
                <w:rFonts w:hint="eastAsia" w:ascii="Times New Roman" w:hAnsi="Times New Roman" w:eastAsia="宋体" w:cs="Times New Roman"/>
                <w:bCs/>
                <w:sz w:val="21"/>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1457" w:type="dxa"/>
            <w:vMerge w:val="restart"/>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免费保修期</w:t>
            </w:r>
          </w:p>
        </w:tc>
        <w:tc>
          <w:tcPr>
            <w:tcW w:w="6523" w:type="dxa"/>
            <w:noWrap w:val="0"/>
          </w:tcPr>
          <w:p>
            <w:pPr>
              <w:rPr>
                <w:rFonts w:ascii="Times New Roman" w:hAnsi="Times New Roman" w:eastAsia="宋体" w:cs="Times New Roman"/>
                <w:b/>
                <w:sz w:val="21"/>
                <w:szCs w:val="21"/>
              </w:rPr>
            </w:pPr>
            <w:r>
              <w:rPr>
                <w:rFonts w:hint="eastAsia" w:ascii="Times New Roman" w:hAnsi="Times New Roman" w:eastAsia="宋体" w:cs="Times New Roman"/>
                <w:bCs/>
                <w:sz w:val="21"/>
                <w:szCs w:val="21"/>
              </w:rPr>
              <w:t>1</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货物免费保修期</w:t>
            </w:r>
            <w:r>
              <w:rPr>
                <w:rFonts w:hint="eastAsia" w:ascii="Times New Roman" w:hAnsi="Times New Roman" w:eastAsia="宋体" w:cs="Times New Roman"/>
                <w:bCs/>
                <w:color w:val="FF0000"/>
                <w:sz w:val="21"/>
                <w:szCs w:val="21"/>
                <w:u w:val="single"/>
              </w:rPr>
              <w:t xml:space="preserve">  </w:t>
            </w:r>
            <w:r>
              <w:rPr>
                <w:rFonts w:hint="eastAsia" w:cs="Times New Roman"/>
                <w:bCs/>
                <w:color w:val="FF0000"/>
                <w:sz w:val="21"/>
                <w:szCs w:val="21"/>
                <w:u w:val="single"/>
                <w:lang w:val="en-US" w:eastAsia="zh-CN"/>
              </w:rPr>
              <w:t>3</w:t>
            </w:r>
            <w:r>
              <w:rPr>
                <w:rFonts w:hint="eastAsia" w:ascii="Times New Roman" w:hAnsi="Times New Roman" w:eastAsia="宋体" w:cs="Times New Roman"/>
                <w:bCs/>
                <w:color w:val="FF0000"/>
                <w:sz w:val="21"/>
                <w:szCs w:val="21"/>
                <w:u w:val="single"/>
              </w:rPr>
              <w:t xml:space="preserve">  </w:t>
            </w:r>
            <w:r>
              <w:rPr>
                <w:rFonts w:hint="eastAsia" w:ascii="Times New Roman" w:hAnsi="Times New Roman" w:eastAsia="宋体" w:cs="Times New Roman"/>
                <w:bCs/>
                <w:color w:val="FF0000"/>
                <w:sz w:val="21"/>
                <w:szCs w:val="21"/>
              </w:rPr>
              <w:t>年，</w:t>
            </w:r>
            <w:r>
              <w:rPr>
                <w:rFonts w:hint="eastAsia" w:ascii="Times New Roman" w:hAnsi="Times New Roman" w:eastAsia="宋体" w:cs="Times New Roman"/>
                <w:bCs/>
                <w:sz w:val="21"/>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continue"/>
            <w:noWrap w:val="0"/>
            <w:vAlign w:val="center"/>
          </w:tcPr>
          <w:p>
            <w:pPr>
              <w:jc w:val="center"/>
              <w:rPr>
                <w:rFonts w:hint="eastAsia" w:ascii="Times New Roman" w:hAnsi="Times New Roman" w:eastAsia="宋体" w:cs="Times New Roman"/>
                <w:sz w:val="21"/>
                <w:szCs w:val="21"/>
              </w:rPr>
            </w:pPr>
          </w:p>
        </w:tc>
        <w:tc>
          <w:tcPr>
            <w:tcW w:w="1457" w:type="dxa"/>
            <w:vMerge w:val="continue"/>
            <w:noWrap w:val="0"/>
            <w:vAlign w:val="center"/>
          </w:tcPr>
          <w:p>
            <w:pPr>
              <w:jc w:val="center"/>
              <w:rPr>
                <w:rFonts w:hint="eastAsia" w:ascii="Times New Roman" w:hAnsi="Times New Roman" w:eastAsia="宋体" w:cs="Times New Roman"/>
                <w:sz w:val="21"/>
                <w:szCs w:val="21"/>
              </w:rPr>
            </w:pPr>
          </w:p>
        </w:tc>
        <w:tc>
          <w:tcPr>
            <w:tcW w:w="6523" w:type="dxa"/>
            <w:noWrap w:val="0"/>
          </w:tcPr>
          <w:p>
            <w:pPr>
              <w:rPr>
                <w:rFonts w:hint="eastAsia" w:ascii="Times New Roman" w:hAnsi="Times New Roman" w:eastAsia="宋体" w:cs="Times New Roman"/>
                <w:bCs/>
                <w:sz w:val="21"/>
                <w:szCs w:val="21"/>
              </w:rPr>
            </w:pPr>
            <w:r>
              <w:rPr>
                <w:rFonts w:hint="eastAsia" w:cs="Times New Roman"/>
                <w:bCs/>
                <w:sz w:val="21"/>
                <w:szCs w:val="21"/>
                <w:lang w:val="en-US" w:eastAsia="zh-CN"/>
              </w:rPr>
              <w:t>2.</w:t>
            </w:r>
            <w:r>
              <w:rPr>
                <w:rFonts w:hint="eastAsia" w:ascii="Times New Roman" w:hAnsi="Times New Roman" w:eastAsia="宋体" w:cs="Times New Roman"/>
                <w:bCs/>
                <w:sz w:val="21"/>
                <w:szCs w:val="21"/>
              </w:rPr>
              <w:t>要求中标方在交货完成后一周内，免费向用户方进行技术培训工作。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rFonts w:ascii="Times New Roman" w:hAnsi="Times New Roman" w:eastAsia="宋体" w:cs="Times New Roman"/>
                <w:b/>
                <w:sz w:val="21"/>
                <w:szCs w:val="21"/>
              </w:rPr>
            </w:pPr>
          </w:p>
        </w:tc>
        <w:tc>
          <w:tcPr>
            <w:tcW w:w="1457" w:type="dxa"/>
            <w:vMerge w:val="continue"/>
            <w:noWrap w:val="0"/>
            <w:vAlign w:val="center"/>
          </w:tcPr>
          <w:p>
            <w:pPr>
              <w:rPr>
                <w:rFonts w:ascii="Times New Roman" w:hAnsi="Times New Roman" w:eastAsia="宋体" w:cs="Times New Roman"/>
                <w:sz w:val="21"/>
                <w:szCs w:val="21"/>
              </w:rPr>
            </w:pPr>
          </w:p>
        </w:tc>
        <w:tc>
          <w:tcPr>
            <w:tcW w:w="6523" w:type="dxa"/>
            <w:noWrap w:val="0"/>
            <w:vAlign w:val="center"/>
          </w:tcPr>
          <w:p>
            <w:pPr>
              <w:rPr>
                <w:rFonts w:ascii="Times New Roman" w:hAnsi="Times New Roman" w:eastAsia="宋体" w:cs="Times New Roman"/>
                <w:bCs/>
                <w:sz w:val="21"/>
                <w:szCs w:val="21"/>
              </w:rPr>
            </w:pPr>
            <w:r>
              <w:rPr>
                <w:rFonts w:hint="eastAsia" w:cs="Times New Roman"/>
                <w:bCs/>
                <w:sz w:val="21"/>
                <w:szCs w:val="21"/>
                <w:lang w:val="en-US" w:eastAsia="zh-CN"/>
              </w:rPr>
              <w:t>3</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免费保修期内，</w:t>
            </w:r>
            <w:r>
              <w:rPr>
                <w:rFonts w:hint="eastAsia" w:ascii="Times New Roman" w:hAnsi="Times New Roman" w:eastAsia="宋体" w:cs="Times New Roman"/>
                <w:color w:val="000000"/>
                <w:sz w:val="21"/>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rFonts w:ascii="Times New Roman" w:hAnsi="Times New Roman" w:eastAsia="宋体" w:cs="Times New Roman"/>
                <w:b/>
                <w:sz w:val="21"/>
                <w:szCs w:val="21"/>
              </w:rPr>
            </w:pPr>
            <w:r>
              <w:rPr>
                <w:rFonts w:hint="eastAsia" w:ascii="Times New Roman" w:hAnsi="Times New Roman" w:eastAsia="宋体" w:cs="Times New Roman"/>
                <w:sz w:val="21"/>
                <w:szCs w:val="21"/>
              </w:rPr>
              <w:t>3</w:t>
            </w:r>
          </w:p>
        </w:tc>
        <w:tc>
          <w:tcPr>
            <w:tcW w:w="1457" w:type="dxa"/>
            <w:noWrap w:val="0"/>
            <w:vAlign w:val="center"/>
          </w:tcPr>
          <w:p>
            <w:pPr>
              <w:jc w:val="center"/>
              <w:rPr>
                <w:rFonts w:ascii="Times New Roman" w:hAnsi="Times New Roman" w:eastAsia="宋体" w:cs="Times New Roman"/>
                <w:b/>
                <w:sz w:val="21"/>
                <w:szCs w:val="21"/>
              </w:rPr>
            </w:pPr>
            <w:r>
              <w:rPr>
                <w:rFonts w:hint="eastAsia" w:ascii="Times New Roman" w:hAnsi="Times New Roman" w:eastAsia="宋体" w:cs="Times New Roman"/>
                <w:sz w:val="21"/>
                <w:szCs w:val="21"/>
              </w:rPr>
              <w:t>技术文件</w:t>
            </w:r>
          </w:p>
        </w:tc>
        <w:tc>
          <w:tcPr>
            <w:tcW w:w="6523" w:type="dxa"/>
            <w:noWrap w:val="0"/>
            <w:vAlign w:val="center"/>
          </w:tcPr>
          <w:p>
            <w:pPr>
              <w:rPr>
                <w:rFonts w:ascii="Times New Roman" w:hAnsi="Times New Roman" w:eastAsia="宋体" w:cs="Times New Roman"/>
                <w:bCs/>
                <w:sz w:val="21"/>
                <w:szCs w:val="21"/>
              </w:rPr>
            </w:pPr>
            <w:r>
              <w:rPr>
                <w:rFonts w:hint="eastAsia" w:ascii="Times New Roman" w:hAnsi="Times New Roman" w:eastAsia="宋体" w:cs="Times New Roman"/>
                <w:bCs/>
                <w:sz w:val="21"/>
                <w:szCs w:val="21"/>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w:t>
            </w:r>
          </w:p>
        </w:tc>
        <w:tc>
          <w:tcPr>
            <w:tcW w:w="1457" w:type="dxa"/>
            <w:noWrap w:val="0"/>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安装调试</w:t>
            </w:r>
          </w:p>
        </w:tc>
        <w:tc>
          <w:tcPr>
            <w:tcW w:w="6523" w:type="dxa"/>
            <w:noWrap w:val="0"/>
            <w:vAlign w:val="center"/>
          </w:tcPr>
          <w:p>
            <w:pP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本项目设备包含运输搬运及安装调试等服务，中标人须遵守采购人施工规范要求，并配合现场统一管理。调试人员须具有网络安全相关技术。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eastAsia="宋体" w:cs="Times New Roman"/>
                <w:b/>
                <w:sz w:val="21"/>
                <w:szCs w:val="21"/>
              </w:rPr>
            </w:pPr>
            <w:r>
              <w:rPr>
                <w:rFonts w:hint="eastAsia" w:ascii="宋体" w:hAnsi="宋体" w:eastAsia="宋体" w:cs="Times New Roman"/>
                <w:b/>
                <w:sz w:val="21"/>
                <w:szCs w:val="21"/>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ascii="宋体" w:hAnsi="宋体" w:eastAsia="宋体" w:cs="Times New Roman"/>
                <w:b/>
                <w:sz w:val="21"/>
                <w:szCs w:val="21"/>
              </w:rPr>
            </w:pPr>
            <w:r>
              <w:rPr>
                <w:rFonts w:hint="eastAsia" w:ascii="宋体" w:hAnsi="宋体" w:eastAsia="宋体" w:cs="Times New Roman"/>
                <w:b/>
                <w:sz w:val="21"/>
                <w:szCs w:val="21"/>
              </w:rPr>
              <w:t>1</w:t>
            </w:r>
          </w:p>
        </w:tc>
        <w:tc>
          <w:tcPr>
            <w:tcW w:w="1457" w:type="dxa"/>
            <w:vMerge w:val="restart"/>
            <w:noWrap w:val="0"/>
            <w:vAlign w:val="center"/>
          </w:tcPr>
          <w:p>
            <w:pPr>
              <w:spacing w:line="360" w:lineRule="exact"/>
              <w:jc w:val="center"/>
              <w:rPr>
                <w:rFonts w:ascii="宋体" w:hAnsi="宋体" w:eastAsia="宋体" w:cs="Times New Roman"/>
                <w:b/>
                <w:color w:val="000000"/>
                <w:sz w:val="21"/>
                <w:szCs w:val="21"/>
              </w:rPr>
            </w:pPr>
            <w:r>
              <w:rPr>
                <w:rStyle w:val="20"/>
                <w:rFonts w:hint="eastAsia" w:ascii="宋体" w:hAnsi="宋体" w:eastAsia="宋体" w:cs="宋体"/>
                <w:color w:val="000000"/>
                <w:sz w:val="21"/>
                <w:szCs w:val="21"/>
              </w:rPr>
              <w:t>维修零配件、消耗品和延续保修合同的报价</w:t>
            </w:r>
          </w:p>
        </w:tc>
        <w:tc>
          <w:tcPr>
            <w:tcW w:w="6523" w:type="dxa"/>
            <w:noWrap w:val="0"/>
            <w:vAlign w:val="center"/>
          </w:tcPr>
          <w:p>
            <w:pPr>
              <w:spacing w:line="360" w:lineRule="exact"/>
              <w:rPr>
                <w:rFonts w:ascii="宋体" w:hAnsi="宋体" w:eastAsia="宋体" w:cs="Times New Roman"/>
                <w:b/>
                <w:color w:val="000000"/>
                <w:sz w:val="21"/>
                <w:szCs w:val="21"/>
              </w:rPr>
            </w:pPr>
            <w:r>
              <w:rPr>
                <w:rFonts w:hint="eastAsia" w:ascii="宋体" w:hAnsi="宋体" w:eastAsia="宋体" w:cs="宋体"/>
                <w:color w:val="000000"/>
                <w:sz w:val="21"/>
                <w:szCs w:val="21"/>
              </w:rPr>
              <w:t>1.1由设备制造商提供售后服务，</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1 </w:t>
            </w:r>
            <w:r>
              <w:rPr>
                <w:rFonts w:hint="eastAsia" w:ascii="宋体" w:hAnsi="宋体" w:eastAsia="宋体" w:cs="宋体"/>
                <w:color w:val="000000"/>
                <w:sz w:val="21"/>
                <w:szCs w:val="21"/>
              </w:rPr>
              <w:t>小时内响应，</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24</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eastAsia="宋体" w:cs="Times New Roman"/>
                <w:b/>
                <w:sz w:val="21"/>
                <w:szCs w:val="21"/>
              </w:rPr>
            </w:pPr>
          </w:p>
        </w:tc>
        <w:tc>
          <w:tcPr>
            <w:tcW w:w="1457" w:type="dxa"/>
            <w:vMerge w:val="continue"/>
            <w:noWrap w:val="0"/>
            <w:vAlign w:val="center"/>
          </w:tcPr>
          <w:p>
            <w:pPr>
              <w:spacing w:line="360" w:lineRule="exact"/>
              <w:rPr>
                <w:rStyle w:val="20"/>
                <w:rFonts w:ascii="宋体" w:hAnsi="宋体" w:eastAsia="宋体" w:cs="宋体"/>
                <w:color w:val="000000"/>
                <w:sz w:val="21"/>
                <w:szCs w:val="21"/>
              </w:rPr>
            </w:pPr>
          </w:p>
        </w:tc>
        <w:tc>
          <w:tcPr>
            <w:tcW w:w="6523" w:type="dxa"/>
            <w:noWrap w:val="0"/>
            <w:vAlign w:val="center"/>
          </w:tcPr>
          <w:p>
            <w:pPr>
              <w:spacing w:line="360" w:lineRule="exact"/>
              <w:rPr>
                <w:rFonts w:hint="default" w:ascii="宋体" w:hAnsi="宋体" w:eastAsia="宋体" w:cs="Times New Roman"/>
                <w:b/>
                <w:color w:val="000000"/>
                <w:sz w:val="21"/>
                <w:szCs w:val="21"/>
                <w:lang w:val="en-US" w:eastAsia="zh-CN"/>
              </w:rPr>
            </w:pPr>
            <w:r>
              <w:rPr>
                <w:rFonts w:hint="eastAsia" w:ascii="宋体" w:hAnsi="宋体" w:eastAsia="宋体" w:cs="宋体"/>
                <w:color w:val="000000"/>
                <w:sz w:val="21"/>
                <w:szCs w:val="21"/>
              </w:rPr>
              <w:t>1.2保修期外</w:t>
            </w:r>
            <w:r>
              <w:rPr>
                <w:rFonts w:hint="eastAsia" w:ascii="宋体" w:hAnsi="宋体" w:cs="宋体"/>
                <w:color w:val="000000"/>
                <w:sz w:val="21"/>
                <w:szCs w:val="21"/>
                <w:lang w:val="en-US" w:eastAsia="zh-CN"/>
              </w:rPr>
              <w:t>设备维修及更换配件按市场价收费。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eastAsia="宋体" w:cs="Times New Roman"/>
                <w:b/>
                <w:sz w:val="21"/>
                <w:szCs w:val="21"/>
              </w:rPr>
            </w:pPr>
            <w:r>
              <w:rPr>
                <w:rFonts w:hint="eastAsia" w:ascii="宋体" w:hAnsi="宋体" w:eastAsia="宋体" w:cs="Times New Roman"/>
                <w:b/>
                <w:sz w:val="21"/>
                <w:szCs w:val="21"/>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Times New Roman"/>
                <w:b/>
                <w:sz w:val="21"/>
                <w:szCs w:val="21"/>
                <w:lang w:val="en-US" w:eastAsia="zh-CN"/>
              </w:rPr>
            </w:pPr>
            <w:r>
              <w:rPr>
                <w:rFonts w:hint="eastAsia" w:ascii="宋体" w:hAnsi="宋体" w:cs="Times New Roman"/>
                <w:b/>
                <w:sz w:val="21"/>
                <w:szCs w:val="21"/>
                <w:lang w:val="en-US" w:eastAsia="zh-CN"/>
              </w:rPr>
              <w:t>1</w:t>
            </w:r>
          </w:p>
        </w:tc>
        <w:tc>
          <w:tcPr>
            <w:tcW w:w="1457" w:type="dxa"/>
            <w:vMerge w:val="restart"/>
            <w:noWrap w:val="0"/>
            <w:vAlign w:val="center"/>
          </w:tcPr>
          <w:p>
            <w:pPr>
              <w:spacing w:line="360" w:lineRule="exact"/>
              <w:jc w:val="center"/>
              <w:rPr>
                <w:rFonts w:hint="eastAsia" w:ascii="宋体" w:hAnsi="宋体" w:eastAsia="宋体" w:cs="Times New Roman"/>
                <w:b/>
                <w:sz w:val="21"/>
                <w:szCs w:val="21"/>
              </w:rPr>
            </w:pPr>
            <w:r>
              <w:rPr>
                <w:rFonts w:hint="eastAsia" w:ascii="宋体" w:hAnsi="宋体" w:eastAsia="宋体" w:cs="Times New Roman"/>
                <w:b/>
                <w:sz w:val="21"/>
                <w:szCs w:val="21"/>
              </w:rPr>
              <w:t>报价要求</w:t>
            </w:r>
          </w:p>
        </w:tc>
        <w:tc>
          <w:tcPr>
            <w:tcW w:w="6523" w:type="dxa"/>
            <w:noWrap w:val="0"/>
            <w:vAlign w:val="center"/>
          </w:tcPr>
          <w:p>
            <w:pPr>
              <w:spacing w:line="360" w:lineRule="exact"/>
              <w:rPr>
                <w:rFonts w:hint="eastAsia" w:ascii="宋体" w:hAnsi="宋体" w:eastAsia="宋体" w:cs="Times New Roman"/>
                <w:b/>
                <w:sz w:val="21"/>
                <w:szCs w:val="21"/>
              </w:rPr>
            </w:pPr>
            <w:r>
              <w:rPr>
                <w:rFonts w:hint="eastAsia" w:ascii="宋体" w:hAnsi="宋体" w:eastAsia="宋体" w:cs="Times New Roman"/>
                <w:b w:val="0"/>
                <w:bCs/>
                <w:sz w:val="21"/>
                <w:szCs w:val="21"/>
                <w:lang w:val="en-US" w:eastAsia="zh-CN"/>
              </w:rPr>
              <w:t>1.1</w:t>
            </w:r>
            <w:r>
              <w:rPr>
                <w:rFonts w:hint="eastAsia" w:ascii="宋体" w:hAnsi="宋体" w:eastAsia="宋体" w:cs="Times New Roman"/>
                <w:b w:val="0"/>
                <w:bCs/>
                <w:sz w:val="21"/>
                <w:szCs w:val="21"/>
              </w:rPr>
              <w:t>投标报价为报投标总价。投标总价必须是完成该项目的一切费用总和，包括投标费、设备费、运输费、装卸费、保险费、技术培训费、设备安装费、调试费、检测费、国家规定的各项税费等。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40" w:type="dxa"/>
            <w:vMerge w:val="continue"/>
            <w:noWrap w:val="0"/>
            <w:vAlign w:val="center"/>
          </w:tcPr>
          <w:p>
            <w:pPr>
              <w:spacing w:line="360" w:lineRule="exact"/>
              <w:jc w:val="center"/>
              <w:rPr>
                <w:rFonts w:hint="default" w:ascii="宋体" w:hAnsi="宋体" w:cs="Times New Roman"/>
                <w:b/>
                <w:sz w:val="21"/>
                <w:szCs w:val="21"/>
                <w:lang w:val="en-US" w:eastAsia="zh-CN"/>
              </w:rPr>
            </w:pPr>
          </w:p>
        </w:tc>
        <w:tc>
          <w:tcPr>
            <w:tcW w:w="1457" w:type="dxa"/>
            <w:vMerge w:val="continue"/>
            <w:noWrap w:val="0"/>
            <w:vAlign w:val="center"/>
          </w:tcPr>
          <w:p>
            <w:pPr>
              <w:spacing w:line="360" w:lineRule="exact"/>
              <w:jc w:val="center"/>
              <w:rPr>
                <w:rFonts w:hint="default" w:ascii="宋体" w:hAnsi="宋体" w:eastAsia="宋体" w:cs="Times New Roman"/>
                <w:b/>
                <w:sz w:val="21"/>
                <w:szCs w:val="21"/>
                <w:lang w:val="en-US" w:eastAsia="zh-CN"/>
              </w:rPr>
            </w:pPr>
          </w:p>
        </w:tc>
        <w:tc>
          <w:tcPr>
            <w:tcW w:w="6523" w:type="dxa"/>
            <w:noWrap w:val="0"/>
            <w:vAlign w:val="center"/>
          </w:tcPr>
          <w:p>
            <w:pPr>
              <w:spacing w:line="360" w:lineRule="exact"/>
              <w:rPr>
                <w:rFonts w:hint="eastAsia" w:ascii="宋体" w:hAnsi="宋体" w:eastAsia="宋体" w:cs="Times New Roman"/>
                <w:b w:val="0"/>
                <w:bCs/>
                <w:sz w:val="21"/>
                <w:szCs w:val="21"/>
              </w:rPr>
            </w:pPr>
            <w:r>
              <w:rPr>
                <w:rFonts w:hint="eastAsia" w:ascii="宋体" w:hAnsi="宋体" w:cs="Times New Roman"/>
                <w:b w:val="0"/>
                <w:bCs/>
                <w:sz w:val="21"/>
                <w:szCs w:val="21"/>
                <w:lang w:val="en-US" w:eastAsia="zh-CN"/>
              </w:rPr>
              <w:t>1.2</w:t>
            </w:r>
            <w:r>
              <w:rPr>
                <w:rFonts w:hint="eastAsia" w:ascii="宋体" w:hAnsi="宋体" w:eastAsia="宋体" w:cs="Times New Roman"/>
                <w:b w:val="0"/>
                <w:bCs/>
                <w:sz w:val="21"/>
                <w:szCs w:val="21"/>
              </w:rPr>
              <w:t>除主要设备外，清单中各类设备安装及配套所需的配件与辅材数量为参考数据，招标完成后采购人不因固有工程量增加而承担任何费用，费用将以中标价结算，请投标人充分考虑风险性。建议投标人到采购人单位进行现场勘察，以明确施工场地情况并准确了解相关工程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Times New Roman"/>
                <w:b/>
                <w:sz w:val="21"/>
                <w:szCs w:val="21"/>
                <w:lang w:eastAsia="zh-CN"/>
              </w:rPr>
            </w:pPr>
            <w:r>
              <w:rPr>
                <w:rFonts w:hint="eastAsia" w:ascii="宋体" w:hAnsi="宋体" w:cs="Times New Roman"/>
                <w:b/>
                <w:sz w:val="21"/>
                <w:szCs w:val="21"/>
                <w:lang w:val="en-US" w:eastAsia="zh-CN"/>
              </w:rPr>
              <w:t>2</w:t>
            </w:r>
          </w:p>
        </w:tc>
        <w:tc>
          <w:tcPr>
            <w:tcW w:w="1457" w:type="dxa"/>
            <w:vMerge w:val="restart"/>
            <w:noWrap w:val="0"/>
            <w:vAlign w:val="center"/>
          </w:tcPr>
          <w:p>
            <w:pPr>
              <w:spacing w:line="360" w:lineRule="exact"/>
              <w:jc w:val="center"/>
              <w:rPr>
                <w:rFonts w:hint="eastAsia" w:ascii="宋体" w:hAnsi="宋体" w:eastAsia="宋体" w:cs="Times New Roman"/>
                <w:b/>
                <w:sz w:val="21"/>
                <w:szCs w:val="21"/>
              </w:rPr>
            </w:pPr>
            <w:r>
              <w:rPr>
                <w:rFonts w:hint="eastAsia" w:ascii="宋体" w:hAnsi="宋体" w:eastAsia="宋体" w:cs="Times New Roman"/>
                <w:b/>
                <w:sz w:val="21"/>
                <w:szCs w:val="21"/>
              </w:rPr>
              <w:t>违约责任</w:t>
            </w:r>
          </w:p>
        </w:tc>
        <w:tc>
          <w:tcPr>
            <w:tcW w:w="6523" w:type="dxa"/>
            <w:noWrap w:val="0"/>
          </w:tcPr>
          <w:p>
            <w:pPr>
              <w:spacing w:line="360" w:lineRule="exact"/>
              <w:rPr>
                <w:rFonts w:hint="eastAsia" w:ascii="宋体" w:hAnsi="宋体" w:eastAsia="宋体" w:cs="宋体"/>
                <w:color w:val="000000"/>
                <w:sz w:val="21"/>
                <w:szCs w:val="21"/>
              </w:rPr>
            </w:pPr>
            <w:r>
              <w:rPr>
                <w:rFonts w:hint="eastAsia" w:ascii="宋体" w:hAnsi="宋体" w:cs="宋体"/>
                <w:color w:val="000000"/>
                <w:sz w:val="21"/>
                <w:szCs w:val="21"/>
                <w:lang w:val="en-US" w:eastAsia="zh-CN"/>
              </w:rPr>
              <w:t>2</w:t>
            </w:r>
            <w:r>
              <w:rPr>
                <w:rFonts w:hint="eastAsia" w:ascii="宋体" w:hAnsi="宋体" w:eastAsia="宋体" w:cs="宋体"/>
                <w:color w:val="000000"/>
                <w:sz w:val="21"/>
                <w:szCs w:val="21"/>
              </w:rPr>
              <w:t>.1中标人不能交货的，需偿付不能交货部分货款的</w:t>
            </w:r>
            <w:r>
              <w:rPr>
                <w:rFonts w:hint="eastAsia" w:ascii="宋体" w:hAnsi="宋体" w:eastAsia="宋体" w:cs="宋体"/>
                <w:color w:val="000000"/>
                <w:sz w:val="21"/>
                <w:szCs w:val="21"/>
                <w:u w:val="single"/>
              </w:rPr>
              <w:t xml:space="preserve">  </w:t>
            </w:r>
            <w:r>
              <w:rPr>
                <w:rFonts w:hint="eastAsia" w:ascii="宋体" w:hAnsi="宋体" w:cs="宋体"/>
                <w:color w:val="000000"/>
                <w:sz w:val="21"/>
                <w:szCs w:val="21"/>
                <w:u w:val="single"/>
                <w:lang w:val="en-US" w:eastAsia="zh-CN"/>
              </w:rPr>
              <w:t>1</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eastAsia="宋体" w:cs="Times New Roman"/>
                <w:b/>
                <w:sz w:val="21"/>
                <w:szCs w:val="21"/>
              </w:rPr>
            </w:pPr>
          </w:p>
        </w:tc>
        <w:tc>
          <w:tcPr>
            <w:tcW w:w="1457" w:type="dxa"/>
            <w:vMerge w:val="continue"/>
            <w:noWrap w:val="0"/>
            <w:vAlign w:val="center"/>
          </w:tcPr>
          <w:p>
            <w:pPr>
              <w:spacing w:line="360" w:lineRule="exact"/>
              <w:jc w:val="center"/>
              <w:rPr>
                <w:rFonts w:hint="eastAsia" w:ascii="宋体" w:hAnsi="宋体" w:eastAsia="宋体" w:cs="Times New Roman"/>
                <w:b/>
                <w:sz w:val="21"/>
                <w:szCs w:val="21"/>
              </w:rPr>
            </w:pPr>
          </w:p>
        </w:tc>
        <w:tc>
          <w:tcPr>
            <w:tcW w:w="6523" w:type="dxa"/>
            <w:noWrap w:val="0"/>
          </w:tcPr>
          <w:p>
            <w:pPr>
              <w:spacing w:line="360" w:lineRule="exact"/>
              <w:rPr>
                <w:rFonts w:hint="eastAsia" w:ascii="宋体" w:hAnsi="宋体" w:eastAsia="宋体" w:cs="宋体"/>
                <w:color w:val="000000"/>
                <w:sz w:val="21"/>
                <w:szCs w:val="21"/>
              </w:rPr>
            </w:pPr>
            <w:r>
              <w:rPr>
                <w:rFonts w:hint="eastAsia" w:ascii="宋体" w:hAnsi="宋体" w:cs="宋体"/>
                <w:color w:val="000000"/>
                <w:sz w:val="21"/>
                <w:szCs w:val="21"/>
                <w:lang w:val="en-US" w:eastAsia="zh-CN"/>
              </w:rPr>
              <w:t>2</w:t>
            </w:r>
            <w:r>
              <w:rPr>
                <w:rFonts w:hint="eastAsia" w:ascii="宋体" w:hAnsi="宋体" w:eastAsia="宋体" w:cs="宋体"/>
                <w:color w:val="000000"/>
                <w:sz w:val="21"/>
                <w:szCs w:val="21"/>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840" w:type="dxa"/>
            <w:vMerge w:val="continue"/>
            <w:noWrap w:val="0"/>
            <w:vAlign w:val="center"/>
          </w:tcPr>
          <w:p>
            <w:pPr>
              <w:spacing w:line="360" w:lineRule="exact"/>
              <w:jc w:val="center"/>
              <w:rPr>
                <w:rFonts w:hint="eastAsia" w:ascii="宋体" w:hAnsi="宋体" w:eastAsia="宋体" w:cs="Times New Roman"/>
                <w:b/>
                <w:sz w:val="21"/>
                <w:szCs w:val="21"/>
              </w:rPr>
            </w:pPr>
          </w:p>
        </w:tc>
        <w:tc>
          <w:tcPr>
            <w:tcW w:w="1457" w:type="dxa"/>
            <w:vMerge w:val="continue"/>
            <w:noWrap w:val="0"/>
            <w:vAlign w:val="center"/>
          </w:tcPr>
          <w:p>
            <w:pPr>
              <w:spacing w:line="360" w:lineRule="exact"/>
              <w:jc w:val="center"/>
              <w:rPr>
                <w:rFonts w:hint="eastAsia" w:ascii="宋体" w:hAnsi="宋体" w:eastAsia="宋体" w:cs="Times New Roman"/>
                <w:b/>
                <w:sz w:val="21"/>
                <w:szCs w:val="21"/>
              </w:rPr>
            </w:pPr>
          </w:p>
        </w:tc>
        <w:tc>
          <w:tcPr>
            <w:tcW w:w="6523" w:type="dxa"/>
            <w:noWrap w:val="0"/>
          </w:tcPr>
          <w:p>
            <w:pPr>
              <w:spacing w:line="360" w:lineRule="exact"/>
              <w:rPr>
                <w:rFonts w:hint="eastAsia" w:ascii="宋体" w:hAnsi="宋体" w:eastAsia="宋体" w:cs="宋体"/>
                <w:color w:val="000000"/>
                <w:sz w:val="21"/>
                <w:szCs w:val="21"/>
              </w:rPr>
            </w:pPr>
            <w:r>
              <w:rPr>
                <w:rFonts w:hint="eastAsia" w:ascii="宋体" w:hAnsi="宋体" w:cs="宋体"/>
                <w:color w:val="000000"/>
                <w:sz w:val="21"/>
                <w:szCs w:val="21"/>
                <w:lang w:val="en-US" w:eastAsia="zh-CN"/>
              </w:rPr>
              <w:t>2</w:t>
            </w:r>
            <w:r>
              <w:rPr>
                <w:rFonts w:hint="eastAsia" w:ascii="宋体" w:hAnsi="宋体" w:eastAsia="宋体" w:cs="宋体"/>
                <w:color w:val="000000"/>
                <w:sz w:val="21"/>
                <w:szCs w:val="21"/>
              </w:rPr>
              <w:t>.3中标人所交付产品、工程或服务不符合其投标承诺的，或在投标阶段为了中标而盲目虚假承诺、低价恶性竞争，在履约阶段则通过偷工减料、以次充好而获取利润的，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color w:val="000000"/>
                <w:sz w:val="21"/>
                <w:szCs w:val="21"/>
                <w:lang w:val="en-US" w:eastAsia="zh-CN"/>
              </w:rPr>
              <w:t>采购人</w:t>
            </w:r>
            <w:r>
              <w:rPr>
                <w:rFonts w:hint="eastAsia" w:ascii="宋体" w:hAnsi="宋体" w:eastAsia="宋体" w:cs="宋体"/>
                <w:color w:val="000000"/>
                <w:sz w:val="21"/>
                <w:szCs w:val="21"/>
              </w:rPr>
              <w:t>将根据标的的性质以及损失的大小，可以合理选择要求</w:t>
            </w:r>
            <w:r>
              <w:rPr>
                <w:rFonts w:hint="eastAsia" w:ascii="宋体" w:hAnsi="宋体" w:eastAsia="宋体" w:cs="宋体"/>
                <w:color w:val="000000"/>
                <w:sz w:val="21"/>
                <w:szCs w:val="21"/>
                <w:lang w:val="en-US" w:eastAsia="zh-CN"/>
              </w:rPr>
              <w:t>中标人</w:t>
            </w:r>
            <w:r>
              <w:rPr>
                <w:rFonts w:hint="eastAsia" w:ascii="宋体" w:hAnsi="宋体" w:eastAsia="宋体" w:cs="宋体"/>
                <w:color w:val="000000"/>
                <w:sz w:val="21"/>
                <w:szCs w:val="21"/>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Times New Roman"/>
                <w:b/>
                <w:bCs w:val="0"/>
                <w:sz w:val="21"/>
                <w:szCs w:val="21"/>
                <w:lang w:eastAsia="zh-CN"/>
              </w:rPr>
            </w:pPr>
            <w:r>
              <w:rPr>
                <w:rFonts w:hint="eastAsia" w:ascii="宋体" w:hAnsi="宋体" w:cs="Times New Roman"/>
                <w:b/>
                <w:bCs w:val="0"/>
                <w:sz w:val="21"/>
                <w:szCs w:val="21"/>
                <w:lang w:val="en-US" w:eastAsia="zh-CN"/>
              </w:rPr>
              <w:t>3</w:t>
            </w:r>
          </w:p>
        </w:tc>
        <w:tc>
          <w:tcPr>
            <w:tcW w:w="1457" w:type="dxa"/>
            <w:vMerge w:val="restart"/>
            <w:noWrap w:val="0"/>
            <w:vAlign w:val="center"/>
          </w:tcPr>
          <w:p>
            <w:pPr>
              <w:spacing w:line="360" w:lineRule="exact"/>
              <w:jc w:val="center"/>
              <w:rPr>
                <w:rFonts w:hint="default" w:ascii="宋体" w:hAnsi="宋体" w:eastAsia="宋体" w:cs="Times New Roman"/>
                <w:b/>
                <w:bCs w:val="0"/>
                <w:sz w:val="21"/>
                <w:szCs w:val="21"/>
                <w:lang w:val="en-US" w:eastAsia="zh-CN"/>
              </w:rPr>
            </w:pPr>
            <w:r>
              <w:rPr>
                <w:rFonts w:hint="eastAsia" w:ascii="宋体" w:hAnsi="宋体" w:eastAsia="宋体" w:cs="Times New Roman"/>
                <w:b/>
                <w:bCs w:val="0"/>
                <w:sz w:val="21"/>
                <w:szCs w:val="21"/>
              </w:rPr>
              <w:t>交货</w:t>
            </w:r>
            <w:r>
              <w:rPr>
                <w:rFonts w:hint="eastAsia" w:ascii="宋体" w:hAnsi="宋体" w:eastAsia="宋体" w:cs="Times New Roman"/>
                <w:b/>
                <w:bCs w:val="0"/>
                <w:sz w:val="21"/>
                <w:szCs w:val="21"/>
                <w:lang w:val="en-US" w:eastAsia="zh-CN"/>
              </w:rPr>
              <w:t>及付款要求</w:t>
            </w:r>
          </w:p>
        </w:tc>
        <w:tc>
          <w:tcPr>
            <w:tcW w:w="6523" w:type="dxa"/>
            <w:noWrap w:val="0"/>
            <w:vAlign w:val="center"/>
          </w:tcPr>
          <w:p>
            <w:pPr>
              <w:widowControl/>
              <w:spacing w:after="0" w:line="360" w:lineRule="exact"/>
              <w:jc w:val="left"/>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3</w:t>
            </w:r>
            <w:r>
              <w:rPr>
                <w:rFonts w:hint="eastAsia" w:ascii="Times New Roman" w:hAnsi="Times New Roman" w:eastAsia="宋体" w:cs="Times New Roman"/>
                <w:sz w:val="21"/>
                <w:szCs w:val="21"/>
              </w:rPr>
              <w:t>.1履约时间和地点：投标供应商在签订合同之日起</w:t>
            </w:r>
            <w:r>
              <w:rPr>
                <w:rFonts w:ascii="Times New Roman" w:hAnsi="Times New Roman" w:eastAsia="宋体" w:cs="Times New Roman"/>
                <w:sz w:val="21"/>
                <w:szCs w:val="21"/>
              </w:rPr>
              <w:t>30</w:t>
            </w:r>
            <w:r>
              <w:rPr>
                <w:rFonts w:hint="eastAsia" w:ascii="Times New Roman" w:hAnsi="Times New Roman" w:eastAsia="宋体" w:cs="Times New Roman"/>
                <w:sz w:val="21"/>
                <w:szCs w:val="21"/>
              </w:rPr>
              <w:t>天内交货，交货地点为</w:t>
            </w:r>
            <w:r>
              <w:rPr>
                <w:rFonts w:hint="eastAsia" w:ascii="Times New Roman" w:hAnsi="Times New Roman" w:eastAsia="宋体" w:cs="Times New Roman"/>
                <w:sz w:val="21"/>
                <w:szCs w:val="21"/>
                <w:u w:val="single"/>
              </w:rPr>
              <w:t>深圳市宝安区</w:t>
            </w:r>
            <w:r>
              <w:rPr>
                <w:rFonts w:hint="eastAsia" w:ascii="Times New Roman" w:hAnsi="Times New Roman" w:eastAsia="宋体" w:cs="Times New Roman"/>
                <w:sz w:val="21"/>
                <w:szCs w:val="21"/>
                <w:u w:val="single"/>
                <w:lang w:val="en-US" w:eastAsia="zh-CN"/>
              </w:rPr>
              <w:t>福海街道桥顺路立新湖学校</w:t>
            </w:r>
            <w:r>
              <w:rPr>
                <w:rFonts w:hint="eastAsia"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eastAsia="宋体" w:cs="Times New Roman"/>
                <w:b/>
                <w:bCs w:val="0"/>
                <w:sz w:val="21"/>
                <w:szCs w:val="21"/>
              </w:rPr>
            </w:pPr>
          </w:p>
        </w:tc>
        <w:tc>
          <w:tcPr>
            <w:tcW w:w="1457" w:type="dxa"/>
            <w:vMerge w:val="continue"/>
            <w:noWrap w:val="0"/>
            <w:vAlign w:val="center"/>
          </w:tcPr>
          <w:p>
            <w:pPr>
              <w:spacing w:line="360" w:lineRule="exact"/>
              <w:jc w:val="center"/>
              <w:rPr>
                <w:rFonts w:ascii="宋体" w:hAnsi="宋体" w:eastAsia="宋体" w:cs="Times New Roman"/>
                <w:b/>
                <w:bCs w:val="0"/>
                <w:sz w:val="21"/>
                <w:szCs w:val="21"/>
              </w:rPr>
            </w:pPr>
          </w:p>
        </w:tc>
        <w:tc>
          <w:tcPr>
            <w:tcW w:w="6523" w:type="dxa"/>
            <w:noWrap w:val="0"/>
            <w:vAlign w:val="center"/>
          </w:tcPr>
          <w:p>
            <w:pPr>
              <w:widowControl/>
              <w:spacing w:after="0" w:line="360" w:lineRule="exact"/>
              <w:jc w:val="left"/>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3</w:t>
            </w:r>
            <w:r>
              <w:rPr>
                <w:rFonts w:ascii="Times New Roman" w:hAnsi="Times New Roman" w:eastAsia="宋体" w:cs="Times New Roman"/>
                <w:sz w:val="21"/>
                <w:szCs w:val="21"/>
              </w:rPr>
              <w:t>.2</w:t>
            </w:r>
            <w:r>
              <w:rPr>
                <w:rFonts w:hint="eastAsia" w:ascii="Times New Roman" w:hAnsi="Times New Roman" w:eastAsia="宋体" w:cs="Times New Roman"/>
                <w:sz w:val="21"/>
                <w:szCs w:val="21"/>
              </w:rPr>
              <w:t>付款期限和方式：本项目完成并经验收合格后，对于满足合同约定支付条件的，中标人提供发票，收到发票后10个工作日内（最长不超过15日历日）采购人按照有关程序要求向中标人支付。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eastAsia="宋体" w:cs="Times New Roman"/>
                <w:b/>
                <w:bCs w:val="0"/>
                <w:sz w:val="21"/>
                <w:szCs w:val="21"/>
                <w:lang w:val="en-US" w:eastAsia="zh-CN"/>
              </w:rPr>
            </w:pPr>
            <w:r>
              <w:rPr>
                <w:rFonts w:hint="eastAsia" w:ascii="宋体" w:hAnsi="宋体" w:cs="Times New Roman"/>
                <w:b/>
                <w:bCs w:val="0"/>
                <w:sz w:val="21"/>
                <w:szCs w:val="21"/>
                <w:lang w:val="en-US" w:eastAsia="zh-CN"/>
              </w:rPr>
              <w:t>4</w:t>
            </w:r>
          </w:p>
        </w:tc>
        <w:tc>
          <w:tcPr>
            <w:tcW w:w="1457" w:type="dxa"/>
            <w:noWrap w:val="0"/>
            <w:vAlign w:val="center"/>
          </w:tcPr>
          <w:p>
            <w:pPr>
              <w:spacing w:line="360" w:lineRule="exact"/>
              <w:jc w:val="center"/>
              <w:rPr>
                <w:rStyle w:val="20"/>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验收条件</w:t>
            </w:r>
          </w:p>
        </w:tc>
        <w:tc>
          <w:tcPr>
            <w:tcW w:w="6523" w:type="dxa"/>
            <w:noWrap w:val="0"/>
            <w:vAlign w:val="center"/>
          </w:tcPr>
          <w:p>
            <w:pPr>
              <w:spacing w:line="360" w:lineRule="exac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由采购单位组织验收小组进行验收</w:t>
            </w:r>
            <w:r>
              <w:rPr>
                <w:rFonts w:hint="eastAsia" w:ascii="宋体" w:hAnsi="宋体" w:cs="宋体"/>
                <w:color w:val="000000"/>
                <w:sz w:val="21"/>
                <w:szCs w:val="21"/>
                <w:lang w:val="en-US" w:eastAsia="zh-CN"/>
              </w:rPr>
              <w:t>，验收资料按采购人标准表格编制。上报验收报告时，除了表格中写明的材料外，还需要提交验收记录表、产品三证（产品合格证、供货凭证（含生产厂家或代理商证明）、产品检测证明（含第三方有资质检测机构出具的有效检测报告）、合同及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eastAsia="宋体" w:cs="Times New Roman"/>
                <w:b/>
                <w:bCs w:val="0"/>
                <w:sz w:val="21"/>
                <w:szCs w:val="21"/>
                <w:lang w:val="en-US" w:eastAsia="zh-CN"/>
              </w:rPr>
            </w:pPr>
            <w:r>
              <w:rPr>
                <w:rFonts w:hint="eastAsia" w:ascii="宋体" w:hAnsi="宋体" w:cs="Times New Roman"/>
                <w:b/>
                <w:bCs w:val="0"/>
                <w:sz w:val="21"/>
                <w:szCs w:val="21"/>
                <w:lang w:val="en-US" w:eastAsia="zh-CN"/>
              </w:rPr>
              <w:t>5</w:t>
            </w:r>
          </w:p>
        </w:tc>
        <w:tc>
          <w:tcPr>
            <w:tcW w:w="1457" w:type="dxa"/>
            <w:noWrap w:val="0"/>
            <w:vAlign w:val="center"/>
          </w:tcPr>
          <w:p>
            <w:pPr>
              <w:spacing w:line="360" w:lineRule="exact"/>
              <w:jc w:val="center"/>
              <w:rPr>
                <w:rStyle w:val="20"/>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争议解决方法</w:t>
            </w:r>
          </w:p>
        </w:tc>
        <w:tc>
          <w:tcPr>
            <w:tcW w:w="6523" w:type="dxa"/>
            <w:noWrap w:val="0"/>
            <w:vAlign w:val="center"/>
          </w:tcPr>
          <w:p>
            <w:pPr>
              <w:spacing w:line="360" w:lineRule="exact"/>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优先双方协商解决。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40" w:type="dxa"/>
            <w:vMerge w:val="restart"/>
            <w:noWrap w:val="0"/>
            <w:vAlign w:val="center"/>
          </w:tcPr>
          <w:p>
            <w:pPr>
              <w:spacing w:line="360" w:lineRule="exact"/>
              <w:jc w:val="center"/>
              <w:rPr>
                <w:rFonts w:hint="eastAsia" w:ascii="宋体" w:hAnsi="宋体" w:eastAsia="宋体" w:cs="Times New Roman"/>
                <w:b/>
                <w:sz w:val="21"/>
                <w:szCs w:val="21"/>
                <w:lang w:eastAsia="zh-CN"/>
              </w:rPr>
            </w:pPr>
            <w:r>
              <w:rPr>
                <w:rFonts w:hint="eastAsia" w:ascii="宋体" w:hAnsi="宋体" w:cs="Times New Roman"/>
                <w:b/>
                <w:sz w:val="21"/>
                <w:szCs w:val="21"/>
                <w:lang w:val="en-US" w:eastAsia="zh-CN"/>
              </w:rPr>
              <w:t>6</w:t>
            </w:r>
          </w:p>
        </w:tc>
        <w:tc>
          <w:tcPr>
            <w:tcW w:w="1457" w:type="dxa"/>
            <w:vMerge w:val="restart"/>
            <w:noWrap w:val="0"/>
            <w:vAlign w:val="center"/>
          </w:tcPr>
          <w:p>
            <w:pPr>
              <w:spacing w:line="360" w:lineRule="exact"/>
              <w:jc w:val="center"/>
              <w:rPr>
                <w:rFonts w:ascii="宋体" w:hAnsi="宋体" w:eastAsia="宋体" w:cs="Times New Roman"/>
                <w:color w:val="000000"/>
                <w:sz w:val="21"/>
                <w:szCs w:val="21"/>
              </w:rPr>
            </w:pPr>
            <w:r>
              <w:rPr>
                <w:rStyle w:val="20"/>
                <w:rFonts w:hint="eastAsia" w:ascii="宋体" w:hAnsi="宋体" w:eastAsia="宋体" w:cs="宋体"/>
                <w:color w:val="000000"/>
                <w:sz w:val="21"/>
                <w:szCs w:val="21"/>
              </w:rPr>
              <w:t>运输、安装条件</w:t>
            </w:r>
          </w:p>
        </w:tc>
        <w:tc>
          <w:tcPr>
            <w:tcW w:w="6523" w:type="dxa"/>
            <w:noWrap w:val="0"/>
            <w:vAlign w:val="center"/>
          </w:tcPr>
          <w:p>
            <w:pPr>
              <w:spacing w:line="360" w:lineRule="exact"/>
              <w:rPr>
                <w:rFonts w:ascii="宋体" w:hAnsi="宋体" w:eastAsia="宋体" w:cs="Times New Roman"/>
                <w:bCs/>
                <w:color w:val="000000"/>
                <w:sz w:val="21"/>
                <w:szCs w:val="21"/>
              </w:rPr>
            </w:pPr>
            <w:r>
              <w:rPr>
                <w:rFonts w:hint="eastAsia" w:ascii="宋体" w:hAnsi="宋体" w:eastAsia="宋体" w:cs="宋体"/>
                <w:color w:val="000000"/>
                <w:sz w:val="21"/>
                <w:szCs w:val="21"/>
              </w:rPr>
              <w:t>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Times New Roman"/>
                <w:b/>
                <w:sz w:val="21"/>
                <w:szCs w:val="21"/>
                <w:lang w:eastAsia="zh-CN"/>
              </w:rPr>
            </w:pPr>
            <w:r>
              <w:rPr>
                <w:rFonts w:hint="eastAsia" w:ascii="宋体" w:hAnsi="宋体" w:cs="Times New Roman"/>
                <w:b/>
                <w:sz w:val="21"/>
                <w:szCs w:val="21"/>
                <w:lang w:val="en-US" w:eastAsia="zh-CN"/>
              </w:rPr>
              <w:t>7</w:t>
            </w:r>
          </w:p>
        </w:tc>
        <w:tc>
          <w:tcPr>
            <w:tcW w:w="1457" w:type="dxa"/>
            <w:vMerge w:val="restart"/>
            <w:noWrap w:val="0"/>
            <w:vAlign w:val="center"/>
          </w:tcPr>
          <w:p>
            <w:pPr>
              <w:spacing w:line="360" w:lineRule="exact"/>
              <w:jc w:val="center"/>
              <w:rPr>
                <w:rFonts w:ascii="宋体" w:hAnsi="宋体" w:eastAsia="宋体" w:cs="Times New Roman"/>
                <w:b/>
                <w:sz w:val="21"/>
                <w:szCs w:val="21"/>
              </w:rPr>
            </w:pPr>
            <w:r>
              <w:rPr>
                <w:rFonts w:ascii="宋体" w:hAnsi="宋体" w:eastAsia="宋体" w:cs="Times New Roman"/>
                <w:b/>
                <w:sz w:val="21"/>
                <w:szCs w:val="21"/>
              </w:rPr>
              <w:t>培训</w:t>
            </w:r>
          </w:p>
        </w:tc>
        <w:tc>
          <w:tcPr>
            <w:tcW w:w="6523" w:type="dxa"/>
            <w:noWrap w:val="0"/>
          </w:tcPr>
          <w:p>
            <w:pPr>
              <w:widowControl/>
              <w:jc w:val="left"/>
              <w:rPr>
                <w:rFonts w:ascii="宋体" w:hAnsi="宋体" w:eastAsia="宋体" w:cs="宋体"/>
                <w:color w:val="000000"/>
                <w:sz w:val="21"/>
                <w:szCs w:val="21"/>
              </w:rPr>
            </w:pPr>
            <w:r>
              <w:rPr>
                <w:rFonts w:hint="eastAsia" w:ascii="宋体" w:hAnsi="宋体" w:cs="宋体"/>
                <w:color w:val="000000"/>
                <w:sz w:val="21"/>
                <w:szCs w:val="21"/>
                <w:lang w:val="en-US" w:eastAsia="zh-CN"/>
              </w:rPr>
              <w:t>7</w:t>
            </w:r>
            <w:r>
              <w:rPr>
                <w:rFonts w:hint="eastAsia" w:ascii="宋体" w:hAnsi="宋体" w:eastAsia="宋体" w:cs="宋体"/>
                <w:color w:val="000000"/>
                <w:sz w:val="21"/>
                <w:szCs w:val="21"/>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eastAsia="宋体" w:cs="Times New Roman"/>
                <w:b/>
                <w:sz w:val="21"/>
                <w:szCs w:val="21"/>
              </w:rPr>
            </w:pPr>
          </w:p>
        </w:tc>
        <w:tc>
          <w:tcPr>
            <w:tcW w:w="1457" w:type="dxa"/>
            <w:vMerge w:val="continue"/>
            <w:noWrap w:val="0"/>
            <w:vAlign w:val="center"/>
          </w:tcPr>
          <w:p>
            <w:pPr>
              <w:spacing w:line="360" w:lineRule="exact"/>
              <w:rPr>
                <w:rFonts w:ascii="宋体" w:hAnsi="宋体" w:eastAsia="宋体" w:cs="Times New Roman"/>
                <w:b/>
                <w:sz w:val="21"/>
                <w:szCs w:val="21"/>
              </w:rPr>
            </w:pPr>
          </w:p>
        </w:tc>
        <w:tc>
          <w:tcPr>
            <w:tcW w:w="6523" w:type="dxa"/>
            <w:noWrap w:val="0"/>
          </w:tcPr>
          <w:p>
            <w:pPr>
              <w:widowControl/>
              <w:jc w:val="left"/>
              <w:rPr>
                <w:rFonts w:ascii="宋体" w:hAnsi="宋体" w:eastAsia="宋体" w:cs="宋体"/>
                <w:color w:val="000000"/>
                <w:sz w:val="21"/>
                <w:szCs w:val="21"/>
              </w:rPr>
            </w:pPr>
            <w:r>
              <w:rPr>
                <w:rFonts w:hint="eastAsia" w:ascii="宋体" w:hAnsi="宋体" w:cs="宋体"/>
                <w:color w:val="000000"/>
                <w:sz w:val="21"/>
                <w:szCs w:val="21"/>
                <w:lang w:val="en-US" w:eastAsia="zh-CN"/>
              </w:rPr>
              <w:t>7</w:t>
            </w:r>
            <w:r>
              <w:rPr>
                <w:rFonts w:hint="eastAsia" w:ascii="宋体" w:hAnsi="宋体" w:eastAsia="宋体" w:cs="宋体"/>
                <w:color w:val="000000"/>
                <w:sz w:val="21"/>
                <w:szCs w:val="21"/>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Times New Roman"/>
                <w:b/>
                <w:sz w:val="21"/>
                <w:szCs w:val="21"/>
                <w:lang w:eastAsia="zh-CN"/>
              </w:rPr>
            </w:pPr>
            <w:r>
              <w:rPr>
                <w:rFonts w:hint="eastAsia" w:ascii="宋体" w:hAnsi="宋体" w:cs="Times New Roman"/>
                <w:b/>
                <w:sz w:val="21"/>
                <w:szCs w:val="21"/>
                <w:lang w:val="en-US" w:eastAsia="zh-CN"/>
              </w:rPr>
              <w:t>8</w:t>
            </w:r>
          </w:p>
        </w:tc>
        <w:tc>
          <w:tcPr>
            <w:tcW w:w="1457" w:type="dxa"/>
            <w:vMerge w:val="restart"/>
            <w:noWrap w:val="0"/>
            <w:vAlign w:val="center"/>
          </w:tcPr>
          <w:p>
            <w:pPr>
              <w:spacing w:line="360" w:lineRule="exact"/>
              <w:jc w:val="center"/>
              <w:rPr>
                <w:rFonts w:ascii="宋体" w:hAnsi="宋体" w:eastAsia="宋体" w:cs="Times New Roman"/>
                <w:b/>
                <w:sz w:val="21"/>
                <w:szCs w:val="21"/>
              </w:rPr>
            </w:pPr>
            <w:r>
              <w:rPr>
                <w:rFonts w:ascii="宋体" w:hAnsi="宋体" w:eastAsia="宋体" w:cs="Times New Roman"/>
                <w:b/>
                <w:sz w:val="21"/>
                <w:szCs w:val="21"/>
              </w:rPr>
              <w:t>知识产权</w:t>
            </w:r>
          </w:p>
        </w:tc>
        <w:tc>
          <w:tcPr>
            <w:tcW w:w="6523" w:type="dxa"/>
            <w:noWrap w:val="0"/>
          </w:tcPr>
          <w:p>
            <w:pPr>
              <w:rPr>
                <w:rFonts w:ascii="Times New Roman" w:hAnsi="Times New Roman" w:eastAsia="宋体" w:cs="Times New Roman"/>
                <w:sz w:val="21"/>
                <w:szCs w:val="21"/>
              </w:rPr>
            </w:pPr>
            <w:r>
              <w:rPr>
                <w:rFonts w:hint="eastAsia" w:ascii="宋体" w:hAnsi="宋体" w:cs="宋体"/>
                <w:color w:val="000000"/>
                <w:sz w:val="21"/>
                <w:szCs w:val="21"/>
                <w:lang w:val="en-US" w:eastAsia="zh-CN"/>
              </w:rPr>
              <w:t>8</w:t>
            </w:r>
            <w:r>
              <w:rPr>
                <w:rFonts w:hint="eastAsia" w:ascii="宋体" w:hAnsi="宋体" w:eastAsia="宋体" w:cs="宋体"/>
                <w:color w:val="000000"/>
                <w:sz w:val="21"/>
                <w:szCs w:val="21"/>
              </w:rPr>
              <w:t>.1涉及采购标的的知识产权归属、处理的，</w:t>
            </w:r>
            <w:r>
              <w:rPr>
                <w:rFonts w:hint="eastAsia" w:ascii="宋体" w:hAnsi="宋体" w:eastAsia="宋体" w:cs="宋体"/>
                <w:color w:val="000000"/>
                <w:sz w:val="21"/>
                <w:szCs w:val="21"/>
                <w:lang w:val="en-US" w:eastAsia="zh-CN"/>
              </w:rPr>
              <w:t>应</w:t>
            </w:r>
            <w:r>
              <w:rPr>
                <w:rFonts w:hint="eastAsia" w:ascii="宋体" w:hAnsi="宋体" w:eastAsia="宋体" w:cs="宋体"/>
                <w:color w:val="000000"/>
                <w:sz w:val="21"/>
                <w:szCs w:val="21"/>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eastAsia="宋体" w:cs="Times New Roman"/>
                <w:b/>
                <w:sz w:val="21"/>
                <w:szCs w:val="21"/>
              </w:rPr>
            </w:pPr>
          </w:p>
        </w:tc>
        <w:tc>
          <w:tcPr>
            <w:tcW w:w="1457" w:type="dxa"/>
            <w:vMerge w:val="continue"/>
            <w:noWrap w:val="0"/>
            <w:vAlign w:val="center"/>
          </w:tcPr>
          <w:p>
            <w:pPr>
              <w:spacing w:line="360" w:lineRule="exact"/>
              <w:rPr>
                <w:rFonts w:ascii="宋体" w:hAnsi="宋体" w:eastAsia="宋体" w:cs="Times New Roman"/>
                <w:b/>
                <w:sz w:val="21"/>
                <w:szCs w:val="21"/>
              </w:rPr>
            </w:pPr>
          </w:p>
        </w:tc>
        <w:tc>
          <w:tcPr>
            <w:tcW w:w="6523" w:type="dxa"/>
            <w:noWrap w:val="0"/>
          </w:tcPr>
          <w:p>
            <w:pPr>
              <w:widowControl/>
              <w:jc w:val="left"/>
              <w:rPr>
                <w:rFonts w:ascii="宋体" w:hAnsi="宋体" w:eastAsia="宋体" w:cs="宋体"/>
                <w:color w:val="000000"/>
                <w:sz w:val="21"/>
                <w:szCs w:val="21"/>
              </w:rPr>
            </w:pPr>
            <w:r>
              <w:rPr>
                <w:rFonts w:hint="eastAsia" w:ascii="宋体" w:hAnsi="宋体" w:cs="宋体"/>
                <w:color w:val="000000"/>
                <w:sz w:val="21"/>
                <w:szCs w:val="21"/>
                <w:lang w:val="en-US" w:eastAsia="zh-CN"/>
              </w:rPr>
              <w:t>8</w:t>
            </w:r>
            <w:r>
              <w:rPr>
                <w:rFonts w:hint="eastAsia" w:ascii="宋体" w:hAnsi="宋体" w:eastAsia="宋体" w:cs="宋体"/>
                <w:color w:val="000000"/>
                <w:sz w:val="21"/>
                <w:szCs w:val="21"/>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eastAsia="宋体" w:cs="Times New Roman"/>
                <w:b/>
                <w:sz w:val="21"/>
                <w:szCs w:val="21"/>
                <w:lang w:val="en-US" w:eastAsia="zh-CN"/>
              </w:rPr>
            </w:pPr>
            <w:r>
              <w:rPr>
                <w:rFonts w:hint="eastAsia" w:cs="Times New Roman"/>
                <w:b/>
                <w:sz w:val="21"/>
                <w:szCs w:val="21"/>
                <w:lang w:val="en-US" w:eastAsia="zh-CN"/>
              </w:rPr>
              <w:t>9</w:t>
            </w:r>
          </w:p>
        </w:tc>
        <w:tc>
          <w:tcPr>
            <w:tcW w:w="1457" w:type="dxa"/>
            <w:noWrap w:val="0"/>
            <w:vAlign w:val="center"/>
          </w:tcPr>
          <w:p>
            <w:pPr>
              <w:spacing w:line="360" w:lineRule="exact"/>
              <w:jc w:val="center"/>
              <w:rPr>
                <w:rFonts w:ascii="宋体" w:hAnsi="宋体" w:eastAsia="宋体" w:cs="Times New Roman"/>
                <w:b/>
                <w:sz w:val="21"/>
                <w:szCs w:val="21"/>
              </w:rPr>
            </w:pPr>
            <w:r>
              <w:rPr>
                <w:rFonts w:ascii="宋体" w:hAnsi="宋体" w:eastAsia="宋体" w:cs="Times New Roman"/>
                <w:b/>
                <w:color w:val="0000FF"/>
                <w:sz w:val="21"/>
                <w:szCs w:val="21"/>
              </w:rPr>
              <w:t>其他</w:t>
            </w:r>
          </w:p>
        </w:tc>
        <w:tc>
          <w:tcPr>
            <w:tcW w:w="6523" w:type="dxa"/>
            <w:noWrap w:val="0"/>
          </w:tcPr>
          <w:p>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投标供应商应按其投标文件中的承诺，进行其他售后服务工作。</w:t>
            </w:r>
          </w:p>
        </w:tc>
      </w:tr>
      <w:bookmarkEnd w:id="42"/>
    </w:tbl>
    <w:p>
      <w:pPr>
        <w:rPr>
          <w:b/>
        </w:rPr>
      </w:pPr>
    </w:p>
    <w:p>
      <w:pPr>
        <w:pStyle w:val="6"/>
        <w:spacing w:before="60" w:beforeLines="25" w:after="60" w:afterLines="25"/>
        <w:ind w:firstLine="0" w:firstLineChars="0"/>
        <w:rPr>
          <w:rFonts w:ascii="宋体" w:hAnsi="宋体"/>
          <w:szCs w:val="21"/>
        </w:rPr>
      </w:pPr>
    </w:p>
    <w:p>
      <w:pPr>
        <w:pStyle w:val="6"/>
        <w:spacing w:before="60" w:beforeLines="25" w:after="60" w:afterLines="25"/>
        <w:ind w:firstLine="0" w:firstLineChars="0"/>
        <w:rPr>
          <w:rFonts w:ascii="宋体" w:hAnsi="宋体"/>
          <w:szCs w:val="21"/>
        </w:rPr>
      </w:pPr>
    </w:p>
    <w:p>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7"/>
        <w:rPr>
          <w:rFonts w:ascii="宋体" w:hAnsi="宋体"/>
        </w:rPr>
      </w:pPr>
    </w:p>
    <w:p>
      <w:pPr>
        <w:pStyle w:val="14"/>
      </w:pPr>
    </w:p>
    <w:p>
      <w:pPr>
        <w:pStyle w:val="7"/>
        <w:rPr>
          <w:rFonts w:ascii="宋体" w:hAnsi="宋体"/>
        </w:rPr>
        <w:sectPr>
          <w:pgSz w:w="11907" w:h="16840"/>
          <w:pgMar w:top="1440" w:right="1797" w:bottom="1440" w:left="1797" w:header="851" w:footer="992" w:gutter="0"/>
          <w:cols w:space="425" w:num="1"/>
          <w:titlePg/>
          <w:docGrid w:linePitch="462" w:charSpace="0"/>
        </w:sectPr>
      </w:pPr>
    </w:p>
    <w:p>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3"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3"/>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4" w:name="_Hlk72257771"/>
      <w:bookmarkStart w:id="45" w:name="_Hlk72263559"/>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6" w:name="_Hlk72070784"/>
      <w:r>
        <w:rPr>
          <w:rFonts w:hint="eastAsia"/>
          <w:szCs w:val="21"/>
        </w:rPr>
        <w:t>投标函</w:t>
      </w:r>
      <w:bookmarkEnd w:id="46"/>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47" w:name="_Hlk72257201"/>
      <w:r>
        <w:rPr>
          <w:rFonts w:hint="eastAsia"/>
          <w:szCs w:val="21"/>
        </w:rPr>
        <w:t>（</w:t>
      </w:r>
      <w:r>
        <w:rPr>
          <w:szCs w:val="21"/>
        </w:rPr>
        <w:t>4</w:t>
      </w:r>
      <w:r>
        <w:rPr>
          <w:rFonts w:hint="eastAsia"/>
          <w:szCs w:val="21"/>
        </w:rPr>
        <w:t>）</w:t>
      </w:r>
      <w:bookmarkEnd w:id="47"/>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r>
        <w:rPr>
          <w:rFonts w:hint="eastAsia"/>
          <w:szCs w:val="21"/>
          <w:lang w:val="en-US" w:eastAsia="zh-CN"/>
        </w:rPr>
        <w:t>经验评价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）体系认证情况评价</w:t>
      </w:r>
      <w:r>
        <w:rPr>
          <w:rFonts w:hint="eastAsia"/>
          <w:szCs w:val="21"/>
          <w:lang w:eastAsia="zh-CN"/>
        </w:rPr>
        <w:t>；</w:t>
      </w:r>
    </w:p>
    <w:p>
      <w:pPr>
        <w:ind w:left="718" w:leftChars="342" w:firstLine="1627" w:firstLineChars="775"/>
        <w:rPr>
          <w:szCs w:val="21"/>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Theme="minor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）政府采购节能环保产品情况</w:t>
      </w:r>
      <w:r>
        <w:rPr>
          <w:rFonts w:hint="eastAsia"/>
          <w:szCs w:val="21"/>
          <w:lang w:eastAsia="zh-CN"/>
        </w:rPr>
        <w:t>；</w:t>
      </w:r>
    </w:p>
    <w:p>
      <w:pPr>
        <w:ind w:left="718" w:leftChars="342" w:firstLine="1417" w:firstLineChars="675"/>
        <w:rPr>
          <w:rFonts w:hint="eastAsia" w:ascii="宋体" w:hAnsi="宋体" w:eastAsia="宋体" w:cs="宋体"/>
          <w:sz w:val="21"/>
          <w:szCs w:val="21"/>
          <w:lang w:val="en-US"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p>
      <w:pPr>
        <w:ind w:left="718" w:leftChars="342" w:firstLine="1417" w:firstLineChars="6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（8）项目组织实施方案的评价；</w:t>
      </w:r>
    </w:p>
    <w:p>
      <w:pPr>
        <w:ind w:left="718" w:leftChars="342" w:firstLine="1417" w:firstLineChars="6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（9）售后服务评价；</w:t>
      </w:r>
    </w:p>
    <w:p>
      <w:pPr>
        <w:ind w:left="718" w:leftChars="342" w:firstLine="1417" w:firstLineChars="6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（10）实施及维护能力评价；</w:t>
      </w:r>
    </w:p>
    <w:p>
      <w:pPr>
        <w:ind w:left="718" w:leftChars="342" w:firstLine="1417" w:firstLineChars="6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（11）投标人认为需要加以说明的其他内容；</w:t>
      </w:r>
    </w:p>
    <w:p>
      <w:pPr>
        <w:pStyle w:val="7"/>
      </w:pPr>
    </w:p>
    <w:p>
      <w:pPr>
        <w:pStyle w:val="6"/>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4"/>
      <w:bookmarkEnd w:id="45"/>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3"/>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8"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9"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50" w:name="_Hlk72263588"/>
      <w:r>
        <w:rPr>
          <w:rFonts w:hint="eastAsia"/>
          <w:szCs w:val="21"/>
        </w:rPr>
        <w:t>愿意按照招标文件要求承包上述项目并修补其任何缺陷。</w:t>
      </w:r>
      <w:bookmarkEnd w:id="50"/>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1" w:name="_Hlk73819847"/>
      <w:r>
        <w:rPr>
          <w:rFonts w:hint="eastAsia" w:ascii="宋体" w:hAnsi="宋体"/>
          <w:szCs w:val="21"/>
        </w:rPr>
        <w:t>投标价格见</w:t>
      </w:r>
      <w:r>
        <w:rPr>
          <w:rFonts w:hint="eastAsia"/>
          <w:szCs w:val="21"/>
        </w:rPr>
        <w:t>投标书编制软件中《开标一览表》中填写的投标总价。</w:t>
      </w:r>
      <w:bookmarkEnd w:id="51"/>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9"/>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8"/>
    <w:p>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2"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3" w:name="_Hlk72587269"/>
      <w:bookmarkStart w:id="54"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3"/>
      <w:r>
        <w:rPr>
          <w:rFonts w:hint="eastAsia" w:ascii="宋体" w:hAnsi="宋体"/>
          <w:szCs w:val="21"/>
        </w:rPr>
        <w:t>。</w:t>
      </w:r>
    </w:p>
    <w:bookmarkEnd w:id="54"/>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2"/>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3"/>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5"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6" w:name="_Hlk72257908"/>
      <w:r>
        <w:rPr>
          <w:rFonts w:hint="eastAsia" w:ascii="黑体" w:hAnsi="宋体" w:eastAsia="黑体"/>
          <w:bCs/>
          <w:kern w:val="0"/>
          <w:sz w:val="24"/>
          <w:szCs w:val="32"/>
        </w:rPr>
        <w:t>（二）中小企业声明函、残疾人福利性单位声明函及监狱企业声明函</w:t>
      </w:r>
    </w:p>
    <w:bookmarkEnd w:id="55"/>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2"/>
        </w:numPr>
        <w:jc w:val="center"/>
        <w:outlineLvl w:val="9"/>
        <w:rPr>
          <w:b/>
          <w:sz w:val="24"/>
        </w:rPr>
      </w:pPr>
      <w:r>
        <w:rPr>
          <w:b/>
          <w:sz w:val="24"/>
        </w:rPr>
        <w:t>中小企业声明函（货物）</w:t>
      </w:r>
    </w:p>
    <w:p>
      <w:pPr>
        <w:pStyle w:val="7"/>
        <w:widowControl w:val="0"/>
        <w:numPr>
          <w:ilvl w:val="0"/>
          <w:numId w:val="0"/>
        </w:numPr>
        <w:spacing w:line="360" w:lineRule="auto"/>
        <w:jc w:val="both"/>
      </w:pP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7"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7"/>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8" w:name="_Hlk73562331"/>
      <w:bookmarkStart w:id="59"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8"/>
    </w:p>
    <w:bookmarkEnd w:id="59"/>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6"/>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3"/>
        <w:jc w:val="center"/>
        <w:rPr>
          <w:rFonts w:ascii="黑体" w:eastAsia="黑体"/>
          <w:b w:val="0"/>
          <w:sz w:val="24"/>
          <w:szCs w:val="24"/>
        </w:rPr>
      </w:pPr>
      <w:bookmarkStart w:id="60"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703"/>
        <w:gridCol w:w="703"/>
        <w:gridCol w:w="612"/>
        <w:gridCol w:w="726"/>
        <w:gridCol w:w="462"/>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PLAN-2021</w:t>
            </w:r>
            <w:r>
              <w:rPr>
                <w:rFonts w:ascii="Times New Roman" w:hAnsi="Times New Roman" w:eastAsia="宋体" w:cs="Times New Roman"/>
                <w:bCs/>
                <w:szCs w:val="21"/>
              </w:rPr>
              <w:t>***</w:t>
            </w: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触控一体机</w:t>
            </w:r>
          </w:p>
        </w:tc>
        <w:tc>
          <w:tcPr>
            <w:tcW w:w="703"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18</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Cs/>
                <w:szCs w:val="21"/>
              </w:rPr>
              <w:t>453600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1"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1"/>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2" w:name="_Hlk72073235"/>
      <w:r>
        <w:rPr>
          <w:rFonts w:hint="eastAsia"/>
          <w:b/>
          <w:sz w:val="24"/>
        </w:rPr>
        <w:t>投标人认为需要涉及的其他内容报价清单</w:t>
      </w:r>
      <w:bookmarkEnd w:id="62"/>
    </w:p>
    <w:p>
      <w:pPr>
        <w:pStyle w:val="3"/>
        <w:jc w:val="center"/>
        <w:rPr>
          <w:rFonts w:hint="eastAsia" w:ascii="黑体" w:hAnsi="宋体" w:eastAsia="黑体"/>
          <w:b w:val="0"/>
          <w:sz w:val="24"/>
          <w:lang w:val="en-US" w:eastAsia="zh-CN"/>
        </w:rPr>
      </w:pPr>
      <w:r>
        <w:rPr>
          <w:rFonts w:hint="eastAsia" w:ascii="黑体" w:hAnsi="宋体" w:eastAsia="黑体"/>
          <w:b w:val="0"/>
          <w:sz w:val="24"/>
          <w:lang w:val="en-US" w:eastAsia="zh-CN"/>
        </w:rPr>
        <w:t>五、经验评价</w:t>
      </w:r>
    </w:p>
    <w:p>
      <w:pPr>
        <w:jc w:val="center"/>
        <w:outlineLvl w:val="9"/>
        <w:rPr>
          <w:rFonts w:hint="eastAsia" w:ascii="黑体" w:hAnsi="宋体" w:eastAsia="黑体"/>
          <w:b w:val="0"/>
          <w:sz w:val="24"/>
          <w:lang w:val="en-US" w:eastAsia="zh-CN"/>
        </w:rPr>
      </w:pPr>
      <w:r>
        <w:rPr>
          <w:rFonts w:hint="eastAsia"/>
          <w:b w:val="0"/>
          <w:bCs w:val="0"/>
        </w:rPr>
        <w:t>（特别提示：投标人须按本招标文件评标信息中这一评审因素要求，提供证明资料）</w:t>
      </w:r>
    </w:p>
    <w:p>
      <w:pPr>
        <w:pStyle w:val="3"/>
        <w:jc w:val="center"/>
        <w:rPr>
          <w:rFonts w:hint="eastAsia" w:ascii="黑体" w:hAnsi="宋体" w:eastAsia="黑体"/>
          <w:b w:val="0"/>
          <w:sz w:val="24"/>
          <w:lang w:val="en-US" w:eastAsia="zh-CN"/>
        </w:rPr>
      </w:pPr>
      <w:r>
        <w:rPr>
          <w:rFonts w:hint="eastAsia" w:ascii="黑体" w:hAnsi="宋体" w:eastAsia="黑体"/>
          <w:b w:val="0"/>
          <w:sz w:val="24"/>
          <w:lang w:val="en-US" w:eastAsia="zh-CN"/>
        </w:rPr>
        <w:t>六、体系认证情况评价</w:t>
      </w:r>
    </w:p>
    <w:p>
      <w:r>
        <w:rPr>
          <w:rFonts w:hint="eastAsia"/>
          <w:b w:val="0"/>
          <w:bCs w:val="0"/>
        </w:rPr>
        <w:t>（特别提示：投标人须按本招标文件评标信息中这一评审因素要求，提供证明资料）</w:t>
      </w:r>
    </w:p>
    <w:p>
      <w:pPr>
        <w:ind w:firstLine="723" w:firstLineChars="300"/>
        <w:rPr>
          <w:b/>
          <w:color w:val="FF0000"/>
          <w:sz w:val="24"/>
        </w:rPr>
      </w:pPr>
      <w:r>
        <w:rPr>
          <w:rFonts w:hint="eastAsia"/>
          <w:b/>
          <w:color w:val="FF0000"/>
          <w:sz w:val="24"/>
        </w:rPr>
        <w:t>（信息公开部分的内容到此为止！以下为信息不公开部分。）</w:t>
      </w:r>
    </w:p>
    <w:bookmarkEnd w:id="60"/>
    <w:p>
      <w:r>
        <w:br w:type="page"/>
      </w:r>
    </w:p>
    <w:p>
      <w:pPr>
        <w:outlineLvl w:val="1"/>
        <w:rPr>
          <w:rFonts w:ascii="宋体" w:hAnsi="宋体"/>
          <w:b/>
          <w:color w:val="FF0000"/>
          <w:sz w:val="28"/>
          <w:szCs w:val="28"/>
        </w:rPr>
      </w:pPr>
      <w:bookmarkStart w:id="63" w:name="_Hlk72260530"/>
      <w:r>
        <w:rPr>
          <w:rFonts w:hint="eastAsia" w:ascii="宋体" w:hAnsi="宋体"/>
          <w:b/>
          <w:color w:val="FF0000"/>
          <w:sz w:val="28"/>
          <w:szCs w:val="28"/>
        </w:rPr>
        <w:t>投标文件附件（信息不公开部分）</w:t>
      </w:r>
    </w:p>
    <w:p>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3"/>
        <w:spacing w:before="120" w:after="120"/>
        <w:jc w:val="center"/>
        <w:rPr>
          <w:rFonts w:ascii="黑体" w:eastAsia="黑体"/>
          <w:b w:val="0"/>
          <w:sz w:val="24"/>
        </w:rPr>
      </w:pPr>
      <w:r>
        <w:rPr>
          <w:rFonts w:hint="eastAsia" w:ascii="黑体" w:eastAsia="黑体"/>
          <w:b w:val="0"/>
          <w:sz w:val="24"/>
        </w:rPr>
        <w:t>二、</w:t>
      </w:r>
      <w:bookmarkStart w:id="64" w:name="_Hlk72092499"/>
      <w:r>
        <w:rPr>
          <w:rFonts w:hint="eastAsia" w:ascii="黑体" w:eastAsia="黑体"/>
          <w:b w:val="0"/>
          <w:sz w:val="24"/>
        </w:rPr>
        <w:t>法定代表人（负责人）证明书</w:t>
      </w:r>
      <w:bookmarkEnd w:id="64"/>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3"/>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3"/>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3"/>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7"/>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7"/>
              <w:jc w:val="center"/>
              <w:rPr>
                <w:rFonts w:hint="eastAsia"/>
                <w:lang w:val="en-US" w:eastAsia="zh-CN"/>
              </w:rPr>
            </w:pPr>
          </w:p>
          <w:p>
            <w:pPr>
              <w:pStyle w:val="14"/>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3"/>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7"/>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7"/>
              <w:jc w:val="center"/>
              <w:rPr>
                <w:rFonts w:hint="eastAsia"/>
                <w:lang w:val="en-US" w:eastAsia="zh-CN"/>
              </w:rPr>
            </w:pPr>
          </w:p>
          <w:p>
            <w:pPr>
              <w:pStyle w:val="14"/>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8"/>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5"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pPr w:leftFromText="180" w:rightFromText="180" w:vertAnchor="text" w:horzAnchor="page" w:tblpX="1398" w:tblpY="429"/>
        <w:tblOverlap w:val="never"/>
        <w:tblW w:w="96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900"/>
        <w:gridCol w:w="5840"/>
        <w:gridCol w:w="910"/>
        <w:gridCol w:w="850"/>
        <w:gridCol w:w="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80" w:type="dxa"/>
            <w:vAlign w:val="center"/>
          </w:tcPr>
          <w:p>
            <w:pPr>
              <w:jc w:val="center"/>
              <w:rPr>
                <w:color w:val="000000" w:themeColor="text1"/>
                <w:szCs w:val="21"/>
              </w:rPr>
            </w:pPr>
            <w:r>
              <w:rPr>
                <w:color w:val="000000" w:themeColor="text1"/>
                <w:szCs w:val="21"/>
              </w:rPr>
              <w:t>序号</w:t>
            </w:r>
          </w:p>
        </w:tc>
        <w:tc>
          <w:tcPr>
            <w:tcW w:w="900" w:type="dxa"/>
            <w:vAlign w:val="center"/>
          </w:tcPr>
          <w:p>
            <w:pPr>
              <w:widowControl/>
              <w:jc w:val="center"/>
              <w:rPr>
                <w:color w:val="000000" w:themeColor="text1"/>
                <w:szCs w:val="21"/>
              </w:rPr>
            </w:pPr>
            <w:r>
              <w:rPr>
                <w:color w:val="000000" w:themeColor="text1"/>
                <w:szCs w:val="21"/>
              </w:rPr>
              <w:t>货物名称</w:t>
            </w:r>
          </w:p>
        </w:tc>
        <w:tc>
          <w:tcPr>
            <w:tcW w:w="5840" w:type="dxa"/>
            <w:vAlign w:val="center"/>
          </w:tcPr>
          <w:p>
            <w:pPr>
              <w:jc w:val="center"/>
              <w:rPr>
                <w:color w:val="000000" w:themeColor="text1"/>
                <w:szCs w:val="21"/>
              </w:rPr>
            </w:pPr>
            <w:r>
              <w:rPr>
                <w:rFonts w:hint="eastAsia"/>
                <w:color w:val="000000" w:themeColor="text1"/>
                <w:szCs w:val="21"/>
              </w:rPr>
              <w:t>招标</w:t>
            </w:r>
            <w:r>
              <w:rPr>
                <w:color w:val="000000" w:themeColor="text1"/>
                <w:szCs w:val="21"/>
              </w:rPr>
              <w:t>技术要求</w:t>
            </w:r>
          </w:p>
        </w:tc>
        <w:tc>
          <w:tcPr>
            <w:tcW w:w="910" w:type="dxa"/>
            <w:vAlign w:val="center"/>
          </w:tcPr>
          <w:p>
            <w:pPr>
              <w:jc w:val="center"/>
              <w:rPr>
                <w:rFonts w:hint="eastAsia"/>
                <w:color w:val="000000" w:themeColor="text1"/>
                <w:szCs w:val="21"/>
              </w:rPr>
            </w:pPr>
            <w:r>
              <w:rPr>
                <w:rFonts w:hint="eastAsia"/>
                <w:sz w:val="24"/>
              </w:rPr>
              <w:t>投标技术响应</w:t>
            </w:r>
          </w:p>
        </w:tc>
        <w:tc>
          <w:tcPr>
            <w:tcW w:w="850" w:type="dxa"/>
            <w:vAlign w:val="center"/>
          </w:tcPr>
          <w:p>
            <w:pPr>
              <w:jc w:val="center"/>
              <w:rPr>
                <w:rFonts w:hint="eastAsia"/>
                <w:color w:val="000000" w:themeColor="text1"/>
                <w:szCs w:val="21"/>
              </w:rPr>
            </w:pPr>
            <w:r>
              <w:rPr>
                <w:rFonts w:hint="eastAsia"/>
                <w:sz w:val="24"/>
              </w:rPr>
              <w:t>偏离情况</w:t>
            </w:r>
          </w:p>
        </w:tc>
        <w:tc>
          <w:tcPr>
            <w:tcW w:w="613" w:type="dxa"/>
            <w:vAlign w:val="center"/>
          </w:tcPr>
          <w:p>
            <w:pPr>
              <w:jc w:val="center"/>
              <w:rPr>
                <w:rFonts w:hint="eastAsia"/>
                <w:color w:val="000000" w:themeColor="text1"/>
                <w:szCs w:val="21"/>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restart"/>
            <w:vAlign w:val="center"/>
          </w:tcPr>
          <w:p>
            <w:pPr>
              <w:jc w:val="center"/>
              <w:rPr>
                <w:rFonts w:hint="eastAsia" w:eastAsiaTheme="minorEastAsia"/>
                <w:color w:val="000000" w:themeColor="text1"/>
                <w:szCs w:val="21"/>
                <w:lang w:val="en-US" w:eastAsia="zh-CN"/>
              </w:rPr>
            </w:pPr>
            <w:r>
              <w:rPr>
                <w:rFonts w:hint="eastAsia"/>
                <w:color w:val="000000" w:themeColor="text1"/>
                <w:szCs w:val="21"/>
                <w:lang w:val="en-US" w:eastAsia="zh-CN"/>
              </w:rPr>
              <w:t>1</w:t>
            </w:r>
          </w:p>
        </w:tc>
        <w:tc>
          <w:tcPr>
            <w:tcW w:w="900" w:type="dxa"/>
            <w:vMerge w:val="restart"/>
            <w:vAlign w:val="center"/>
          </w:tcPr>
          <w:p>
            <w:pPr>
              <w:jc w:val="center"/>
              <w:rPr>
                <w:color w:val="000000" w:themeColor="text1"/>
                <w:szCs w:val="21"/>
              </w:rPr>
            </w:pPr>
            <w:r>
              <w:rPr>
                <w:rFonts w:hint="eastAsia" w:ascii="宋体" w:hAnsi="宋体" w:eastAsia="宋体" w:cs="宋体"/>
                <w:i w:val="0"/>
                <w:iCs w:val="0"/>
                <w:color w:val="000000"/>
                <w:sz w:val="21"/>
                <w:szCs w:val="21"/>
                <w:u w:val="none"/>
                <w:lang w:val="en-US" w:eastAsia="zh-CN"/>
              </w:rPr>
              <w:t>触控一体机</w:t>
            </w:r>
          </w:p>
        </w:tc>
        <w:tc>
          <w:tcPr>
            <w:tcW w:w="8213" w:type="dxa"/>
            <w:gridSpan w:val="4"/>
            <w:vAlign w:val="center"/>
          </w:tcPr>
          <w:p>
            <w:pPr>
              <w:keepNext w:val="0"/>
              <w:keepLines w:val="0"/>
              <w:widowControl/>
              <w:suppressLineNumbers w:val="0"/>
              <w:jc w:val="left"/>
              <w:textAlignment w:val="center"/>
              <w:rPr>
                <w:rStyle w:val="38"/>
                <w:b/>
                <w:bCs/>
                <w:lang w:val="en-US" w:eastAsia="zh-CN" w:bidi="ar"/>
              </w:rPr>
            </w:pPr>
            <w:r>
              <w:rPr>
                <w:rStyle w:val="38"/>
                <w:b/>
                <w:bCs/>
                <w:lang w:val="en-US" w:eastAsia="zh-CN" w:bidi="ar"/>
              </w:rPr>
              <w:t>一、整体设计：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vAlign w:val="center"/>
          </w:tcPr>
          <w:p>
            <w:pPr>
              <w:jc w:val="center"/>
              <w:rPr>
                <w:color w:val="000000" w:themeColor="text1"/>
                <w:szCs w:val="21"/>
              </w:rPr>
            </w:pPr>
          </w:p>
        </w:tc>
        <w:tc>
          <w:tcPr>
            <w:tcW w:w="900" w:type="dxa"/>
            <w:vMerge w:val="continue"/>
            <w:vAlign w:val="center"/>
          </w:tcPr>
          <w:p>
            <w:pPr>
              <w:jc w:val="center"/>
              <w:rPr>
                <w:color w:val="000000" w:themeColor="text1"/>
                <w:szCs w:val="21"/>
              </w:rPr>
            </w:pPr>
          </w:p>
        </w:tc>
        <w:tc>
          <w:tcPr>
            <w:tcW w:w="5840" w:type="dxa"/>
            <w:vAlign w:val="center"/>
          </w:tcPr>
          <w:p>
            <w:pPr>
              <w:keepNext w:val="0"/>
              <w:keepLines w:val="0"/>
              <w:widowControl/>
              <w:suppressLineNumbers w:val="0"/>
              <w:jc w:val="left"/>
              <w:textAlignment w:val="center"/>
              <w:rPr>
                <w:b w:val="0"/>
                <w:bCs w:val="0"/>
                <w:color w:val="000000" w:themeColor="text1"/>
                <w:szCs w:val="21"/>
              </w:rPr>
            </w:pPr>
            <w:r>
              <w:rPr>
                <w:rStyle w:val="38"/>
                <w:b w:val="0"/>
                <w:bCs w:val="0"/>
                <w:lang w:val="en-US" w:eastAsia="zh-CN" w:bidi="ar"/>
              </w:rPr>
              <w:t>1.</w:t>
            </w:r>
            <w:r>
              <w:rPr>
                <w:rStyle w:val="38"/>
                <w:rFonts w:hint="eastAsia"/>
                <w:b w:val="0"/>
                <w:bCs w:val="0"/>
                <w:lang w:val="en-US" w:eastAsia="zh-CN" w:bidi="ar"/>
              </w:rPr>
              <w:t>整机采用一体设计，外部无任何可见内部功能模块连接线。整机采用全金属外壳设计，边角采用弧形设计，表面无尖锐边缘或凸起。</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vAlign w:val="center"/>
          </w:tcPr>
          <w:p>
            <w:pPr>
              <w:jc w:val="center"/>
              <w:rPr>
                <w:color w:val="000000" w:themeColor="text1"/>
                <w:szCs w:val="21"/>
              </w:rPr>
            </w:pPr>
          </w:p>
        </w:tc>
        <w:tc>
          <w:tcPr>
            <w:tcW w:w="900" w:type="dxa"/>
            <w:vMerge w:val="continue"/>
            <w:vAlign w:val="center"/>
          </w:tcPr>
          <w:p>
            <w:pPr>
              <w:jc w:val="center"/>
              <w:rPr>
                <w:color w:val="000000" w:themeColor="text1"/>
                <w:szCs w:val="21"/>
              </w:rPr>
            </w:pPr>
          </w:p>
        </w:tc>
        <w:tc>
          <w:tcPr>
            <w:tcW w:w="5840" w:type="dxa"/>
            <w:vAlign w:val="center"/>
          </w:tcPr>
          <w:p>
            <w:pPr>
              <w:keepNext w:val="0"/>
              <w:keepLines w:val="0"/>
              <w:widowControl/>
              <w:suppressLineNumbers w:val="0"/>
              <w:jc w:val="left"/>
              <w:textAlignment w:val="center"/>
              <w:rPr>
                <w:rFonts w:hint="eastAsia" w:eastAsia="宋体"/>
                <w:b w:val="0"/>
                <w:bCs w:val="0"/>
                <w:lang w:val="en-US" w:eastAsia="zh-CN"/>
              </w:rPr>
            </w:pPr>
            <w:r>
              <w:rPr>
                <w:rStyle w:val="38"/>
                <w:b w:val="0"/>
                <w:bCs w:val="0"/>
                <w:lang w:val="en-US" w:eastAsia="zh-CN" w:bidi="ar"/>
              </w:rPr>
              <w:t>2.</w:t>
            </w:r>
            <w:r>
              <w:rPr>
                <w:rStyle w:val="38"/>
                <w:rFonts w:hint="eastAsia"/>
                <w:b w:val="0"/>
                <w:bCs w:val="0"/>
                <w:lang w:val="en-US" w:eastAsia="zh-CN" w:bidi="ar"/>
              </w:rPr>
              <w:t>整机屏幕采用86英寸液晶显示器。采用超高清LED液晶显示屏，显示比例16:9，分辨率3840×2160。</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vAlign w:val="center"/>
          </w:tcPr>
          <w:p>
            <w:pPr>
              <w:jc w:val="center"/>
              <w:rPr>
                <w:color w:val="000000" w:themeColor="text1"/>
                <w:szCs w:val="21"/>
              </w:rPr>
            </w:pPr>
          </w:p>
        </w:tc>
        <w:tc>
          <w:tcPr>
            <w:tcW w:w="900" w:type="dxa"/>
            <w:vMerge w:val="continue"/>
            <w:vAlign w:val="center"/>
          </w:tcPr>
          <w:p>
            <w:pPr>
              <w:jc w:val="center"/>
              <w:rPr>
                <w:color w:val="000000" w:themeColor="text1"/>
                <w:szCs w:val="21"/>
              </w:rPr>
            </w:pPr>
          </w:p>
        </w:tc>
        <w:tc>
          <w:tcPr>
            <w:tcW w:w="5840" w:type="dxa"/>
            <w:vAlign w:val="center"/>
          </w:tcPr>
          <w:p>
            <w:pPr>
              <w:keepNext w:val="0"/>
              <w:keepLines w:val="0"/>
              <w:widowControl/>
              <w:suppressLineNumbers w:val="0"/>
              <w:jc w:val="left"/>
              <w:textAlignment w:val="center"/>
              <w:rPr>
                <w:b w:val="0"/>
                <w:bCs w:val="0"/>
                <w:color w:val="000000" w:themeColor="text1"/>
                <w:szCs w:val="21"/>
              </w:rPr>
            </w:pPr>
            <w:r>
              <w:rPr>
                <w:rFonts w:hint="eastAsia" w:ascii="宋体" w:hAnsi="宋体" w:eastAsia="宋体" w:cs="宋体"/>
                <w:b w:val="0"/>
                <w:bCs w:val="0"/>
                <w:color w:val="000000" w:themeColor="text1"/>
                <w:szCs w:val="21"/>
                <w:lang w:val="en-US" w:eastAsia="zh-CN"/>
              </w:rPr>
              <w:t>3.</w:t>
            </w:r>
            <w:r>
              <w:rPr>
                <w:rFonts w:hint="eastAsia"/>
                <w:b w:val="0"/>
                <w:bCs w:val="0"/>
                <w:color w:val="000000" w:themeColor="text1"/>
                <w:szCs w:val="21"/>
              </w:rPr>
              <w:t>整机屏幕边缘采用金属圆角包边防护，整机背板采用金属材质，有效屏蔽内部电路器件辐射；防潮耐盐雾蚀锈，适应多种教学环境。</w:t>
            </w:r>
          </w:p>
        </w:tc>
        <w:tc>
          <w:tcPr>
            <w:tcW w:w="910" w:type="dxa"/>
            <w:vAlign w:val="center"/>
          </w:tcPr>
          <w:p>
            <w:pPr>
              <w:keepNext w:val="0"/>
              <w:keepLines w:val="0"/>
              <w:widowControl/>
              <w:suppressLineNumbers w:val="0"/>
              <w:jc w:val="left"/>
              <w:textAlignment w:val="center"/>
              <w:rPr>
                <w:rFonts w:hint="eastAsia" w:ascii="宋体" w:hAnsi="宋体" w:eastAsia="宋体" w:cs="宋体"/>
                <w:b w:val="0"/>
                <w:bCs w:val="0"/>
                <w:color w:val="000000" w:themeColor="text1"/>
                <w:szCs w:val="21"/>
                <w:lang w:val="en-US" w:eastAsia="zh-CN"/>
              </w:rPr>
            </w:pPr>
          </w:p>
        </w:tc>
        <w:tc>
          <w:tcPr>
            <w:tcW w:w="850" w:type="dxa"/>
            <w:vAlign w:val="center"/>
          </w:tcPr>
          <w:p>
            <w:pPr>
              <w:keepNext w:val="0"/>
              <w:keepLines w:val="0"/>
              <w:widowControl/>
              <w:suppressLineNumbers w:val="0"/>
              <w:jc w:val="left"/>
              <w:textAlignment w:val="center"/>
              <w:rPr>
                <w:rFonts w:hint="eastAsia" w:ascii="宋体" w:hAnsi="宋体" w:eastAsia="宋体" w:cs="宋体"/>
                <w:b w:val="0"/>
                <w:bCs w:val="0"/>
                <w:color w:val="000000" w:themeColor="text1"/>
                <w:szCs w:val="21"/>
                <w:lang w:val="en-US" w:eastAsia="zh-CN"/>
              </w:rPr>
            </w:pPr>
          </w:p>
        </w:tc>
        <w:tc>
          <w:tcPr>
            <w:tcW w:w="613" w:type="dxa"/>
            <w:vAlign w:val="center"/>
          </w:tcPr>
          <w:p>
            <w:pPr>
              <w:keepNext w:val="0"/>
              <w:keepLines w:val="0"/>
              <w:widowControl/>
              <w:suppressLineNumbers w:val="0"/>
              <w:jc w:val="left"/>
              <w:textAlignment w:val="center"/>
              <w:rPr>
                <w:rFonts w:hint="eastAsia" w:ascii="宋体" w:hAnsi="宋体" w:eastAsia="宋体" w:cs="宋体"/>
                <w:b w:val="0"/>
                <w:bCs w:val="0"/>
                <w:color w:val="000000" w:themeColor="text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b w:val="0"/>
                <w:bCs w:val="0"/>
                <w:color w:val="000000" w:themeColor="text1"/>
                <w:szCs w:val="21"/>
              </w:rPr>
            </w:pPr>
            <w:r>
              <w:rPr>
                <w:rStyle w:val="38"/>
                <w:b w:val="0"/>
                <w:bCs w:val="0"/>
                <w:lang w:val="en-US" w:eastAsia="zh-CN" w:bidi="ar"/>
              </w:rPr>
              <w:t>4.</w:t>
            </w:r>
            <w:r>
              <w:rPr>
                <w:rStyle w:val="38"/>
                <w:rFonts w:hint="eastAsia"/>
                <w:b w:val="0"/>
                <w:bCs w:val="0"/>
                <w:lang w:val="en-US" w:eastAsia="zh-CN" w:bidi="ar"/>
              </w:rPr>
              <w:t>采用红外触控技术，支持Windows系统中进行40点或以上触控，支持在Android系统中进行40点或以上触控。</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1"/>
                <w:szCs w:val="21"/>
                <w:u w:val="none"/>
                <w:lang w:val="en-US" w:eastAsia="zh-CN" w:bidi="ar"/>
              </w:rPr>
              <w:t>5.整机触控书写功能集成预测算法，在书写速度≥50cm/s，支持笔迹距离笔的距离小于20mm。</w:t>
            </w:r>
          </w:p>
        </w:tc>
        <w:tc>
          <w:tcPr>
            <w:tcW w:w="91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85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b/>
                <w:bCs/>
                <w:color w:val="000000" w:themeColor="text1"/>
                <w:szCs w:val="21"/>
              </w:rPr>
            </w:pPr>
            <w:r>
              <w:rPr>
                <w:rStyle w:val="38"/>
                <w:lang w:val="en-US" w:eastAsia="zh-CN" w:bidi="ar"/>
              </w:rPr>
              <w:t>6.</w:t>
            </w:r>
            <w:r>
              <w:rPr>
                <w:rStyle w:val="38"/>
                <w:rFonts w:hint="eastAsia"/>
                <w:lang w:val="en-US" w:eastAsia="zh-CN" w:bidi="ar"/>
              </w:rPr>
              <w:t>▲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r>
              <w:rPr>
                <w:rStyle w:val="38"/>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c>
          <w:tcPr>
            <w:tcW w:w="910" w:type="dxa"/>
            <w:vAlign w:val="center"/>
          </w:tcPr>
          <w:p>
            <w:pPr>
              <w:keepNext w:val="0"/>
              <w:keepLines w:val="0"/>
              <w:widowControl/>
              <w:suppressLineNumbers w:val="0"/>
              <w:jc w:val="left"/>
              <w:textAlignment w:val="center"/>
              <w:rPr>
                <w:rStyle w:val="38"/>
                <w:lang w:val="en-US" w:eastAsia="zh-CN" w:bidi="ar"/>
              </w:rPr>
            </w:pPr>
          </w:p>
        </w:tc>
        <w:tc>
          <w:tcPr>
            <w:tcW w:w="850" w:type="dxa"/>
            <w:vAlign w:val="center"/>
          </w:tcPr>
          <w:p>
            <w:pPr>
              <w:keepNext w:val="0"/>
              <w:keepLines w:val="0"/>
              <w:widowControl/>
              <w:suppressLineNumbers w:val="0"/>
              <w:jc w:val="left"/>
              <w:textAlignment w:val="center"/>
              <w:rPr>
                <w:rStyle w:val="38"/>
                <w:lang w:val="en-US" w:eastAsia="zh-CN" w:bidi="ar"/>
              </w:rPr>
            </w:pPr>
          </w:p>
        </w:tc>
        <w:tc>
          <w:tcPr>
            <w:tcW w:w="613"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8213" w:type="dxa"/>
            <w:gridSpan w:val="4"/>
            <w:vAlign w:val="center"/>
          </w:tcPr>
          <w:p>
            <w:pPr>
              <w:keepNext w:val="0"/>
              <w:keepLines w:val="0"/>
              <w:widowControl/>
              <w:suppressLineNumbers w:val="0"/>
              <w:jc w:val="left"/>
              <w:textAlignment w:val="center"/>
              <w:rPr>
                <w:rStyle w:val="38"/>
                <w:b/>
                <w:bCs/>
                <w:lang w:val="en-US" w:eastAsia="zh-CN" w:bidi="ar"/>
              </w:rPr>
            </w:pPr>
            <w:r>
              <w:rPr>
                <w:rStyle w:val="38"/>
                <w:b/>
                <w:bCs/>
                <w:lang w:val="en-US" w:eastAsia="zh-CN" w:bidi="ar"/>
              </w:rPr>
              <w:t>二、护眼要求：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Fonts w:hint="eastAsia" w:ascii="宋体" w:hAnsi="宋体" w:eastAsia="宋体" w:cs="宋体"/>
                <w:color w:val="000000" w:themeColor="text1"/>
                <w:szCs w:val="21"/>
                <w:lang w:val="en-US" w:eastAsia="zh-CN"/>
              </w:rPr>
              <w:t>7.</w:t>
            </w:r>
            <w:r>
              <w:rPr>
                <w:rFonts w:hint="default"/>
                <w:color w:val="000000" w:themeColor="text1"/>
                <w:szCs w:val="21"/>
                <w:lang w:val="en-US" w:eastAsia="zh-CN"/>
              </w:rPr>
              <w:t>整机采用硬件低蓝光背光技术，在源头减少有害蓝光波段能量，蓝光占比（有害蓝光415～455nm能量综合）/（整体蓝光400～500能量综合）＜50%，低蓝光保护显示不偏色、不泛黄。</w:t>
            </w:r>
          </w:p>
        </w:tc>
        <w:tc>
          <w:tcPr>
            <w:tcW w:w="910" w:type="dxa"/>
            <w:vAlign w:val="center"/>
          </w:tcPr>
          <w:p>
            <w:pPr>
              <w:keepNext w:val="0"/>
              <w:keepLines w:val="0"/>
              <w:widowControl/>
              <w:suppressLineNumbers w:val="0"/>
              <w:jc w:val="left"/>
              <w:textAlignment w:val="center"/>
              <w:rPr>
                <w:rFonts w:hint="eastAsia" w:ascii="宋体" w:hAnsi="宋体" w:eastAsia="宋体" w:cs="宋体"/>
                <w:color w:val="000000" w:themeColor="text1"/>
                <w:szCs w:val="21"/>
                <w:lang w:val="en-US" w:eastAsia="zh-CN"/>
              </w:rPr>
            </w:pPr>
          </w:p>
        </w:tc>
        <w:tc>
          <w:tcPr>
            <w:tcW w:w="850" w:type="dxa"/>
            <w:vAlign w:val="center"/>
          </w:tcPr>
          <w:p>
            <w:pPr>
              <w:keepNext w:val="0"/>
              <w:keepLines w:val="0"/>
              <w:widowControl/>
              <w:suppressLineNumbers w:val="0"/>
              <w:jc w:val="left"/>
              <w:textAlignment w:val="center"/>
              <w:rPr>
                <w:rFonts w:hint="eastAsia" w:ascii="宋体" w:hAnsi="宋体" w:eastAsia="宋体" w:cs="宋体"/>
                <w:color w:val="000000" w:themeColor="text1"/>
                <w:szCs w:val="21"/>
                <w:lang w:val="en-US" w:eastAsia="zh-CN"/>
              </w:rPr>
            </w:pPr>
          </w:p>
        </w:tc>
        <w:tc>
          <w:tcPr>
            <w:tcW w:w="613" w:type="dxa"/>
            <w:vAlign w:val="center"/>
          </w:tcPr>
          <w:p>
            <w:pPr>
              <w:keepNext w:val="0"/>
              <w:keepLines w:val="0"/>
              <w:widowControl/>
              <w:suppressLineNumbers w:val="0"/>
              <w:jc w:val="left"/>
              <w:textAlignment w:val="center"/>
              <w:rPr>
                <w:rFonts w:hint="eastAsia" w:ascii="宋体" w:hAnsi="宋体" w:eastAsia="宋体" w:cs="宋体"/>
                <w:color w:val="000000" w:themeColor="text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8.</w:t>
            </w:r>
            <w:r>
              <w:rPr>
                <w:rStyle w:val="38"/>
                <w:rFonts w:hint="eastAsia"/>
                <w:b w:val="0"/>
                <w:bCs w:val="0"/>
                <w:lang w:val="en-US" w:eastAsia="zh-CN" w:bidi="ar"/>
              </w:rPr>
              <w:t>整机视网膜蓝光危害（蓝光加权辐射亮度LB）满足IEC TR 62778:2014蓝光危害RG0级别。</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9.</w:t>
            </w:r>
            <w:r>
              <w:rPr>
                <w:rStyle w:val="38"/>
                <w:rFonts w:hint="eastAsia"/>
                <w:b w:val="0"/>
                <w:bCs w:val="0"/>
                <w:lang w:val="en-US" w:eastAsia="zh-CN" w:bidi="ar"/>
              </w:rPr>
              <w:t>纸质护眼模式下，显示画面各像素点灰度不规则，减少背景干扰。</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整机支持色彩空间可选，包含标准模式和sRGB模式，在sRGB模式下可做到高色准△E≤1。整机全通道支持纸质护眼模式，可实现画面纹理的实时调整；支持纸质纹理：牛皮纸、素描纸、宣纸、水彩纸、水纹纸；支持透明度调节；支持色温调节。</w:t>
            </w:r>
            <w:r>
              <w:rPr>
                <w:rStyle w:val="38"/>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c>
          <w:tcPr>
            <w:tcW w:w="910" w:type="dxa"/>
            <w:vAlign w:val="center"/>
          </w:tcPr>
          <w:p>
            <w:pPr>
              <w:keepNext w:val="0"/>
              <w:keepLines w:val="0"/>
              <w:widowControl/>
              <w:suppressLineNumbers w:val="0"/>
              <w:jc w:val="left"/>
              <w:textAlignment w:val="center"/>
              <w:rPr>
                <w:rStyle w:val="38"/>
                <w:lang w:val="en-US" w:eastAsia="zh-CN" w:bidi="ar"/>
              </w:rPr>
            </w:pPr>
          </w:p>
        </w:tc>
        <w:tc>
          <w:tcPr>
            <w:tcW w:w="850" w:type="dxa"/>
            <w:vAlign w:val="center"/>
          </w:tcPr>
          <w:p>
            <w:pPr>
              <w:keepNext w:val="0"/>
              <w:keepLines w:val="0"/>
              <w:widowControl/>
              <w:suppressLineNumbers w:val="0"/>
              <w:jc w:val="left"/>
              <w:textAlignment w:val="center"/>
              <w:rPr>
                <w:rStyle w:val="38"/>
                <w:lang w:val="en-US" w:eastAsia="zh-CN" w:bidi="ar"/>
              </w:rPr>
            </w:pPr>
          </w:p>
        </w:tc>
        <w:tc>
          <w:tcPr>
            <w:tcW w:w="613"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b w:val="0"/>
                <w:bCs w:val="0"/>
                <w:lang w:val="en-US" w:eastAsia="zh-CN" w:bidi="ar"/>
              </w:rPr>
              <w:t>11.</w:t>
            </w:r>
            <w:r>
              <w:rPr>
                <w:rStyle w:val="38"/>
                <w:rFonts w:hint="eastAsia"/>
                <w:b w:val="0"/>
                <w:bCs w:val="0"/>
                <w:lang w:val="en-US" w:eastAsia="zh-CN" w:bidi="ar"/>
              </w:rPr>
              <w:t>整机背光系统支持DC调光方式，多级亮度调节，支持白颜色背景下最暗亮度≤100nit，用于提升显示对比度。</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8213" w:type="dxa"/>
            <w:gridSpan w:val="4"/>
            <w:vAlign w:val="center"/>
          </w:tcPr>
          <w:p>
            <w:pPr>
              <w:keepNext w:val="0"/>
              <w:keepLines w:val="0"/>
              <w:widowControl/>
              <w:suppressLineNumbers w:val="0"/>
              <w:jc w:val="left"/>
              <w:textAlignment w:val="center"/>
              <w:rPr>
                <w:rStyle w:val="38"/>
                <w:b/>
                <w:bCs/>
                <w:lang w:val="en-US" w:eastAsia="zh-CN" w:bidi="ar"/>
              </w:rPr>
            </w:pPr>
            <w:r>
              <w:rPr>
                <w:rStyle w:val="38"/>
                <w:b/>
                <w:bCs/>
                <w:lang w:val="en-US" w:eastAsia="zh-CN" w:bidi="ar"/>
              </w:rPr>
              <w:t>三、音效与麦克风要求：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b w:val="0"/>
                <w:bCs w:val="0"/>
                <w:lang w:val="en-US" w:eastAsia="zh-CN" w:bidi="ar"/>
              </w:rPr>
              <w:t>1</w:t>
            </w:r>
            <w:r>
              <w:rPr>
                <w:rStyle w:val="38"/>
                <w:rFonts w:hint="eastAsia"/>
                <w:b w:val="0"/>
                <w:bCs w:val="0"/>
                <w:lang w:val="en-US" w:eastAsia="zh-CN" w:bidi="ar"/>
              </w:rPr>
              <w:t>2</w:t>
            </w:r>
            <w:r>
              <w:rPr>
                <w:rStyle w:val="38"/>
                <w:b w:val="0"/>
                <w:bCs w:val="0"/>
                <w:lang w:val="en-US" w:eastAsia="zh-CN" w:bidi="ar"/>
              </w:rPr>
              <w:t>.内</w:t>
            </w:r>
            <w:r>
              <w:rPr>
                <w:rFonts w:hint="eastAsia" w:ascii="宋体" w:hAnsi="宋体"/>
                <w:b w:val="0"/>
                <w:bCs/>
                <w:sz w:val="21"/>
                <w:szCs w:val="21"/>
                <w:vertAlign w:val="baseline"/>
                <w:lang w:val="en-US" w:eastAsia="zh-CN"/>
              </w:rPr>
              <w:t>置摄像头、麦克风无需外接线材连接，无任何可见外接线材及模块化拼接痕迹，未占用整机设备端口。</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Style w:val="38"/>
                <w:lang w:val="en-US" w:eastAsia="zh-CN" w:bidi="ar"/>
              </w:rPr>
            </w:pPr>
            <w:r>
              <w:rPr>
                <w:rStyle w:val="38"/>
                <w:rFonts w:hint="eastAsia"/>
                <w:lang w:val="en-US" w:eastAsia="zh-CN" w:bidi="ar"/>
              </w:rPr>
              <w:t>13.▲整机侧边栏内置朗读工具，通过整机麦克风监测教室中学生的朗读情况，并以游戏化界面反馈学生朗读音量大小。</w:t>
            </w:r>
            <w:r>
              <w:rPr>
                <w:rStyle w:val="38"/>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c>
          <w:tcPr>
            <w:tcW w:w="910" w:type="dxa"/>
            <w:vAlign w:val="center"/>
          </w:tcPr>
          <w:p>
            <w:pPr>
              <w:keepNext w:val="0"/>
              <w:keepLines w:val="0"/>
              <w:widowControl/>
              <w:suppressLineNumbers w:val="0"/>
              <w:jc w:val="left"/>
              <w:textAlignment w:val="center"/>
              <w:rPr>
                <w:rStyle w:val="38"/>
                <w:rFonts w:hint="eastAsia"/>
                <w:lang w:val="en-US" w:eastAsia="zh-CN" w:bidi="ar"/>
              </w:rPr>
            </w:pPr>
          </w:p>
        </w:tc>
        <w:tc>
          <w:tcPr>
            <w:tcW w:w="850" w:type="dxa"/>
            <w:vAlign w:val="center"/>
          </w:tcPr>
          <w:p>
            <w:pPr>
              <w:keepNext w:val="0"/>
              <w:keepLines w:val="0"/>
              <w:widowControl/>
              <w:suppressLineNumbers w:val="0"/>
              <w:jc w:val="left"/>
              <w:textAlignment w:val="center"/>
              <w:rPr>
                <w:rStyle w:val="38"/>
                <w:rFonts w:hint="eastAsia"/>
                <w:lang w:val="en-US" w:eastAsia="zh-CN" w:bidi="ar"/>
              </w:rPr>
            </w:pPr>
          </w:p>
        </w:tc>
        <w:tc>
          <w:tcPr>
            <w:tcW w:w="613"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4</w:t>
            </w:r>
            <w:r>
              <w:rPr>
                <w:rStyle w:val="38"/>
                <w:lang w:val="en-US" w:eastAsia="zh-CN" w:bidi="ar"/>
              </w:rPr>
              <w:t>.</w:t>
            </w:r>
            <w:r>
              <w:rPr>
                <w:rStyle w:val="38"/>
                <w:rFonts w:hint="eastAsia"/>
                <w:lang w:val="en-US" w:eastAsia="zh-CN" w:bidi="ar"/>
              </w:rPr>
              <w:t>▲整机内置2.2声道扬声器，位于设备上边框，顶置朝前发声，前朝向10W高音扬声器2个，上朝向20W中低音扬声器2个，额定总功率60W。</w:t>
            </w:r>
            <w:r>
              <w:rPr>
                <w:rStyle w:val="38"/>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c>
          <w:tcPr>
            <w:tcW w:w="910" w:type="dxa"/>
            <w:vAlign w:val="center"/>
          </w:tcPr>
          <w:p>
            <w:pPr>
              <w:keepNext w:val="0"/>
              <w:keepLines w:val="0"/>
              <w:widowControl/>
              <w:suppressLineNumbers w:val="0"/>
              <w:jc w:val="left"/>
              <w:textAlignment w:val="center"/>
              <w:rPr>
                <w:rStyle w:val="38"/>
                <w:lang w:val="en-US" w:eastAsia="zh-CN" w:bidi="ar"/>
              </w:rPr>
            </w:pPr>
          </w:p>
        </w:tc>
        <w:tc>
          <w:tcPr>
            <w:tcW w:w="850" w:type="dxa"/>
            <w:vAlign w:val="center"/>
          </w:tcPr>
          <w:p>
            <w:pPr>
              <w:keepNext w:val="0"/>
              <w:keepLines w:val="0"/>
              <w:widowControl/>
              <w:suppressLineNumbers w:val="0"/>
              <w:jc w:val="left"/>
              <w:textAlignment w:val="center"/>
              <w:rPr>
                <w:rStyle w:val="38"/>
                <w:lang w:val="en-US" w:eastAsia="zh-CN" w:bidi="ar"/>
              </w:rPr>
            </w:pPr>
          </w:p>
        </w:tc>
        <w:tc>
          <w:tcPr>
            <w:tcW w:w="613"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1</w:t>
            </w:r>
            <w:r>
              <w:rPr>
                <w:rStyle w:val="38"/>
                <w:rFonts w:hint="eastAsia"/>
                <w:b w:val="0"/>
                <w:bCs w:val="0"/>
                <w:lang w:val="en-US" w:eastAsia="zh-CN" w:bidi="ar"/>
              </w:rPr>
              <w:t>5</w:t>
            </w:r>
            <w:r>
              <w:rPr>
                <w:rStyle w:val="38"/>
                <w:b w:val="0"/>
                <w:bCs w:val="0"/>
                <w:lang w:val="en-US" w:eastAsia="zh-CN" w:bidi="ar"/>
              </w:rPr>
              <w:t>.整机内置非独立外扩展的8阵列麦克风，拾音角度≥180°，可用于对教室环境音频进行采集，拾音距离≥12m。</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1</w:t>
            </w:r>
            <w:r>
              <w:rPr>
                <w:rStyle w:val="38"/>
                <w:rFonts w:hint="eastAsia"/>
                <w:b w:val="0"/>
                <w:bCs w:val="0"/>
                <w:lang w:val="en-US" w:eastAsia="zh-CN" w:bidi="ar"/>
              </w:rPr>
              <w:t>6</w:t>
            </w:r>
            <w:r>
              <w:rPr>
                <w:rStyle w:val="38"/>
                <w:b w:val="0"/>
                <w:bCs w:val="0"/>
                <w:lang w:val="en-US" w:eastAsia="zh-CN" w:bidi="ar"/>
              </w:rPr>
              <w:t>.整机可选择高级音效设置，支持在左右声道平衡显示范围中进行更改；中低频段显示调节范围125Hz～1KHz，高频段显示调节范围 2KHz～16KHz，分贝显示-12dB～12dB 调节范围。</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8213" w:type="dxa"/>
            <w:gridSpan w:val="4"/>
            <w:vAlign w:val="center"/>
          </w:tcPr>
          <w:p>
            <w:pPr>
              <w:keepNext w:val="0"/>
              <w:keepLines w:val="0"/>
              <w:widowControl/>
              <w:suppressLineNumbers w:val="0"/>
              <w:jc w:val="left"/>
              <w:textAlignment w:val="center"/>
              <w:rPr>
                <w:rStyle w:val="38"/>
                <w:b/>
                <w:bCs/>
                <w:lang w:val="en-US" w:eastAsia="zh-CN" w:bidi="ar"/>
              </w:rPr>
            </w:pPr>
            <w:r>
              <w:rPr>
                <w:rStyle w:val="38"/>
                <w:b/>
                <w:bCs/>
                <w:lang w:val="en-US" w:eastAsia="zh-CN" w:bidi="ar"/>
              </w:rPr>
              <w:t>四、主要功能要求：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Style w:val="38"/>
                <w:b/>
                <w:bCs/>
                <w:lang w:val="en-US" w:eastAsia="zh-CN" w:bidi="ar"/>
              </w:rPr>
            </w:pPr>
            <w:r>
              <w:rPr>
                <w:rStyle w:val="38"/>
                <w:rFonts w:hint="eastAsia"/>
                <w:b/>
                <w:bCs/>
                <w:lang w:val="en-US" w:eastAsia="zh-CN" w:bidi="ar"/>
              </w:rPr>
              <w:t>17.▲整机侧边栏内置自习工具，通过整机麦克风监测教室中学生音量大小，当学生音量大于阈值时，屏幕自动弹窗提醒进行自习纪律干预。</w:t>
            </w:r>
            <w:r>
              <w:rPr>
                <w:rStyle w:val="38"/>
                <w:rFonts w:hint="eastAsia"/>
                <w:b/>
                <w:bCs/>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c>
          <w:tcPr>
            <w:tcW w:w="910" w:type="dxa"/>
            <w:vAlign w:val="center"/>
          </w:tcPr>
          <w:p>
            <w:pPr>
              <w:keepNext w:val="0"/>
              <w:keepLines w:val="0"/>
              <w:widowControl/>
              <w:suppressLineNumbers w:val="0"/>
              <w:jc w:val="left"/>
              <w:textAlignment w:val="center"/>
              <w:rPr>
                <w:rStyle w:val="38"/>
                <w:rFonts w:hint="eastAsia"/>
                <w:b/>
                <w:bCs/>
                <w:lang w:val="en-US" w:eastAsia="zh-CN" w:bidi="ar"/>
              </w:rPr>
            </w:pPr>
          </w:p>
        </w:tc>
        <w:tc>
          <w:tcPr>
            <w:tcW w:w="850" w:type="dxa"/>
            <w:vAlign w:val="center"/>
          </w:tcPr>
          <w:p>
            <w:pPr>
              <w:keepNext w:val="0"/>
              <w:keepLines w:val="0"/>
              <w:widowControl/>
              <w:suppressLineNumbers w:val="0"/>
              <w:jc w:val="left"/>
              <w:textAlignment w:val="center"/>
              <w:rPr>
                <w:rStyle w:val="38"/>
                <w:rFonts w:hint="eastAsia"/>
                <w:b/>
                <w:bCs/>
                <w:lang w:val="en-US" w:eastAsia="zh-CN" w:bidi="ar"/>
              </w:rPr>
            </w:pPr>
          </w:p>
        </w:tc>
        <w:tc>
          <w:tcPr>
            <w:tcW w:w="613" w:type="dxa"/>
            <w:vAlign w:val="center"/>
          </w:tcPr>
          <w:p>
            <w:pPr>
              <w:keepNext w:val="0"/>
              <w:keepLines w:val="0"/>
              <w:widowControl/>
              <w:suppressLineNumbers w:val="0"/>
              <w:jc w:val="left"/>
              <w:textAlignment w:val="center"/>
              <w:rPr>
                <w:rStyle w:val="38"/>
                <w:rFonts w:hint="eastAsia"/>
                <w:b/>
                <w:bCs/>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18.</w:t>
            </w:r>
            <w:r>
              <w:rPr>
                <w:rStyle w:val="38"/>
                <w:rFonts w:hint="eastAsia"/>
                <w:lang w:val="en-US" w:eastAsia="zh-CN" w:bidi="ar"/>
              </w:rPr>
              <w:t>▲整机支持在无任何外部设备的情况下，实时录制用户朗读内容，识别用户声纹并进行统一身份登录，登录后自动获取个人云端教学课件列表，打开教学白板软件时可跳过软件自带登录步骤。</w:t>
            </w:r>
            <w:r>
              <w:rPr>
                <w:rStyle w:val="38"/>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c>
          <w:tcPr>
            <w:tcW w:w="910" w:type="dxa"/>
            <w:vAlign w:val="center"/>
          </w:tcPr>
          <w:p>
            <w:pPr>
              <w:keepNext w:val="0"/>
              <w:keepLines w:val="0"/>
              <w:widowControl/>
              <w:suppressLineNumbers w:val="0"/>
              <w:jc w:val="left"/>
              <w:textAlignment w:val="center"/>
              <w:rPr>
                <w:rStyle w:val="38"/>
                <w:lang w:val="en-US" w:eastAsia="zh-CN" w:bidi="ar"/>
              </w:rPr>
            </w:pPr>
          </w:p>
        </w:tc>
        <w:tc>
          <w:tcPr>
            <w:tcW w:w="850" w:type="dxa"/>
            <w:vAlign w:val="center"/>
          </w:tcPr>
          <w:p>
            <w:pPr>
              <w:keepNext w:val="0"/>
              <w:keepLines w:val="0"/>
              <w:widowControl/>
              <w:suppressLineNumbers w:val="0"/>
              <w:jc w:val="left"/>
              <w:textAlignment w:val="center"/>
              <w:rPr>
                <w:rStyle w:val="38"/>
                <w:lang w:val="en-US" w:eastAsia="zh-CN" w:bidi="ar"/>
              </w:rPr>
            </w:pPr>
          </w:p>
        </w:tc>
        <w:tc>
          <w:tcPr>
            <w:tcW w:w="613"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19.整机内置双WiFi6无线网卡（不接受外接），在Android和Windows系统下，可实现Wi-Fi无线上网连接、AP无线热点发射。</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20.整机支持蓝牙Bluetooth 5.4标准；Wi-Fi和AP热点工作距离≥12m。</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21.</w:t>
            </w:r>
            <w:r>
              <w:rPr>
                <w:rStyle w:val="38"/>
                <w:rFonts w:hint="eastAsia"/>
                <w:lang w:val="en-US" w:eastAsia="zh-CN" w:bidi="ar"/>
              </w:rPr>
              <w:t>▲整机Windows通道支持文件传输应用，支持通过扫码、wifi直联、超声三种方式与手机进行握手连接，实现文件传输功能。</w:t>
            </w:r>
            <w:r>
              <w:rPr>
                <w:rStyle w:val="38"/>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c>
          <w:tcPr>
            <w:tcW w:w="910" w:type="dxa"/>
            <w:vAlign w:val="center"/>
          </w:tcPr>
          <w:p>
            <w:pPr>
              <w:keepNext w:val="0"/>
              <w:keepLines w:val="0"/>
              <w:widowControl/>
              <w:suppressLineNumbers w:val="0"/>
              <w:jc w:val="left"/>
              <w:textAlignment w:val="center"/>
              <w:rPr>
                <w:rStyle w:val="38"/>
                <w:lang w:val="en-US" w:eastAsia="zh-CN" w:bidi="ar"/>
              </w:rPr>
            </w:pPr>
          </w:p>
        </w:tc>
        <w:tc>
          <w:tcPr>
            <w:tcW w:w="850" w:type="dxa"/>
            <w:vAlign w:val="center"/>
          </w:tcPr>
          <w:p>
            <w:pPr>
              <w:keepNext w:val="0"/>
              <w:keepLines w:val="0"/>
              <w:widowControl/>
              <w:suppressLineNumbers w:val="0"/>
              <w:jc w:val="left"/>
              <w:textAlignment w:val="center"/>
              <w:rPr>
                <w:rStyle w:val="38"/>
                <w:lang w:val="en-US" w:eastAsia="zh-CN" w:bidi="ar"/>
              </w:rPr>
            </w:pPr>
          </w:p>
        </w:tc>
        <w:tc>
          <w:tcPr>
            <w:tcW w:w="613"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b w:val="0"/>
                <w:bCs w:val="0"/>
                <w:lang w:val="en-US" w:eastAsia="zh-CN" w:bidi="ar"/>
              </w:rPr>
              <w:t>22.整机内置传屏接收模块，整机不需要连接任何附加设备，可实现外部电脑、手机等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等窗口。</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23.</w:t>
            </w:r>
            <w:r>
              <w:rPr>
                <w:rStyle w:val="38"/>
                <w:rFonts w:hint="eastAsia"/>
                <w:lang w:val="en-US" w:eastAsia="zh-CN" w:bidi="ar"/>
              </w:rPr>
              <w:t>▲整机上边框内置非独立式摄像头，采用一体化集成设计，摄像头数量≥4个。整机上边框内置非独立式广角高清摄像头，视场角≥142度且水平视场角≥121度，支持输出4:3、16:9比例的图片和视频；在清晰度为2592 x 1944分辨率下，支持30帧的视频输出。</w:t>
            </w:r>
            <w:r>
              <w:rPr>
                <w:rStyle w:val="38"/>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c>
          <w:tcPr>
            <w:tcW w:w="910" w:type="dxa"/>
            <w:vAlign w:val="center"/>
          </w:tcPr>
          <w:p>
            <w:pPr>
              <w:keepNext w:val="0"/>
              <w:keepLines w:val="0"/>
              <w:widowControl/>
              <w:suppressLineNumbers w:val="0"/>
              <w:jc w:val="left"/>
              <w:textAlignment w:val="center"/>
              <w:rPr>
                <w:rStyle w:val="38"/>
                <w:lang w:val="en-US" w:eastAsia="zh-CN" w:bidi="ar"/>
              </w:rPr>
            </w:pPr>
          </w:p>
        </w:tc>
        <w:tc>
          <w:tcPr>
            <w:tcW w:w="850" w:type="dxa"/>
            <w:vAlign w:val="center"/>
          </w:tcPr>
          <w:p>
            <w:pPr>
              <w:keepNext w:val="0"/>
              <w:keepLines w:val="0"/>
              <w:widowControl/>
              <w:suppressLineNumbers w:val="0"/>
              <w:jc w:val="left"/>
              <w:textAlignment w:val="center"/>
              <w:rPr>
                <w:rStyle w:val="38"/>
                <w:lang w:val="en-US" w:eastAsia="zh-CN" w:bidi="ar"/>
              </w:rPr>
            </w:pPr>
          </w:p>
        </w:tc>
        <w:tc>
          <w:tcPr>
            <w:tcW w:w="613"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24.整机</w:t>
            </w:r>
            <w:r>
              <w:rPr>
                <w:rFonts w:hint="eastAsia" w:ascii="宋体" w:hAnsi="宋体"/>
                <w:b w:val="0"/>
                <w:bCs w:val="0"/>
                <w:sz w:val="21"/>
                <w:szCs w:val="21"/>
                <w:vertAlign w:val="baseline"/>
                <w:lang w:val="en-US" w:eastAsia="zh-CN"/>
              </w:rPr>
              <w:t>上边框内置非独立式摄像头，视场角≥141度且水平视场角≥139度，可拍摄≥1600万像素的照片，支持输出8192×2048分辨率的照片和视频，支持画面畸变矫正功能 。</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25.整机</w:t>
            </w:r>
            <w:r>
              <w:rPr>
                <w:rStyle w:val="38"/>
                <w:rFonts w:hint="eastAsia"/>
                <w:b w:val="0"/>
                <w:bCs w:val="0"/>
                <w:lang w:val="en-US" w:eastAsia="zh-CN" w:bidi="ar"/>
              </w:rPr>
              <w:t>全通道侧边栏快捷菜单包含如下小工具：批注、降半屏、截屏、放大镜、倒计时、日历、聚光灯、秒表、冻屏、倒数日、答题、节拍器。</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2</w:t>
            </w:r>
            <w:r>
              <w:rPr>
                <w:rStyle w:val="38"/>
                <w:rFonts w:hint="eastAsia"/>
                <w:b w:val="0"/>
                <w:bCs w:val="0"/>
                <w:lang w:val="en-US" w:eastAsia="zh-CN" w:bidi="ar"/>
              </w:rPr>
              <w:t>6</w:t>
            </w:r>
            <w:r>
              <w:rPr>
                <w:rStyle w:val="38"/>
                <w:b w:val="0"/>
                <w:bCs w:val="0"/>
                <w:lang w:val="en-US" w:eastAsia="zh-CN" w:bidi="ar"/>
              </w:rPr>
              <w:t>.整机支持上边框内置非独立摄像头模组，同时输出至少 3 路视频流，同时支持课堂远程巡课、课堂教学数据采集、本地画面预览（拍照或视频录制）。</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8213" w:type="dxa"/>
            <w:gridSpan w:val="4"/>
            <w:vAlign w:val="center"/>
          </w:tcPr>
          <w:p>
            <w:pPr>
              <w:keepNext w:val="0"/>
              <w:keepLines w:val="0"/>
              <w:widowControl/>
              <w:suppressLineNumbers w:val="0"/>
              <w:jc w:val="left"/>
              <w:textAlignment w:val="center"/>
              <w:rPr>
                <w:rStyle w:val="38"/>
                <w:b/>
                <w:bCs/>
                <w:lang w:val="en-US" w:eastAsia="zh-CN" w:bidi="ar"/>
              </w:rPr>
            </w:pPr>
            <w:r>
              <w:rPr>
                <w:rStyle w:val="38"/>
                <w:b/>
                <w:bCs/>
                <w:lang w:val="en-US" w:eastAsia="zh-CN" w:bidi="ar"/>
              </w:rPr>
              <w:t>五、内置电脑要求：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2</w:t>
            </w:r>
            <w:r>
              <w:rPr>
                <w:rStyle w:val="38"/>
                <w:rFonts w:hint="eastAsia"/>
                <w:b w:val="0"/>
                <w:bCs w:val="0"/>
                <w:lang w:val="en-US" w:eastAsia="zh-CN" w:bidi="ar"/>
              </w:rPr>
              <w:t>7</w:t>
            </w:r>
            <w:r>
              <w:rPr>
                <w:rStyle w:val="38"/>
                <w:b w:val="0"/>
                <w:bCs w:val="0"/>
                <w:lang w:val="en-US" w:eastAsia="zh-CN" w:bidi="ar"/>
              </w:rPr>
              <w:t>.搭载</w:t>
            </w:r>
            <w:r>
              <w:rPr>
                <w:rStyle w:val="38"/>
                <w:rFonts w:hint="eastAsia"/>
                <w:b w:val="0"/>
                <w:bCs w:val="0"/>
                <w:lang w:val="en-US" w:eastAsia="zh-CN" w:bidi="ar"/>
              </w:rPr>
              <w:t>四核</w:t>
            </w:r>
            <w:r>
              <w:rPr>
                <w:rStyle w:val="38"/>
                <w:b w:val="0"/>
                <w:bCs w:val="0"/>
                <w:lang w:val="en-US" w:eastAsia="zh-CN" w:bidi="ar"/>
              </w:rPr>
              <w:t>或以上性能CPU；内存：8GB DDR4笔记本内存或以上配置；硬盘：256 GB或以上SSD固态硬盘；</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rFonts w:hint="eastAsia"/>
                <w:b w:val="0"/>
                <w:bCs w:val="0"/>
                <w:lang w:val="en-US" w:eastAsia="zh-CN" w:bidi="ar"/>
              </w:rPr>
              <w:t>28</w:t>
            </w:r>
            <w:r>
              <w:rPr>
                <w:rStyle w:val="38"/>
                <w:b w:val="0"/>
                <w:bCs w:val="0"/>
                <w:lang w:val="en-US" w:eastAsia="zh-CN" w:bidi="ar"/>
              </w:rPr>
              <w:t>.和整机的连接采用万兆级接口，传输速率≥10Gbps。</w:t>
            </w:r>
          </w:p>
        </w:tc>
        <w:tc>
          <w:tcPr>
            <w:tcW w:w="910" w:type="dxa"/>
            <w:vAlign w:val="center"/>
          </w:tcPr>
          <w:p>
            <w:pPr>
              <w:keepNext w:val="0"/>
              <w:keepLines w:val="0"/>
              <w:widowControl/>
              <w:suppressLineNumbers w:val="0"/>
              <w:jc w:val="left"/>
              <w:textAlignment w:val="center"/>
              <w:rPr>
                <w:rStyle w:val="38"/>
                <w:rFonts w:hint="eastAsia"/>
                <w:b w:val="0"/>
                <w:bCs w:val="0"/>
                <w:lang w:val="en-US" w:eastAsia="zh-CN" w:bidi="ar"/>
              </w:rPr>
            </w:pPr>
          </w:p>
        </w:tc>
        <w:tc>
          <w:tcPr>
            <w:tcW w:w="850" w:type="dxa"/>
            <w:vAlign w:val="center"/>
          </w:tcPr>
          <w:p>
            <w:pPr>
              <w:keepNext w:val="0"/>
              <w:keepLines w:val="0"/>
              <w:widowControl/>
              <w:suppressLineNumbers w:val="0"/>
              <w:jc w:val="left"/>
              <w:textAlignment w:val="center"/>
              <w:rPr>
                <w:rStyle w:val="38"/>
                <w:rFonts w:hint="eastAsia"/>
                <w:b w:val="0"/>
                <w:bCs w:val="0"/>
                <w:lang w:val="en-US" w:eastAsia="zh-CN" w:bidi="ar"/>
              </w:rPr>
            </w:pPr>
          </w:p>
        </w:tc>
        <w:tc>
          <w:tcPr>
            <w:tcW w:w="613" w:type="dxa"/>
            <w:vAlign w:val="center"/>
          </w:tcPr>
          <w:p>
            <w:pPr>
              <w:keepNext w:val="0"/>
              <w:keepLines w:val="0"/>
              <w:widowControl/>
              <w:suppressLineNumbers w:val="0"/>
              <w:jc w:val="left"/>
              <w:textAlignment w:val="center"/>
              <w:rPr>
                <w:rStyle w:val="38"/>
                <w:rFonts w:hint="eastAsia"/>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rFonts w:hint="eastAsia"/>
                <w:b w:val="0"/>
                <w:bCs w:val="0"/>
                <w:lang w:val="en-US" w:eastAsia="zh-CN" w:bidi="ar"/>
              </w:rPr>
              <w:t>29</w:t>
            </w:r>
            <w:r>
              <w:rPr>
                <w:rStyle w:val="38"/>
                <w:b w:val="0"/>
                <w:bCs w:val="0"/>
                <w:lang w:val="en-US" w:eastAsia="zh-CN" w:bidi="ar"/>
              </w:rPr>
              <w:t>.采用按压式卡扣，无需工具就可快速拆卸电脑模块。</w:t>
            </w:r>
          </w:p>
        </w:tc>
        <w:tc>
          <w:tcPr>
            <w:tcW w:w="910" w:type="dxa"/>
            <w:vAlign w:val="center"/>
          </w:tcPr>
          <w:p>
            <w:pPr>
              <w:keepNext w:val="0"/>
              <w:keepLines w:val="0"/>
              <w:widowControl/>
              <w:suppressLineNumbers w:val="0"/>
              <w:jc w:val="left"/>
              <w:textAlignment w:val="center"/>
              <w:rPr>
                <w:rStyle w:val="38"/>
                <w:rFonts w:hint="eastAsia"/>
                <w:b w:val="0"/>
                <w:bCs w:val="0"/>
                <w:lang w:val="en-US" w:eastAsia="zh-CN" w:bidi="ar"/>
              </w:rPr>
            </w:pPr>
          </w:p>
        </w:tc>
        <w:tc>
          <w:tcPr>
            <w:tcW w:w="850" w:type="dxa"/>
            <w:vAlign w:val="center"/>
          </w:tcPr>
          <w:p>
            <w:pPr>
              <w:keepNext w:val="0"/>
              <w:keepLines w:val="0"/>
              <w:widowControl/>
              <w:suppressLineNumbers w:val="0"/>
              <w:jc w:val="left"/>
              <w:textAlignment w:val="center"/>
              <w:rPr>
                <w:rStyle w:val="38"/>
                <w:rFonts w:hint="eastAsia"/>
                <w:b w:val="0"/>
                <w:bCs w:val="0"/>
                <w:lang w:val="en-US" w:eastAsia="zh-CN" w:bidi="ar"/>
              </w:rPr>
            </w:pPr>
          </w:p>
        </w:tc>
        <w:tc>
          <w:tcPr>
            <w:tcW w:w="613" w:type="dxa"/>
            <w:vAlign w:val="center"/>
          </w:tcPr>
          <w:p>
            <w:pPr>
              <w:keepNext w:val="0"/>
              <w:keepLines w:val="0"/>
              <w:widowControl/>
              <w:suppressLineNumbers w:val="0"/>
              <w:jc w:val="left"/>
              <w:textAlignment w:val="center"/>
              <w:rPr>
                <w:rStyle w:val="38"/>
                <w:rFonts w:hint="eastAsia"/>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六、教学白板软件</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3</w:t>
            </w:r>
            <w:r>
              <w:rPr>
                <w:rStyle w:val="38"/>
                <w:rFonts w:hint="eastAsia"/>
                <w:b w:val="0"/>
                <w:bCs w:val="0"/>
                <w:lang w:val="en-US" w:eastAsia="zh-CN" w:bidi="ar"/>
              </w:rPr>
              <w:t>0</w:t>
            </w:r>
            <w:r>
              <w:rPr>
                <w:rStyle w:val="38"/>
                <w:b w:val="0"/>
                <w:bCs w:val="0"/>
                <w:lang w:val="en-US" w:eastAsia="zh-CN" w:bidi="ar"/>
              </w:rPr>
              <w:t>.互动教学软件能够帮助教师备课、授课；为教师提供可扩展，易于学校管理，安全可靠的云存储空间，根据每名教师使用时长与教学资料制作频率提供可扩展升级至不小于200G的个人云空间。</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3</w:t>
            </w:r>
            <w:r>
              <w:rPr>
                <w:rStyle w:val="38"/>
                <w:rFonts w:hint="eastAsia"/>
                <w:b w:val="0"/>
                <w:bCs w:val="0"/>
                <w:lang w:val="en-US" w:eastAsia="zh-CN" w:bidi="ar"/>
              </w:rPr>
              <w:t>1</w:t>
            </w:r>
            <w:r>
              <w:rPr>
                <w:rStyle w:val="38"/>
                <w:b w:val="0"/>
                <w:bCs w:val="0"/>
                <w:lang w:val="en-US" w:eastAsia="zh-CN" w:bidi="ar"/>
              </w:rPr>
              <w:t>.互动教学软件要求为使用方全体教师配备个人账号，形成一体的信息化教学账号体系；根据教师账号信息将教师云空间匹配至对应学校、学科校本资源库。支持通过数字账号、微信二维码、硬件密钥方式登录教师个人账号。</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3</w:t>
            </w:r>
            <w:r>
              <w:rPr>
                <w:rStyle w:val="38"/>
                <w:rFonts w:hint="eastAsia"/>
                <w:b w:val="0"/>
                <w:bCs w:val="0"/>
                <w:lang w:val="en-US" w:eastAsia="zh-CN" w:bidi="ar"/>
              </w:rPr>
              <w:t>2</w:t>
            </w:r>
            <w:r>
              <w:rPr>
                <w:rStyle w:val="38"/>
                <w:b w:val="0"/>
                <w:bCs w:val="0"/>
                <w:lang w:val="en-US" w:eastAsia="zh-CN" w:bidi="ar"/>
              </w:rPr>
              <w:t>.互动教学课件支持开放式云分享：分享者可将互动课件、课件组以公开或加密的web链接和二维码形式进行分享，分享链接可设置访问有效期。</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3</w:t>
            </w:r>
            <w:r>
              <w:rPr>
                <w:rStyle w:val="38"/>
                <w:rFonts w:hint="eastAsia"/>
                <w:b w:val="0"/>
                <w:bCs w:val="0"/>
                <w:lang w:val="en-US" w:eastAsia="zh-CN" w:bidi="ar"/>
              </w:rPr>
              <w:t>3</w:t>
            </w:r>
            <w:r>
              <w:rPr>
                <w:rStyle w:val="38"/>
                <w:b w:val="0"/>
                <w:bCs w:val="0"/>
                <w:lang w:val="en-US" w:eastAsia="zh-CN" w:bidi="ar"/>
              </w:rPr>
              <w:t>.互动教学软件为教师备课节省大量时间，立体几何工具：可自由绘制长方体、立方体、圆柱体、圆锥等立体几何图形。任意调节几何体的大小尺寸，支持几何图形按比例放大缩小和通过单独调整长宽高（半径/高）改变几何体大小。</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rFonts w:hint="eastAsia"/>
                <w:b w:val="0"/>
                <w:bCs w:val="0"/>
                <w:lang w:val="en-US" w:eastAsia="zh-CN" w:bidi="ar"/>
              </w:rPr>
              <w:t>34</w:t>
            </w:r>
            <w:r>
              <w:rPr>
                <w:rStyle w:val="38"/>
                <w:b w:val="0"/>
                <w:bCs w:val="0"/>
                <w:lang w:val="en-US" w:eastAsia="zh-CN" w:bidi="ar"/>
              </w:rPr>
              <w:t>.互动教学软件为教师备课节省大量时间，支持中英文、数学公式的编辑输入，可快速输入方程组、脱式运算，提供不少于70个数学符号及模板；预置不少于40个常用数学公式，无需编辑一键插入，输入内容可用不同颜色标记及重复编辑。</w:t>
            </w:r>
          </w:p>
        </w:tc>
        <w:tc>
          <w:tcPr>
            <w:tcW w:w="910" w:type="dxa"/>
            <w:vAlign w:val="center"/>
          </w:tcPr>
          <w:p>
            <w:pPr>
              <w:keepNext w:val="0"/>
              <w:keepLines w:val="0"/>
              <w:widowControl/>
              <w:suppressLineNumbers w:val="0"/>
              <w:jc w:val="left"/>
              <w:textAlignment w:val="center"/>
              <w:rPr>
                <w:rStyle w:val="38"/>
                <w:rFonts w:hint="eastAsia"/>
                <w:b w:val="0"/>
                <w:bCs w:val="0"/>
                <w:lang w:val="en-US" w:eastAsia="zh-CN" w:bidi="ar"/>
              </w:rPr>
            </w:pPr>
          </w:p>
        </w:tc>
        <w:tc>
          <w:tcPr>
            <w:tcW w:w="850" w:type="dxa"/>
            <w:vAlign w:val="center"/>
          </w:tcPr>
          <w:p>
            <w:pPr>
              <w:keepNext w:val="0"/>
              <w:keepLines w:val="0"/>
              <w:widowControl/>
              <w:suppressLineNumbers w:val="0"/>
              <w:jc w:val="left"/>
              <w:textAlignment w:val="center"/>
              <w:rPr>
                <w:rStyle w:val="38"/>
                <w:rFonts w:hint="eastAsia"/>
                <w:b w:val="0"/>
                <w:bCs w:val="0"/>
                <w:lang w:val="en-US" w:eastAsia="zh-CN" w:bidi="ar"/>
              </w:rPr>
            </w:pPr>
          </w:p>
        </w:tc>
        <w:tc>
          <w:tcPr>
            <w:tcW w:w="613" w:type="dxa"/>
            <w:vAlign w:val="center"/>
          </w:tcPr>
          <w:p>
            <w:pPr>
              <w:keepNext w:val="0"/>
              <w:keepLines w:val="0"/>
              <w:widowControl/>
              <w:suppressLineNumbers w:val="0"/>
              <w:jc w:val="left"/>
              <w:textAlignment w:val="center"/>
              <w:rPr>
                <w:rStyle w:val="38"/>
                <w:rFonts w:hint="eastAsia"/>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b w:val="0"/>
                <w:bCs w:val="0"/>
                <w:lang w:val="en-US" w:eastAsia="zh-CN" w:bidi="ar"/>
              </w:rPr>
              <w:t>3</w:t>
            </w:r>
            <w:r>
              <w:rPr>
                <w:rStyle w:val="38"/>
                <w:rFonts w:hint="eastAsia"/>
                <w:b w:val="0"/>
                <w:bCs w:val="0"/>
                <w:lang w:val="en-US" w:eastAsia="zh-CN" w:bidi="ar"/>
              </w:rPr>
              <w:t>5</w:t>
            </w:r>
            <w:r>
              <w:rPr>
                <w:rStyle w:val="38"/>
                <w:b w:val="0"/>
                <w:bCs w:val="0"/>
                <w:lang w:val="en-US" w:eastAsia="zh-CN" w:bidi="ar"/>
              </w:rPr>
              <w:t>.互动教学软件要求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tc>
        <w:tc>
          <w:tcPr>
            <w:tcW w:w="910" w:type="dxa"/>
            <w:vAlign w:val="center"/>
          </w:tcPr>
          <w:p>
            <w:pPr>
              <w:keepNext w:val="0"/>
              <w:keepLines w:val="0"/>
              <w:widowControl/>
              <w:suppressLineNumbers w:val="0"/>
              <w:jc w:val="left"/>
              <w:textAlignment w:val="center"/>
              <w:rPr>
                <w:rStyle w:val="38"/>
                <w:b w:val="0"/>
                <w:bCs w:val="0"/>
                <w:lang w:val="en-US" w:eastAsia="zh-CN" w:bidi="ar"/>
              </w:rPr>
            </w:pPr>
          </w:p>
        </w:tc>
        <w:tc>
          <w:tcPr>
            <w:tcW w:w="850" w:type="dxa"/>
            <w:vAlign w:val="center"/>
          </w:tcPr>
          <w:p>
            <w:pPr>
              <w:keepNext w:val="0"/>
              <w:keepLines w:val="0"/>
              <w:widowControl/>
              <w:suppressLineNumbers w:val="0"/>
              <w:jc w:val="left"/>
              <w:textAlignment w:val="center"/>
              <w:rPr>
                <w:rStyle w:val="38"/>
                <w:b w:val="0"/>
                <w:bCs w:val="0"/>
                <w:lang w:val="en-US" w:eastAsia="zh-CN" w:bidi="ar"/>
              </w:rPr>
            </w:pPr>
          </w:p>
        </w:tc>
        <w:tc>
          <w:tcPr>
            <w:tcW w:w="613" w:type="dxa"/>
            <w:vAlign w:val="center"/>
          </w:tcPr>
          <w:p>
            <w:pPr>
              <w:keepNext w:val="0"/>
              <w:keepLines w:val="0"/>
              <w:widowControl/>
              <w:suppressLineNumbers w:val="0"/>
              <w:jc w:val="left"/>
              <w:textAlignment w:val="center"/>
              <w:rPr>
                <w:rStyle w:val="38"/>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rFonts w:hint="eastAsia"/>
                <w:b w:val="0"/>
                <w:bCs w:val="0"/>
                <w:lang w:val="en-US" w:eastAsia="zh-CN" w:bidi="ar"/>
              </w:rPr>
              <w:t>36</w:t>
            </w:r>
            <w:r>
              <w:rPr>
                <w:rStyle w:val="38"/>
                <w:b w:val="0"/>
                <w:bCs w:val="0"/>
                <w:lang w:val="en-US" w:eastAsia="zh-CN" w:bidi="ar"/>
              </w:rPr>
              <w:t>.互动教学软件需要提供覆盖初中、高中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备课时可对原文进行注释、标重点等操作；提供原文朗读音频，全部诗词、古文均配备专业朗读配音，朗读音频支持关键帧打点标记。</w:t>
            </w:r>
          </w:p>
        </w:tc>
        <w:tc>
          <w:tcPr>
            <w:tcW w:w="910" w:type="dxa"/>
            <w:vAlign w:val="center"/>
          </w:tcPr>
          <w:p>
            <w:pPr>
              <w:keepNext w:val="0"/>
              <w:keepLines w:val="0"/>
              <w:widowControl/>
              <w:suppressLineNumbers w:val="0"/>
              <w:jc w:val="left"/>
              <w:textAlignment w:val="center"/>
              <w:rPr>
                <w:rStyle w:val="38"/>
                <w:rFonts w:hint="eastAsia"/>
                <w:b w:val="0"/>
                <w:bCs w:val="0"/>
                <w:lang w:val="en-US" w:eastAsia="zh-CN" w:bidi="ar"/>
              </w:rPr>
            </w:pPr>
          </w:p>
        </w:tc>
        <w:tc>
          <w:tcPr>
            <w:tcW w:w="850" w:type="dxa"/>
            <w:vAlign w:val="center"/>
          </w:tcPr>
          <w:p>
            <w:pPr>
              <w:keepNext w:val="0"/>
              <w:keepLines w:val="0"/>
              <w:widowControl/>
              <w:suppressLineNumbers w:val="0"/>
              <w:jc w:val="left"/>
              <w:textAlignment w:val="center"/>
              <w:rPr>
                <w:rStyle w:val="38"/>
                <w:rFonts w:hint="eastAsia"/>
                <w:b w:val="0"/>
                <w:bCs w:val="0"/>
                <w:lang w:val="en-US" w:eastAsia="zh-CN" w:bidi="ar"/>
              </w:rPr>
            </w:pPr>
          </w:p>
        </w:tc>
        <w:tc>
          <w:tcPr>
            <w:tcW w:w="613" w:type="dxa"/>
            <w:vAlign w:val="center"/>
          </w:tcPr>
          <w:p>
            <w:pPr>
              <w:keepNext w:val="0"/>
              <w:keepLines w:val="0"/>
              <w:widowControl/>
              <w:suppressLineNumbers w:val="0"/>
              <w:jc w:val="left"/>
              <w:textAlignment w:val="center"/>
              <w:rPr>
                <w:rStyle w:val="38"/>
                <w:rFonts w:hint="eastAsia"/>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rFonts w:hint="eastAsia"/>
                <w:b w:val="0"/>
                <w:bCs w:val="0"/>
                <w:lang w:val="en-US" w:eastAsia="zh-CN" w:bidi="ar"/>
              </w:rPr>
              <w:t>37</w:t>
            </w:r>
            <w:r>
              <w:rPr>
                <w:rStyle w:val="38"/>
                <w:b w:val="0"/>
                <w:bCs w:val="0"/>
                <w:lang w:val="en-US" w:eastAsia="zh-CN" w:bidi="ar"/>
              </w:rPr>
              <w:t>.多学科课件库：提供涵盖小学语文、数学、英语全部教学章节的不少于80000份的交互式课件。课件支持直接预览并下载，预览时支持拖动课堂活动、形状、几何、文本等元素；下载时课件可同步至教师个人云课件存储空间；课件支持教师在线评分。</w:t>
            </w:r>
          </w:p>
        </w:tc>
        <w:tc>
          <w:tcPr>
            <w:tcW w:w="910" w:type="dxa"/>
            <w:vAlign w:val="center"/>
          </w:tcPr>
          <w:p>
            <w:pPr>
              <w:keepNext w:val="0"/>
              <w:keepLines w:val="0"/>
              <w:widowControl/>
              <w:suppressLineNumbers w:val="0"/>
              <w:jc w:val="left"/>
              <w:textAlignment w:val="center"/>
              <w:rPr>
                <w:rStyle w:val="38"/>
                <w:rFonts w:hint="eastAsia"/>
                <w:b w:val="0"/>
                <w:bCs w:val="0"/>
                <w:lang w:val="en-US" w:eastAsia="zh-CN" w:bidi="ar"/>
              </w:rPr>
            </w:pPr>
          </w:p>
        </w:tc>
        <w:tc>
          <w:tcPr>
            <w:tcW w:w="850" w:type="dxa"/>
            <w:vAlign w:val="center"/>
          </w:tcPr>
          <w:p>
            <w:pPr>
              <w:keepNext w:val="0"/>
              <w:keepLines w:val="0"/>
              <w:widowControl/>
              <w:suppressLineNumbers w:val="0"/>
              <w:jc w:val="left"/>
              <w:textAlignment w:val="center"/>
              <w:rPr>
                <w:rStyle w:val="38"/>
                <w:rFonts w:hint="eastAsia"/>
                <w:b w:val="0"/>
                <w:bCs w:val="0"/>
                <w:lang w:val="en-US" w:eastAsia="zh-CN" w:bidi="ar"/>
              </w:rPr>
            </w:pPr>
          </w:p>
        </w:tc>
        <w:tc>
          <w:tcPr>
            <w:tcW w:w="613" w:type="dxa"/>
            <w:vAlign w:val="center"/>
          </w:tcPr>
          <w:p>
            <w:pPr>
              <w:keepNext w:val="0"/>
              <w:keepLines w:val="0"/>
              <w:widowControl/>
              <w:suppressLineNumbers w:val="0"/>
              <w:jc w:val="left"/>
              <w:textAlignment w:val="center"/>
              <w:rPr>
                <w:rStyle w:val="38"/>
                <w:rFonts w:hint="eastAsia"/>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8213" w:type="dxa"/>
            <w:gridSpan w:val="4"/>
            <w:vAlign w:val="center"/>
          </w:tcPr>
          <w:p>
            <w:pPr>
              <w:keepNext w:val="0"/>
              <w:keepLines w:val="0"/>
              <w:widowControl/>
              <w:suppressLineNumbers w:val="0"/>
              <w:jc w:val="left"/>
              <w:textAlignment w:val="center"/>
              <w:rPr>
                <w:rStyle w:val="38"/>
                <w:rFonts w:hint="eastAsia"/>
                <w:b/>
                <w:bCs/>
                <w:lang w:val="en-US" w:eastAsia="zh-CN" w:bidi="ar"/>
              </w:rPr>
            </w:pPr>
            <w:r>
              <w:rPr>
                <w:rStyle w:val="38"/>
                <w:rFonts w:hint="eastAsia"/>
                <w:b/>
                <w:bCs/>
                <w:lang w:val="en-US" w:eastAsia="zh-CN" w:bidi="ar"/>
              </w:rPr>
              <w:t>六、</w:t>
            </w:r>
            <w:r>
              <w:rPr>
                <w:rStyle w:val="38"/>
                <w:b/>
                <w:bCs/>
                <w:lang w:val="en-US" w:eastAsia="zh-CN" w:bidi="ar"/>
              </w:rPr>
              <w:t>设备集中控制管理软件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Fonts w:hint="eastAsia" w:ascii="宋体" w:hAnsi="宋体" w:cs="宋体"/>
                <w:color w:val="000000" w:themeColor="text1"/>
                <w:szCs w:val="21"/>
                <w:lang w:val="en-US" w:eastAsia="zh-CN"/>
              </w:rPr>
              <w:t>38</w:t>
            </w:r>
            <w:r>
              <w:rPr>
                <w:rFonts w:hint="eastAsia" w:ascii="宋体" w:hAnsi="宋体" w:eastAsia="宋体" w:cs="宋体"/>
                <w:color w:val="000000" w:themeColor="text1"/>
                <w:szCs w:val="21"/>
                <w:lang w:val="en-US" w:eastAsia="zh-CN"/>
              </w:rPr>
              <w:t>.</w:t>
            </w:r>
            <w:r>
              <w:rPr>
                <w:rFonts w:hint="default"/>
                <w:color w:val="000000" w:themeColor="text1"/>
                <w:szCs w:val="21"/>
                <w:lang w:val="en-US" w:eastAsia="zh-CN"/>
              </w:rPr>
              <w:t>设计架构：系统采用模块化的架构设计B/S架构，通过浏览器打开并用微信扫码登录、账号密码登录和微信授权登录完成鉴权，即可使用数字校园产品的各项功能模块。</w:t>
            </w:r>
          </w:p>
        </w:tc>
        <w:tc>
          <w:tcPr>
            <w:tcW w:w="910" w:type="dxa"/>
            <w:vAlign w:val="center"/>
          </w:tcPr>
          <w:p>
            <w:pPr>
              <w:keepNext w:val="0"/>
              <w:keepLines w:val="0"/>
              <w:widowControl/>
              <w:suppressLineNumbers w:val="0"/>
              <w:jc w:val="left"/>
              <w:textAlignment w:val="center"/>
              <w:rPr>
                <w:rFonts w:hint="eastAsia" w:ascii="宋体" w:hAnsi="宋体" w:cs="宋体"/>
                <w:color w:val="000000" w:themeColor="text1"/>
                <w:szCs w:val="21"/>
                <w:lang w:val="en-US" w:eastAsia="zh-CN"/>
              </w:rPr>
            </w:pPr>
          </w:p>
        </w:tc>
        <w:tc>
          <w:tcPr>
            <w:tcW w:w="850" w:type="dxa"/>
            <w:vAlign w:val="center"/>
          </w:tcPr>
          <w:p>
            <w:pPr>
              <w:keepNext w:val="0"/>
              <w:keepLines w:val="0"/>
              <w:widowControl/>
              <w:suppressLineNumbers w:val="0"/>
              <w:jc w:val="left"/>
              <w:textAlignment w:val="center"/>
              <w:rPr>
                <w:rFonts w:hint="eastAsia" w:ascii="宋体" w:hAnsi="宋体" w:cs="宋体"/>
                <w:color w:val="000000" w:themeColor="text1"/>
                <w:szCs w:val="21"/>
                <w:lang w:val="en-US" w:eastAsia="zh-CN"/>
              </w:rPr>
            </w:pPr>
          </w:p>
        </w:tc>
        <w:tc>
          <w:tcPr>
            <w:tcW w:w="613" w:type="dxa"/>
            <w:vAlign w:val="center"/>
          </w:tcPr>
          <w:p>
            <w:pPr>
              <w:keepNext w:val="0"/>
              <w:keepLines w:val="0"/>
              <w:widowControl/>
              <w:suppressLineNumbers w:val="0"/>
              <w:jc w:val="left"/>
              <w:textAlignment w:val="center"/>
              <w:rPr>
                <w:rFonts w:hint="eastAsia" w:ascii="宋体" w:hAnsi="宋体" w:cs="宋体"/>
                <w:color w:val="000000" w:themeColor="text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39.▲工作台配置：针对不同的客户诉求，提供个性化工作台自定义功能，在工作台配置页面，可通过拖拉拽可视化配置组件的方式，完成个性化工作台的配置；工作台可配置组件数量不小于30个；支持给每个工作台配置不同的使用角色，默认预设全员工作台和分别仅电教主任，德育主任，教研主任查看的工作台，对应的角色才能看到对应的工作台；同时工作台支持启用和停用管理。</w:t>
            </w:r>
            <w:r>
              <w:rPr>
                <w:rStyle w:val="38"/>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c>
          <w:tcPr>
            <w:tcW w:w="910" w:type="dxa"/>
            <w:vAlign w:val="center"/>
          </w:tcPr>
          <w:p>
            <w:pPr>
              <w:keepNext w:val="0"/>
              <w:keepLines w:val="0"/>
              <w:widowControl/>
              <w:suppressLineNumbers w:val="0"/>
              <w:jc w:val="left"/>
              <w:textAlignment w:val="center"/>
              <w:rPr>
                <w:rStyle w:val="38"/>
                <w:rFonts w:hint="eastAsia"/>
                <w:lang w:val="en-US" w:eastAsia="zh-CN" w:bidi="ar"/>
              </w:rPr>
            </w:pPr>
          </w:p>
        </w:tc>
        <w:tc>
          <w:tcPr>
            <w:tcW w:w="850" w:type="dxa"/>
            <w:vAlign w:val="center"/>
          </w:tcPr>
          <w:p>
            <w:pPr>
              <w:keepNext w:val="0"/>
              <w:keepLines w:val="0"/>
              <w:widowControl/>
              <w:suppressLineNumbers w:val="0"/>
              <w:jc w:val="left"/>
              <w:textAlignment w:val="center"/>
              <w:rPr>
                <w:rStyle w:val="38"/>
                <w:rFonts w:hint="eastAsia"/>
                <w:lang w:val="en-US" w:eastAsia="zh-CN" w:bidi="ar"/>
              </w:rPr>
            </w:pPr>
          </w:p>
        </w:tc>
        <w:tc>
          <w:tcPr>
            <w:tcW w:w="613"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40.▲专属工作台：支持设置显隐组件来定制专属工作台。支持通过设备总览组件快捷查看学校所有设备实时状态及达标情况。支持通过设备巡视组件实时了解教室和设备的情况。支持通过设备使用情况组件了解设备活跃分布及长时间未使用的设备情况，设置智能策略来对设备进行管控；支持通过软件使用情况组件掌握学校教师常用的教学软件，快速拦截风险应用；支持通过老师使用情况了解教师对信息化设备的使用率；支持通过网站访问情况了解设备上使用的常用网址，并可快速设置黑名单来禁止设备上的违规访问行为。</w:t>
            </w:r>
            <w:r>
              <w:rPr>
                <w:rStyle w:val="38"/>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c>
          <w:tcPr>
            <w:tcW w:w="910" w:type="dxa"/>
            <w:vAlign w:val="center"/>
          </w:tcPr>
          <w:p>
            <w:pPr>
              <w:keepNext w:val="0"/>
              <w:keepLines w:val="0"/>
              <w:widowControl/>
              <w:suppressLineNumbers w:val="0"/>
              <w:jc w:val="left"/>
              <w:textAlignment w:val="center"/>
              <w:rPr>
                <w:rStyle w:val="38"/>
                <w:rFonts w:hint="eastAsia"/>
                <w:lang w:val="en-US" w:eastAsia="zh-CN" w:bidi="ar"/>
              </w:rPr>
            </w:pPr>
          </w:p>
        </w:tc>
        <w:tc>
          <w:tcPr>
            <w:tcW w:w="850" w:type="dxa"/>
            <w:vAlign w:val="center"/>
          </w:tcPr>
          <w:p>
            <w:pPr>
              <w:keepNext w:val="0"/>
              <w:keepLines w:val="0"/>
              <w:widowControl/>
              <w:suppressLineNumbers w:val="0"/>
              <w:jc w:val="left"/>
              <w:textAlignment w:val="center"/>
              <w:rPr>
                <w:rStyle w:val="38"/>
                <w:rFonts w:hint="eastAsia"/>
                <w:lang w:val="en-US" w:eastAsia="zh-CN" w:bidi="ar"/>
              </w:rPr>
            </w:pPr>
          </w:p>
        </w:tc>
        <w:tc>
          <w:tcPr>
            <w:tcW w:w="613"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rFonts w:hint="eastAsia"/>
                <w:b w:val="0"/>
                <w:bCs w:val="0"/>
                <w:lang w:val="en-US" w:eastAsia="zh-CN" w:bidi="ar"/>
              </w:rPr>
              <w:t>41.远程巡课：支持管理者开启远程巡课服务，开启/关闭远程巡课的管控功能；拥有远程巡课权限的老师可在移动端或PC客户端实时巡班，并进行基础远程管控。支持管理者为普通老师直接分配、普通老师自行申请后由管理者在平台审核开通的2种方式管理远程巡课的班级权限，所有权限调整均配备操作日志；支持通过教师、设备维度查看拥有远程巡课的权限明细，并支持快速调整权限。</w:t>
            </w:r>
          </w:p>
        </w:tc>
        <w:tc>
          <w:tcPr>
            <w:tcW w:w="910" w:type="dxa"/>
            <w:vAlign w:val="center"/>
          </w:tcPr>
          <w:p>
            <w:pPr>
              <w:keepNext w:val="0"/>
              <w:keepLines w:val="0"/>
              <w:widowControl/>
              <w:suppressLineNumbers w:val="0"/>
              <w:jc w:val="left"/>
              <w:textAlignment w:val="center"/>
              <w:rPr>
                <w:rStyle w:val="38"/>
                <w:rFonts w:hint="eastAsia"/>
                <w:b w:val="0"/>
                <w:bCs w:val="0"/>
                <w:lang w:val="en-US" w:eastAsia="zh-CN" w:bidi="ar"/>
              </w:rPr>
            </w:pPr>
          </w:p>
        </w:tc>
        <w:tc>
          <w:tcPr>
            <w:tcW w:w="850" w:type="dxa"/>
            <w:vAlign w:val="center"/>
          </w:tcPr>
          <w:p>
            <w:pPr>
              <w:keepNext w:val="0"/>
              <w:keepLines w:val="0"/>
              <w:widowControl/>
              <w:suppressLineNumbers w:val="0"/>
              <w:jc w:val="left"/>
              <w:textAlignment w:val="center"/>
              <w:rPr>
                <w:rStyle w:val="38"/>
                <w:rFonts w:hint="eastAsia"/>
                <w:b w:val="0"/>
                <w:bCs w:val="0"/>
                <w:lang w:val="en-US" w:eastAsia="zh-CN" w:bidi="ar"/>
              </w:rPr>
            </w:pPr>
          </w:p>
        </w:tc>
        <w:tc>
          <w:tcPr>
            <w:tcW w:w="613" w:type="dxa"/>
            <w:vAlign w:val="center"/>
          </w:tcPr>
          <w:p>
            <w:pPr>
              <w:keepNext w:val="0"/>
              <w:keepLines w:val="0"/>
              <w:widowControl/>
              <w:suppressLineNumbers w:val="0"/>
              <w:jc w:val="left"/>
              <w:textAlignment w:val="center"/>
              <w:rPr>
                <w:rStyle w:val="38"/>
                <w:rFonts w:hint="eastAsia"/>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b w:val="0"/>
                <w:bCs w:val="0"/>
                <w:color w:val="000000" w:themeColor="text1"/>
                <w:szCs w:val="21"/>
                <w:lang w:val="en-US" w:eastAsia="zh-CN"/>
              </w:rPr>
            </w:pPr>
            <w:r>
              <w:rPr>
                <w:rStyle w:val="38"/>
                <w:rFonts w:hint="eastAsia"/>
                <w:b w:val="0"/>
                <w:bCs w:val="0"/>
                <w:lang w:val="en-US" w:eastAsia="zh-CN" w:bidi="ar"/>
              </w:rPr>
              <w:t>42.点播巡视：支持根据班级课程表，自动获取正在上课或者即将上课的科目、老师列表，快速定位老师所在教室，实时远程听课；支持听课过程中针对本节课的教学过程进行评价，支持创建和使用多个评课表，并将评价记录于巡视记录。</w:t>
            </w:r>
          </w:p>
        </w:tc>
        <w:tc>
          <w:tcPr>
            <w:tcW w:w="910" w:type="dxa"/>
            <w:vAlign w:val="center"/>
          </w:tcPr>
          <w:p>
            <w:pPr>
              <w:keepNext w:val="0"/>
              <w:keepLines w:val="0"/>
              <w:widowControl/>
              <w:suppressLineNumbers w:val="0"/>
              <w:jc w:val="left"/>
              <w:textAlignment w:val="center"/>
              <w:rPr>
                <w:rStyle w:val="38"/>
                <w:rFonts w:hint="eastAsia"/>
                <w:b w:val="0"/>
                <w:bCs w:val="0"/>
                <w:lang w:val="en-US" w:eastAsia="zh-CN" w:bidi="ar"/>
              </w:rPr>
            </w:pPr>
          </w:p>
        </w:tc>
        <w:tc>
          <w:tcPr>
            <w:tcW w:w="850" w:type="dxa"/>
            <w:vAlign w:val="center"/>
          </w:tcPr>
          <w:p>
            <w:pPr>
              <w:keepNext w:val="0"/>
              <w:keepLines w:val="0"/>
              <w:widowControl/>
              <w:suppressLineNumbers w:val="0"/>
              <w:jc w:val="left"/>
              <w:textAlignment w:val="center"/>
              <w:rPr>
                <w:rStyle w:val="38"/>
                <w:rFonts w:hint="eastAsia"/>
                <w:b w:val="0"/>
                <w:bCs w:val="0"/>
                <w:lang w:val="en-US" w:eastAsia="zh-CN" w:bidi="ar"/>
              </w:rPr>
            </w:pPr>
          </w:p>
        </w:tc>
        <w:tc>
          <w:tcPr>
            <w:tcW w:w="613" w:type="dxa"/>
            <w:vAlign w:val="center"/>
          </w:tcPr>
          <w:p>
            <w:pPr>
              <w:keepNext w:val="0"/>
              <w:keepLines w:val="0"/>
              <w:widowControl/>
              <w:suppressLineNumbers w:val="0"/>
              <w:jc w:val="left"/>
              <w:textAlignment w:val="center"/>
              <w:rPr>
                <w:rStyle w:val="38"/>
                <w:rFonts w:hint="eastAsia"/>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w:t>
            </w:r>
            <w:r>
              <w:rPr>
                <w:rStyle w:val="38"/>
                <w:rFonts w:hint="eastAsia"/>
                <w:lang w:val="en-US" w:eastAsia="zh-CN" w:bidi="ar"/>
              </w:rPr>
              <w:t>3</w:t>
            </w:r>
            <w:r>
              <w:rPr>
                <w:rStyle w:val="38"/>
                <w:lang w:val="en-US" w:eastAsia="zh-CN" w:bidi="ar"/>
              </w:rPr>
              <w:t>.</w:t>
            </w:r>
            <w:r>
              <w:rPr>
                <w:rFonts w:hint="default" w:ascii="宋体" w:hAnsi="宋体"/>
                <w:b w:val="0"/>
                <w:bCs/>
                <w:sz w:val="21"/>
                <w:szCs w:val="21"/>
                <w:vertAlign w:val="baseline"/>
                <w:lang w:val="en-US" w:eastAsia="zh-CN"/>
              </w:rPr>
              <w:t>▲</w:t>
            </w:r>
            <w:r>
              <w:rPr>
                <w:rFonts w:hint="default" w:ascii="宋体" w:hAnsi="宋体"/>
                <w:b/>
                <w:bCs w:val="0"/>
                <w:sz w:val="21"/>
                <w:szCs w:val="21"/>
                <w:vertAlign w:val="baseline"/>
                <w:lang w:val="en-US" w:eastAsia="zh-CN"/>
              </w:rPr>
              <w:t>AI画面监测：支持AI自动监测设备画面色情、恐怖、暴力、游戏等风险内容或元素；支持设置警告内容，当监测到不良画面后自动提醒；支持将每天监测到的风险结果自动推送至公众号提醒管理；支持按设备、按画面维度回溯历史监测到的不良画面信息。</w:t>
            </w:r>
            <w:r>
              <w:rPr>
                <w:rFonts w:hint="eastAsia" w:ascii="宋体" w:hAnsi="宋体"/>
                <w:b/>
                <w:bCs w:val="0"/>
                <w:sz w:val="21"/>
                <w:szCs w:val="21"/>
                <w:highlight w:val="yellow"/>
                <w:vertAlign w:val="baseline"/>
                <w:lang w:val="en-US" w:eastAsia="zh-CN"/>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c>
          <w:tcPr>
            <w:tcW w:w="910" w:type="dxa"/>
            <w:vAlign w:val="center"/>
          </w:tcPr>
          <w:p>
            <w:pPr>
              <w:keepNext w:val="0"/>
              <w:keepLines w:val="0"/>
              <w:widowControl/>
              <w:suppressLineNumbers w:val="0"/>
              <w:jc w:val="left"/>
              <w:textAlignment w:val="center"/>
              <w:rPr>
                <w:rStyle w:val="38"/>
                <w:lang w:val="en-US" w:eastAsia="zh-CN" w:bidi="ar"/>
              </w:rPr>
            </w:pPr>
          </w:p>
        </w:tc>
        <w:tc>
          <w:tcPr>
            <w:tcW w:w="850" w:type="dxa"/>
            <w:vAlign w:val="center"/>
          </w:tcPr>
          <w:p>
            <w:pPr>
              <w:keepNext w:val="0"/>
              <w:keepLines w:val="0"/>
              <w:widowControl/>
              <w:suppressLineNumbers w:val="0"/>
              <w:jc w:val="left"/>
              <w:textAlignment w:val="center"/>
              <w:rPr>
                <w:rStyle w:val="38"/>
                <w:lang w:val="en-US" w:eastAsia="zh-CN" w:bidi="ar"/>
              </w:rPr>
            </w:pPr>
          </w:p>
        </w:tc>
        <w:tc>
          <w:tcPr>
            <w:tcW w:w="613"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b w:val="0"/>
                <w:bCs w:val="0"/>
                <w:lang w:val="en-US" w:eastAsia="zh-CN" w:bidi="ar"/>
              </w:rPr>
              <w:t>44.多场景锁屏：支持一键下课锁屏、开机自动锁屏、无网络时验证身份解锁、联网时禁用密码解锁；支持下课锁屏，在班班通设备上点击“下课”按钮即可锁屏；支持开机自动锁屏，可设置生效时间和生效设备；支持无网络情况下，通过手机微信扫码，验证身份后获取密码进行解锁使用。支持设置屏幕锁壁纸；支持设置普通锁屏、极速锁屏模式。</w:t>
            </w:r>
          </w:p>
        </w:tc>
        <w:tc>
          <w:tcPr>
            <w:tcW w:w="910" w:type="dxa"/>
            <w:vAlign w:val="center"/>
          </w:tcPr>
          <w:p>
            <w:pPr>
              <w:keepNext w:val="0"/>
              <w:keepLines w:val="0"/>
              <w:widowControl/>
              <w:suppressLineNumbers w:val="0"/>
              <w:jc w:val="left"/>
              <w:textAlignment w:val="center"/>
              <w:rPr>
                <w:rStyle w:val="38"/>
                <w:rFonts w:hint="eastAsia"/>
                <w:b w:val="0"/>
                <w:bCs w:val="0"/>
                <w:lang w:val="en-US" w:eastAsia="zh-CN" w:bidi="ar"/>
              </w:rPr>
            </w:pPr>
          </w:p>
        </w:tc>
        <w:tc>
          <w:tcPr>
            <w:tcW w:w="850" w:type="dxa"/>
            <w:vAlign w:val="center"/>
          </w:tcPr>
          <w:p>
            <w:pPr>
              <w:keepNext w:val="0"/>
              <w:keepLines w:val="0"/>
              <w:widowControl/>
              <w:suppressLineNumbers w:val="0"/>
              <w:jc w:val="left"/>
              <w:textAlignment w:val="center"/>
              <w:rPr>
                <w:rStyle w:val="38"/>
                <w:rFonts w:hint="eastAsia"/>
                <w:b w:val="0"/>
                <w:bCs w:val="0"/>
                <w:lang w:val="en-US" w:eastAsia="zh-CN" w:bidi="ar"/>
              </w:rPr>
            </w:pPr>
          </w:p>
        </w:tc>
        <w:tc>
          <w:tcPr>
            <w:tcW w:w="613" w:type="dxa"/>
            <w:vAlign w:val="center"/>
          </w:tcPr>
          <w:p>
            <w:pPr>
              <w:keepNext w:val="0"/>
              <w:keepLines w:val="0"/>
              <w:widowControl/>
              <w:suppressLineNumbers w:val="0"/>
              <w:jc w:val="left"/>
              <w:textAlignment w:val="center"/>
              <w:rPr>
                <w:rStyle w:val="38"/>
                <w:rFonts w:hint="eastAsia"/>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Style w:val="38"/>
                <w:rFonts w:hint="eastAsia"/>
                <w:b w:val="0"/>
                <w:bCs w:val="0"/>
                <w:lang w:val="en-US" w:eastAsia="zh-CN" w:bidi="ar"/>
              </w:rPr>
            </w:pPr>
            <w:r>
              <w:rPr>
                <w:rStyle w:val="38"/>
                <w:rFonts w:hint="eastAsia"/>
                <w:b w:val="0"/>
                <w:bCs w:val="0"/>
                <w:lang w:val="en-US" w:eastAsia="zh-CN" w:bidi="ar"/>
              </w:rPr>
              <w:t>45.移动端管理：支持通过微信小程序远程管理学校所有电子设备，支持查看设备运行状态，支持下发远程指令，支持查看设备数据，支持推送指令执行异常的设备信息、出现不良画面的设备及不良内容。</w:t>
            </w:r>
          </w:p>
        </w:tc>
        <w:tc>
          <w:tcPr>
            <w:tcW w:w="910" w:type="dxa"/>
            <w:vAlign w:val="center"/>
          </w:tcPr>
          <w:p>
            <w:pPr>
              <w:keepNext w:val="0"/>
              <w:keepLines w:val="0"/>
              <w:widowControl/>
              <w:suppressLineNumbers w:val="0"/>
              <w:jc w:val="left"/>
              <w:textAlignment w:val="center"/>
              <w:rPr>
                <w:rStyle w:val="38"/>
                <w:rFonts w:hint="eastAsia"/>
                <w:b w:val="0"/>
                <w:bCs w:val="0"/>
                <w:lang w:val="en-US" w:eastAsia="zh-CN" w:bidi="ar"/>
              </w:rPr>
            </w:pPr>
          </w:p>
        </w:tc>
        <w:tc>
          <w:tcPr>
            <w:tcW w:w="850" w:type="dxa"/>
            <w:vAlign w:val="center"/>
          </w:tcPr>
          <w:p>
            <w:pPr>
              <w:keepNext w:val="0"/>
              <w:keepLines w:val="0"/>
              <w:widowControl/>
              <w:suppressLineNumbers w:val="0"/>
              <w:jc w:val="left"/>
              <w:textAlignment w:val="center"/>
              <w:rPr>
                <w:rStyle w:val="38"/>
                <w:rFonts w:hint="eastAsia"/>
                <w:b w:val="0"/>
                <w:bCs w:val="0"/>
                <w:lang w:val="en-US" w:eastAsia="zh-CN" w:bidi="ar"/>
              </w:rPr>
            </w:pPr>
          </w:p>
        </w:tc>
        <w:tc>
          <w:tcPr>
            <w:tcW w:w="613" w:type="dxa"/>
            <w:vAlign w:val="center"/>
          </w:tcPr>
          <w:p>
            <w:pPr>
              <w:keepNext w:val="0"/>
              <w:keepLines w:val="0"/>
              <w:widowControl/>
              <w:suppressLineNumbers w:val="0"/>
              <w:jc w:val="left"/>
              <w:textAlignment w:val="center"/>
              <w:rPr>
                <w:rStyle w:val="38"/>
                <w:rFonts w:hint="eastAsia"/>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Style w:val="38"/>
                <w:rFonts w:hint="eastAsia"/>
                <w:b w:val="0"/>
                <w:bCs w:val="0"/>
                <w:lang w:val="en-US" w:eastAsia="zh-CN" w:bidi="ar"/>
              </w:rPr>
            </w:pPr>
            <w:r>
              <w:rPr>
                <w:rStyle w:val="38"/>
                <w:rFonts w:hint="eastAsia"/>
                <w:b w:val="0"/>
                <w:bCs w:val="0"/>
                <w:lang w:val="en-US" w:eastAsia="zh-CN" w:bidi="ar"/>
              </w:rPr>
              <w:t>46.系统管理：支持学校高级管理员添加多位管理员协同管理及快速转让高级管理员，支持为普通管理员分配不同权限，权限支持按系统功能菜单分配、按管理设备分配方式；支持设置在自定义时间段内自动升级设备辅助管理软件、开启/关闭自动升级后自动关机服务、开启/关闭限制旧版本覆盖安装的安全服务；支持启用/禁用管家身份验证服务，包含扫码验证、复杂密码验证服务。支持记录并回看管理员的操作日志，包含操作人、操作时间、操作内容。</w:t>
            </w:r>
          </w:p>
        </w:tc>
        <w:tc>
          <w:tcPr>
            <w:tcW w:w="910" w:type="dxa"/>
            <w:vAlign w:val="center"/>
          </w:tcPr>
          <w:p>
            <w:pPr>
              <w:keepNext w:val="0"/>
              <w:keepLines w:val="0"/>
              <w:widowControl/>
              <w:suppressLineNumbers w:val="0"/>
              <w:jc w:val="left"/>
              <w:textAlignment w:val="center"/>
              <w:rPr>
                <w:rStyle w:val="38"/>
                <w:rFonts w:hint="eastAsia"/>
                <w:b w:val="0"/>
                <w:bCs w:val="0"/>
                <w:lang w:val="en-US" w:eastAsia="zh-CN" w:bidi="ar"/>
              </w:rPr>
            </w:pPr>
          </w:p>
        </w:tc>
        <w:tc>
          <w:tcPr>
            <w:tcW w:w="850" w:type="dxa"/>
            <w:vAlign w:val="center"/>
          </w:tcPr>
          <w:p>
            <w:pPr>
              <w:keepNext w:val="0"/>
              <w:keepLines w:val="0"/>
              <w:widowControl/>
              <w:suppressLineNumbers w:val="0"/>
              <w:jc w:val="left"/>
              <w:textAlignment w:val="center"/>
              <w:rPr>
                <w:rStyle w:val="38"/>
                <w:rFonts w:hint="eastAsia"/>
                <w:b w:val="0"/>
                <w:bCs w:val="0"/>
                <w:lang w:val="en-US" w:eastAsia="zh-CN" w:bidi="ar"/>
              </w:rPr>
            </w:pPr>
          </w:p>
        </w:tc>
        <w:tc>
          <w:tcPr>
            <w:tcW w:w="613" w:type="dxa"/>
            <w:vAlign w:val="center"/>
          </w:tcPr>
          <w:p>
            <w:pPr>
              <w:keepNext w:val="0"/>
              <w:keepLines w:val="0"/>
              <w:widowControl/>
              <w:suppressLineNumbers w:val="0"/>
              <w:jc w:val="left"/>
              <w:textAlignment w:val="center"/>
              <w:rPr>
                <w:rStyle w:val="38"/>
                <w:rFonts w:hint="eastAsia"/>
                <w:b w:val="0"/>
                <w:bCs w:val="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Style w:val="38"/>
                <w:rFonts w:hint="eastAsia"/>
                <w:lang w:val="en-US" w:eastAsia="zh-CN" w:bidi="ar"/>
              </w:rPr>
            </w:pPr>
            <w:r>
              <w:rPr>
                <w:rStyle w:val="38"/>
                <w:rFonts w:hint="eastAsia"/>
                <w:lang w:val="en-US" w:eastAsia="zh-CN" w:bidi="ar"/>
              </w:rPr>
              <w:t>47.▲ 基建优化建议：支持解读设备运行数据，提供基建优化建议；支持根据网络带宽利用率分析网络稳定性并提供优化方案；支持根据硬件参数及流畅度达标情况分析设备运行稳定性并提供优化方案；支持根据安全服务开启情况分析设备运行风险并提供优化方案。</w:t>
            </w:r>
            <w:r>
              <w:rPr>
                <w:rStyle w:val="38"/>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c>
          <w:tcPr>
            <w:tcW w:w="910" w:type="dxa"/>
            <w:vAlign w:val="center"/>
          </w:tcPr>
          <w:p>
            <w:pPr>
              <w:keepNext w:val="0"/>
              <w:keepLines w:val="0"/>
              <w:widowControl/>
              <w:suppressLineNumbers w:val="0"/>
              <w:jc w:val="left"/>
              <w:textAlignment w:val="center"/>
              <w:rPr>
                <w:rStyle w:val="38"/>
                <w:rFonts w:hint="eastAsia"/>
                <w:lang w:val="en-US" w:eastAsia="zh-CN" w:bidi="ar"/>
              </w:rPr>
            </w:pPr>
          </w:p>
        </w:tc>
        <w:tc>
          <w:tcPr>
            <w:tcW w:w="850" w:type="dxa"/>
            <w:vAlign w:val="center"/>
          </w:tcPr>
          <w:p>
            <w:pPr>
              <w:keepNext w:val="0"/>
              <w:keepLines w:val="0"/>
              <w:widowControl/>
              <w:suppressLineNumbers w:val="0"/>
              <w:jc w:val="left"/>
              <w:textAlignment w:val="center"/>
              <w:rPr>
                <w:rStyle w:val="38"/>
                <w:rFonts w:hint="eastAsia"/>
                <w:lang w:val="en-US" w:eastAsia="zh-CN" w:bidi="ar"/>
              </w:rPr>
            </w:pPr>
          </w:p>
        </w:tc>
        <w:tc>
          <w:tcPr>
            <w:tcW w:w="613"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Style w:val="38"/>
                <w:rFonts w:hint="eastAsia"/>
                <w:lang w:val="en-US" w:eastAsia="zh-CN" w:bidi="ar"/>
              </w:rPr>
            </w:pPr>
            <w:r>
              <w:rPr>
                <w:rFonts w:hint="eastAsia" w:ascii="宋体" w:hAnsi="宋体"/>
                <w:b/>
                <w:bCs w:val="0"/>
                <w:sz w:val="21"/>
                <w:szCs w:val="21"/>
                <w:vertAlign w:val="baseline"/>
                <w:lang w:val="en-US" w:eastAsia="zh-CN"/>
              </w:rPr>
              <w:t>48.</w:t>
            </w:r>
            <w:r>
              <w:rPr>
                <w:rFonts w:hint="default" w:ascii="宋体" w:hAnsi="宋体"/>
                <w:b/>
                <w:bCs w:val="0"/>
                <w:sz w:val="21"/>
                <w:szCs w:val="21"/>
                <w:vertAlign w:val="baseline"/>
                <w:lang w:val="en-US" w:eastAsia="zh-CN"/>
              </w:rPr>
              <w:t>▲素养提升建议：支持分析解读教师使用数据，提供信息化素养提升建议；支持根据各学科/设备/老师使用数据分析经验丰富的老师，并提供信息化素养提升建议；支持根据不同类型软件的使用明细分析本校常用软件，并提供软件普及、替换或拦截建议。</w:t>
            </w:r>
            <w:r>
              <w:rPr>
                <w:rFonts w:hint="eastAsia" w:ascii="宋体" w:hAnsi="宋体"/>
                <w:b/>
                <w:bCs w:val="0"/>
                <w:sz w:val="21"/>
                <w:szCs w:val="21"/>
                <w:highlight w:val="yellow"/>
                <w:vertAlign w:val="baseline"/>
                <w:lang w:val="en-US" w:eastAsia="zh-CN"/>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有材料证明相关检验检测项不在该检验检测机构CMA资质许可（认定）范围内的，则该检验检测报告视为不符合招标文件要求。）</w:t>
            </w:r>
          </w:p>
        </w:tc>
        <w:tc>
          <w:tcPr>
            <w:tcW w:w="910" w:type="dxa"/>
            <w:vAlign w:val="center"/>
          </w:tcPr>
          <w:p>
            <w:pPr>
              <w:keepNext w:val="0"/>
              <w:keepLines w:val="0"/>
              <w:widowControl/>
              <w:suppressLineNumbers w:val="0"/>
              <w:jc w:val="left"/>
              <w:textAlignment w:val="center"/>
              <w:rPr>
                <w:rFonts w:hint="eastAsia" w:ascii="宋体" w:hAnsi="宋体"/>
                <w:b/>
                <w:bCs w:val="0"/>
                <w:sz w:val="21"/>
                <w:szCs w:val="21"/>
                <w:vertAlign w:val="baseline"/>
                <w:lang w:val="en-US" w:eastAsia="zh-CN"/>
              </w:rPr>
            </w:pPr>
          </w:p>
        </w:tc>
        <w:tc>
          <w:tcPr>
            <w:tcW w:w="850" w:type="dxa"/>
            <w:vAlign w:val="center"/>
          </w:tcPr>
          <w:p>
            <w:pPr>
              <w:keepNext w:val="0"/>
              <w:keepLines w:val="0"/>
              <w:widowControl/>
              <w:suppressLineNumbers w:val="0"/>
              <w:jc w:val="left"/>
              <w:textAlignment w:val="center"/>
              <w:rPr>
                <w:rFonts w:hint="eastAsia" w:ascii="宋体" w:hAnsi="宋体"/>
                <w:b/>
                <w:bCs w:val="0"/>
                <w:sz w:val="21"/>
                <w:szCs w:val="21"/>
                <w:vertAlign w:val="baseline"/>
                <w:lang w:val="en-US" w:eastAsia="zh-CN"/>
              </w:rPr>
            </w:pPr>
          </w:p>
        </w:tc>
        <w:tc>
          <w:tcPr>
            <w:tcW w:w="613" w:type="dxa"/>
            <w:vAlign w:val="center"/>
          </w:tcPr>
          <w:p>
            <w:pPr>
              <w:keepNext w:val="0"/>
              <w:keepLines w:val="0"/>
              <w:widowControl/>
              <w:suppressLineNumbers w:val="0"/>
              <w:jc w:val="left"/>
              <w:textAlignment w:val="center"/>
              <w:rPr>
                <w:rFonts w:hint="eastAsia" w:ascii="宋体" w:hAnsi="宋体"/>
                <w:b/>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80" w:type="dxa"/>
            <w:vMerge w:val="continue"/>
          </w:tcPr>
          <w:p>
            <w:pPr>
              <w:jc w:val="center"/>
              <w:rPr>
                <w:color w:val="000000" w:themeColor="text1"/>
                <w:szCs w:val="21"/>
              </w:rPr>
            </w:pPr>
          </w:p>
        </w:tc>
        <w:tc>
          <w:tcPr>
            <w:tcW w:w="900" w:type="dxa"/>
            <w:vMerge w:val="continue"/>
          </w:tcPr>
          <w:p>
            <w:pPr>
              <w:rPr>
                <w:color w:val="000000" w:themeColor="text1"/>
                <w:szCs w:val="21"/>
              </w:rPr>
            </w:pPr>
          </w:p>
        </w:tc>
        <w:tc>
          <w:tcPr>
            <w:tcW w:w="5840" w:type="dxa"/>
            <w:vAlign w:val="center"/>
          </w:tcPr>
          <w:p>
            <w:pPr>
              <w:keepNext w:val="0"/>
              <w:keepLines w:val="0"/>
              <w:widowControl/>
              <w:suppressLineNumbers w:val="0"/>
              <w:jc w:val="left"/>
              <w:textAlignment w:val="center"/>
              <w:rPr>
                <w:rStyle w:val="38"/>
                <w:rFonts w:hint="eastAsia"/>
                <w:lang w:val="en-US" w:eastAsia="zh-CN" w:bidi="ar"/>
              </w:rPr>
            </w:pPr>
            <w:r>
              <w:rPr>
                <w:rFonts w:hint="eastAsia" w:ascii="宋体" w:hAnsi="宋体" w:cs="宋体"/>
                <w:b/>
                <w:bCs/>
                <w:i w:val="0"/>
                <w:iCs w:val="0"/>
                <w:color w:val="FF0000"/>
                <w:sz w:val="21"/>
                <w:szCs w:val="21"/>
                <w:u w:val="none"/>
                <w:lang w:val="en-US" w:eastAsia="zh-CN"/>
              </w:rPr>
              <w:t>★实现与宝安区触控一体机管理平台互联互通，验收时须经区教育发展中心教育技术部确认。</w:t>
            </w:r>
          </w:p>
        </w:tc>
        <w:tc>
          <w:tcPr>
            <w:tcW w:w="910" w:type="dxa"/>
            <w:vAlign w:val="center"/>
          </w:tcPr>
          <w:p>
            <w:pPr>
              <w:keepNext w:val="0"/>
              <w:keepLines w:val="0"/>
              <w:widowControl/>
              <w:suppressLineNumbers w:val="0"/>
              <w:jc w:val="left"/>
              <w:textAlignment w:val="center"/>
              <w:rPr>
                <w:rFonts w:hint="eastAsia" w:ascii="宋体" w:hAnsi="宋体" w:cs="宋体"/>
                <w:b/>
                <w:bCs/>
                <w:i w:val="0"/>
                <w:iCs w:val="0"/>
                <w:color w:val="FF0000"/>
                <w:sz w:val="21"/>
                <w:szCs w:val="21"/>
                <w:u w:val="none"/>
                <w:lang w:val="en-US" w:eastAsia="zh-CN"/>
              </w:rPr>
            </w:pPr>
          </w:p>
        </w:tc>
        <w:tc>
          <w:tcPr>
            <w:tcW w:w="850" w:type="dxa"/>
            <w:vAlign w:val="center"/>
          </w:tcPr>
          <w:p>
            <w:pPr>
              <w:keepNext w:val="0"/>
              <w:keepLines w:val="0"/>
              <w:widowControl/>
              <w:suppressLineNumbers w:val="0"/>
              <w:jc w:val="left"/>
              <w:textAlignment w:val="center"/>
              <w:rPr>
                <w:rFonts w:hint="eastAsia" w:ascii="宋体" w:hAnsi="宋体" w:cs="宋体"/>
                <w:b/>
                <w:bCs/>
                <w:i w:val="0"/>
                <w:iCs w:val="0"/>
                <w:color w:val="FF0000"/>
                <w:sz w:val="21"/>
                <w:szCs w:val="21"/>
                <w:u w:val="none"/>
                <w:lang w:val="en-US" w:eastAsia="zh-CN"/>
              </w:rPr>
            </w:pPr>
          </w:p>
        </w:tc>
        <w:tc>
          <w:tcPr>
            <w:tcW w:w="613" w:type="dxa"/>
            <w:vAlign w:val="center"/>
          </w:tcPr>
          <w:p>
            <w:pPr>
              <w:keepNext w:val="0"/>
              <w:keepLines w:val="0"/>
              <w:widowControl/>
              <w:suppressLineNumbers w:val="0"/>
              <w:jc w:val="left"/>
              <w:textAlignment w:val="center"/>
              <w:rPr>
                <w:rFonts w:hint="eastAsia" w:ascii="宋体" w:hAnsi="宋体" w:cs="宋体"/>
                <w:b/>
                <w:bCs/>
                <w:i w:val="0"/>
                <w:iCs w:val="0"/>
                <w:color w:val="FF0000"/>
                <w:sz w:val="21"/>
                <w:szCs w:val="21"/>
                <w:u w:val="none"/>
                <w:lang w:val="en-US" w:eastAsia="zh-CN"/>
              </w:rPr>
            </w:pPr>
          </w:p>
        </w:tc>
      </w:tr>
    </w:tbl>
    <w:p>
      <w:pP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6" w:name="_Hlk72095977"/>
      <w:r>
        <w:rPr>
          <w:rFonts w:hint="eastAsia"/>
          <w:sz w:val="21"/>
          <w:szCs w:val="21"/>
        </w:rPr>
        <w:t>证明资料【如有的话，提供的证明资料应统一编号（排序），格式自定】</w:t>
      </w:r>
      <w:bookmarkEnd w:id="66"/>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7" w:name="_Hlk72094407"/>
      <w:r>
        <w:rPr>
          <w:rFonts w:hint="eastAsia"/>
          <w:b w:val="0"/>
          <w:bCs/>
          <w:sz w:val="21"/>
          <w:szCs w:val="21"/>
        </w:rPr>
        <w:t>对应“用户需求书”中的“技术要求”章节</w:t>
      </w:r>
      <w:bookmarkEnd w:id="67"/>
      <w:r>
        <w:rPr>
          <w:rFonts w:hint="eastAsia"/>
          <w:b w:val="0"/>
          <w:bCs/>
          <w:sz w:val="21"/>
          <w:szCs w:val="21"/>
        </w:rPr>
        <w:t>相关内容。</w:t>
      </w:r>
    </w:p>
    <w:p>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8" w:name="_Hlk72158270"/>
      <w:r>
        <w:rPr>
          <w:rFonts w:hint="eastAsia"/>
          <w:b w:val="0"/>
          <w:bCs/>
          <w:sz w:val="21"/>
          <w:szCs w:val="21"/>
        </w:rPr>
        <w:t>“偏离情况”</w:t>
      </w:r>
      <w:bookmarkEnd w:id="68"/>
      <w:r>
        <w:rPr>
          <w:rFonts w:hint="eastAsia"/>
          <w:b w:val="0"/>
          <w:bCs/>
          <w:sz w:val="21"/>
          <w:szCs w:val="21"/>
        </w:rPr>
        <w:t>一栏填写如实填写“正偏离”、“负偏离”或“无偏离”，其中：</w:t>
      </w:r>
      <w:bookmarkStart w:id="69" w:name="_Hlk72093866"/>
      <w:r>
        <w:rPr>
          <w:rFonts w:hint="eastAsia"/>
          <w:b w:val="0"/>
          <w:bCs/>
          <w:sz w:val="21"/>
          <w:szCs w:val="21"/>
        </w:rPr>
        <w:t>“正偏离”表示“投标响应优于招标技术要求”，“负偏离”表示“投标响应不满足招标技术要求”，“无偏离”表示“投标响应与招标技术要求一致”</w:t>
      </w:r>
      <w:bookmarkEnd w:id="69"/>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70" w:name="_Hlk72096106"/>
      <w:r>
        <w:rPr>
          <w:rFonts w:hint="eastAsia"/>
          <w:b w:val="0"/>
          <w:bCs/>
          <w:sz w:val="21"/>
          <w:szCs w:val="21"/>
        </w:rPr>
        <w:t>证明资料条款响应要求</w:t>
      </w:r>
      <w:bookmarkEnd w:id="70"/>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1"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2" w:name="_Hlk73558164"/>
      <w:r>
        <w:rPr>
          <w:rFonts w:hint="eastAsia"/>
          <w:b w:val="0"/>
          <w:bCs/>
          <w:sz w:val="21"/>
          <w:szCs w:val="21"/>
        </w:rPr>
        <w:t>且投标人在“偏离情况”一栏响应为“正偏离”或“无偏离”的，经评审委员会认定，将判定为负偏离。</w:t>
      </w:r>
      <w:bookmarkEnd w:id="71"/>
      <w:bookmarkEnd w:id="72"/>
    </w:p>
    <w:p>
      <w:pPr>
        <w:ind w:firstLine="420" w:firstLineChars="200"/>
        <w:rPr>
          <w:b w:val="0"/>
          <w:bCs/>
          <w:sz w:val="21"/>
          <w:szCs w:val="21"/>
        </w:rPr>
      </w:pPr>
      <w:r>
        <w:rPr>
          <w:rFonts w:hint="eastAsia"/>
          <w:b w:val="0"/>
          <w:bCs/>
          <w:sz w:val="21"/>
          <w:szCs w:val="21"/>
        </w:rPr>
        <w:t>6、</w:t>
      </w:r>
      <w:bookmarkStart w:id="73" w:name="_Hlk72096137"/>
      <w:r>
        <w:rPr>
          <w:rFonts w:hint="eastAsia"/>
          <w:b w:val="0"/>
          <w:bCs/>
          <w:sz w:val="21"/>
          <w:szCs w:val="21"/>
        </w:rPr>
        <w:t>表后“证明资料”部分内容的编制</w:t>
      </w:r>
      <w:bookmarkEnd w:id="73"/>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4" w:name="_Hlk73558180"/>
      <w:r>
        <w:rPr>
          <w:rFonts w:hint="eastAsia"/>
          <w:b w:val="0"/>
          <w:bCs/>
          <w:sz w:val="21"/>
          <w:szCs w:val="21"/>
        </w:rPr>
        <w:t>未按照招标文件要求在表后放置证明材料的供应商将承担不利后果，经评审委员会认定，相关技术要求将判定为负偏离。</w:t>
      </w:r>
      <w:bookmarkEnd w:id="74"/>
    </w:p>
    <w:p>
      <w:pPr>
        <w:ind w:firstLine="420" w:firstLineChars="200"/>
        <w:rPr>
          <w:b w:val="0"/>
          <w:bCs/>
          <w:sz w:val="21"/>
          <w:szCs w:val="21"/>
        </w:rPr>
      </w:pPr>
      <w:r>
        <w:rPr>
          <w:rFonts w:hint="eastAsia"/>
          <w:b w:val="0"/>
          <w:bCs/>
          <w:sz w:val="21"/>
          <w:szCs w:val="21"/>
        </w:rPr>
        <w:t>7、</w:t>
      </w:r>
      <w:bookmarkStart w:id="75" w:name="_Hlk72096176"/>
      <w:r>
        <w:rPr>
          <w:rFonts w:hint="eastAsia"/>
          <w:b w:val="0"/>
          <w:bCs/>
          <w:sz w:val="21"/>
          <w:szCs w:val="21"/>
        </w:rPr>
        <w:t>证明资料的形式及其它具体要求</w:t>
      </w:r>
      <w:bookmarkEnd w:id="75"/>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6"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6"/>
    </w:p>
    <w:p>
      <w:pPr>
        <w:ind w:firstLine="482" w:firstLineChars="200"/>
        <w:rPr>
          <w:b/>
          <w:sz w:val="24"/>
        </w:rPr>
      </w:pPr>
    </w:p>
    <w:p>
      <w:pPr>
        <w:rPr>
          <w:sz w:val="24"/>
        </w:rPr>
      </w:pPr>
    </w:p>
    <w:p>
      <w:pPr>
        <w:rPr>
          <w:sz w:val="24"/>
        </w:rPr>
      </w:pPr>
    </w:p>
    <w:p>
      <w:pPr>
        <w:jc w:val="center"/>
        <w:outlineLvl w:val="2"/>
        <w:rPr>
          <w:rFonts w:hint="eastAsia" w:ascii="黑体" w:eastAsia="黑体"/>
          <w:b w:val="0"/>
          <w:bCs w:val="0"/>
          <w:sz w:val="24"/>
          <w:szCs w:val="20"/>
          <w:lang w:val="en-US" w:eastAsia="zh-CN"/>
        </w:rPr>
      </w:pPr>
      <w:bookmarkStart w:id="77" w:name="_Hlk72260576"/>
      <w:r>
        <w:rPr>
          <w:rFonts w:hint="eastAsia" w:ascii="黑体" w:eastAsia="黑体"/>
          <w:b w:val="0"/>
          <w:bCs w:val="0"/>
          <w:sz w:val="24"/>
          <w:szCs w:val="20"/>
          <w:lang w:val="en-US" w:eastAsia="zh-CN"/>
        </w:rPr>
        <w:t>六、政府采购节能环保产品情况；</w:t>
      </w:r>
    </w:p>
    <w:p>
      <w:pPr>
        <w:jc w:val="left"/>
        <w:rPr>
          <w:rFonts w:hint="eastAsia" w:ascii="黑体" w:eastAsia="黑体"/>
          <w:b w:val="0"/>
          <w:bCs w:val="0"/>
          <w:sz w:val="24"/>
          <w:szCs w:val="20"/>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七、绿色采购情况；</w:t>
      </w:r>
    </w:p>
    <w:p>
      <w:pPr>
        <w:jc w:val="left"/>
        <w:rPr>
          <w:rFonts w:hint="eastAsia" w:ascii="黑体" w:eastAsia="黑体"/>
          <w:b w:val="0"/>
          <w:bCs w:val="0"/>
          <w:sz w:val="24"/>
          <w:szCs w:val="20"/>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八、项目组织实施方案的评价；</w:t>
      </w:r>
    </w:p>
    <w:p>
      <w:pPr>
        <w:jc w:val="left"/>
        <w:rPr>
          <w:rFonts w:hint="eastAsia" w:ascii="黑体" w:eastAsia="黑体"/>
          <w:b w:val="0"/>
          <w:bCs w:val="0"/>
          <w:sz w:val="24"/>
          <w:szCs w:val="20"/>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九、售后服务评价；</w:t>
      </w:r>
    </w:p>
    <w:p>
      <w:pPr>
        <w:jc w:val="left"/>
        <w:rPr>
          <w:rFonts w:hint="eastAsia" w:ascii="黑体" w:eastAsia="黑体"/>
          <w:b w:val="0"/>
          <w:bCs w:val="0"/>
          <w:sz w:val="24"/>
          <w:szCs w:val="20"/>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十、实施及维护能力评价</w:t>
      </w:r>
    </w:p>
    <w:p>
      <w:pPr>
        <w:ind w:left="0" w:leftChars="0" w:firstLine="0" w:firstLineChars="0"/>
        <w:jc w:val="both"/>
        <w:rPr>
          <w:rFonts w:hint="default"/>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jc w:val="center"/>
        <w:rPr>
          <w:b/>
          <w:bCs/>
          <w:sz w:val="24"/>
        </w:rPr>
      </w:pPr>
    </w:p>
    <w:p>
      <w:pPr>
        <w:pStyle w:val="3"/>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78" w:name="_Hlk72062872"/>
      <w:r>
        <w:rPr>
          <w:rFonts w:hint="eastAsia" w:ascii="黑体" w:eastAsia="黑体"/>
          <w:b w:val="0"/>
          <w:bCs w:val="0"/>
          <w:sz w:val="24"/>
          <w:szCs w:val="20"/>
        </w:rPr>
        <w:t>投标人认为需要加以说明的其他内容</w:t>
      </w:r>
      <w:bookmarkEnd w:id="78"/>
    </w:p>
    <w:bookmarkEnd w:id="77"/>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5"/>
        <w:jc w:val="center"/>
      </w:pPr>
      <w:r>
        <w:rPr>
          <w:rFonts w:hint="eastAsia"/>
        </w:rPr>
        <w:t>第五章  合同条款及格式</w:t>
      </w:r>
    </w:p>
    <w:p/>
    <w:p>
      <w:pPr>
        <w:jc w:val="center"/>
        <w:outlineLvl w:val="9"/>
      </w:pPr>
      <w:bookmarkStart w:id="79"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7"/>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9"/>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80"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80"/>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4"/>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5"/>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4"/>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4"/>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4"/>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6"/>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1" w:name="_Toc27624"/>
      <w:r>
        <w:rPr>
          <w:rFonts w:hint="eastAsia" w:ascii="黑体" w:hAnsi="黑体" w:eastAsia="黑体" w:cs="Times New Roman"/>
          <w:b w:val="0"/>
          <w:bCs w:val="0"/>
          <w:kern w:val="2"/>
          <w:sz w:val="28"/>
          <w:szCs w:val="28"/>
          <w:lang w:val="en-US" w:eastAsia="zh-CN" w:bidi="ar-SA"/>
        </w:rPr>
        <w:t>第二节 政府采购合同通用条款</w:t>
      </w:r>
      <w:bookmarkEnd w:id="81"/>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7"/>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8"/>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2"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2"/>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9"/>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0"/>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3"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3"/>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4" w:name="_Hlk72399513"/>
      <w:bookmarkStart w:id="85" w:name="_Hlk72439706"/>
      <w:r>
        <w:rPr>
          <w:rFonts w:hint="eastAsia" w:asciiTheme="majorHAnsi" w:hAnsiTheme="majorHAnsi" w:eastAsiaTheme="majorEastAsia" w:cstheme="majorBidi"/>
          <w:b/>
          <w:bCs/>
          <w:sz w:val="28"/>
          <w:szCs w:val="28"/>
        </w:rPr>
        <w:t>总则</w:t>
      </w:r>
    </w:p>
    <w:bookmarkEnd w:id="84"/>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6" w:name="_Hlk72399729"/>
      <w:r>
        <w:rPr>
          <w:rFonts w:hint="eastAsia" w:ascii="宋体" w:hAnsi="宋体"/>
          <w:szCs w:val="21"/>
        </w:rPr>
        <w:t>如有需要，政府集中采购机构可以对通用条款的内容进行补充。</w:t>
      </w:r>
      <w:bookmarkEnd w:id="86"/>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7"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8"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8"/>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7"/>
    <w:p>
      <w:pPr>
        <w:ind w:firstLine="411" w:firstLineChars="196"/>
        <w:rPr>
          <w:rFonts w:ascii="宋体" w:hAnsi="宋体"/>
        </w:rPr>
      </w:pPr>
    </w:p>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9"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9"/>
    </w:p>
    <w:p>
      <w:pPr>
        <w:rPr>
          <w:rFonts w:ascii="宋体" w:hAnsi="宋体"/>
          <w:szCs w:val="21"/>
        </w:rPr>
      </w:pPr>
    </w:p>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90"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90"/>
    <w:p>
      <w:pPr>
        <w:ind w:firstLine="420" w:firstLineChars="200"/>
        <w:rPr>
          <w:rFonts w:ascii="黑体" w:hAnsi="宋体" w:eastAsia="黑体"/>
          <w:szCs w:val="21"/>
        </w:rPr>
      </w:pPr>
      <w:r>
        <w:rPr>
          <w:rFonts w:hint="eastAsia" w:ascii="黑体" w:hAnsi="宋体" w:eastAsia="黑体"/>
          <w:szCs w:val="21"/>
        </w:rPr>
        <w:t>15．</w:t>
      </w:r>
      <w:bookmarkStart w:id="91"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1"/>
    <w:p>
      <w:pPr>
        <w:ind w:firstLine="420" w:firstLineChars="200"/>
        <w:rPr>
          <w:rFonts w:ascii="黑体" w:hAnsi="宋体" w:eastAsia="黑体"/>
          <w:szCs w:val="21"/>
        </w:rPr>
      </w:pPr>
      <w:r>
        <w:rPr>
          <w:rFonts w:hint="eastAsia" w:ascii="黑体" w:hAnsi="宋体" w:eastAsia="黑体"/>
          <w:szCs w:val="21"/>
        </w:rPr>
        <w:t>18．</w:t>
      </w:r>
      <w:bookmarkStart w:id="92"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2"/>
    <w:p>
      <w:pPr>
        <w:ind w:firstLine="420" w:firstLineChars="200"/>
        <w:rPr>
          <w:rFonts w:ascii="黑体" w:hAnsi="宋体" w:eastAsia="黑体"/>
          <w:szCs w:val="21"/>
        </w:rPr>
      </w:pPr>
      <w:r>
        <w:rPr>
          <w:rFonts w:hint="eastAsia" w:ascii="黑体" w:hAnsi="宋体" w:eastAsia="黑体"/>
          <w:szCs w:val="21"/>
        </w:rPr>
        <w:t>19．</w:t>
      </w:r>
      <w:bookmarkStart w:id="93"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4" w:name="_Hlk71407299"/>
    </w:p>
    <w:bookmarkEnd w:id="94"/>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3"/>
    <w:p>
      <w:pPr>
        <w:ind w:firstLine="420" w:firstLineChars="200"/>
        <w:rPr>
          <w:rFonts w:ascii="宋体" w:hAnsi="宋体"/>
          <w:szCs w:val="21"/>
        </w:rPr>
      </w:pPr>
      <w:bookmarkStart w:id="95"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5"/>
    <w:p>
      <w:pPr>
        <w:ind w:firstLine="420" w:firstLineChars="200"/>
        <w:rPr>
          <w:rFonts w:ascii="黑体" w:hAnsi="宋体" w:eastAsia="黑体"/>
          <w:szCs w:val="21"/>
        </w:rPr>
      </w:pPr>
      <w:r>
        <w:rPr>
          <w:rFonts w:hint="eastAsia" w:ascii="黑体" w:hAnsi="宋体" w:eastAsia="黑体"/>
          <w:szCs w:val="21"/>
        </w:rPr>
        <w:t>21．</w:t>
      </w:r>
      <w:bookmarkStart w:id="96"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6"/>
    <w:p>
      <w:pPr>
        <w:ind w:firstLine="420" w:firstLineChars="200"/>
        <w:rPr>
          <w:rFonts w:ascii="黑体" w:hAnsi="宋体" w:eastAsia="黑体"/>
          <w:szCs w:val="21"/>
        </w:rPr>
      </w:pPr>
      <w:r>
        <w:rPr>
          <w:rFonts w:hint="eastAsia" w:ascii="黑体" w:hAnsi="宋体" w:eastAsia="黑体"/>
          <w:szCs w:val="21"/>
        </w:rPr>
        <w:t>23．</w:t>
      </w:r>
      <w:bookmarkStart w:id="97"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7"/>
    </w:p>
    <w:p>
      <w:pPr>
        <w:ind w:firstLine="411" w:firstLineChars="196"/>
        <w:rPr>
          <w:rFonts w:ascii="宋体" w:hAnsi="宋体"/>
          <w:szCs w:val="21"/>
        </w:rPr>
      </w:pPr>
    </w:p>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8"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8"/>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9"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9"/>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100"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100"/>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1"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1"/>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2" w:name="_Toc73517673"/>
      <w:bookmarkStart w:id="103" w:name="_Toc73521669"/>
      <w:bookmarkStart w:id="104" w:name="_Toc73518151"/>
      <w:bookmarkStart w:id="105" w:name="_Toc100052400"/>
      <w:bookmarkStart w:id="106" w:name="_Toc73521581"/>
      <w:r>
        <w:rPr>
          <w:rFonts w:hint="eastAsia" w:ascii="黑体" w:hAnsi="宋体" w:eastAsia="黑体"/>
          <w:szCs w:val="21"/>
        </w:rPr>
        <w:t>34．错误的修正</w:t>
      </w:r>
      <w:bookmarkEnd w:id="102"/>
      <w:bookmarkEnd w:id="103"/>
      <w:bookmarkEnd w:id="104"/>
      <w:bookmarkEnd w:id="105"/>
      <w:bookmarkEnd w:id="106"/>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7"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7"/>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8"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9" w:name="_Hlk73821177"/>
      <w:r>
        <w:rPr>
          <w:rFonts w:hint="eastAsia" w:ascii="ˎ̥" w:hAnsi="ˎ̥"/>
          <w:szCs w:val="21"/>
        </w:rPr>
        <w:t>唯一候选中标供应商</w:t>
      </w:r>
      <w:bookmarkEnd w:id="109"/>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10"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1"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10"/>
      <w:bookmarkEnd w:id="111"/>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8"/>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2"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2"/>
      <w:bookmarkStart w:id="113"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3"/>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4"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4"/>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5" w:name="_Hlk71407340"/>
      <w:r>
        <w:rPr>
          <w:rFonts w:hint="eastAsia" w:ascii="宋体" w:hAnsi="宋体"/>
          <w:szCs w:val="21"/>
        </w:rPr>
        <w:t>41.3因质疑投诉或其他原因导致项目结果变更或采购终止的，政府集中采购机构有权吊销中标通知书。</w:t>
      </w:r>
    </w:p>
    <w:bookmarkEnd w:id="115"/>
    <w:p>
      <w:pPr>
        <w:ind w:firstLine="411" w:firstLineChars="196"/>
        <w:rPr>
          <w:rFonts w:ascii="宋体" w:hAnsi="宋体"/>
          <w:szCs w:val="21"/>
        </w:rPr>
      </w:pPr>
    </w:p>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6" w:name="_Hlk72439043"/>
      <w:r>
        <w:rPr>
          <w:rFonts w:hint="eastAsia" w:asciiTheme="majorHAnsi" w:hAnsiTheme="majorHAnsi" w:eastAsiaTheme="majorEastAsia" w:cstheme="majorBidi"/>
          <w:b/>
          <w:bCs/>
          <w:sz w:val="28"/>
          <w:szCs w:val="28"/>
        </w:rPr>
        <w:t>合同的授予与备案</w:t>
      </w:r>
      <w:bookmarkEnd w:id="116"/>
    </w:p>
    <w:p>
      <w:pPr>
        <w:ind w:firstLine="420" w:firstLineChars="200"/>
        <w:rPr>
          <w:rFonts w:ascii="黑体" w:hAnsi="宋体" w:eastAsia="黑体"/>
          <w:szCs w:val="21"/>
        </w:rPr>
      </w:pPr>
      <w:bookmarkStart w:id="117" w:name="_Toc100052408"/>
      <w:bookmarkStart w:id="118" w:name="_Toc73518157"/>
      <w:bookmarkStart w:id="119" w:name="_Toc73521586"/>
      <w:bookmarkStart w:id="120" w:name="_Toc73521674"/>
      <w:bookmarkStart w:id="121" w:name="_Toc73517679"/>
      <w:bookmarkStart w:id="122" w:name="_Hlk72439088"/>
      <w:r>
        <w:rPr>
          <w:rFonts w:hint="eastAsia" w:ascii="黑体" w:hAnsi="宋体" w:eastAsia="黑体"/>
          <w:szCs w:val="21"/>
        </w:rPr>
        <w:t>43．合同授予标准</w:t>
      </w:r>
      <w:bookmarkEnd w:id="117"/>
      <w:bookmarkEnd w:id="118"/>
      <w:bookmarkEnd w:id="119"/>
      <w:bookmarkEnd w:id="120"/>
      <w:bookmarkEnd w:id="121"/>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3" w:name="_Toc73518158"/>
      <w:bookmarkStart w:id="124" w:name="_Toc100052409"/>
      <w:bookmarkStart w:id="125" w:name="_Toc73517680"/>
      <w:bookmarkStart w:id="126" w:name="_Toc73521587"/>
      <w:bookmarkStart w:id="127" w:name="_Toc73521675"/>
      <w:r>
        <w:rPr>
          <w:rFonts w:hint="eastAsia" w:ascii="黑体" w:hAnsi="宋体" w:eastAsia="黑体"/>
          <w:szCs w:val="21"/>
        </w:rPr>
        <w:t>44．</w:t>
      </w:r>
      <w:bookmarkEnd w:id="123"/>
      <w:bookmarkEnd w:id="124"/>
      <w:bookmarkEnd w:id="125"/>
      <w:bookmarkEnd w:id="126"/>
      <w:bookmarkEnd w:id="127"/>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8" w:name="_Toc73521677"/>
      <w:bookmarkStart w:id="129" w:name="_Toc73517682"/>
      <w:bookmarkStart w:id="130" w:name="_Toc100052410"/>
      <w:bookmarkStart w:id="131" w:name="_Toc73518160"/>
      <w:bookmarkStart w:id="132" w:name="_Toc73521589"/>
      <w:r>
        <w:rPr>
          <w:rFonts w:hint="eastAsia" w:ascii="黑体" w:hAnsi="宋体" w:eastAsia="黑体"/>
          <w:szCs w:val="21"/>
        </w:rPr>
        <w:t>45．合同的签订</w:t>
      </w:r>
      <w:bookmarkEnd w:id="128"/>
      <w:bookmarkEnd w:id="129"/>
      <w:bookmarkEnd w:id="130"/>
      <w:bookmarkEnd w:id="131"/>
      <w:bookmarkEnd w:id="132"/>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3" w:name="_Toc73521590"/>
      <w:bookmarkStart w:id="134" w:name="_Toc73517683"/>
      <w:bookmarkStart w:id="135" w:name="_Toc73521678"/>
      <w:bookmarkStart w:id="136" w:name="_Toc73518161"/>
      <w:bookmarkStart w:id="137" w:name="_Toc100052411"/>
      <w:r>
        <w:rPr>
          <w:rFonts w:hint="eastAsia" w:ascii="黑体" w:hAnsi="宋体" w:eastAsia="黑体"/>
          <w:szCs w:val="21"/>
        </w:rPr>
        <w:t>46．履约担保</w:t>
      </w:r>
      <w:bookmarkEnd w:id="133"/>
      <w:bookmarkEnd w:id="134"/>
      <w:bookmarkEnd w:id="135"/>
      <w:bookmarkEnd w:id="136"/>
      <w:bookmarkEnd w:id="137"/>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8" w:name="_Hlk72440769"/>
      <w:r>
        <w:rPr>
          <w:rFonts w:hint="eastAsia" w:ascii="宋体" w:hAnsi="宋体"/>
          <w:szCs w:val="21"/>
        </w:rPr>
        <w:t>政府集中采购机构或采购人不予退还其交纳的谈判保证金，情节严重的，并由主管部门</w:t>
      </w:r>
      <w:bookmarkEnd w:id="138"/>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7"/>
      </w:pPr>
    </w:p>
    <w:bookmarkEnd w:id="122"/>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9" w:name="_Hlk75374941"/>
      <w:r>
        <w:rPr>
          <w:rFonts w:hint="eastAsia" w:ascii="宋体" w:hAnsi="宋体"/>
          <w:szCs w:val="21"/>
        </w:rPr>
        <w:t>以联合体形式参与的，质疑应当由组成联合体的所有成员共同提出</w:t>
      </w:r>
      <w:bookmarkEnd w:id="139"/>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5"/>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97CE6FE-A1E3-4389-A88A-059CC5547BE7}"/>
  </w:font>
  <w:font w:name="Arial">
    <w:panose1 w:val="020B0604020202020204"/>
    <w:charset w:val="01"/>
    <w:family w:val="swiss"/>
    <w:pitch w:val="default"/>
    <w:sig w:usb0="E0002EFF" w:usb1="C000785B" w:usb2="00000009" w:usb3="00000000" w:csb0="400001FF" w:csb1="FFFF0000"/>
    <w:embedRegular r:id="rId2" w:fontKey="{70A2C71E-3BE8-421A-814E-7DFA1FF13666}"/>
  </w:font>
  <w:font w:name="黑体">
    <w:panose1 w:val="02010609060101010101"/>
    <w:charset w:val="86"/>
    <w:family w:val="auto"/>
    <w:pitch w:val="default"/>
    <w:sig w:usb0="800002BF" w:usb1="38CF7CFA" w:usb2="00000016" w:usb3="00000000" w:csb0="00040001" w:csb1="00000000"/>
    <w:embedRegular r:id="rId3" w:fontKey="{335B3CFE-7A90-45C9-A94F-17E5277E8B4A}"/>
  </w:font>
  <w:font w:name="Courier New">
    <w:panose1 w:val="02070309020205020404"/>
    <w:charset w:val="01"/>
    <w:family w:val="modern"/>
    <w:pitch w:val="default"/>
    <w:sig w:usb0="E0002EFF" w:usb1="C0007843" w:usb2="00000009" w:usb3="00000000" w:csb0="400001FF" w:csb1="FFFF0000"/>
    <w:embedRegular r:id="rId4" w:fontKey="{2442B1C9-E5FD-4C63-B594-12814D0F966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166A13D9-8FAB-4978-8D98-55717663BEDC}"/>
  </w:font>
  <w:font w:name="Cambria">
    <w:panose1 w:val="02040503050406030204"/>
    <w:charset w:val="00"/>
    <w:family w:val="roman"/>
    <w:pitch w:val="default"/>
    <w:sig w:usb0="E00006FF" w:usb1="420024FF" w:usb2="02000000" w:usb3="00000000" w:csb0="2000019F" w:csb1="00000000"/>
    <w:embedRegular r:id="rId6" w:fontKey="{B8804459-A3B8-4578-A382-6608D3675978}"/>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61940350-0545-44F2-9A14-6E5C9BD0600A}"/>
  </w:font>
  <w:font w:name="方正仿宋_GBK">
    <w:panose1 w:val="02000000000000000000"/>
    <w:charset w:val="86"/>
    <w:family w:val="auto"/>
    <w:pitch w:val="default"/>
    <w:sig w:usb0="A00002BF" w:usb1="38CF7CFA" w:usb2="00082016" w:usb3="00000000" w:csb0="00040001" w:csb1="00000000"/>
    <w:embedRegular r:id="rId8" w:fontKey="{C62DEE4A-96A3-4533-8F45-43E989F3262E}"/>
  </w:font>
  <w:font w:name="华文中宋">
    <w:panose1 w:val="02010600040101010101"/>
    <w:charset w:val="86"/>
    <w:family w:val="auto"/>
    <w:pitch w:val="default"/>
    <w:sig w:usb0="00000287" w:usb1="080F0000" w:usb2="00000000" w:usb3="00000000" w:csb0="0004009F" w:csb1="DFD70000"/>
    <w:embedRegular r:id="rId9" w:fontKey="{E51292F0-4310-4AC9-A567-811556538946}"/>
  </w:font>
  <w:font w:name="汉仪书宋二S">
    <w:panose1 w:val="00020600040101010101"/>
    <w:charset w:val="86"/>
    <w:family w:val="auto"/>
    <w:pitch w:val="default"/>
    <w:sig w:usb0="A00002BF" w:usb1="18EF7CFA" w:usb2="00000016" w:usb3="00000000" w:csb0="00040000" w:csb1="00000000"/>
    <w:embedRegular r:id="rId10" w:fontKey="{4CCD1715-A2DE-410C-9B8D-5EE5A6BB22CA}"/>
  </w:font>
  <w:font w:name="华文楷体">
    <w:panose1 w:val="02010600040101010101"/>
    <w:charset w:val="86"/>
    <w:family w:val="auto"/>
    <w:pitch w:val="default"/>
    <w:sig w:usb0="00000287" w:usb1="080F0000" w:usb2="00000000" w:usb3="00000000" w:csb0="0004009F" w:csb1="DFD70000"/>
    <w:embedRegular r:id="rId11" w:fontKey="{5810A139-255C-4FF7-9226-A461F80EE337}"/>
  </w:font>
  <w:font w:name="ˎ̥">
    <w:altName w:val="Times New Roman"/>
    <w:panose1 w:val="00000000000000000000"/>
    <w:charset w:val="00"/>
    <w:family w:val="auto"/>
    <w:pitch w:val="default"/>
    <w:sig w:usb0="00000000" w:usb1="00000000" w:usb2="00000000" w:usb3="00000000" w:csb0="00040001" w:csb1="00000000"/>
    <w:embedRegular r:id="rId12" w:fontKey="{2A3335BC-82F7-4403-BB24-5ABD82FC4E3B}"/>
  </w:font>
  <w:font w:name="仿宋">
    <w:panose1 w:val="02010609060101010101"/>
    <w:charset w:val="86"/>
    <w:family w:val="modern"/>
    <w:pitch w:val="default"/>
    <w:sig w:usb0="800002BF" w:usb1="38CF7CFA" w:usb2="00000016" w:usb3="00000000" w:csb0="00040001" w:csb1="00000000"/>
    <w:embedRegular r:id="rId13" w:fontKey="{CADA1CFC-691C-41D6-8CC1-2376F96FE921}"/>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8B1BED"/>
    <w:multiLevelType w:val="singleLevel"/>
    <w:tmpl w:val="928B1BED"/>
    <w:lvl w:ilvl="0" w:tentative="0">
      <w:start w:val="1"/>
      <w:numFmt w:val="decimal"/>
      <w:suff w:val="nothing"/>
      <w:lvlText w:val="%1、"/>
      <w:lvlJc w:val="left"/>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A0F6431"/>
    <w:multiLevelType w:val="singleLevel"/>
    <w:tmpl w:val="7A0F6431"/>
    <w:lvl w:ilvl="0" w:tentative="0">
      <w:start w:val="1"/>
      <w:numFmt w:val="decimal"/>
      <w:suff w:val="space"/>
      <w:lvlText w:val="%1."/>
      <w:lvlJc w:val="left"/>
    </w:lvl>
  </w:abstractNum>
  <w:num w:numId="1">
    <w:abstractNumId w:val="0"/>
  </w:num>
  <w:num w:numId="2">
    <w:abstractNumId w:val="1"/>
  </w:num>
  <w:num w:numId="3">
    <w:abstractNumId w:val="2"/>
  </w:num>
  <w:num w:numId="4">
    <w:abstractNumId w:val="10"/>
  </w:num>
  <w:num w:numId="5">
    <w:abstractNumId w:val="4"/>
  </w:num>
  <w:num w:numId="6">
    <w:abstractNumId w:val="8"/>
  </w:num>
  <w:num w:numId="7">
    <w:abstractNumId w:val="6"/>
  </w:num>
  <w:num w:numId="8">
    <w:abstractNumId w:val="5"/>
  </w:num>
  <w:num w:numId="9">
    <w:abstractNumId w:val="3"/>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1A5470"/>
    <w:rsid w:val="06215480"/>
    <w:rsid w:val="062E1176"/>
    <w:rsid w:val="063E255E"/>
    <w:rsid w:val="065D710A"/>
    <w:rsid w:val="069468A4"/>
    <w:rsid w:val="06D86E6E"/>
    <w:rsid w:val="06E710CA"/>
    <w:rsid w:val="06E94E42"/>
    <w:rsid w:val="07101435"/>
    <w:rsid w:val="072B0FB7"/>
    <w:rsid w:val="07724E37"/>
    <w:rsid w:val="07B37245"/>
    <w:rsid w:val="07EC1177"/>
    <w:rsid w:val="083F685E"/>
    <w:rsid w:val="08A54D99"/>
    <w:rsid w:val="08E33B14"/>
    <w:rsid w:val="097A64AA"/>
    <w:rsid w:val="09B4074E"/>
    <w:rsid w:val="09B47989"/>
    <w:rsid w:val="09CB6A81"/>
    <w:rsid w:val="09D45559"/>
    <w:rsid w:val="0A0106F5"/>
    <w:rsid w:val="0A4426BD"/>
    <w:rsid w:val="0A522CFE"/>
    <w:rsid w:val="0A537E82"/>
    <w:rsid w:val="0A670558"/>
    <w:rsid w:val="0A87085A"/>
    <w:rsid w:val="0ACC105C"/>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745939"/>
    <w:rsid w:val="0E8A0CB9"/>
    <w:rsid w:val="0E9C279A"/>
    <w:rsid w:val="0EAA3109"/>
    <w:rsid w:val="0EB421D9"/>
    <w:rsid w:val="0F142273"/>
    <w:rsid w:val="0F4431BD"/>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962F1E"/>
    <w:rsid w:val="1CB57848"/>
    <w:rsid w:val="1CBF2475"/>
    <w:rsid w:val="1D03242D"/>
    <w:rsid w:val="1D2D5631"/>
    <w:rsid w:val="1D345E0F"/>
    <w:rsid w:val="1D880AB9"/>
    <w:rsid w:val="1DB9452C"/>
    <w:rsid w:val="1DE33F41"/>
    <w:rsid w:val="1DE71C83"/>
    <w:rsid w:val="1E206809"/>
    <w:rsid w:val="1E5A29B0"/>
    <w:rsid w:val="1E71779F"/>
    <w:rsid w:val="1E8A6AB3"/>
    <w:rsid w:val="1EFB3211"/>
    <w:rsid w:val="1F103EA9"/>
    <w:rsid w:val="1F1D7927"/>
    <w:rsid w:val="1F784B5D"/>
    <w:rsid w:val="1FAD5387"/>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030DE3"/>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567195"/>
    <w:rsid w:val="286F1880"/>
    <w:rsid w:val="28A10C81"/>
    <w:rsid w:val="28AB20AF"/>
    <w:rsid w:val="28EC2844"/>
    <w:rsid w:val="29114058"/>
    <w:rsid w:val="29745A9F"/>
    <w:rsid w:val="29791BFE"/>
    <w:rsid w:val="29895F6F"/>
    <w:rsid w:val="29995DFC"/>
    <w:rsid w:val="29AC6F9B"/>
    <w:rsid w:val="29B243E2"/>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DDA3C01"/>
    <w:rsid w:val="2E815E80"/>
    <w:rsid w:val="2E954277"/>
    <w:rsid w:val="2ED85DFF"/>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5B2059"/>
    <w:rsid w:val="3677309A"/>
    <w:rsid w:val="36F40B16"/>
    <w:rsid w:val="370C52DF"/>
    <w:rsid w:val="370C5E5F"/>
    <w:rsid w:val="374B6987"/>
    <w:rsid w:val="374D6BA3"/>
    <w:rsid w:val="375A306E"/>
    <w:rsid w:val="37CE1367"/>
    <w:rsid w:val="37D746BF"/>
    <w:rsid w:val="38691DE8"/>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267D23"/>
    <w:rsid w:val="3DE2791A"/>
    <w:rsid w:val="3E151A9D"/>
    <w:rsid w:val="3E375EB7"/>
    <w:rsid w:val="3E38205E"/>
    <w:rsid w:val="3E923FC8"/>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3296A"/>
    <w:rsid w:val="45D75726"/>
    <w:rsid w:val="45EF52CA"/>
    <w:rsid w:val="46276812"/>
    <w:rsid w:val="462A4554"/>
    <w:rsid w:val="46517D32"/>
    <w:rsid w:val="46753001"/>
    <w:rsid w:val="46821C9A"/>
    <w:rsid w:val="46E51A75"/>
    <w:rsid w:val="47762C36"/>
    <w:rsid w:val="477C0DDF"/>
    <w:rsid w:val="47D17F22"/>
    <w:rsid w:val="48015806"/>
    <w:rsid w:val="480212E4"/>
    <w:rsid w:val="482B73A4"/>
    <w:rsid w:val="48C04CFB"/>
    <w:rsid w:val="48FF5824"/>
    <w:rsid w:val="49266FC3"/>
    <w:rsid w:val="492B03C7"/>
    <w:rsid w:val="493C6A78"/>
    <w:rsid w:val="49425710"/>
    <w:rsid w:val="494E2C0F"/>
    <w:rsid w:val="498E5824"/>
    <w:rsid w:val="49DE053E"/>
    <w:rsid w:val="4A625D30"/>
    <w:rsid w:val="4A767D68"/>
    <w:rsid w:val="4AA76FF1"/>
    <w:rsid w:val="4B475260"/>
    <w:rsid w:val="4B4C2876"/>
    <w:rsid w:val="4B9E1324"/>
    <w:rsid w:val="4BBF201F"/>
    <w:rsid w:val="4BE17463"/>
    <w:rsid w:val="4CA26BF2"/>
    <w:rsid w:val="4CEE1E37"/>
    <w:rsid w:val="4CF64AB0"/>
    <w:rsid w:val="4CFC0E0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6A5C79"/>
    <w:rsid w:val="50A30487"/>
    <w:rsid w:val="50DD1804"/>
    <w:rsid w:val="50FB1449"/>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9F2C71"/>
    <w:rsid w:val="56AE76A6"/>
    <w:rsid w:val="56AF2613"/>
    <w:rsid w:val="56D060D7"/>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8C5954"/>
    <w:rsid w:val="5E933301"/>
    <w:rsid w:val="5EE50BC0"/>
    <w:rsid w:val="5F181B76"/>
    <w:rsid w:val="5F463D55"/>
    <w:rsid w:val="5FD4389C"/>
    <w:rsid w:val="5FEC48FC"/>
    <w:rsid w:val="6013374F"/>
    <w:rsid w:val="60545FFD"/>
    <w:rsid w:val="60B116A2"/>
    <w:rsid w:val="60B42F40"/>
    <w:rsid w:val="60B7767B"/>
    <w:rsid w:val="60D0321D"/>
    <w:rsid w:val="61696F59"/>
    <w:rsid w:val="61D672CA"/>
    <w:rsid w:val="61E63AF5"/>
    <w:rsid w:val="626A2DAC"/>
    <w:rsid w:val="62784498"/>
    <w:rsid w:val="63293771"/>
    <w:rsid w:val="637C7D45"/>
    <w:rsid w:val="639808F7"/>
    <w:rsid w:val="645F2960"/>
    <w:rsid w:val="64654C7D"/>
    <w:rsid w:val="64BD496D"/>
    <w:rsid w:val="64BE25DF"/>
    <w:rsid w:val="64DB5DF9"/>
    <w:rsid w:val="64F93617"/>
    <w:rsid w:val="65002574"/>
    <w:rsid w:val="651C0ACC"/>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657C6C"/>
    <w:rsid w:val="6B825FC3"/>
    <w:rsid w:val="6B8359E9"/>
    <w:rsid w:val="6C174E18"/>
    <w:rsid w:val="6C613F7C"/>
    <w:rsid w:val="6C806253"/>
    <w:rsid w:val="6CCB5899"/>
    <w:rsid w:val="6CF748E0"/>
    <w:rsid w:val="6D15191A"/>
    <w:rsid w:val="6D7D3037"/>
    <w:rsid w:val="6D934609"/>
    <w:rsid w:val="6DAE50AD"/>
    <w:rsid w:val="6DDA2238"/>
    <w:rsid w:val="6E0E1EE1"/>
    <w:rsid w:val="6E3D65DB"/>
    <w:rsid w:val="6E5A21EA"/>
    <w:rsid w:val="6EB8009F"/>
    <w:rsid w:val="6EC72090"/>
    <w:rsid w:val="6F834B73"/>
    <w:rsid w:val="6F857F81"/>
    <w:rsid w:val="6FC62348"/>
    <w:rsid w:val="6FE10E18"/>
    <w:rsid w:val="6FEC14A9"/>
    <w:rsid w:val="6FEC6252"/>
    <w:rsid w:val="6FF869A5"/>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7A477F"/>
    <w:rsid w:val="75A24103"/>
    <w:rsid w:val="75CC2E8E"/>
    <w:rsid w:val="75DC4AB5"/>
    <w:rsid w:val="75EF406B"/>
    <w:rsid w:val="762F0FB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736B1B"/>
    <w:rsid w:val="798661F3"/>
    <w:rsid w:val="799314ED"/>
    <w:rsid w:val="79EE2C15"/>
    <w:rsid w:val="7AA46F38"/>
    <w:rsid w:val="7B467F1D"/>
    <w:rsid w:val="7BA7772C"/>
    <w:rsid w:val="7C0924C9"/>
    <w:rsid w:val="7C2E279A"/>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Title"/>
    <w:basedOn w:val="1"/>
    <w:qFormat/>
    <w:uiPriority w:val="0"/>
    <w:pPr>
      <w:spacing w:before="240" w:after="60"/>
      <w:jc w:val="center"/>
      <w:outlineLvl w:val="0"/>
    </w:pPr>
    <w:rPr>
      <w:rFonts w:ascii="Arial" w:hAnsi="Arial" w:eastAsia="隶书" w:cs="Arial"/>
      <w:b/>
      <w:bCs/>
      <w:sz w:val="32"/>
      <w:szCs w:val="32"/>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unhideWhenUsed/>
    <w:qFormat/>
    <w:uiPriority w:val="99"/>
    <w:pPr>
      <w:jc w:val="left"/>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rPr>
  </w:style>
  <w:style w:type="character" w:styleId="23">
    <w:name w:val="Hyperlink"/>
    <w:basedOn w:val="19"/>
    <w:unhideWhenUsed/>
    <w:qFormat/>
    <w:uiPriority w:val="99"/>
    <w:rPr>
      <w:color w:val="0000FF" w:themeColor="hyperlink"/>
      <w:u w:val="single"/>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3"/>
    <w:semiHidden/>
    <w:qFormat/>
    <w:uiPriority w:val="99"/>
    <w:rPr>
      <w:sz w:val="18"/>
      <w:szCs w:val="18"/>
    </w:rPr>
  </w:style>
  <w:style w:type="character" w:customStyle="1" w:styleId="27">
    <w:name w:val="页脚 Char"/>
    <w:basedOn w:val="19"/>
    <w:link w:val="12"/>
    <w:qFormat/>
    <w:uiPriority w:val="99"/>
    <w:rPr>
      <w:sz w:val="18"/>
      <w:szCs w:val="18"/>
    </w:rPr>
  </w:style>
  <w:style w:type="character" w:customStyle="1" w:styleId="28">
    <w:name w:val="批注框文本 Char"/>
    <w:basedOn w:val="19"/>
    <w:link w:val="11"/>
    <w:semiHidden/>
    <w:qFormat/>
    <w:uiPriority w:val="99"/>
    <w:rPr>
      <w:sz w:val="18"/>
      <w:szCs w:val="18"/>
    </w:rPr>
  </w:style>
  <w:style w:type="character" w:customStyle="1" w:styleId="29">
    <w:name w:val="普通(网站) Char"/>
    <w:link w:val="15"/>
    <w:qFormat/>
    <w:uiPriority w:val="99"/>
    <w:rPr>
      <w:rFonts w:ascii="宋体" w:hAnsi="宋体"/>
      <w:sz w:val="24"/>
      <w:szCs w:val="24"/>
    </w:rPr>
  </w:style>
  <w:style w:type="character" w:customStyle="1" w:styleId="30">
    <w:name w:val="标题 1 Char"/>
    <w:basedOn w:val="19"/>
    <w:link w:val="2"/>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9"/>
    <w:semiHidden/>
    <w:qFormat/>
    <w:uiPriority w:val="99"/>
    <w:rPr>
      <w:rFonts w:ascii="宋体" w:eastAsia="宋体"/>
      <w:sz w:val="18"/>
      <w:szCs w:val="18"/>
    </w:rPr>
  </w:style>
  <w:style w:type="character" w:customStyle="1" w:styleId="33">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basedOn w:val="1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74</Pages>
  <Words>6835</Words>
  <Characters>7157</Characters>
  <Lines>316</Lines>
  <Paragraphs>88</Paragraphs>
  <TotalTime>2</TotalTime>
  <ScaleCrop>false</ScaleCrop>
  <LinksUpToDate>false</LinksUpToDate>
  <CharactersWithSpaces>7252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青山绿水</cp:lastModifiedBy>
  <cp:lastPrinted>2021-01-15T01:17:00Z</cp:lastPrinted>
  <dcterms:modified xsi:type="dcterms:W3CDTF">2025-07-16T07:59:26Z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1D35441E0ED44CDAA276D758760C3890_12</vt:lpwstr>
  </property>
  <property fmtid="{D5CDD505-2E9C-101B-9397-08002B2CF9AE}" pid="4" name="KSOTemplateDocerSaveRecord">
    <vt:lpwstr>eyJoZGlkIjoiOWI0MTU4M2RmOTJhNjk0ODdkNWE0NGJmZTkwMmYwMTMiLCJ1c2VySWQiOiI2MDc5NzU2NjIifQ==</vt:lpwstr>
  </property>
</Properties>
</file>