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BAZXCG-2025-00115</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深圳市宝安区红星实验学校课桌椅采购项目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24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b/>
                <w:bCs/>
                <w:kern w:val="0"/>
                <w:szCs w:val="21"/>
                <w:highlight w:val="none"/>
              </w:rPr>
            </w:pPr>
            <w:r>
              <w:rPr>
                <w:rFonts w:hint="eastAsia" w:ascii="宋体" w:hAnsi="宋体" w:eastAsia="宋体" w:cs="宋体"/>
                <w:b/>
                <w:bCs/>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b/>
                <w:bCs/>
                <w:kern w:val="0"/>
                <w:szCs w:val="21"/>
                <w:highlight w:val="none"/>
              </w:rPr>
            </w:pPr>
            <w:r>
              <w:rPr>
                <w:rFonts w:hint="eastAsia" w:ascii="宋体" w:hAnsi="宋体" w:eastAsia="宋体" w:cs="宋体"/>
                <w:b/>
                <w:bCs/>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60" w:lineRule="exact"/>
              <w:jc w:val="center"/>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60" w:lineRule="exact"/>
              <w:jc w:val="center"/>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spacing w:line="260" w:lineRule="exact"/>
              <w:jc w:val="left"/>
              <w:textAlignment w:val="center"/>
              <w:rPr>
                <w:rFonts w:hint="eastAsia" w:asciiTheme="minorEastAsia" w:hAnsiTheme="minorEastAsia" w:eastAsiaTheme="minorEastAsia" w:cstheme="minorEastAsia"/>
                <w:b/>
                <w:bCs/>
                <w:kern w:val="0"/>
                <w:sz w:val="21"/>
                <w:szCs w:val="21"/>
                <w:highlight w:val="none"/>
                <w:lang w:bidi="ar"/>
              </w:rPr>
            </w:pPr>
            <w:r>
              <w:rPr>
                <w:rFonts w:hint="eastAsia" w:asciiTheme="minorEastAsia" w:hAnsiTheme="minorEastAsia" w:eastAsiaTheme="minorEastAsia" w:cstheme="minorEastAsia"/>
                <w:b/>
                <w:bCs/>
                <w:kern w:val="0"/>
                <w:sz w:val="21"/>
                <w:szCs w:val="21"/>
                <w:lang w:val="en-US" w:eastAsia="zh-CN" w:bidi="ar"/>
              </w:rPr>
              <w:t>（一）</w:t>
            </w:r>
            <w:r>
              <w:rPr>
                <w:rFonts w:hint="eastAsia" w:asciiTheme="minorEastAsia" w:hAnsiTheme="minorEastAsia" w:eastAsiaTheme="minorEastAsia" w:cstheme="minorEastAsia"/>
                <w:b/>
                <w:bCs/>
                <w:kern w:val="0"/>
                <w:sz w:val="21"/>
                <w:szCs w:val="21"/>
                <w:highlight w:val="none"/>
                <w:lang w:bidi="ar"/>
              </w:rPr>
              <w:t>评审内容：</w:t>
            </w:r>
          </w:p>
          <w:p>
            <w:pPr>
              <w:widowControl/>
              <w:numPr>
                <w:ilvl w:val="0"/>
                <w:numId w:val="0"/>
              </w:numPr>
              <w:spacing w:line="26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投标人提供本项目的组织实施方案，方案中应包含 1、项目进度计划安排 2、施工组织计划 3、验收组织计划 4、产品培训方案</w:t>
            </w:r>
          </w:p>
          <w:p>
            <w:pPr>
              <w:widowControl/>
              <w:numPr>
                <w:ilvl w:val="0"/>
                <w:numId w:val="0"/>
              </w:numPr>
              <w:spacing w:line="26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b/>
                <w:bCs/>
                <w:kern w:val="0"/>
                <w:sz w:val="21"/>
                <w:szCs w:val="21"/>
                <w:highlight w:val="none"/>
                <w:lang w:bidi="ar"/>
              </w:rPr>
              <w:t>（二）评审标准：</w:t>
            </w:r>
          </w:p>
          <w:p>
            <w:pPr>
              <w:pStyle w:val="10"/>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方案中含有上述一个内容得15分</w:t>
            </w:r>
            <w:r>
              <w:rPr>
                <w:rFonts w:hint="eastAsia"/>
                <w:lang w:eastAsia="zh-CN"/>
              </w:rPr>
              <w:t>，</w:t>
            </w:r>
            <w:r>
              <w:rPr>
                <w:rFonts w:hint="eastAsia"/>
                <w:lang w:val="en-US" w:eastAsia="zh-CN"/>
              </w:rPr>
              <w:t>本项最高得60分</w:t>
            </w:r>
            <w:r>
              <w:rPr>
                <w:rFonts w:hint="eastAsia" w:asciiTheme="minorHAnsi" w:hAnsiTheme="minorHAnsi" w:eastAsiaTheme="minorEastAsia" w:cstheme="minorBidi"/>
                <w:color w:val="0000FF"/>
                <w:kern w:val="2"/>
                <w:sz w:val="21"/>
                <w:szCs w:val="22"/>
                <w:lang w:val="en-US" w:eastAsia="zh-CN" w:bidi="ar-SA"/>
              </w:rPr>
              <w:t xml:space="preserve">。在此基础上，对方案的合理性、可行性进行打分。 1、方案清晰周密、合理可行、表述完整、方法得当、技术先进、符合相关规范要求得40分。 </w:t>
            </w:r>
          </w:p>
          <w:p>
            <w:pPr>
              <w:pStyle w:val="10"/>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 xml:space="preserve">2、方案基本可行表述基本完整得20分。 </w:t>
            </w:r>
          </w:p>
          <w:p>
            <w:pPr>
              <w:pStyle w:val="10"/>
              <w:spacing w:line="260" w:lineRule="exact"/>
              <w:rPr>
                <w:rFonts w:hint="eastAsia" w:asciiTheme="minorEastAsia" w:hAnsiTheme="minorEastAsia" w:eastAsiaTheme="minorEastAsia" w:cstheme="minorEastAsia"/>
                <w:color w:val="0000FF"/>
                <w:sz w:val="21"/>
                <w:szCs w:val="21"/>
                <w:highlight w:val="none"/>
              </w:rPr>
            </w:pPr>
            <w:r>
              <w:rPr>
                <w:rFonts w:hint="eastAsia" w:asciiTheme="minorHAnsi" w:hAnsiTheme="minorHAnsi" w:eastAsiaTheme="minorEastAsia" w:cstheme="minorBidi"/>
                <w:color w:val="0000FF"/>
                <w:kern w:val="2"/>
                <w:sz w:val="21"/>
                <w:szCs w:val="22"/>
                <w:lang w:val="en-US" w:eastAsia="zh-CN" w:bidi="ar-SA"/>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Theme="minorEastAsia" w:hAnsiTheme="minorEastAsia" w:eastAsiaTheme="minorEastAsia" w:cstheme="minorEastAsia"/>
                <w:color w:val="030405"/>
                <w:kern w:val="2"/>
                <w:sz w:val="21"/>
                <w:szCs w:val="21"/>
                <w:lang w:val="en-US" w:eastAsia="zh-CN" w:bidi="ar-SA"/>
              </w:rPr>
            </w:pPr>
            <w:r>
              <w:rPr>
                <w:rFonts w:hint="eastAsia" w:asciiTheme="minorEastAsia" w:hAnsiTheme="minorEastAsia" w:eastAsiaTheme="minorEastAsia" w:cstheme="minorEastAsia"/>
                <w:color w:val="030405"/>
                <w:kern w:val="0"/>
                <w:sz w:val="21"/>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Theme="minorEastAsia" w:hAnsiTheme="minorEastAsia" w:eastAsiaTheme="minorEastAsia" w:cstheme="minorEastAsia"/>
                <w:color w:val="030405"/>
                <w:kern w:val="2"/>
                <w:sz w:val="21"/>
                <w:szCs w:val="21"/>
                <w:lang w:val="en-US" w:eastAsia="zh-CN" w:bidi="ar-SA"/>
              </w:rPr>
            </w:pPr>
            <w:r>
              <w:rPr>
                <w:rFonts w:hint="eastAsia" w:asciiTheme="minorEastAsia" w:hAnsiTheme="minorEastAsia" w:cstheme="minorEastAsia"/>
                <w:color w:val="030405"/>
                <w:sz w:val="21"/>
                <w:szCs w:val="21"/>
                <w:lang w:val="en-US" w:eastAsia="zh-CN"/>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jc w:val="left"/>
              <w:textAlignment w:val="center"/>
              <w:rPr>
                <w:rFonts w:hint="eastAsia" w:asciiTheme="minorEastAsia" w:hAnsiTheme="minorEastAsia" w:eastAsiaTheme="minorEastAsia" w:cstheme="minorEastAsia"/>
                <w:b/>
                <w:bCs/>
                <w:color w:val="030405"/>
                <w:kern w:val="0"/>
                <w:sz w:val="21"/>
                <w:szCs w:val="21"/>
                <w:lang w:bidi="ar"/>
              </w:rPr>
            </w:pPr>
            <w:r>
              <w:rPr>
                <w:rFonts w:hint="eastAsia" w:asciiTheme="minorEastAsia" w:hAnsiTheme="minorEastAsia" w:eastAsiaTheme="minorEastAsia" w:cstheme="minorEastAsia"/>
                <w:b/>
                <w:bCs/>
                <w:color w:val="030405"/>
                <w:kern w:val="0"/>
                <w:sz w:val="21"/>
                <w:szCs w:val="21"/>
                <w:lang w:val="en-US" w:eastAsia="zh-CN" w:bidi="ar"/>
              </w:rPr>
              <w:t>（一）</w:t>
            </w:r>
            <w:r>
              <w:rPr>
                <w:rFonts w:hint="eastAsia" w:asciiTheme="minorEastAsia" w:hAnsiTheme="minorEastAsia" w:eastAsiaTheme="minorEastAsia" w:cstheme="minorEastAsia"/>
                <w:b/>
                <w:bCs/>
                <w:color w:val="030405"/>
                <w:kern w:val="0"/>
                <w:sz w:val="21"/>
                <w:szCs w:val="21"/>
                <w:lang w:bidi="ar"/>
              </w:rPr>
              <w:t>评审内容：</w:t>
            </w:r>
          </w:p>
          <w:p>
            <w:pPr>
              <w:widowControl/>
              <w:numPr>
                <w:ilvl w:val="0"/>
                <w:numId w:val="0"/>
              </w:numPr>
              <w:jc w:val="left"/>
              <w:textAlignment w:val="center"/>
              <w:rPr>
                <w:rFonts w:hint="eastAsia" w:asciiTheme="minorEastAsia" w:hAnsiTheme="minorEastAsia" w:eastAsiaTheme="minorEastAsia" w:cstheme="minorEastAsia"/>
                <w:color w:val="030405"/>
                <w:kern w:val="0"/>
                <w:sz w:val="21"/>
                <w:szCs w:val="21"/>
                <w:lang w:bidi="ar"/>
              </w:rPr>
            </w:pPr>
            <w:r>
              <w:rPr>
                <w:rFonts w:hint="eastAsia" w:asciiTheme="minorEastAsia" w:hAnsiTheme="minorEastAsia" w:eastAsiaTheme="minorEastAsia" w:cstheme="minorEastAsia"/>
                <w:color w:val="030405"/>
                <w:kern w:val="0"/>
                <w:sz w:val="21"/>
                <w:szCs w:val="21"/>
                <w:lang w:bidi="ar"/>
              </w:rPr>
              <w:t xml:space="preserve">投标人提供本项目的售后服务方案，方案中应包含 1、服务内容 2、维修应急方案 3、培训计划 4、其他特色服务等 </w:t>
            </w:r>
          </w:p>
          <w:p>
            <w:pPr>
              <w:widowControl/>
              <w:numPr>
                <w:ilvl w:val="0"/>
                <w:numId w:val="0"/>
              </w:numPr>
              <w:jc w:val="left"/>
              <w:textAlignment w:val="center"/>
              <w:rPr>
                <w:rFonts w:hint="eastAsia" w:asciiTheme="minorEastAsia" w:hAnsiTheme="minorEastAsia" w:eastAsiaTheme="minorEastAsia" w:cstheme="minorEastAsia"/>
                <w:b/>
                <w:bCs/>
                <w:color w:val="030405"/>
                <w:kern w:val="0"/>
                <w:sz w:val="21"/>
                <w:szCs w:val="21"/>
                <w:lang w:bidi="ar"/>
              </w:rPr>
            </w:pPr>
            <w:r>
              <w:rPr>
                <w:rFonts w:hint="eastAsia" w:asciiTheme="minorEastAsia" w:hAnsiTheme="minorEastAsia" w:eastAsiaTheme="minorEastAsia" w:cstheme="minorEastAsia"/>
                <w:b/>
                <w:bCs/>
                <w:color w:val="030405"/>
                <w:kern w:val="0"/>
                <w:sz w:val="21"/>
                <w:szCs w:val="21"/>
                <w:lang w:val="en-US" w:eastAsia="zh-CN" w:bidi="ar"/>
              </w:rPr>
              <w:t>（二）</w:t>
            </w:r>
            <w:r>
              <w:rPr>
                <w:rFonts w:hint="eastAsia" w:asciiTheme="minorEastAsia" w:hAnsiTheme="minorEastAsia" w:eastAsiaTheme="minorEastAsia" w:cstheme="minorEastAsia"/>
                <w:b/>
                <w:bCs/>
                <w:color w:val="030405"/>
                <w:kern w:val="0"/>
                <w:sz w:val="21"/>
                <w:szCs w:val="21"/>
                <w:lang w:bidi="ar"/>
              </w:rPr>
              <w:t>评审标准：</w:t>
            </w:r>
          </w:p>
          <w:p>
            <w:pPr>
              <w:pStyle w:val="10"/>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方案中含有上述一个内容得15分</w:t>
            </w:r>
            <w:r>
              <w:rPr>
                <w:rFonts w:hint="eastAsia"/>
                <w:lang w:eastAsia="zh-CN"/>
              </w:rPr>
              <w:t>，</w:t>
            </w:r>
            <w:r>
              <w:rPr>
                <w:rFonts w:hint="eastAsia"/>
                <w:lang w:val="en-US" w:eastAsia="zh-CN"/>
              </w:rPr>
              <w:t>本项最高得60分</w:t>
            </w:r>
            <w:r>
              <w:rPr>
                <w:rFonts w:hint="eastAsia" w:asciiTheme="minorHAnsi" w:hAnsiTheme="minorHAnsi" w:eastAsiaTheme="minorEastAsia" w:cstheme="minorBidi"/>
                <w:color w:val="0000FF"/>
                <w:kern w:val="2"/>
                <w:sz w:val="21"/>
                <w:szCs w:val="22"/>
                <w:lang w:val="en-US" w:eastAsia="zh-CN" w:bidi="ar-SA"/>
              </w:rPr>
              <w:t xml:space="preserve">。在此基础上，对方案的合理性、可行性进行打分。 1、售后服务方案非常详细，保障措施完善可行，得40； </w:t>
            </w:r>
          </w:p>
          <w:p>
            <w:pPr>
              <w:pStyle w:val="10"/>
              <w:spacing w:line="260" w:lineRule="exact"/>
              <w:rPr>
                <w:rFonts w:hint="eastAsia" w:asciiTheme="minorEastAsia" w:hAnsiTheme="minorEastAsia" w:eastAsiaTheme="minorEastAsia" w:cstheme="minorEastAsia"/>
                <w:color w:val="030405"/>
                <w:kern w:val="2"/>
                <w:sz w:val="21"/>
                <w:szCs w:val="21"/>
                <w:lang w:val="en-US" w:eastAsia="zh-CN" w:bidi="ar-SA"/>
              </w:rPr>
            </w:pPr>
            <w:r>
              <w:rPr>
                <w:rFonts w:hint="eastAsia" w:asciiTheme="minorHAnsi" w:hAnsiTheme="minorHAnsi" w:eastAsiaTheme="minorEastAsia" w:cstheme="minorBidi"/>
                <w:color w:val="0000FF"/>
                <w:kern w:val="2"/>
                <w:sz w:val="21"/>
                <w:szCs w:val="22"/>
                <w:lang w:val="en-US" w:eastAsia="zh-CN" w:bidi="ar-SA"/>
              </w:rPr>
              <w:t>2、售后服务方案比较具体，保障措施比较完善可行，能够满足招标文件要求的得20； 3、未提供售后服务方案和措施或方案不详细、可行性较差，无法满足招标文件要求的得0。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30405"/>
                <w:kern w:val="0"/>
                <w:sz w:val="21"/>
                <w:szCs w:val="21"/>
                <w:lang w:bidi="ar"/>
              </w:rPr>
            </w:pPr>
            <w:r>
              <w:rPr>
                <w:rFonts w:hint="eastAsia" w:asciiTheme="minorEastAsia" w:hAnsiTheme="minorEastAsia" w:eastAsiaTheme="minorEastAsia" w:cstheme="minorEastAsia"/>
                <w:color w:val="030405"/>
                <w:kern w:val="0"/>
                <w:sz w:val="21"/>
                <w:szCs w:val="21"/>
                <w:lang w:val="en-US" w:eastAsia="zh-CN" w:bidi="ar"/>
              </w:rPr>
              <w:t>政府采购节能环保产品</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color w:val="030405"/>
                <w:kern w:val="0"/>
                <w:sz w:val="21"/>
                <w:szCs w:val="21"/>
                <w:lang w:val="en-US" w:eastAsia="zh-CN" w:bidi="ar"/>
              </w:rPr>
            </w:pPr>
            <w:r>
              <w:rPr>
                <w:rFonts w:hint="eastAsia" w:asciiTheme="minorEastAsia" w:hAnsiTheme="minorEastAsia" w:eastAsiaTheme="minorEastAsia" w:cstheme="minorEastAsia"/>
                <w:color w:val="030405"/>
                <w:kern w:val="0"/>
                <w:sz w:val="21"/>
                <w:szCs w:val="21"/>
                <w:lang w:val="en-US" w:eastAsia="zh-CN" w:bidi="ar"/>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30405"/>
                <w:kern w:val="0"/>
                <w:sz w:val="21"/>
                <w:szCs w:val="21"/>
                <w:lang w:val="en-US" w:eastAsia="zh-CN" w:bidi="ar"/>
              </w:rPr>
            </w:pPr>
            <w:r>
              <w:rPr>
                <w:rFonts w:hint="eastAsia" w:asciiTheme="minorEastAsia" w:hAnsiTheme="minorEastAsia" w:eastAsiaTheme="minorEastAsia" w:cstheme="minorEastAsia"/>
                <w:color w:val="030405"/>
                <w:kern w:val="0"/>
                <w:sz w:val="21"/>
                <w:szCs w:val="21"/>
                <w:lang w:val="en-US" w:eastAsia="zh-CN" w:bidi="ar"/>
              </w:rPr>
              <w:t>一、评审内容：</w:t>
            </w:r>
          </w:p>
          <w:p>
            <w:pPr>
              <w:keepNext w:val="0"/>
              <w:keepLines w:val="0"/>
              <w:widowControl/>
              <w:suppressLineNumbers w:val="0"/>
              <w:jc w:val="left"/>
              <w:textAlignment w:val="center"/>
              <w:rPr>
                <w:rFonts w:hint="eastAsia" w:asciiTheme="minorEastAsia" w:hAnsiTheme="minorEastAsia" w:eastAsiaTheme="minorEastAsia" w:cstheme="minorEastAsia"/>
                <w:color w:val="030405"/>
                <w:kern w:val="0"/>
                <w:sz w:val="21"/>
                <w:szCs w:val="21"/>
                <w:lang w:val="en-US" w:eastAsia="zh-CN" w:bidi="ar"/>
              </w:rPr>
            </w:pPr>
            <w:r>
              <w:rPr>
                <w:rFonts w:hint="eastAsia" w:asciiTheme="minorEastAsia" w:hAnsiTheme="minorEastAsia" w:eastAsiaTheme="minorEastAsia" w:cstheme="minorEastAsia"/>
                <w:color w:val="030405"/>
                <w:kern w:val="0"/>
                <w:sz w:val="21"/>
                <w:szCs w:val="21"/>
                <w:lang w:val="en-US" w:eastAsia="zh-CN" w:bidi="ar"/>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已标注“★”号属政府强制采购产品需具有节能产品认证证书的除外）或环境标志产品政府采购品目清单，且具有有效期内的节能产品或环境标志产品认证证书的，每提供1项得100%，最高得100%。</w:t>
            </w:r>
          </w:p>
          <w:p>
            <w:pPr>
              <w:keepNext w:val="0"/>
              <w:keepLines w:val="0"/>
              <w:widowControl/>
              <w:suppressLineNumbers w:val="0"/>
              <w:jc w:val="left"/>
              <w:textAlignment w:val="center"/>
              <w:rPr>
                <w:rFonts w:hint="eastAsia" w:asciiTheme="minorEastAsia" w:hAnsiTheme="minorEastAsia" w:eastAsiaTheme="minorEastAsia" w:cstheme="minorEastAsia"/>
                <w:color w:val="030405"/>
                <w:kern w:val="0"/>
                <w:sz w:val="21"/>
                <w:szCs w:val="21"/>
                <w:lang w:val="en-US" w:eastAsia="zh-CN" w:bidi="ar"/>
              </w:rPr>
            </w:pPr>
            <w:r>
              <w:rPr>
                <w:rFonts w:hint="eastAsia" w:asciiTheme="minorEastAsia" w:hAnsiTheme="minorEastAsia" w:eastAsiaTheme="minorEastAsia" w:cstheme="minorEastAsia"/>
                <w:color w:val="030405"/>
                <w:kern w:val="0"/>
                <w:sz w:val="21"/>
                <w:szCs w:val="21"/>
                <w:lang w:val="en-US" w:eastAsia="zh-CN" w:bidi="ar"/>
              </w:rPr>
              <w:t>二、评审依据：</w:t>
            </w:r>
          </w:p>
          <w:p>
            <w:pPr>
              <w:keepNext w:val="0"/>
              <w:keepLines w:val="0"/>
              <w:widowControl/>
              <w:suppressLineNumbers w:val="0"/>
              <w:jc w:val="left"/>
              <w:textAlignment w:val="center"/>
              <w:rPr>
                <w:rFonts w:hint="eastAsia" w:asciiTheme="minorEastAsia" w:hAnsiTheme="minorEastAsia" w:eastAsiaTheme="minorEastAsia" w:cstheme="minorEastAsia"/>
                <w:color w:val="030405"/>
                <w:kern w:val="0"/>
                <w:sz w:val="21"/>
                <w:szCs w:val="21"/>
                <w:lang w:val="en-US" w:eastAsia="zh-CN" w:bidi="ar"/>
              </w:rPr>
            </w:pPr>
            <w:r>
              <w:rPr>
                <w:rFonts w:hint="eastAsia" w:asciiTheme="minorEastAsia" w:hAnsiTheme="minorEastAsia" w:eastAsiaTheme="minorEastAsia" w:cstheme="minorEastAsia"/>
                <w:color w:val="030405"/>
                <w:kern w:val="0"/>
                <w:sz w:val="21"/>
                <w:szCs w:val="21"/>
                <w:lang w:val="en-US" w:eastAsia="zh-CN" w:bidi="ar"/>
              </w:rPr>
              <w:t>1、提供《市场监管总局关于发布参与实施政府采购节能产品、环境标志产品认证机构名录的公告》（2019年第16号）确定的认证机构出具的且处于有效期内的节能产品或环境标志产品认证证书扫描件；</w:t>
            </w:r>
          </w:p>
          <w:p>
            <w:pPr>
              <w:keepNext w:val="0"/>
              <w:keepLines w:val="0"/>
              <w:widowControl/>
              <w:suppressLineNumbers w:val="0"/>
              <w:jc w:val="left"/>
              <w:textAlignment w:val="center"/>
              <w:rPr>
                <w:rFonts w:hint="eastAsia" w:asciiTheme="minorEastAsia" w:hAnsiTheme="minorEastAsia" w:eastAsiaTheme="minorEastAsia" w:cstheme="minorEastAsia"/>
                <w:color w:val="030405"/>
                <w:kern w:val="0"/>
                <w:sz w:val="21"/>
                <w:szCs w:val="21"/>
                <w:lang w:val="en-US" w:eastAsia="zh-CN" w:bidi="ar"/>
              </w:rPr>
            </w:pPr>
            <w:r>
              <w:rPr>
                <w:rFonts w:hint="eastAsia" w:asciiTheme="minorEastAsia" w:hAnsiTheme="minorEastAsia" w:eastAsiaTheme="minorEastAsia" w:cstheme="minorEastAsia"/>
                <w:color w:val="030405"/>
                <w:kern w:val="0"/>
                <w:sz w:val="21"/>
                <w:szCs w:val="21"/>
                <w:lang w:val="en-US" w:eastAsia="zh-CN" w:bidi="ar"/>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10"/>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kern w:val="0"/>
                <w:sz w:val="21"/>
                <w:szCs w:val="21"/>
                <w:lang w:bidi="ar"/>
              </w:rPr>
              <w:t>一、评审内容：</w:t>
            </w:r>
          </w:p>
          <w:p>
            <w:pPr>
              <w:pStyle w:val="10"/>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2022年1月1日（以合同签订日期为准）以后，投标人具有与</w:t>
            </w:r>
            <w:r>
              <w:rPr>
                <w:rFonts w:hint="eastAsia" w:asciiTheme="minorEastAsia" w:hAnsiTheme="minorEastAsia" w:eastAsiaTheme="minorEastAsia" w:cstheme="minorEastAsia"/>
                <w:b/>
                <w:bCs/>
                <w:kern w:val="0"/>
                <w:sz w:val="21"/>
                <w:szCs w:val="21"/>
                <w:lang w:bidi="ar"/>
              </w:rPr>
              <w:t>本项目同类（课桌椅类）项目经验</w:t>
            </w:r>
            <w:r>
              <w:rPr>
                <w:rFonts w:hint="eastAsia" w:asciiTheme="minorEastAsia" w:hAnsiTheme="minorEastAsia" w:eastAsiaTheme="minorEastAsia" w:cstheme="minorEastAsia"/>
                <w:kern w:val="0"/>
                <w:sz w:val="21"/>
                <w:szCs w:val="21"/>
                <w:lang w:bidi="ar"/>
              </w:rPr>
              <w:t>，且履约评价为优或满意（或同等评价）</w:t>
            </w:r>
            <w:r>
              <w:rPr>
                <w:rFonts w:hint="eastAsia" w:asciiTheme="minorEastAsia" w:hAnsiTheme="minorEastAsia" w:cstheme="minorEastAsia"/>
                <w:kern w:val="0"/>
                <w:sz w:val="21"/>
                <w:szCs w:val="21"/>
                <w:lang w:val="en-US" w:eastAsia="zh-CN" w:bidi="ar"/>
              </w:rPr>
              <w:t>。</w:t>
            </w:r>
            <w:r>
              <w:rPr>
                <w:rFonts w:hint="eastAsia" w:asciiTheme="minorEastAsia" w:hAnsiTheme="minorEastAsia" w:eastAsiaTheme="minorEastAsia" w:cstheme="minorEastAsia"/>
                <w:kern w:val="0"/>
                <w:sz w:val="21"/>
                <w:szCs w:val="21"/>
                <w:lang w:bidi="ar"/>
              </w:rPr>
              <w:t>每提供一个得2</w:t>
            </w:r>
            <w:r>
              <w:rPr>
                <w:rFonts w:hint="eastAsia" w:asciiTheme="minorEastAsia" w:hAnsiTheme="minorEastAsia" w:cstheme="minorEastAsia"/>
                <w:kern w:val="0"/>
                <w:sz w:val="21"/>
                <w:szCs w:val="21"/>
                <w:lang w:val="en-US" w:eastAsia="zh-CN" w:bidi="ar"/>
              </w:rPr>
              <w:t>0分</w:t>
            </w:r>
            <w:r>
              <w:rPr>
                <w:rFonts w:hint="eastAsia" w:asciiTheme="minorEastAsia" w:hAnsiTheme="minorEastAsia" w:eastAsiaTheme="minorEastAsia" w:cstheme="minorEastAsia"/>
                <w:kern w:val="0"/>
                <w:sz w:val="21"/>
                <w:szCs w:val="21"/>
                <w:lang w:bidi="ar"/>
              </w:rPr>
              <w:t>，最高得100</w:t>
            </w:r>
            <w:r>
              <w:rPr>
                <w:rFonts w:hint="eastAsia" w:asciiTheme="minorEastAsia" w:hAnsiTheme="minorEastAsia" w:cstheme="minorEastAsia"/>
                <w:kern w:val="0"/>
                <w:sz w:val="21"/>
                <w:szCs w:val="21"/>
                <w:lang w:val="en-US" w:eastAsia="zh-CN" w:bidi="ar"/>
              </w:rPr>
              <w:t>分</w:t>
            </w:r>
            <w:r>
              <w:rPr>
                <w:rFonts w:hint="eastAsia" w:asciiTheme="minorEastAsia" w:hAnsiTheme="minorEastAsia" w:eastAsiaTheme="minorEastAsia" w:cstheme="minorEastAsia"/>
                <w:kern w:val="0"/>
                <w:sz w:val="21"/>
                <w:szCs w:val="21"/>
                <w:lang w:bidi="ar"/>
              </w:rPr>
              <w:t>。</w:t>
            </w:r>
          </w:p>
          <w:p>
            <w:pPr>
              <w:pStyle w:val="10"/>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val="0"/>
                <w:sz w:val="21"/>
                <w:szCs w:val="21"/>
              </w:rPr>
              <w:t>（二）评分标准：</w:t>
            </w:r>
          </w:p>
          <w:p>
            <w:pPr>
              <w:pStyle w:val="10"/>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1、同时提供以下：（1）合同关键页扫描件（包括但不限于合同首页、内容页、签章页）；（2）设备配置清单扫描件；（3）验收报告加盖合同甲方（合同相对方）公章或业务章）；（4）履约评价证明[加盖合同甲方公章（或甲方业务章）]。</w:t>
            </w:r>
          </w:p>
          <w:p>
            <w:pPr>
              <w:widowControl/>
              <w:wordWrap w:val="0"/>
              <w:jc w:val="left"/>
              <w:textAlignment w:val="top"/>
              <w:rPr>
                <w:rFonts w:hint="eastAsia" w:asciiTheme="minorEastAsia" w:hAnsiTheme="minorEastAsia" w:eastAsiaTheme="minorEastAsia" w:cstheme="minorEastAsia"/>
                <w:sz w:val="21"/>
                <w:szCs w:val="21"/>
              </w:rPr>
            </w:pPr>
            <w:r>
              <w:rPr>
                <w:rFonts w:hint="eastAsia" w:asciiTheme="minorHAnsi" w:hAnsiTheme="minorHAnsi" w:eastAsiaTheme="minorEastAsia" w:cstheme="minorBidi"/>
                <w:color w:val="0000FF"/>
                <w:kern w:val="2"/>
                <w:sz w:val="21"/>
                <w:szCs w:val="22"/>
                <w:lang w:val="en-US" w:eastAsia="zh-CN" w:bidi="ar-SA"/>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投标文件签署授权委托书"/>
      <w:bookmarkEnd w:id="6"/>
      <w:bookmarkStart w:id="7" w:name="bt投标报价汇总表"/>
      <w:bookmarkEnd w:id="7"/>
      <w:bookmarkStart w:id="8" w:name="bt本工程承诺书"/>
      <w:bookmarkEnd w:id="8"/>
      <w:bookmarkStart w:id="9" w:name="bt技术标投标文件格式"/>
      <w:bookmarkEnd w:id="9"/>
      <w:bookmarkStart w:id="10" w:name="bt其他资料由投标人自定"/>
      <w:bookmarkEnd w:id="10"/>
      <w:bookmarkStart w:id="11" w:name="bt投标人情况介绍"/>
      <w:bookmarkEnd w:id="11"/>
      <w:bookmarkStart w:id="12" w:name="bt说明"/>
      <w:bookmarkEnd w:id="12"/>
      <w:bookmarkStart w:id="13" w:name="bt投标函"/>
      <w:bookmarkEnd w:id="13"/>
      <w:bookmarkStart w:id="14" w:name="bt合同格式"/>
      <w:bookmarkEnd w:id="14"/>
      <w:bookmarkStart w:id="15" w:name="bt商务标投标文件格式"/>
      <w:bookmarkEnd w:id="15"/>
      <w:bookmarkStart w:id="16" w:name="bt投标人须知"/>
      <w:bookmarkEnd w:id="16"/>
      <w:bookmarkStart w:id="17" w:name="bt开标一览表"/>
      <w:bookmarkEnd w:id="17"/>
      <w:bookmarkStart w:id="18" w:name="bt项目管理班子配备情况"/>
      <w:bookmarkEnd w:id="18"/>
      <w:bookmarkStart w:id="19" w:name="bt合同条款"/>
      <w:bookmarkEnd w:id="19"/>
      <w:bookmarkStart w:id="20" w:name="bt合同条款及格式"/>
      <w:bookmarkEnd w:id="20"/>
      <w:bookmarkStart w:id="21" w:name="合同格式"/>
      <w:bookmarkEnd w:id="21"/>
      <w:bookmarkStart w:id="22" w:name="bt其他资料2"/>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60560625"/>
      <w:bookmarkStart w:id="25" w:name="_Toc73517639"/>
      <w:bookmarkStart w:id="26" w:name="_Toc60631620"/>
      <w:bookmarkStart w:id="27" w:name="_Toc73521635"/>
      <w:bookmarkStart w:id="28" w:name="_Toc73518117"/>
      <w:bookmarkStart w:id="29" w:name="_Toc100052364"/>
      <w:bookmarkStart w:id="30" w:name="_Toc101074876"/>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rPr>
              <w:t>深圳市宝安区红星实验学校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numPr>
          <w:ilvl w:val="0"/>
          <w:numId w:val="0"/>
        </w:numPr>
        <w:ind w:left="0" w:leftChars="0" w:firstLine="420" w:firstLineChars="200"/>
        <w:rPr>
          <w:rFonts w:hint="default" w:eastAsia="宋体"/>
          <w:lang w:val="en-US" w:eastAsia="zh-CN"/>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JYCG-DECL-2025-25732</w:t>
            </w:r>
          </w:p>
        </w:tc>
        <w:tc>
          <w:tcPr>
            <w:tcW w:w="3158" w:type="dxa"/>
            <w:vMerge w:val="restart"/>
            <w:vAlign w:val="center"/>
          </w:tcPr>
          <w:p>
            <w:pPr>
              <w:jc w:val="center"/>
              <w:rPr>
                <w:b/>
                <w:bCs/>
                <w:color w:val="FF0000"/>
                <w:szCs w:val="21"/>
              </w:rPr>
            </w:pPr>
            <w:r>
              <w:rPr>
                <w:rFonts w:hint="eastAsia"/>
                <w:b/>
                <w:bCs/>
                <w:color w:val="FF0000"/>
                <w:szCs w:val="21"/>
              </w:rPr>
              <w:t>深圳市宝安区红星实验学校课桌椅采购项目</w:t>
            </w:r>
          </w:p>
        </w:tc>
        <w:tc>
          <w:tcPr>
            <w:tcW w:w="2355" w:type="dxa"/>
            <w:vAlign w:val="center"/>
          </w:tcPr>
          <w:p>
            <w:pPr>
              <w:jc w:val="center"/>
              <w:rPr>
                <w:bCs/>
                <w:color w:val="FF0000"/>
                <w:szCs w:val="21"/>
              </w:rPr>
            </w:pPr>
            <w:r>
              <w:rPr>
                <w:rFonts w:hint="eastAsia"/>
                <w:bCs/>
                <w:color w:val="FF0000"/>
                <w:szCs w:val="21"/>
              </w:rPr>
              <w:t>351000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351000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2"/>
        <w:gridCol w:w="1599"/>
        <w:gridCol w:w="531"/>
        <w:gridCol w:w="426"/>
        <w:gridCol w:w="1008"/>
        <w:gridCol w:w="1166"/>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pPr>
              <w:jc w:val="center"/>
              <w:rPr>
                <w:bCs/>
                <w:szCs w:val="21"/>
              </w:rPr>
            </w:pPr>
            <w:r>
              <w:rPr>
                <w:rFonts w:hint="eastAsia"/>
                <w:bCs/>
                <w:szCs w:val="21"/>
              </w:rPr>
              <w:t>序号</w:t>
            </w:r>
          </w:p>
        </w:tc>
        <w:tc>
          <w:tcPr>
            <w:tcW w:w="602" w:type="pct"/>
            <w:vAlign w:val="center"/>
          </w:tcPr>
          <w:p>
            <w:pPr>
              <w:jc w:val="center"/>
              <w:rPr>
                <w:bCs/>
                <w:szCs w:val="21"/>
              </w:rPr>
            </w:pPr>
            <w:r>
              <w:rPr>
                <w:rFonts w:hint="eastAsia"/>
                <w:szCs w:val="21"/>
              </w:rPr>
              <w:t>采购计划编号</w:t>
            </w:r>
          </w:p>
        </w:tc>
        <w:tc>
          <w:tcPr>
            <w:tcW w:w="1097" w:type="pct"/>
            <w:vAlign w:val="center"/>
          </w:tcPr>
          <w:p>
            <w:pPr>
              <w:jc w:val="center"/>
              <w:rPr>
                <w:bCs/>
                <w:szCs w:val="21"/>
              </w:rPr>
            </w:pPr>
            <w:r>
              <w:rPr>
                <w:rFonts w:hint="eastAsia"/>
                <w:bCs/>
                <w:szCs w:val="21"/>
              </w:rPr>
              <w:t>货物名称（标的名称）</w:t>
            </w:r>
          </w:p>
        </w:tc>
        <w:tc>
          <w:tcPr>
            <w:tcW w:w="305" w:type="pct"/>
            <w:vAlign w:val="center"/>
          </w:tcPr>
          <w:p>
            <w:pPr>
              <w:jc w:val="center"/>
              <w:rPr>
                <w:bCs/>
                <w:szCs w:val="21"/>
              </w:rPr>
            </w:pPr>
            <w:r>
              <w:rPr>
                <w:rFonts w:hint="eastAsia"/>
                <w:bCs/>
                <w:szCs w:val="21"/>
              </w:rPr>
              <w:t>数量</w:t>
            </w:r>
          </w:p>
        </w:tc>
        <w:tc>
          <w:tcPr>
            <w:tcW w:w="264" w:type="pct"/>
            <w:vAlign w:val="center"/>
          </w:tcPr>
          <w:p>
            <w:pPr>
              <w:jc w:val="center"/>
              <w:rPr>
                <w:bCs/>
                <w:szCs w:val="21"/>
              </w:rPr>
            </w:pPr>
            <w:r>
              <w:rPr>
                <w:rFonts w:hint="eastAsia"/>
                <w:bCs/>
                <w:szCs w:val="21"/>
              </w:rPr>
              <w:t>单位</w:t>
            </w:r>
          </w:p>
        </w:tc>
        <w:tc>
          <w:tcPr>
            <w:tcW w:w="780"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80"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81"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pPr>
              <w:jc w:val="center"/>
              <w:rPr>
                <w:bCs/>
                <w:szCs w:val="21"/>
              </w:rPr>
            </w:pPr>
            <w:r>
              <w:rPr>
                <w:rFonts w:hint="eastAsia"/>
                <w:bCs/>
                <w:szCs w:val="21"/>
              </w:rPr>
              <w:t>1</w:t>
            </w:r>
          </w:p>
        </w:tc>
        <w:tc>
          <w:tcPr>
            <w:tcW w:w="602" w:type="pct"/>
            <w:vMerge w:val="restart"/>
            <w:vAlign w:val="center"/>
          </w:tcPr>
          <w:p>
            <w:pPr>
              <w:jc w:val="center"/>
              <w:rPr>
                <w:bCs/>
                <w:szCs w:val="21"/>
              </w:rPr>
            </w:pPr>
            <w:r>
              <w:rPr>
                <w:rFonts w:hint="eastAsia"/>
                <w:bCs/>
                <w:szCs w:val="21"/>
              </w:rPr>
              <w:t>JYCG-DECL-2025-25732</w:t>
            </w:r>
          </w:p>
        </w:tc>
        <w:tc>
          <w:tcPr>
            <w:tcW w:w="1097" w:type="pct"/>
            <w:vAlign w:val="center"/>
          </w:tcPr>
          <w:p>
            <w:pPr>
              <w:jc w:val="center"/>
              <w:rPr>
                <w:bCs/>
                <w:szCs w:val="21"/>
              </w:rPr>
            </w:pPr>
            <w:r>
              <w:rPr>
                <w:rFonts w:hint="eastAsia" w:ascii="宋体" w:hAnsi="宋体" w:eastAsia="宋体" w:cs="宋体"/>
                <w:i w:val="0"/>
                <w:iCs w:val="0"/>
                <w:color w:val="000000"/>
                <w:sz w:val="21"/>
                <w:szCs w:val="21"/>
                <w:u w:val="none"/>
                <w:lang w:val="en-US" w:eastAsia="zh-CN"/>
              </w:rPr>
              <w:t>升降课桌</w:t>
            </w:r>
          </w:p>
        </w:tc>
        <w:tc>
          <w:tcPr>
            <w:tcW w:w="305" w:type="pct"/>
            <w:vAlign w:val="top"/>
          </w:tcPr>
          <w:p>
            <w:pPr>
              <w:jc w:val="center"/>
              <w:rPr>
                <w:rFonts w:hint="default"/>
                <w:bCs/>
                <w:szCs w:val="21"/>
                <w:lang w:val="en-US"/>
              </w:rPr>
            </w:pPr>
            <w:r>
              <w:rPr>
                <w:rFonts w:hint="eastAsia" w:ascii="宋体" w:hAnsi="宋体" w:eastAsia="宋体" w:cs="宋体"/>
                <w:i w:val="0"/>
                <w:iCs w:val="0"/>
                <w:color w:val="000000"/>
                <w:sz w:val="21"/>
                <w:szCs w:val="21"/>
                <w:u w:val="none"/>
                <w:lang w:val="en-US" w:eastAsia="zh-CN"/>
              </w:rPr>
              <w:t>630</w:t>
            </w:r>
          </w:p>
        </w:tc>
        <w:tc>
          <w:tcPr>
            <w:tcW w:w="264" w:type="pct"/>
            <w:vAlign w:val="top"/>
          </w:tcPr>
          <w:p>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80" w:type="pct"/>
            <w:vAlign w:val="center"/>
          </w:tcPr>
          <w:p>
            <w:pPr>
              <w:jc w:val="center"/>
              <w:rPr>
                <w:b/>
                <w:bCs/>
                <w:color w:val="FF0000"/>
                <w:szCs w:val="21"/>
              </w:rPr>
            </w:pPr>
            <w:r>
              <w:rPr>
                <w:rFonts w:hint="eastAsia"/>
                <w:b/>
                <w:bCs/>
                <w:szCs w:val="21"/>
              </w:rPr>
              <w:t>拒绝进口</w:t>
            </w:r>
          </w:p>
        </w:tc>
        <w:tc>
          <w:tcPr>
            <w:tcW w:w="780"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是</w:t>
            </w:r>
          </w:p>
        </w:tc>
        <w:tc>
          <w:tcPr>
            <w:tcW w:w="88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pPr>
              <w:jc w:val="center"/>
              <w:rPr>
                <w:bCs/>
                <w:szCs w:val="21"/>
              </w:rPr>
            </w:pPr>
            <w:r>
              <w:rPr>
                <w:rFonts w:hint="eastAsia"/>
                <w:bCs/>
                <w:szCs w:val="21"/>
              </w:rPr>
              <w:t>2</w:t>
            </w:r>
          </w:p>
        </w:tc>
        <w:tc>
          <w:tcPr>
            <w:tcW w:w="602" w:type="pct"/>
            <w:vMerge w:val="continue"/>
            <w:vAlign w:val="center"/>
          </w:tcPr>
          <w:p>
            <w:pPr>
              <w:jc w:val="center"/>
              <w:rPr>
                <w:bCs/>
                <w:szCs w:val="21"/>
              </w:rPr>
            </w:pPr>
          </w:p>
        </w:tc>
        <w:tc>
          <w:tcPr>
            <w:tcW w:w="1097" w:type="pct"/>
            <w:vAlign w:val="center"/>
          </w:tcPr>
          <w:p>
            <w:pPr>
              <w:jc w:val="center"/>
              <w:rPr>
                <w:bCs/>
                <w:szCs w:val="21"/>
              </w:rPr>
            </w:pPr>
            <w:r>
              <w:rPr>
                <w:rFonts w:hint="eastAsia" w:ascii="宋体" w:hAnsi="宋体" w:eastAsia="宋体" w:cs="宋体"/>
                <w:i w:val="0"/>
                <w:iCs w:val="0"/>
                <w:color w:val="000000"/>
                <w:sz w:val="21"/>
                <w:szCs w:val="21"/>
                <w:u w:val="none"/>
                <w:lang w:val="en-US" w:eastAsia="zh-CN"/>
              </w:rPr>
              <w:t>升降课椅</w:t>
            </w:r>
          </w:p>
        </w:tc>
        <w:tc>
          <w:tcPr>
            <w:tcW w:w="305" w:type="pct"/>
            <w:vAlign w:val="center"/>
          </w:tcPr>
          <w:p>
            <w:pPr>
              <w:jc w:val="center"/>
              <w:rPr>
                <w:rFonts w:hint="default"/>
                <w:bCs/>
                <w:szCs w:val="21"/>
                <w:lang w:val="en-US"/>
              </w:rPr>
            </w:pPr>
            <w:r>
              <w:rPr>
                <w:rFonts w:hint="eastAsia" w:ascii="宋体" w:hAnsi="宋体" w:eastAsia="宋体" w:cs="宋体"/>
                <w:i w:val="0"/>
                <w:iCs w:val="0"/>
                <w:color w:val="000000"/>
                <w:sz w:val="21"/>
                <w:szCs w:val="21"/>
                <w:u w:val="none"/>
                <w:lang w:val="en-US" w:eastAsia="zh-CN"/>
              </w:rPr>
              <w:t>630</w:t>
            </w:r>
          </w:p>
        </w:tc>
        <w:tc>
          <w:tcPr>
            <w:tcW w:w="264" w:type="pct"/>
            <w:vAlign w:val="center"/>
          </w:tcPr>
          <w:p>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80" w:type="pct"/>
            <w:vAlign w:val="center"/>
          </w:tcPr>
          <w:p>
            <w:pPr>
              <w:jc w:val="center"/>
              <w:rPr>
                <w:b/>
                <w:bCs/>
                <w:color w:val="FF0000"/>
                <w:szCs w:val="21"/>
              </w:rPr>
            </w:pPr>
            <w:r>
              <w:rPr>
                <w:rFonts w:hint="eastAsia"/>
                <w:b/>
                <w:bCs/>
                <w:szCs w:val="21"/>
              </w:rPr>
              <w:t>拒绝进口</w:t>
            </w:r>
          </w:p>
        </w:tc>
        <w:tc>
          <w:tcPr>
            <w:tcW w:w="780" w:type="pct"/>
            <w:vAlign w:val="center"/>
          </w:tcPr>
          <w:p>
            <w:pPr>
              <w:jc w:val="center"/>
              <w:rPr>
                <w:rFonts w:hint="eastAsia"/>
                <w:b/>
                <w:bCs/>
                <w:color w:val="FF0000"/>
                <w:szCs w:val="21"/>
              </w:rPr>
            </w:pPr>
            <w:r>
              <w:rPr>
                <w:rFonts w:hint="eastAsia"/>
                <w:b/>
                <w:bCs/>
                <w:color w:val="FF0000"/>
                <w:szCs w:val="21"/>
                <w:lang w:val="en-US" w:eastAsia="zh-CN"/>
              </w:rPr>
              <w:t>是</w:t>
            </w:r>
          </w:p>
        </w:tc>
        <w:tc>
          <w:tcPr>
            <w:tcW w:w="881" w:type="pct"/>
            <w:vAlign w:val="center"/>
          </w:tcPr>
          <w:p>
            <w:pPr>
              <w:jc w:val="center"/>
              <w:rPr>
                <w:rFonts w:hint="eastAsia"/>
                <w:b/>
                <w:bCs/>
                <w:color w:val="FF0000"/>
                <w:szCs w:val="21"/>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numPr>
          <w:ilvl w:val="0"/>
          <w:numId w:val="0"/>
        </w:numPr>
        <w:spacing w:line="440" w:lineRule="exact"/>
        <w:ind w:leftChars="78" w:firstLine="0" w:firstLineChars="0"/>
        <w:jc w:val="left"/>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仿宋_GB2312" w:hAnsi="华文仿宋" w:eastAsia="仿宋_GB2312"/>
          <w:b/>
          <w:color w:val="FF0000"/>
          <w:sz w:val="28"/>
          <w:szCs w:val="28"/>
          <w:u w:val="single"/>
          <w:lang w:val="en-US" w:eastAsia="zh-CN"/>
        </w:rPr>
        <w:t>升降课桌</w:t>
      </w:r>
      <w:r>
        <w:rPr>
          <w:rFonts w:hint="eastAsia" w:ascii="宋体" w:hAnsi="宋体"/>
          <w:b/>
          <w:color w:val="FF0000"/>
          <w:szCs w:val="21"/>
          <w:u w:val="single"/>
        </w:rPr>
        <w:t xml:space="preserve">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p>
      <w:pPr>
        <w:rPr>
          <w:b/>
          <w:szCs w:val="21"/>
        </w:rPr>
      </w:pPr>
    </w:p>
    <w:tbl>
      <w:tblPr>
        <w:tblStyle w:val="17"/>
        <w:tblW w:w="80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1"/>
        <w:gridCol w:w="701"/>
        <w:gridCol w:w="6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7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货物名称</w:t>
            </w:r>
          </w:p>
        </w:tc>
        <w:tc>
          <w:tcPr>
            <w:tcW w:w="6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7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升降课桌</w:t>
            </w: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A.课桌桌面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1．桌面材质：ABS塑胶（塑料）一体注射成型。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2．桌面尺寸：（长650mm×宽450mm×厚20mm）±5mm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样式：桌面靠胸前端处有一內弧造型设计，靠胸侧两边角为鸭嘴斜边；桌面四周及底部不得有毛边，倒圆角光滑不刮手。表面有细蚀纹(咬花),不得有反光现象。面板底部有強化安全承重之设计。锁入双钢管支撑，并与面板底部平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4．在课桌面做塑面硬化处理以增加桌面的表面硬度，抗污防腐，有效解决在使用过程中学生肆意涂画，灰尘、水渍、汗渍造成桌面污浊不堪，不易清洁的问题，亦可更有效保护桌面不变色，不褪色。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5．▲桌面抗污材料应满足以下要求：检验依据GB/T9274-1988《色漆和清漆 耐液体介质的测定》；检测要求：耐油性（200#溶剂油，24h）无异常；耐酸性（10g/L H</w:t>
            </w:r>
            <w:r>
              <w:rPr>
                <w:rFonts w:hint="eastAsia" w:ascii="宋体" w:hAnsi="宋体" w:eastAsia="宋体" w:cs="宋体"/>
                <w:i w:val="0"/>
                <w:iCs w:val="0"/>
                <w:color w:val="000000"/>
                <w:kern w:val="0"/>
                <w:sz w:val="21"/>
                <w:szCs w:val="21"/>
                <w:u w:val="none"/>
                <w:vertAlign w:val="subscript"/>
                <w:lang w:val="en-US" w:eastAsia="zh-CN" w:bidi="ar"/>
              </w:rPr>
              <w:t>2</w:t>
            </w: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4</w:t>
            </w:r>
            <w:r>
              <w:rPr>
                <w:rFonts w:hint="eastAsia" w:ascii="宋体" w:hAnsi="宋体" w:eastAsia="宋体" w:cs="宋体"/>
                <w:i w:val="0"/>
                <w:iCs w:val="0"/>
                <w:color w:val="000000"/>
                <w:kern w:val="0"/>
                <w:sz w:val="21"/>
                <w:szCs w:val="21"/>
                <w:u w:val="none"/>
                <w:lang w:val="en-US" w:eastAsia="zh-CN" w:bidi="ar"/>
              </w:rPr>
              <w:t>，24h）无异常；耐碱性（50g/L NaHCO</w:t>
            </w:r>
            <w:r>
              <w:rPr>
                <w:rFonts w:hint="eastAsia" w:ascii="宋体" w:hAnsi="宋体" w:eastAsia="宋体" w:cs="宋体"/>
                <w:i w:val="0"/>
                <w:iCs w:val="0"/>
                <w:color w:val="000000"/>
                <w:kern w:val="0"/>
                <w:sz w:val="21"/>
                <w:szCs w:val="21"/>
                <w:u w:val="none"/>
                <w:vertAlign w:val="subscript"/>
                <w:lang w:val="en-US" w:eastAsia="zh-CN" w:bidi="ar"/>
              </w:rPr>
              <w:t>3</w:t>
            </w:r>
            <w:r>
              <w:rPr>
                <w:rFonts w:hint="eastAsia" w:ascii="宋体" w:hAnsi="宋体" w:eastAsia="宋体" w:cs="宋体"/>
                <w:i w:val="0"/>
                <w:iCs w:val="0"/>
                <w:color w:val="000000"/>
                <w:kern w:val="0"/>
                <w:sz w:val="21"/>
                <w:szCs w:val="21"/>
                <w:u w:val="none"/>
                <w:lang w:val="en-US" w:eastAsia="zh-CN" w:bidi="ar"/>
              </w:rPr>
              <w:t>，24h）无异常，单项判定均为合格。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9"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6．▲桌面耐污染应符合以下要求：耐污染[墨水(蓝色和红色)、印泥、水笔、圆珠笔、涂改液，24h]，技术要求能被符合QB/T2309的普通橡皮擦拭；单项判定为合格。检验依据QB/T 4071-2021 《课桌椅》。</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7．▲ABS塑料（塑胶）检验：【洛氏硬度(HRR)：≥90），测试方法GB/T 3398.2-2008】；【表面电阻率≥1.0x10</w:t>
            </w:r>
            <w:r>
              <w:rPr>
                <w:rFonts w:hint="eastAsia" w:ascii="宋体" w:hAnsi="宋体" w:eastAsia="宋体" w:cs="宋体"/>
                <w:i w:val="0"/>
                <w:iCs w:val="0"/>
                <w:color w:val="000000"/>
                <w:kern w:val="0"/>
                <w:sz w:val="21"/>
                <w:szCs w:val="21"/>
                <w:u w:val="none"/>
                <w:vertAlign w:val="superscript"/>
                <w:lang w:val="en-US" w:eastAsia="zh-CN" w:bidi="ar"/>
              </w:rPr>
              <w:t>12</w:t>
            </w:r>
            <w:r>
              <w:rPr>
                <w:rFonts w:hint="eastAsia" w:ascii="宋体" w:hAnsi="宋体" w:eastAsia="宋体" w:cs="宋体"/>
                <w:i w:val="0"/>
                <w:iCs w:val="0"/>
                <w:color w:val="000000"/>
                <w:kern w:val="0"/>
                <w:sz w:val="21"/>
                <w:szCs w:val="21"/>
                <w:u w:val="none"/>
                <w:lang w:val="en-US" w:eastAsia="zh-CN" w:bidi="ar"/>
              </w:rPr>
              <w:t>Ω，测试方法GB/T 31838.3-2019】；【拉伸强度（试验速度：50mm/min）≥40MPa；拉伸断裂伸长率（试验速度：50mm/min）≥1.0%；测试方法GB/T 1040.2-2022】；【简支梁缺口冲击强度：≥10KJ∕㎡ ，测试方法GB/T 1043.1-2008】；【耐磨性(CS-17，750g，100r)≤0.01g，测试方法GB/T 5478-2008】；【热老化（60℃，100h）无龟裂、鼓泡现象，测试方法GB/T 7141-2008】；【盐雾老化（中性盐雾，100h）无锈蚀现象，测试方法GB/T 10125-2021】；【荧光紫外灯老化（100h1）（拉伸强度保持率≥60%、断裂伸长率保持率≥60%、外观变色评级≥3级），测试方法GB/T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37866-2019】。单项判定均为合格。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B.书箱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8．材质：PP塑料（塑胶）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9．规格：内径尺寸：（长450mm×宽330mm×高90mm）±5mm；外径尺寸：（长500mmm×宽340mm×高100mm）±5mm。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书箱技术满足以下要求：书箱内部前沿设有（长370mmm×宽60mm）±5mm凹槽方便储放笔和橡皮擦等小文具。底部有排水槽缝设计（宽度≤5mm）不少于44条，方便清洗或擦拭底部易排水通风干燥。书箱三墙面为弧型设计，无尖角，确保学生安全。书箱外围倒圆角光滑不刮手，无毛边。书箱底部外侧横向加强筋不少于6条、纵向加强筋不少于3条，加固承重，不易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11．挂钩：左右两侧各有连体多功能挂钩（87mm×38mm×26mm）±5mm，书箱与挂钩一体成型设计，挂钩不超出桌侧缘之外。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C.桌脚钢架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尺寸：桌脚贴地部与上部弯管尺寸为椭圆形30mm±1mm×60mm±1mm×厚1.5mm,桌脚上部活动立管钢管尺寸为椭圆形23mm±1mm×50mm±1mm×厚1.5mm；连接书箱L型支架钢管尺寸椭圆形23mm±1mm×50mm±1mm×厚1.5mm,二桌脚贴地连接横钢管尺寸为椭圆形20mm±1mm×40mm±1mm×厚1.2mm的白皮钢管，该横档管到桌面内沿间距须符合GB/T 3976-2014关于桌下净空深的要求。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表面涂装：焊接完成后的钢管架，表面经除油、脱脂、磷化、皮膜处理。外表采用一级颗粒粉末，经高温粉体烤漆，不得有刮伤或脱漆现象。涂层无漏喷、锈蚀；涂层光滑均匀，色泽一致。涂层平整光滑、清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15．底坐L字型弯管左右组合焊接外型，内置手摇升降组件装置，隐藏式上下升降结构。桌腿外观无外露螺丝五金件，学生使用时无安全隐患，左右腿可以同时调整高度。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16．产品符合QB/T 4071-2021 标准,无断裂或豁裂, 手揿压各部件无永久性松动, 零部件无严重影响使用功能的磨损或变形, 五金连接件不松动, 活动部件开关灵便。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D.课桌标示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采用激光镭射标示，字体稳固不易脱落掉色，方便学校管理使用及产品维护。在可调节的钢制脚架上外侧清晰标记，高度刻度尺按照（《学校课桌椅功能尺寸及技术要求》（GB/T3976-2014））用阿拉伯数字作标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18．在课桌桌腿立管(钢制脚架上)外侧上做如下标示：a)标有统一的校名（简称）汉字或学校 LOGO，满足学校财产登记；b)标有生产（出厂）年月日数字标识，保证设备保修售后；c)标有产品序列号数字标识（编码从0001开始的四位流水号），满足学校财产登记的需要；d)标有高度刻度尺数字标识，满足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E.脚垫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19．材质：PP塑料（塑胶）。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前脚垫规格及功能：（长73mm×宽50mm×高71mm）±2mm,垫跟高8mm±2mm。课桌前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人体接触面圆弧形，表面光滑，无棱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21．后脚垫规格及功能：（长196mm×宽50mm×高85mm）±2mm,垫跟厚度8mm±2mm。贴地脚垫长、宽大与地面接触平稳安全。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F.手摇升降组件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手摇升降组件装置：手摇可调式结构，该手摇升降组件应由中间传动轴精密连接课桌左右腿的上部活动立管，以实现课桌左右腿的同步升降功能。其设计原理基于手摇千斤顶的承载式上下安全升降结构，通过由下至上的顶升方式，确保整体结构具备高强度、坚固耐用的特性。用户通过简单的手摇操作，即可轻松实现桌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23．升降技术要求：手摇升降调节，每张课桌满足手摇升降调节行程不少于9cm,符合(GB/T3976-2014)9～6号、6～2号、3～0号学生课桌标准，可调节高度区间至少满足52cm-61cm、61cm-73cm、70cm-79cm，符合GB/T 3976-2014学校课桌椅功能尺寸及技术要求，在区间内可通过手摇工具快速调节到任意的高度；满足不同身高的学生坐姿书写舒适需求。课桌选择的具体调节型号范围，中标后可根据使用年级另行确定，存在不同调节范围的情况，中标供应商无条件配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7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升降课椅</w:t>
            </w: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A.靠背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24．材质：PP塑料（塑胶）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25．尺寸：（长395mm×宽280mm）±5mm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26．样式：靠背与钢管结合方式，采用直插套管卡扣式紧固，无外露螺丝等紧固件。牢固稳定无摇晃、松动现象。靠背呈弯孤曲面，人体工程学舒适设计，设有散热孔透气，孔直径均小于5mm。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27．▲升降课桌椅：烟密度≤75；氧指数≥20%；垂直燃烧V-1级；氯乙烯单体残留量≤3mg/kg。单项判定均为合格。检验依据GB/T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B.座垫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28．材质：PP塑料（塑胶）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29．尺寸：（长400mm×宽380mm）±5mm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30．样式：座垫前端有两处下凹设计，座垫深部有内陷设计，座垫曲面有散热孔设计，孔直径均小于5mm。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31．▲座垫抗滑应满足以下要求：抗滑值((湿测)（BPN,20℃）检测结果≥72.4；抗滑值((干测)（BPN,20℃）检测结果≥104.8。</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C.椅腿钢架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材质及规格:采用椭圆形钢管，主要支撑部件（厚度不小于1.5mm）。椅座贴地钢管尺寸为面包形30mm±1mm×45mm±1mm×厚1.4mm；椅子横杆尺寸为面包形20mm±1mm×30mm±1mm×厚1.2mm；椅脚上部活动立管钢管尺寸为椭圆形23mm±1mm×35mm±1mm×厚1.4mm；靠背弯管钢管尺寸为面包形20mm±1mm×30 mm±1mm厚1.2mm，椅座补强钢管尺寸为面包形20mm±1mm×30mm±1mm厚1.2mm。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33．工艺：采用上下安全升降结构，可调节区间（调节行程）不少于10㎝，符合(GB/T3976-2014) )学生课椅标准（具体实际要求高度以学校要求为准）。升降刻度尺采用激光镭射打印。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34．技术形状：底坐采用安全牢固的C字（或工字或Z字)组合焊接外型，内置手摇升降组件装置，隐藏式上下升降结构。椅腿外观无外露螺丝五金件，学生使用时无安全隐患，左右腿可以同时调整高度。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升降课桌椅钢架检验：【化学成分：C≤0.22%，Si≤0.35%，Mn≤1.40%，P≤0.045%，S≤0.050%】；【力学性能：抗拉强度Rm370～560MPa，下屈服强度ReL≥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3832-1999《轻工产品金属镀层腐蚀试验结果的评价》；单项判定均为合格。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D.课桌椅标识：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采用激光镭射标示，字体保证永久不会脱落掉色，方便学校管理使用及产品维护。在可调节的钢制脚架上外侧清晰标记，刻度尺按照课桌椅国标（GB/T3976-2014《学校课桌椅功能尺寸及技术要求》）用阿拉伯数字作标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38．材质：PP，结实耐用不易脱落。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前脚垫规格及功能：（长100mm×宽38mm×高57mm）±5mm,垫跟厚度8mm±2mm。课椅脚垫采用固定螺丝和地平调节螺丝独立专用的安装模式：固定螺丝用于连接贴地管与脚垫，使脚垫不易脱落。地平调节螺丝可用螺丝刀旋转任意调节水平度的功能，同时还可以防止课椅倾斜。地平调节螺丝采用耐磨塑钢胶料POM材质螺纹制造、旋转顺滑且不生锈、质量轻且承重性强、防滑防震、耐磨降噪、操作简便实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40．后脚垫规格及功能：（长115mm×宽38mm×高58mm,）±2mm垫跟厚度8mm±2mm。采用十字沉头自攻螺丝锁付，使脚垫不易脱落。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其他配件（简述）</w:t>
            </w:r>
          </w:p>
          <w:p>
            <w:pPr>
              <w:keepNext w:val="0"/>
              <w:keepLines w:val="0"/>
              <w:widowControl/>
              <w:numPr>
                <w:ilvl w:val="0"/>
                <w:numId w:val="0"/>
              </w:numPr>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快速升降调节组件：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手摇升降组件装置：手摇可调式结构，该手摇升降组件应由中间传动轴精密连接课椅左右腿的上部活动立管，以实现课椅左右腿的同步升降功能。其设计原理基于手摇千斤顶的承载式上下安全升降结构，通过由下至上的顶升方式，确保整体结构具备高强度、坚固耐用的特性。用户通过简单的手摇操作，即可轻松实现椅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9"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6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42．升降技术要求：全手摇升降可调式调节，每张课椅满足手摇升降调节行程不少于10cm，可调节高度区间至少满足5号～0号（36cm～46cm）、9号～5号（29cm～36cm），符合GBT 3976-2014学校课桌椅功能尺寸及技术要求，在区间内可通过手摇工具快速调节到任意的高度；满足不同身高的学生坐姿书写舒适需求。课椅选择的具体调节型号范围，中标后可根据使用年级另行确定，存在不同调节范围的情况，中标供应商无条件配合。</w:t>
            </w:r>
          </w:p>
        </w:tc>
      </w:tr>
    </w:tbl>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lang w:eastAsia="zh-CN"/>
              </w:rPr>
              <w:t>征集文件商务要求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w:t>
            </w:r>
            <w:r>
              <w:rPr>
                <w:rFonts w:hint="eastAsia"/>
                <w:bCs/>
                <w:szCs w:val="21"/>
                <w:lang w:eastAsia="zh-CN"/>
              </w:rPr>
              <w:t>中标（成交）</w:t>
            </w:r>
            <w:r>
              <w:rPr>
                <w:rFonts w:hint="eastAsia"/>
                <w:bCs/>
                <w:szCs w:val="21"/>
              </w:rPr>
              <w:t>人保证在接到通知</w:t>
            </w:r>
            <w:r>
              <w:rPr>
                <w:rFonts w:hint="eastAsia"/>
                <w:bCs/>
                <w:szCs w:val="21"/>
                <w:lang w:val="en-US" w:eastAsia="zh-CN"/>
              </w:rPr>
              <w:t>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w:t>
            </w:r>
            <w:r>
              <w:rPr>
                <w:rFonts w:hint="eastAsia"/>
                <w:bCs/>
                <w:color w:val="FF0000"/>
                <w:szCs w:val="21"/>
                <w:u w:val="single"/>
                <w:lang w:val="en-US" w:eastAsia="zh-CN"/>
              </w:rPr>
              <w:t>2</w:t>
            </w:r>
            <w:r>
              <w:rPr>
                <w:rFonts w:hint="eastAsia"/>
                <w:bCs/>
                <w:color w:val="FF0000"/>
                <w:szCs w:val="21"/>
                <w:u w:val="single"/>
              </w:rPr>
              <w:t xml:space="preserve">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jc w:val="left"/>
              <w:rPr>
                <w:rFonts w:ascii="宋体" w:hAnsi="宋体" w:cs="宋体"/>
                <w:color w:val="FFFFFF"/>
                <w:szCs w:val="21"/>
              </w:rPr>
            </w:pPr>
            <w:r>
              <w:rPr>
                <w:rFonts w:hint="eastAsia" w:ascii="宋体" w:hAnsi="宋体" w:cs="宋体"/>
                <w:color w:val="FF0000"/>
                <w:szCs w:val="21"/>
              </w:rPr>
              <w:t xml:space="preserve">本项目要求在进场施工日起 </w:t>
            </w:r>
            <w:r>
              <w:rPr>
                <w:rFonts w:hint="eastAsia" w:ascii="宋体" w:hAnsi="宋体" w:cs="宋体"/>
                <w:color w:val="FF0000"/>
                <w:szCs w:val="21"/>
                <w:lang w:val="en-US" w:eastAsia="zh-CN"/>
              </w:rPr>
              <w:t>20</w:t>
            </w:r>
            <w:r>
              <w:rPr>
                <w:rFonts w:hint="eastAsia" w:ascii="宋体" w:hAnsi="宋体" w:cs="宋体"/>
                <w:color w:val="FF0000"/>
                <w:szCs w:val="21"/>
              </w:rPr>
              <w:t>个日历日内完工，进场时间由采购人确定。</w:t>
            </w:r>
          </w:p>
          <w:p>
            <w:pPr>
              <w:jc w:val="left"/>
              <w:rPr>
                <w:rFonts w:ascii="宋体" w:hAnsi="宋体" w:cs="宋体"/>
                <w:szCs w:val="21"/>
              </w:rPr>
            </w:pPr>
            <w:r>
              <w:rPr>
                <w:rFonts w:hint="eastAsia" w:ascii="宋体" w:hAnsi="宋体" w:cs="宋体"/>
                <w:szCs w:val="21"/>
                <w:lang w:eastAsia="zh-CN"/>
              </w:rPr>
              <w:t>中标（成交）</w:t>
            </w:r>
            <w:r>
              <w:rPr>
                <w:rFonts w:hint="eastAsia" w:ascii="宋体" w:hAnsi="宋体" w:cs="宋体"/>
                <w:szCs w:val="21"/>
              </w:rPr>
              <w:t>人负责免费安装、调试。安装、调试完成后，由采购人和</w:t>
            </w:r>
            <w:r>
              <w:rPr>
                <w:rFonts w:hint="eastAsia" w:ascii="宋体" w:hAnsi="宋体" w:cs="宋体"/>
                <w:szCs w:val="21"/>
                <w:lang w:eastAsia="zh-CN"/>
              </w:rPr>
              <w:t>中标（成交）</w:t>
            </w:r>
            <w:r>
              <w:rPr>
                <w:rFonts w:hint="eastAsia" w:ascii="宋体" w:hAnsi="宋体" w:cs="宋体"/>
                <w:szCs w:val="21"/>
              </w:rPr>
              <w:t>人双方组成验收小组共同进行技术验收和商务验收，验收合格后签署《验收报告》。产品质量和安装调试检验标准遵照国家相关规定和最新标准执行。</w:t>
            </w:r>
          </w:p>
          <w:p>
            <w:pPr>
              <w:jc w:val="left"/>
              <w:rPr>
                <w:rFonts w:ascii="宋体" w:hAnsi="宋体" w:cs="宋体"/>
                <w:szCs w:val="21"/>
              </w:rPr>
            </w:pPr>
            <w:r>
              <w:rPr>
                <w:rFonts w:hint="eastAsia" w:ascii="宋体" w:hAnsi="宋体" w:cs="宋体"/>
                <w:szCs w:val="21"/>
              </w:rPr>
              <w:t>验收中如发现有质量不合格或型号规格、数量等与送货清单不符、提交的技术文件和资料不完整等情形，</w:t>
            </w:r>
            <w:r>
              <w:rPr>
                <w:rFonts w:hint="eastAsia" w:ascii="宋体" w:hAnsi="宋体" w:cs="宋体"/>
                <w:szCs w:val="21"/>
                <w:lang w:eastAsia="zh-CN"/>
              </w:rPr>
              <w:t>中标（成交）</w:t>
            </w:r>
            <w:r>
              <w:rPr>
                <w:rFonts w:hint="eastAsia" w:ascii="宋体" w:hAnsi="宋体" w:cs="宋体"/>
                <w:szCs w:val="21"/>
              </w:rPr>
              <w:t>人应更换或补齐，并按照“其它商务要求”中的“违约责任”承担相应责任，不额外收费。</w:t>
            </w:r>
          </w:p>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w:t>
            </w:r>
            <w:r>
              <w:rPr>
                <w:rFonts w:hint="eastAsia" w:ascii="宋体" w:hAnsi="宋体" w:cs="宋体"/>
                <w:color w:val="000000"/>
                <w:sz w:val="20"/>
                <w:szCs w:val="20"/>
                <w:lang w:eastAsia="zh-CN"/>
              </w:rPr>
              <w:t>中标（成交）</w:t>
            </w:r>
            <w:r>
              <w:rPr>
                <w:rFonts w:hint="eastAsia" w:ascii="宋体" w:hAnsi="宋体" w:cs="宋体"/>
                <w:color w:val="000000"/>
                <w:sz w:val="20"/>
                <w:szCs w:val="20"/>
              </w:rPr>
              <w:t>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20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w:t>
            </w:r>
            <w:r>
              <w:rPr>
                <w:rFonts w:hint="eastAsia" w:ascii="宋体" w:hAnsi="宋体" w:cs="宋体"/>
                <w:color w:val="000000"/>
                <w:sz w:val="20"/>
                <w:szCs w:val="20"/>
                <w:lang w:eastAsia="zh-CN"/>
              </w:rPr>
              <w:t>中标（成交）</w:t>
            </w:r>
            <w:r>
              <w:rPr>
                <w:rFonts w:hint="eastAsia" w:ascii="宋体" w:hAnsi="宋体" w:cs="宋体"/>
                <w:color w:val="000000"/>
                <w:sz w:val="20"/>
                <w:szCs w:val="20"/>
              </w:rPr>
              <w:t>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w:t>
            </w:r>
            <w:r>
              <w:rPr>
                <w:rFonts w:hint="eastAsia" w:ascii="宋体" w:hAnsi="宋体" w:cs="宋体"/>
                <w:color w:val="000000"/>
                <w:sz w:val="20"/>
                <w:szCs w:val="20"/>
                <w:lang w:eastAsia="zh-CN"/>
              </w:rPr>
              <w:t>中标（成交）</w:t>
            </w:r>
            <w:r>
              <w:rPr>
                <w:rFonts w:hint="eastAsia" w:ascii="宋体" w:hAnsi="宋体" w:cs="宋体"/>
                <w:color w:val="000000"/>
                <w:sz w:val="20"/>
                <w:szCs w:val="20"/>
              </w:rPr>
              <w:t>人所交付产品、工程或服务不符合其投标承诺的，或在投标阶段为了</w:t>
            </w:r>
            <w:r>
              <w:rPr>
                <w:rFonts w:hint="eastAsia" w:ascii="宋体" w:hAnsi="宋体" w:cs="宋体"/>
                <w:color w:val="000000"/>
                <w:sz w:val="20"/>
                <w:szCs w:val="20"/>
                <w:lang w:eastAsia="zh-CN"/>
              </w:rPr>
              <w:t>中标（成交）</w:t>
            </w:r>
            <w:r>
              <w:rPr>
                <w:rFonts w:hint="eastAsia" w:ascii="宋体" w:hAnsi="宋体" w:cs="宋体"/>
                <w:color w:val="000000"/>
                <w:sz w:val="20"/>
                <w:szCs w:val="20"/>
              </w:rPr>
              <w:t>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中标（成交）人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rPr>
                <w:rFonts w:hint="eastAsia"/>
                <w:lang w:val="en-US" w:eastAsia="zh-CN"/>
              </w:rPr>
              <w:t>2</w:t>
            </w:r>
            <w:r>
              <w:t>0</w:t>
            </w:r>
            <w:r>
              <w:rPr>
                <w:rFonts w:hint="eastAsia"/>
              </w:rPr>
              <w:t>天内交货，交货地点为</w:t>
            </w:r>
            <w:r>
              <w:rPr>
                <w:rFonts w:hint="eastAsia"/>
                <w:lang w:val="en-US" w:eastAsia="zh-CN"/>
              </w:rPr>
              <w:t>深圳市宝安区红星实验学校</w:t>
            </w:r>
            <w:r>
              <w:rPr>
                <w:rFonts w:hint="eastAsia"/>
              </w:rPr>
              <w:t>。</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r>
              <w:rPr>
                <w:rFonts w:hint="eastAsia" w:ascii="新宋体" w:hAnsi="新宋体" w:eastAsia="新宋体"/>
                <w:color w:val="FF0000"/>
                <w:kern w:val="0"/>
                <w:szCs w:val="21"/>
              </w:rPr>
              <w:t>合同签订后5个工作日内支付50%的预付款。本项目完成并经验收合格后，对于满足合同约定支付条件的，采购人应当自收到发票后</w:t>
            </w:r>
            <w:r>
              <w:rPr>
                <w:rFonts w:hint="eastAsia" w:ascii="新宋体" w:hAnsi="新宋体" w:eastAsia="新宋体"/>
                <w:color w:val="FF0000"/>
                <w:kern w:val="0"/>
                <w:szCs w:val="21"/>
                <w:lang w:val="en-US" w:eastAsia="zh-CN"/>
              </w:rPr>
              <w:t>10</w:t>
            </w:r>
            <w:r>
              <w:rPr>
                <w:rFonts w:hint="eastAsia" w:ascii="新宋体" w:hAnsi="新宋体" w:eastAsia="新宋体"/>
                <w:color w:val="FF0000"/>
                <w:kern w:val="0"/>
                <w:szCs w:val="21"/>
              </w:rPr>
              <w:t>个工作日内将资金支付到合同约定的</w:t>
            </w:r>
            <w:r>
              <w:rPr>
                <w:rFonts w:hint="eastAsia" w:ascii="新宋体" w:hAnsi="新宋体" w:eastAsia="新宋体"/>
                <w:color w:val="FF0000"/>
                <w:kern w:val="0"/>
                <w:szCs w:val="21"/>
                <w:lang w:eastAsia="zh-CN"/>
              </w:rPr>
              <w:t>中标（成交）</w:t>
            </w:r>
            <w:r>
              <w:rPr>
                <w:rFonts w:hint="eastAsia" w:ascii="新宋体" w:hAnsi="新宋体" w:eastAsia="新宋体"/>
                <w:color w:val="FF0000"/>
                <w:kern w:val="0"/>
                <w:szCs w:val="21"/>
              </w:rPr>
              <w:t>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lang w:val="en-US" w:eastAsia="zh-CN"/>
              </w:rPr>
              <w:t>3</w:t>
            </w:r>
            <w:r>
              <w:t>.1.投标人货物经过双方检验认可后，签署验收报告，产品保修期自验收合格之日起算，由投标人提供产品保修文件。</w:t>
            </w:r>
            <w:r>
              <w:br w:type="textWrapping"/>
            </w:r>
            <w:r>
              <w:rPr>
                <w:rFonts w:hint="eastAsia"/>
                <w:lang w:val="en-US" w:eastAsia="zh-CN"/>
              </w:rPr>
              <w:t>3</w:t>
            </w:r>
            <w:r>
              <w:t>.2.当满足以下条件时，采购人才向</w:t>
            </w:r>
            <w:r>
              <w:rPr>
                <w:rFonts w:hint="eastAsia"/>
                <w:lang w:eastAsia="zh-CN"/>
              </w:rPr>
              <w:t>中标（成交）</w:t>
            </w:r>
            <w:r>
              <w:t>人签发货物验收报告：</w:t>
            </w:r>
            <w:r>
              <w:br w:type="textWrapping"/>
            </w:r>
            <w:r>
              <w:rPr>
                <w:rFonts w:hint="eastAsia"/>
                <w:lang w:val="en-US" w:eastAsia="zh-CN"/>
              </w:rPr>
              <w:t>3.</w:t>
            </w:r>
            <w:r>
              <w:t>2.1.</w:t>
            </w:r>
            <w:r>
              <w:rPr>
                <w:rFonts w:hint="eastAsia"/>
                <w:lang w:eastAsia="zh-CN"/>
              </w:rPr>
              <w:t>中标（成交）</w:t>
            </w:r>
            <w:r>
              <w:t>人已按照合同规定提供了全部产品及完整的技术资料。</w:t>
            </w:r>
            <w:r>
              <w:br w:type="textWrapping"/>
            </w:r>
            <w:r>
              <w:rPr>
                <w:rFonts w:hint="eastAsia"/>
                <w:lang w:val="en-US" w:eastAsia="zh-CN"/>
              </w:rPr>
              <w:t>3</w:t>
            </w:r>
            <w:r>
              <w:t>.2.2.货物符合招标文件技术规格书的要求，性能满足要求。</w:t>
            </w:r>
            <w:r>
              <w:br w:type="textWrapping"/>
            </w:r>
            <w:r>
              <w:rPr>
                <w:rFonts w:hint="eastAsia"/>
                <w:lang w:val="en-US" w:eastAsia="zh-CN"/>
              </w:rPr>
              <w:t>3</w:t>
            </w:r>
            <w: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pPr>
              <w:jc w:val="left"/>
              <w:rPr>
                <w:rFonts w:ascii="宋体" w:hAnsi="宋体" w:cs="宋体"/>
                <w:color w:val="FFFFFF"/>
                <w:szCs w:val="21"/>
              </w:rPr>
            </w:pPr>
            <w:r>
              <w:rPr>
                <w:rFonts w:hint="eastAsia" w:ascii="宋体" w:hAnsi="宋体" w:cs="宋体"/>
                <w:szCs w:val="21"/>
                <w:lang w:val="en-US" w:eastAsia="zh-CN"/>
              </w:rPr>
              <w:t>4</w:t>
            </w: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凡因执行项目合同所发生的或与本合同有关的一切争议，双方应通过友好协商解决。</w:t>
            </w:r>
          </w:p>
          <w:p>
            <w:pPr>
              <w:spacing w:line="360" w:lineRule="exact"/>
              <w:rPr>
                <w:rFonts w:hint="eastAsia" w:ascii="宋体" w:hAnsi="宋体" w:cs="宋体"/>
                <w:color w:val="000000"/>
                <w:sz w:val="20"/>
                <w:szCs w:val="20"/>
                <w:lang w:val="en-US" w:eastAsia="zh-CN"/>
              </w:rPr>
            </w:pPr>
            <w:r>
              <w:rPr>
                <w:rFonts w:hint="eastAsia" w:ascii="宋体" w:hAnsi="宋体" w:cs="宋体"/>
                <w:szCs w:val="21"/>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 xml:space="preserve">.1 </w:t>
            </w:r>
            <w:r>
              <w:rPr>
                <w:rFonts w:hint="eastAsia" w:ascii="宋体" w:hAnsi="宋体" w:cs="宋体"/>
                <w:color w:val="000000"/>
                <w:sz w:val="20"/>
                <w:szCs w:val="20"/>
                <w:lang w:val="en-US" w:eastAsia="zh-CN"/>
              </w:rPr>
              <w:t>5</w:t>
            </w:r>
            <w:r>
              <w:rPr>
                <w:rFonts w:hint="eastAsia" w:ascii="宋体" w:hAnsi="宋体" w:cs="宋体"/>
                <w:color w:val="000000"/>
                <w:sz w:val="20"/>
                <w:szCs w:val="20"/>
              </w:rPr>
              <w:t xml:space="preserve">.1 </w:t>
            </w:r>
            <w:r>
              <w:rPr>
                <w:rFonts w:hint="eastAsia" w:ascii="宋体" w:hAnsi="宋体" w:cs="宋体"/>
                <w:sz w:val="20"/>
                <w:szCs w:val="20"/>
              </w:rPr>
              <w:t xml:space="preserve">投标供应商须在签订合同之日起 </w:t>
            </w:r>
            <w:r>
              <w:rPr>
                <w:rFonts w:hint="eastAsia" w:ascii="宋体" w:hAnsi="宋体" w:cs="宋体"/>
                <w:sz w:val="20"/>
                <w:szCs w:val="20"/>
                <w:lang w:val="en-US" w:eastAsia="zh-CN"/>
              </w:rPr>
              <w:t>20</w:t>
            </w:r>
            <w:r>
              <w:rPr>
                <w:rFonts w:hint="eastAsia" w:ascii="宋体" w:hAnsi="宋体" w:cs="宋体"/>
                <w:sz w:val="20"/>
                <w:szCs w:val="20"/>
              </w:rPr>
              <w:t>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vMerge w:val="restart"/>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kern w:val="2"/>
                <w:sz w:val="20"/>
                <w:szCs w:val="20"/>
                <w:lang w:val="en-US" w:eastAsia="zh-CN" w:bidi="ar-SA"/>
              </w:rPr>
            </w:pPr>
            <w:r>
              <w:rPr>
                <w:rFonts w:hint="eastAsia" w:ascii="宋体" w:hAnsi="宋体" w:cs="Arial"/>
                <w:color w:val="FF0000"/>
                <w:szCs w:val="21"/>
                <w:lang w:val="en-US" w:eastAsia="zh-CN"/>
              </w:rPr>
              <w:t>8.1</w:t>
            </w:r>
            <w:r>
              <w:rPr>
                <w:rFonts w:hint="eastAsia" w:ascii="宋体" w:hAnsi="宋体" w:cs="Arial"/>
                <w:color w:val="FF0000"/>
                <w:szCs w:val="21"/>
                <w:lang w:eastAsia="zh-CN"/>
              </w:rPr>
              <w:t>中标（成交）</w:t>
            </w:r>
            <w:r>
              <w:rPr>
                <w:rFonts w:hint="eastAsia" w:ascii="宋体" w:hAnsi="宋体" w:cs="Arial"/>
                <w:color w:val="FF0000"/>
                <w:szCs w:val="21"/>
              </w:rPr>
              <w:t>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top"/>
          </w:tcPr>
          <w:p>
            <w:pPr>
              <w:spacing w:line="360" w:lineRule="exact"/>
              <w:jc w:val="center"/>
              <w:rPr>
                <w:rFonts w:hint="eastAsia" w:ascii="宋体" w:hAnsi="宋体" w:eastAsia="宋体"/>
                <w:b/>
                <w:lang w:eastAsia="zh-CN"/>
              </w:rPr>
            </w:pPr>
          </w:p>
        </w:tc>
        <w:tc>
          <w:tcPr>
            <w:tcW w:w="1457" w:type="dxa"/>
            <w:vMerge w:val="continue"/>
            <w:noWrap w:val="0"/>
            <w:vAlign w:val="top"/>
          </w:tcPr>
          <w:p>
            <w:pPr>
              <w:spacing w:line="360" w:lineRule="exact"/>
              <w:jc w:val="center"/>
              <w:rPr>
                <w:rFonts w:ascii="宋体" w:hAnsi="宋体"/>
                <w:b/>
              </w:rPr>
            </w:pPr>
          </w:p>
        </w:tc>
        <w:tc>
          <w:tcPr>
            <w:tcW w:w="0" w:type="auto"/>
            <w:noWrap w:val="0"/>
            <w:vAlign w:val="top"/>
          </w:tcPr>
          <w:p>
            <w:pPr>
              <w:widowControl/>
              <w:jc w:val="left"/>
              <w:rPr>
                <w:rFonts w:hint="eastAsia" w:ascii="宋体" w:hAnsi="宋体" w:cs="Arial"/>
                <w:color w:val="FF0000"/>
                <w:kern w:val="2"/>
                <w:sz w:val="21"/>
                <w:szCs w:val="21"/>
                <w:lang w:val="en-US" w:eastAsia="zh-CN" w:bidi="ar-SA"/>
              </w:rPr>
            </w:pPr>
            <w:r>
              <w:rPr>
                <w:rFonts w:hint="eastAsia" w:ascii="宋体" w:hAnsi="宋体" w:cs="Arial"/>
                <w:color w:val="FF0000"/>
                <w:szCs w:val="21"/>
                <w:lang w:val="en-US" w:eastAsia="zh-CN"/>
              </w:rPr>
              <w:t>8.2</w:t>
            </w:r>
            <w:r>
              <w:rPr>
                <w:rFonts w:hint="eastAsia" w:ascii="宋体" w:hAnsi="宋体" w:cs="Arial"/>
                <w:color w:val="FF0000"/>
                <w:szCs w:val="21"/>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top"/>
          </w:tcPr>
          <w:p>
            <w:pPr>
              <w:spacing w:line="360" w:lineRule="exact"/>
              <w:jc w:val="center"/>
              <w:rPr>
                <w:rFonts w:hint="eastAsia" w:ascii="宋体" w:hAnsi="宋体" w:eastAsia="宋体"/>
                <w:b/>
                <w:lang w:eastAsia="zh-CN"/>
              </w:rPr>
            </w:pPr>
          </w:p>
        </w:tc>
        <w:tc>
          <w:tcPr>
            <w:tcW w:w="1457" w:type="dxa"/>
            <w:vMerge w:val="continue"/>
            <w:noWrap w:val="0"/>
            <w:vAlign w:val="top"/>
          </w:tcPr>
          <w:p>
            <w:pPr>
              <w:spacing w:line="360" w:lineRule="exact"/>
              <w:jc w:val="center"/>
              <w:rPr>
                <w:rFonts w:ascii="宋体" w:hAnsi="宋体"/>
                <w:b/>
              </w:rPr>
            </w:pPr>
          </w:p>
        </w:tc>
        <w:tc>
          <w:tcPr>
            <w:tcW w:w="0" w:type="auto"/>
            <w:noWrap w:val="0"/>
            <w:vAlign w:val="top"/>
          </w:tcPr>
          <w:p>
            <w:pPr>
              <w:widowControl/>
              <w:jc w:val="left"/>
              <w:rPr>
                <w:rFonts w:hint="eastAsia" w:ascii="宋体" w:hAnsi="宋体" w:cs="Arial"/>
                <w:color w:val="FF0000"/>
                <w:kern w:val="2"/>
                <w:sz w:val="21"/>
                <w:szCs w:val="21"/>
                <w:lang w:val="en-US" w:eastAsia="zh-CN" w:bidi="ar-SA"/>
              </w:rPr>
            </w:pPr>
            <w:r>
              <w:rPr>
                <w:rFonts w:hint="eastAsia" w:ascii="宋体" w:hAnsi="宋体" w:cs="Arial"/>
                <w:color w:val="FF0000"/>
                <w:szCs w:val="21"/>
                <w:lang w:val="en-US" w:eastAsia="zh-CN"/>
              </w:rPr>
              <w:t>8.3</w:t>
            </w:r>
            <w:r>
              <w:rPr>
                <w:rFonts w:hint="eastAsia" w:ascii="宋体" w:hAnsi="宋体" w:cs="Arial"/>
                <w:color w:val="FF0000"/>
                <w:szCs w:val="21"/>
              </w:rPr>
              <w:t>投标商必须确保</w:t>
            </w:r>
            <w:r>
              <w:rPr>
                <w:rFonts w:hint="eastAsia" w:ascii="宋体" w:hAnsi="宋体" w:cs="Arial"/>
                <w:color w:val="FF0000"/>
                <w:szCs w:val="21"/>
                <w:lang w:eastAsia="zh-CN"/>
              </w:rPr>
              <w:t>中标（成交）</w:t>
            </w:r>
            <w:r>
              <w:rPr>
                <w:rFonts w:hint="eastAsia" w:ascii="宋体" w:hAnsi="宋体" w:cs="Arial"/>
                <w:color w:val="FF0000"/>
                <w:szCs w:val="21"/>
              </w:rPr>
              <w:t>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top"/>
          </w:tcPr>
          <w:p>
            <w:pPr>
              <w:spacing w:line="360" w:lineRule="exact"/>
              <w:jc w:val="center"/>
              <w:rPr>
                <w:rFonts w:hint="eastAsia" w:ascii="宋体" w:hAnsi="宋体" w:eastAsia="宋体"/>
                <w:b/>
                <w:lang w:eastAsia="zh-CN"/>
              </w:rPr>
            </w:pPr>
          </w:p>
        </w:tc>
        <w:tc>
          <w:tcPr>
            <w:tcW w:w="1457" w:type="dxa"/>
            <w:vMerge w:val="continue"/>
            <w:noWrap w:val="0"/>
            <w:vAlign w:val="top"/>
          </w:tcPr>
          <w:p>
            <w:pPr>
              <w:spacing w:line="360" w:lineRule="exact"/>
              <w:jc w:val="center"/>
              <w:rPr>
                <w:rFonts w:ascii="宋体" w:hAnsi="宋体"/>
                <w:b/>
              </w:rPr>
            </w:pPr>
          </w:p>
        </w:tc>
        <w:tc>
          <w:tcPr>
            <w:tcW w:w="0" w:type="auto"/>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Arial"/>
                <w:color w:val="FF0000"/>
                <w:sz w:val="21"/>
                <w:szCs w:val="21"/>
              </w:rPr>
            </w:pPr>
            <w:r>
              <w:rPr>
                <w:rFonts w:hint="eastAsia" w:ascii="宋体" w:hAnsi="宋体" w:eastAsia="宋体" w:cs="Arial"/>
                <w:color w:val="FF0000"/>
                <w:sz w:val="21"/>
                <w:szCs w:val="21"/>
                <w:lang w:val="en-US" w:eastAsia="zh-CN"/>
              </w:rPr>
              <w:t>8.4特别条款：对于单纯家具（含课桌椅）项目在验收时还需提供以下材料：家具（含课桌椅）类货物应提供有害物质检测报告。根据深圳经济特区技术规范《家具成品及原辅材料中有害物质限量》（SZJG52-2016）的规定，</w:t>
            </w:r>
            <w:bookmarkStart w:id="41" w:name="_Hlk81842105"/>
            <w:r>
              <w:rPr>
                <w:rFonts w:hint="eastAsia" w:ascii="宋体" w:hAnsi="宋体" w:eastAsia="宋体" w:cs="Arial"/>
                <w:color w:val="FF0000"/>
                <w:sz w:val="21"/>
                <w:szCs w:val="21"/>
                <w:lang w:val="en-US" w:eastAsia="zh-CN"/>
              </w:rPr>
              <w:t>需根据现场抽样并对以下项目进行检验且合格</w:t>
            </w:r>
            <w:bookmarkEnd w:id="41"/>
            <w:r>
              <w:rPr>
                <w:rFonts w:hint="eastAsia" w:ascii="宋体" w:hAnsi="宋体" w:eastAsia="宋体" w:cs="Arial"/>
                <w:color w:val="FF0000"/>
                <w:sz w:val="21"/>
                <w:szCs w:val="21"/>
                <w:lang w:val="en-US" w:eastAsia="zh-CN"/>
              </w:rPr>
              <w:t>：</w:t>
            </w:r>
          </w:p>
          <w:tbl>
            <w:tblPr>
              <w:tblStyle w:val="17"/>
              <w:tblW w:w="5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34"/>
              <w:gridCol w:w="1207"/>
              <w:gridCol w:w="894"/>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0" w:hRule="atLeast"/>
                <w:tblHeader/>
                <w:jc w:val="center"/>
              </w:trPr>
              <w:tc>
                <w:tcPr>
                  <w:tcW w:w="780" w:type="dxa"/>
                  <w:noWrap w:val="0"/>
                  <w:vAlign w:val="center"/>
                </w:tcPr>
                <w:p>
                  <w:pPr>
                    <w:snapToGrid w:val="0"/>
                    <w:jc w:val="center"/>
                    <w:rPr>
                      <w:rFonts w:ascii="宋体" w:hAnsi="宋体"/>
                      <w:sz w:val="24"/>
                    </w:rPr>
                  </w:pPr>
                  <w:r>
                    <w:rPr>
                      <w:rFonts w:hint="eastAsia" w:ascii="宋体" w:hAnsi="宋体"/>
                      <w:sz w:val="24"/>
                    </w:rPr>
                    <w:t>序号</w:t>
                  </w:r>
                </w:p>
              </w:tc>
              <w:tc>
                <w:tcPr>
                  <w:tcW w:w="2004" w:type="dxa"/>
                  <w:noWrap w:val="0"/>
                  <w:vAlign w:val="center"/>
                </w:tcPr>
                <w:p>
                  <w:pPr>
                    <w:snapToGrid w:val="0"/>
                    <w:jc w:val="center"/>
                    <w:rPr>
                      <w:rFonts w:ascii="宋体" w:hAnsi="宋体"/>
                      <w:sz w:val="24"/>
                    </w:rPr>
                  </w:pPr>
                  <w:r>
                    <w:rPr>
                      <w:rFonts w:hint="eastAsia" w:ascii="宋体" w:hAnsi="宋体"/>
                      <w:sz w:val="24"/>
                    </w:rPr>
                    <w:t>检验项目</w:t>
                  </w:r>
                </w:p>
              </w:tc>
              <w:tc>
                <w:tcPr>
                  <w:tcW w:w="1559" w:type="dxa"/>
                  <w:noWrap w:val="0"/>
                  <w:vAlign w:val="center"/>
                </w:tcPr>
                <w:p>
                  <w:pPr>
                    <w:snapToGrid w:val="0"/>
                    <w:jc w:val="center"/>
                    <w:rPr>
                      <w:rFonts w:ascii="宋体" w:hAnsi="宋体"/>
                      <w:sz w:val="24"/>
                    </w:rPr>
                  </w:pPr>
                  <w:r>
                    <w:rPr>
                      <w:rFonts w:hint="eastAsia" w:ascii="宋体" w:hAnsi="宋体"/>
                      <w:sz w:val="24"/>
                    </w:rPr>
                    <w:t>依据法律法规或标准条款</w:t>
                  </w:r>
                </w:p>
              </w:tc>
              <w:tc>
                <w:tcPr>
                  <w:tcW w:w="1134" w:type="dxa"/>
                  <w:noWrap w:val="0"/>
                  <w:vAlign w:val="center"/>
                </w:tcPr>
                <w:p>
                  <w:pPr>
                    <w:snapToGrid w:val="0"/>
                    <w:jc w:val="center"/>
                    <w:rPr>
                      <w:rFonts w:ascii="宋体" w:hAnsi="宋体"/>
                      <w:sz w:val="24"/>
                    </w:rPr>
                  </w:pPr>
                  <w:r>
                    <w:rPr>
                      <w:rFonts w:hint="eastAsia" w:ascii="宋体" w:hAnsi="宋体"/>
                      <w:sz w:val="24"/>
                    </w:rPr>
                    <w:t>强制性/推荐性</w:t>
                  </w:r>
                </w:p>
              </w:tc>
              <w:tc>
                <w:tcPr>
                  <w:tcW w:w="1824" w:type="dxa"/>
                  <w:noWrap w:val="0"/>
                  <w:vAlign w:val="center"/>
                </w:tcPr>
                <w:p>
                  <w:pPr>
                    <w:snapToGrid w:val="0"/>
                    <w:jc w:val="center"/>
                    <w:rPr>
                      <w:rFonts w:ascii="宋体" w:hAnsi="宋体"/>
                      <w:sz w:val="24"/>
                    </w:rPr>
                  </w:pPr>
                  <w:r>
                    <w:rPr>
                      <w:rFonts w:hint="eastAsia" w:ascii="宋体" w:hAnsi="宋体"/>
                      <w:sz w:val="24"/>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pPr>
                    <w:jc w:val="center"/>
                    <w:rPr>
                      <w:rFonts w:ascii="宋体" w:hAnsi="宋体"/>
                      <w:sz w:val="24"/>
                    </w:rPr>
                  </w:pPr>
                  <w:r>
                    <w:rPr>
                      <w:rFonts w:hint="eastAsia" w:ascii="宋体" w:hAnsi="宋体"/>
                      <w:sz w:val="24"/>
                    </w:rPr>
                    <w:t>1</w:t>
                  </w:r>
                </w:p>
              </w:tc>
              <w:tc>
                <w:tcPr>
                  <w:tcW w:w="2004" w:type="dxa"/>
                  <w:noWrap w:val="0"/>
                  <w:vAlign w:val="center"/>
                </w:tcPr>
                <w:p>
                  <w:pPr>
                    <w:rPr>
                      <w:rFonts w:ascii="宋体" w:hAnsi="宋体"/>
                      <w:sz w:val="24"/>
                    </w:rPr>
                  </w:pPr>
                  <w:r>
                    <w:rPr>
                      <w:rFonts w:hint="eastAsia" w:ascii="宋体" w:hAnsi="宋体"/>
                      <w:sz w:val="24"/>
                    </w:rPr>
                    <w:t>甲醛释放量</w:t>
                  </w:r>
                </w:p>
              </w:tc>
              <w:tc>
                <w:tcPr>
                  <w:tcW w:w="1559" w:type="dxa"/>
                  <w:noWrap w:val="0"/>
                  <w:vAlign w:val="center"/>
                </w:tcPr>
                <w:p>
                  <w:pPr>
                    <w:rPr>
                      <w:rFonts w:ascii="宋体" w:hAnsi="宋体"/>
                      <w:sz w:val="24"/>
                    </w:rPr>
                  </w:pPr>
                  <w:r>
                    <w:rPr>
                      <w:rFonts w:ascii="宋体" w:hAnsi="宋体"/>
                      <w:sz w:val="24"/>
                    </w:rPr>
                    <w:t>SZJG52-2016</w:t>
                  </w:r>
                </w:p>
              </w:tc>
              <w:tc>
                <w:tcPr>
                  <w:tcW w:w="1134" w:type="dxa"/>
                  <w:noWrap w:val="0"/>
                  <w:vAlign w:val="center"/>
                </w:tcPr>
                <w:p>
                  <w:pPr>
                    <w:rPr>
                      <w:rFonts w:ascii="宋体" w:hAnsi="宋体"/>
                      <w:sz w:val="24"/>
                    </w:rPr>
                  </w:pPr>
                  <w:r>
                    <w:rPr>
                      <w:rFonts w:hint="eastAsia" w:ascii="宋体" w:hAnsi="宋体"/>
                      <w:sz w:val="24"/>
                    </w:rPr>
                    <w:t>强制性</w:t>
                  </w:r>
                </w:p>
              </w:tc>
              <w:tc>
                <w:tcPr>
                  <w:tcW w:w="1824" w:type="dxa"/>
                  <w:noWrap w:val="0"/>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pPr>
                    <w:jc w:val="center"/>
                    <w:rPr>
                      <w:rFonts w:ascii="宋体" w:hAnsi="宋体"/>
                      <w:sz w:val="24"/>
                    </w:rPr>
                  </w:pPr>
                  <w:r>
                    <w:rPr>
                      <w:rFonts w:hint="eastAsia" w:ascii="宋体" w:hAnsi="宋体"/>
                      <w:sz w:val="24"/>
                    </w:rPr>
                    <w:t>2</w:t>
                  </w:r>
                </w:p>
              </w:tc>
              <w:tc>
                <w:tcPr>
                  <w:tcW w:w="2004" w:type="dxa"/>
                  <w:noWrap w:val="0"/>
                  <w:vAlign w:val="center"/>
                </w:tcPr>
                <w:p>
                  <w:pPr>
                    <w:rPr>
                      <w:rFonts w:ascii="宋体" w:hAnsi="宋体"/>
                      <w:sz w:val="24"/>
                    </w:rPr>
                  </w:pPr>
                  <w:r>
                    <w:rPr>
                      <w:rFonts w:hint="eastAsia" w:ascii="宋体" w:hAnsi="宋体"/>
                      <w:sz w:val="24"/>
                    </w:rPr>
                    <w:t>苯释放量</w:t>
                  </w:r>
                </w:p>
              </w:tc>
              <w:tc>
                <w:tcPr>
                  <w:tcW w:w="1559" w:type="dxa"/>
                  <w:noWrap w:val="0"/>
                  <w:vAlign w:val="center"/>
                </w:tcPr>
                <w:p>
                  <w:pPr>
                    <w:rPr>
                      <w:rFonts w:ascii="宋体" w:hAnsi="宋体"/>
                      <w:sz w:val="24"/>
                    </w:rPr>
                  </w:pPr>
                  <w:r>
                    <w:rPr>
                      <w:rFonts w:ascii="宋体" w:hAnsi="宋体"/>
                      <w:sz w:val="24"/>
                    </w:rPr>
                    <w:t>SZJG52-2016</w:t>
                  </w:r>
                </w:p>
              </w:tc>
              <w:tc>
                <w:tcPr>
                  <w:tcW w:w="1134" w:type="dxa"/>
                  <w:noWrap w:val="0"/>
                  <w:vAlign w:val="center"/>
                </w:tcPr>
                <w:p>
                  <w:pPr>
                    <w:rPr>
                      <w:rFonts w:ascii="宋体" w:hAnsi="宋体"/>
                      <w:sz w:val="24"/>
                    </w:rPr>
                  </w:pPr>
                  <w:r>
                    <w:rPr>
                      <w:rFonts w:hint="eastAsia" w:ascii="宋体" w:hAnsi="宋体"/>
                      <w:sz w:val="24"/>
                    </w:rPr>
                    <w:t>强制性</w:t>
                  </w:r>
                </w:p>
              </w:tc>
              <w:tc>
                <w:tcPr>
                  <w:tcW w:w="1824" w:type="dxa"/>
                  <w:noWrap w:val="0"/>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pPr>
                    <w:jc w:val="center"/>
                    <w:rPr>
                      <w:rFonts w:ascii="宋体" w:hAnsi="宋体"/>
                      <w:sz w:val="24"/>
                    </w:rPr>
                  </w:pPr>
                  <w:r>
                    <w:rPr>
                      <w:rFonts w:hint="eastAsia" w:ascii="宋体" w:hAnsi="宋体"/>
                      <w:sz w:val="24"/>
                    </w:rPr>
                    <w:t>3</w:t>
                  </w:r>
                </w:p>
              </w:tc>
              <w:tc>
                <w:tcPr>
                  <w:tcW w:w="2004" w:type="dxa"/>
                  <w:noWrap w:val="0"/>
                  <w:vAlign w:val="center"/>
                </w:tcPr>
                <w:p>
                  <w:pPr>
                    <w:rPr>
                      <w:rFonts w:ascii="宋体" w:hAnsi="宋体"/>
                      <w:sz w:val="24"/>
                    </w:rPr>
                  </w:pPr>
                  <w:r>
                    <w:rPr>
                      <w:rFonts w:hint="eastAsia" w:ascii="宋体" w:hAnsi="宋体"/>
                      <w:sz w:val="24"/>
                    </w:rPr>
                    <w:t>甲苯释放量</w:t>
                  </w:r>
                </w:p>
              </w:tc>
              <w:tc>
                <w:tcPr>
                  <w:tcW w:w="1559" w:type="dxa"/>
                  <w:noWrap w:val="0"/>
                  <w:vAlign w:val="center"/>
                </w:tcPr>
                <w:p>
                  <w:pPr>
                    <w:rPr>
                      <w:rFonts w:ascii="宋体" w:hAnsi="宋体"/>
                      <w:sz w:val="24"/>
                    </w:rPr>
                  </w:pPr>
                  <w:r>
                    <w:rPr>
                      <w:rFonts w:ascii="宋体" w:hAnsi="宋体"/>
                      <w:sz w:val="24"/>
                    </w:rPr>
                    <w:t>SZJG52-2016</w:t>
                  </w:r>
                </w:p>
              </w:tc>
              <w:tc>
                <w:tcPr>
                  <w:tcW w:w="1134" w:type="dxa"/>
                  <w:noWrap w:val="0"/>
                  <w:vAlign w:val="center"/>
                </w:tcPr>
                <w:p>
                  <w:pPr>
                    <w:rPr>
                      <w:rFonts w:ascii="宋体" w:hAnsi="宋体"/>
                      <w:sz w:val="24"/>
                    </w:rPr>
                  </w:pPr>
                  <w:r>
                    <w:rPr>
                      <w:rFonts w:hint="eastAsia" w:ascii="宋体" w:hAnsi="宋体"/>
                      <w:sz w:val="24"/>
                    </w:rPr>
                    <w:t>强制性</w:t>
                  </w:r>
                </w:p>
              </w:tc>
              <w:tc>
                <w:tcPr>
                  <w:tcW w:w="1824" w:type="dxa"/>
                  <w:noWrap w:val="0"/>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pPr>
                    <w:jc w:val="center"/>
                    <w:rPr>
                      <w:rFonts w:ascii="宋体" w:hAnsi="宋体"/>
                      <w:sz w:val="24"/>
                    </w:rPr>
                  </w:pPr>
                  <w:r>
                    <w:rPr>
                      <w:rFonts w:hint="eastAsia" w:ascii="宋体" w:hAnsi="宋体"/>
                      <w:sz w:val="24"/>
                    </w:rPr>
                    <w:t>4</w:t>
                  </w:r>
                </w:p>
              </w:tc>
              <w:tc>
                <w:tcPr>
                  <w:tcW w:w="2004" w:type="dxa"/>
                  <w:noWrap w:val="0"/>
                  <w:vAlign w:val="center"/>
                </w:tcPr>
                <w:p>
                  <w:pPr>
                    <w:rPr>
                      <w:rFonts w:ascii="宋体" w:hAnsi="宋体"/>
                      <w:sz w:val="24"/>
                    </w:rPr>
                  </w:pPr>
                  <w:r>
                    <w:rPr>
                      <w:rFonts w:hint="eastAsia" w:ascii="宋体" w:hAnsi="宋体"/>
                      <w:sz w:val="24"/>
                    </w:rPr>
                    <w:t>二甲苯释放量</w:t>
                  </w:r>
                </w:p>
              </w:tc>
              <w:tc>
                <w:tcPr>
                  <w:tcW w:w="1559" w:type="dxa"/>
                  <w:noWrap w:val="0"/>
                  <w:vAlign w:val="center"/>
                </w:tcPr>
                <w:p>
                  <w:pPr>
                    <w:rPr>
                      <w:rFonts w:ascii="宋体" w:hAnsi="宋体"/>
                      <w:sz w:val="24"/>
                    </w:rPr>
                  </w:pPr>
                  <w:r>
                    <w:rPr>
                      <w:rFonts w:ascii="宋体" w:hAnsi="宋体"/>
                      <w:sz w:val="24"/>
                    </w:rPr>
                    <w:t>SZJG52-2016</w:t>
                  </w:r>
                </w:p>
              </w:tc>
              <w:tc>
                <w:tcPr>
                  <w:tcW w:w="1134" w:type="dxa"/>
                  <w:noWrap w:val="0"/>
                  <w:vAlign w:val="center"/>
                </w:tcPr>
                <w:p>
                  <w:pPr>
                    <w:rPr>
                      <w:rFonts w:ascii="宋体" w:hAnsi="宋体"/>
                      <w:sz w:val="24"/>
                    </w:rPr>
                  </w:pPr>
                  <w:r>
                    <w:rPr>
                      <w:rFonts w:hint="eastAsia" w:ascii="宋体" w:hAnsi="宋体"/>
                      <w:sz w:val="24"/>
                    </w:rPr>
                    <w:t>强制性</w:t>
                  </w:r>
                </w:p>
              </w:tc>
              <w:tc>
                <w:tcPr>
                  <w:tcW w:w="1824" w:type="dxa"/>
                  <w:noWrap w:val="0"/>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noWrap w:val="0"/>
                  <w:vAlign w:val="top"/>
                </w:tcPr>
                <w:p>
                  <w:pPr>
                    <w:jc w:val="center"/>
                    <w:rPr>
                      <w:rFonts w:ascii="宋体" w:hAnsi="宋体"/>
                      <w:sz w:val="24"/>
                    </w:rPr>
                  </w:pPr>
                  <w:r>
                    <w:rPr>
                      <w:rFonts w:hint="eastAsia" w:ascii="宋体" w:hAnsi="宋体"/>
                      <w:sz w:val="24"/>
                    </w:rPr>
                    <w:t>5</w:t>
                  </w:r>
                </w:p>
              </w:tc>
              <w:tc>
                <w:tcPr>
                  <w:tcW w:w="2004" w:type="dxa"/>
                  <w:noWrap w:val="0"/>
                  <w:vAlign w:val="center"/>
                </w:tcPr>
                <w:p>
                  <w:pPr>
                    <w:rPr>
                      <w:rFonts w:ascii="宋体" w:hAnsi="宋体"/>
                      <w:sz w:val="24"/>
                    </w:rPr>
                  </w:pPr>
                  <w:r>
                    <w:rPr>
                      <w:rFonts w:hint="eastAsia" w:ascii="宋体" w:hAnsi="宋体"/>
                      <w:sz w:val="24"/>
                    </w:rPr>
                    <w:t>总挥发性有机化合物（TVOC</w:t>
                  </w:r>
                  <w:r>
                    <w:rPr>
                      <w:rFonts w:ascii="宋体" w:hAnsi="宋体"/>
                      <w:sz w:val="24"/>
                    </w:rPr>
                    <w:t>）</w:t>
                  </w:r>
                  <w:r>
                    <w:rPr>
                      <w:rFonts w:hint="eastAsia" w:ascii="宋体" w:hAnsi="宋体"/>
                      <w:sz w:val="24"/>
                    </w:rPr>
                    <w:t>释放量</w:t>
                  </w:r>
                </w:p>
              </w:tc>
              <w:tc>
                <w:tcPr>
                  <w:tcW w:w="1559" w:type="dxa"/>
                  <w:noWrap w:val="0"/>
                  <w:vAlign w:val="center"/>
                </w:tcPr>
                <w:p>
                  <w:pPr>
                    <w:rPr>
                      <w:rFonts w:ascii="宋体" w:hAnsi="宋体"/>
                      <w:sz w:val="24"/>
                    </w:rPr>
                  </w:pPr>
                  <w:r>
                    <w:rPr>
                      <w:rFonts w:ascii="宋体" w:hAnsi="宋体"/>
                      <w:sz w:val="24"/>
                    </w:rPr>
                    <w:t>SZJG52-2016</w:t>
                  </w:r>
                </w:p>
              </w:tc>
              <w:tc>
                <w:tcPr>
                  <w:tcW w:w="1134" w:type="dxa"/>
                  <w:noWrap w:val="0"/>
                  <w:vAlign w:val="center"/>
                </w:tcPr>
                <w:p>
                  <w:pPr>
                    <w:rPr>
                      <w:rFonts w:ascii="宋体" w:hAnsi="宋体"/>
                      <w:sz w:val="24"/>
                    </w:rPr>
                  </w:pPr>
                  <w:r>
                    <w:rPr>
                      <w:rFonts w:hint="eastAsia" w:ascii="宋体" w:hAnsi="宋体"/>
                      <w:sz w:val="24"/>
                    </w:rPr>
                    <w:t>强制性</w:t>
                  </w:r>
                </w:p>
              </w:tc>
              <w:tc>
                <w:tcPr>
                  <w:tcW w:w="1824" w:type="dxa"/>
                  <w:noWrap w:val="0"/>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bl>
          <w:p>
            <w:pPr>
              <w:widowControl/>
              <w:jc w:val="left"/>
              <w:rPr>
                <w:rFonts w:hint="eastAsia" w:ascii="宋体" w:hAnsi="宋体" w:cs="Arial"/>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top"/>
          </w:tcPr>
          <w:p>
            <w:pPr>
              <w:spacing w:line="360" w:lineRule="exact"/>
              <w:jc w:val="center"/>
              <w:rPr>
                <w:rFonts w:hint="default" w:ascii="宋体" w:hAnsi="宋体" w:eastAsia="宋体"/>
                <w:b/>
                <w:lang w:val="en-US" w:eastAsia="zh-CN"/>
              </w:rPr>
            </w:pPr>
            <w:r>
              <w:rPr>
                <w:rFonts w:hint="eastAsia" w:ascii="宋体" w:hAnsi="宋体" w:eastAsia="宋体"/>
                <w:b/>
                <w:lang w:val="en-US" w:eastAsia="zh-CN"/>
              </w:rPr>
              <w:t>9</w:t>
            </w:r>
          </w:p>
        </w:tc>
        <w:tc>
          <w:tcPr>
            <w:tcW w:w="1457" w:type="dxa"/>
            <w:noWrap w:val="0"/>
            <w:vAlign w:val="top"/>
          </w:tcPr>
          <w:p>
            <w:pPr>
              <w:numPr>
                <w:ilvl w:val="-1"/>
                <w:numId w:val="0"/>
              </w:numPr>
              <w:spacing w:after="0" w:afterLines="25" w:line="300" w:lineRule="exact"/>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rPr>
              <w:t>项目（产品）要求</w:t>
            </w:r>
            <w:r>
              <w:rPr>
                <w:rFonts w:hint="eastAsia" w:ascii="宋体" w:hAnsi="宋体" w:eastAsia="宋体" w:cs="宋体"/>
                <w:b/>
                <w:color w:val="FF0000"/>
                <w:sz w:val="21"/>
                <w:szCs w:val="21"/>
                <w:lang w:eastAsia="zh-CN"/>
              </w:rPr>
              <w:t>：</w:t>
            </w:r>
          </w:p>
          <w:p>
            <w:pPr>
              <w:spacing w:line="360" w:lineRule="exact"/>
              <w:jc w:val="center"/>
              <w:rPr>
                <w:rFonts w:ascii="宋体" w:hAnsi="宋体"/>
                <w:b/>
              </w:rPr>
            </w:pPr>
          </w:p>
        </w:tc>
        <w:tc>
          <w:tcPr>
            <w:tcW w:w="0" w:type="auto"/>
            <w:noWrap w:val="0"/>
            <w:vAlign w:val="top"/>
          </w:tcPr>
          <w:p>
            <w:pPr>
              <w:numPr>
                <w:ilvl w:val="0"/>
                <w:numId w:val="0"/>
              </w:numPr>
              <w:spacing w:after="0" w:afterLines="25" w:line="300" w:lineRule="exact"/>
              <w:ind w:firstLine="211" w:firstLineChars="100"/>
              <w:rPr>
                <w:rFonts w:hint="default" w:ascii="宋体" w:hAnsi="宋体" w:eastAsia="宋体" w:cs="Arial"/>
                <w:bCs w:val="0"/>
                <w:color w:val="FF0000"/>
                <w:kern w:val="2"/>
                <w:sz w:val="21"/>
                <w:szCs w:val="21"/>
                <w:lang w:val="en-US" w:eastAsia="zh-CN" w:bidi="ar-SA"/>
              </w:rPr>
            </w:pPr>
            <w:r>
              <w:rPr>
                <w:rFonts w:hint="eastAsia" w:ascii="宋体" w:hAnsi="宋体" w:eastAsia="宋体" w:cs="宋体"/>
                <w:b/>
                <w:bCs/>
                <w:color w:val="FF0000"/>
                <w:sz w:val="21"/>
                <w:szCs w:val="21"/>
              </w:rPr>
              <w:t>★</w:t>
            </w:r>
            <w:r>
              <w:rPr>
                <w:rFonts w:hint="eastAsia" w:ascii="宋体" w:hAnsi="宋体" w:eastAsia="宋体" w:cs="宋体"/>
                <w:b/>
                <w:bCs/>
                <w:color w:val="FF0000"/>
                <w:sz w:val="21"/>
                <w:szCs w:val="21"/>
                <w:lang w:val="en-US" w:eastAsia="zh-CN"/>
              </w:rPr>
              <w:t>9.1</w:t>
            </w:r>
            <w:r>
              <w:rPr>
                <w:rFonts w:hint="eastAsia" w:ascii="宋体" w:hAnsi="宋体" w:eastAsia="宋体" w:cs="宋体"/>
                <w:b/>
                <w:bCs/>
                <w:color w:val="FF0000"/>
                <w:sz w:val="21"/>
                <w:szCs w:val="21"/>
              </w:rPr>
              <w:t>采</w:t>
            </w:r>
            <w:r>
              <w:rPr>
                <w:rFonts w:hint="eastAsia" w:ascii="宋体" w:hAnsi="宋体" w:cs="宋体"/>
                <w:b/>
                <w:bCs/>
                <w:color w:val="FF0000"/>
                <w:sz w:val="21"/>
                <w:szCs w:val="21"/>
              </w:rPr>
              <w:t>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17"/>
              <w:tblW w:w="5521" w:type="dxa"/>
              <w:jc w:val="center"/>
              <w:tblLayout w:type="fixed"/>
              <w:tblCellMar>
                <w:top w:w="0" w:type="dxa"/>
                <w:left w:w="108" w:type="dxa"/>
                <w:bottom w:w="0" w:type="dxa"/>
                <w:right w:w="108" w:type="dxa"/>
              </w:tblCellMar>
            </w:tblPr>
            <w:tblGrid>
              <w:gridCol w:w="1119"/>
              <w:gridCol w:w="1135"/>
              <w:gridCol w:w="653"/>
              <w:gridCol w:w="758"/>
              <w:gridCol w:w="1856"/>
            </w:tblGrid>
            <w:tr>
              <w:tblPrEx>
                <w:tblCellMar>
                  <w:top w:w="0" w:type="dxa"/>
                  <w:left w:w="108" w:type="dxa"/>
                  <w:bottom w:w="0" w:type="dxa"/>
                  <w:right w:w="108" w:type="dxa"/>
                </w:tblCellMar>
              </w:tblPrEx>
              <w:trPr>
                <w:trHeight w:val="592" w:hRule="atLeast"/>
                <w:jc w:val="center"/>
              </w:trPr>
              <w:tc>
                <w:tcPr>
                  <w:tcW w:w="1119"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序号</w:t>
                  </w:r>
                </w:p>
              </w:tc>
              <w:tc>
                <w:tcPr>
                  <w:tcW w:w="1135"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货物名称</w:t>
                  </w:r>
                </w:p>
              </w:tc>
              <w:tc>
                <w:tcPr>
                  <w:tcW w:w="653"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数量</w:t>
                  </w:r>
                </w:p>
              </w:tc>
              <w:tc>
                <w:tcPr>
                  <w:tcW w:w="758"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pPr>
                    <w:widowControl/>
                    <w:jc w:val="center"/>
                    <w:textAlignment w:val="center"/>
                    <w:rPr>
                      <w:b/>
                      <w:sz w:val="21"/>
                      <w:szCs w:val="21"/>
                    </w:rPr>
                  </w:pPr>
                  <w:r>
                    <w:rPr>
                      <w:rFonts w:hint="eastAsia" w:ascii="宋体" w:hAnsi="宋体" w:cs="宋体"/>
                      <w:b/>
                      <w:kern w:val="0"/>
                      <w:sz w:val="21"/>
                      <w:szCs w:val="21"/>
                    </w:rPr>
                    <w:t>单位</w:t>
                  </w:r>
                </w:p>
              </w:tc>
              <w:tc>
                <w:tcPr>
                  <w:tcW w:w="1856"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pPr>
                    <w:widowControl/>
                    <w:jc w:val="center"/>
                    <w:textAlignment w:val="center"/>
                    <w:rPr>
                      <w:rFonts w:hint="eastAsia" w:ascii="宋体" w:hAnsi="宋体" w:cs="宋体"/>
                      <w:b/>
                      <w:kern w:val="0"/>
                      <w:sz w:val="21"/>
                      <w:szCs w:val="21"/>
                    </w:rPr>
                  </w:pPr>
                </w:p>
              </w:tc>
            </w:tr>
            <w:tr>
              <w:tblPrEx>
                <w:tblCellMar>
                  <w:top w:w="0" w:type="dxa"/>
                  <w:left w:w="108" w:type="dxa"/>
                  <w:bottom w:w="0" w:type="dxa"/>
                  <w:right w:w="108" w:type="dxa"/>
                </w:tblCellMar>
              </w:tblPrEx>
              <w:trPr>
                <w:trHeight w:val="420" w:hRule="atLeast"/>
                <w:jc w:val="center"/>
              </w:trPr>
              <w:tc>
                <w:tcPr>
                  <w:tcW w:w="5521"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cs="宋体"/>
                      <w:color w:val="auto"/>
                      <w:kern w:val="0"/>
                      <w:sz w:val="21"/>
                      <w:szCs w:val="21"/>
                    </w:rPr>
                    <w:t>升降课桌</w:t>
                  </w:r>
                </w:p>
              </w:tc>
            </w:tr>
            <w:tr>
              <w:tblPrEx>
                <w:tblCellMar>
                  <w:top w:w="0" w:type="dxa"/>
                  <w:left w:w="108" w:type="dxa"/>
                  <w:bottom w:w="0" w:type="dxa"/>
                  <w:right w:w="108" w:type="dxa"/>
                </w:tblCellMar>
              </w:tblPrEx>
              <w:trPr>
                <w:trHeight w:val="420"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1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lang w:val="zh-CN"/>
                    </w:rPr>
                  </w:pPr>
                  <w:r>
                    <w:rPr>
                      <w:rFonts w:hint="eastAsia" w:ascii="宋体" w:hAnsi="宋体" w:cs="宋体"/>
                      <w:color w:val="auto"/>
                      <w:sz w:val="21"/>
                      <w:szCs w:val="21"/>
                      <w:highlight w:val="yellow"/>
                    </w:rPr>
                    <w:t>手摇柄</w:t>
                  </w:r>
                </w:p>
              </w:tc>
              <w:tc>
                <w:tcPr>
                  <w:tcW w:w="6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≥24</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把</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r>
              <w:tblPrEx>
                <w:tblCellMar>
                  <w:top w:w="0" w:type="dxa"/>
                  <w:left w:w="108" w:type="dxa"/>
                  <w:bottom w:w="0" w:type="dxa"/>
                  <w:right w:w="108" w:type="dxa"/>
                </w:tblCellMar>
              </w:tblPrEx>
              <w:trPr>
                <w:trHeight w:val="460" w:hRule="atLeast"/>
                <w:jc w:val="center"/>
              </w:trPr>
              <w:tc>
                <w:tcPr>
                  <w:tcW w:w="5521"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cs="宋体"/>
                      <w:color w:val="000000"/>
                      <w:kern w:val="0"/>
                      <w:sz w:val="21"/>
                      <w:szCs w:val="21"/>
                    </w:rPr>
                    <w:t>升降课椅</w:t>
                  </w:r>
                </w:p>
              </w:tc>
            </w:tr>
            <w:tr>
              <w:tblPrEx>
                <w:tblCellMar>
                  <w:top w:w="0" w:type="dxa"/>
                  <w:left w:w="108" w:type="dxa"/>
                  <w:bottom w:w="0" w:type="dxa"/>
                  <w:right w:w="108" w:type="dxa"/>
                </w:tblCellMar>
              </w:tblPrEx>
              <w:trPr>
                <w:trHeight w:val="390" w:hRule="atLeast"/>
                <w:jc w:val="center"/>
              </w:trPr>
              <w:tc>
                <w:tcPr>
                  <w:tcW w:w="111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11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cs="宋体"/>
                      <w:color w:val="auto"/>
                      <w:sz w:val="21"/>
                      <w:szCs w:val="21"/>
                      <w:highlight w:val="yellow"/>
                    </w:rPr>
                    <w:t>手摇柄</w:t>
                  </w:r>
                </w:p>
              </w:tc>
              <w:tc>
                <w:tcPr>
                  <w:tcW w:w="6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≥24</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把</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bl>
          <w:p>
            <w:pPr>
              <w:widowControl/>
              <w:jc w:val="left"/>
              <w:rPr>
                <w:rFonts w:hint="eastAsia" w:ascii="宋体" w:hAnsi="宋体" w:cs="Arial"/>
                <w:color w:val="FF0000"/>
                <w:kern w:val="2"/>
                <w:sz w:val="21"/>
                <w:szCs w:val="21"/>
                <w:lang w:val="en-US" w:eastAsia="zh-CN" w:bidi="ar-SA"/>
              </w:rPr>
            </w:pPr>
          </w:p>
          <w:p>
            <w:pPr>
              <w:pStyle w:val="25"/>
              <w:spacing w:line="240" w:lineRule="auto"/>
              <w:ind w:left="0" w:leftChars="0" w:firstLine="0" w:firstLineChars="0"/>
              <w:rPr>
                <w:rFonts w:hint="eastAsia" w:ascii="宋体" w:hAnsi="宋体" w:eastAsia="宋体" w:cs="宋体"/>
                <w:b/>
                <w:bCs/>
                <w:color w:val="FF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9.3投标人必须签订合同前向采购方逐一按投标文件中的响应情况演示设备清单中 “▲”符号技术参数（现场无法演示的参数项提供检测报告或者原厂说明书），演示内容完全符合投标文件中的相应技术参数响应内容要求方可签订合同，否则采购方有权按有关政府采购法律法规中如供应商存在弄虚作假骗取中标行为的相关规定进行处理。</w:t>
            </w:r>
          </w:p>
          <w:p>
            <w:pPr>
              <w:widowControl/>
              <w:jc w:val="left"/>
              <w:rPr>
                <w:rFonts w:hint="eastAsia" w:ascii="宋体" w:hAnsi="宋体" w:cs="Arial"/>
                <w:color w:val="FF0000"/>
                <w:kern w:val="2"/>
                <w:sz w:val="21"/>
                <w:szCs w:val="21"/>
                <w:lang w:val="en-US" w:eastAsia="zh-CN" w:bidi="ar-SA"/>
              </w:rPr>
            </w:pP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57771"/>
      <w:bookmarkStart w:id="44"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）绿色采购情况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kern w:val="0"/>
          <w:sz w:val="21"/>
          <w:szCs w:val="21"/>
          <w:highlight w:val="none"/>
          <w:lang w:bidi="ar"/>
        </w:rPr>
        <w:t>项目组织实施方案的评价</w:t>
      </w:r>
      <w:r>
        <w:rPr>
          <w:rFonts w:hint="eastAsia"/>
          <w:szCs w:val="21"/>
          <w:lang w:eastAsia="zh-CN"/>
        </w:rPr>
        <w:t>；</w:t>
      </w:r>
    </w:p>
    <w:p>
      <w:pPr>
        <w:ind w:left="718" w:leftChars="342" w:firstLine="1417" w:firstLineChars="675"/>
        <w:rPr>
          <w:rFonts w:hint="eastAsia" w:asciiTheme="minorEastAsia" w:hAnsiTheme="minorEastAsia" w:eastAsiaTheme="minorEastAsia" w:cstheme="minorEastAsia"/>
          <w:color w:val="030405"/>
          <w:kern w:val="0"/>
          <w:sz w:val="21"/>
          <w:szCs w:val="21"/>
          <w:lang w:eastAsia="zh-CN" w:bidi="ar"/>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asciiTheme="minorEastAsia" w:hAnsiTheme="minorEastAsia" w:eastAsiaTheme="minorEastAsia" w:cstheme="minorEastAsia"/>
          <w:color w:val="030405"/>
          <w:kern w:val="0"/>
          <w:sz w:val="21"/>
          <w:szCs w:val="21"/>
          <w:lang w:bidi="ar"/>
        </w:rPr>
        <w:t>售后服务评价</w:t>
      </w:r>
      <w:r>
        <w:rPr>
          <w:rFonts w:hint="eastAsia" w:asciiTheme="minorEastAsia" w:hAnsiTheme="minorEastAsia" w:cstheme="minorEastAsia"/>
          <w:color w:val="030405"/>
          <w:kern w:val="0"/>
          <w:sz w:val="21"/>
          <w:szCs w:val="21"/>
          <w:lang w:eastAsia="zh-CN" w:bidi="ar"/>
        </w:rPr>
        <w:t>；</w:t>
      </w:r>
    </w:p>
    <w:p>
      <w:pPr>
        <w:ind w:left="718" w:leftChars="342" w:firstLine="1417" w:firstLineChars="675"/>
        <w:rPr>
          <w:rFonts w:hint="eastAsia" w:asciiTheme="minorEastAsia" w:hAnsiTheme="minorEastAsia" w:eastAsiaTheme="minorEastAsia" w:cstheme="minorEastAsia"/>
          <w:color w:val="030405"/>
          <w:kern w:val="0"/>
          <w:sz w:val="21"/>
          <w:szCs w:val="21"/>
          <w:lang w:val="en-US" w:eastAsia="zh-CN" w:bidi="ar"/>
        </w:rPr>
      </w:pPr>
      <w:r>
        <w:rPr>
          <w:rFonts w:hint="eastAsia" w:asciiTheme="minorEastAsia" w:hAnsiTheme="minorEastAsia" w:cstheme="minorEastAsia"/>
          <w:kern w:val="0"/>
          <w:sz w:val="21"/>
          <w:szCs w:val="21"/>
          <w:highlight w:val="none"/>
          <w:lang w:eastAsia="zh-CN" w:bidi="ar"/>
        </w:rPr>
        <w:t>（</w:t>
      </w:r>
      <w:r>
        <w:rPr>
          <w:rFonts w:hint="eastAsia" w:asciiTheme="minorEastAsia" w:hAnsiTheme="minorEastAsia" w:cstheme="minorEastAsia"/>
          <w:kern w:val="0"/>
          <w:sz w:val="21"/>
          <w:szCs w:val="21"/>
          <w:highlight w:val="none"/>
          <w:lang w:val="en-US" w:eastAsia="zh-CN" w:bidi="ar"/>
        </w:rPr>
        <w:t>9</w:t>
      </w:r>
      <w:r>
        <w:rPr>
          <w:rFonts w:hint="eastAsia" w:asciiTheme="minorEastAsia" w:hAnsiTheme="minorEastAsia" w:cstheme="minorEastAsia"/>
          <w:kern w:val="0"/>
          <w:sz w:val="21"/>
          <w:szCs w:val="21"/>
          <w:highlight w:val="none"/>
          <w:lang w:eastAsia="zh-CN" w:bidi="ar"/>
        </w:rPr>
        <w:t>）政府采购节能环保产品；</w:t>
      </w:r>
    </w:p>
    <w:p>
      <w:pPr>
        <w:ind w:left="718" w:leftChars="342" w:firstLine="1417" w:firstLineChars="675"/>
        <w:rPr>
          <w:rFonts w:hint="eastAsia" w:eastAsia="宋体"/>
          <w:szCs w:val="21"/>
          <w:lang w:eastAsia="zh-CN"/>
        </w:rPr>
      </w:pPr>
      <w:r>
        <w:rPr>
          <w:rFonts w:hint="eastAsia" w:asciiTheme="minorEastAsia" w:hAnsiTheme="minorEastAsia" w:cstheme="minorEastAsia"/>
          <w:color w:val="030405"/>
          <w:kern w:val="0"/>
          <w:sz w:val="21"/>
          <w:szCs w:val="21"/>
          <w:lang w:eastAsia="zh-CN" w:bidi="ar"/>
        </w:rPr>
        <w:t>（</w:t>
      </w:r>
      <w:r>
        <w:rPr>
          <w:rFonts w:hint="eastAsia" w:asciiTheme="minorEastAsia" w:hAnsiTheme="minorEastAsia" w:cstheme="minorEastAsia"/>
          <w:color w:val="030405"/>
          <w:kern w:val="0"/>
          <w:sz w:val="21"/>
          <w:szCs w:val="21"/>
          <w:lang w:val="en-US" w:eastAsia="zh-CN" w:bidi="ar"/>
        </w:rPr>
        <w:t>10</w:t>
      </w:r>
      <w:r>
        <w:rPr>
          <w:rFonts w:hint="eastAsia" w:asciiTheme="minorEastAsia" w:hAnsiTheme="minorEastAsia" w:cstheme="minorEastAsia"/>
          <w:color w:val="030405"/>
          <w:kern w:val="0"/>
          <w:sz w:val="21"/>
          <w:szCs w:val="21"/>
          <w:lang w:eastAsia="zh-CN" w:bidi="ar"/>
        </w:rPr>
        <w:t>）</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widowControl/>
        <w:jc w:val="left"/>
        <w:outlineLvl w:val="9"/>
        <w:rPr>
          <w:rFonts w:hint="eastAsia" w:ascii="宋体" w:hAnsi="宋体" w:eastAsia="宋体" w:cs="Times New Roman"/>
          <w:b/>
          <w:bCs/>
          <w:kern w:val="0"/>
          <w:sz w:val="24"/>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27"/>
        <w:gridCol w:w="1294"/>
        <w:gridCol w:w="670"/>
        <w:gridCol w:w="750"/>
        <w:gridCol w:w="616"/>
        <w:gridCol w:w="805"/>
        <w:gridCol w:w="558"/>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5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294"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670"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50"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80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558"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527"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JYCG-DECL-2025-25732</w:t>
            </w:r>
          </w:p>
        </w:tc>
        <w:tc>
          <w:tcPr>
            <w:tcW w:w="1294" w:type="dxa"/>
            <w:vAlign w:val="center"/>
          </w:tcPr>
          <w:p>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升降课桌</w:t>
            </w:r>
          </w:p>
        </w:tc>
        <w:tc>
          <w:tcPr>
            <w:tcW w:w="670" w:type="dxa"/>
            <w:vAlign w:val="top"/>
          </w:tcPr>
          <w:p>
            <w:pPr>
              <w:jc w:val="center"/>
              <w:rPr>
                <w:rFonts w:hint="eastAsia" w:ascii="Times New Roman" w:hAnsi="Times New Roman" w:eastAsia="宋体" w:cs="Times New Roman"/>
                <w:bCs/>
                <w:szCs w:val="21"/>
              </w:rPr>
            </w:pPr>
          </w:p>
        </w:tc>
        <w:tc>
          <w:tcPr>
            <w:tcW w:w="750" w:type="dxa"/>
            <w:vAlign w:val="top"/>
          </w:tcPr>
          <w:p>
            <w:pPr>
              <w:jc w:val="center"/>
              <w:rPr>
                <w:rFonts w:ascii="Times New Roman" w:hAnsi="Times New Roman" w:eastAsia="宋体" w:cs="Times New Roman"/>
                <w:bCs/>
                <w:szCs w:val="21"/>
              </w:rPr>
            </w:pPr>
          </w:p>
        </w:tc>
        <w:tc>
          <w:tcPr>
            <w:tcW w:w="616" w:type="dxa"/>
            <w:vAlign w:val="center"/>
          </w:tcPr>
          <w:p>
            <w:pPr>
              <w:jc w:val="center"/>
              <w:rPr>
                <w:rFonts w:ascii="Times New Roman" w:hAnsi="Times New Roman" w:eastAsia="宋体" w:cs="Times New Roman"/>
                <w:bCs/>
                <w:szCs w:val="21"/>
              </w:rPr>
            </w:pPr>
          </w:p>
        </w:tc>
        <w:tc>
          <w:tcPr>
            <w:tcW w:w="805" w:type="dxa"/>
            <w:vAlign w:val="center"/>
          </w:tcPr>
          <w:p>
            <w:pPr>
              <w:jc w:val="center"/>
              <w:rPr>
                <w:rFonts w:ascii="Times New Roman" w:hAnsi="Times New Roman" w:eastAsia="宋体" w:cs="Times New Roman"/>
                <w:bCs/>
                <w:szCs w:val="21"/>
              </w:rPr>
            </w:pPr>
          </w:p>
        </w:tc>
        <w:tc>
          <w:tcPr>
            <w:tcW w:w="558" w:type="dxa"/>
            <w:vAlign w:val="top"/>
          </w:tcPr>
          <w:p>
            <w:pPr>
              <w:jc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sz w:val="21"/>
                <w:szCs w:val="21"/>
                <w:u w:val="none"/>
                <w:lang w:val="en-US" w:eastAsia="zh-CN"/>
              </w:rPr>
              <w:t>630</w:t>
            </w:r>
          </w:p>
        </w:tc>
        <w:tc>
          <w:tcPr>
            <w:tcW w:w="427" w:type="dxa"/>
            <w:vAlign w:val="top"/>
          </w:tcPr>
          <w:p>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351000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527" w:type="dxa"/>
            <w:vMerge w:val="continue"/>
            <w:vAlign w:val="center"/>
          </w:tcPr>
          <w:p>
            <w:pPr>
              <w:jc w:val="center"/>
              <w:rPr>
                <w:rFonts w:ascii="Times New Roman" w:hAnsi="Times New Roman" w:eastAsia="宋体" w:cs="Times New Roman"/>
                <w:bCs/>
                <w:szCs w:val="21"/>
              </w:rPr>
            </w:pPr>
          </w:p>
        </w:tc>
        <w:tc>
          <w:tcPr>
            <w:tcW w:w="1294" w:type="dxa"/>
            <w:vAlign w:val="center"/>
          </w:tcPr>
          <w:p>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升降课椅</w:t>
            </w:r>
          </w:p>
        </w:tc>
        <w:tc>
          <w:tcPr>
            <w:tcW w:w="670" w:type="dxa"/>
            <w:vAlign w:val="center"/>
          </w:tcPr>
          <w:p>
            <w:pPr>
              <w:jc w:val="center"/>
              <w:rPr>
                <w:rFonts w:hint="eastAsia" w:ascii="Times New Roman" w:hAnsi="Times New Roman" w:eastAsia="宋体" w:cs="Times New Roman"/>
                <w:bCs/>
                <w:szCs w:val="21"/>
              </w:rPr>
            </w:pPr>
          </w:p>
        </w:tc>
        <w:tc>
          <w:tcPr>
            <w:tcW w:w="750" w:type="dxa"/>
            <w:vAlign w:val="center"/>
          </w:tcPr>
          <w:p>
            <w:pPr>
              <w:jc w:val="center"/>
              <w:rPr>
                <w:rFonts w:ascii="Times New Roman" w:hAnsi="Times New Roman" w:eastAsia="宋体" w:cs="Times New Roman"/>
                <w:bCs/>
                <w:szCs w:val="21"/>
              </w:rPr>
            </w:pPr>
          </w:p>
        </w:tc>
        <w:tc>
          <w:tcPr>
            <w:tcW w:w="616" w:type="dxa"/>
            <w:vAlign w:val="center"/>
          </w:tcPr>
          <w:p>
            <w:pPr>
              <w:jc w:val="center"/>
              <w:rPr>
                <w:rFonts w:ascii="Times New Roman" w:hAnsi="Times New Roman" w:eastAsia="宋体" w:cs="Times New Roman"/>
                <w:bCs/>
                <w:szCs w:val="21"/>
              </w:rPr>
            </w:pPr>
          </w:p>
        </w:tc>
        <w:tc>
          <w:tcPr>
            <w:tcW w:w="805" w:type="dxa"/>
            <w:vAlign w:val="center"/>
          </w:tcPr>
          <w:p>
            <w:pPr>
              <w:jc w:val="center"/>
              <w:rPr>
                <w:rFonts w:ascii="Times New Roman" w:hAnsi="Times New Roman" w:eastAsia="宋体" w:cs="Times New Roman"/>
                <w:bCs/>
                <w:szCs w:val="21"/>
              </w:rPr>
            </w:pPr>
          </w:p>
        </w:tc>
        <w:tc>
          <w:tcPr>
            <w:tcW w:w="558" w:type="dxa"/>
            <w:vAlign w:val="center"/>
          </w:tcPr>
          <w:p>
            <w:pPr>
              <w:jc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sz w:val="21"/>
                <w:szCs w:val="21"/>
                <w:u w:val="none"/>
                <w:lang w:val="en-US" w:eastAsia="zh-CN"/>
              </w:rPr>
              <w:t>630</w:t>
            </w:r>
          </w:p>
        </w:tc>
        <w:tc>
          <w:tcPr>
            <w:tcW w:w="427" w:type="dxa"/>
            <w:vAlign w:val="center"/>
          </w:tcPr>
          <w:p>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225"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r>
        <w:rPr>
          <w:rFonts w:hint="eastAsia" w:ascii="宋体" w:hAnsi="宋体"/>
          <w:b/>
          <w:sz w:val="24"/>
        </w:rPr>
        <w:br w:type="textWrapping"/>
      </w: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w:t>
      </w:r>
      <w:bookmarkStart w:id="139" w:name="_GoBack"/>
      <w:bookmarkEnd w:id="139"/>
      <w:r>
        <w:rPr>
          <w:rFonts w:hint="eastAsia" w:ascii="宋体" w:hAnsi="宋体"/>
          <w:b/>
          <w:sz w:val="24"/>
        </w:rPr>
        <w:t>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ind w:left="718" w:leftChars="342" w:firstLine="1620" w:firstLineChars="675"/>
        <w:jc w:val="center"/>
        <w:rPr>
          <w:rFonts w:hint="eastAsia" w:ascii="黑体" w:hAnsi="宋体" w:eastAsia="黑体" w:cstheme="minorBidi"/>
          <w:b w:val="0"/>
          <w:bCs/>
          <w:kern w:val="2"/>
          <w:sz w:val="24"/>
          <w:szCs w:val="24"/>
          <w:lang w:val="en-US" w:eastAsia="zh-CN" w:bidi="ar-SA"/>
        </w:rPr>
      </w:pPr>
    </w:p>
    <w:p>
      <w:pPr>
        <w:ind w:left="0" w:leftChars="0" w:hanging="8" w:firstLineChars="0"/>
        <w:jc w:val="center"/>
        <w:outlineLvl w:val="2"/>
        <w:rPr>
          <w:rFonts w:hint="eastAsia" w:ascii="黑体" w:hAnsi="宋体" w:eastAsia="黑体" w:cstheme="minorBidi"/>
          <w:b w:val="0"/>
          <w:bCs/>
          <w:kern w:val="2"/>
          <w:sz w:val="24"/>
          <w:szCs w:val="24"/>
          <w:lang w:val="en-US" w:eastAsia="zh-CN" w:bidi="ar-SA"/>
        </w:rPr>
      </w:pPr>
      <w:r>
        <w:rPr>
          <w:rFonts w:hint="eastAsia" w:ascii="黑体" w:hAnsi="宋体" w:eastAsia="黑体" w:cstheme="minorBidi"/>
          <w:b w:val="0"/>
          <w:bCs/>
          <w:kern w:val="2"/>
          <w:sz w:val="24"/>
          <w:szCs w:val="24"/>
          <w:lang w:val="en-US" w:eastAsia="zh-CN" w:bidi="ar-SA"/>
        </w:rPr>
        <w:t>五、经验评价</w:t>
      </w:r>
    </w:p>
    <w:p>
      <w:pPr>
        <w:pStyle w:val="7"/>
        <w:rPr>
          <w:b w:val="0"/>
          <w:bCs w:val="0"/>
        </w:rPr>
      </w:pPr>
      <w:r>
        <w:rPr>
          <w:rFonts w:hint="eastAsia"/>
          <w:b w:val="0"/>
          <w:bCs w:val="0"/>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kern w:val="2"/>
          <w:sz w:val="24"/>
          <w:szCs w:val="24"/>
          <w:lang w:val="en-US" w:eastAsia="zh-CN" w:bidi="ar-SA"/>
        </w:rPr>
      </w:pP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886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701"/>
        <w:gridCol w:w="5175"/>
        <w:gridCol w:w="978"/>
        <w:gridCol w:w="696"/>
        <w:gridCol w:w="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7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货物名称</w:t>
            </w:r>
          </w:p>
        </w:tc>
        <w:tc>
          <w:tcPr>
            <w:tcW w:w="51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招标技术要求</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kern w:val="0"/>
                <w:sz w:val="22"/>
                <w:szCs w:val="22"/>
                <w:u w:val="none"/>
                <w:lang w:val="en-US" w:eastAsia="zh-CN" w:bidi="ar"/>
              </w:rPr>
            </w:pPr>
            <w:r>
              <w:rPr>
                <w:rFonts w:hint="eastAsia"/>
                <w:sz w:val="24"/>
              </w:rPr>
              <w:t>投标技术响应</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kern w:val="0"/>
                <w:sz w:val="22"/>
                <w:szCs w:val="22"/>
                <w:u w:val="none"/>
                <w:lang w:val="en-US" w:eastAsia="zh-CN" w:bidi="ar"/>
              </w:rPr>
            </w:pPr>
            <w:r>
              <w:rPr>
                <w:rFonts w:hint="eastAsia"/>
                <w:sz w:val="24"/>
              </w:rPr>
              <w:t>偏离情况</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kern w:val="0"/>
                <w:sz w:val="22"/>
                <w:szCs w:val="22"/>
                <w:u w:val="none"/>
                <w:lang w:val="en-US" w:eastAsia="zh-CN" w:bidi="ar"/>
              </w:rPr>
            </w:pPr>
            <w:r>
              <w:rPr>
                <w:rFonts w:hint="eastAsia"/>
                <w:sz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7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升降课桌</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A.课桌桌面</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1．桌面材质：ABS塑胶（塑料）一体注射成型。</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2．桌面尺寸：（长650mm×宽450mm×厚20mm）±5mm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样式：桌面靠胸前端处有一內弧造型设计，靠胸侧两边角为鸭嘴斜边；桌面四周及底部不得有毛边，倒圆角光滑不刮手。表面有细蚀纹(咬花),不得有反光现象。面板底部有強化安全承重之设计。锁入双钢管支撑，并与面板底部平齐。</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4．在课桌面做塑面硬化处理以增加桌面的表面硬度，抗污防腐，有效解决在使用过程中学生肆意涂画，灰尘、水渍、汗渍造成桌面污浊不堪，不易清洁的问题，亦可更有效保护桌面不变色，不褪色。</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5．▲桌面抗污材料应满足以下要求：检验依据GB/T9274-1988《色漆和清漆 耐液体介质的测定》；检测要求：耐油性（200#溶剂油，24h）无异常；耐酸性（10g/L H</w:t>
            </w:r>
            <w:r>
              <w:rPr>
                <w:rFonts w:hint="eastAsia" w:ascii="宋体" w:hAnsi="宋体" w:eastAsia="宋体" w:cs="宋体"/>
                <w:i w:val="0"/>
                <w:iCs w:val="0"/>
                <w:color w:val="000000"/>
                <w:kern w:val="0"/>
                <w:sz w:val="21"/>
                <w:szCs w:val="21"/>
                <w:u w:val="none"/>
                <w:vertAlign w:val="subscript"/>
                <w:lang w:val="en-US" w:eastAsia="zh-CN" w:bidi="ar"/>
              </w:rPr>
              <w:t>2</w:t>
            </w: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4</w:t>
            </w:r>
            <w:r>
              <w:rPr>
                <w:rFonts w:hint="eastAsia" w:ascii="宋体" w:hAnsi="宋体" w:eastAsia="宋体" w:cs="宋体"/>
                <w:i w:val="0"/>
                <w:iCs w:val="0"/>
                <w:color w:val="000000"/>
                <w:kern w:val="0"/>
                <w:sz w:val="21"/>
                <w:szCs w:val="21"/>
                <w:u w:val="none"/>
                <w:lang w:val="en-US" w:eastAsia="zh-CN" w:bidi="ar"/>
              </w:rPr>
              <w:t>，24h）无异常；耐碱性（50g/L NaHCO</w:t>
            </w:r>
            <w:r>
              <w:rPr>
                <w:rFonts w:hint="eastAsia" w:ascii="宋体" w:hAnsi="宋体" w:eastAsia="宋体" w:cs="宋体"/>
                <w:i w:val="0"/>
                <w:iCs w:val="0"/>
                <w:color w:val="000000"/>
                <w:kern w:val="0"/>
                <w:sz w:val="21"/>
                <w:szCs w:val="21"/>
                <w:u w:val="none"/>
                <w:vertAlign w:val="subscript"/>
                <w:lang w:val="en-US" w:eastAsia="zh-CN" w:bidi="ar"/>
              </w:rPr>
              <w:t>3</w:t>
            </w:r>
            <w:r>
              <w:rPr>
                <w:rFonts w:hint="eastAsia" w:ascii="宋体" w:hAnsi="宋体" w:eastAsia="宋体" w:cs="宋体"/>
                <w:i w:val="0"/>
                <w:iCs w:val="0"/>
                <w:color w:val="000000"/>
                <w:kern w:val="0"/>
                <w:sz w:val="21"/>
                <w:szCs w:val="21"/>
                <w:u w:val="none"/>
                <w:lang w:val="en-US" w:eastAsia="zh-CN" w:bidi="ar"/>
              </w:rPr>
              <w:t>，24h）无异常，单项判定均为合格。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9"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6．▲桌面耐污染应符合以下要求：耐污染[墨水(蓝色和红色)、印泥、水笔、圆珠笔、涂改液，24h]，技术要求能被符合QB/T2309的普通橡皮擦拭；单项判定为合格。检验依据QB/T 4071-2021 《课桌椅》。</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7．▲ABS塑料（塑胶）检验：【洛氏硬度(HRR)：≥90），测试方法GB/T 3398.2-2008】；【表面电阻率≥1.0x10</w:t>
            </w:r>
            <w:r>
              <w:rPr>
                <w:rFonts w:hint="eastAsia" w:ascii="宋体" w:hAnsi="宋体" w:eastAsia="宋体" w:cs="宋体"/>
                <w:i w:val="0"/>
                <w:iCs w:val="0"/>
                <w:color w:val="000000"/>
                <w:kern w:val="0"/>
                <w:sz w:val="21"/>
                <w:szCs w:val="21"/>
                <w:u w:val="none"/>
                <w:vertAlign w:val="superscript"/>
                <w:lang w:val="en-US" w:eastAsia="zh-CN" w:bidi="ar"/>
              </w:rPr>
              <w:t>12</w:t>
            </w:r>
            <w:r>
              <w:rPr>
                <w:rFonts w:hint="eastAsia" w:ascii="宋体" w:hAnsi="宋体" w:eastAsia="宋体" w:cs="宋体"/>
                <w:i w:val="0"/>
                <w:iCs w:val="0"/>
                <w:color w:val="000000"/>
                <w:kern w:val="0"/>
                <w:sz w:val="21"/>
                <w:szCs w:val="21"/>
                <w:u w:val="none"/>
                <w:lang w:val="en-US" w:eastAsia="zh-CN" w:bidi="ar"/>
              </w:rPr>
              <w:t>Ω，测试方法GB/T 31838.3-2019】；【拉伸强度（试验速度：50mm/min）≥40MPa；拉伸断裂伸长率（试验速度：50mm/min）≥1.0%；测试方法GB/T 1040.2-2022】；【简支梁缺口冲击强度：≥10KJ∕㎡ ，测试方法GB/T 1043.1-2008】；【耐磨性(CS-17，750g，100r)≤0.01g，测试方法GB/T 5478-2008】；【热老化（60℃，100h）无龟裂、鼓泡现象，测试方法GB/T 7141-2008】；【盐雾老化（中性盐雾，100h）无锈蚀现象，测试方法GB/T 10125-2021】；【荧光紫外灯老化（100h1）（拉伸强度保持率≥60%、断裂伸长率保持率≥60%、外观变色评级≥3级），测试方法GB/T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37866-2019】。单项判定均为合格。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B.书箱</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8．材质：PP塑料（塑胶）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9．规格：内径尺寸：（长450mm×宽330mm×高90mm）±5mm；外径尺寸：（长500mmm×宽340mm×高100mm）±5mm。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书箱技术满足以下要求：书箱内部前沿设有（长370mmm×宽60mm）±5mm凹槽方便储放笔和橡皮擦等小文具。底部有排水槽缝设计（宽度≤5mm）不少于44条，方便清洗或擦拭底部易排水通风干燥。书箱三墙面为弧型设计，无尖角，确保学生安全。书箱外围倒圆角光滑不刮手，无毛边。书箱底部外侧横向加强筋不少于6条、纵向加强筋不少于3条，加固承重，不易变形。</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11．挂钩：左右两侧各有连体多功能挂钩（87mm×38mm×26mm）±5mm，书箱与挂钩一体成型设计，挂钩不超出桌侧缘之外。</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C.桌脚钢架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尺寸：桌脚贴地部与上部弯管尺寸为椭圆形30mm±1mm×60mm±1mm×厚1.5mm,桌脚上部活动立管钢管尺寸为椭圆形23mm±1mm×50mm±1mm×厚1.5mm；连接书箱L型支架钢管尺寸椭圆形23mm±1mm×50mm±1mm×厚1.5mm,二桌脚贴地连接横钢管尺寸为椭圆形20mm±1mm×40mm±1mm×厚1.2mm的白皮钢管，该横档管到桌面内沿间距须符合GB/T 3976-2014关于桌下净空深的要求。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表面涂装：焊接完成后的钢管架，表面经除油、脱脂、磷化、皮膜处理。外表采用一级颗粒粉末，经高温粉体烤漆，不得有刮伤或脱漆现象。涂层无漏喷、锈蚀；涂层光滑均匀，色泽一致。涂层平整光滑、清晰。</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15．底坐L字型弯管左右组合焊接外型，内置手摇升降组件装置，隐藏式上下升降结构。桌腿外观无外露螺丝五金件，学生使用时无安全隐患，左右腿可以同时调整高度。</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16．产品符合QB/T 4071-2021 标准,无断裂或豁裂, 手揿压各部件无永久性松动, 零部件无严重影响使用功能的磨损或变形, 五金连接件不松动, 活动部件开关灵便。</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D.课桌标示</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采用激光镭射标示，字体稳固不易脱落掉色，方便学校管理使用及产品维护。在可调节的钢制脚架上外侧清晰标记，高度刻度尺按照（《学校课桌椅功能尺寸及技术要求》（GB/T3976-2014））用阿拉伯数字作标示。</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18．在课桌桌腿立管(钢制脚架上)外侧上做如下标示：a)标有统一的校名（简称）汉字或学校 LOGO，满足学校财产登记；b)标有生产（出厂）年月日数字标识，保证设备保修售后；c)标有产品序列号数字标识（编码从0001开始的四位流水号），满足学校财产登记的需要；d)标有高度刻度尺数字标识，满足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E.脚垫</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19．材质：PP塑料（塑胶）。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前脚垫规格及功能：（长73mm×宽50mm×高71mm）±2mm,垫跟高8mm±2mm。课桌前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人体接触面圆弧形，表面光滑，无棱角。</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21．后脚垫规格及功能：（长196mm×宽50mm×高85mm）±2mm,垫跟厚度8mm±2mm。贴地脚垫长、宽大与地面接触平稳安全。</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F.手摇升降组件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手摇升降组件装置：手摇可调式结构，该手摇升降组件应由中间传动轴精密连接课桌左右腿的上部活动立管，以实现课桌左右腿的同步升降功能。其设计原理基于手摇千斤顶的承载式上下安全升降结构，通过由下至上的顶升方式，确保整体结构具备高强度、坚固耐用的特性。用户通过简单的手摇操作，即可轻松实现桌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23．升降技术要求：手摇升降调节，每张课桌满足手摇升降调节行程不少于9cm,符合(GB/T3976-2014)9～6号、6～2号、3～0号学生课桌标准，可调节高度区间至少满足52cm-61cm、61cm-73cm、70cm-79cm，符合GB/T 3976-2014学校课桌椅功能尺寸及技术要求，在区间内可通过手摇工具快速调节到任意的高度；满足不同身高的学生坐姿书写舒适需求。课桌选择的具体调节型号范围，中标后可根据使用年级另行确定，存在不同调节范围的情况，中标供应商无条件配合。</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7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升降课椅</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A.靠背</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24．材质：PP塑料（塑胶）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25．尺寸：（长395mm×宽280mm）±5mm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26．样式：靠背与钢管结合方式，采用直插套管卡扣式紧固，无外露螺丝等紧固件。牢固稳定无摇晃、松动现象。靠背呈弯孤曲面，人体工程学舒适设计，设有散热孔透气，孔直径均小于5mm。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27．▲升降课桌椅：烟密度≤75；氧指数≥20%；垂直燃烧V-1级；氯乙烯单体残留量≤3mg/kg。单项判定均为合格。检验依据GB/T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B.座垫</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28．材质：PP塑料（塑胶）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29．尺寸：（长400mm×宽380mm）±5mm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30．样式：座垫前端有两处下凹设计，座垫深部有内陷设计，座垫曲面有散热孔设计，孔直径均小于5mm。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31．▲座垫抗滑应满足以下要求：抗滑值((湿测)（BPN,20℃）检测结果≥72.4；抗滑值((干测)（BPN,20℃）检测结果≥104.8。</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C.椅腿钢架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材质及规格:采用椭圆形钢管，主要支撑部件（厚度不小于1.5mm）。椅座贴地钢管尺寸为面包形30mm±1mm×45mm±1mm×厚1.4mm；椅子横杆尺寸为面包形20mm±1mm×30mm±1mm×厚1.2mm；椅脚上部活动立管钢管尺寸为椭圆形23mm±1mm×35mm±1mm×厚1.4mm；靠背弯管钢管尺寸为面包形20mm±1mm×30 mm±1mm厚1.2mm，椅座补强钢管尺寸为面包形20mm±1mm×30mm±1mm厚1.2mm。</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33．工艺：采用上下安全升降结构，可调节区间（调节行程）不少于10㎝，符合(GB/T3976-2014) )学生课椅标准（具体实际要求高度以学校要求为准）。升降刻度尺采用激光镭射打印。</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34．技术形状：底坐采用安全牢固的C字（或工字或Z字)组合焊接外型，内置手摇升降组件装置，隐藏式上下升降结构。椅腿外观无外露螺丝五金件，学生使用时无安全隐患，左右腿可以同时调整高度。</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升降课桌椅钢架检验：【化学成分：C≤0.22%，Si≤0.35%，Mn≤1.40%，P≤0.045%，S≤0.050%】；【力学性能：抗拉强度Rm370～560MPa，下屈服强度ReL≥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3832-1999《轻工产品金属镀层腐蚀试验结果的评价》；单项判定均为合格。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D.课桌椅标识：</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采用激光镭射标示，字体保证永久不会脱落掉色，方便学校管理使用及产品维护。在可调节的钢制脚架上外侧清晰标记，刻度尺按照课桌椅国标（GB/T3976-2014《学校课桌椅功能尺寸及技术要求》）用阿拉伯数字作标示。</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F.脚垫</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38．材质：PP，结实耐用不易脱落。</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前脚垫规格及功能：（长100mm×宽38mm×高57mm）±5mm,垫跟厚度8mm±2mm。课椅脚垫采用固定螺丝和地平调节螺丝独立专用的安装模式：固定螺丝用于连接贴地管与脚垫，使脚垫不易脱落。地平调节螺丝可用螺丝刀旋转任意调节水平度的功能，同时还可以防止课椅倾斜。地平调节螺丝采用耐磨塑钢胶料POM材质螺纹制造、旋转顺滑且不生锈、质量轻且承重性强、防滑防震、耐磨降噪、操作简便实用。</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40．后脚垫规格及功能：（长115mm×宽38mm×高58mm,）±2mm垫跟厚度8mm±2mm。采用十字沉头自攻螺丝锁付，使脚垫不易脱落。</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其他配件（简述）</w:t>
            </w:r>
          </w:p>
          <w:p>
            <w:pPr>
              <w:keepNext w:val="0"/>
              <w:keepLines w:val="0"/>
              <w:widowControl/>
              <w:numPr>
                <w:ilvl w:val="0"/>
                <w:numId w:val="0"/>
              </w:numPr>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快速升降调节组件：</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手摇升降组件装置：手摇可调式结构，该手摇升降组件应由中间传动轴精密连接课椅左右腿的上部活动立管，以实现课椅左右腿的同步升降功能。其设计原理基于手摇千斤顶的承载式上下安全升降结构，通过由下至上的顶升方式，确保整体结构具备高强度、坚固耐用的特性。用户通过简单的手摇操作，即可轻松实现椅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9" w:hRule="atLeast"/>
        </w:trPr>
        <w:tc>
          <w:tcPr>
            <w:tcW w:w="70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1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42．升降技术要求：全手摇升降可调式调节，每张课椅满足手摇升降调节行程不少于10cm，可调节高度区间至少满足5号～0号（36cm～46cm）、9号～5号（29cm～36cm），符合GBT 3976-2014学校课桌椅功能尺寸及技术要求，在区间内可通过手摇工具快速调节到任意的高度；满足不同身高的学生坐姿书写舒适需求。课椅选择的具体调节型号范围，中标后可根据使用年级另行确定，存在不同调节范围的情况，中标供应商无条件配合。</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六</w:t>
      </w:r>
      <w:r>
        <w:rPr>
          <w:rFonts w:hint="eastAsia" w:ascii="黑体" w:eastAsia="黑体"/>
          <w:b w:val="0"/>
          <w:bCs w:val="0"/>
          <w:sz w:val="24"/>
          <w:szCs w:val="20"/>
        </w:rPr>
        <w:t>、绿色采购情况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b w:val="0"/>
          <w:bCs/>
          <w:sz w:val="21"/>
          <w:szCs w:val="21"/>
        </w:rPr>
      </w:pPr>
      <w:r>
        <w:rPr>
          <w:rFonts w:hint="eastAsia" w:ascii="黑体" w:eastAsia="黑体"/>
          <w:b w:val="0"/>
          <w:bCs w:val="0"/>
          <w:sz w:val="24"/>
          <w:szCs w:val="20"/>
          <w:lang w:val="en-US" w:eastAsia="zh-CN"/>
        </w:rPr>
        <w:t>九、政府采购节能环保产品</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jc w:val="center"/>
        <w:rPr>
          <w:rFonts w:hint="eastAsia" w:ascii="黑体" w:eastAsia="黑体"/>
          <w:b w:val="0"/>
          <w:bCs w:val="0"/>
          <w:sz w:val="24"/>
          <w:szCs w:val="20"/>
          <w:lang w:val="en-US" w:eastAsia="zh-CN"/>
        </w:rPr>
      </w:pPr>
      <w:bookmarkStart w:id="76" w:name="_Hlk72260576"/>
    </w:p>
    <w:p>
      <w:pPr>
        <w:ind w:left="420" w:leftChars="200" w:firstLine="210" w:firstLineChars="100"/>
        <w:rPr>
          <w:rFonts w:hint="default"/>
          <w:lang w:val="en-US" w:eastAsia="zh-CN"/>
        </w:rPr>
      </w:pPr>
    </w:p>
    <w:p>
      <w:pPr>
        <w:jc w:val="center"/>
        <w:rPr>
          <w:b/>
          <w:bCs/>
          <w:sz w:val="24"/>
        </w:rPr>
      </w:pPr>
    </w:p>
    <w:p>
      <w:pPr>
        <w:pStyle w:val="3"/>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21581"/>
      <w:bookmarkStart w:id="102" w:name="_Toc73518151"/>
      <w:bookmarkStart w:id="103" w:name="_Toc73521669"/>
      <w:bookmarkStart w:id="104" w:name="_Toc73517673"/>
      <w:bookmarkStart w:id="105" w:name="_Toc100052400"/>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21674"/>
      <w:bookmarkStart w:id="117" w:name="_Toc73517679"/>
      <w:bookmarkStart w:id="118" w:name="_Toc73518157"/>
      <w:bookmarkStart w:id="119" w:name="_Toc73521586"/>
      <w:bookmarkStart w:id="120" w:name="_Toc100052408"/>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18158"/>
      <w:bookmarkStart w:id="123" w:name="_Toc73521587"/>
      <w:bookmarkStart w:id="124" w:name="_Toc100052409"/>
      <w:bookmarkStart w:id="125" w:name="_Toc73517680"/>
      <w:bookmarkStart w:id="126" w:name="_Toc73521675"/>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589"/>
      <w:bookmarkStart w:id="128" w:name="_Toc73521677"/>
      <w:bookmarkStart w:id="129" w:name="_Toc100052410"/>
      <w:bookmarkStart w:id="130" w:name="_Toc73517682"/>
      <w:bookmarkStart w:id="131" w:name="_Toc73518160"/>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17683"/>
      <w:bookmarkStart w:id="133" w:name="_Toc73521590"/>
      <w:bookmarkStart w:id="134" w:name="_Toc100052411"/>
      <w:bookmarkStart w:id="135" w:name="_Toc73521678"/>
      <w:bookmarkStart w:id="136" w:name="_Toc7351816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876406-715F-486F-B5B1-CD57DD103F44}"/>
  </w:font>
  <w:font w:name="Arial">
    <w:panose1 w:val="020B0604020202020204"/>
    <w:charset w:val="01"/>
    <w:family w:val="swiss"/>
    <w:pitch w:val="default"/>
    <w:sig w:usb0="E0002EFF" w:usb1="C000785B" w:usb2="00000009" w:usb3="00000000" w:csb0="400001FF" w:csb1="FFFF0000"/>
    <w:embedRegular r:id="rId2" w:fontKey="{6A2DDE42-5B43-467B-9563-B97E927FC887}"/>
  </w:font>
  <w:font w:name="黑体">
    <w:panose1 w:val="02010609060101010101"/>
    <w:charset w:val="86"/>
    <w:family w:val="auto"/>
    <w:pitch w:val="default"/>
    <w:sig w:usb0="800002BF" w:usb1="38CF7CFA" w:usb2="00000016" w:usb3="00000000" w:csb0="00040001" w:csb1="00000000"/>
    <w:embedRegular r:id="rId3" w:fontKey="{C663E13C-6CA1-45BE-A31E-0F47AB99EB3F}"/>
  </w:font>
  <w:font w:name="Courier New">
    <w:panose1 w:val="02070309020205020404"/>
    <w:charset w:val="01"/>
    <w:family w:val="modern"/>
    <w:pitch w:val="default"/>
    <w:sig w:usb0="E0002EFF" w:usb1="C0007843" w:usb2="00000009" w:usb3="00000000" w:csb0="400001FF" w:csb1="FFFF0000"/>
    <w:embedRegular r:id="rId4" w:fontKey="{2D5CC3F2-3C5A-4A29-95EF-5DF285F2759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E994949-8A22-4D39-96BC-ADC11E06CE5A}"/>
  </w:font>
  <w:font w:name="Cambria">
    <w:panose1 w:val="02040503050406030204"/>
    <w:charset w:val="00"/>
    <w:family w:val="roman"/>
    <w:pitch w:val="default"/>
    <w:sig w:usb0="E00006FF" w:usb1="420024FF" w:usb2="02000000" w:usb3="00000000" w:csb0="2000019F" w:csb1="00000000"/>
    <w:embedRegular r:id="rId6" w:fontKey="{D66CB7EE-2914-4966-847D-BE96B350E1A3}"/>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7" w:fontKey="{0D2EDBA1-CD9E-4756-B57D-B665B723147C}"/>
  </w:font>
  <w:font w:name="华文仿宋">
    <w:panose1 w:val="02010600040101010101"/>
    <w:charset w:val="86"/>
    <w:family w:val="auto"/>
    <w:pitch w:val="default"/>
    <w:sig w:usb0="00000287" w:usb1="080F0000" w:usb2="00000000" w:usb3="00000000" w:csb0="0004009F" w:csb1="DFD70000"/>
    <w:embedRegular r:id="rId8" w:fontKey="{51199B7D-E6BB-4ADC-BA09-CF57324CD5AB}"/>
  </w:font>
  <w:font w:name="新宋体">
    <w:panose1 w:val="02010609030101010101"/>
    <w:charset w:val="86"/>
    <w:family w:val="modern"/>
    <w:pitch w:val="default"/>
    <w:sig w:usb0="00000203" w:usb1="288F0000" w:usb2="00000006" w:usb3="00000000" w:csb0="00040001" w:csb1="00000000"/>
    <w:embedRegular r:id="rId9" w:fontKey="{B5C76BA3-5EFE-45C6-BA25-F1825D8D02DC}"/>
  </w:font>
  <w:font w:name="仿宋">
    <w:panose1 w:val="02010609060101010101"/>
    <w:charset w:val="86"/>
    <w:family w:val="modern"/>
    <w:pitch w:val="default"/>
    <w:sig w:usb0="800002BF" w:usb1="38CF7CFA" w:usb2="00000016" w:usb3="00000000" w:csb0="00040001" w:csb1="00000000"/>
    <w:embedRegular r:id="rId10" w:fontKey="{B1145132-A33D-4B7B-AAF5-7AFE8447E86F}"/>
  </w:font>
  <w:font w:name="方正仿宋_GBK">
    <w:panose1 w:val="02000000000000000000"/>
    <w:charset w:val="86"/>
    <w:family w:val="auto"/>
    <w:pitch w:val="default"/>
    <w:sig w:usb0="A00002BF" w:usb1="38CF7CFA" w:usb2="00082016" w:usb3="00000000" w:csb0="00040001" w:csb1="00000000"/>
    <w:embedRegular r:id="rId11" w:fontKey="{31927ECF-6DE7-4A3A-9198-6076673A43B2}"/>
  </w:font>
  <w:font w:name="华文中宋">
    <w:panose1 w:val="02010600040101010101"/>
    <w:charset w:val="86"/>
    <w:family w:val="auto"/>
    <w:pitch w:val="default"/>
    <w:sig w:usb0="00000287" w:usb1="080F0000" w:usb2="00000000" w:usb3="00000000" w:csb0="0004009F" w:csb1="DFD70000"/>
    <w:embedRegular r:id="rId12" w:fontKey="{8B6147DB-66F0-4EDE-84F2-0CA8A8888C14}"/>
  </w:font>
  <w:font w:name="汉仪书宋二S">
    <w:panose1 w:val="00020600040101010101"/>
    <w:charset w:val="86"/>
    <w:family w:val="auto"/>
    <w:pitch w:val="default"/>
    <w:sig w:usb0="A00002BF" w:usb1="18EF7CFA" w:usb2="00000016" w:usb3="00000000" w:csb0="00040000" w:csb1="00000000"/>
    <w:embedRegular r:id="rId13" w:fontKey="{FDA1804F-07B0-4CB8-AC15-723E9F142CF5}"/>
  </w:font>
  <w:font w:name="华文楷体">
    <w:panose1 w:val="02010600040101010101"/>
    <w:charset w:val="86"/>
    <w:family w:val="auto"/>
    <w:pitch w:val="default"/>
    <w:sig w:usb0="00000287" w:usb1="080F0000" w:usb2="00000000" w:usb3="00000000" w:csb0="0004009F" w:csb1="DFD70000"/>
    <w:embedRegular r:id="rId14" w:fontKey="{8DDCBE1A-52B7-43C9-A6CF-BD48E1BBDB01}"/>
  </w:font>
  <w:font w:name="ˎ̥">
    <w:altName w:val="Times New Roman"/>
    <w:panose1 w:val="00000000000000000000"/>
    <w:charset w:val="00"/>
    <w:family w:val="auto"/>
    <w:pitch w:val="default"/>
    <w:sig w:usb0="00000000" w:usb1="00000000" w:usb2="00000000" w:usb3="00000000" w:csb0="00040001" w:csb1="00000000"/>
    <w:embedRegular r:id="rId15" w:fontKey="{8B5824C6-8840-4DFE-90CC-A6A1FF2E756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8273DF"/>
    <w:multiLevelType w:val="singleLevel"/>
    <w:tmpl w:val="9B8273DF"/>
    <w:lvl w:ilvl="0" w:tentative="0">
      <w:start w:val="7"/>
      <w:numFmt w:val="upperLetter"/>
      <w:lvlText w:val="%1."/>
      <w:lvlJc w:val="left"/>
      <w:pPr>
        <w:tabs>
          <w:tab w:val="left" w:pos="312"/>
        </w:tabs>
      </w:p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8"/>
  </w:num>
  <w:num w:numId="2">
    <w:abstractNumId w:val="0"/>
  </w:num>
  <w:num w:numId="3">
    <w:abstractNumId w:val="1"/>
  </w:num>
  <w:num w:numId="4">
    <w:abstractNumId w:val="2"/>
  </w:num>
  <w:num w:numId="5">
    <w:abstractNumId w:val="11"/>
  </w:num>
  <w:num w:numId="6">
    <w:abstractNumId w:val="4"/>
  </w:num>
  <w:num w:numId="7">
    <w:abstractNumId w:val="9"/>
  </w:num>
  <w:num w:numId="8">
    <w:abstractNumId w:val="6"/>
  </w:num>
  <w:num w:numId="9">
    <w:abstractNumId w:val="5"/>
  </w:num>
  <w:num w:numId="10">
    <w:abstractNumId w:val="3"/>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NotDisplayPageBoundaries w:val="1"/>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2F7A58"/>
    <w:rsid w:val="014063FE"/>
    <w:rsid w:val="01721FEB"/>
    <w:rsid w:val="01722330"/>
    <w:rsid w:val="01CA5CC8"/>
    <w:rsid w:val="020325B2"/>
    <w:rsid w:val="02226211"/>
    <w:rsid w:val="0293255D"/>
    <w:rsid w:val="02E25F12"/>
    <w:rsid w:val="02FC0E89"/>
    <w:rsid w:val="030516AD"/>
    <w:rsid w:val="038A3F97"/>
    <w:rsid w:val="03993BA4"/>
    <w:rsid w:val="03A66B69"/>
    <w:rsid w:val="03E017D2"/>
    <w:rsid w:val="04003859"/>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412523"/>
    <w:rsid w:val="07724E37"/>
    <w:rsid w:val="07813DC3"/>
    <w:rsid w:val="07B37245"/>
    <w:rsid w:val="07EC1177"/>
    <w:rsid w:val="08626815"/>
    <w:rsid w:val="08A54D99"/>
    <w:rsid w:val="08E33B14"/>
    <w:rsid w:val="097A64AA"/>
    <w:rsid w:val="09B4074E"/>
    <w:rsid w:val="09B47989"/>
    <w:rsid w:val="09CB6A81"/>
    <w:rsid w:val="0A0106F5"/>
    <w:rsid w:val="0A4426BD"/>
    <w:rsid w:val="0A522CFE"/>
    <w:rsid w:val="0A537E82"/>
    <w:rsid w:val="0A5C6858"/>
    <w:rsid w:val="0A670558"/>
    <w:rsid w:val="0A87085A"/>
    <w:rsid w:val="0AA04BFE"/>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354F4A"/>
    <w:rsid w:val="12590576"/>
    <w:rsid w:val="12635AA8"/>
    <w:rsid w:val="127840D2"/>
    <w:rsid w:val="12900790"/>
    <w:rsid w:val="12900868"/>
    <w:rsid w:val="131266C5"/>
    <w:rsid w:val="134F24D1"/>
    <w:rsid w:val="13AA7707"/>
    <w:rsid w:val="13FF3EF7"/>
    <w:rsid w:val="140978AA"/>
    <w:rsid w:val="144E2788"/>
    <w:rsid w:val="14806439"/>
    <w:rsid w:val="148D226A"/>
    <w:rsid w:val="149C1746"/>
    <w:rsid w:val="14E4477F"/>
    <w:rsid w:val="15BD1BCA"/>
    <w:rsid w:val="16105DC5"/>
    <w:rsid w:val="166800D8"/>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AB716C8"/>
    <w:rsid w:val="1B1B5294"/>
    <w:rsid w:val="1B356450"/>
    <w:rsid w:val="1B434F04"/>
    <w:rsid w:val="1B9C14FB"/>
    <w:rsid w:val="1BB62A50"/>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4B735A"/>
    <w:rsid w:val="1E5A2311"/>
    <w:rsid w:val="1E5A29B0"/>
    <w:rsid w:val="1E71779F"/>
    <w:rsid w:val="1E836B97"/>
    <w:rsid w:val="1E8A6AB3"/>
    <w:rsid w:val="1EFB3211"/>
    <w:rsid w:val="1F103EA9"/>
    <w:rsid w:val="1F1D7927"/>
    <w:rsid w:val="1F491BA9"/>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03CBF"/>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3364C"/>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B252D6"/>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2D2729"/>
    <w:rsid w:val="2F363171"/>
    <w:rsid w:val="30311375"/>
    <w:rsid w:val="30473F91"/>
    <w:rsid w:val="306058C5"/>
    <w:rsid w:val="30610607"/>
    <w:rsid w:val="30B023A9"/>
    <w:rsid w:val="30C714A1"/>
    <w:rsid w:val="311772A4"/>
    <w:rsid w:val="31B92B8B"/>
    <w:rsid w:val="324D032D"/>
    <w:rsid w:val="3257574A"/>
    <w:rsid w:val="32FB3683"/>
    <w:rsid w:val="32FD564D"/>
    <w:rsid w:val="331127F2"/>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404D3"/>
    <w:rsid w:val="3E151A9D"/>
    <w:rsid w:val="3E375EB7"/>
    <w:rsid w:val="3E38205E"/>
    <w:rsid w:val="3EA47C68"/>
    <w:rsid w:val="3ED03C16"/>
    <w:rsid w:val="3EEB27FE"/>
    <w:rsid w:val="3F2513FC"/>
    <w:rsid w:val="3F3423F7"/>
    <w:rsid w:val="3F8E1B07"/>
    <w:rsid w:val="3FAB1200"/>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B33C7"/>
    <w:rsid w:val="436F7EA2"/>
    <w:rsid w:val="43860D47"/>
    <w:rsid w:val="43EA62D3"/>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3612FD"/>
    <w:rsid w:val="4B475260"/>
    <w:rsid w:val="4B4C2876"/>
    <w:rsid w:val="4B9E1324"/>
    <w:rsid w:val="4BBF201F"/>
    <w:rsid w:val="4BE17463"/>
    <w:rsid w:val="4C641F38"/>
    <w:rsid w:val="4CA26BF2"/>
    <w:rsid w:val="4CEE1E37"/>
    <w:rsid w:val="4CF64AB0"/>
    <w:rsid w:val="4D145F92"/>
    <w:rsid w:val="4D330192"/>
    <w:rsid w:val="4D461C73"/>
    <w:rsid w:val="4E092CA1"/>
    <w:rsid w:val="4E4156DB"/>
    <w:rsid w:val="4E872543"/>
    <w:rsid w:val="4E93713A"/>
    <w:rsid w:val="4F1456D4"/>
    <w:rsid w:val="4F3019F8"/>
    <w:rsid w:val="4F9905AE"/>
    <w:rsid w:val="4FC33F25"/>
    <w:rsid w:val="4FD001C7"/>
    <w:rsid w:val="4FFF6109"/>
    <w:rsid w:val="500B71A4"/>
    <w:rsid w:val="502E60F8"/>
    <w:rsid w:val="50334005"/>
    <w:rsid w:val="505E4B9C"/>
    <w:rsid w:val="50772C4C"/>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9F86BA9"/>
    <w:rsid w:val="5A564466"/>
    <w:rsid w:val="5A902780"/>
    <w:rsid w:val="5A9F4737"/>
    <w:rsid w:val="5AAE2C06"/>
    <w:rsid w:val="5AE8436A"/>
    <w:rsid w:val="5AF80325"/>
    <w:rsid w:val="5B6339F0"/>
    <w:rsid w:val="5BF6561B"/>
    <w:rsid w:val="5BFA4C14"/>
    <w:rsid w:val="5C2A6C04"/>
    <w:rsid w:val="5C3543D2"/>
    <w:rsid w:val="5CE36031"/>
    <w:rsid w:val="5D6A7E18"/>
    <w:rsid w:val="5D9C1AF9"/>
    <w:rsid w:val="5DB26EB1"/>
    <w:rsid w:val="5DBA559D"/>
    <w:rsid w:val="5DFE3EA4"/>
    <w:rsid w:val="5E465887"/>
    <w:rsid w:val="5E473A9D"/>
    <w:rsid w:val="5E5E5C0A"/>
    <w:rsid w:val="5E8425FB"/>
    <w:rsid w:val="5EDA342D"/>
    <w:rsid w:val="5EE50BC0"/>
    <w:rsid w:val="5F181B76"/>
    <w:rsid w:val="5F463D55"/>
    <w:rsid w:val="5FD4389C"/>
    <w:rsid w:val="5FEC48FC"/>
    <w:rsid w:val="6013374F"/>
    <w:rsid w:val="60545FFD"/>
    <w:rsid w:val="60B116A2"/>
    <w:rsid w:val="60B42F40"/>
    <w:rsid w:val="60B7767B"/>
    <w:rsid w:val="61696F59"/>
    <w:rsid w:val="61D672CA"/>
    <w:rsid w:val="61E63AF5"/>
    <w:rsid w:val="61F454AA"/>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2100A"/>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955F7C"/>
    <w:rsid w:val="6AB029CA"/>
    <w:rsid w:val="6AB40090"/>
    <w:rsid w:val="6ADE7537"/>
    <w:rsid w:val="6AE34B4E"/>
    <w:rsid w:val="6AE847E7"/>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3E046D"/>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2E04E5"/>
    <w:rsid w:val="7956473D"/>
    <w:rsid w:val="798661F3"/>
    <w:rsid w:val="799314ED"/>
    <w:rsid w:val="79EE2C15"/>
    <w:rsid w:val="7AA46F38"/>
    <w:rsid w:val="7B467F1D"/>
    <w:rsid w:val="7BA7772C"/>
    <w:rsid w:val="7C0924C9"/>
    <w:rsid w:val="7C507B69"/>
    <w:rsid w:val="7C711A95"/>
    <w:rsid w:val="7C8D4919"/>
    <w:rsid w:val="7CBA4FE2"/>
    <w:rsid w:val="7CD24A22"/>
    <w:rsid w:val="7D057363"/>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qFormat/>
    <w:uiPriority w:val="0"/>
    <w:rPr>
      <w:rFonts w:hint="eastAsia" w:ascii="宋体" w:hAnsi="宋体" w:eastAsia="宋体" w:cs="宋体"/>
      <w:b/>
      <w:bCs/>
      <w:color w:val="000000"/>
      <w:sz w:val="21"/>
      <w:szCs w:val="21"/>
      <w:u w:val="none"/>
    </w:rPr>
  </w:style>
  <w:style w:type="paragraph" w:customStyle="1" w:styleId="39">
    <w:name w:val="_Style 3"/>
    <w:basedOn w:val="1"/>
    <w:qFormat/>
    <w:uiPriority w:val="34"/>
    <w:pPr>
      <w:ind w:firstLine="420" w:firstLineChars="200"/>
    </w:pPr>
    <w:rPr>
      <w:sz w:val="20"/>
    </w:rPr>
  </w:style>
  <w:style w:type="character" w:customStyle="1" w:styleId="40">
    <w:name w:val="font21"/>
    <w:basedOn w:val="19"/>
    <w:qFormat/>
    <w:uiPriority w:val="0"/>
    <w:rPr>
      <w:rFonts w:hint="eastAsia" w:ascii="宋体" w:hAnsi="宋体" w:eastAsia="宋体" w:cs="宋体"/>
      <w:color w:val="000000"/>
      <w:sz w:val="21"/>
      <w:szCs w:val="21"/>
      <w:u w:val="none"/>
    </w:rPr>
  </w:style>
  <w:style w:type="character" w:customStyle="1" w:styleId="41">
    <w:name w:val="font31"/>
    <w:basedOn w:val="19"/>
    <w:qFormat/>
    <w:uiPriority w:val="0"/>
    <w:rPr>
      <w:rFonts w:hint="default" w:ascii="Calibri" w:hAnsi="Calibri" w:cs="Calibri"/>
      <w:color w:val="000000"/>
      <w:sz w:val="21"/>
      <w:szCs w:val="21"/>
      <w:u w:val="none"/>
    </w:rPr>
  </w:style>
  <w:style w:type="character" w:customStyle="1" w:styleId="42">
    <w:name w:val="font41"/>
    <w:basedOn w:val="19"/>
    <w:qFormat/>
    <w:uiPriority w:val="0"/>
    <w:rPr>
      <w:rFonts w:hint="default" w:ascii="Calibri" w:hAnsi="Calibri" w:cs="Calibri"/>
      <w:color w:val="000000"/>
      <w:sz w:val="21"/>
      <w:szCs w:val="21"/>
      <w:u w:val="none"/>
    </w:rPr>
  </w:style>
  <w:style w:type="character" w:customStyle="1" w:styleId="43">
    <w:name w:val="font71"/>
    <w:basedOn w:val="19"/>
    <w:qFormat/>
    <w:uiPriority w:val="0"/>
    <w:rPr>
      <w:rFonts w:hint="eastAsia" w:ascii="宋体" w:hAnsi="宋体" w:eastAsia="宋体" w:cs="宋体"/>
      <w:color w:val="000000"/>
      <w:sz w:val="21"/>
      <w:szCs w:val="21"/>
      <w:u w:val="none"/>
    </w:rPr>
  </w:style>
  <w:style w:type="character" w:customStyle="1" w:styleId="44">
    <w:name w:val="font51"/>
    <w:basedOn w:val="19"/>
    <w:qFormat/>
    <w:uiPriority w:val="0"/>
    <w:rPr>
      <w:rFonts w:hint="default" w:ascii="Calibri" w:hAnsi="Calibri" w:cs="Calibri"/>
      <w:b/>
      <w:bCs/>
      <w:color w:val="000000"/>
      <w:sz w:val="21"/>
      <w:szCs w:val="21"/>
      <w:u w:val="none"/>
    </w:rPr>
  </w:style>
  <w:style w:type="character" w:customStyle="1" w:styleId="45">
    <w:name w:val="font81"/>
    <w:basedOn w:val="19"/>
    <w:qFormat/>
    <w:uiPriority w:val="0"/>
    <w:rPr>
      <w:rFonts w:hint="eastAsia" w:ascii="宋体" w:hAnsi="宋体" w:eastAsia="宋体" w:cs="宋体"/>
      <w:b/>
      <w:bCs/>
      <w:color w:val="000000"/>
      <w:sz w:val="21"/>
      <w:szCs w:val="21"/>
      <w:u w:val="none"/>
    </w:rPr>
  </w:style>
  <w:style w:type="character" w:customStyle="1" w:styleId="46">
    <w:name w:val="font61"/>
    <w:basedOn w:val="19"/>
    <w:qFormat/>
    <w:uiPriority w:val="0"/>
    <w:rPr>
      <w:rFonts w:hint="default" w:ascii="Calibri" w:hAnsi="Calibri" w:cs="Calibri"/>
      <w:b/>
      <w:bCs/>
      <w:color w:val="000000"/>
      <w:sz w:val="21"/>
      <w:szCs w:val="21"/>
      <w:u w:val="none"/>
    </w:rPr>
  </w:style>
  <w:style w:type="paragraph" w:customStyle="1" w:styleId="47">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paragraph" w:styleId="48">
    <w:name w:val="Quote"/>
    <w:next w:val="1"/>
    <w:qFormat/>
    <w:uiPriority w:val="99"/>
    <w:pPr>
      <w:widowControl w:val="0"/>
      <w:jc w:val="both"/>
    </w:pPr>
    <w:rPr>
      <w:rFonts w:ascii="Calibri" w:hAnsi="Calibri" w:eastAsia="宋体" w:cs="Calibri"/>
      <w:i/>
      <w:iCs/>
      <w:color w:val="000000"/>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81</Pages>
  <Words>15930</Words>
  <Characters>18038</Characters>
  <Lines>316</Lines>
  <Paragraphs>88</Paragraphs>
  <TotalTime>2</TotalTime>
  <ScaleCrop>false</ScaleCrop>
  <LinksUpToDate>false</LinksUpToDate>
  <CharactersWithSpaces>18205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2025-06-26T08:53:20Z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88EF5034360549F4BB43A255DDB26A2A_13</vt:lpwstr>
  </property>
  <property fmtid="{D5CDD505-2E9C-101B-9397-08002B2CF9AE}" pid="4" name="KSOTemplateDocerSaveRecord">
    <vt:lpwstr>eyJoZGlkIjoiMjc3NGVhNzI4ZWU0ZTY5MzJiZGY4NTc5MjBjZWZkYmIiLCJ1c2VySWQiOiIxMTAyNjUzODIwIn0=</vt:lpwstr>
  </property>
</Properties>
</file>