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0"/>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LHAZXDL-2024-00182</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深圳市龙华区中心医院热敏纸采购项目</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tabs>
          <w:tab w:val="left" w:pos="2790"/>
        </w:tabs>
        <w:snapToGrid w:val="0"/>
        <w:jc w:val="both"/>
        <w:outlineLvl w:val="9"/>
        <w:rPr>
          <w:rFonts w:ascii="宋体" w:eastAsia="宋体" w:hAnsi="宋体" w:cs="宋体" w:hint="eastAsia"/>
          <w:kern w:val="2"/>
          <w:sz w:val="32"/>
          <w:szCs w:val="32"/>
          <w:lang w:eastAsia="zh-CN"/>
        </w:rPr>
      </w:pP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866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866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3"/>
        <w:gridCol w:w="683"/>
        <w:gridCol w:w="13"/>
        <w:gridCol w:w="1540"/>
        <w:gridCol w:w="1107"/>
        <w:gridCol w:w="494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jc w:val="center"/>
        </w:trPr>
        <w:tc>
          <w:tcPr>
            <w:tcW w:w="560"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267" w:type="dxa"/>
            <w:gridSpan w:val="4"/>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jc w:val="center"/>
          <w:tblLayout w:type="fixed"/>
          <w:tblCellMar>
            <w:top w:w="0" w:type="dxa"/>
            <w:left w:w="108" w:type="dxa"/>
            <w:bottom w:w="0" w:type="dxa"/>
            <w:right w:w="108" w:type="dxa"/>
          </w:tblCellMar>
        </w:tblPrEx>
        <w:trPr>
          <w:trHeight w:val="326"/>
          <w:jc w:val="center"/>
        </w:trPr>
        <w:tc>
          <w:tcPr>
            <w:tcW w:w="560"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3267" w:type="dxa"/>
            <w:gridSpan w:val="4"/>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30</w:t>
            </w:r>
          </w:p>
        </w:tc>
      </w:tr>
      <w:tr>
        <w:tblPrEx>
          <w:tblW w:w="5000" w:type="pct"/>
          <w:jc w:val="center"/>
          <w:tblLayout w:type="fixed"/>
          <w:tblCellMar>
            <w:top w:w="0" w:type="dxa"/>
            <w:left w:w="108" w:type="dxa"/>
            <w:bottom w:w="0" w:type="dxa"/>
            <w:right w:w="108" w:type="dxa"/>
          </w:tblCellMar>
        </w:tblPrEx>
        <w:trPr>
          <w:trHeight w:val="366"/>
          <w:jc w:val="center"/>
        </w:trPr>
        <w:tc>
          <w:tcPr>
            <w:tcW w:w="560"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3267" w:type="dxa"/>
            <w:gridSpan w:val="4"/>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技术部分</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b/>
                <w:bCs/>
                <w:color w:val="0000FF"/>
                <w:sz w:val="21"/>
                <w:szCs w:val="21"/>
                <w:lang w:eastAsia="zh-CN"/>
              </w:rPr>
            </w:pPr>
            <w:r>
              <w:rPr>
                <w:rFonts w:ascii="宋体" w:eastAsia="宋体" w:hAnsi="宋体" w:cs="宋体"/>
                <w:b/>
                <w:bCs/>
                <w:color w:val="0000FF"/>
                <w:sz w:val="21"/>
                <w:szCs w:val="21"/>
                <w:lang w:eastAsia="zh-CN"/>
              </w:rPr>
              <w:t>45</w:t>
            </w:r>
          </w:p>
        </w:tc>
      </w:tr>
      <w:tr>
        <w:tblPrEx>
          <w:tblW w:w="5000" w:type="pct"/>
          <w:jc w:val="center"/>
          <w:tblLayout w:type="fixed"/>
          <w:tblCellMar>
            <w:top w:w="0" w:type="dxa"/>
            <w:left w:w="108" w:type="dxa"/>
            <w:bottom w:w="0" w:type="dxa"/>
            <w:right w:w="108" w:type="dxa"/>
          </w:tblCellMar>
        </w:tblPrEx>
        <w:trPr>
          <w:trHeight w:val="339"/>
          <w:jc w:val="center"/>
        </w:trPr>
        <w:tc>
          <w:tcPr>
            <w:tcW w:w="560" w:type="dxa"/>
            <w:vMerge w:val="restart"/>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518" w:type="dxa"/>
            <w:gridSpan w:val="2"/>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082"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1</w:t>
            </w:r>
          </w:p>
        </w:tc>
        <w:tc>
          <w:tcPr>
            <w:tcW w:w="1518" w:type="dxa"/>
            <w:gridSpan w:val="2"/>
            <w:noWrap w:val="0"/>
            <w:vAlign w:val="center"/>
          </w:tcPr>
          <w:p>
            <w:pPr>
              <w:wordWrap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项目实施方案</w:t>
            </w:r>
          </w:p>
        </w:tc>
        <w:tc>
          <w:tcPr>
            <w:tcW w:w="1082" w:type="dxa"/>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27" w:type="dxa"/>
            <w:noWrap w:val="0"/>
            <w:vAlign w:val="top"/>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投标人根据本项目提供项目实施方案，内容包括：</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1）供货服务方案；</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2）供货配送计划；</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3）货物质量保障措施。</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每提供以上1项内容得</w:t>
            </w:r>
            <w:r>
              <w:rPr>
                <w:rFonts w:ascii="宋体" w:eastAsia="宋体" w:hAnsi="宋体" w:cs="宋体" w:hint="eastAsia"/>
                <w:sz w:val="21"/>
                <w:szCs w:val="21"/>
                <w:lang w:eastAsia="zh-CN"/>
              </w:rPr>
              <w:t>10</w:t>
            </w:r>
            <w:r>
              <w:rPr>
                <w:rFonts w:ascii="宋体" w:eastAsia="宋体" w:hAnsi="宋体" w:cs="宋体" w:hint="eastAsia"/>
                <w:sz w:val="21"/>
                <w:szCs w:val="21"/>
              </w:rPr>
              <w:t>分，最高得</w:t>
            </w:r>
            <w:r>
              <w:rPr>
                <w:rFonts w:ascii="宋体" w:eastAsia="宋体" w:hAnsi="宋体" w:cs="宋体" w:hint="eastAsia"/>
                <w:sz w:val="21"/>
                <w:szCs w:val="21"/>
                <w:lang w:eastAsia="zh-CN"/>
              </w:rPr>
              <w:t>30</w:t>
            </w:r>
            <w:r>
              <w:rPr>
                <w:rFonts w:ascii="宋体" w:eastAsia="宋体" w:hAnsi="宋体" w:cs="宋体" w:hint="eastAsia"/>
                <w:sz w:val="21"/>
                <w:szCs w:val="21"/>
              </w:rPr>
              <w:t>分。在此基础上，专家根据各供应商的具体响应内容进一步评审：</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（1）内容针对性强，全面具体，科学合理，可操作性强，评审为优，得</w:t>
            </w:r>
            <w:r>
              <w:rPr>
                <w:rFonts w:ascii="宋体" w:eastAsia="宋体" w:hAnsi="宋体" w:cs="宋体" w:hint="eastAsia"/>
                <w:sz w:val="21"/>
                <w:szCs w:val="21"/>
                <w:lang w:eastAsia="zh-CN"/>
              </w:rPr>
              <w:t>70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（2）内容针对性较强，较全面具体，较科学合理，可操作性较强，评审为良，得</w:t>
            </w:r>
            <w:r>
              <w:rPr>
                <w:rFonts w:ascii="宋体" w:eastAsia="宋体" w:hAnsi="宋体" w:cs="宋体" w:hint="eastAsia"/>
                <w:sz w:val="21"/>
                <w:szCs w:val="21"/>
                <w:lang w:eastAsia="zh-CN"/>
              </w:rPr>
              <w:t>40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（3）内容针对性一般，基本全面，合理性及可操作性一般，评审为中，得</w:t>
            </w:r>
            <w:r>
              <w:rPr>
                <w:rFonts w:ascii="宋体" w:eastAsia="宋体" w:hAnsi="宋体" w:cs="宋体" w:hint="eastAsia"/>
                <w:sz w:val="21"/>
                <w:szCs w:val="21"/>
                <w:lang w:eastAsia="zh-CN"/>
              </w:rPr>
              <w:t>10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（4）内容针对性差，不全面不具体，合理性及可操作性差，评审为差，不得分；</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（5）未提供项目实施方案，不得分。</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518" w:type="dxa"/>
            <w:gridSpan w:val="2"/>
            <w:shd w:val="clear" w:color="auto" w:fill="auto"/>
            <w:noWrap w:val="0"/>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售后服务方案</w:t>
            </w:r>
          </w:p>
        </w:tc>
        <w:tc>
          <w:tcPr>
            <w:tcW w:w="1082" w:type="dxa"/>
            <w:shd w:val="clear" w:color="auto" w:fill="auto"/>
            <w:noWrap w:val="0"/>
            <w:vAlign w:val="center"/>
          </w:tcPr>
          <w:p>
            <w:pPr>
              <w:wordWrap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c>
          <w:tcPr>
            <w:tcW w:w="4827" w:type="dxa"/>
            <w:shd w:val="clear" w:color="auto" w:fill="auto"/>
            <w:noWrap w:val="0"/>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rPr>
                <w:rFonts w:ascii="宋体" w:eastAsia="宋体" w:hAnsi="宋体" w:cs="宋体" w:hint="eastAsia"/>
                <w:sz w:val="21"/>
                <w:szCs w:val="21"/>
              </w:rPr>
            </w:pPr>
            <w:r>
              <w:rPr>
                <w:rFonts w:ascii="宋体" w:eastAsia="宋体" w:hAnsi="宋体" w:cs="宋体" w:hint="eastAsia"/>
                <w:sz w:val="21"/>
                <w:szCs w:val="21"/>
              </w:rPr>
              <w:t>投标人根据本项目提供售后服务方案，内容包括：</w:t>
            </w:r>
          </w:p>
          <w:p>
            <w:pPr>
              <w:spacing w:line="360" w:lineRule="auto"/>
              <w:rPr>
                <w:rFonts w:ascii="宋体" w:eastAsia="宋体" w:hAnsi="宋体" w:cs="宋体" w:hint="eastAsia"/>
                <w:sz w:val="21"/>
                <w:szCs w:val="21"/>
              </w:rPr>
            </w:pPr>
            <w:r>
              <w:rPr>
                <w:rFonts w:ascii="宋体" w:eastAsia="宋体" w:hAnsi="宋体" w:cs="宋体" w:hint="eastAsia"/>
                <w:sz w:val="21"/>
                <w:szCs w:val="21"/>
              </w:rPr>
              <w:t>1）所有产品均支持七天无理由退换；</w:t>
            </w:r>
          </w:p>
          <w:p>
            <w:pPr>
              <w:spacing w:line="360" w:lineRule="auto"/>
              <w:rPr>
                <w:rFonts w:ascii="宋体" w:eastAsia="宋体" w:hAnsi="宋体" w:cs="宋体" w:hint="eastAsia"/>
                <w:sz w:val="21"/>
                <w:szCs w:val="21"/>
              </w:rPr>
            </w:pPr>
            <w:r>
              <w:rPr>
                <w:rFonts w:ascii="宋体" w:eastAsia="宋体" w:hAnsi="宋体" w:cs="宋体" w:hint="eastAsia"/>
                <w:sz w:val="21"/>
                <w:szCs w:val="21"/>
              </w:rPr>
              <w:t>2）退换货流程；</w:t>
            </w:r>
          </w:p>
          <w:p>
            <w:pPr>
              <w:spacing w:line="360" w:lineRule="auto"/>
              <w:rPr>
                <w:rFonts w:ascii="宋体" w:eastAsia="宋体" w:hAnsi="宋体" w:cs="宋体" w:hint="eastAsia"/>
                <w:sz w:val="21"/>
                <w:szCs w:val="21"/>
              </w:rPr>
            </w:pPr>
            <w:r>
              <w:rPr>
                <w:rFonts w:ascii="宋体" w:eastAsia="宋体" w:hAnsi="宋体" w:cs="宋体" w:hint="eastAsia"/>
                <w:sz w:val="21"/>
                <w:szCs w:val="21"/>
              </w:rPr>
              <w:t>3）投诉事件分级及处理细则；</w:t>
            </w:r>
          </w:p>
          <w:p>
            <w:pPr>
              <w:spacing w:line="360" w:lineRule="auto"/>
              <w:rPr>
                <w:rFonts w:ascii="宋体" w:eastAsia="宋体" w:hAnsi="宋体" w:cs="宋体" w:hint="eastAsia"/>
                <w:sz w:val="21"/>
                <w:szCs w:val="21"/>
              </w:rPr>
            </w:pPr>
            <w:r>
              <w:rPr>
                <w:rFonts w:ascii="宋体" w:eastAsia="宋体" w:hAnsi="宋体" w:cs="宋体" w:hint="eastAsia"/>
                <w:sz w:val="21"/>
                <w:szCs w:val="21"/>
              </w:rPr>
              <w:t>4）对账管理方案。</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rPr>
                <w:rFonts w:ascii="宋体" w:eastAsia="宋体" w:hAnsi="宋体" w:cs="宋体" w:hint="eastAsia"/>
                <w:sz w:val="21"/>
                <w:szCs w:val="21"/>
              </w:rPr>
            </w:pPr>
            <w:r>
              <w:rPr>
                <w:rFonts w:ascii="宋体" w:eastAsia="宋体" w:hAnsi="宋体" w:cs="宋体" w:hint="eastAsia"/>
                <w:sz w:val="21"/>
                <w:szCs w:val="21"/>
              </w:rPr>
              <w:t>每提供以上1项内容得</w:t>
            </w:r>
            <w:r>
              <w:rPr>
                <w:rFonts w:ascii="宋体" w:eastAsia="宋体" w:hAnsi="宋体" w:cs="宋体" w:hint="eastAsia"/>
                <w:sz w:val="21"/>
                <w:szCs w:val="21"/>
                <w:lang w:eastAsia="zh-CN"/>
              </w:rPr>
              <w:t>10</w:t>
            </w:r>
            <w:r>
              <w:rPr>
                <w:rFonts w:ascii="宋体" w:eastAsia="宋体" w:hAnsi="宋体" w:cs="宋体" w:hint="eastAsia"/>
                <w:sz w:val="21"/>
                <w:szCs w:val="21"/>
              </w:rPr>
              <w:t>分，最高得</w:t>
            </w:r>
            <w:r>
              <w:rPr>
                <w:rFonts w:ascii="宋体" w:eastAsia="宋体" w:hAnsi="宋体" w:cs="宋体" w:hint="eastAsia"/>
                <w:sz w:val="21"/>
                <w:szCs w:val="21"/>
                <w:lang w:eastAsia="zh-CN"/>
              </w:rPr>
              <w:t>40</w:t>
            </w:r>
            <w:r>
              <w:rPr>
                <w:rFonts w:ascii="宋体" w:eastAsia="宋体" w:hAnsi="宋体" w:cs="宋体" w:hint="eastAsia"/>
                <w:sz w:val="21"/>
                <w:szCs w:val="21"/>
              </w:rPr>
              <w:t>分。在此基础上，专家根据各供应商的具体响应内容进一步评审：</w:t>
            </w:r>
          </w:p>
          <w:p>
            <w:pPr>
              <w:spacing w:line="360" w:lineRule="auto"/>
              <w:rPr>
                <w:rFonts w:ascii="宋体" w:eastAsia="宋体" w:hAnsi="宋体" w:cs="宋体" w:hint="eastAsia"/>
                <w:sz w:val="21"/>
                <w:szCs w:val="21"/>
              </w:rPr>
            </w:pPr>
            <w:r>
              <w:rPr>
                <w:rFonts w:ascii="宋体" w:eastAsia="宋体" w:hAnsi="宋体" w:cs="宋体" w:hint="eastAsia"/>
                <w:sz w:val="21"/>
                <w:szCs w:val="21"/>
              </w:rPr>
              <w:t>（1）内容针对性强，全面具体，科学合理，可操作性强，评审为优，得</w:t>
            </w:r>
            <w:r>
              <w:rPr>
                <w:rFonts w:ascii="宋体" w:eastAsia="宋体" w:hAnsi="宋体" w:cs="宋体" w:hint="eastAsia"/>
                <w:sz w:val="21"/>
                <w:szCs w:val="21"/>
                <w:lang w:eastAsia="zh-CN"/>
              </w:rPr>
              <w:t>60</w:t>
            </w:r>
            <w:r>
              <w:rPr>
                <w:rFonts w:ascii="宋体" w:eastAsia="宋体" w:hAnsi="宋体" w:cs="宋体" w:hint="eastAsia"/>
                <w:sz w:val="21"/>
                <w:szCs w:val="21"/>
              </w:rPr>
              <w:t>分；</w:t>
            </w:r>
          </w:p>
          <w:p>
            <w:pPr>
              <w:spacing w:line="360" w:lineRule="auto"/>
              <w:rPr>
                <w:rFonts w:ascii="宋体" w:eastAsia="宋体" w:hAnsi="宋体" w:cs="宋体" w:hint="eastAsia"/>
                <w:sz w:val="21"/>
                <w:szCs w:val="21"/>
              </w:rPr>
            </w:pPr>
            <w:r>
              <w:rPr>
                <w:rFonts w:ascii="宋体" w:eastAsia="宋体" w:hAnsi="宋体" w:cs="宋体" w:hint="eastAsia"/>
                <w:sz w:val="21"/>
                <w:szCs w:val="21"/>
              </w:rPr>
              <w:t>（2）内容针对性较强，较全面具体，较科学合理，可操作性较强，评审为良，得</w:t>
            </w:r>
            <w:r>
              <w:rPr>
                <w:rFonts w:ascii="宋体" w:eastAsia="宋体" w:hAnsi="宋体" w:cs="宋体" w:hint="eastAsia"/>
                <w:sz w:val="21"/>
                <w:szCs w:val="21"/>
                <w:lang w:eastAsia="zh-CN"/>
              </w:rPr>
              <w:t>20</w:t>
            </w:r>
            <w:r>
              <w:rPr>
                <w:rFonts w:ascii="宋体" w:eastAsia="宋体" w:hAnsi="宋体" w:cs="宋体" w:hint="eastAsia"/>
                <w:sz w:val="21"/>
                <w:szCs w:val="21"/>
              </w:rPr>
              <w:t>分；</w:t>
            </w:r>
          </w:p>
          <w:p>
            <w:pPr>
              <w:spacing w:line="360" w:lineRule="auto"/>
              <w:rPr>
                <w:rFonts w:ascii="宋体" w:eastAsia="宋体" w:hAnsi="宋体" w:cs="宋体" w:hint="eastAsia"/>
                <w:sz w:val="21"/>
                <w:szCs w:val="21"/>
              </w:rPr>
            </w:pPr>
            <w:r>
              <w:rPr>
                <w:rFonts w:ascii="宋体" w:eastAsia="宋体" w:hAnsi="宋体" w:cs="宋体" w:hint="eastAsia"/>
                <w:sz w:val="21"/>
                <w:szCs w:val="21"/>
              </w:rPr>
              <w:t>（3）内容针对性一般，基本全面，合理性及可操作性一般，评审为中，得</w:t>
            </w:r>
            <w:r>
              <w:rPr>
                <w:rFonts w:ascii="宋体" w:eastAsia="宋体" w:hAnsi="宋体" w:cs="宋体" w:hint="eastAsia"/>
                <w:sz w:val="21"/>
                <w:szCs w:val="21"/>
                <w:lang w:eastAsia="zh-CN"/>
              </w:rPr>
              <w:t>10</w:t>
            </w:r>
            <w:r>
              <w:rPr>
                <w:rFonts w:ascii="宋体" w:eastAsia="宋体" w:hAnsi="宋体" w:cs="宋体" w:hint="eastAsia"/>
                <w:sz w:val="21"/>
                <w:szCs w:val="21"/>
              </w:rPr>
              <w:t>分；</w:t>
            </w:r>
          </w:p>
          <w:p>
            <w:pPr>
              <w:spacing w:line="360" w:lineRule="auto"/>
              <w:rPr>
                <w:rFonts w:ascii="宋体" w:eastAsia="宋体" w:hAnsi="宋体" w:cs="宋体" w:hint="eastAsia"/>
                <w:sz w:val="21"/>
                <w:szCs w:val="21"/>
              </w:rPr>
            </w:pPr>
            <w:r>
              <w:rPr>
                <w:rFonts w:ascii="宋体" w:eastAsia="宋体" w:hAnsi="宋体" w:cs="宋体" w:hint="eastAsia"/>
                <w:sz w:val="21"/>
                <w:szCs w:val="21"/>
              </w:rPr>
              <w:t>（4）内容针对性差，不全面不具体，合理性及可操作性差，评审为差，不得分；</w:t>
            </w:r>
          </w:p>
          <w:p>
            <w:pPr>
              <w:spacing w:line="360" w:lineRule="auto"/>
              <w:rPr>
                <w:rFonts w:ascii="宋体" w:eastAsia="宋体" w:hAnsi="宋体" w:cs="宋体" w:hint="eastAsia"/>
                <w:sz w:val="21"/>
                <w:szCs w:val="21"/>
              </w:rPr>
            </w:pPr>
            <w:r>
              <w:rPr>
                <w:rFonts w:ascii="宋体" w:eastAsia="宋体" w:hAnsi="宋体" w:cs="宋体" w:hint="eastAsia"/>
                <w:sz w:val="21"/>
                <w:szCs w:val="21"/>
              </w:rPr>
              <w:t>（5）未提供售后服务方案，不得分。</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518" w:type="dxa"/>
            <w:gridSpan w:val="2"/>
            <w:noWrap w:val="0"/>
            <w:vAlign w:val="center"/>
          </w:tcPr>
          <w:p>
            <w:pPr>
              <w:wordWrap w:val="0"/>
              <w:spacing w:line="360" w:lineRule="auto"/>
              <w:jc w:val="both"/>
              <w:rPr>
                <w:rFonts w:ascii="宋体" w:eastAsia="宋体" w:hAnsi="宋体" w:cs="宋体" w:hint="eastAsia"/>
                <w:sz w:val="21"/>
                <w:szCs w:val="21"/>
              </w:rPr>
            </w:pPr>
            <w:r>
              <w:rPr>
                <w:rFonts w:ascii="宋体" w:eastAsia="宋体" w:hAnsi="宋体" w:cs="宋体" w:hint="eastAsia"/>
                <w:sz w:val="21"/>
                <w:szCs w:val="21"/>
              </w:rPr>
              <w:t>应急保障方案</w:t>
            </w:r>
          </w:p>
        </w:tc>
        <w:tc>
          <w:tcPr>
            <w:tcW w:w="1082" w:type="dxa"/>
            <w:noWrap w:val="0"/>
            <w:vAlign w:val="center"/>
          </w:tcPr>
          <w:p>
            <w:pPr>
              <w:wordWrap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投标人根据本项目提供应急保障方案，内容包括：</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1）临时紧急配送方案；</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2）恶劣天气配送方案；</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3）周末及节假日供货方案；</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4）质量不符合要求的货物更换方案。</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每提供以上1项内容得</w:t>
            </w:r>
            <w:r>
              <w:rPr>
                <w:rFonts w:ascii="宋体" w:eastAsia="宋体" w:hAnsi="宋体" w:cs="宋体" w:hint="eastAsia"/>
                <w:sz w:val="21"/>
                <w:szCs w:val="21"/>
                <w:lang w:eastAsia="zh-CN"/>
              </w:rPr>
              <w:t>10</w:t>
            </w:r>
            <w:r>
              <w:rPr>
                <w:rFonts w:ascii="宋体" w:eastAsia="宋体" w:hAnsi="宋体" w:cs="宋体" w:hint="eastAsia"/>
                <w:sz w:val="21"/>
                <w:szCs w:val="21"/>
              </w:rPr>
              <w:t>分，最高得</w:t>
            </w:r>
            <w:r>
              <w:rPr>
                <w:rFonts w:ascii="宋体" w:eastAsia="宋体" w:hAnsi="宋体" w:cs="宋体" w:hint="eastAsia"/>
                <w:sz w:val="21"/>
                <w:szCs w:val="21"/>
                <w:lang w:eastAsia="zh-CN"/>
              </w:rPr>
              <w:t>40</w:t>
            </w:r>
            <w:r>
              <w:rPr>
                <w:rFonts w:ascii="宋体" w:eastAsia="宋体" w:hAnsi="宋体" w:cs="宋体" w:hint="eastAsia"/>
                <w:sz w:val="21"/>
                <w:szCs w:val="21"/>
              </w:rPr>
              <w:t>分。在此基础上，专家根据各供应商的具体响应内容进一步评审：</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（1）内容针对性强，全面具体，科学合理，可操作性强，评审为优，得</w:t>
            </w:r>
            <w:r>
              <w:rPr>
                <w:rFonts w:ascii="宋体" w:eastAsia="宋体" w:hAnsi="宋体" w:cs="宋体" w:hint="eastAsia"/>
                <w:sz w:val="21"/>
                <w:szCs w:val="21"/>
                <w:lang w:eastAsia="zh-CN"/>
              </w:rPr>
              <w:t>60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（2）内容针对性较强，较全面具体，较科学合理，可操作性较强，评审为良，得</w:t>
            </w:r>
            <w:r>
              <w:rPr>
                <w:rFonts w:ascii="宋体" w:eastAsia="宋体" w:hAnsi="宋体" w:cs="宋体" w:hint="eastAsia"/>
                <w:sz w:val="21"/>
                <w:szCs w:val="21"/>
                <w:lang w:eastAsia="zh-CN"/>
              </w:rPr>
              <w:t>20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（3）内容针对性一般，基本全面，合理性及可操作性一般，评审为中，得</w:t>
            </w:r>
            <w:r>
              <w:rPr>
                <w:rFonts w:ascii="宋体" w:eastAsia="宋体" w:hAnsi="宋体" w:cs="宋体" w:hint="eastAsia"/>
                <w:sz w:val="21"/>
                <w:szCs w:val="21"/>
                <w:lang w:eastAsia="zh-CN"/>
              </w:rPr>
              <w:t>10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（4）内容针对性差，不全面不具体，合理性及可操作性差，评审为差，不得分；</w:t>
            </w:r>
          </w:p>
          <w:p>
            <w:pPr>
              <w:spacing w:line="360" w:lineRule="auto"/>
              <w:jc w:val="both"/>
              <w:rPr>
                <w:rFonts w:ascii="宋体" w:eastAsia="宋体" w:hAnsi="宋体" w:cs="宋体" w:hint="eastAsia"/>
                <w:color w:val="000000"/>
                <w:sz w:val="21"/>
                <w:szCs w:val="21"/>
                <w:lang w:eastAsia="zh-CN" w:bidi="ar"/>
              </w:rPr>
            </w:pPr>
            <w:r>
              <w:rPr>
                <w:rFonts w:ascii="宋体" w:eastAsia="宋体" w:hAnsi="宋体" w:cs="宋体" w:hint="eastAsia"/>
                <w:sz w:val="21"/>
                <w:szCs w:val="21"/>
              </w:rPr>
              <w:t>（5）未提供应急保障方案，不得分。</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518" w:type="dxa"/>
            <w:gridSpan w:val="2"/>
            <w:noWrap w:val="0"/>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违约承诺</w:t>
            </w:r>
          </w:p>
        </w:tc>
        <w:tc>
          <w:tcPr>
            <w:tcW w:w="1082" w:type="dxa"/>
            <w:noWrap w:val="0"/>
            <w:vAlign w:val="center"/>
          </w:tcPr>
          <w:p>
            <w:pPr>
              <w:wordWrap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1.承诺提供的热敏纸货物按最新执行标准GB/T 28210-2024执行；</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2.如提供的货物质量不符合要求或存在问题，免费退换并承担赔偿责任。</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jc w:val="both"/>
              <w:rPr>
                <w:rFonts w:ascii="宋体" w:eastAsia="宋体" w:hAnsi="宋体" w:cs="宋体" w:hint="eastAsia"/>
                <w:color w:val="000000"/>
                <w:sz w:val="21"/>
                <w:szCs w:val="21"/>
                <w:lang w:eastAsia="zh-CN" w:bidi="ar"/>
              </w:rPr>
            </w:pPr>
            <w:r>
              <w:rPr>
                <w:rFonts w:ascii="宋体" w:eastAsia="宋体" w:hAnsi="宋体" w:cs="宋体" w:hint="eastAsia"/>
                <w:sz w:val="21"/>
                <w:szCs w:val="21"/>
              </w:rPr>
              <w:t>投标人承诺以上全部2项得</w:t>
            </w:r>
            <w:r>
              <w:rPr>
                <w:rFonts w:ascii="宋体" w:eastAsia="宋体" w:hAnsi="宋体" w:cs="宋体" w:hint="eastAsia"/>
                <w:sz w:val="21"/>
                <w:szCs w:val="21"/>
                <w:lang w:eastAsia="zh-CN"/>
              </w:rPr>
              <w:t>100</w:t>
            </w:r>
            <w:r>
              <w:rPr>
                <w:rFonts w:ascii="宋体" w:eastAsia="宋体" w:hAnsi="宋体" w:cs="宋体" w:hint="eastAsia"/>
                <w:sz w:val="21"/>
                <w:szCs w:val="21"/>
              </w:rPr>
              <w:t>分，要求提供违约承诺函（格式自定）作为得分依据，未提供承诺函或承诺内容不满足要求的不得分。</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1518" w:type="dxa"/>
            <w:gridSpan w:val="2"/>
            <w:noWrap w:val="0"/>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样板质量</w:t>
            </w:r>
          </w:p>
        </w:tc>
        <w:tc>
          <w:tcPr>
            <w:tcW w:w="1082" w:type="dxa"/>
            <w:noWrap w:val="0"/>
            <w:vAlign w:val="center"/>
          </w:tcPr>
          <w:p>
            <w:pPr>
              <w:wordWrap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评审委员会对投标人提供的样品进行综合评审打分：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1、投标人提供符合要求的样品得10分，不提供样品不得分，样品不合格不得分。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①样品名称：</w:t>
            </w:r>
            <w:r>
              <w:rPr>
                <w:rFonts w:ascii="宋体" w:eastAsia="宋体" w:hAnsi="宋体" w:cs="宋体" w:hint="eastAsia"/>
                <w:bCs/>
                <w:sz w:val="21"/>
                <w:szCs w:val="21"/>
                <w:lang w:eastAsia="zh-CN"/>
              </w:rPr>
              <w:t>热敏纸</w:t>
            </w:r>
            <w:r>
              <w:rPr>
                <w:rFonts w:ascii="宋体" w:eastAsia="宋体" w:hAnsi="宋体" w:cs="宋体" w:hint="eastAsia"/>
                <w:bCs/>
                <w:color w:val="FF0000"/>
                <w:sz w:val="21"/>
                <w:szCs w:val="21"/>
                <w:lang w:eastAsia="zh-CN"/>
              </w:rPr>
              <w:t>1</w:t>
            </w:r>
            <w:r>
              <w:rPr>
                <w:rFonts w:ascii="宋体" w:eastAsia="宋体" w:hAnsi="宋体" w:cs="宋体" w:hint="eastAsia"/>
                <w:kern w:val="2"/>
                <w:sz w:val="21"/>
                <w:szCs w:val="21"/>
                <w:lang w:eastAsia="zh-CN"/>
              </w:rPr>
              <w:t>；数量要求1卷；</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②样品名称：</w:t>
            </w: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1，数量要求1卷。</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2、在此基础上，评标委员会对各供应商提供的样品按以下标准进行评分：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（1）优评分标准：样品材质和工艺质量好的，加90分；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（2）良评分标准：样品材质和工艺质量较好的，加50分；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（3）中评分标准：样品材质和工艺质量一般的，加10分；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（4）差评分标准：样品材质和工艺质量差的，不加分。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以上累计最高得100分。</w:t>
            </w:r>
          </w:p>
          <w:p>
            <w:pPr>
              <w:spacing w:line="360" w:lineRule="auto"/>
              <w:jc w:val="both"/>
              <w:rPr>
                <w:rFonts w:ascii="宋体" w:eastAsia="宋体" w:hAnsi="宋体" w:cs="宋体" w:hint="eastAsia"/>
                <w:color w:val="000000"/>
                <w:sz w:val="21"/>
                <w:szCs w:val="21"/>
                <w:lang w:eastAsia="zh-CN" w:bidi="ar"/>
              </w:rPr>
            </w:pPr>
            <w:r>
              <w:rPr>
                <w:rFonts w:ascii="宋体" w:eastAsia="宋体" w:hAnsi="宋体" w:cs="宋体" w:hint="eastAsia"/>
                <w:b/>
                <w:bCs/>
                <w:kern w:val="2"/>
                <w:sz w:val="21"/>
                <w:szCs w:val="21"/>
                <w:lang w:eastAsia="zh-CN"/>
              </w:rPr>
              <w:t>注意事项：</w:t>
            </w:r>
            <w:r>
              <w:rPr>
                <w:rFonts w:ascii="宋体" w:eastAsia="宋体" w:hAnsi="宋体" w:cs="宋体" w:hint="eastAsia"/>
                <w:kern w:val="2"/>
                <w:sz w:val="21"/>
                <w:szCs w:val="21"/>
                <w:lang w:eastAsia="zh-CN"/>
              </w:rPr>
              <w:t>（提交时间：开标当日14:00:00—14:30:00，联系方式：许工 0755-21075754，提交地点：深圳市龙华区和平路21号振华时代广场8层802）；递交人需提交法定法定代表人授权委托书（盖公章）和授权委托人身份证原件，样品上应当标注“项目名称及项目编号、样品编号、样品名称”等信息。</w:t>
            </w:r>
            <w:r>
              <w:rPr>
                <w:rFonts w:ascii="宋体" w:eastAsia="宋体" w:hAnsi="宋体" w:cs="宋体" w:hint="eastAsia"/>
                <w:sz w:val="21"/>
                <w:szCs w:val="21"/>
              </w:rPr>
              <w:t xml:space="preserve">        </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2"/>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c>
          <w:tcPr>
            <w:tcW w:w="1518" w:type="dxa"/>
            <w:gridSpan w:val="2"/>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网点</w:t>
            </w:r>
            <w:r>
              <w:rPr>
                <w:rFonts w:ascii="宋体" w:eastAsia="宋体" w:hAnsi="宋体" w:cs="宋体" w:hint="eastAsia"/>
                <w:sz w:val="21"/>
                <w:szCs w:val="21"/>
              </w:rPr>
              <w:t>服务响应时间</w:t>
            </w:r>
            <w:r>
              <w:rPr>
                <w:rFonts w:ascii="宋体" w:eastAsia="宋体" w:hAnsi="宋体" w:cs="宋体" w:hint="eastAsia"/>
                <w:sz w:val="21"/>
                <w:szCs w:val="21"/>
                <w:lang w:eastAsia="zh-CN"/>
              </w:rPr>
              <w:t>配送时效</w:t>
            </w:r>
          </w:p>
        </w:tc>
        <w:tc>
          <w:tcPr>
            <w:tcW w:w="1082" w:type="dxa"/>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根据采购方物品清单日常下单采购需求，承诺产品配送时效：</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1、接到采购通知24小时内提供配送服务的，得100分；</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2、接到通知48小时内提供配送服务的，得60分；</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3、接到通知72小时内提供服务的，得20分。</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tabs>
                <w:tab w:val="left" w:pos="426"/>
              </w:tabs>
              <w:spacing w:line="360" w:lineRule="auto"/>
              <w:jc w:val="both"/>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投标人承诺产品配送时效，要求提供产品配送承诺函（格式自定）作为得分依据，未提供承诺函或承诺内容不满足要求的不得分。</w:t>
            </w:r>
          </w:p>
        </w:tc>
      </w:tr>
      <w:tr>
        <w:tblPrEx>
          <w:tblW w:w="5000" w:type="pct"/>
          <w:jc w:val="center"/>
          <w:tblLayout w:type="fixed"/>
          <w:tblCellMar>
            <w:top w:w="0" w:type="dxa"/>
            <w:left w:w="108" w:type="dxa"/>
            <w:bottom w:w="0" w:type="dxa"/>
            <w:right w:w="108" w:type="dxa"/>
          </w:tblCellMar>
        </w:tblPrEx>
        <w:trPr>
          <w:trHeight w:val="6132"/>
          <w:jc w:val="center"/>
        </w:trPr>
        <w:tc>
          <w:tcPr>
            <w:tcW w:w="560" w:type="dxa"/>
            <w:vMerge/>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w:t>
            </w:r>
          </w:p>
        </w:tc>
        <w:tc>
          <w:tcPr>
            <w:tcW w:w="1518" w:type="dxa"/>
            <w:gridSpan w:val="2"/>
            <w:noWrap w:val="0"/>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技术规格偏离情况</w:t>
            </w:r>
          </w:p>
        </w:tc>
        <w:tc>
          <w:tcPr>
            <w:tcW w:w="1082" w:type="dxa"/>
            <w:noWrap w:val="0"/>
            <w:vAlign w:val="center"/>
          </w:tcPr>
          <w:p>
            <w:pPr>
              <w:spacing w:line="360" w:lineRule="auto"/>
              <w:jc w:val="center"/>
              <w:rPr>
                <w:rFonts w:ascii="宋体" w:eastAsia="宋体" w:hAnsi="宋体" w:cs="宋体"/>
                <w:kern w:val="2"/>
                <w:sz w:val="21"/>
                <w:szCs w:val="21"/>
                <w:lang w:eastAsia="zh-CN"/>
              </w:rPr>
            </w:pPr>
            <w:r>
              <w:rPr>
                <w:rFonts w:ascii="宋体" w:eastAsia="宋体" w:hAnsi="宋体" w:cs="宋体"/>
                <w:kern w:val="2"/>
                <w:sz w:val="21"/>
                <w:szCs w:val="21"/>
                <w:lang w:eastAsia="zh-CN"/>
              </w:rPr>
              <w:t>17</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评审委员会根据《技术要求偏离表》（以下简称“偏离表”）响应情况进行打分，全部满足的得</w:t>
            </w:r>
            <w:r>
              <w:rPr>
                <w:rFonts w:ascii="宋体" w:eastAsia="宋体" w:hAnsi="宋体" w:cs="宋体" w:hint="eastAsia"/>
                <w:sz w:val="21"/>
                <w:szCs w:val="21"/>
                <w:lang w:eastAsia="zh-CN"/>
              </w:rPr>
              <w:t>100</w:t>
            </w:r>
            <w:r>
              <w:rPr>
                <w:rFonts w:ascii="宋体" w:eastAsia="宋体" w:hAnsi="宋体" w:cs="宋体" w:hint="eastAsia"/>
                <w:sz w:val="21"/>
                <w:szCs w:val="21"/>
              </w:rPr>
              <w:t>分，一般参数每负偏离一项扣1分，</w:t>
            </w:r>
            <w:r>
              <w:rPr>
                <w:rFonts w:ascii="宋体" w:eastAsia="宋体" w:hAnsi="宋体" w:cs="宋体" w:hint="eastAsia"/>
                <w:color w:val="000000"/>
                <w:sz w:val="21"/>
                <w:szCs w:val="21"/>
                <w:lang w:bidi="ar"/>
              </w:rPr>
              <w:t>重点技术参数▲项每负偏离一项扣</w:t>
            </w:r>
            <w:r>
              <w:rPr>
                <w:rFonts w:ascii="宋体" w:eastAsia="宋体" w:hAnsi="宋体" w:cs="宋体" w:hint="eastAsia"/>
                <w:color w:val="000000"/>
                <w:sz w:val="21"/>
                <w:szCs w:val="21"/>
                <w:lang w:eastAsia="zh-CN" w:bidi="ar"/>
              </w:rPr>
              <w:t>10</w:t>
            </w:r>
            <w:r>
              <w:rPr>
                <w:rFonts w:ascii="宋体" w:eastAsia="宋体" w:hAnsi="宋体" w:cs="宋体" w:hint="eastAsia"/>
                <w:color w:val="000000"/>
                <w:sz w:val="21"/>
                <w:szCs w:val="21"/>
                <w:lang w:bidi="ar"/>
              </w:rPr>
              <w:t>分</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bidi="ar"/>
              </w:rPr>
              <w:t xml:space="preserve">扣完为止。 </w:t>
            </w:r>
          </w:p>
          <w:p>
            <w:pPr>
              <w:spacing w:line="360" w:lineRule="auto"/>
              <w:jc w:val="both"/>
              <w:rPr>
                <w:rFonts w:ascii="宋体" w:eastAsia="宋体" w:hAnsi="宋体" w:cs="宋体" w:hint="eastAsia"/>
                <w:b/>
                <w:sz w:val="21"/>
                <w:szCs w:val="21"/>
              </w:rPr>
            </w:pPr>
            <w:r>
              <w:rPr>
                <w:rFonts w:ascii="宋体" w:eastAsia="宋体" w:hAnsi="宋体" w:cs="宋体" w:hint="eastAsia"/>
                <w:b/>
                <w:sz w:val="21"/>
                <w:szCs w:val="21"/>
              </w:rPr>
              <w:t>证明文件：</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证明材料不能满足招标要求的，该项按负偏离处理。未按上述要求提供相关材料或无法凭所提供资料判断是否得分的或证明材料不清晰导致无法识别的，均不得相应分数。</w:t>
            </w:r>
          </w:p>
        </w:tc>
      </w:tr>
      <w:tr>
        <w:tblPrEx>
          <w:tblW w:w="5000" w:type="pct"/>
          <w:jc w:val="center"/>
          <w:tblLayout w:type="fixed"/>
          <w:tblCellMar>
            <w:top w:w="0" w:type="dxa"/>
            <w:left w:w="108" w:type="dxa"/>
            <w:bottom w:w="0" w:type="dxa"/>
            <w:right w:w="108" w:type="dxa"/>
          </w:tblCellMar>
        </w:tblPrEx>
        <w:trPr>
          <w:trHeight w:val="20"/>
          <w:jc w:val="center"/>
        </w:trPr>
        <w:tc>
          <w:tcPr>
            <w:tcW w:w="560"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3267" w:type="dxa"/>
            <w:gridSpan w:val="4"/>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商务部分</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b/>
                <w:bCs/>
                <w:color w:val="0000FF"/>
                <w:sz w:val="21"/>
                <w:szCs w:val="21"/>
                <w:lang w:eastAsia="zh-CN"/>
              </w:rPr>
            </w:pPr>
            <w:r>
              <w:rPr>
                <w:rFonts w:ascii="宋体" w:eastAsia="宋体" w:hAnsi="宋体" w:cs="宋体"/>
                <w:b/>
                <w:bCs/>
                <w:color w:val="0000FF"/>
                <w:sz w:val="21"/>
                <w:szCs w:val="21"/>
                <w:lang w:eastAsia="zh-CN"/>
              </w:rPr>
              <w:t>25</w:t>
            </w:r>
          </w:p>
        </w:tc>
      </w:tr>
      <w:tr>
        <w:tblPrEx>
          <w:tblW w:w="5000" w:type="pct"/>
          <w:jc w:val="center"/>
          <w:tblLayout w:type="fixed"/>
          <w:tblCellMar>
            <w:top w:w="0" w:type="dxa"/>
            <w:left w:w="108" w:type="dxa"/>
            <w:bottom w:w="0" w:type="dxa"/>
            <w:right w:w="108" w:type="dxa"/>
          </w:tblCellMar>
        </w:tblPrEx>
        <w:trPr>
          <w:trHeight w:val="367"/>
          <w:jc w:val="center"/>
        </w:trPr>
        <w:tc>
          <w:tcPr>
            <w:tcW w:w="560" w:type="dxa"/>
            <w:vMerge w:val="restart"/>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80" w:type="dxa"/>
            <w:gridSpan w:val="2"/>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505"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082"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80" w:type="dxa"/>
            <w:gridSpan w:val="2"/>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1</w:t>
            </w:r>
          </w:p>
        </w:tc>
        <w:tc>
          <w:tcPr>
            <w:tcW w:w="1505" w:type="dxa"/>
            <w:noWrap w:val="0"/>
            <w:vAlign w:val="center"/>
          </w:tcPr>
          <w:p>
            <w:pPr>
              <w:autoSpaceDE w:val="0"/>
              <w:autoSpaceDN w:val="0"/>
              <w:adjustRightIn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投标人资质证明</w:t>
            </w:r>
          </w:p>
        </w:tc>
        <w:tc>
          <w:tcPr>
            <w:tcW w:w="1082" w:type="dxa"/>
            <w:noWrap w:val="0"/>
            <w:vAlign w:val="center"/>
          </w:tcPr>
          <w:p>
            <w:pPr>
              <w:widowControl/>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27" w:type="dxa"/>
            <w:noWrap w:val="0"/>
            <w:vAlign w:val="center"/>
          </w:tcPr>
          <w:p>
            <w:pPr>
              <w:spacing w:line="360" w:lineRule="auto"/>
              <w:jc w:val="both"/>
              <w:rPr>
                <w:rFonts w:ascii="宋体" w:eastAsia="宋体" w:hAnsi="宋体" w:cs="宋体" w:hint="eastAsia"/>
                <w:sz w:val="21"/>
                <w:szCs w:val="21"/>
                <w:lang w:eastAsia="zh-CN"/>
              </w:rPr>
            </w:pPr>
            <w:r>
              <w:rPr>
                <w:rFonts w:ascii="宋体" w:eastAsia="宋体" w:hAnsi="宋体" w:cs="宋体" w:hint="eastAsia"/>
                <w:b/>
                <w:bCs/>
                <w:sz w:val="21"/>
                <w:szCs w:val="21"/>
              </w:rPr>
              <w:t>（一）评分内容：</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1、投标人须提供相关部门颁发的印刷经营许可证，得100分。</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要求提供有效的证书扫描件，原件备查，评分中出现无证明资料或证书过期或专家无法凭所提供资料判断是否得分的情况，一律作不得分处理。</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2"/>
              <w:rPr>
                <w:rFonts w:ascii="宋体" w:eastAsia="宋体" w:hAnsi="宋体" w:cs="宋体" w:hint="eastAsia"/>
                <w:sz w:val="21"/>
                <w:szCs w:val="21"/>
              </w:rPr>
            </w:pPr>
          </w:p>
        </w:tc>
        <w:tc>
          <w:tcPr>
            <w:tcW w:w="680" w:type="dxa"/>
            <w:gridSpan w:val="2"/>
            <w:noWrap w:val="0"/>
            <w:vAlign w:val="center"/>
          </w:tcPr>
          <w:p>
            <w:pPr>
              <w:pageBreakBefore w:val="0"/>
              <w:kinsoku/>
              <w:wordWrap/>
              <w:overflowPunct/>
              <w:topLinePunct w:val="0"/>
              <w:autoSpaceDE/>
              <w:autoSpaceDN/>
              <w:bidi w:val="0"/>
              <w:adjustRightInd/>
              <w:spacing w:line="360" w:lineRule="auto"/>
              <w:ind w:firstLine="210" w:firstLineChars="1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505" w:type="dxa"/>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投标人同类项目业绩情况</w:t>
            </w:r>
          </w:p>
        </w:tc>
        <w:tc>
          <w:tcPr>
            <w:tcW w:w="1082" w:type="dxa"/>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27" w:type="dxa"/>
            <w:noWrap w:val="0"/>
            <w:vAlign w:val="top"/>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投标人自202</w:t>
            </w:r>
            <w:r>
              <w:rPr>
                <w:rFonts w:ascii="宋体" w:eastAsia="宋体" w:hAnsi="宋体" w:cs="宋体" w:hint="eastAsia"/>
                <w:sz w:val="21"/>
                <w:szCs w:val="21"/>
                <w:lang w:eastAsia="zh-CN"/>
              </w:rPr>
              <w:t>2</w:t>
            </w:r>
            <w:r>
              <w:rPr>
                <w:rFonts w:ascii="宋体" w:eastAsia="宋体" w:hAnsi="宋体" w:cs="宋体" w:hint="eastAsia"/>
                <w:sz w:val="21"/>
                <w:szCs w:val="21"/>
              </w:rPr>
              <w:t>年1月1日至本项目</w:t>
            </w:r>
            <w:r>
              <w:rPr>
                <w:rFonts w:ascii="宋体" w:eastAsia="宋体" w:hAnsi="宋体" w:cs="宋体" w:hint="eastAsia"/>
                <w:sz w:val="21"/>
                <w:szCs w:val="21"/>
                <w:lang w:eastAsia="zh-CN"/>
              </w:rPr>
              <w:t>投标截止之日止</w:t>
            </w:r>
            <w:r>
              <w:rPr>
                <w:rFonts w:ascii="宋体" w:eastAsia="宋体" w:hAnsi="宋体" w:cs="宋体" w:hint="eastAsia"/>
                <w:sz w:val="21"/>
                <w:szCs w:val="21"/>
              </w:rPr>
              <w:t>所签订的同类业绩项目合同（以合同签订日期为准），每提供1个同类业绩得</w:t>
            </w:r>
            <w:r>
              <w:rPr>
                <w:rFonts w:ascii="宋体" w:eastAsia="宋体" w:hAnsi="宋体" w:cs="宋体" w:hint="eastAsia"/>
                <w:sz w:val="21"/>
                <w:szCs w:val="21"/>
                <w:lang w:eastAsia="zh-CN"/>
              </w:rPr>
              <w:t>20</w:t>
            </w:r>
            <w:r>
              <w:rPr>
                <w:rFonts w:ascii="宋体" w:eastAsia="宋体" w:hAnsi="宋体" w:cs="宋体" w:hint="eastAsia"/>
                <w:sz w:val="21"/>
                <w:szCs w:val="21"/>
              </w:rPr>
              <w:t>分，最高得</w:t>
            </w:r>
            <w:r>
              <w:rPr>
                <w:rFonts w:ascii="宋体" w:eastAsia="宋体" w:hAnsi="宋体" w:cs="宋体" w:hint="eastAsia"/>
                <w:sz w:val="21"/>
                <w:szCs w:val="21"/>
                <w:lang w:eastAsia="zh-CN"/>
              </w:rPr>
              <w:t>100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备注：同一个采购人（合同甲方）只计为一份业绩。</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要求提供合同关键信息（包括但不限于合同标的、签订时间、双方签章页）作为得分依据，通过合同关键信息无法判断是否得分的，还须同时提供能证明得分的其它证明资料，如合同甲方出具的证明文件或项目报告。</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备注：以上资料均要求提供扫描件，原件备查，评分中出现无证明资料或证书过期或专家无法凭所提供资料判断是否得分的情况，一律作不得分处理。</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tcPr>
          <w:p>
            <w:pPr>
              <w:keepNext/>
              <w:keepLines/>
              <w:pageBreakBefore w:val="0"/>
              <w:kinsoku/>
              <w:wordWrap/>
              <w:overflowPunct/>
              <w:topLinePunct w:val="0"/>
              <w:autoSpaceDE/>
              <w:autoSpaceDN/>
              <w:bidi w:val="0"/>
              <w:adjustRightInd/>
              <w:spacing w:line="360" w:lineRule="auto"/>
              <w:jc w:val="center"/>
              <w:textAlignment w:val="auto"/>
              <w:outlineLvl w:val="2"/>
              <w:rPr>
                <w:rFonts w:ascii="宋体" w:eastAsia="宋体" w:hAnsi="宋体" w:cs="宋体" w:hint="eastAsia"/>
                <w:sz w:val="21"/>
                <w:szCs w:val="21"/>
              </w:rPr>
            </w:pPr>
          </w:p>
        </w:tc>
        <w:tc>
          <w:tcPr>
            <w:tcW w:w="680" w:type="dxa"/>
            <w:gridSpan w:val="2"/>
            <w:vAlign w:val="center"/>
          </w:tcPr>
          <w:p>
            <w:pPr>
              <w:pageBreakBefore w:val="0"/>
              <w:kinsoku/>
              <w:wordWrap/>
              <w:overflowPunct/>
              <w:topLinePunct w:val="0"/>
              <w:autoSpaceDE/>
              <w:autoSpaceDN/>
              <w:bidi w:val="0"/>
              <w:adjustRightInd/>
              <w:spacing w:line="360" w:lineRule="auto"/>
              <w:ind w:firstLine="210" w:firstLineChars="100"/>
              <w:jc w:val="center"/>
              <w:textAlignment w:val="auto"/>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505" w:type="dxa"/>
            <w:vAlign w:val="center"/>
          </w:tcPr>
          <w:p>
            <w:pPr>
              <w:widowControl/>
              <w:tabs>
                <w:tab w:val="left" w:pos="840"/>
              </w:tabs>
              <w:snapToGrid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配套能力保障</w:t>
            </w:r>
          </w:p>
        </w:tc>
        <w:tc>
          <w:tcPr>
            <w:tcW w:w="1082" w:type="dxa"/>
            <w:vAlign w:val="center"/>
          </w:tcPr>
          <w:p>
            <w:pPr>
              <w:widowControl/>
              <w:snapToGrid w:val="0"/>
              <w:spacing w:line="360" w:lineRule="auto"/>
              <w:jc w:val="center"/>
              <w:rPr>
                <w:rFonts w:ascii="宋体" w:eastAsia="宋体" w:hAnsi="宋体" w:cs="宋体"/>
                <w:sz w:val="21"/>
                <w:szCs w:val="21"/>
              </w:rPr>
            </w:pPr>
            <w:r>
              <w:rPr>
                <w:rFonts w:ascii="宋体" w:eastAsia="宋体" w:hAnsi="宋体" w:cs="宋体"/>
                <w:sz w:val="21"/>
                <w:szCs w:val="21"/>
              </w:rPr>
              <w:t>10</w:t>
            </w:r>
          </w:p>
        </w:tc>
        <w:tc>
          <w:tcPr>
            <w:tcW w:w="4827" w:type="dxa"/>
            <w:vAlign w:val="center"/>
          </w:tcPr>
          <w:p>
            <w:pPr>
              <w:widowControl/>
              <w:snapToGrid w:val="0"/>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1、投标人有固定的库存仓库能力保障情况：</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①仓库面积≧200 平方米，得 </w:t>
            </w:r>
            <w:r>
              <w:rPr>
                <w:rFonts w:ascii="宋体" w:eastAsia="宋体" w:hAnsi="宋体" w:cs="宋体" w:hint="eastAsia"/>
                <w:sz w:val="21"/>
                <w:szCs w:val="21"/>
                <w:lang w:eastAsia="zh-CN"/>
              </w:rPr>
              <w:t>40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②100 平方米≤仓库面积＜200 平方米，得</w:t>
            </w:r>
            <w:r>
              <w:rPr>
                <w:rFonts w:ascii="宋体" w:eastAsia="宋体" w:hAnsi="宋体" w:cs="宋体" w:hint="eastAsia"/>
                <w:sz w:val="21"/>
                <w:szCs w:val="21"/>
                <w:lang w:eastAsia="zh-CN"/>
              </w:rPr>
              <w:t>20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③仓库面积＜100 平方米，得 </w:t>
            </w:r>
            <w:r>
              <w:rPr>
                <w:rFonts w:ascii="宋体" w:eastAsia="宋体" w:hAnsi="宋体" w:cs="宋体" w:hint="eastAsia"/>
                <w:sz w:val="21"/>
                <w:szCs w:val="21"/>
                <w:lang w:eastAsia="zh-CN"/>
              </w:rPr>
              <w:t>10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2、投标人为此项目拟投入专用车辆数量情况：</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①专用运输车辆≧3辆，得</w:t>
            </w:r>
            <w:r>
              <w:rPr>
                <w:rFonts w:ascii="宋体" w:eastAsia="宋体" w:hAnsi="宋体" w:cs="宋体" w:hint="eastAsia"/>
                <w:sz w:val="21"/>
                <w:szCs w:val="21"/>
                <w:lang w:eastAsia="zh-CN"/>
              </w:rPr>
              <w:t>60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②2 辆≤专用运输车辆＜3 辆，得 </w:t>
            </w:r>
            <w:r>
              <w:rPr>
                <w:rFonts w:ascii="宋体" w:eastAsia="宋体" w:hAnsi="宋体" w:cs="宋体" w:hint="eastAsia"/>
                <w:sz w:val="21"/>
                <w:szCs w:val="21"/>
                <w:lang w:eastAsia="zh-CN"/>
              </w:rPr>
              <w:t>40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③专用运输车辆＜2 辆，得 </w:t>
            </w:r>
            <w:r>
              <w:rPr>
                <w:rFonts w:ascii="宋体" w:eastAsia="宋体" w:hAnsi="宋体" w:cs="宋体" w:hint="eastAsia"/>
                <w:sz w:val="21"/>
                <w:szCs w:val="21"/>
                <w:lang w:eastAsia="zh-CN"/>
              </w:rPr>
              <w:t>20</w:t>
            </w:r>
            <w:r>
              <w:rPr>
                <w:rFonts w:ascii="宋体" w:eastAsia="宋体" w:hAnsi="宋体" w:cs="宋体" w:hint="eastAsia"/>
                <w:sz w:val="21"/>
                <w:szCs w:val="21"/>
              </w:rPr>
              <w:t xml:space="preserve"> 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没有或者其他情况不得分。</w:t>
            </w:r>
          </w:p>
          <w:p>
            <w:pPr>
              <w:widowControl/>
              <w:snapToGrid w:val="0"/>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widowControl/>
              <w:snapToGrid w:val="0"/>
              <w:spacing w:line="360" w:lineRule="auto"/>
              <w:jc w:val="both"/>
              <w:rPr>
                <w:rFonts w:ascii="宋体" w:eastAsia="宋体" w:hAnsi="宋体" w:cs="宋体" w:hint="eastAsia"/>
                <w:sz w:val="21"/>
                <w:szCs w:val="21"/>
              </w:rPr>
            </w:pPr>
            <w:r>
              <w:rPr>
                <w:rFonts w:ascii="宋体" w:eastAsia="宋体" w:hAnsi="宋体" w:cs="宋体" w:hint="eastAsia"/>
                <w:sz w:val="21"/>
                <w:szCs w:val="21"/>
              </w:rPr>
              <w:t>1、要求提供租赁合同或自有产权证明，如为租赁性质需再提供近</w:t>
            </w:r>
            <w:r>
              <w:rPr>
                <w:rFonts w:ascii="宋体" w:eastAsia="宋体" w:hAnsi="宋体" w:cs="宋体" w:hint="eastAsia"/>
                <w:sz w:val="21"/>
                <w:szCs w:val="21"/>
                <w:lang w:eastAsia="zh-CN"/>
              </w:rPr>
              <w:t>三</w:t>
            </w:r>
            <w:r>
              <w:rPr>
                <w:rFonts w:ascii="宋体" w:eastAsia="宋体" w:hAnsi="宋体" w:cs="宋体" w:hint="eastAsia"/>
                <w:sz w:val="21"/>
                <w:szCs w:val="21"/>
              </w:rPr>
              <w:t>个月的每个月转账凭证以及对应的租金发票扫描件，提供不齐全的不得分。</w:t>
            </w:r>
          </w:p>
          <w:p>
            <w:pPr>
              <w:widowControl/>
              <w:snapToGrid w:val="0"/>
              <w:spacing w:line="360" w:lineRule="auto"/>
              <w:jc w:val="both"/>
              <w:rPr>
                <w:rFonts w:ascii="宋体" w:eastAsia="宋体" w:hAnsi="宋体" w:cs="宋体" w:hint="eastAsia"/>
                <w:sz w:val="21"/>
                <w:szCs w:val="21"/>
              </w:rPr>
            </w:pPr>
            <w:r>
              <w:rPr>
                <w:rFonts w:ascii="宋体" w:eastAsia="宋体" w:hAnsi="宋体" w:cs="宋体" w:hint="eastAsia"/>
                <w:sz w:val="21"/>
                <w:szCs w:val="21"/>
              </w:rPr>
              <w:t>2、要求提供的车辆需适用于载货物，</w:t>
            </w:r>
            <w:r>
              <w:rPr>
                <w:rFonts w:ascii="宋体" w:eastAsia="宋体" w:hAnsi="宋体" w:cs="宋体" w:hint="eastAsia"/>
                <w:sz w:val="21"/>
                <w:szCs w:val="21"/>
                <w:lang w:eastAsia="zh-CN"/>
              </w:rPr>
              <w:t>若提供自有车辆的，车辆需</w:t>
            </w:r>
            <w:r>
              <w:rPr>
                <w:rFonts w:ascii="宋体" w:eastAsia="宋体" w:hAnsi="宋体" w:cs="宋体" w:hint="eastAsia"/>
                <w:sz w:val="21"/>
                <w:szCs w:val="21"/>
              </w:rPr>
              <w:t>登记在投标人名下的，需提供有效的行驶证扫描件、车辆全身照（包括车辆内部照）等作为证明材料，提供法人或股东名下车辆不得分。若提供车辆租赁合同的，其租赁合同采购方为投标人，提供有效的车辆行驶证、车辆实拍全身图片（包括车辆内部照）、租赁合同、近</w:t>
            </w:r>
            <w:r>
              <w:rPr>
                <w:rFonts w:ascii="宋体" w:eastAsia="宋体" w:hAnsi="宋体" w:cs="宋体" w:hint="eastAsia"/>
                <w:sz w:val="21"/>
                <w:szCs w:val="21"/>
                <w:lang w:eastAsia="zh-CN"/>
              </w:rPr>
              <w:t>三</w:t>
            </w:r>
            <w:r>
              <w:rPr>
                <w:rFonts w:ascii="宋体" w:eastAsia="宋体" w:hAnsi="宋体" w:cs="宋体" w:hint="eastAsia"/>
                <w:sz w:val="21"/>
                <w:szCs w:val="21"/>
              </w:rPr>
              <w:t xml:space="preserve">个月的每个月租赁转账凭证及对应的租金发票扫描件，车辆行驶证上所有人需与出租方名称一致，提供不齐全的不得分。 </w:t>
            </w:r>
          </w:p>
          <w:p>
            <w:pPr>
              <w:snapToGrid w:val="0"/>
              <w:spacing w:line="360" w:lineRule="auto"/>
              <w:jc w:val="both"/>
              <w:rPr>
                <w:rFonts w:ascii="宋体" w:eastAsia="宋体" w:hAnsi="宋体" w:cs="宋体" w:hint="eastAsia"/>
                <w:sz w:val="21"/>
                <w:szCs w:val="21"/>
              </w:rPr>
            </w:pPr>
            <w:r>
              <w:rPr>
                <w:rFonts w:ascii="宋体" w:eastAsia="宋体" w:hAnsi="宋体" w:cs="宋体" w:hint="eastAsia"/>
                <w:sz w:val="21"/>
                <w:szCs w:val="21"/>
              </w:rPr>
              <w:t>3、如投标人为新成立且成立时间不足</w:t>
            </w:r>
            <w:r>
              <w:rPr>
                <w:rFonts w:ascii="宋体" w:eastAsia="宋体" w:hAnsi="宋体" w:cs="宋体" w:hint="eastAsia"/>
                <w:sz w:val="21"/>
                <w:szCs w:val="21"/>
                <w:lang w:eastAsia="zh-CN"/>
              </w:rPr>
              <w:t>三</w:t>
            </w:r>
            <w:r>
              <w:rPr>
                <w:rFonts w:ascii="宋体" w:eastAsia="宋体" w:hAnsi="宋体" w:cs="宋体" w:hint="eastAsia"/>
                <w:sz w:val="21"/>
                <w:szCs w:val="21"/>
              </w:rPr>
              <w:t>个月的，需提供成立月的次月至开标日期间的上述1和2要求的相关证明文件。</w:t>
            </w:r>
          </w:p>
          <w:p>
            <w:pPr>
              <w:snapToGrid w:val="0"/>
              <w:spacing w:line="360" w:lineRule="auto"/>
              <w:jc w:val="both"/>
              <w:rPr>
                <w:rFonts w:ascii="宋体" w:eastAsia="宋体" w:hAnsi="宋体" w:cs="宋体" w:hint="eastAsia"/>
                <w:sz w:val="21"/>
                <w:szCs w:val="21"/>
              </w:rPr>
            </w:pPr>
            <w:r>
              <w:rPr>
                <w:rFonts w:ascii="宋体" w:eastAsia="宋体" w:hAnsi="宋体" w:cs="宋体" w:hint="eastAsia"/>
                <w:sz w:val="21"/>
                <w:szCs w:val="21"/>
              </w:rPr>
              <w:t>4、以上证明文件均提供扫描件，未提供完整证明材料或提供不清晰导致评委无法识别的，均不得分。</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tcPr>
          <w:p>
            <w:pPr>
              <w:keepNext/>
              <w:keepLines/>
              <w:pageBreakBefore w:val="0"/>
              <w:kinsoku/>
              <w:wordWrap/>
              <w:overflowPunct/>
              <w:topLinePunct w:val="0"/>
              <w:autoSpaceDE/>
              <w:autoSpaceDN/>
              <w:bidi w:val="0"/>
              <w:adjustRightInd/>
              <w:spacing w:line="360" w:lineRule="auto"/>
              <w:jc w:val="center"/>
              <w:textAlignment w:val="auto"/>
              <w:outlineLvl w:val="2"/>
              <w:rPr>
                <w:rFonts w:ascii="宋体" w:eastAsia="宋体" w:hAnsi="宋体" w:cs="宋体" w:hint="eastAsia"/>
                <w:sz w:val="21"/>
                <w:szCs w:val="21"/>
              </w:rPr>
            </w:pPr>
          </w:p>
        </w:tc>
        <w:tc>
          <w:tcPr>
            <w:tcW w:w="680" w:type="dxa"/>
            <w:gridSpan w:val="2"/>
            <w:vAlign w:val="center"/>
          </w:tcPr>
          <w:p>
            <w:pPr>
              <w:pageBreakBefore w:val="0"/>
              <w:kinsoku/>
              <w:wordWrap/>
              <w:overflowPunct/>
              <w:topLinePunct w:val="0"/>
              <w:autoSpaceDE/>
              <w:autoSpaceDN/>
              <w:bidi w:val="0"/>
              <w:adjustRightInd/>
              <w:spacing w:line="360" w:lineRule="auto"/>
              <w:ind w:firstLine="210" w:firstLineChars="100"/>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505" w:type="dxa"/>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诚信评价</w:t>
            </w:r>
          </w:p>
        </w:tc>
        <w:tc>
          <w:tcPr>
            <w:tcW w:w="1082" w:type="dxa"/>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5</w:t>
            </w:r>
          </w:p>
        </w:tc>
        <w:tc>
          <w:tcPr>
            <w:tcW w:w="4827" w:type="dxa"/>
            <w:vAlign w:val="top"/>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供应商存在《深圳市财政局政府采购供应商信用信息管理办法》（深财规〔2023〕3号）列明的一般行政处罚信息、一般违法失信记录信息的，本项不得分，不存在上述情形的本项得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sz w:val="21"/>
                <w:szCs w:val="21"/>
                <w:lang w:eastAsia="zh-CN"/>
              </w:rPr>
              <w:t>100</w:t>
            </w:r>
            <w:r>
              <w:rPr>
                <w:rFonts w:ascii="宋体" w:eastAsia="宋体" w:hAnsi="宋体" w:cs="宋体" w:hint="eastAsia"/>
                <w:sz w:val="21"/>
                <w:szCs w:val="21"/>
              </w:rPr>
              <w:t>分。供应商无需提供任何证明材料，评标过程中由工作人员向评审委员会提供有关供应商诚信查询结果。</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查询渠道：通过“信用中国”、“中国政府采购网”（www.ccgp.gov.cn）以及“深圳市政府采购监管网”（http://zfcg.sz.gov.cn）查询供应商信用信息，信用信息以</w:t>
            </w:r>
            <w:r>
              <w:rPr>
                <w:rFonts w:ascii="宋体" w:eastAsia="宋体" w:hAnsi="宋体" w:cs="宋体" w:hint="eastAsia"/>
                <w:sz w:val="21"/>
                <w:szCs w:val="21"/>
                <w:lang w:eastAsia="zh-CN"/>
              </w:rPr>
              <w:t>代理机构</w:t>
            </w:r>
            <w:r>
              <w:rPr>
                <w:rFonts w:ascii="宋体" w:eastAsia="宋体" w:hAnsi="宋体" w:cs="宋体" w:hint="eastAsia"/>
                <w:sz w:val="21"/>
                <w:szCs w:val="21"/>
              </w:rPr>
              <w:t>开标当日的查询结果为准。</w:t>
            </w:r>
          </w:p>
        </w:tc>
      </w:tr>
    </w:tbl>
    <w:p>
      <w:pPr>
        <w:bidi w:val="0"/>
        <w:spacing w:line="360" w:lineRule="auto"/>
        <w:ind w:firstLine="440" w:firstLineChars="200"/>
        <w:rPr>
          <w:rFonts w:ascii="宋体" w:eastAsia="宋体" w:hAnsi="宋体" w:cs="宋体" w:hint="eastAsia"/>
          <w:sz w:val="22"/>
          <w:szCs w:val="22"/>
        </w:rPr>
      </w:pPr>
      <w:r>
        <w:rPr>
          <w:rFonts w:ascii="宋体" w:eastAsia="宋体" w:hAnsi="宋体" w:cs="宋体" w:hint="eastAsia"/>
          <w:sz w:val="22"/>
          <w:szCs w:val="22"/>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pPr>
        <w:bidi w:val="0"/>
        <w:spacing w:line="360" w:lineRule="auto"/>
        <w:ind w:firstLine="440" w:firstLineChars="200"/>
        <w:rPr>
          <w:rFonts w:ascii="宋体" w:eastAsia="宋体" w:hAnsi="宋体" w:cs="宋体" w:hint="eastAsia"/>
          <w:b/>
          <w:bCs/>
          <w:color w:val="FF0000"/>
          <w:sz w:val="22"/>
          <w:szCs w:val="22"/>
        </w:rPr>
      </w:pPr>
      <w:r>
        <w:rPr>
          <w:rFonts w:ascii="宋体" w:eastAsia="宋体" w:hAnsi="宋体" w:cs="宋体" w:hint="eastAsia"/>
          <w:b/>
          <w:bCs/>
          <w:color w:val="FF0000"/>
          <w:sz w:val="22"/>
          <w:szCs w:val="22"/>
        </w:rPr>
        <w:t>2.若采购人将产品节能要求纳入评审因素，需考察属于本项目的所投产品。</w:t>
      </w:r>
    </w:p>
    <w:p>
      <w:pPr>
        <w:widowControl w:val="0"/>
        <w:jc w:val="both"/>
        <w:rPr>
          <w:rFonts w:ascii="Calibri" w:eastAsia="宋体" w:hAnsi="Calibri"/>
          <w:b/>
          <w:kern w:val="2"/>
          <w:sz w:val="84"/>
          <w:szCs w:val="84"/>
          <w:lang w:eastAsia="zh-CN"/>
        </w:rPr>
      </w:pPr>
    </w:p>
    <w:p>
      <w:pPr>
        <w:rPr>
          <w:rFonts w:ascii="Calibri" w:eastAsia="宋体" w:hAnsi="Calibri"/>
          <w:b/>
          <w:kern w:val="2"/>
          <w:sz w:val="84"/>
          <w:szCs w:val="84"/>
          <w:lang w:eastAsia="zh-CN"/>
        </w:rPr>
      </w:pPr>
    </w:p>
    <w:p>
      <w:pPr>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ind w:left="720" w:firstLine="412" w:leftChars="300"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highlight w:val="yellow"/>
        </w:rPr>
      </w:pPr>
      <w:r>
        <w:rPr>
          <w:rFonts w:ascii="宋体" w:eastAsia="宋体" w:hAnsi="宋体" w:cs="宋体" w:hint="eastAsia"/>
          <w:sz w:val="21"/>
          <w:szCs w:val="21"/>
        </w:rPr>
        <w:t>1.具有独立法人资格或是具有独立承担民事责任能力的其他组织（提供营业执照或事业单位法人证书等证明资料扫描件</w:t>
      </w:r>
      <w:r>
        <w:rPr>
          <w:rFonts w:ascii="宋体" w:eastAsia="宋体" w:hAnsi="宋体" w:cs="宋体" w:hint="eastAsia"/>
          <w:sz w:val="21"/>
          <w:szCs w:val="21"/>
          <w:lang w:eastAsia="zh-CN"/>
        </w:rPr>
        <w:t>，</w:t>
      </w:r>
      <w:r>
        <w:rPr>
          <w:rFonts w:ascii="宋体" w:eastAsia="宋体" w:hAnsi="宋体" w:cs="宋体" w:hint="eastAsia"/>
          <w:sz w:val="21"/>
          <w:szCs w:val="21"/>
        </w:rPr>
        <w:t>原件备查）；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2.本项目不接受联合体投标（由供应商在《政府采购投标及履约承诺函》中作出声明），是否接受投标人选用进口产品参与投标详见招标文件“货物需求明细”表；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3.参与本项目政府采购活动时不存在被有关部门禁止参与政府采购活动且在有效期内的情况（由供应商在《政府采购投标及履约承诺函》中作出声明）；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4.具备《中华人民共和国政府采购法》第二十二条第一款的条件（由供应商在《政府采购投标及履约承诺函》中作出声明）；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5.未被列入失信被执行人、重大税收违法案件当事人名单、政府采购严重违法失信行为记录名单（由供应商在《政府采购投标及履约承诺函》中作出声明）；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w:t>
      </w:r>
      <w:r>
        <w:rPr>
          <w:rFonts w:ascii="宋体" w:eastAsia="宋体" w:hAnsi="宋体" w:cs="宋体" w:hint="eastAsia"/>
          <w:sz w:val="21"/>
          <w:szCs w:val="21"/>
          <w:lang w:eastAsia="zh-CN"/>
        </w:rPr>
        <w:t>代理机构</w:t>
      </w:r>
      <w:r>
        <w:rPr>
          <w:rFonts w:ascii="宋体" w:eastAsia="宋体" w:hAnsi="宋体" w:cs="宋体" w:hint="eastAsia"/>
          <w:sz w:val="21"/>
          <w:szCs w:val="21"/>
        </w:rPr>
        <w:t>开标当日的查询结果为准；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6.不存在《深圳市财政局政府采购供应商信用信息管理办法》（深财规〔2023〕3号）列明的严重违法失信行为（由供应商在《政府采购投标及履约承诺函》中作出声明）；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FF0000"/>
          <w:sz w:val="21"/>
          <w:szCs w:val="21"/>
        </w:rPr>
      </w:pPr>
      <w:r>
        <w:rPr>
          <w:rFonts w:ascii="宋体" w:eastAsia="宋体" w:hAnsi="宋体" w:cs="宋体" w:hint="eastAsia"/>
          <w:color w:val="FF0000"/>
          <w:sz w:val="21"/>
          <w:szCs w:val="21"/>
        </w:rPr>
        <w:t>8.本项目不属于专门面向中小微企业采购项目。</w:t>
      </w:r>
    </w:p>
    <w:p>
      <w:pPr>
        <w:widowControl w:val="0"/>
        <w:autoSpaceDE w:val="0"/>
        <w:autoSpaceDN w:val="0"/>
        <w:adjustRightInd w:val="0"/>
        <w:rPr>
          <w:rFonts w:ascii="宋体" w:eastAsia="宋体" w:hAnsi="Calibri" w:cs="宋体" w:hint="eastAsia"/>
          <w:color w:val="000000"/>
          <w:lang w:eastAsia="zh-CN"/>
        </w:rPr>
      </w:pPr>
    </w:p>
    <w:p>
      <w:pPr>
        <w:widowControl w:val="0"/>
        <w:spacing w:after="60" w:afterLines="25"/>
        <w:jc w:val="center"/>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完整公告内容以网站公布信息为准，详见：深圳政府采购自行采购系统网（https://zxcg.szggzy.com/home/index.html）</w:t>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2" w:name="_Hlk71926094"/>
      <w:r>
        <w:rPr>
          <w:rFonts w:ascii="宋体" w:eastAsia="宋体" w:hAnsi="宋体" w:hint="eastAsia"/>
          <w:b/>
          <w:bCs/>
          <w:sz w:val="28"/>
          <w:szCs w:val="28"/>
          <w:lang w:eastAsia="zh-CN"/>
        </w:rPr>
        <w:t xml:space="preserve">  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73518117"/>
      <w:bookmarkStart w:id="4" w:name="_Toc73517639"/>
      <w:bookmarkStart w:id="5" w:name="_Toc100052364"/>
      <w:bookmarkStart w:id="6" w:name="_Toc73521547"/>
      <w:bookmarkStart w:id="7" w:name="_Toc60560625"/>
      <w:bookmarkStart w:id="8" w:name="_Toc73521635"/>
      <w:bookmarkStart w:id="9" w:name="_Toc101074876"/>
      <w:bookmarkStart w:id="10" w:name="_Toc60631620"/>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spacing w:line="360" w:lineRule="auto"/>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spacing w:line="360" w:lineRule="auto"/>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spacing w:line="360" w:lineRule="auto"/>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360" w:lineRule="auto"/>
        <w:jc w:val="both"/>
        <w:rPr>
          <w:rFonts w:ascii="宋体" w:eastAsia="宋体" w:hAnsi="宋体" w:cs="宋体"/>
          <w:bCs/>
          <w:kern w:val="2"/>
          <w:sz w:val="21"/>
          <w:szCs w:val="21"/>
          <w:lang w:eastAsia="zh-CN"/>
        </w:rPr>
      </w:pPr>
    </w:p>
    <w:p>
      <w:pPr>
        <w:widowControl w:val="0"/>
        <w:tabs>
          <w:tab w:val="left" w:pos="720"/>
        </w:tabs>
        <w:spacing w:line="360" w:lineRule="auto"/>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spacing w:line="360" w:lineRule="auto"/>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spacing w:line="360" w:lineRule="auto"/>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w:t>
      </w:r>
      <w:r>
        <w:rPr>
          <w:rFonts w:ascii="宋体" w:eastAsia="宋体" w:hAnsi="宋体" w:cs="宋体" w:hint="eastAsia"/>
          <w:b/>
          <w:bCs/>
          <w:sz w:val="21"/>
          <w:szCs w:val="21"/>
          <w:lang w:eastAsia="zh-CN"/>
        </w:rPr>
        <w:t>中小微企业</w:t>
      </w:r>
      <w:r>
        <w:rPr>
          <w:rFonts w:ascii="宋体" w:eastAsia="宋体" w:hAnsi="宋体" w:cs="宋体" w:hint="eastAsia"/>
          <w:sz w:val="21"/>
          <w:szCs w:val="21"/>
          <w:lang w:eastAsia="zh-CN"/>
        </w:rPr>
        <w:t>采购的项目，不再执行价格扣除比例。</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（2）非专门面向中小微企业采购的项目，应执行价格扣除比例：</w:t>
      </w:r>
      <w:r>
        <w:rPr>
          <w:rFonts w:ascii="宋体" w:eastAsia="宋体" w:hAnsi="宋体" w:cs="宋体" w:hint="eastAsia"/>
          <w:sz w:val="21"/>
          <w:szCs w:val="21"/>
        </w:rPr>
        <w:t>投标人提供的货物（以招标文件用户需求书“货物清单明细”的“货物名称”一栏为准）全部均由优惠主体制造，则对其投标总价给予</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10</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w:t>
      </w:r>
      <w:r>
        <w:rPr>
          <w:rFonts w:ascii="宋体" w:eastAsia="宋体" w:hAnsi="宋体" w:cs="宋体" w:hint="eastAsia"/>
          <w:b/>
          <w:bCs/>
          <w:color w:val="FF0000"/>
          <w:sz w:val="21"/>
          <w:szCs w:val="21"/>
        </w:rPr>
        <w:t>%</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w:t>
      </w:r>
      <w:r>
        <w:rPr>
          <w:rFonts w:ascii="宋体" w:eastAsia="宋体" w:hAnsi="宋体" w:cs="宋体" w:hint="eastAsia"/>
          <w:sz w:val="21"/>
          <w:szCs w:val="21"/>
          <w:lang w:eastAsia="zh-CN"/>
        </w:rPr>
        <w:t>供应商</w:t>
      </w:r>
      <w:r>
        <w:rPr>
          <w:rFonts w:ascii="宋体" w:eastAsia="宋体" w:hAnsi="宋体" w:cs="宋体" w:hint="eastAsia"/>
          <w:sz w:val="21"/>
          <w:szCs w:val="21"/>
        </w:rPr>
        <w:t>，不重复享受多项价格扣除政策。</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w:t>
      </w:r>
      <w:bookmarkStart w:id="12"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本项目采购标的（货物）对应的中小企业划分标准所属行业为</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工  </w:t>
      </w:r>
      <w:r>
        <w:rPr>
          <w:rFonts w:ascii="宋体" w:eastAsia="宋体" w:hAnsi="宋体" w:cs="宋体" w:hint="eastAsia"/>
          <w:b/>
          <w:bCs/>
          <w:color w:val="FF0000"/>
          <w:sz w:val="21"/>
          <w:szCs w:val="21"/>
          <w:u w:val="single"/>
        </w:rPr>
        <w:t xml:space="preserve"> </w:t>
      </w:r>
      <w:r>
        <w:rPr>
          <w:rFonts w:ascii="宋体" w:eastAsia="宋体" w:hAnsi="宋体" w:cs="宋体" w:hint="eastAsia"/>
          <w:b/>
          <w:bCs/>
          <w:sz w:val="21"/>
          <w:szCs w:val="21"/>
        </w:rPr>
        <w:t>业</w:t>
      </w:r>
      <w:r>
        <w:rPr>
          <w:rFonts w:ascii="宋体" w:eastAsia="宋体" w:hAnsi="宋体" w:cs="宋体" w:hint="eastAsia"/>
          <w:sz w:val="21"/>
          <w:szCs w:val="21"/>
        </w:rPr>
        <w:t>。</w:t>
      </w:r>
      <w:bookmarkEnd w:id="12"/>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ascii="宋体" w:eastAsia="宋体" w:hAnsi="宋体" w:cs="宋体" w:hint="eastAsia"/>
          <w:sz w:val="21"/>
          <w:szCs w:val="21"/>
          <w:lang w:eastAsia="zh-CN"/>
        </w:rPr>
        <w:t>四</w:t>
      </w:r>
      <w:r>
        <w:rPr>
          <w:rFonts w:ascii="宋体" w:eastAsia="宋体" w:hAnsi="宋体" w:cs="宋体" w:hint="eastAsia"/>
          <w:sz w:val="21"/>
          <w:szCs w:val="21"/>
        </w:rPr>
        <w:t>章“投标文件格式、附件”中“</w:t>
      </w:r>
      <w:r>
        <w:rPr>
          <w:rFonts w:ascii="宋体" w:eastAsia="宋体" w:hAnsi="宋体" w:cs="宋体" w:hint="eastAsia"/>
          <w:sz w:val="21"/>
          <w:szCs w:val="21"/>
          <w:lang w:eastAsia="zh-CN"/>
        </w:rPr>
        <w:t>三、</w:t>
      </w:r>
      <w:r>
        <w:rPr>
          <w:rFonts w:ascii="宋体" w:eastAsia="宋体" w:hAnsi="宋体" w:cs="宋体" w:hint="eastAsia"/>
          <w:sz w:val="21"/>
          <w:szCs w:val="21"/>
        </w:rPr>
        <w:t>投标人情况及资格证明文件”章节提供的格式）。</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）享受价格扣除获得政府采购合同的，小微企业不得将合同分包给大中型企业。</w:t>
      </w:r>
    </w:p>
    <w:p>
      <w:pPr>
        <w:widowControl w:val="0"/>
        <w:tabs>
          <w:tab w:val="left" w:pos="720"/>
        </w:tabs>
        <w:spacing w:line="360" w:lineRule="auto"/>
        <w:ind w:firstLine="480" w:firstLineChars="200"/>
        <w:jc w:val="both"/>
        <w:rPr>
          <w:rFonts w:ascii="黑体" w:eastAsia="黑体" w:hAnsi="宋体"/>
          <w:kern w:val="2"/>
          <w:szCs w:val="22"/>
          <w:highlight w:val="yellow"/>
          <w:lang w:eastAsia="zh-CN"/>
        </w:rPr>
      </w:pP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spacing w:line="360" w:lineRule="auto"/>
        <w:ind w:firstLine="420" w:firstLineChars="200"/>
        <w:jc w:val="both"/>
        <w:rPr>
          <w:rFonts w:ascii="宋体" w:eastAsia="宋体" w:hAnsi="宋体"/>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黑体" w:eastAsia="黑体" w:hAnsi="宋体"/>
          <w:kern w:val="2"/>
          <w:szCs w:val="22"/>
          <w:lang w:eastAsia="zh-CN"/>
        </w:rPr>
      </w:pP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spacing w:line="360" w:lineRule="auto"/>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widowControl/>
        <w:spacing w:line="360" w:lineRule="auto"/>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并在此计算结果基础上下浮 20 %，作为中标服务费。具体计取费率标准如下表所示（由中标单位支付招标代理服务费）：</w:t>
      </w:r>
    </w:p>
    <w:tbl>
      <w:tblPr>
        <w:tblStyle w:val="TableNormal"/>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2858"/>
        <w:gridCol w:w="1999"/>
        <w:gridCol w:w="2000"/>
        <w:gridCol w:w="1999"/>
      </w:tblGrid>
      <w:tr>
        <w:tblPrEx>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94"/>
        </w:trPr>
        <w:tc>
          <w:tcPr>
            <w:tcW w:w="2836" w:type="dxa"/>
            <w:tcBorders>
              <w:tl2br w:val="single" w:sz="8" w:space="0" w:color="auto"/>
            </w:tcBorders>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服务类型中标金额(万元)</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货物招标</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服务招标</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工程招标</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100以下</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100-500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0.7％</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500-1000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0.45％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1000-5000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0.35％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5000-10000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10000-100000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1000000以上</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r>
    </w:tbl>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注：</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（1）按本表费率计算的收费为招标代理服务的收费基准价格。</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（2）招标代理服务收费按差额定率累进法计算。</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例如：某服务招标代理业务中标金额为600万元，计算招标代理服务收费额如下：</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100万元×1.5%=1.5万元</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（500-100）万元×0.8%=3.2万元</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（600-500）万元×0.45%=0.45万元</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合计收费=1.5+3.2+0.45=5.15万元</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备注：最低收费不低于人民币6000元。代理服务费用超过6000元，则按国家计费规定收取代理服务费。</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收款单位：深圳市千里招标代理有限公司</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开户银行：中国平安银行深圳创业路支行</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帐号：（人民币）15000094959311（用于支付标书费和中标服务费）</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中标人须在中标公告公示期结束后，领取《中标通知书》前，向招标（采购）代理机构缴纳招标代理服务费。</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招标代理服务费以转账、银行汇票形式交付。</w:t>
      </w: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14"/>
        <w:gridCol w:w="1891"/>
        <w:gridCol w:w="2326"/>
        <w:gridCol w:w="1609"/>
        <w:gridCol w:w="1027"/>
        <w:gridCol w:w="1203"/>
      </w:tblGrid>
      <w:tr>
        <w:tblPrEx>
          <w:tblW w:w="5000" w:type="pct"/>
          <w:jc w:val="center"/>
          <w:tblLayout w:type="fixed"/>
          <w:tblCellMar>
            <w:top w:w="15" w:type="dxa"/>
            <w:left w:w="15" w:type="dxa"/>
            <w:bottom w:w="15" w:type="dxa"/>
            <w:right w:w="15" w:type="dxa"/>
          </w:tblCellMar>
        </w:tblPrEx>
        <w:trPr>
          <w:trHeight w:val="563"/>
          <w:jc w:val="center"/>
        </w:trPr>
        <w:tc>
          <w:tcPr>
            <w:tcW w:w="692"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144"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18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最高限价（元）</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textAlignment w:val="baseline"/>
              <w:rPr>
                <w:rFonts w:ascii="宋体" w:eastAsia="宋体" w:hAnsi="宋体" w:cs="宋体" w:hint="eastAsia"/>
                <w:b/>
                <w:kern w:val="2"/>
                <w:sz w:val="21"/>
                <w:szCs w:val="21"/>
                <w:lang w:eastAsia="zh-CN"/>
              </w:rPr>
            </w:pPr>
            <w:r>
              <w:rPr>
                <w:rFonts w:ascii="宋体" w:eastAsia="宋体" w:hAnsi="宋体" w:cs="宋体" w:hint="eastAsia"/>
                <w:b/>
                <w:bCs/>
                <w:sz w:val="21"/>
                <w:szCs w:val="21"/>
              </w:rPr>
              <w:t>备注</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textAlignment w:val="baseline"/>
              <w:rPr>
                <w:rFonts w:ascii="宋体" w:eastAsia="宋体" w:hAnsi="宋体" w:cs="宋体" w:hint="eastAsia"/>
                <w:b/>
                <w:kern w:val="2"/>
                <w:sz w:val="21"/>
                <w:szCs w:val="21"/>
                <w:lang w:eastAsia="zh-CN"/>
              </w:rPr>
            </w:pPr>
            <w:r>
              <w:rPr>
                <w:rFonts w:ascii="宋体" w:eastAsia="宋体" w:hAnsi="宋体" w:cs="宋体" w:hint="eastAsia"/>
                <w:b/>
                <w:bCs/>
                <w:sz w:val="21"/>
                <w:szCs w:val="21"/>
                <w:lang w:eastAsia="zh-CN"/>
              </w:rPr>
              <w:t>所属行业</w:t>
            </w:r>
          </w:p>
        </w:tc>
      </w:tr>
      <w:tr>
        <w:tblPrEx>
          <w:tblW w:w="5000" w:type="pct"/>
          <w:jc w:val="center"/>
          <w:tblLayout w:type="fixed"/>
          <w:tblCellMar>
            <w:top w:w="15" w:type="dxa"/>
            <w:left w:w="15" w:type="dxa"/>
            <w:bottom w:w="15" w:type="dxa"/>
            <w:right w:w="15" w:type="dxa"/>
          </w:tblCellMar>
        </w:tblPrEx>
        <w:trPr>
          <w:trHeight w:val="564"/>
          <w:jc w:val="center"/>
        </w:trPr>
        <w:tc>
          <w:tcPr>
            <w:tcW w:w="692"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144"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LHAZXDL-2024-00182</w:t>
            </w:r>
          </w:p>
        </w:tc>
        <w:tc>
          <w:tcPr>
            <w:tcW w:w="2639"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深圳市龙华区中心医院热敏纸采购项目</w:t>
            </w:r>
          </w:p>
        </w:tc>
        <w:tc>
          <w:tcPr>
            <w:tcW w:w="1824"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284,900.00</w:t>
            </w:r>
          </w:p>
        </w:tc>
        <w:tc>
          <w:tcPr>
            <w:tcW w:w="1161" w:type="dxa"/>
            <w:tcBorders>
              <w:top w:val="single" w:sz="4" w:space="0" w:color="000000"/>
              <w:left w:val="single" w:sz="4" w:space="0" w:color="000000"/>
              <w:bottom w:val="single" w:sz="4" w:space="0" w:color="auto"/>
              <w:right w:val="single" w:sz="4" w:space="0" w:color="000000"/>
            </w:tcBorders>
            <w:vAlign w:val="center"/>
          </w:tcPr>
          <w:p>
            <w:pPr>
              <w:jc w:val="center"/>
              <w:textAlignment w:val="baseline"/>
              <w:rPr>
                <w:rFonts w:ascii="宋体" w:eastAsia="宋体" w:hAnsi="宋体" w:cs="宋体" w:hint="eastAsia"/>
                <w:kern w:val="2"/>
                <w:sz w:val="21"/>
                <w:szCs w:val="21"/>
                <w:lang w:eastAsia="zh-CN"/>
              </w:rPr>
            </w:pPr>
            <w:r>
              <w:rPr>
                <w:rFonts w:ascii="宋体" w:eastAsia="宋体" w:hAnsi="宋体" w:cs="宋体" w:hint="eastAsia"/>
                <w:bCs/>
                <w:sz w:val="21"/>
                <w:szCs w:val="21"/>
                <w:lang w:eastAsia="zh-CN"/>
              </w:rPr>
              <w:t>拒绝</w:t>
            </w:r>
            <w:r>
              <w:rPr>
                <w:rFonts w:ascii="宋体" w:eastAsia="宋体" w:hAnsi="宋体" w:cs="宋体" w:hint="eastAsia"/>
                <w:bCs/>
                <w:sz w:val="21"/>
                <w:szCs w:val="21"/>
              </w:rPr>
              <w:t>进口</w:t>
            </w:r>
          </w:p>
        </w:tc>
        <w:tc>
          <w:tcPr>
            <w:tcW w:w="1362" w:type="dxa"/>
            <w:tcBorders>
              <w:top w:val="single" w:sz="4" w:space="0" w:color="000000"/>
              <w:left w:val="single" w:sz="4" w:space="0" w:color="000000"/>
              <w:bottom w:val="single" w:sz="4" w:space="0" w:color="auto"/>
              <w:right w:val="single" w:sz="4" w:space="0" w:color="000000"/>
            </w:tcBorders>
            <w:vAlign w:val="center"/>
          </w:tcPr>
          <w:p>
            <w:pPr>
              <w:jc w:val="center"/>
              <w:textAlignment w:val="baseline"/>
              <w:rPr>
                <w:rFonts w:ascii="宋体" w:eastAsia="宋体" w:hAnsi="宋体" w:cs="宋体" w:hint="eastAsia"/>
                <w:kern w:val="2"/>
                <w:sz w:val="21"/>
                <w:szCs w:val="21"/>
                <w:lang w:eastAsia="zh-CN"/>
              </w:rPr>
            </w:pPr>
            <w:r>
              <w:rPr>
                <w:rFonts w:ascii="宋体" w:eastAsia="宋体" w:hAnsi="宋体" w:cs="宋体" w:hint="eastAsia"/>
                <w:bCs/>
                <w:sz w:val="21"/>
                <w:szCs w:val="21"/>
                <w:lang w:eastAsia="zh-CN"/>
              </w:rPr>
              <w:t>工业</w:t>
            </w:r>
          </w:p>
        </w:tc>
      </w:tr>
    </w:tbl>
    <w:p>
      <w:pPr>
        <w:spacing w:before="120" w:after="120"/>
        <w:rPr>
          <w:rFonts w:ascii="Calibri" w:hAnsi="Calibri" w:hint="eastAsia"/>
          <w:b/>
          <w:bCs/>
          <w:caps/>
          <w:sz w:val="21"/>
          <w:szCs w:val="21"/>
        </w:rPr>
      </w:pPr>
      <w:r>
        <w:rPr>
          <w:rFonts w:ascii="Calibri" w:hAnsi="Calibri" w:hint="eastAsia"/>
          <w:b/>
          <w:bCs/>
          <w:caps/>
          <w:sz w:val="21"/>
          <w:szCs w:val="21"/>
        </w:rPr>
        <w:t>备注：</w:t>
      </w:r>
      <w:r>
        <w:rPr>
          <w:rFonts w:ascii="Calibri" w:hAnsi="Calibri" w:hint="eastAsia"/>
          <w:b/>
          <w:bCs/>
          <w:caps/>
          <w:color w:val="FF0000"/>
          <w:sz w:val="21"/>
          <w:szCs w:val="21"/>
        </w:rPr>
        <w:t>预算采购金额计算来源：上一年度采购产品单价*年度使用数量=预算采购金额。此金额不作为最终结算依据。最终结算金额由中标公司提供采购单价*日常业务需求数量。</w:t>
      </w:r>
    </w:p>
    <w:p>
      <w:pPr>
        <w:keepNext/>
        <w:keepLines/>
        <w:widowControl w:val="0"/>
        <w:tabs>
          <w:tab w:val="left" w:pos="1680"/>
        </w:tabs>
        <w:spacing w:before="260" w:after="60" w:afterLines="25"/>
        <w:jc w:val="both"/>
        <w:outlineLvl w:val="9"/>
        <w:rPr>
          <w:rFonts w:ascii="Arial" w:eastAsia="宋体" w:hAnsi="Arial" w:hint="eastAsia"/>
          <w:b/>
          <w:kern w:val="2"/>
          <w:sz w:val="32"/>
          <w:szCs w:val="32"/>
          <w:lang w:eastAsia="zh-CN"/>
        </w:rPr>
      </w:pPr>
    </w:p>
    <w:p>
      <w:pPr>
        <w:keepNext/>
        <w:keepLines/>
        <w:widowControl w:val="0"/>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二、货物需求明细</w:t>
      </w:r>
      <w:bookmarkStart w:id="13" w:name="_Toc128884461"/>
    </w:p>
    <w:p>
      <w:pPr>
        <w:widowControl w:val="0"/>
        <w:autoSpaceDE w:val="0"/>
        <w:autoSpaceDN w:val="0"/>
        <w:adjustRightInd w:val="0"/>
        <w:rPr>
          <w:rFonts w:ascii="宋体" w:eastAsia="宋体" w:hAnsi="Calibri" w:cs="宋体" w:hint="eastAsia"/>
          <w:color w:val="000000"/>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1"/>
        <w:gridCol w:w="2062"/>
        <w:gridCol w:w="1152"/>
        <w:gridCol w:w="1022"/>
        <w:gridCol w:w="1122"/>
        <w:gridCol w:w="1325"/>
        <w:gridCol w:w="135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5"/>
          <w:jc w:val="center"/>
        </w:trPr>
        <w:tc>
          <w:tcPr>
            <w:tcW w:w="843"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序号</w:t>
            </w:r>
          </w:p>
        </w:tc>
        <w:tc>
          <w:tcPr>
            <w:tcW w:w="2130"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货物名称</w:t>
            </w:r>
          </w:p>
        </w:tc>
        <w:tc>
          <w:tcPr>
            <w:tcW w:w="1186" w:type="dxa"/>
            <w:noWrap w:val="0"/>
            <w:vAlign w:val="center"/>
          </w:tcPr>
          <w:p>
            <w:pPr>
              <w:widowControl/>
              <w:jc w:val="center"/>
              <w:rPr>
                <w:rFonts w:ascii="宋体" w:eastAsia="宋体" w:hAnsi="宋体" w:cs="宋体" w:hint="eastAsia"/>
                <w:b/>
                <w:kern w:val="2"/>
                <w:sz w:val="21"/>
                <w:szCs w:val="21"/>
                <w:lang w:eastAsia="zh-CN"/>
              </w:rPr>
            </w:pPr>
            <w:r>
              <w:rPr>
                <w:rFonts w:ascii="宋体" w:eastAsia="宋体" w:hAnsi="宋体" w:cs="宋体" w:hint="eastAsia"/>
                <w:b/>
                <w:color w:val="000000"/>
                <w:sz w:val="21"/>
                <w:szCs w:val="21"/>
              </w:rPr>
              <w:t>预计数量</w:t>
            </w:r>
          </w:p>
        </w:tc>
        <w:tc>
          <w:tcPr>
            <w:tcW w:w="1051" w:type="dxa"/>
            <w:noWrap w:val="0"/>
            <w:vAlign w:val="center"/>
          </w:tcPr>
          <w:p>
            <w:pPr>
              <w:widowControl/>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单位</w:t>
            </w:r>
          </w:p>
        </w:tc>
        <w:tc>
          <w:tcPr>
            <w:tcW w:w="1155" w:type="dxa"/>
            <w:noWrap w:val="0"/>
            <w:vAlign w:val="center"/>
          </w:tcPr>
          <w:p>
            <w:pPr>
              <w:widowControl/>
              <w:jc w:val="center"/>
              <w:rPr>
                <w:rFonts w:ascii="Calibri" w:eastAsia="宋体" w:hAnsi="Calibri"/>
                <w:b/>
                <w:kern w:val="2"/>
                <w:sz w:val="21"/>
                <w:szCs w:val="21"/>
                <w:lang w:eastAsia="zh-CN"/>
              </w:rPr>
            </w:pPr>
            <w:r>
              <w:rPr>
                <w:rFonts w:ascii="宋体" w:eastAsia="宋体" w:hAnsi="宋体" w:cs="宋体" w:hint="eastAsia"/>
                <w:b/>
                <w:color w:val="000000"/>
                <w:sz w:val="21"/>
                <w:szCs w:val="21"/>
              </w:rPr>
              <w:t>最高限价（单价）</w:t>
            </w:r>
          </w:p>
        </w:tc>
        <w:tc>
          <w:tcPr>
            <w:tcW w:w="1365"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备注</w:t>
            </w:r>
          </w:p>
        </w:tc>
        <w:tc>
          <w:tcPr>
            <w:tcW w:w="1394"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最高限价（元）</w:t>
            </w: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w:t>
            </w:r>
            <w:r>
              <w:rPr>
                <w:rFonts w:ascii="宋体" w:eastAsia="宋体" w:hAnsi="宋体" w:cs="宋体" w:hint="eastAsia"/>
                <w:color w:val="000000"/>
                <w:sz w:val="21"/>
                <w:szCs w:val="21"/>
                <w:lang w:eastAsia="zh-CN"/>
              </w:rPr>
              <w:t>1</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28664</w:t>
            </w:r>
          </w:p>
        </w:tc>
        <w:tc>
          <w:tcPr>
            <w:tcW w:w="1051" w:type="dxa"/>
            <w:noWrap w:val="0"/>
            <w:vAlign w:val="center"/>
          </w:tcPr>
          <w:p>
            <w:pPr>
              <w:widowControl/>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color w:val="FF0000"/>
                <w:kern w:val="2"/>
                <w:sz w:val="21"/>
                <w:szCs w:val="21"/>
                <w:highlight w:val="yellow"/>
                <w:lang w:eastAsia="zh-CN"/>
              </w:rPr>
            </w:pPr>
            <w:r>
              <w:rPr>
                <w:rFonts w:ascii="宋体" w:eastAsia="宋体" w:hAnsi="宋体" w:cs="宋体" w:hint="eastAsia"/>
                <w:color w:val="000000"/>
                <w:sz w:val="21"/>
                <w:szCs w:val="21"/>
              </w:rPr>
              <w:t>5</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val="restart"/>
            <w:noWrap w:val="0"/>
            <w:vAlign w:val="center"/>
          </w:tcPr>
          <w:p>
            <w:pPr>
              <w:widowControl w:val="0"/>
              <w:jc w:val="center"/>
              <w:rPr>
                <w:rFonts w:ascii="Calibri" w:eastAsia="宋体" w:hAnsi="Calibri"/>
                <w:kern w:val="2"/>
                <w:sz w:val="21"/>
                <w:szCs w:val="21"/>
                <w:lang w:eastAsia="zh-CN"/>
              </w:rPr>
            </w:pPr>
            <w:r>
              <w:rPr>
                <w:rFonts w:ascii="宋体" w:eastAsia="宋体" w:hAnsi="宋体" w:hint="eastAsia"/>
                <w:kern w:val="2"/>
                <w:sz w:val="21"/>
                <w:szCs w:val="21"/>
                <w:lang w:eastAsia="zh-CN"/>
              </w:rPr>
              <w:t>284,900.00</w:t>
            </w:r>
          </w:p>
        </w:tc>
      </w:tr>
      <w:tr>
        <w:tblPrEx>
          <w:tblW w:w="5000" w:type="pct"/>
          <w:jc w:val="center"/>
          <w:tblLayout w:type="fixed"/>
          <w:tblCellMar>
            <w:top w:w="0" w:type="dxa"/>
            <w:left w:w="108" w:type="dxa"/>
            <w:bottom w:w="0" w:type="dxa"/>
            <w:right w:w="108" w:type="dxa"/>
          </w:tblCellMar>
        </w:tblPrEx>
        <w:trPr>
          <w:trHeight w:val="572"/>
          <w:jc w:val="center"/>
        </w:trPr>
        <w:tc>
          <w:tcPr>
            <w:tcW w:w="843" w:type="dxa"/>
            <w:noWrap w:val="0"/>
            <w:vAlign w:val="center"/>
          </w:tcPr>
          <w:p>
            <w:pPr>
              <w:widowControl/>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1</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3522</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color w:val="FF0000"/>
                <w:kern w:val="2"/>
                <w:sz w:val="21"/>
                <w:szCs w:val="21"/>
                <w:highlight w:val="yellow"/>
                <w:lang w:eastAsia="zh-CN"/>
              </w:rPr>
            </w:pPr>
            <w:r>
              <w:rPr>
                <w:rFonts w:ascii="宋体" w:eastAsia="宋体" w:hAnsi="宋体" w:cs="宋体" w:hint="eastAsia"/>
                <w:color w:val="000000"/>
                <w:sz w:val="21"/>
                <w:szCs w:val="21"/>
              </w:rPr>
              <w:t>21</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p>
            <w:pPr>
              <w:widowControl w:val="0"/>
              <w:autoSpaceDE w:val="0"/>
              <w:autoSpaceDN w:val="0"/>
              <w:adjustRightInd w:val="0"/>
              <w:jc w:val="center"/>
              <w:rPr>
                <w:rFonts w:ascii="宋体" w:eastAsia="宋体" w:hAnsi="Calibri" w:cs="宋体" w:hint="eastAsia"/>
                <w:color w:val="000000"/>
                <w:lang w:eastAsia="zh-CN"/>
              </w:rPr>
            </w:pPr>
            <w:r>
              <w:rPr>
                <w:rFonts w:ascii="Calibri" w:eastAsia="宋体" w:hAnsi="Calibri" w:cstheme="minorBidi" w:hint="eastAsia"/>
                <w:b/>
                <w:bCs/>
                <w:color w:val="FF0000"/>
                <w:kern w:val="2"/>
                <w:sz w:val="21"/>
                <w:szCs w:val="21"/>
                <w:lang w:eastAsia="zh-CN"/>
              </w:rPr>
              <w:t>核心产品</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FF0000"/>
                <w:sz w:val="21"/>
                <w:szCs w:val="21"/>
                <w:highlight w:val="yellow"/>
              </w:rPr>
              <w:t>热敏纸不干胶</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216</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25</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4</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2</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53</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38</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5</w:t>
            </w:r>
          </w:p>
        </w:tc>
        <w:tc>
          <w:tcPr>
            <w:tcW w:w="2130"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热敏纸 </w:t>
            </w:r>
          </w:p>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POS机专用</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5500</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6</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3</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2677</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15</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7</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热敏不干胶</w:t>
            </w:r>
            <w:r>
              <w:rPr>
                <w:rFonts w:ascii="宋体" w:eastAsia="宋体" w:hAnsi="宋体" w:cs="宋体" w:hint="eastAsia"/>
                <w:color w:val="000000"/>
                <w:sz w:val="21"/>
                <w:szCs w:val="21"/>
                <w:lang w:eastAsia="zh-CN"/>
              </w:rPr>
              <w:t>4</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550</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4.8</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0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8</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热敏不干胶</w:t>
            </w:r>
            <w:r>
              <w:rPr>
                <w:rFonts w:ascii="宋体" w:eastAsia="宋体" w:hAnsi="宋体" w:cs="宋体" w:hint="eastAsia"/>
                <w:color w:val="000000"/>
                <w:sz w:val="21"/>
                <w:szCs w:val="21"/>
                <w:lang w:eastAsia="zh-CN"/>
              </w:rPr>
              <w:t>5</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1394</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4.6</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lang w:eastAsia="zh-CN"/>
        </w:rPr>
        <w:t>1、</w:t>
      </w:r>
      <w:r>
        <w:rPr>
          <w:rFonts w:ascii="宋体" w:eastAsia="宋体" w:hAnsi="宋体" w:cs="宋体" w:hint="eastAsia"/>
          <w:b/>
          <w:color w:val="FF0000"/>
          <w:sz w:val="21"/>
          <w:szCs w:val="21"/>
        </w:rPr>
        <w:t>报价不得超出最高限价（单价）。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2、如以上商品有因生产厂家对商品升级、停产或其他原因导致无法供货的，在满足采购方使用需求的前提下，可对比该商品参数和单价选用其他品牌同类产品，单价不得高于该商品单价，参数要求不得低于该商品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3、中标人根据采购方实际采购需要，负责本项目《采购产品清单》中的内容，但不限于此清单货物的供应。如不在本项目采购产品清单内但属于清单同类产品的，中标人应按照采购方要求采购，采购方向中标人发出报价通知后，中标人应根据采购方需求，参考京东及天猫等网上商城的供货价报价。采购方接受该报价后，即将其添加于本项目采购产品清单内，由采购方按照本项目合同的约定向中标人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4、中标人需有自营配送服务、技术服务团队，按照采购方要求配送物资至指定地点，并按照流程完成验收手续。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 xml:space="preserve">5.备注栏注明“拒绝进口”的产品不接受投标人选用进口产品参与投标；注明“接受进口”的产品允许投标人选用进口产品参与投标，但不排斥国内产品。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6、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u w:val="single"/>
        </w:rPr>
      </w:pPr>
      <w:r>
        <w:rPr>
          <w:rFonts w:ascii="宋体" w:eastAsia="宋体" w:hAnsi="宋体" w:cs="宋体" w:hint="eastAsia"/>
          <w:b/>
          <w:color w:val="FF0000"/>
          <w:sz w:val="21"/>
          <w:szCs w:val="21"/>
        </w:rPr>
        <w:t>7、本项目核心产品为：</w:t>
      </w:r>
      <w:r>
        <w:rPr>
          <w:rFonts w:ascii="宋体" w:eastAsia="宋体" w:hAnsi="宋体" w:cs="宋体" w:hint="eastAsia"/>
          <w:b/>
          <w:color w:val="FF0000"/>
          <w:sz w:val="21"/>
          <w:szCs w:val="21"/>
          <w:u w:val="single"/>
        </w:rPr>
        <w:t>热敏纸不干胶</w:t>
      </w:r>
      <w:r>
        <w:rPr>
          <w:rFonts w:ascii="宋体" w:eastAsia="宋体" w:hAnsi="宋体" w:cs="宋体" w:hint="eastAsia"/>
          <w:b/>
          <w:color w:val="FF0000"/>
          <w:sz w:val="21"/>
          <w:szCs w:val="21"/>
          <w:u w:val="single"/>
          <w:lang w:eastAsia="zh-CN"/>
        </w:rPr>
        <w:t>1</w:t>
      </w:r>
      <w:r>
        <w:rPr>
          <w:rFonts w:ascii="宋体" w:eastAsia="宋体" w:hAnsi="宋体" w:cs="宋体" w:hint="eastAsia"/>
          <w:b/>
          <w:color w:val="FF0000"/>
          <w:sz w:val="21"/>
          <w:szCs w:val="21"/>
        </w:rPr>
        <w:t>。</w:t>
      </w: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0" w:firstLine="0" w:leftChars="0" w:firstLineChars="0"/>
        <w:rPr>
          <w:rFonts w:ascii="宋体" w:eastAsia="宋体" w:hAnsi="宋体" w:hint="eastAsia"/>
          <w:b/>
          <w:color w:val="000000"/>
          <w:sz w:val="21"/>
          <w:szCs w:val="21"/>
          <w:u w:val="single"/>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2"/>
        <w:gridCol w:w="790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961"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800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54"/>
          <w:jc w:val="center"/>
        </w:trPr>
        <w:tc>
          <w:tcPr>
            <w:tcW w:w="961"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8000"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spacing w:line="360" w:lineRule="auto"/>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spacing w:line="360" w:lineRule="auto"/>
        <w:jc w:val="both"/>
        <w:rPr>
          <w:rFonts w:ascii="宋体" w:eastAsia="宋体" w:hAnsi="宋体" w:cs="宋体"/>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四、技术要求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3、所列的技术参数需求中如出现品牌信息仅供参考，不作为参数要求，目的只为投标人更清楚地了解采购需求，投标人可提供其他品牌设备投标。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4"/>
        <w:gridCol w:w="1838"/>
        <w:gridCol w:w="603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52"/>
          <w:jc w:val="center"/>
        </w:trPr>
        <w:tc>
          <w:tcPr>
            <w:tcW w:w="947"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ind w:left="0" w:right="0" w:firstLine="0" w:leftChars="0" w:firstLineChars="0"/>
              <w:jc w:val="center"/>
              <w:textAlignment w:val="auto"/>
              <w:rPr>
                <w:rFonts w:ascii="宋体" w:eastAsia="宋体" w:hAnsi="宋体" w:cs="宋体" w:hint="eastAsia"/>
                <w:b/>
                <w:bCs/>
                <w:kern w:val="21"/>
                <w:sz w:val="21"/>
                <w:szCs w:val="21"/>
              </w:rPr>
            </w:pPr>
            <w:r>
              <w:rPr>
                <w:rFonts w:ascii="宋体" w:eastAsia="宋体" w:hAnsi="宋体" w:cs="宋体" w:hint="eastAsia"/>
                <w:b/>
                <w:bCs/>
                <w:kern w:val="21"/>
                <w:sz w:val="21"/>
                <w:szCs w:val="21"/>
              </w:rPr>
              <w:t>序号</w:t>
            </w:r>
          </w:p>
        </w:tc>
        <w:tc>
          <w:tcPr>
            <w:tcW w:w="1768"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00" w:lineRule="exact"/>
              <w:ind w:left="0" w:right="0" w:firstLine="0" w:leftChars="0" w:firstLineChars="0"/>
              <w:jc w:val="center"/>
              <w:textAlignment w:val="auto"/>
              <w:rPr>
                <w:rFonts w:ascii="宋体" w:eastAsia="宋体" w:hAnsi="宋体" w:cs="宋体" w:hint="eastAsia"/>
                <w:b/>
                <w:bCs/>
                <w:kern w:val="21"/>
                <w:sz w:val="21"/>
                <w:szCs w:val="21"/>
              </w:rPr>
            </w:pPr>
            <w:r>
              <w:rPr>
                <w:rFonts w:ascii="宋体" w:eastAsia="宋体" w:hAnsi="宋体" w:cs="宋体" w:hint="eastAsia"/>
                <w:b/>
                <w:bCs/>
                <w:kern w:val="21"/>
                <w:sz w:val="21"/>
                <w:szCs w:val="21"/>
              </w:rPr>
              <w:t>货物名称</w:t>
            </w:r>
          </w:p>
        </w:tc>
        <w:tc>
          <w:tcPr>
            <w:tcW w:w="5805"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ind w:left="0" w:right="0" w:firstLine="0" w:leftChars="0" w:firstLineChars="0"/>
              <w:jc w:val="center"/>
              <w:textAlignment w:val="auto"/>
              <w:rPr>
                <w:rFonts w:ascii="宋体" w:eastAsia="宋体" w:hAnsi="宋体" w:cs="宋体" w:hint="eastAsia"/>
                <w:b/>
                <w:bCs/>
                <w:kern w:val="21"/>
                <w:sz w:val="21"/>
                <w:szCs w:val="21"/>
                <w:lang w:eastAsia="zh-CN"/>
              </w:rPr>
            </w:pPr>
            <w:r>
              <w:rPr>
                <w:rFonts w:ascii="宋体" w:eastAsia="宋体" w:hAnsi="宋体" w:cs="宋体" w:hint="eastAsia"/>
                <w:b/>
                <w:bCs/>
                <w:kern w:val="21"/>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308"/>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rPr>
              <w:t>1</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w:t>
            </w:r>
            <w:r>
              <w:rPr>
                <w:rFonts w:ascii="宋体" w:eastAsia="宋体" w:hAnsi="宋体" w:cs="宋体" w:hint="eastAsia"/>
                <w:sz w:val="21"/>
                <w:szCs w:val="21"/>
                <w:lang w:eastAsia="zh-CN"/>
              </w:rPr>
              <w:t>1</w:t>
            </w: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80*80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30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2、管芯≤17MM</w:t>
            </w:r>
            <w:r>
              <w:rPr>
                <w:rFonts w:ascii="宋体" w:eastAsia="宋体" w:hAnsi="宋体" w:cs="宋体" w:hint="eastAsia"/>
                <w:sz w:val="21"/>
                <w:szCs w:val="21"/>
                <w:lang w:eastAsia="zh-Hans" w:bidi="ar"/>
              </w:rPr>
              <w:t>，</w:t>
            </w:r>
            <w:r>
              <w:rPr>
                <w:rFonts w:ascii="宋体" w:eastAsia="宋体" w:hAnsi="宋体" w:cs="宋体" w:hint="eastAsia"/>
                <w:sz w:val="21"/>
                <w:szCs w:val="21"/>
              </w:rPr>
              <w:t>紧度</w:t>
            </w:r>
            <w:r>
              <w:rPr>
                <w:rFonts w:ascii="宋体" w:eastAsia="宋体" w:hAnsi="宋体" w:cs="宋体" w:hint="eastAsia"/>
                <w:sz w:val="21"/>
                <w:szCs w:val="21"/>
                <w:lang w:bidi="en-US"/>
              </w:rPr>
              <w:t>20.80g/cm</w:t>
            </w:r>
            <w:r>
              <w:rPr>
                <w:rFonts w:ascii="宋体" w:eastAsia="宋体" w:hAnsi="宋体" w:cs="宋体" w:hint="eastAsia"/>
                <w:sz w:val="21"/>
                <w:szCs w:val="21"/>
                <w:vertAlign w:val="superscript"/>
                <w:lang w:bidi="en-US"/>
              </w:rPr>
              <w:t xml:space="preserve">3 </w:t>
            </w:r>
            <w:r>
              <w:rPr>
                <w:rFonts w:ascii="宋体" w:eastAsia="宋体" w:hAnsi="宋体" w:cs="宋体" w:hint="eastAsia"/>
                <w:sz w:val="21"/>
                <w:szCs w:val="21"/>
                <w:vertAlign w:val="superscript"/>
                <w:lang w:eastAsia="zh-CN" w:bidi="en-US"/>
              </w:rPr>
              <w:t>，</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rPr>
            </w:pPr>
            <w:r>
              <w:rPr>
                <w:rFonts w:ascii="宋体" w:eastAsia="宋体" w:hAnsi="宋体" w:cs="宋体" w:hint="eastAsia"/>
                <w:sz w:val="21"/>
                <w:szCs w:val="21"/>
                <w:lang w:eastAsia="zh-CN" w:bidi="en-US"/>
              </w:rPr>
              <w:t>3、</w:t>
            </w:r>
            <w:r>
              <w:rPr>
                <w:rFonts w:ascii="宋体" w:eastAsia="宋体" w:hAnsi="宋体" w:cs="宋体" w:hint="eastAsia"/>
                <w:sz w:val="21"/>
                <w:szCs w:val="21"/>
                <w:lang w:bidi="en-US"/>
              </w:rPr>
              <w:t>D65</w:t>
            </w:r>
            <w:r>
              <w:rPr>
                <w:rFonts w:ascii="宋体" w:eastAsia="宋体" w:hAnsi="宋体" w:cs="宋体" w:hint="eastAsia"/>
                <w:sz w:val="21"/>
                <w:szCs w:val="21"/>
              </w:rPr>
              <w:t>亮度（正面）%</w:t>
            </w:r>
            <w:r>
              <w:rPr>
                <w:rFonts w:ascii="宋体" w:eastAsia="宋体" w:hAnsi="宋体" w:cs="宋体" w:hint="eastAsia"/>
                <w:sz w:val="21"/>
                <w:szCs w:val="21"/>
                <w:lang w:eastAsia="zh-CN"/>
              </w:rPr>
              <w:t xml:space="preserve"> </w:t>
            </w:r>
            <w:r>
              <w:rPr>
                <w:rFonts w:ascii="宋体" w:eastAsia="宋体" w:hAnsi="宋体" w:cs="宋体" w:hint="eastAsia"/>
                <w:sz w:val="21"/>
                <w:szCs w:val="21"/>
                <w:lang w:bidi="en-US"/>
              </w:rPr>
              <w:t>75.0-90.0</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塑封包装、</w:t>
            </w:r>
            <w:r>
              <w:rPr>
                <w:rFonts w:ascii="宋体" w:eastAsia="宋体" w:hAnsi="宋体" w:cs="宋体" w:hint="eastAsia"/>
                <w:kern w:val="2"/>
                <w:sz w:val="21"/>
                <w:szCs w:val="21"/>
                <w:lang w:eastAsia="zh-CN"/>
              </w:rPr>
              <w:t>≥</w:t>
            </w:r>
            <w:r>
              <w:rPr>
                <w:rFonts w:ascii="宋体" w:eastAsia="宋体" w:hAnsi="宋体" w:cs="宋体" w:hint="eastAsia"/>
                <w:bCs/>
                <w:kern w:val="21"/>
                <w:sz w:val="21"/>
                <w:szCs w:val="21"/>
                <w:lang w:eastAsia="zh-Hans"/>
              </w:rPr>
              <w:t>5卷/包、</w:t>
            </w:r>
            <w:r>
              <w:rPr>
                <w:rFonts w:ascii="宋体" w:eastAsia="宋体" w:hAnsi="宋体" w:cs="宋体" w:hint="eastAsia"/>
                <w:kern w:val="2"/>
                <w:sz w:val="21"/>
                <w:szCs w:val="21"/>
                <w:lang w:eastAsia="zh-CN"/>
              </w:rPr>
              <w:t>≥</w:t>
            </w:r>
            <w:r>
              <w:rPr>
                <w:rFonts w:ascii="宋体" w:eastAsia="宋体" w:hAnsi="宋体" w:cs="宋体" w:hint="eastAsia"/>
                <w:bCs/>
                <w:kern w:val="21"/>
                <w:sz w:val="21"/>
                <w:szCs w:val="21"/>
                <w:lang w:eastAsia="zh-Hans"/>
              </w:rPr>
              <w:t>50卷/箱</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sz w:val="21"/>
                <w:szCs w:val="21"/>
                <w:lang w:eastAsia="zh-CN"/>
              </w:rPr>
              <w:t>5、</w:t>
            </w:r>
            <w:r>
              <w:rPr>
                <w:rFonts w:ascii="宋体" w:eastAsia="宋体" w:hAnsi="宋体" w:cs="宋体" w:hint="eastAsia"/>
                <w:sz w:val="21"/>
                <w:szCs w:val="21"/>
              </w:rPr>
              <w:t>双酚A</w:t>
            </w:r>
            <w:r>
              <w:rPr>
                <w:rFonts w:ascii="宋体" w:eastAsia="宋体" w:hAnsi="宋体" w:cs="宋体" w:hint="eastAsia"/>
                <w:sz w:val="21"/>
                <w:szCs w:val="21"/>
                <w:lang w:bidi="en-US"/>
              </w:rPr>
              <w:t>不得含有</w:t>
            </w:r>
            <w:r>
              <w:rPr>
                <w:rFonts w:ascii="宋体" w:eastAsia="宋体" w:hAnsi="宋体" w:cs="宋体" w:hint="eastAsia"/>
                <w:sz w:val="21"/>
                <w:szCs w:val="21"/>
                <w:lang w:eastAsia="zh-CN" w:bidi="en-US"/>
              </w:rPr>
              <w:t>（检出</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en-US"/>
              </w:rPr>
              <w:t>0.5mg/kg)</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6、</w:t>
            </w:r>
            <w:r>
              <w:rPr>
                <w:rFonts w:ascii="宋体" w:eastAsia="宋体" w:hAnsi="宋体" w:cs="宋体" w:hint="eastAsia"/>
                <w:bCs/>
                <w:kern w:val="21"/>
                <w:sz w:val="21"/>
                <w:szCs w:val="21"/>
                <w:lang w:eastAsia="zh-Hans"/>
              </w:rPr>
              <w:t>执行标准号：GB/T28210-2011</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rPr>
              <w:t>2</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热敏纸不干胶</w:t>
            </w:r>
            <w:r>
              <w:rPr>
                <w:rFonts w:ascii="宋体" w:eastAsia="宋体" w:hAnsi="宋体" w:cs="宋体" w:hint="eastAsia"/>
                <w:sz w:val="21"/>
                <w:szCs w:val="21"/>
                <w:lang w:eastAsia="zh-CN"/>
              </w:rPr>
              <w:t>1</w:t>
            </w: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80*40*1000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color w:val="FF0000"/>
                <w:kern w:val="21"/>
                <w:sz w:val="21"/>
                <w:szCs w:val="21"/>
                <w:highlight w:val="yellow"/>
                <w:lang w:eastAsia="zh-CN"/>
              </w:rPr>
              <w:t>面材基本克重 80G/M2（允许误差±5%）</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42"/>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sz w:val="21"/>
                <w:szCs w:val="21"/>
                <w:lang w:eastAsia="zh-Hans"/>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color w:val="FF0000"/>
                <w:sz w:val="21"/>
                <w:szCs w:val="21"/>
                <w:highlight w:val="yellow"/>
              </w:rPr>
              <w:t>热敏纸不干胶</w:t>
            </w: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100*70*1000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color w:val="FF0000"/>
                <w:kern w:val="21"/>
                <w:sz w:val="21"/>
                <w:szCs w:val="21"/>
                <w:highlight w:val="yellow"/>
                <w:lang w:eastAsia="zh-CN"/>
              </w:rPr>
              <w:t>面材基本克重 80G/M2（允许误差±5%）</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使用温度范围-50℃-- +90℃</w:t>
            </w:r>
          </w:p>
        </w:tc>
      </w:tr>
      <w:tr>
        <w:tblPrEx>
          <w:tblW w:w="5000" w:type="pct"/>
          <w:jc w:val="center"/>
          <w:tblLayout w:type="fixed"/>
          <w:tblCellMar>
            <w:top w:w="0" w:type="dxa"/>
            <w:left w:w="108" w:type="dxa"/>
            <w:bottom w:w="0" w:type="dxa"/>
            <w:right w:w="108" w:type="dxa"/>
          </w:tblCellMar>
        </w:tblPrEx>
        <w:trPr>
          <w:trHeight w:val="321"/>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541"/>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23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4</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热敏纸不干胶</w:t>
            </w:r>
            <w:r>
              <w:rPr>
                <w:rFonts w:ascii="宋体" w:eastAsia="宋体" w:hAnsi="宋体" w:cs="宋体" w:hint="eastAsia"/>
                <w:sz w:val="21"/>
                <w:szCs w:val="21"/>
                <w:lang w:eastAsia="zh-CN"/>
              </w:rPr>
              <w:t>2</w:t>
            </w: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100*160*500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23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color w:val="FF0000"/>
                <w:kern w:val="21"/>
                <w:sz w:val="21"/>
                <w:szCs w:val="21"/>
                <w:highlight w:val="yellow"/>
                <w:lang w:eastAsia="zh-CN"/>
              </w:rPr>
              <w:t>面材基本克重 80G/M2（允许误差±5%）</w:t>
            </w:r>
          </w:p>
        </w:tc>
      </w:tr>
      <w:tr>
        <w:tblPrEx>
          <w:tblW w:w="5000" w:type="pct"/>
          <w:jc w:val="center"/>
          <w:tblLayout w:type="fixed"/>
          <w:tblCellMar>
            <w:top w:w="0" w:type="dxa"/>
            <w:left w:w="108" w:type="dxa"/>
            <w:bottom w:w="0" w:type="dxa"/>
            <w:right w:w="108" w:type="dxa"/>
          </w:tblCellMar>
        </w:tblPrEx>
        <w:trPr>
          <w:trHeight w:val="47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1768" w:type="dxa"/>
            <w:vMerge w:val="restart"/>
            <w:shd w:val="clear" w:color="auto" w:fill="auto"/>
            <w:noWrap w:val="0"/>
            <w:vAlign w:val="center"/>
          </w:tcPr>
          <w:p>
            <w:pPr>
              <w:widowControl/>
              <w:jc w:val="center"/>
              <w:rPr>
                <w:rFonts w:ascii="宋体" w:eastAsia="宋体" w:hAnsi="宋体" w:cs="宋体" w:hint="eastAsia"/>
                <w:bCs/>
                <w:kern w:val="21"/>
                <w:sz w:val="21"/>
                <w:szCs w:val="21"/>
                <w:lang w:eastAsia="zh-Hans"/>
              </w:rPr>
            </w:pPr>
            <w:r>
              <w:rPr>
                <w:rFonts w:ascii="宋体" w:eastAsia="宋体" w:hAnsi="宋体" w:cs="宋体" w:hint="eastAsia"/>
                <w:sz w:val="21"/>
                <w:szCs w:val="21"/>
              </w:rPr>
              <w:t>热敏纸</w:t>
            </w:r>
            <w:r>
              <w:rPr>
                <w:rFonts w:ascii="宋体" w:eastAsia="宋体" w:hAnsi="宋体" w:cs="宋体" w:hint="eastAsia"/>
                <w:bCs/>
                <w:kern w:val="21"/>
                <w:sz w:val="21"/>
                <w:szCs w:val="21"/>
                <w:lang w:eastAsia="zh-Hans"/>
              </w:rPr>
              <w:t xml:space="preserve"> </w:t>
            </w:r>
          </w:p>
          <w:p>
            <w:pPr>
              <w:widowControl/>
              <w:jc w:val="center"/>
              <w:rPr>
                <w:rFonts w:ascii="宋体" w:eastAsia="宋体" w:hAnsi="宋体" w:cs="宋体" w:hint="eastAsia"/>
                <w:sz w:val="21"/>
                <w:szCs w:val="21"/>
                <w:lang w:eastAsia="zh-CN"/>
              </w:rPr>
            </w:pPr>
            <w:r>
              <w:rPr>
                <w:rFonts w:ascii="宋体" w:eastAsia="宋体" w:hAnsi="宋体" w:cs="宋体" w:hint="eastAsia"/>
                <w:bCs/>
                <w:kern w:val="21"/>
                <w:sz w:val="21"/>
                <w:szCs w:val="21"/>
                <w:lang w:eastAsia="zh-Hans"/>
              </w:rPr>
              <w:t>POS机专用</w:t>
            </w: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bCs/>
                <w:kern w:val="21"/>
                <w:sz w:val="21"/>
                <w:szCs w:val="21"/>
                <w:lang w:eastAsia="zh-Hans"/>
              </w:rPr>
              <w:t>57*40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color w:val="FF0000"/>
                <w:kern w:val="21"/>
                <w:sz w:val="21"/>
                <w:szCs w:val="21"/>
                <w:highlight w:val="yellow"/>
                <w:lang w:eastAsia="zh-CN"/>
              </w:rPr>
              <w:t>卷芯12MM（允许误差±1mm），≥200卷/箱，</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rPr>
              <w:t>耐光性能空白部分</w:t>
            </w:r>
            <w:r>
              <w:rPr>
                <w:rFonts w:ascii="宋体" w:eastAsia="宋体" w:hAnsi="宋体" w:cs="宋体" w:hint="eastAsia"/>
                <w:sz w:val="21"/>
                <w:szCs w:val="21"/>
                <w:lang w:bidi="en-US"/>
              </w:rPr>
              <w:t>W0.25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rPr>
              <w:t>耐光性能</w:t>
            </w:r>
            <w:r>
              <w:rPr>
                <w:rFonts w:ascii="宋体" w:eastAsia="宋体" w:hAnsi="宋体" w:cs="宋体" w:hint="eastAsia"/>
                <w:sz w:val="21"/>
                <w:szCs w:val="21"/>
                <w:lang w:eastAsia="zh-Hans"/>
              </w:rPr>
              <w:t>显色</w:t>
            </w:r>
            <w:r>
              <w:rPr>
                <w:rFonts w:ascii="宋体" w:eastAsia="宋体" w:hAnsi="宋体" w:cs="宋体" w:hint="eastAsia"/>
                <w:sz w:val="21"/>
                <w:szCs w:val="21"/>
              </w:rPr>
              <w:t xml:space="preserve">部分 </w:t>
            </w:r>
            <w:r>
              <w:rPr>
                <w:rFonts w:ascii="宋体" w:eastAsia="宋体" w:hAnsi="宋体" w:cs="宋体" w:hint="eastAsia"/>
                <w:sz w:val="21"/>
                <w:szCs w:val="21"/>
                <w:lang w:bidi="en-US"/>
              </w:rPr>
              <w:t>$0.80</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5、GB/T 28210-2011附录c</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6</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热敏纸不干胶</w:t>
            </w:r>
            <w:r>
              <w:rPr>
                <w:rFonts w:ascii="宋体" w:eastAsia="宋体" w:hAnsi="宋体" w:cs="宋体" w:hint="eastAsia"/>
                <w:sz w:val="21"/>
                <w:szCs w:val="21"/>
                <w:lang w:eastAsia="zh-CN"/>
              </w:rPr>
              <w:t>3</w:t>
            </w: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50*30*1000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color w:val="FF0000"/>
                <w:kern w:val="21"/>
                <w:sz w:val="21"/>
                <w:szCs w:val="21"/>
                <w:highlight w:val="yellow"/>
                <w:lang w:eastAsia="zh-CN"/>
              </w:rPr>
              <w:t>面材基本克重 80G/M2（允许误差±5%）</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3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textAlignment w:val="auto"/>
              <w:rPr>
                <w:rFonts w:ascii="宋体" w:eastAsia="宋体" w:hAnsi="宋体" w:cs="宋体" w:hint="eastAsia"/>
                <w:sz w:val="21"/>
                <w:szCs w:val="21"/>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jc w:val="center"/>
              <w:textAlignment w:val="auto"/>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textAlignment w:val="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jc w:val="center"/>
              <w:textAlignment w:val="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textAlignment w:val="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jc w:val="center"/>
              <w:textAlignment w:val="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7</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热敏不干胶</w:t>
            </w:r>
            <w:r>
              <w:rPr>
                <w:rFonts w:ascii="宋体" w:eastAsia="宋体" w:hAnsi="宋体" w:cs="宋体" w:hint="eastAsia"/>
                <w:sz w:val="21"/>
                <w:szCs w:val="21"/>
                <w:lang w:eastAsia="zh-CN"/>
              </w:rPr>
              <w:t>4</w:t>
            </w: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color w:val="FF0000"/>
                <w:sz w:val="21"/>
                <w:szCs w:val="21"/>
                <w:highlight w:val="yellow"/>
                <w:lang w:eastAsia="zh-CN"/>
              </w:rPr>
              <w:t>规格（长*宽）MM：56*7.5*1000（允许误差±1mm）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color w:val="FF0000"/>
                <w:kern w:val="21"/>
                <w:sz w:val="21"/>
                <w:szCs w:val="21"/>
                <w:highlight w:val="yellow"/>
                <w:lang w:eastAsia="zh-CN"/>
              </w:rPr>
              <w:t>面材基本克重 80G/M2（允许误差±5%）</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textAlignment w:val="auto"/>
              <w:rPr>
                <w:rFonts w:ascii="宋体" w:eastAsia="宋体" w:hAnsi="宋体" w:cs="宋体" w:hint="eastAsia"/>
                <w:sz w:val="21"/>
                <w:szCs w:val="21"/>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jc w:val="center"/>
              <w:textAlignment w:val="auto"/>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textAlignment w:val="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jc w:val="center"/>
              <w:textAlignment w:val="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textAlignment w:val="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jc w:val="center"/>
              <w:textAlignment w:val="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8</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热敏不干胶</w:t>
            </w:r>
            <w:r>
              <w:rPr>
                <w:rFonts w:ascii="宋体" w:eastAsia="宋体" w:hAnsi="宋体" w:cs="宋体" w:hint="eastAsia"/>
                <w:sz w:val="21"/>
                <w:szCs w:val="21"/>
                <w:lang w:eastAsia="zh-CN"/>
              </w:rPr>
              <w:t>5</w:t>
            </w: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color w:val="FF0000"/>
                <w:sz w:val="21"/>
                <w:szCs w:val="21"/>
                <w:highlight w:val="yellow"/>
                <w:lang w:eastAsia="zh-CN"/>
              </w:rPr>
              <w:t>规格（长*宽）MM：90*52*50（允许误差±1mm）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color w:val="FF0000"/>
                <w:kern w:val="21"/>
                <w:sz w:val="21"/>
                <w:szCs w:val="21"/>
                <w:highlight w:val="yellow"/>
                <w:lang w:eastAsia="zh-CN"/>
              </w:rPr>
              <w:t>面材基本克重 80G/M2（允许误差±5%）</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spacing w:line="240" w:lineRule="auto"/>
              <w:rPr>
                <w:rFonts w:ascii="宋体" w:eastAsia="宋体" w:hAnsi="宋体" w:cs="宋体" w:hint="eastAsia"/>
                <w:sz w:val="21"/>
                <w:szCs w:val="21"/>
              </w:rPr>
            </w:pPr>
          </w:p>
        </w:tc>
        <w:tc>
          <w:tcPr>
            <w:tcW w:w="1768" w:type="dxa"/>
            <w:vMerge/>
            <w:shd w:val="clear" w:color="auto" w:fill="auto"/>
            <w:noWrap w:val="0"/>
            <w:vAlign w:val="center"/>
          </w:tcPr>
          <w:p>
            <w:pPr>
              <w:spacing w:line="240" w:lineRule="auto"/>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spacing w:line="240" w:lineRule="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spacing w:line="240" w:lineRule="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spacing w:line="240" w:lineRule="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spacing w:line="240" w:lineRule="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color w:val="FF0000"/>
                <w:kern w:val="2"/>
                <w:sz w:val="21"/>
                <w:szCs w:val="21"/>
                <w:highlight w:val="yellow"/>
                <w:lang w:eastAsia="zh-CN"/>
              </w:rPr>
              <w:t>卷心12mm（允许误差±1mm）</w:t>
            </w:r>
            <w:r>
              <w:rPr>
                <w:rFonts w:ascii="宋体" w:eastAsia="宋体" w:hAnsi="宋体" w:cs="宋体" w:hint="eastAsia"/>
                <w:color w:val="FF0000"/>
                <w:kern w:val="2"/>
                <w:sz w:val="21"/>
                <w:szCs w:val="21"/>
                <w:highlight w:val="yellow"/>
                <w:lang w:eastAsia="zh-CN"/>
              </w:rPr>
              <w:t>,50个/卷</w:t>
            </w:r>
          </w:p>
        </w:tc>
      </w:tr>
      <w:tr>
        <w:tblPrEx>
          <w:tblW w:w="5000" w:type="pct"/>
          <w:jc w:val="center"/>
          <w:tblLayout w:type="fixed"/>
          <w:tblCellMar>
            <w:top w:w="0" w:type="dxa"/>
            <w:left w:w="108" w:type="dxa"/>
            <w:bottom w:w="0" w:type="dxa"/>
            <w:right w:w="108" w:type="dxa"/>
          </w:tblCellMar>
        </w:tblPrEx>
        <w:trPr>
          <w:trHeight w:val="329"/>
          <w:jc w:val="center"/>
        </w:trPr>
        <w:tc>
          <w:tcPr>
            <w:tcW w:w="947" w:type="dxa"/>
            <w:vMerge/>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ind w:left="0" w:right="0" w:firstLine="0" w:leftChars="0" w:firstLineChars="0"/>
              <w:jc w:val="center"/>
              <w:textAlignment w:val="auto"/>
              <w:rPr>
                <w:rFonts w:ascii="宋体" w:eastAsia="宋体" w:hAnsi="宋体" w:cs="宋体" w:hint="eastAsia"/>
                <w:kern w:val="21"/>
                <w:sz w:val="21"/>
                <w:szCs w:val="21"/>
              </w:rPr>
            </w:pPr>
          </w:p>
        </w:tc>
        <w:tc>
          <w:tcPr>
            <w:tcW w:w="1768" w:type="dxa"/>
            <w:vMerge/>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ind w:left="0" w:right="0" w:firstLine="0" w:leftChars="0" w:firstLineChars="0"/>
              <w:textAlignment w:val="auto"/>
              <w:rPr>
                <w:rFonts w:ascii="宋体" w:eastAsia="宋体" w:hAnsi="宋体" w:cs="宋体" w:hint="eastAsia"/>
                <w:kern w:val="21"/>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bl>
    <w:p>
      <w:pPr>
        <w:widowControl w:val="0"/>
        <w:jc w:val="both"/>
        <w:rPr>
          <w:rFonts w:ascii="Calibri" w:eastAsia="宋体" w:hAnsi="Calibri"/>
          <w:b/>
          <w:color w:val="FF0000"/>
          <w:kern w:val="2"/>
          <w:sz w:val="21"/>
          <w:szCs w:val="22"/>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五、商务条款要求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1"/>
        <w:gridCol w:w="1705"/>
        <w:gridCol w:w="655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目录</w:t>
            </w: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招标商务需求</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1</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关于交货</w:t>
            </w: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sz w:val="21"/>
                <w:szCs w:val="21"/>
              </w:rPr>
            </w:pPr>
            <w:r>
              <w:rPr>
                <w:rFonts w:ascii="宋体" w:eastAsia="宋体" w:hAnsi="宋体" w:cs="宋体" w:hint="eastAsia"/>
                <w:b/>
                <w:sz w:val="21"/>
                <w:szCs w:val="21"/>
              </w:rPr>
              <w:t>★</w:t>
            </w:r>
            <w:r>
              <w:rPr>
                <w:rFonts w:ascii="宋体" w:eastAsia="宋体" w:hAnsi="宋体" w:cs="宋体" w:hint="eastAsia"/>
                <w:sz w:val="21"/>
                <w:szCs w:val="21"/>
              </w:rPr>
              <w:t>1.1交货期</w:t>
            </w:r>
            <w:r>
              <w:rPr>
                <w:rFonts w:ascii="宋体" w:eastAsia="宋体" w:hAnsi="宋体" w:cs="宋体" w:hint="eastAsia"/>
                <w:sz w:val="21"/>
                <w:szCs w:val="21"/>
                <w:lang w:eastAsia="zh-CN"/>
              </w:rPr>
              <w:t>：根据采购单位需求，中标方按各自承诺配送时效交货</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1.2交货地点：采购人指定地点。</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2</w:t>
            </w:r>
          </w:p>
        </w:tc>
        <w:tc>
          <w:tcPr>
            <w:tcW w:w="17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关于验收</w:t>
            </w:r>
          </w:p>
        </w:tc>
        <w:tc>
          <w:tcPr>
            <w:tcW w:w="6714" w:type="dxa"/>
            <w:noWrap w:val="0"/>
            <w:vAlign w:val="center"/>
          </w:tcPr>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400" w:lineRule="exact"/>
              <w:ind w:left="0" w:firstLine="0" w:leftChars="0"/>
              <w:textAlignment w:val="auto"/>
              <w:rPr>
                <w:rFonts w:ascii="宋体" w:eastAsia="宋体" w:hAnsi="宋体" w:cs="宋体" w:hint="eastAsia"/>
                <w:bCs/>
                <w:sz w:val="21"/>
                <w:szCs w:val="21"/>
              </w:rPr>
            </w:pPr>
            <w:r>
              <w:rPr>
                <w:rFonts w:ascii="宋体" w:eastAsia="宋体" w:hAnsi="宋体" w:cs="宋体" w:hint="eastAsia"/>
                <w:sz w:val="21"/>
                <w:szCs w:val="21"/>
                <w:lang w:eastAsia="zh-CN"/>
              </w:rPr>
              <w:t>2.1投标人货物经过双方检验认可后，签署货物移交，产品保修期自验收合格之日起算，由投标人提供产品保修文件。</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eastAsia="宋体" w:hAnsi="宋体" w:cs="宋体" w:hint="eastAsia"/>
                <w:sz w:val="21"/>
                <w:szCs w:val="21"/>
              </w:rPr>
            </w:pPr>
            <w:r>
              <w:rPr>
                <w:rFonts w:ascii="宋体" w:eastAsia="宋体" w:hAnsi="宋体" w:cs="宋体" w:hint="eastAsia"/>
                <w:sz w:val="21"/>
                <w:szCs w:val="21"/>
              </w:rPr>
              <w:t>2.2当满足以下条件时，采购人才向中标人签发货物验收报告：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eastAsia="宋体" w:hAnsi="宋体" w:cs="宋体" w:hint="eastAsia"/>
                <w:sz w:val="21"/>
                <w:szCs w:val="21"/>
              </w:rPr>
            </w:pPr>
            <w:r>
              <w:rPr>
                <w:rFonts w:ascii="宋体" w:eastAsia="宋体" w:hAnsi="宋体" w:cs="宋体" w:hint="eastAsia"/>
                <w:sz w:val="21"/>
                <w:szCs w:val="21"/>
              </w:rPr>
              <w:t>a、中标人已按照合同规定提供了全部产品及完整的技术资料。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eastAsia="宋体" w:hAnsi="宋体" w:cs="宋体" w:hint="eastAsia"/>
                <w:sz w:val="21"/>
                <w:szCs w:val="21"/>
              </w:rPr>
            </w:pPr>
            <w:r>
              <w:rPr>
                <w:rFonts w:ascii="宋体" w:eastAsia="宋体" w:hAnsi="宋体" w:cs="宋体" w:hint="eastAsia"/>
                <w:sz w:val="21"/>
                <w:szCs w:val="21"/>
              </w:rPr>
              <w:t>b、货物符合招标文件技术规格书的要求，性能满足要求。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r>
              <w:rPr>
                <w:rFonts w:ascii="宋体" w:eastAsia="宋体" w:hAnsi="宋体" w:cs="宋体" w:hint="eastAsia"/>
                <w:sz w:val="21"/>
                <w:szCs w:val="21"/>
              </w:rPr>
              <w:t>c、货物具备产品合格证。</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p>
        </w:tc>
        <w:tc>
          <w:tcPr>
            <w:tcW w:w="1743" w:type="dxa"/>
            <w:vMerge w:val="restart"/>
            <w:noWrap w:val="0"/>
            <w:vAlign w:val="center"/>
          </w:tcPr>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400" w:lineRule="exact"/>
              <w:ind w:left="0" w:firstLine="0" w:leftChars="0"/>
              <w:textAlignment w:val="auto"/>
              <w:rPr>
                <w:rFonts w:ascii="宋体" w:eastAsia="宋体" w:hAnsi="宋体" w:cs="宋体" w:hint="eastAsia"/>
                <w:bCs/>
                <w:sz w:val="21"/>
                <w:szCs w:val="21"/>
              </w:rPr>
            </w:pPr>
            <w:r>
              <w:rPr>
                <w:rFonts w:ascii="宋体" w:eastAsia="宋体" w:hAnsi="宋体" w:cs="宋体" w:hint="eastAsia"/>
                <w:bCs/>
                <w:sz w:val="21"/>
                <w:szCs w:val="21"/>
              </w:rPr>
              <w:t>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beforeAutospacing="0" w:afterAutospacing="0" w:line="400" w:lineRule="exact"/>
              <w:ind w:left="0" w:right="0" w:firstLine="0" w:leftChars="0" w:rightChars="0"/>
              <w:textAlignment w:val="auto"/>
              <w:rPr>
                <w:rFonts w:ascii="宋体" w:eastAsia="宋体" w:hAnsi="宋体" w:cs="宋体" w:hint="eastAsia"/>
                <w:bCs/>
                <w:kern w:val="2"/>
                <w:sz w:val="21"/>
                <w:szCs w:val="21"/>
                <w:lang w:eastAsia="zh-CN"/>
              </w:rPr>
            </w:pPr>
            <w:r>
              <w:rPr>
                <w:rFonts w:ascii="宋体" w:eastAsia="宋体" w:hAnsi="宋体" w:cs="宋体" w:hint="eastAsia"/>
                <w:b/>
                <w:sz w:val="21"/>
                <w:szCs w:val="21"/>
              </w:rPr>
              <w:t>★</w:t>
            </w:r>
            <w:r>
              <w:rPr>
                <w:rFonts w:ascii="宋体" w:eastAsia="宋体" w:hAnsi="宋体" w:cs="宋体" w:hint="eastAsia"/>
                <w:bCs/>
                <w:kern w:val="2"/>
                <w:sz w:val="21"/>
                <w:szCs w:val="21"/>
                <w:lang w:eastAsia="zh-CN"/>
              </w:rPr>
              <w:t>3.1货物自交货验收合格之日起质保为1年。如采购方在收到货物后一个月内发现质量问题，中标方必须无条件换货。</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lang w:eastAsia="zh-CN"/>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beforeAutospacing="0" w:afterAutospacing="0" w:line="400" w:lineRule="exact"/>
              <w:ind w:left="0" w:right="0" w:firstLine="0" w:leftChars="0" w:rightChars="0"/>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3.2质保期内中标人必须提供7*24小时，8小时内上门面对面服务。交货后，货物需修改、调换的须在15个工作日完成。同时，在重大事件或用户要求时，中标人必须提供不限次数及时间的免费全过程现场配合。</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p>
        </w:tc>
        <w:tc>
          <w:tcPr>
            <w:tcW w:w="17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违约责任</w:t>
            </w: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r>
              <w:rPr>
                <w:rFonts w:ascii="宋体" w:eastAsia="宋体" w:hAnsi="宋体" w:cs="宋体" w:hint="eastAsia"/>
                <w:sz w:val="21"/>
                <w:szCs w:val="21"/>
              </w:rPr>
              <w:t>3.1如中标人未按照投标文件中承诺的时间交货或提供服务，中标人应承担延期交货和延期服务的违约责任，并赔偿采购人因此造成的实际经济损失。</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r>
              <w:rPr>
                <w:rFonts w:ascii="宋体" w:eastAsia="宋体" w:hAnsi="宋体" w:cs="宋体" w:hint="eastAsia"/>
                <w:bCs/>
                <w:sz w:val="21"/>
                <w:szCs w:val="21"/>
              </w:rPr>
              <w:t>3.2中标人所交设备的品种、型号、规格、质量、功能、技术参数等方面不能实质性满足招标文件要求的，采购人有权拒绝收货，中标人向采购人偿付项目采购金额</w:t>
            </w:r>
            <w:r>
              <w:rPr>
                <w:rFonts w:ascii="宋体" w:eastAsia="宋体" w:hAnsi="宋体" w:cs="宋体" w:hint="eastAsia"/>
                <w:bCs/>
                <w:sz w:val="21"/>
                <w:szCs w:val="21"/>
                <w:lang w:eastAsia="zh-CN"/>
              </w:rPr>
              <w:t>10</w:t>
            </w:r>
            <w:r>
              <w:rPr>
                <w:rFonts w:ascii="宋体" w:eastAsia="宋体" w:hAnsi="宋体" w:cs="宋体" w:hint="eastAsia"/>
                <w:bCs/>
                <w:sz w:val="21"/>
                <w:szCs w:val="21"/>
              </w:rPr>
              <w:t xml:space="preserve">% 的违约金；造成严重后果的，根据《深圳经济特区政府采购条例》第五十七条第（二）款规定，由主管部门对中标人进行处罚。  </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r>
              <w:rPr>
                <w:rFonts w:ascii="宋体" w:eastAsia="宋体" w:hAnsi="宋体" w:cs="宋体" w:hint="eastAsia"/>
                <w:bCs/>
                <w:sz w:val="21"/>
                <w:szCs w:val="21"/>
              </w:rPr>
              <w:t>3.3中标人不能交付</w:t>
            </w:r>
            <w:r>
              <w:rPr>
                <w:rFonts w:ascii="宋体" w:eastAsia="宋体" w:hAnsi="宋体" w:cs="宋体" w:hint="eastAsia"/>
                <w:bCs/>
                <w:sz w:val="21"/>
                <w:szCs w:val="21"/>
                <w:lang w:eastAsia="zh-CN"/>
              </w:rPr>
              <w:t>货物</w:t>
            </w:r>
            <w:r>
              <w:rPr>
                <w:rFonts w:ascii="宋体" w:eastAsia="宋体" w:hAnsi="宋体" w:cs="宋体" w:hint="eastAsia"/>
                <w:bCs/>
                <w:sz w:val="21"/>
                <w:szCs w:val="21"/>
              </w:rPr>
              <w:t>的，中标人向采购人偿付项目采购金额</w:t>
            </w:r>
            <w:r>
              <w:rPr>
                <w:rFonts w:ascii="宋体" w:eastAsia="宋体" w:hAnsi="宋体" w:cs="宋体" w:hint="eastAsia"/>
                <w:bCs/>
                <w:sz w:val="21"/>
                <w:szCs w:val="21"/>
                <w:lang w:eastAsia="zh-CN"/>
              </w:rPr>
              <w:t>10%</w:t>
            </w:r>
            <w:r>
              <w:rPr>
                <w:rFonts w:ascii="宋体" w:eastAsia="宋体" w:hAnsi="宋体" w:cs="宋体" w:hint="eastAsia"/>
                <w:bCs/>
                <w:sz w:val="21"/>
                <w:szCs w:val="21"/>
              </w:rPr>
              <w:t xml:space="preserve">的违约金并按主管部门相关规定处理。 </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sz w:val="21"/>
                <w:szCs w:val="21"/>
              </w:rPr>
            </w:pPr>
            <w:r>
              <w:rPr>
                <w:rFonts w:ascii="宋体" w:eastAsia="宋体" w:hAnsi="宋体" w:cs="宋体" w:hint="eastAsia"/>
                <w:bCs/>
                <w:sz w:val="21"/>
                <w:szCs w:val="21"/>
              </w:rPr>
              <w:t>3.4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sz w:val="21"/>
                <w:szCs w:val="21"/>
              </w:rPr>
            </w:pPr>
            <w:r>
              <w:rPr>
                <w:rFonts w:ascii="宋体" w:eastAsia="宋体" w:hAnsi="宋体" w:cs="宋体" w:hint="eastAsia"/>
                <w:bCs/>
                <w:sz w:val="21"/>
                <w:szCs w:val="21"/>
              </w:rPr>
              <w:t>3.5中标人在承担上述一项或多项违约责任后，仍应继续履行合同规定的义务（采购人解除合同的除外）。采购人未能及时追究中标人的任何一项违约责任并不表明采购人放弃追究中标人该项或其他违约责任。</w:t>
            </w:r>
          </w:p>
        </w:tc>
      </w:tr>
    </w:tbl>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hint="eastAsia"/>
          <w:b/>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b/>
          <w:bCs/>
          <w:kern w:val="2"/>
          <w:sz w:val="28"/>
          <w:szCs w:val="28"/>
          <w:lang w:eastAsia="zh-CN"/>
        </w:rPr>
      </w:pPr>
      <w:r>
        <w:rPr>
          <w:rFonts w:ascii="宋体" w:eastAsia="宋体" w:hAnsi="宋体" w:cstheme="minorBidi" w:hint="eastAsia"/>
          <w:b/>
          <w:bCs/>
          <w:kern w:val="2"/>
          <w:sz w:val="28"/>
          <w:szCs w:val="28"/>
          <w:lang w:eastAsia="zh-CN"/>
        </w:rPr>
        <w:t>六、其他重要条款</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1</w:t>
      </w:r>
      <w:r>
        <w:rPr>
          <w:rFonts w:ascii="宋体" w:eastAsia="宋体" w:hAnsi="宋体" w:cs="宋体" w:hint="eastAsia"/>
          <w:caps/>
          <w:sz w:val="21"/>
          <w:szCs w:val="21"/>
          <w:lang w:eastAsia="zh-CN"/>
        </w:rPr>
        <w:t>、</w:t>
      </w:r>
      <w:r>
        <w:rPr>
          <w:rFonts w:ascii="宋体" w:eastAsia="宋体" w:hAnsi="宋体" w:cs="宋体" w:hint="eastAsia"/>
          <w:caps/>
          <w:sz w:val="21"/>
          <w:szCs w:val="21"/>
        </w:rPr>
        <w:t>本项目投标报价采用折扣率报价方式，以“采购产品清单”</w:t>
      </w:r>
      <w:r>
        <w:rPr>
          <w:rFonts w:ascii="宋体" w:eastAsia="宋体" w:hAnsi="宋体" w:cs="宋体" w:hint="eastAsia"/>
          <w:caps/>
          <w:sz w:val="21"/>
          <w:szCs w:val="21"/>
          <w:lang w:eastAsia="zh-CN"/>
        </w:rPr>
        <w:t>中</w:t>
      </w:r>
      <w:r>
        <w:rPr>
          <w:rFonts w:ascii="宋体" w:eastAsia="宋体" w:hAnsi="宋体" w:cs="宋体" w:hint="eastAsia"/>
          <w:caps/>
          <w:sz w:val="21"/>
          <w:szCs w:val="21"/>
        </w:rPr>
        <w:t>最高限价（单价）为基准，数量以实际采购数量为准。</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例：【如投标折扣率报价为</w:t>
      </w:r>
      <w:r>
        <w:rPr>
          <w:rFonts w:ascii="宋体" w:eastAsia="宋体" w:hAnsi="宋体" w:cs="宋体" w:hint="eastAsia"/>
          <w:caps/>
          <w:sz w:val="21"/>
          <w:szCs w:val="21"/>
          <w:lang w:eastAsia="zh-CN"/>
        </w:rPr>
        <w:t>90%</w:t>
      </w:r>
      <w:r>
        <w:rPr>
          <w:rFonts w:ascii="宋体" w:eastAsia="宋体" w:hAnsi="宋体" w:cs="宋体" w:hint="eastAsia"/>
          <w:caps/>
          <w:sz w:val="21"/>
          <w:szCs w:val="21"/>
        </w:rPr>
        <w:t>，则供货价：产品货款＝产品的基准价×</w:t>
      </w:r>
      <w:r>
        <w:rPr>
          <w:rFonts w:ascii="宋体" w:eastAsia="宋体" w:hAnsi="宋体" w:cs="宋体" w:hint="eastAsia"/>
          <w:caps/>
          <w:sz w:val="21"/>
          <w:szCs w:val="21"/>
          <w:lang w:eastAsia="zh-CN"/>
        </w:rPr>
        <w:t>90%</w:t>
      </w:r>
      <w:r>
        <w:rPr>
          <w:rFonts w:ascii="宋体" w:eastAsia="宋体" w:hAnsi="宋体" w:cs="宋体" w:hint="eastAsia"/>
          <w:caps/>
          <w:sz w:val="21"/>
          <w:szCs w:val="21"/>
        </w:rPr>
        <w:t>×实际供货量】。</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2）投标人报价须充分考虑企业的成本、本项目服务要求和特点，以及各种管理因素和环境条件，一旦中标不再调整投标折扣率，且不再为此增加任何费用。报价包括但不限于产品价款、包装、运输、装卸、送货、人工、保险、税费及相关售后服务及合同实施过程中不可预见费用等项目相关的一切费用。</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（3）折扣率填写要求：</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1）填写要求：0</w:t>
      </w:r>
      <w:r>
        <w:rPr>
          <w:rFonts w:ascii="宋体" w:eastAsia="宋体" w:hAnsi="宋体" w:cs="宋体" w:hint="eastAsia"/>
          <w:caps/>
          <w:sz w:val="21"/>
          <w:szCs w:val="21"/>
          <w:lang w:eastAsia="zh-CN"/>
        </w:rPr>
        <w:t>%</w:t>
      </w:r>
      <w:r>
        <w:rPr>
          <w:rFonts w:ascii="宋体" w:eastAsia="宋体" w:hAnsi="宋体" w:cs="宋体" w:hint="eastAsia"/>
          <w:caps/>
          <w:sz w:val="21"/>
          <w:szCs w:val="21"/>
        </w:rPr>
        <w:t>＜折扣率≤1</w:t>
      </w:r>
      <w:r>
        <w:rPr>
          <w:rFonts w:ascii="宋体" w:eastAsia="宋体" w:hAnsi="宋体" w:cs="宋体" w:hint="eastAsia"/>
          <w:caps/>
          <w:sz w:val="21"/>
          <w:szCs w:val="21"/>
          <w:lang w:eastAsia="zh-CN"/>
        </w:rPr>
        <w:t>00%</w:t>
      </w:r>
      <w:r>
        <w:rPr>
          <w:rFonts w:ascii="宋体" w:eastAsia="宋体" w:hAnsi="宋体" w:cs="宋体" w:hint="eastAsia"/>
          <w:caps/>
          <w:sz w:val="21"/>
          <w:szCs w:val="21"/>
        </w:rPr>
        <w:t>，未按此要求填写将按投标无效处理；</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2）填写的“折扣率”只取</w:t>
      </w:r>
      <w:r>
        <w:rPr>
          <w:rFonts w:ascii="宋体" w:eastAsia="宋体" w:hAnsi="宋体" w:cs="宋体" w:hint="eastAsia"/>
          <w:caps/>
          <w:sz w:val="21"/>
          <w:szCs w:val="21"/>
          <w:lang w:eastAsia="zh-CN"/>
        </w:rPr>
        <w:t>到个位</w:t>
      </w:r>
      <w:r>
        <w:rPr>
          <w:rFonts w:ascii="宋体" w:eastAsia="宋体" w:hAnsi="宋体" w:cs="宋体" w:hint="eastAsia"/>
          <w:caps/>
          <w:sz w:val="21"/>
          <w:szCs w:val="21"/>
        </w:rPr>
        <w:t>数；如</w:t>
      </w:r>
      <w:r>
        <w:rPr>
          <w:rFonts w:ascii="宋体" w:eastAsia="宋体" w:hAnsi="宋体" w:cs="宋体" w:hint="eastAsia"/>
          <w:caps/>
          <w:sz w:val="21"/>
          <w:szCs w:val="21"/>
          <w:lang w:eastAsia="zh-CN"/>
        </w:rPr>
        <w:t>95%</w:t>
      </w:r>
      <w:r>
        <w:rPr>
          <w:rFonts w:ascii="宋体" w:eastAsia="宋体" w:hAnsi="宋体" w:cs="宋体" w:hint="eastAsia"/>
          <w:caps/>
          <w:sz w:val="21"/>
          <w:szCs w:val="21"/>
        </w:rPr>
        <w:t>，</w:t>
      </w:r>
      <w:r>
        <w:rPr>
          <w:rFonts w:ascii="宋体" w:eastAsia="宋体" w:hAnsi="宋体" w:cs="宋体" w:hint="eastAsia"/>
          <w:caps/>
          <w:sz w:val="21"/>
          <w:szCs w:val="21"/>
          <w:lang w:eastAsia="zh-CN"/>
        </w:rPr>
        <w:t>90%</w:t>
      </w:r>
      <w:r>
        <w:rPr>
          <w:rFonts w:ascii="宋体" w:eastAsia="宋体" w:hAnsi="宋体" w:cs="宋体" w:hint="eastAsia"/>
          <w:caps/>
          <w:sz w:val="21"/>
          <w:szCs w:val="21"/>
        </w:rPr>
        <w:t>，</w:t>
      </w:r>
      <w:r>
        <w:rPr>
          <w:rFonts w:ascii="宋体" w:eastAsia="宋体" w:hAnsi="宋体" w:cs="宋体" w:hint="eastAsia"/>
          <w:caps/>
          <w:sz w:val="21"/>
          <w:szCs w:val="21"/>
          <w:lang w:eastAsia="zh-CN"/>
        </w:rPr>
        <w:t>85%</w:t>
      </w:r>
      <w:r>
        <w:rPr>
          <w:rFonts w:ascii="宋体" w:eastAsia="宋体" w:hAnsi="宋体" w:cs="宋体" w:hint="eastAsia"/>
          <w:caps/>
          <w:sz w:val="21"/>
          <w:szCs w:val="21"/>
        </w:rPr>
        <w:t>；</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3）“折扣率”缺填、未按要求填、漏填将直接作投标无效处理。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w:t>
      </w:r>
      <w:r>
        <w:rPr>
          <w:rFonts w:ascii="宋体" w:eastAsia="宋体" w:hAnsi="宋体" w:cs="宋体" w:hint="eastAsia"/>
          <w:sz w:val="21"/>
          <w:szCs w:val="21"/>
        </w:rPr>
        <w:t>本项目服务费采用包干制，应包括服务成本、法定税费和利润。由企业根据招标文件所提供的资料自行测算投标报价；一经中标，投标报价总价作为中标单位与采购单位签定的合同金额，合同期限内不做调整；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w:t>
      </w:r>
      <w:r>
        <w:rPr>
          <w:rFonts w:ascii="宋体" w:eastAsia="宋体" w:hAnsi="宋体" w:cs="宋体" w:hint="eastAsia"/>
          <w:sz w:val="21"/>
          <w:szCs w:val="21"/>
        </w:rPr>
        <w:t>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若评审委员会成员对是否须由投标人作出报价合理性说明，以及书面说明是否采纳等判断不一致的，按照“少数服从多数”的原则确定评审委员会的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4</w:t>
      </w:r>
      <w:r>
        <w:rPr>
          <w:rFonts w:ascii="宋体" w:eastAsia="宋体" w:hAnsi="宋体" w:cs="宋体" w:hint="eastAsia"/>
          <w:sz w:val="21"/>
          <w:szCs w:val="21"/>
          <w:lang w:eastAsia="zh-CN"/>
        </w:rPr>
        <w:t>、</w:t>
      </w:r>
      <w:r>
        <w:rPr>
          <w:rFonts w:ascii="宋体" w:eastAsia="宋体" w:hAnsi="宋体" w:cs="宋体" w:hint="eastAsia"/>
          <w:sz w:val="21"/>
          <w:szCs w:val="21"/>
        </w:rPr>
        <w:t>投标人的投标报价不得超过财政预算限额，如设投标最高限价的，报价不得超过最高限价；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hint="eastAsia"/>
          <w:sz w:val="21"/>
          <w:szCs w:val="21"/>
          <w:lang w:eastAsia="zh-CN"/>
        </w:rPr>
        <w:t>、</w:t>
      </w:r>
      <w:r>
        <w:rPr>
          <w:rFonts w:ascii="宋体" w:eastAsia="宋体" w:hAnsi="宋体" w:cs="宋体" w:hint="eastAsia"/>
          <w:sz w:val="21"/>
          <w:szCs w:val="21"/>
        </w:rPr>
        <w:t>投标人的投标报价，应是本项目招标范围和招标文件及合同条款上所列的各项内容中所述的全部，不得以任何理由予以重复，并以投标人在中提出的综合单价或总价为依据；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6</w:t>
      </w:r>
      <w:r>
        <w:rPr>
          <w:rFonts w:ascii="宋体" w:eastAsia="宋体" w:hAnsi="宋体" w:cs="宋体" w:hint="eastAsia"/>
          <w:sz w:val="21"/>
          <w:szCs w:val="21"/>
          <w:lang w:eastAsia="zh-CN"/>
        </w:rPr>
        <w:t>、</w:t>
      </w:r>
      <w:r>
        <w:rPr>
          <w:rFonts w:ascii="宋体" w:eastAsia="宋体" w:hAnsi="宋体" w:cs="宋体" w:hint="eastAsia"/>
          <w:sz w:val="21"/>
          <w:szCs w:val="21"/>
        </w:rPr>
        <w:t>除非采购</w:t>
      </w:r>
      <w:r>
        <w:rPr>
          <w:rFonts w:ascii="宋体" w:eastAsia="宋体" w:hAnsi="宋体" w:cs="宋体" w:hint="eastAsia"/>
          <w:sz w:val="21"/>
          <w:szCs w:val="21"/>
          <w:lang w:eastAsia="zh-CN"/>
        </w:rPr>
        <w:t>代理</w:t>
      </w:r>
      <w:r>
        <w:rPr>
          <w:rFonts w:ascii="宋体" w:eastAsia="宋体" w:hAnsi="宋体" w:cs="宋体" w:hint="eastAsia"/>
          <w:sz w:val="21"/>
          <w:szCs w:val="21"/>
        </w:rPr>
        <w:t>机构通过修改招标文件予以更正，否则，投标人应毫无例外地按招标文件所列的清单中项目和数量填报综合单价和合价。投标人未填综合单价或合价的项目，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7</w:t>
      </w:r>
      <w:r>
        <w:rPr>
          <w:rFonts w:ascii="宋体" w:eastAsia="宋体" w:hAnsi="宋体" w:cs="宋体" w:hint="eastAsia"/>
          <w:sz w:val="21"/>
          <w:szCs w:val="21"/>
          <w:lang w:eastAsia="zh-CN"/>
        </w:rPr>
        <w:t>、</w:t>
      </w:r>
      <w:r>
        <w:rPr>
          <w:rFonts w:ascii="宋体" w:eastAsia="宋体" w:hAnsi="宋体" w:cs="宋体" w:hint="eastAsia"/>
          <w:sz w:val="21"/>
          <w:szCs w:val="21"/>
        </w:rPr>
        <w:t>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8</w:t>
      </w:r>
      <w:r>
        <w:rPr>
          <w:rFonts w:ascii="宋体" w:eastAsia="宋体" w:hAnsi="宋体" w:cs="宋体" w:hint="eastAsia"/>
          <w:sz w:val="21"/>
          <w:szCs w:val="21"/>
          <w:lang w:eastAsia="zh-CN"/>
        </w:rPr>
        <w:t>、</w:t>
      </w:r>
      <w:r>
        <w:rPr>
          <w:rFonts w:ascii="宋体" w:eastAsia="宋体" w:hAnsi="宋体" w:cs="宋体" w:hint="eastAsia"/>
          <w:sz w:val="21"/>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七、注意事项</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1、中标人不得将项目非法分包或转包给任何单位和个人。否则，采购单位有权即刻终止合同，并要求中标人赔偿相应损失。</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2、投标人使用的标准必须是国际公认或国家、或地方政府颁布的同等或更高的标准，如投标人使用的标准低于上述标准,评标委员会将有权不予接受，投标人必须列表将明显的差异详细说明。</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3、投标人若认为采购文件的技术要求或其他要求有倾向性或不公正性，可在采购答疑阶段提出，以维护采购行为的公平、公正。。</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4、除政府采购合同继续履行将损害国家利益和社会公共利益外，双方当事人不得擅自变更、中止或者终止合同。</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5、投标人须在法定质疑期内一次性提出针对同一采购程序环节的质疑。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6、本项目参照政府采购相关法律法规和政策文件规定执行。</w:t>
      </w:r>
    </w:p>
    <w:p>
      <w:pPr>
        <w:widowControl w:val="0"/>
        <w:spacing w:line="360" w:lineRule="auto"/>
        <w:ind w:firstLine="420" w:firstLineChars="200"/>
        <w:jc w:val="both"/>
        <w:rPr>
          <w:rFonts w:ascii="宋体" w:eastAsia="宋体" w:hAnsi="宋体"/>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widowControl/>
        <w:spacing w:line="320" w:lineRule="atLeast"/>
        <w:jc w:val="lef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eastAsia="宋体" w:hint="eastAsia"/>
          <w:lang w:eastAsia="zh-CN"/>
        </w:rPr>
      </w:pPr>
      <w:r>
        <w:rPr>
          <w:rFonts w:hint="eastAsia"/>
        </w:rPr>
        <w:t>（2）</w:t>
      </w:r>
      <w:r>
        <w:rPr>
          <w:rFonts w:eastAsia="宋体" w:hint="eastAsia"/>
          <w:lang w:eastAsia="zh-CN"/>
        </w:rPr>
        <w:t>政府采购投标及履约承诺函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rPr>
      </w:pPr>
      <w:r>
        <w:rPr>
          <w:rFonts w:hint="eastAsia"/>
        </w:rPr>
        <w:t>（11）</w:t>
      </w:r>
      <w:r>
        <w:rPr>
          <w:rFonts w:ascii="宋体" w:hAnsi="宋体" w:cs="宋体" w:hint="eastAsia"/>
          <w:szCs w:val="21"/>
        </w:rPr>
        <w:t>项目实施方案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w:t>
      </w:r>
      <w:r>
        <w:rPr>
          <w:rFonts w:eastAsia="宋体" w:hint="eastAsia"/>
          <w:lang w:eastAsia="zh-CN"/>
        </w:rPr>
        <w:t>2</w:t>
      </w:r>
      <w:r>
        <w:rPr>
          <w:rFonts w:hint="eastAsia"/>
        </w:rPr>
        <w:t>）</w:t>
      </w:r>
      <w:r>
        <w:rPr>
          <w:rFonts w:ascii="宋体" w:hAnsi="宋体" w:cs="宋体" w:hint="eastAsia"/>
          <w:szCs w:val="21"/>
        </w:rPr>
        <w:t>售后服务方案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w:t>
      </w:r>
      <w:r>
        <w:rPr>
          <w:rFonts w:eastAsia="宋体" w:hint="eastAsia"/>
          <w:lang w:eastAsia="zh-CN"/>
        </w:rPr>
        <w:t>3</w:t>
      </w:r>
      <w:r>
        <w:rPr>
          <w:rFonts w:hint="eastAsia"/>
        </w:rPr>
        <w:t>）</w:t>
      </w:r>
      <w:r>
        <w:rPr>
          <w:rFonts w:ascii="宋体" w:hAnsi="宋体" w:cs="宋体" w:hint="eastAsia"/>
          <w:szCs w:val="21"/>
        </w:rPr>
        <w:t>应急保障方案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rPr>
      </w:pPr>
      <w:r>
        <w:rPr>
          <w:rFonts w:hint="eastAsia"/>
        </w:rPr>
        <w:t>（1</w:t>
      </w:r>
      <w:r>
        <w:rPr>
          <w:rFonts w:eastAsia="宋体" w:hint="eastAsia"/>
          <w:lang w:eastAsia="zh-CN"/>
        </w:rPr>
        <w:t>4</w:t>
      </w:r>
      <w:r>
        <w:rPr>
          <w:rFonts w:hint="eastAsia"/>
        </w:rPr>
        <w:t>）</w:t>
      </w:r>
      <w:r>
        <w:rPr>
          <w:rFonts w:ascii="宋体" w:hAnsi="宋体" w:cs="宋体" w:hint="eastAsia"/>
          <w:szCs w:val="21"/>
        </w:rPr>
        <w:t>违约承诺</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lang w:eastAsia="zh-CN"/>
        </w:rPr>
      </w:pPr>
      <w:r>
        <w:rPr>
          <w:rFonts w:hint="eastAsia"/>
        </w:rPr>
        <w:t>（1</w:t>
      </w:r>
      <w:r>
        <w:rPr>
          <w:rFonts w:eastAsia="宋体" w:hint="eastAsia"/>
          <w:lang w:eastAsia="zh-CN"/>
        </w:rPr>
        <w:t>5</w:t>
      </w:r>
      <w:r>
        <w:rPr>
          <w:rFonts w:hint="eastAsia"/>
        </w:rPr>
        <w:t>）</w:t>
      </w:r>
      <w:r>
        <w:rPr>
          <w:rFonts w:ascii="宋体" w:hAnsi="宋体" w:cs="宋体" w:hint="eastAsia"/>
          <w:szCs w:val="21"/>
          <w:lang w:eastAsia="zh-CN"/>
        </w:rPr>
        <w:t>网点</w:t>
      </w:r>
      <w:r>
        <w:rPr>
          <w:rFonts w:ascii="宋体" w:eastAsia="宋体" w:hAnsi="宋体" w:hint="eastAsia"/>
          <w:szCs w:val="21"/>
        </w:rPr>
        <w:t>服务响应时间</w:t>
      </w:r>
      <w:r>
        <w:rPr>
          <w:rFonts w:ascii="宋体" w:hAnsi="宋体" w:cs="宋体" w:hint="eastAsia"/>
          <w:szCs w:val="21"/>
          <w:lang w:eastAsia="zh-CN"/>
        </w:rPr>
        <w:t>配送时效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lang w:eastAsia="zh-CN"/>
        </w:rPr>
      </w:pPr>
      <w:r>
        <w:rPr>
          <w:rFonts w:hint="eastAsia"/>
        </w:rPr>
        <w:t>（1</w:t>
      </w:r>
      <w:r>
        <w:rPr>
          <w:rFonts w:eastAsia="宋体" w:hint="eastAsia"/>
          <w:lang w:eastAsia="zh-CN"/>
        </w:rPr>
        <w:t>6</w:t>
      </w:r>
      <w:r>
        <w:rPr>
          <w:rFonts w:hint="eastAsia"/>
        </w:rPr>
        <w:t>）</w:t>
      </w:r>
      <w:r>
        <w:rPr>
          <w:rFonts w:ascii="宋体" w:hAnsi="宋体" w:cs="宋体" w:hint="eastAsia"/>
          <w:szCs w:val="21"/>
          <w:lang w:eastAsia="zh-CN"/>
        </w:rPr>
        <w:t>投标人资质证明</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rPr>
      </w:pPr>
      <w:r>
        <w:rPr>
          <w:rFonts w:hint="eastAsia"/>
        </w:rPr>
        <w:t>（1</w:t>
      </w:r>
      <w:r>
        <w:rPr>
          <w:rFonts w:eastAsia="宋体" w:hint="eastAsia"/>
          <w:lang w:eastAsia="zh-CN"/>
        </w:rPr>
        <w:t>7</w:t>
      </w:r>
      <w:r>
        <w:rPr>
          <w:rFonts w:hint="eastAsia"/>
        </w:rPr>
        <w:t>）</w:t>
      </w:r>
      <w:r>
        <w:rPr>
          <w:rFonts w:ascii="宋体" w:hAnsi="宋体" w:cs="宋体" w:hint="eastAsia"/>
          <w:szCs w:val="21"/>
        </w:rPr>
        <w:t>投标人同类项目业绩情况</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w:t>
      </w:r>
      <w:r>
        <w:rPr>
          <w:rFonts w:eastAsia="宋体" w:hint="eastAsia"/>
          <w:lang w:eastAsia="zh-CN"/>
        </w:rPr>
        <w:t>8</w:t>
      </w:r>
      <w:r>
        <w:rPr>
          <w:rFonts w:hint="eastAsia"/>
        </w:rPr>
        <w:t>）</w:t>
      </w:r>
      <w:r>
        <w:rPr>
          <w:rFonts w:ascii="宋体" w:hAnsi="宋体" w:cs="宋体" w:hint="eastAsia"/>
          <w:szCs w:val="21"/>
        </w:rPr>
        <w:t>配套能力保障</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eastAsia="黑体" w:hAnsi="宋体" w:hint="eastAsia"/>
          <w:bCs/>
          <w:kern w:val="44"/>
          <w:lang w:eastAsia="zh-CN"/>
        </w:rPr>
      </w:pPr>
      <w:r>
        <w:rPr>
          <w:rFonts w:hint="eastAsia"/>
        </w:rPr>
        <w:t>（1</w:t>
      </w:r>
      <w:r>
        <w:rPr>
          <w:rFonts w:eastAsia="宋体" w:hint="eastAsia"/>
          <w:lang w:eastAsia="zh-CN"/>
        </w:rPr>
        <w:t>9</w:t>
      </w:r>
      <w:r>
        <w:rPr>
          <w:rFonts w:hint="eastAsia"/>
        </w:rPr>
        <w:t>）投标人认为需要加以说明的其他内容</w:t>
      </w:r>
    </w:p>
    <w:p>
      <w:pPr>
        <w:widowControl w:val="0"/>
        <w:spacing w:line="320" w:lineRule="atLeast"/>
        <w:jc w:val="both"/>
        <w:rPr>
          <w:rFonts w:ascii="宋体" w:eastAsia="宋体" w:hAnsi="宋体"/>
          <w:b/>
          <w:kern w:val="2"/>
          <w:lang w:eastAsia="zh-CN"/>
        </w:rPr>
      </w:pPr>
      <w:bookmarkStart w:id="15" w:name="_Hlk72257771"/>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6" w:name="_Hlk72263559"/>
      <w:r>
        <w:rPr>
          <w:rFonts w:ascii="宋体" w:eastAsia="宋体" w:hAnsi="宋体" w:cstheme="minorBidi" w:hint="eastAsia"/>
          <w:b/>
          <w:kern w:val="2"/>
          <w:lang w:eastAsia="zh-CN"/>
        </w:rPr>
        <w:t>2.关于填写“开标一览表”的说明：“开标一览表”中除“投标总价”外，其他信息不作评审依据。</w:t>
      </w:r>
      <w:bookmarkEnd w:id="15"/>
      <w:bookmarkEnd w:id="16"/>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17"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18"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single"/>
          <w:lang w:eastAsia="zh-CN"/>
        </w:rPr>
        <w:t>LHAZXDL-2024-00182</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深圳市龙华区中心医院热敏纸采购项目</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9" w:name="_Hlk72263588"/>
      <w:r>
        <w:rPr>
          <w:rFonts w:ascii="Calibri" w:eastAsia="宋体" w:hAnsi="Calibri" w:cstheme="minorBidi" w:hint="eastAsia"/>
          <w:kern w:val="2"/>
          <w:sz w:val="21"/>
          <w:szCs w:val="21"/>
          <w:lang w:eastAsia="zh-CN"/>
        </w:rPr>
        <w:t>愿意按照招标文件要求承包上述项目并修补其任何缺陷。</w:t>
      </w:r>
      <w:bookmarkEnd w:id="19"/>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0"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0"/>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18"/>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7"/>
    <w:p>
      <w:pPr>
        <w:keepNext/>
        <w:keepLines/>
        <w:spacing w:before="260" w:after="260" w:line="240" w:lineRule="auto"/>
        <w:jc w:val="center"/>
        <w:outlineLvl w:val="2"/>
        <w:rPr>
          <w:rFonts w:ascii="黑体" w:eastAsia="黑体" w:hAnsi="宋体"/>
          <w:bCs/>
          <w:szCs w:val="32"/>
        </w:rPr>
      </w:pPr>
      <w:r>
        <w:rPr>
          <w:rFonts w:ascii="黑体" w:eastAsia="黑体" w:hAnsi="宋体" w:hint="eastAsia"/>
          <w:bCs/>
          <w:szCs w:val="32"/>
        </w:rPr>
        <w:t>二、政府采购投标及履约承诺函</w:t>
      </w:r>
    </w:p>
    <w:p>
      <w:pPr>
        <w:spacing w:line="360" w:lineRule="auto"/>
        <w:rPr>
          <w:rFonts w:ascii="宋体" w:eastAsia="宋体" w:hAnsi="宋体" w:cs="宋体" w:hint="eastAsia"/>
          <w:sz w:val="21"/>
          <w:szCs w:val="21"/>
          <w:lang w:eastAsia="zh-CN"/>
        </w:rPr>
      </w:pPr>
      <w:bookmarkStart w:id="21" w:name="_Hlk72257530"/>
      <w:r>
        <w:rPr>
          <w:rFonts w:ascii="宋体" w:eastAsia="宋体" w:hAnsi="宋体" w:cs="宋体" w:hint="eastAsia"/>
          <w:sz w:val="21"/>
          <w:szCs w:val="21"/>
        </w:rPr>
        <w:t>致：</w:t>
      </w:r>
      <w:r>
        <w:rPr>
          <w:rFonts w:ascii="宋体" w:eastAsia="宋体" w:hAnsi="宋体" w:cs="宋体" w:hint="eastAsia"/>
          <w:sz w:val="21"/>
          <w:szCs w:val="21"/>
          <w:u w:val="single"/>
          <w:lang w:eastAsia="zh-CN"/>
        </w:rPr>
        <w:t>深圳市千里招标代理有限公司</w:t>
      </w:r>
    </w:p>
    <w:p>
      <w:pPr>
        <w:spacing w:line="360" w:lineRule="auto"/>
        <w:ind w:right="-815" w:firstLine="420" w:firstLineChars="200"/>
        <w:rPr>
          <w:rFonts w:ascii="宋体" w:eastAsia="宋体" w:hAnsi="宋体" w:cs="宋体" w:hint="eastAsia"/>
          <w:sz w:val="21"/>
          <w:szCs w:val="21"/>
        </w:rPr>
      </w:pPr>
      <w:r>
        <w:rPr>
          <w:rFonts w:ascii="宋体" w:eastAsia="宋体" w:hAnsi="宋体" w:cs="宋体" w:hint="eastAsia"/>
          <w:sz w:val="21"/>
          <w:szCs w:val="21"/>
        </w:rPr>
        <w:t>我单位承诺：</w:t>
      </w:r>
    </w:p>
    <w:p>
      <w:pPr>
        <w:spacing w:line="360" w:lineRule="auto"/>
        <w:ind w:firstLine="420" w:firstLineChars="200"/>
        <w:rPr>
          <w:rFonts w:ascii="宋体" w:eastAsia="宋体" w:hAnsi="宋体" w:cs="宋体" w:hint="eastAsia"/>
          <w:b/>
          <w:sz w:val="21"/>
          <w:szCs w:val="21"/>
        </w:rPr>
      </w:pPr>
      <w:r>
        <w:rPr>
          <w:rFonts w:ascii="宋体" w:eastAsia="宋体" w:hAnsi="宋体" w:cs="宋体" w:hint="eastAsia"/>
          <w:bCs/>
          <w:sz w:val="21"/>
          <w:szCs w:val="21"/>
        </w:rPr>
        <w:t>1.我单位参与本项目所投标（响应）的货物、工程或服务，不存在侵犯知识产权的情况。</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2.我单位参与本项目政府采购活动时不存在被有关部门禁止参与政府采购活动且在有效期内的情况。符合招标文件关于联合体及进口产品的相关资格要求。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3.我单位具备《中华人民共和国政府采购法》第二十二条第一款的条件。</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4.我单位未被列入失信被执行人、重大税收违法案件当事人名单、政府采购严重违法失信行为记录名单。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5.我单位不存在《深圳市财政局政府采购供应商信用信息管理办法》（深财规〔2023〕3号）列明的严重违法失信行为。</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w:t>
      </w:r>
      <w:bookmarkStart w:id="22" w:name="_Hlk72587269"/>
      <w:bookmarkStart w:id="23" w:name="_Hlk72587299"/>
      <w:r>
        <w:rPr>
          <w:rFonts w:ascii="宋体" w:eastAsia="宋体" w:hAnsi="宋体" w:cs="宋体" w:hint="eastAsia"/>
          <w:sz w:val="21"/>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2"/>
      <w:r>
        <w:rPr>
          <w:rFonts w:ascii="宋体" w:eastAsia="宋体" w:hAnsi="宋体" w:cs="宋体" w:hint="eastAsia"/>
          <w:sz w:val="21"/>
          <w:szCs w:val="21"/>
        </w:rPr>
        <w:t>。</w:t>
      </w:r>
    </w:p>
    <w:bookmarkEnd w:id="23"/>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.我单位承诺中标后项目不转包，未经采购人同意不进行分包。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.我单位保证，若所投货物涉及《财政部生态环境部关于印发节能产品政府采购品目清单的通知》（财库〔2019〕19号）列明的政府采购强制产品，则所投该产品符合节能产品的认证要求。</w:t>
      </w:r>
      <w:r>
        <w:rPr>
          <w:rFonts w:ascii="宋体" w:eastAsia="宋体" w:hAnsi="宋体" w:cs="宋体" w:hint="eastAsia"/>
          <w:sz w:val="21"/>
          <w:szCs w:val="21"/>
          <w:lang w:eastAsia="zh-CN"/>
        </w:rPr>
        <w:t>若所投产品包括数据中心相关设备的，应满足</w:t>
      </w:r>
      <w:r>
        <w:rPr>
          <w:rFonts w:ascii="宋体" w:eastAsia="宋体" w:hAnsi="宋体" w:cs="宋体" w:hint="eastAsia"/>
          <w:sz w:val="21"/>
          <w:szCs w:val="21"/>
        </w:rPr>
        <w:t>《财政部 生态环境部 工业和信息化部关于印发&lt;绿色数据中心政府采购需求标准（试行）&gt;的通知》</w:t>
      </w:r>
      <w:r>
        <w:rPr>
          <w:rFonts w:ascii="宋体" w:eastAsia="宋体" w:hAnsi="宋体" w:cs="宋体" w:hint="eastAsia"/>
          <w:sz w:val="21"/>
          <w:szCs w:val="21"/>
          <w:lang w:eastAsia="zh-CN"/>
        </w:rPr>
        <w:t>（</w:t>
      </w:r>
      <w:r>
        <w:rPr>
          <w:rFonts w:ascii="宋体" w:eastAsia="宋体" w:hAnsi="宋体" w:cs="宋体" w:hint="eastAsia"/>
          <w:sz w:val="21"/>
          <w:szCs w:val="21"/>
        </w:rPr>
        <w:t>财库〔2023〕7号）</w:t>
      </w:r>
      <w:r>
        <w:rPr>
          <w:rFonts w:ascii="宋体" w:eastAsia="宋体" w:hAnsi="宋体" w:cs="宋体" w:hint="eastAsia"/>
          <w:sz w:val="21"/>
          <w:szCs w:val="21"/>
          <w:lang w:eastAsia="zh-CN"/>
        </w:rPr>
        <w:t>要求。若所投产品涉及国家强制性标准的，所投产品应符合国家强制性标准相关要求。</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rPr>
        <w:t>1</w:t>
      </w:r>
      <w:r>
        <w:rPr>
          <w:rFonts w:ascii="宋体" w:eastAsia="宋体" w:hAnsi="宋体" w:cs="宋体" w:hint="eastAsia"/>
          <w:bCs/>
          <w:sz w:val="21"/>
          <w:szCs w:val="21"/>
          <w:lang w:eastAsia="zh-CN"/>
        </w:rPr>
        <w:t>2</w:t>
      </w:r>
      <w:r>
        <w:rPr>
          <w:rFonts w:ascii="宋体" w:eastAsia="宋体" w:hAnsi="宋体" w:cs="宋体" w:hint="eastAsia"/>
          <w:bCs/>
          <w:sz w:val="21"/>
          <w:szCs w:val="21"/>
        </w:rPr>
        <w:t>.我单位已知悉并同意中标（成交）结果信息公示（公开）的内容。</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Cs/>
          <w:sz w:val="21"/>
          <w:szCs w:val="21"/>
        </w:rPr>
        <w:t>1</w:t>
      </w:r>
      <w:r>
        <w:rPr>
          <w:rFonts w:ascii="宋体" w:eastAsia="宋体" w:hAnsi="宋体" w:cs="宋体" w:hint="eastAsia"/>
          <w:bCs/>
          <w:sz w:val="21"/>
          <w:szCs w:val="21"/>
          <w:lang w:eastAsia="zh-CN"/>
        </w:rPr>
        <w:t>3</w:t>
      </w:r>
      <w:r>
        <w:rPr>
          <w:rFonts w:ascii="宋体" w:eastAsia="宋体" w:hAnsi="宋体" w:cs="宋体" w:hint="eastAsia"/>
          <w:bCs/>
          <w:sz w:val="21"/>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cs="宋体" w:hint="eastAsia"/>
          <w:bCs/>
          <w:sz w:val="21"/>
          <w:szCs w:val="21"/>
          <w:lang w:eastAsia="zh-CN"/>
        </w:rPr>
        <w:t>若</w:t>
      </w:r>
      <w:r>
        <w:rPr>
          <w:rFonts w:ascii="宋体" w:eastAsia="宋体" w:hAnsi="宋体" w:cs="宋体" w:hint="eastAsia"/>
          <w:bCs/>
          <w:sz w:val="21"/>
          <w:szCs w:val="21"/>
        </w:rPr>
        <w:t>存在“不同供应商的董事、股东或其他高级管理人员为同一人的”情形的，</w:t>
      </w:r>
      <w:r>
        <w:rPr>
          <w:rFonts w:ascii="宋体" w:eastAsia="宋体" w:hAnsi="宋体" w:cs="宋体" w:hint="eastAsia"/>
          <w:bCs/>
          <w:sz w:val="21"/>
          <w:szCs w:val="21"/>
          <w:lang w:eastAsia="zh-CN"/>
        </w:rPr>
        <w:t>我单位保证</w:t>
      </w:r>
      <w:r>
        <w:rPr>
          <w:rFonts w:ascii="宋体" w:eastAsia="宋体" w:hAnsi="宋体" w:cs="宋体" w:hint="eastAsia"/>
          <w:bCs/>
          <w:sz w:val="21"/>
          <w:szCs w:val="21"/>
        </w:rPr>
        <w:t>不存在串通投标、恶意串通或者视为串通投标的情形</w:t>
      </w:r>
      <w:r>
        <w:rPr>
          <w:rFonts w:ascii="宋体" w:eastAsia="宋体" w:hAnsi="宋体" w:cs="宋体" w:hint="eastAsia"/>
          <w:bCs/>
          <w:sz w:val="21"/>
          <w:szCs w:val="21"/>
          <w:lang w:eastAsia="zh-CN"/>
        </w:rPr>
        <w:t>。</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
          <w:sz w:val="21"/>
          <w:szCs w:val="21"/>
          <w:lang w:eastAsia="zh-CN"/>
        </w:rPr>
        <w:t>14.我单位清楚，如存在违反投标承诺行为情节严重的，将根据《深圳市财政局关于印发&lt;深圳市财政局政府采购供应商信用信息管理办法&gt;的通知》，依法被列入失信信息。</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以上承诺，如有违反，愿依照国家相关法律法规处理，并承担由此给采购人带来的损失。</w:t>
      </w:r>
    </w:p>
    <w:bookmarkEnd w:id="21"/>
    <w:p>
      <w:pPr>
        <w:widowControl w:val="0"/>
        <w:spacing w:before="60" w:beforeLines="25" w:after="60" w:afterLines="25"/>
        <w:jc w:val="right"/>
        <w:rPr>
          <w:rFonts w:ascii="Calibri" w:eastAsia="宋体" w:hAnsi="Calibri" w:hint="eastAsia"/>
          <w:kern w:val="2"/>
          <w:sz w:val="21"/>
          <w:szCs w:val="21"/>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spacing w:line="360" w:lineRule="auto"/>
        <w:ind w:firstLine="420" w:firstLineChars="200"/>
        <w:rPr>
          <w:rFonts w:ascii="宋体" w:eastAsia="宋体" w:hAnsi="宋体" w:cs="宋体" w:hint="eastAsia"/>
          <w:bCs/>
          <w:sz w:val="21"/>
          <w:szCs w:val="21"/>
          <w:lang w:eastAsia="zh-CN"/>
        </w:rPr>
      </w:pPr>
    </w:p>
    <w:p>
      <w:pPr>
        <w:spacing w:line="360" w:lineRule="auto"/>
        <w:ind w:firstLine="420" w:firstLineChars="200"/>
        <w:rPr>
          <w:rFonts w:ascii="宋体" w:eastAsia="宋体" w:hAnsi="宋体" w:cs="宋体" w:hint="eastAsia"/>
          <w:bCs/>
          <w:sz w:val="21"/>
          <w:szCs w:val="21"/>
          <w:lang w:eastAsia="zh-CN"/>
        </w:rPr>
      </w:pPr>
      <w:r>
        <w:rPr>
          <w:rFonts w:ascii="宋体" w:eastAsia="宋体" w:hAnsi="宋体" w:cs="宋体" w:hint="eastAsia"/>
          <w:bCs/>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4"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5" w:name="_Hlk72257908"/>
      <w:r>
        <w:rPr>
          <w:rFonts w:ascii="黑体" w:eastAsia="黑体" w:hAnsi="宋体" w:cstheme="minorBidi" w:hint="eastAsia"/>
          <w:bCs/>
          <w:szCs w:val="32"/>
          <w:lang w:eastAsia="zh-CN"/>
        </w:rPr>
        <w:t>（二）中小企业声明函、残疾人福利性单位声明函及监狱企业声明函</w:t>
      </w:r>
    </w:p>
    <w:bookmarkEnd w:id="24"/>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1"/>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6"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6"/>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7" w:name="_Hlk73562331"/>
      <w:bookmarkStart w:id="28"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7"/>
    </w:p>
    <w:bookmarkEnd w:id="28"/>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Calibri" w:eastAsia="宋体" w:hAnsi="Calibri"/>
          <w:b/>
          <w:bCs/>
          <w:color w:val="FF0000"/>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5"/>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6"/>
        <w:gridCol w:w="1021"/>
        <w:gridCol w:w="924"/>
        <w:gridCol w:w="1021"/>
        <w:gridCol w:w="923"/>
        <w:gridCol w:w="924"/>
        <w:gridCol w:w="924"/>
        <w:gridCol w:w="914"/>
        <w:gridCol w:w="741"/>
        <w:gridCol w:w="828"/>
      </w:tblGrid>
      <w:tr>
        <w:tblPrEx>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23"/>
        </w:trPr>
        <w:tc>
          <w:tcPr>
            <w:tcW w:w="758"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序号</w:t>
            </w:r>
          </w:p>
        </w:tc>
        <w:tc>
          <w:tcPr>
            <w:tcW w:w="1262"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货物名称</w:t>
            </w:r>
          </w:p>
        </w:tc>
        <w:tc>
          <w:tcPr>
            <w:tcW w:w="1136"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规格及型号</w:t>
            </w:r>
          </w:p>
        </w:tc>
        <w:tc>
          <w:tcPr>
            <w:tcW w:w="1263"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制造商、品牌、原产地</w:t>
            </w:r>
          </w:p>
        </w:tc>
        <w:tc>
          <w:tcPr>
            <w:tcW w:w="1135"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数量</w:t>
            </w:r>
          </w:p>
        </w:tc>
        <w:tc>
          <w:tcPr>
            <w:tcW w:w="1136"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单位</w:t>
            </w:r>
          </w:p>
        </w:tc>
        <w:tc>
          <w:tcPr>
            <w:tcW w:w="1136"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sz w:val="21"/>
                <w:szCs w:val="21"/>
              </w:rPr>
              <w:t>招标控制</w:t>
            </w:r>
            <w:r>
              <w:rPr>
                <w:rFonts w:ascii="宋体" w:eastAsia="宋体" w:hAnsi="宋体" w:cs="宋体" w:hint="eastAsia"/>
                <w:b/>
                <w:sz w:val="21"/>
                <w:szCs w:val="21"/>
                <w:lang w:eastAsia="zh-CN"/>
              </w:rPr>
              <w:t>最高</w:t>
            </w:r>
            <w:r>
              <w:rPr>
                <w:rFonts w:ascii="宋体" w:eastAsia="宋体" w:hAnsi="宋体" w:cs="宋体" w:hint="eastAsia"/>
                <w:b/>
                <w:sz w:val="21"/>
                <w:szCs w:val="21"/>
              </w:rPr>
              <w:t>单价（元）</w:t>
            </w:r>
          </w:p>
        </w:tc>
        <w:tc>
          <w:tcPr>
            <w:tcW w:w="1123"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sz w:val="21"/>
                <w:szCs w:val="21"/>
                <w:lang w:eastAsia="zh-CN"/>
              </w:rPr>
              <w:t>折扣后单价（</w:t>
            </w:r>
            <w:r>
              <w:rPr>
                <w:rFonts w:ascii="宋体" w:eastAsia="宋体" w:hAnsi="宋体" w:cs="宋体" w:hint="eastAsia"/>
                <w:b/>
                <w:sz w:val="21"/>
                <w:szCs w:val="21"/>
              </w:rPr>
              <w:t>元</w:t>
            </w:r>
            <w:r>
              <w:rPr>
                <w:rFonts w:ascii="宋体" w:eastAsia="宋体" w:hAnsi="宋体" w:cs="宋体" w:hint="eastAsia"/>
                <w:b/>
                <w:sz w:val="21"/>
                <w:szCs w:val="21"/>
                <w:lang w:eastAsia="zh-CN"/>
              </w:rPr>
              <w:t>）</w:t>
            </w:r>
          </w:p>
        </w:tc>
        <w:tc>
          <w:tcPr>
            <w:tcW w:w="897" w:type="dxa"/>
            <w:vAlign w:val="center"/>
          </w:tcPr>
          <w:p>
            <w:pPr>
              <w:spacing w:line="360" w:lineRule="auto"/>
              <w:jc w:val="center"/>
              <w:rPr>
                <w:rFonts w:ascii="宋体" w:eastAsia="宋体" w:hAnsi="宋体" w:cs="宋体"/>
                <w:b/>
                <w:color w:val="000000"/>
                <w:sz w:val="21"/>
                <w:szCs w:val="21"/>
              </w:rPr>
            </w:pPr>
            <w:r>
              <w:rPr>
                <w:rFonts w:ascii="宋体" w:eastAsia="宋体" w:hAnsi="宋体" w:cs="宋体" w:hint="eastAsia"/>
                <w:b/>
                <w:sz w:val="21"/>
                <w:szCs w:val="21"/>
                <w:lang w:eastAsia="zh-CN"/>
              </w:rPr>
              <w:t>折扣率（%)</w:t>
            </w:r>
          </w:p>
        </w:tc>
        <w:tc>
          <w:tcPr>
            <w:tcW w:w="1010"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备注</w:t>
            </w:r>
          </w:p>
        </w:tc>
      </w:tr>
      <w:tr>
        <w:tblPrEx>
          <w:tblW w:w="5000" w:type="pct"/>
          <w:tblInd w:w="-459" w:type="dxa"/>
          <w:tblLayout w:type="fixed"/>
          <w:tblCellMar>
            <w:top w:w="0" w:type="dxa"/>
            <w:left w:w="108" w:type="dxa"/>
            <w:bottom w:w="0" w:type="dxa"/>
            <w:right w:w="108" w:type="dxa"/>
          </w:tblCellMar>
        </w:tblPrEx>
        <w:trPr>
          <w:trHeight w:val="495"/>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1</w:t>
            </w:r>
          </w:p>
        </w:tc>
        <w:tc>
          <w:tcPr>
            <w:tcW w:w="1262" w:type="dxa"/>
            <w:vAlign w:val="center"/>
          </w:tcPr>
          <w:p>
            <w:pPr>
              <w:widowControl/>
              <w:jc w:val="center"/>
              <w:rPr>
                <w:rFonts w:ascii="宋体" w:eastAsia="宋体" w:hAnsi="宋体" w:cs="宋体" w:hint="eastAsia"/>
                <w:bCs/>
                <w:color w:val="000000"/>
                <w:sz w:val="21"/>
                <w:szCs w:val="21"/>
              </w:rPr>
            </w:pPr>
            <w:r>
              <w:rPr>
                <w:rFonts w:ascii="宋体" w:eastAsia="宋体" w:hAnsi="宋体" w:cs="宋体" w:hint="eastAsia"/>
                <w:color w:val="000000"/>
                <w:sz w:val="21"/>
                <w:szCs w:val="21"/>
              </w:rPr>
              <w:t>热敏纸</w:t>
            </w:r>
            <w:r>
              <w:rPr>
                <w:rFonts w:ascii="宋体" w:eastAsia="宋体" w:hAnsi="宋体" w:cs="宋体" w:hint="eastAsia"/>
                <w:color w:val="000000"/>
                <w:sz w:val="21"/>
                <w:szCs w:val="21"/>
                <w:lang w:eastAsia="zh-CN"/>
              </w:rPr>
              <w:t>1</w:t>
            </w:r>
          </w:p>
        </w:tc>
        <w:tc>
          <w:tcPr>
            <w:tcW w:w="1136" w:type="dxa"/>
            <w:vAlign w:val="center"/>
          </w:tcPr>
          <w:p>
            <w:pPr>
              <w:widowControl/>
              <w:jc w:val="center"/>
              <w:textAlignment w:val="center"/>
              <w:rPr>
                <w:rFonts w:ascii="宋体" w:eastAsia="宋体" w:hAnsi="宋体" w:cs="宋体" w:hint="eastAsia"/>
                <w:bCs/>
                <w:color w:val="000000"/>
                <w:sz w:val="21"/>
                <w:szCs w:val="21"/>
              </w:rPr>
            </w:pPr>
            <w:r>
              <w:rPr>
                <w:rFonts w:ascii="宋体" w:eastAsia="宋体" w:hAnsi="宋体" w:cs="宋体" w:hint="eastAsia"/>
                <w:color w:val="000000"/>
                <w:sz w:val="21"/>
                <w:szCs w:val="21"/>
              </w:rPr>
              <w:t>80*80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5</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restart"/>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2</w:t>
            </w:r>
          </w:p>
        </w:tc>
        <w:tc>
          <w:tcPr>
            <w:tcW w:w="1262" w:type="dxa"/>
            <w:vAlign w:val="center"/>
          </w:tcPr>
          <w:p>
            <w:pPr>
              <w:widowControl/>
              <w:jc w:val="center"/>
              <w:rPr>
                <w:rFonts w:ascii="宋体" w:eastAsia="宋体" w:hAnsi="宋体" w:cs="宋体" w:hint="eastAsia"/>
                <w:bCs/>
                <w:color w:val="000000"/>
                <w:sz w:val="21"/>
                <w:szCs w:val="21"/>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1</w:t>
            </w:r>
          </w:p>
        </w:tc>
        <w:tc>
          <w:tcPr>
            <w:tcW w:w="1136" w:type="dxa"/>
            <w:vAlign w:val="center"/>
          </w:tcPr>
          <w:p>
            <w:pPr>
              <w:widowControl/>
              <w:jc w:val="center"/>
              <w:textAlignment w:val="center"/>
              <w:rPr>
                <w:rFonts w:ascii="宋体" w:eastAsia="宋体" w:hAnsi="宋体" w:cs="宋体" w:hint="eastAsia"/>
                <w:bCs/>
                <w:color w:val="000000"/>
                <w:sz w:val="21"/>
                <w:szCs w:val="21"/>
              </w:rPr>
            </w:pPr>
            <w:r>
              <w:rPr>
                <w:rFonts w:ascii="宋体" w:eastAsia="宋体" w:hAnsi="宋体" w:cs="宋体" w:hint="eastAsia"/>
                <w:color w:val="000000"/>
                <w:sz w:val="21"/>
                <w:szCs w:val="21"/>
              </w:rPr>
              <w:t>80*40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21</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3</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热敏纸</w:t>
            </w:r>
            <w:r>
              <w:rPr>
                <w:rFonts w:ascii="宋体" w:eastAsia="宋体" w:hAnsi="宋体" w:cs="宋体" w:hint="eastAsia"/>
                <w:color w:val="000000"/>
                <w:sz w:val="21"/>
                <w:szCs w:val="21"/>
                <w:lang w:eastAsia="zh-CN"/>
              </w:rPr>
              <w:t>2</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100*70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25</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4</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2</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100*160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38</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5</w:t>
            </w:r>
          </w:p>
        </w:tc>
        <w:tc>
          <w:tcPr>
            <w:tcW w:w="1262" w:type="dxa"/>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热敏纸 </w:t>
            </w:r>
          </w:p>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POS机专用</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 xml:space="preserve">57*40  </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2</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6</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3</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50*30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15</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7</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热敏不干胶</w:t>
            </w:r>
            <w:r>
              <w:rPr>
                <w:rFonts w:ascii="宋体" w:eastAsia="宋体" w:hAnsi="宋体" w:cs="宋体" w:hint="eastAsia"/>
                <w:color w:val="000000"/>
                <w:sz w:val="21"/>
                <w:szCs w:val="21"/>
                <w:lang w:eastAsia="zh-CN"/>
              </w:rPr>
              <w:t>4</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56*7.5</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4.8</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8</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热敏不干胶</w:t>
            </w:r>
            <w:r>
              <w:rPr>
                <w:rFonts w:ascii="宋体" w:eastAsia="宋体" w:hAnsi="宋体" w:cs="宋体" w:hint="eastAsia"/>
                <w:color w:val="000000"/>
                <w:sz w:val="21"/>
                <w:szCs w:val="21"/>
                <w:lang w:eastAsia="zh-CN"/>
              </w:rPr>
              <w:t>5</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90*52</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4.6</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b/>
          <w:bCs/>
          <w:color w:val="FF0000"/>
          <w:kern w:val="2"/>
          <w:sz w:val="21"/>
          <w:lang w:eastAsia="zh-CN"/>
        </w:rPr>
      </w:pPr>
      <w:r>
        <w:rPr>
          <w:rFonts w:eastAsia="宋体" w:hint="eastAsia"/>
          <w:kern w:val="2"/>
          <w:sz w:val="21"/>
          <w:lang w:eastAsia="zh-CN"/>
        </w:rPr>
        <w:t>6.</w:t>
      </w:r>
      <w:r>
        <w:rPr>
          <w:rFonts w:eastAsia="宋体" w:hint="eastAsia"/>
          <w:b/>
          <w:bCs/>
          <w:color w:val="FF0000"/>
          <w:kern w:val="2"/>
          <w:sz w:val="21"/>
          <w:lang w:eastAsia="zh-CN"/>
        </w:rPr>
        <w:t>仅允许填报唯一一个“折扣率”；</w:t>
      </w:r>
    </w:p>
    <w:p>
      <w:pPr>
        <w:widowControl/>
        <w:wordWrap w:val="0"/>
        <w:autoSpaceDE w:val="0"/>
        <w:autoSpaceDN w:val="0"/>
        <w:spacing w:line="400" w:lineRule="exact"/>
        <w:ind w:left="0" w:right="32" w:firstLine="0" w:leftChars="0" w:rightChars="0" w:firstLineChars="0"/>
        <w:jc w:val="both"/>
        <w:rPr>
          <w:rFonts w:eastAsia="宋体" w:hint="eastAsia"/>
          <w:b/>
          <w:bCs/>
          <w:color w:val="FF0000"/>
          <w:kern w:val="2"/>
          <w:sz w:val="21"/>
          <w:lang w:eastAsia="zh-CN"/>
        </w:rPr>
      </w:pPr>
      <w:r>
        <w:rPr>
          <w:rFonts w:eastAsia="宋体" w:hint="eastAsia"/>
          <w:kern w:val="2"/>
          <w:sz w:val="21"/>
          <w:lang w:eastAsia="zh-CN"/>
        </w:rPr>
        <w:t>7.</w:t>
      </w:r>
      <w:r>
        <w:rPr>
          <w:rFonts w:eastAsia="宋体" w:hint="eastAsia"/>
          <w:b/>
          <w:bCs/>
          <w:color w:val="FF0000"/>
          <w:kern w:val="2"/>
          <w:sz w:val="21"/>
          <w:lang w:eastAsia="zh-CN"/>
        </w:rPr>
        <w:t>折扣后单价最多精确到小数点后2位（如5.00）；</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hint="eastAsia"/>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（三）可选配件报价清单（非项目需求要求的必备配件，此部分不包括在总报价内）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2"/>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29" w:name="_Hlk72092499"/>
      <w:r>
        <w:rPr>
          <w:rFonts w:ascii="黑体" w:eastAsia="黑体" w:hAnsi="宋体" w:cstheme="minorBidi" w:hint="eastAsia"/>
          <w:b/>
          <w:kern w:val="2"/>
          <w:sz w:val="30"/>
          <w:szCs w:val="30"/>
          <w:lang w:eastAsia="zh-CN"/>
        </w:rPr>
        <w:t>法定代表人（负责人）证明书</w:t>
      </w:r>
      <w:bookmarkEnd w:id="29"/>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八、</w:t>
      </w:r>
      <w:bookmarkStart w:id="30" w:name="_Hlk72092634"/>
      <w:r>
        <w:rPr>
          <w:rFonts w:ascii="黑体" w:eastAsia="黑体" w:hAnsi="Calibri" w:cstheme="minorBidi" w:hint="eastAsia"/>
          <w:b/>
          <w:kern w:val="2"/>
          <w:sz w:val="30"/>
          <w:szCs w:val="22"/>
          <w:lang w:eastAsia="zh-CN"/>
        </w:rPr>
        <w:t>实质性条款响应情况表</w:t>
      </w:r>
      <w:bookmarkEnd w:id="30"/>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spacing w:line="360" w:lineRule="auto"/>
        <w:jc w:val="both"/>
        <w:rPr>
          <w:rFonts w:ascii="宋体" w:eastAsia="宋体" w:hAnsi="宋体"/>
          <w:b/>
          <w:kern w:val="2"/>
          <w:sz w:val="21"/>
          <w:szCs w:val="21"/>
          <w:lang w:eastAsia="zh-CN"/>
        </w:rPr>
      </w:pPr>
      <w:r>
        <w:rPr>
          <w:rFonts w:ascii="宋体" w:eastAsia="宋体" w:hAnsi="宋体" w:hint="eastAsia"/>
          <w:b/>
          <w:kern w:val="2"/>
          <w:sz w:val="21"/>
          <w:szCs w:val="21"/>
          <w:lang w:eastAsia="zh-CN"/>
        </w:rPr>
        <w:t>填写说明：</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2、“投标文件响应”一栏应当详细填写投标人自身响应情况，而不能不合理照搬照抄招标文件实质性条款具体内容。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b/>
          <w:bCs/>
          <w:szCs w:val="20"/>
          <w:lang w:eastAsia="zh-CN"/>
        </w:rPr>
      </w:pPr>
      <w:r>
        <w:rPr>
          <w:rFonts w:ascii="宋体" w:eastAsia="宋体" w:hAnsi="宋体" w:hint="eastAsia"/>
          <w:b/>
          <w:bCs/>
          <w:szCs w:val="20"/>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77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序号</w:t>
            </w:r>
          </w:p>
        </w:tc>
        <w:tc>
          <w:tcPr>
            <w:tcW w:w="126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货物名称</w:t>
            </w:r>
          </w:p>
        </w:tc>
        <w:tc>
          <w:tcPr>
            <w:tcW w:w="3028"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招标技术要求</w:t>
            </w:r>
          </w:p>
        </w:tc>
        <w:tc>
          <w:tcPr>
            <w:tcW w:w="2881"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投标技术响应</w:t>
            </w:r>
          </w:p>
        </w:tc>
        <w:tc>
          <w:tcPr>
            <w:tcW w:w="1210"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偏离情况</w:t>
            </w:r>
          </w:p>
        </w:tc>
        <w:tc>
          <w:tcPr>
            <w:tcW w:w="874"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3"/>
        <w:gridCol w:w="1456"/>
        <w:gridCol w:w="2484"/>
        <w:gridCol w:w="2403"/>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456"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484"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招标商务要求</w:t>
            </w:r>
          </w:p>
        </w:tc>
        <w:tc>
          <w:tcPr>
            <w:tcW w:w="240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17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698"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48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403"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3"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3"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1、商务要求偏离表的序号、目录、招标商务要求等栏目对应“用户需求书”中的“商务条款要求”章节相关内容。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2、“投标商务响应”一栏必须一一对照“招标商务要求”，详细填写自身响应情况，而不能不合理照搬照抄招标文件的商务要求，以体现具体响应情况。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“投标商务响应”对比“招标商务要求”存在响应不全（包括未响应整项招标商务要求或者未响应一项招标商务要求的部分内容），均视为“负偏离”。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numPr>
          <w:ilvl w:val="0"/>
          <w:numId w:val="4"/>
        </w:numPr>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项目实施方案（格式自拟）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十二、售后服务方案（格式自拟）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十三、应急保障方案（格式自拟）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十四、违约承诺（格式自拟）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十五、网点服务响应时间配送时效（格式自拟）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十六、投标人资质证明（格式自拟）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十七、投标人同类项目业绩情况（格式自拟）</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十八、配套能力保障（格式自拟）</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十九、</w:t>
      </w:r>
      <w:bookmarkStart w:id="31" w:name="_Hlk72062872"/>
      <w:r>
        <w:rPr>
          <w:rFonts w:ascii="黑体" w:eastAsia="黑体" w:hAnsi="宋体" w:cstheme="minorBidi" w:hint="eastAsia"/>
          <w:b/>
          <w:bCs/>
          <w:kern w:val="2"/>
          <w:sz w:val="30"/>
          <w:szCs w:val="30"/>
          <w:lang w:eastAsia="zh-CN"/>
        </w:rPr>
        <w:t>投标人认为需要加以说明的其他内容</w:t>
      </w:r>
      <w:bookmarkEnd w:id="31"/>
    </w:p>
    <w:p>
      <w:pPr>
        <w:widowControl/>
        <w:jc w:val="center"/>
        <w:rPr>
          <w:rFonts w:ascii="黑体" w:eastAsia="黑体" w:hAnsi="宋体"/>
          <w:szCs w:val="20"/>
          <w:lang w:eastAsia="zh-CN"/>
        </w:rPr>
      </w:pPr>
      <w:r>
        <w:rPr>
          <w:rFonts w:ascii="黑体" w:eastAsia="黑体" w:hAnsi="宋体" w:cstheme="minorBidi" w:hint="eastAsia"/>
          <w:szCs w:val="20"/>
          <w:lang w:eastAsia="zh-CN"/>
        </w:rPr>
        <w:t>（一）政府采购违法行为风险知悉确认书</w:t>
      </w:r>
    </w:p>
    <w:p>
      <w:pPr>
        <w:widowControl/>
        <w:jc w:val="center"/>
        <w:rPr>
          <w:rFonts w:ascii="黑体" w:eastAsia="黑体" w:hAnsi="宋体"/>
          <w:szCs w:val="20"/>
          <w:lang w:eastAsia="zh-CN"/>
        </w:rPr>
      </w:pPr>
    </w:p>
    <w:p>
      <w:pPr>
        <w:widowControl w:val="0"/>
        <w:spacing w:line="360"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本公司在投标前已充分知悉以下情形为参与政府采购活动时的重大风险事项，并承诺已对下述风险提示事项重点排查，做到严谨、诚信、依法依规参与政府采购活动。</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一、本公司已充分知悉“隐瞒真实情况，提供虚假资料”的法定情形，相关情形包括但不限于</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二、本公司已充分知悉“与其他采购参加人串通投标”的法定情形，相关情形包括但不限于：</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三、本公司已充分知悉下列情形所对应的法律风险，并在投标前已对相关风险事项进行排查。</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（一）对于从其他主体获取的投标资料，供应商应审慎核查，确保投标资料的真实性。</w:t>
      </w:r>
      <w:r>
        <w:rPr>
          <w:rFonts w:ascii="宋体" w:eastAsia="宋体" w:hAnsi="宋体" w:cs="宋体" w:hint="eastAsia"/>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（三）对于涉及安全生产、特种作业、抢险救灾、防疫等政府采购项目，供应商实施提供虚假资料、串通投标等违法行为的，主管部门将依法从严处理。</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spacing w:line="360" w:lineRule="auto"/>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四、本公司已充分知悉政府采购违法、违规行为的法律后果。</w:t>
      </w:r>
      <w:r>
        <w:rPr>
          <w:rFonts w:ascii="宋体" w:eastAsia="宋体" w:hAnsi="宋体" w:cs="宋体" w:hint="eastAsia"/>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360" w:lineRule="auto"/>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我司已阅读并确认：“本公司已仔细阅读《政府采购违法行为风险知悉确认书》，充分知悉违法行为的法律后果，并承诺将严谨、诚信、依法依规参与政府采购活动”。</w:t>
      </w:r>
    </w:p>
    <w:p>
      <w:pPr>
        <w:widowControl w:val="0"/>
        <w:spacing w:line="360" w:lineRule="auto"/>
        <w:jc w:val="both"/>
        <w:rPr>
          <w:rFonts w:ascii="宋体" w:eastAsia="宋体" w:hAnsi="宋体" w:cs="宋体" w:hint="eastAsia"/>
          <w:kern w:val="2"/>
          <w:sz w:val="21"/>
          <w:szCs w:val="21"/>
          <w:u w:val="single"/>
          <w:lang w:eastAsia="zh-CN"/>
        </w:rPr>
      </w:pPr>
    </w:p>
    <w:p>
      <w:pPr>
        <w:widowControl w:val="0"/>
        <w:spacing w:line="360" w:lineRule="auto"/>
        <w:jc w:val="both"/>
        <w:rPr>
          <w:rFonts w:ascii="宋体" w:eastAsia="宋体" w:hAnsi="宋体" w:cs="宋体" w:hint="eastAsia"/>
          <w:kern w:val="2"/>
          <w:sz w:val="21"/>
          <w:szCs w:val="21"/>
          <w:lang w:eastAsia="zh-CN"/>
        </w:rPr>
      </w:pPr>
    </w:p>
    <w:p>
      <w:pPr>
        <w:widowControl w:val="0"/>
        <w:spacing w:before="60" w:beforeLines="25" w:after="60" w:afterLines="25" w:line="360" w:lineRule="auto"/>
        <w:jc w:val="righ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FFFFFF"/>
          <w:kern w:val="2"/>
          <w:sz w:val="21"/>
          <w:szCs w:val="21"/>
          <w:u w:val="single"/>
          <w:lang w:eastAsia="zh-CN"/>
        </w:rPr>
        <w:t>.</w:t>
      </w:r>
    </w:p>
    <w:p>
      <w:pPr>
        <w:widowControl w:val="0"/>
        <w:spacing w:line="360" w:lineRule="auto"/>
        <w:ind w:firstLine="645"/>
        <w:jc w:val="righ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autoSpaceDE w:val="0"/>
        <w:autoSpaceDN w:val="0"/>
        <w:spacing w:line="360" w:lineRule="auto"/>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cs="宋体" w:hint="eastAsia"/>
          <w:kern w:val="2"/>
          <w:sz w:val="21"/>
          <w:szCs w:val="21"/>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有专业类别的格式合同范本请选择相应的合同</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（仅供参考，采购单位需填写项目关键信息和违约责任条款）</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采购人：</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w:t>
      </w:r>
    </w:p>
    <w:p>
      <w:pPr>
        <w:widowControl w:val="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根据深圳市</w:t>
      </w:r>
      <w:r>
        <w:rPr>
          <w:rFonts w:ascii="宋体" w:eastAsia="宋体" w:hAnsi="宋体" w:cs="宋体" w:hint="eastAsia"/>
          <w:kern w:val="2"/>
          <w:sz w:val="21"/>
          <w:szCs w:val="21"/>
          <w:lang w:eastAsia="zh-CN"/>
        </w:rPr>
        <w:t>****</w:t>
      </w:r>
      <w:r>
        <w:rPr>
          <w:rFonts w:ascii="宋体" w:eastAsia="宋体" w:hAnsi="宋体" w:hint="eastAsia"/>
          <w:kern w:val="2"/>
          <w:sz w:val="21"/>
          <w:szCs w:val="21"/>
          <w:lang w:eastAsia="zh-CN"/>
        </w:rPr>
        <w:t>号采购项目的投标结果，由单位为中标方。按照有关规定，经深圳市（以下简称甲方）和单位（以下简称乙方）协商，达成以下合同条款：</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第一条合同标的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乙方根据甲方需求提供下列货物：</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货物名称、规格及数量详见。</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第二条合同价款</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本合同项下总价款为（大写）人民币，分项价款详见。本合同总价款已包括乙方为履行本合同义务所发生的一切费用，系固定不变价格，且不随通货膨胀的影响而波动。</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第三条权利保证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第四条质量保证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1、乙方所提供的货物的技术规格符合采购文件规定的技术规格，货物符合中华人民共和国的设计和制造生产标准或行业标准。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3、乙方保证交货时一并提供货物的质量合格凭证或文件。</w:t>
      </w:r>
    </w:p>
    <w:p>
      <w:pPr>
        <w:widowControl w:val="0"/>
        <w:spacing w:line="360" w:lineRule="auto"/>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第五条交货和验收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1、乙方应按照本合同或招投标文件规定的时间和方式向甲方交付货物，交货地点由甲方指定。因交货产生的费用由乙方自行承担。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4、甲方应当在到货后的个工作日内对货物进行验收；需要乙方对货物或系统进行安装调试的，甲方应在货物安装调试完毕后的个工作日内进行质量验收。</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第六条保修及其他服务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1、乙方应按照国家有关法律法规规章和“三包”规定和采购文件的要求及乙方在投标文件的相关承诺提供保修及其他服务。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保修期内，乙方负责对其提供的货物进行维修和系统维护，不再收取任何费用。</w:t>
      </w:r>
      <w:r>
        <w:rPr>
          <w:rFonts w:ascii="宋体" w:eastAsia="宋体" w:hAnsi="宋体" w:hint="eastAsia"/>
          <w:kern w:val="2"/>
          <w:sz w:val="21"/>
          <w:szCs w:val="21"/>
          <w:lang w:eastAsia="zh-CN"/>
        </w:rPr>
        <w:t>所有货物保修服务方式均为乙方上门保修，即由乙方派员到货物使用现场维修，由此产生的一切费用均由乙方承担。保修期后的货物维护另行协商。</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第七条履约保证金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1、乙方应在签订本合同之日，向甲方或甲方指定的机构提交履约保证金_________元。</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2、如乙方未能履行合同规定的义务，甲方有权从履约保证金中取得补偿。</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3、甲方在乙方履行完毕本合同项下全部义务后______天内无息退还乙方。</w:t>
      </w:r>
    </w:p>
    <w:p>
      <w:pPr>
        <w:widowControl w:val="0"/>
        <w:spacing w:line="360" w:lineRule="auto"/>
        <w:ind w:firstLine="56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第八条付款方式</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按照招标文件规定的付款方式进行支付。</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第九条违约责任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１、甲方无正当理由拒收货物、拒付货物款的，由甲方向乙方偿付合同总价的【】%违约金。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２、甲方未按合同规定的期限向乙方支付货款的，每逾期1天甲方向乙方偿付欠款总额的【】‰滞纳金，但累计滞纳金总额不超过欠款总额的【】%。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３、</w:t>
      </w:r>
      <w:r>
        <w:rPr>
          <w:rFonts w:ascii="宋体" w:eastAsia="宋体" w:hAnsi="宋体"/>
          <w:kern w:val="2"/>
          <w:sz w:val="21"/>
          <w:szCs w:val="21"/>
          <w:lang w:eastAsia="zh-CN"/>
        </w:rPr>
        <w:t>乙方逾期交付货物的，每逾期1天，乙方向甲方偿付逾期交货部分货款总额的</w:t>
      </w:r>
      <w:r>
        <w:rPr>
          <w:rFonts w:ascii="宋体" w:eastAsia="宋体" w:hAnsi="宋体" w:hint="eastAsia"/>
          <w:kern w:val="2"/>
          <w:sz w:val="21"/>
          <w:szCs w:val="21"/>
          <w:lang w:eastAsia="zh-CN"/>
        </w:rPr>
        <w:t>【】</w:t>
      </w:r>
      <w:r>
        <w:rPr>
          <w:rFonts w:ascii="宋体" w:eastAsia="宋体" w:hAnsi="宋体"/>
          <w:kern w:val="2"/>
          <w:sz w:val="21"/>
          <w:szCs w:val="21"/>
          <w:lang w:eastAsia="zh-CN"/>
        </w:rPr>
        <w:t>‰的滞纳金</w:t>
      </w:r>
      <w:r>
        <w:rPr>
          <w:rFonts w:ascii="宋体" w:eastAsia="宋体" w:hAnsi="宋体" w:hint="eastAsia"/>
          <w:kern w:val="2"/>
          <w:sz w:val="21"/>
          <w:szCs w:val="21"/>
          <w:lang w:eastAsia="zh-CN"/>
        </w:rPr>
        <w:t>。如乙方逾期交货达天，甲方有权解除合同，履约保证金不予退回，同时乙方应向甲方支付合同总价【】％的违约金。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4、乙方所交付的货物品种、型号、规格不符合合同规定的，甲方有权拒收。甲方拒收的，乙方应向甲方支付货款总额【】%的违约金。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5、在乙方承诺的或国家规定的质量保证期内（取两者中最长的期限），</w:t>
      </w:r>
      <w:r>
        <w:rPr>
          <w:rFonts w:ascii="宋体" w:eastAsia="宋体" w:hAnsi="宋体"/>
          <w:kern w:val="2"/>
          <w:sz w:val="21"/>
          <w:szCs w:val="21"/>
          <w:lang w:eastAsia="zh-CN"/>
        </w:rPr>
        <w:t>如经乙方两次维修</w:t>
      </w:r>
      <w:r>
        <w:rPr>
          <w:rFonts w:ascii="宋体" w:eastAsia="宋体" w:hAnsi="宋体" w:hint="eastAsia"/>
          <w:kern w:val="2"/>
          <w:sz w:val="21"/>
          <w:szCs w:val="21"/>
          <w:lang w:eastAsia="zh-CN"/>
        </w:rPr>
        <w:t>或更换</w:t>
      </w:r>
      <w:r>
        <w:rPr>
          <w:rFonts w:ascii="宋体" w:eastAsia="宋体" w:hAnsi="宋体"/>
          <w:kern w:val="2"/>
          <w:sz w:val="21"/>
          <w:szCs w:val="21"/>
          <w:lang w:eastAsia="zh-CN"/>
        </w:rPr>
        <w:t>，货物仍不能达到合同约定</w:t>
      </w:r>
      <w:r>
        <w:rPr>
          <w:rFonts w:ascii="宋体" w:eastAsia="宋体" w:hAnsi="宋体" w:hint="eastAsia"/>
          <w:kern w:val="2"/>
          <w:sz w:val="21"/>
          <w:szCs w:val="21"/>
          <w:lang w:eastAsia="zh-CN"/>
        </w:rPr>
        <w:t>的</w:t>
      </w:r>
      <w:r>
        <w:rPr>
          <w:rFonts w:ascii="宋体" w:eastAsia="宋体" w:hAnsi="宋体"/>
          <w:kern w:val="2"/>
          <w:sz w:val="21"/>
          <w:szCs w:val="21"/>
          <w:lang w:eastAsia="zh-CN"/>
        </w:rPr>
        <w:t>质量标准，甲方有权退货，乙方</w:t>
      </w:r>
      <w:r>
        <w:rPr>
          <w:rFonts w:ascii="宋体" w:eastAsia="宋体" w:hAnsi="宋体" w:hint="eastAsia"/>
          <w:kern w:val="2"/>
          <w:sz w:val="21"/>
          <w:szCs w:val="21"/>
          <w:lang w:eastAsia="zh-CN"/>
        </w:rPr>
        <w:t>应</w:t>
      </w:r>
      <w:r>
        <w:rPr>
          <w:rFonts w:ascii="宋体" w:eastAsia="宋体" w:hAnsi="宋体"/>
          <w:kern w:val="2"/>
          <w:sz w:val="21"/>
          <w:szCs w:val="21"/>
          <w:lang w:eastAsia="zh-CN"/>
        </w:rPr>
        <w:t>退回全部货款</w:t>
      </w:r>
      <w:r>
        <w:rPr>
          <w:rFonts w:ascii="宋体" w:eastAsia="宋体" w:hAnsi="宋体" w:hint="eastAsia"/>
          <w:kern w:val="2"/>
          <w:sz w:val="21"/>
          <w:szCs w:val="21"/>
          <w:lang w:eastAsia="zh-CN"/>
        </w:rPr>
        <w:t>并</w:t>
      </w:r>
      <w:r>
        <w:rPr>
          <w:rFonts w:ascii="宋体" w:eastAsia="宋体" w:hAnsi="宋体"/>
          <w:kern w:val="2"/>
          <w:sz w:val="21"/>
          <w:szCs w:val="21"/>
          <w:lang w:eastAsia="zh-CN"/>
        </w:rPr>
        <w:t>赔偿甲方因此遭受的损失。</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6、乙方未履行本合同项下的其他义务或违反其在投标文件中的相关承诺的，应按合同总价款的【】%向甲方承担违约责任。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第十条合同的变更和终止</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除《中华人民共和国政府采购法》第４９条、第５０条第二款规定的情形外，本合同一经签订，甲乙双方不得擅自变更、中止或终止合同。</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第十一条争议的解决</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2、因履行本合同引起的或与本合同有关的争议，甲、乙双方应首先通过友好协商解决，如果协商不能解决争议，则向甲方所在地有管辖权的人民法院提起诉讼；</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第十二条合同生效及其他</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1、下列文件均为本合同的重要组成部分：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（1）本项目的采购文件、答疑及补充通知；</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（2）本项目中标的投标文件；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spacing w:line="360" w:lineRule="auto"/>
        <w:jc w:val="both"/>
        <w:rPr>
          <w:rFonts w:ascii="宋体" w:eastAsia="宋体" w:hAnsi="宋体"/>
          <w:b/>
          <w:bCs/>
          <w:kern w:val="2"/>
          <w:sz w:val="21"/>
          <w:szCs w:val="21"/>
          <w:lang w:eastAsia="zh-CN"/>
        </w:rPr>
      </w:pPr>
      <w:r>
        <w:rPr>
          <w:rFonts w:ascii="宋体" w:eastAsia="宋体" w:hAnsi="宋体" w:hint="eastAsia"/>
          <w:bCs/>
          <w:kern w:val="2"/>
          <w:sz w:val="21"/>
          <w:szCs w:val="21"/>
          <w:lang w:eastAsia="zh-CN"/>
        </w:rPr>
        <w:t>以上文件互为补充，如果出现内容冲突的情况，为准的优先顺序为（2）、（1）、（3）。</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2、本合同一式___份，甲、乙方双方各执份，具有同等法律效力。本合同自双方法人代表签字（盖章）认可之日起生效。</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甲方（采购人）：（盖章）               乙方（供应商）：（盖章）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法定代表人：                           法定代表人：</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val="0"/>
        <w:spacing w:line="360" w:lineRule="auto"/>
        <w:ind w:firstLine="560"/>
        <w:jc w:val="left"/>
        <w:rPr>
          <w:rFonts w:ascii="宋体" w:eastAsia="宋体" w:hAnsi="宋体" w:cs="宋体"/>
          <w:kern w:val="2"/>
          <w:sz w:val="21"/>
          <w:szCs w:val="21"/>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               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spacing w:line="360" w:lineRule="auto"/>
        <w:jc w:val="both"/>
        <w:rPr>
          <w:rFonts w:ascii="宋体" w:eastAsia="宋体" w:hAnsi="宋体"/>
          <w:kern w:val="2"/>
          <w:sz w:val="21"/>
          <w:szCs w:val="21"/>
          <w:lang w:eastAsia="zh-CN"/>
        </w:rPr>
      </w:pPr>
    </w:p>
    <w:p>
      <w:pPr>
        <w:widowControl/>
        <w:jc w:val="center"/>
        <w:rPr>
          <w:rFonts w:ascii="仿宋" w:eastAsia="仿宋" w:hAnsi="仿宋"/>
          <w:kern w:val="2"/>
          <w:sz w:val="28"/>
          <w:szCs w:val="28"/>
          <w:lang w:eastAsia="zh-CN"/>
        </w:rPr>
      </w:pPr>
      <w:r>
        <w:rPr>
          <w:rFonts w:ascii="宋体" w:eastAsia="宋体" w:hAnsi="宋体" w:hint="eastAsia"/>
          <w:b/>
          <w:kern w:val="2"/>
          <w:sz w:val="21"/>
          <w:szCs w:val="21"/>
          <w:lang w:eastAsia="zh-CN"/>
        </w:rPr>
        <w:t>注：本合同样本仅供参考，具体条款内容由采购单位和中标单位协商确定。</w:t>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1312"/>
      <w:r>
        <w:rPr>
          <w:rFonts w:ascii="Arial" w:eastAsia="宋体" w:hAnsi="Arial" w:hint="eastAsia"/>
          <w:b/>
          <w:kern w:val="2"/>
          <w:sz w:val="32"/>
          <w:lang w:eastAsia="zh-CN"/>
        </w:rPr>
        <w:t>第一章  总则</w:t>
      </w:r>
      <w:bookmarkEnd w:id="32"/>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696"/>
      <w:r>
        <w:rPr>
          <w:rFonts w:ascii="Arial" w:eastAsia="宋体" w:hAnsi="Arial" w:hint="eastAsia"/>
          <w:b/>
          <w:kern w:val="2"/>
          <w:sz w:val="32"/>
          <w:lang w:eastAsia="zh-CN"/>
        </w:rPr>
        <w:t>第二章</w:t>
      </w:r>
      <w:bookmarkStart w:id="34" w:name="_Toc25500"/>
      <w:bookmarkStart w:id="35" w:name="_Toc4237"/>
      <w:bookmarkStart w:id="36" w:name="_Toc16272"/>
      <w:r>
        <w:rPr>
          <w:rFonts w:ascii="Arial" w:eastAsia="宋体" w:hAnsi="Arial" w:hint="eastAsia"/>
          <w:b/>
          <w:kern w:val="2"/>
          <w:sz w:val="32"/>
          <w:lang w:eastAsia="zh-CN"/>
        </w:rPr>
        <w:t xml:space="preserve">  招标文件</w:t>
      </w:r>
      <w:bookmarkEnd w:id="33"/>
      <w:bookmarkEnd w:id="34"/>
      <w:bookmarkEnd w:id="35"/>
      <w:bookmarkEnd w:id="3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7"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7"/>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13741"/>
      <w:bookmarkStart w:id="39" w:name="_Toc18814"/>
      <w:bookmarkStart w:id="40" w:name="_Toc17279"/>
      <w:bookmarkStart w:id="41" w:name="_Toc31413"/>
      <w:r>
        <w:rPr>
          <w:rFonts w:ascii="Arial" w:eastAsia="宋体" w:hAnsi="Arial" w:hint="eastAsia"/>
          <w:b/>
          <w:kern w:val="2"/>
          <w:sz w:val="32"/>
          <w:lang w:eastAsia="zh-CN"/>
        </w:rPr>
        <w:t>第三章  投标文件的编制</w:t>
      </w:r>
      <w:bookmarkEnd w:id="38"/>
      <w:bookmarkEnd w:id="39"/>
      <w:bookmarkEnd w:id="40"/>
      <w:bookmarkEnd w:id="4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2"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3"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4"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5"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6"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bookmarkStart w:id="47"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7"/>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48"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9"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9"/>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_Toc18062"/>
      <w:bookmarkStart w:id="51" w:name="_Toc21427"/>
      <w:bookmarkStart w:id="52" w:name="_Toc28552"/>
      <w:bookmarkStart w:id="53" w:name="_Toc26761"/>
      <w:r>
        <w:rPr>
          <w:rFonts w:ascii="Arial" w:eastAsia="宋体" w:hAnsi="Arial" w:hint="eastAsia"/>
          <w:b/>
          <w:kern w:val="2"/>
          <w:sz w:val="32"/>
          <w:lang w:eastAsia="zh-CN"/>
        </w:rPr>
        <w:t>第四章</w:t>
      </w:r>
      <w:bookmarkStart w:id="54" w:name="_Toc30105"/>
      <w:r>
        <w:rPr>
          <w:rFonts w:ascii="Arial" w:eastAsia="宋体" w:hAnsi="Arial" w:hint="eastAsia"/>
          <w:b/>
          <w:kern w:val="2"/>
          <w:sz w:val="32"/>
          <w:lang w:eastAsia="zh-CN"/>
        </w:rPr>
        <w:t xml:space="preserve">  投标文件的</w:t>
      </w:r>
      <w:bookmarkEnd w:id="50"/>
      <w:r>
        <w:rPr>
          <w:rFonts w:ascii="Arial" w:eastAsia="宋体" w:hAnsi="Arial" w:hint="eastAsia"/>
          <w:b/>
          <w:kern w:val="2"/>
          <w:sz w:val="32"/>
          <w:lang w:eastAsia="zh-CN"/>
        </w:rPr>
        <w:t>递交</w:t>
      </w:r>
      <w:bookmarkEnd w:id="51"/>
      <w:bookmarkEnd w:id="52"/>
      <w:bookmarkEnd w:id="53"/>
      <w:bookmarkEnd w:id="54"/>
    </w:p>
    <w:p>
      <w:pPr>
        <w:widowControl/>
        <w:wordWrap w:val="0"/>
        <w:autoSpaceDE w:val="0"/>
        <w:autoSpaceDN w:val="0"/>
        <w:spacing w:line="400" w:lineRule="exact"/>
        <w:ind w:right="808" w:firstLine="420" w:firstLineChars="200"/>
        <w:jc w:val="both"/>
        <w:rPr>
          <w:rFonts w:eastAsia="宋体"/>
          <w:kern w:val="2"/>
          <w:sz w:val="21"/>
          <w:lang w:eastAsia="zh-CN"/>
        </w:rPr>
      </w:pPr>
      <w:bookmarkStart w:id="55"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6"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6"/>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7" w:name="第五章1"/>
      <w:bookmarkEnd w:id="57"/>
      <w:bookmarkStart w:id="58" w:name="_Toc100052391"/>
      <w:bookmarkStart w:id="59" w:name="_Toc73518144"/>
      <w:bookmarkStart w:id="60" w:name="_Toc101074881"/>
      <w:bookmarkStart w:id="61" w:name="_Toc13806"/>
      <w:bookmarkStart w:id="62" w:name="_Toc1658"/>
      <w:bookmarkStart w:id="63" w:name="_Toc73517666"/>
      <w:bookmarkStart w:id="64" w:name="_Toc14713"/>
      <w:bookmarkStart w:id="65" w:name="_Toc2041"/>
      <w:r>
        <w:rPr>
          <w:rFonts w:ascii="Arial" w:eastAsia="宋体" w:hAnsi="Arial" w:hint="eastAsia"/>
          <w:b/>
          <w:kern w:val="2"/>
          <w:sz w:val="32"/>
          <w:lang w:eastAsia="zh-CN"/>
        </w:rPr>
        <w:t>第五章</w:t>
      </w:r>
      <w:bookmarkStart w:id="66" w:name="_Toc4434"/>
      <w:r>
        <w:rPr>
          <w:rFonts w:ascii="Arial" w:eastAsia="宋体" w:hAnsi="Arial" w:hint="eastAsia"/>
          <w:b/>
          <w:kern w:val="2"/>
          <w:sz w:val="32"/>
          <w:lang w:eastAsia="zh-CN"/>
        </w:rPr>
        <w:t xml:space="preserve">  开标</w:t>
      </w:r>
      <w:bookmarkEnd w:id="58"/>
      <w:bookmarkEnd w:id="59"/>
      <w:bookmarkEnd w:id="60"/>
      <w:bookmarkEnd w:id="61"/>
      <w:bookmarkEnd w:id="62"/>
      <w:bookmarkEnd w:id="63"/>
      <w:bookmarkEnd w:id="64"/>
      <w:bookmarkEnd w:id="65"/>
      <w:bookmarkEnd w:id="66"/>
    </w:p>
    <w:p>
      <w:pPr>
        <w:widowControl/>
        <w:wordWrap w:val="0"/>
        <w:autoSpaceDE w:val="0"/>
        <w:autoSpaceDN w:val="0"/>
        <w:spacing w:line="400" w:lineRule="exact"/>
        <w:ind w:right="808" w:firstLine="420" w:firstLineChars="200"/>
        <w:jc w:val="both"/>
        <w:rPr>
          <w:rFonts w:eastAsia="宋体"/>
          <w:kern w:val="2"/>
          <w:sz w:val="21"/>
          <w:lang w:eastAsia="zh-CN"/>
        </w:rPr>
      </w:pPr>
      <w:bookmarkStart w:id="67" w:name="_Toc73518146"/>
      <w:bookmarkStart w:id="68" w:name="_Toc73517668"/>
      <w:bookmarkStart w:id="69" w:name="_Toc101074882"/>
      <w:bookmarkStart w:id="70"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7"/>
    <w:bookmarkEnd w:id="68"/>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1" w:name="第六章1"/>
      <w:bookmarkEnd w:id="71"/>
      <w:bookmarkStart w:id="72" w:name="_Toc7319"/>
      <w:bookmarkStart w:id="73" w:name="_Toc27869"/>
      <w:bookmarkStart w:id="74" w:name="_Toc20179"/>
      <w:bookmarkStart w:id="75" w:name="_Toc29197"/>
      <w:r>
        <w:rPr>
          <w:rFonts w:ascii="Arial" w:eastAsia="宋体" w:hAnsi="Arial" w:hint="eastAsia"/>
          <w:b/>
          <w:kern w:val="2"/>
          <w:sz w:val="32"/>
          <w:lang w:eastAsia="zh-CN"/>
        </w:rPr>
        <w:t>第六章</w:t>
      </w:r>
      <w:bookmarkStart w:id="76" w:name="_Toc29225"/>
      <w:r>
        <w:rPr>
          <w:rFonts w:ascii="Arial" w:eastAsia="宋体" w:hAnsi="Arial" w:hint="eastAsia"/>
          <w:b/>
          <w:kern w:val="2"/>
          <w:sz w:val="32"/>
          <w:lang w:eastAsia="zh-CN"/>
        </w:rPr>
        <w:t xml:space="preserve">  评审要求</w:t>
      </w:r>
      <w:bookmarkEnd w:id="69"/>
      <w:bookmarkEnd w:id="70"/>
      <w:bookmarkEnd w:id="72"/>
      <w:bookmarkEnd w:id="73"/>
      <w:bookmarkEnd w:id="74"/>
      <w:bookmarkEnd w:id="75"/>
      <w:bookmarkEnd w:id="76"/>
    </w:p>
    <w:p>
      <w:pPr>
        <w:widowControl/>
        <w:wordWrap w:val="0"/>
        <w:autoSpaceDE w:val="0"/>
        <w:autoSpaceDN w:val="0"/>
        <w:spacing w:line="400" w:lineRule="exact"/>
        <w:ind w:right="808" w:firstLine="420" w:firstLineChars="200"/>
        <w:jc w:val="both"/>
        <w:rPr>
          <w:rFonts w:eastAsia="宋体"/>
          <w:kern w:val="2"/>
          <w:sz w:val="21"/>
          <w:lang w:eastAsia="zh-CN"/>
        </w:rPr>
      </w:pPr>
      <w:bookmarkStart w:id="77" w:name="第七章1"/>
      <w:bookmarkEnd w:id="77"/>
      <w:bookmarkStart w:id="78" w:name="_Toc101074883"/>
      <w:bookmarkStart w:id="79" w:name="_Toc20125"/>
      <w:bookmarkStart w:id="80" w:name="_Toc19125"/>
      <w:bookmarkStart w:id="81" w:name="_Toc100052397"/>
      <w:bookmarkStart w:id="82" w:name="_Toc1296"/>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3"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3"/>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4" w:name="_Toc18761"/>
      <w:r>
        <w:rPr>
          <w:rFonts w:ascii="Arial" w:eastAsia="宋体" w:hAnsi="Arial" w:hint="eastAsia"/>
          <w:b/>
          <w:kern w:val="2"/>
          <w:sz w:val="32"/>
          <w:lang w:eastAsia="zh-CN"/>
        </w:rPr>
        <w:t>第七章</w:t>
      </w:r>
      <w:bookmarkStart w:id="85" w:name="_Toc26636"/>
      <w:r>
        <w:rPr>
          <w:rFonts w:ascii="Arial" w:eastAsia="宋体" w:hAnsi="Arial" w:hint="eastAsia"/>
          <w:b/>
          <w:kern w:val="2"/>
          <w:sz w:val="32"/>
          <w:lang w:eastAsia="zh-CN"/>
        </w:rPr>
        <w:t xml:space="preserve">  评审程序</w:t>
      </w:r>
      <w:bookmarkStart w:id="86" w:name="_Toc73518149"/>
      <w:bookmarkStart w:id="87" w:name="_Toc73517671"/>
      <w:r>
        <w:rPr>
          <w:rFonts w:ascii="Arial" w:eastAsia="宋体" w:hAnsi="Arial" w:hint="eastAsia"/>
          <w:b/>
          <w:kern w:val="2"/>
          <w:sz w:val="32"/>
          <w:lang w:eastAsia="zh-CN"/>
        </w:rPr>
        <w:t>及评审方法</w:t>
      </w:r>
      <w:bookmarkEnd w:id="78"/>
      <w:bookmarkEnd w:id="79"/>
      <w:bookmarkEnd w:id="80"/>
      <w:bookmarkEnd w:id="81"/>
      <w:bookmarkEnd w:id="82"/>
      <w:bookmarkEnd w:id="84"/>
      <w:bookmarkEnd w:id="85"/>
    </w:p>
    <w:bookmarkEnd w:id="86"/>
    <w:bookmarkEnd w:id="8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8"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8"/>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9" w:name="_Toc100052400"/>
      <w:bookmarkStart w:id="90" w:name="_Toc73517673"/>
      <w:bookmarkStart w:id="91" w:name="_Toc73518151"/>
      <w:bookmarkStart w:id="92" w:name="_Toc73521581"/>
      <w:bookmarkStart w:id="93" w:name="_Toc73521669"/>
      <w:r>
        <w:rPr>
          <w:rFonts w:eastAsia="宋体" w:hint="eastAsia"/>
          <w:kern w:val="2"/>
          <w:sz w:val="21"/>
          <w:lang w:eastAsia="zh-CN"/>
        </w:rPr>
        <w:t>34．错误的修正</w:t>
      </w:r>
      <w:bookmarkEnd w:id="89"/>
      <w:bookmarkEnd w:id="90"/>
      <w:bookmarkEnd w:id="91"/>
      <w:bookmarkEnd w:id="92"/>
      <w:bookmarkEnd w:id="9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4"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5" w:name="第八章1"/>
      <w:bookmarkEnd w:id="95"/>
      <w:bookmarkStart w:id="96" w:name="_Toc26094"/>
      <w:bookmarkStart w:id="97" w:name="_Toc30568"/>
      <w:bookmarkStart w:id="98" w:name="_Toc1513"/>
      <w:bookmarkStart w:id="99" w:name="_Toc13341"/>
      <w:r>
        <w:rPr>
          <w:rFonts w:ascii="Arial" w:eastAsia="宋体" w:hAnsi="Arial" w:hint="eastAsia"/>
          <w:b/>
          <w:kern w:val="2"/>
          <w:sz w:val="32"/>
          <w:lang w:eastAsia="zh-CN"/>
        </w:rPr>
        <w:t>第八章</w:t>
      </w:r>
      <w:bookmarkStart w:id="100" w:name="_Toc24537"/>
      <w:r>
        <w:rPr>
          <w:rFonts w:ascii="Arial" w:eastAsia="宋体" w:hAnsi="Arial" w:hint="eastAsia"/>
          <w:b/>
          <w:kern w:val="2"/>
          <w:sz w:val="32"/>
          <w:lang w:eastAsia="zh-CN"/>
        </w:rPr>
        <w:t xml:space="preserve">  定标及公示</w:t>
      </w:r>
      <w:bookmarkEnd w:id="96"/>
      <w:bookmarkEnd w:id="97"/>
      <w:bookmarkEnd w:id="98"/>
      <w:bookmarkEnd w:id="99"/>
      <w:bookmarkEnd w:id="10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1"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2"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3"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2"/>
      <w:bookmarkEnd w:id="103"/>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4"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4"/>
      <w:bookmarkStart w:id="105"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6"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7" w:name="_Hlk71407340"/>
      <w:r>
        <w:rPr>
          <w:rFonts w:eastAsia="宋体" w:hint="eastAsia"/>
          <w:kern w:val="2"/>
          <w:sz w:val="21"/>
          <w:lang w:eastAsia="zh-CN"/>
        </w:rPr>
        <w:t>41.3因质疑投诉或其它原因导致项目结果变更或采购终止的，采购代理机构有权吊销中标通知书。</w:t>
      </w:r>
    </w:p>
    <w:bookmarkEnd w:id="107"/>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8" w:name="第九章1"/>
      <w:bookmarkEnd w:id="108"/>
      <w:bookmarkStart w:id="109" w:name="_Toc11736"/>
      <w:bookmarkStart w:id="110" w:name="_Toc24474"/>
      <w:bookmarkStart w:id="111" w:name="_Toc25733"/>
      <w:bookmarkStart w:id="112" w:name="_Toc20277"/>
      <w:bookmarkStart w:id="113" w:name="_Toc17412"/>
      <w:bookmarkStart w:id="114" w:name="_Toc101074884"/>
      <w:bookmarkStart w:id="115" w:name="_Toc100052407"/>
      <w:bookmarkStart w:id="116" w:name="_Toc73517678"/>
      <w:r>
        <w:rPr>
          <w:rFonts w:ascii="Arial" w:eastAsia="宋体" w:hAnsi="Arial" w:hint="eastAsia"/>
          <w:b/>
          <w:kern w:val="2"/>
          <w:sz w:val="32"/>
          <w:lang w:eastAsia="zh-CN"/>
        </w:rPr>
        <w:t>第九章  公开采购失败的后续处理</w:t>
      </w:r>
      <w:bookmarkEnd w:id="109"/>
      <w:bookmarkEnd w:id="110"/>
      <w:bookmarkEnd w:id="111"/>
      <w:bookmarkEnd w:id="112"/>
      <w:bookmarkEnd w:id="11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4"/>
    <w:bookmarkEnd w:id="115"/>
    <w:bookmarkEnd w:id="116"/>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7" w:name="第十章1"/>
      <w:bookmarkEnd w:id="117"/>
      <w:bookmarkStart w:id="118" w:name="_Toc9122"/>
      <w:bookmarkStart w:id="119" w:name="_Toc26814"/>
      <w:bookmarkStart w:id="120" w:name="_Toc13677"/>
      <w:bookmarkStart w:id="121" w:name="_Toc26432"/>
      <w:bookmarkStart w:id="122" w:name="_Toc27904"/>
      <w:r>
        <w:rPr>
          <w:rFonts w:ascii="Arial" w:eastAsia="宋体" w:hAnsi="Arial" w:hint="eastAsia"/>
          <w:b/>
          <w:kern w:val="2"/>
          <w:sz w:val="32"/>
          <w:lang w:eastAsia="zh-CN"/>
        </w:rPr>
        <w:t>第十章  合同的授予与备案</w:t>
      </w:r>
      <w:bookmarkEnd w:id="118"/>
      <w:bookmarkEnd w:id="119"/>
      <w:bookmarkEnd w:id="120"/>
      <w:bookmarkEnd w:id="121"/>
      <w:bookmarkEnd w:id="122"/>
    </w:p>
    <w:p>
      <w:pPr>
        <w:widowControl/>
        <w:wordWrap w:val="0"/>
        <w:autoSpaceDE w:val="0"/>
        <w:autoSpaceDN w:val="0"/>
        <w:spacing w:line="400" w:lineRule="exact"/>
        <w:ind w:right="808" w:firstLine="420" w:firstLineChars="200"/>
        <w:jc w:val="both"/>
        <w:rPr>
          <w:rFonts w:eastAsia="宋体"/>
          <w:kern w:val="2"/>
          <w:sz w:val="21"/>
          <w:lang w:eastAsia="zh-CN"/>
        </w:rPr>
      </w:pPr>
      <w:bookmarkStart w:id="123" w:name="_33._合同授予标准"/>
      <w:bookmarkEnd w:id="123"/>
      <w:bookmarkStart w:id="124" w:name="_Toc73518157"/>
      <w:bookmarkStart w:id="125" w:name="_Toc73521674"/>
      <w:bookmarkStart w:id="126" w:name="_Toc73517679"/>
      <w:bookmarkStart w:id="127" w:name="_Toc100052408"/>
      <w:bookmarkStart w:id="128" w:name="_Toc73521586"/>
      <w:bookmarkStart w:id="129" w:name="_Hlk72439088"/>
      <w:r>
        <w:rPr>
          <w:rFonts w:eastAsia="宋体" w:hint="eastAsia"/>
          <w:kern w:val="2"/>
          <w:sz w:val="21"/>
          <w:lang w:eastAsia="zh-CN"/>
        </w:rPr>
        <w:t>43．合同授予标准</w:t>
      </w:r>
      <w:bookmarkEnd w:id="124"/>
      <w:bookmarkEnd w:id="125"/>
      <w:bookmarkEnd w:id="126"/>
      <w:bookmarkEnd w:id="127"/>
      <w:bookmarkEnd w:id="12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0" w:name="_Toc73521587"/>
      <w:bookmarkStart w:id="131" w:name="_Toc73521675"/>
      <w:bookmarkStart w:id="132" w:name="_Toc73517680"/>
      <w:bookmarkStart w:id="133" w:name="_Toc100052409"/>
      <w:bookmarkStart w:id="134" w:name="_Toc73518158"/>
      <w:r>
        <w:rPr>
          <w:rFonts w:eastAsia="宋体" w:hint="eastAsia"/>
          <w:kern w:val="2"/>
          <w:sz w:val="21"/>
          <w:lang w:eastAsia="zh-CN"/>
        </w:rPr>
        <w:t>44．</w:t>
      </w:r>
      <w:bookmarkEnd w:id="130"/>
      <w:bookmarkEnd w:id="131"/>
      <w:bookmarkEnd w:id="132"/>
      <w:bookmarkEnd w:id="133"/>
      <w:bookmarkEnd w:id="134"/>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5" w:name="_Toc73517682"/>
      <w:bookmarkStart w:id="136" w:name="_Toc73518160"/>
      <w:bookmarkStart w:id="137" w:name="_Toc73521589"/>
      <w:bookmarkStart w:id="138" w:name="_Toc100052410"/>
      <w:bookmarkStart w:id="139" w:name="_Toc73521677"/>
      <w:r>
        <w:rPr>
          <w:rFonts w:eastAsia="宋体" w:hint="eastAsia"/>
          <w:kern w:val="2"/>
          <w:sz w:val="21"/>
          <w:lang w:eastAsia="zh-CN"/>
        </w:rPr>
        <w:t>45．合同的签订</w:t>
      </w:r>
      <w:bookmarkEnd w:id="135"/>
      <w:bookmarkEnd w:id="136"/>
      <w:bookmarkEnd w:id="137"/>
      <w:bookmarkEnd w:id="138"/>
      <w:bookmarkEnd w:id="13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0" w:name="_Toc100052411"/>
      <w:bookmarkStart w:id="141" w:name="_Toc73521678"/>
      <w:bookmarkStart w:id="142" w:name="_Toc73521590"/>
      <w:bookmarkStart w:id="143" w:name="_Toc73518161"/>
      <w:bookmarkStart w:id="144" w:name="_Toc73517683"/>
      <w:r>
        <w:rPr>
          <w:rFonts w:eastAsia="宋体" w:hint="eastAsia"/>
          <w:kern w:val="2"/>
          <w:sz w:val="21"/>
          <w:lang w:eastAsia="zh-CN"/>
        </w:rPr>
        <w:t>46．履约担保</w:t>
      </w:r>
      <w:bookmarkEnd w:id="140"/>
      <w:bookmarkEnd w:id="141"/>
      <w:bookmarkEnd w:id="142"/>
      <w:bookmarkEnd w:id="143"/>
      <w:bookmarkEnd w:id="14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5" w:name="_Hlk72440769"/>
      <w:r>
        <w:rPr>
          <w:rFonts w:eastAsia="宋体" w:hint="eastAsia"/>
          <w:kern w:val="2"/>
          <w:sz w:val="21"/>
          <w:lang w:eastAsia="zh-CN"/>
        </w:rPr>
        <w:t>采购代理机构或采购人不予退还其交纳的谈判保证金，情节严重的，并由主管部门</w:t>
      </w:r>
      <w:bookmarkEnd w:id="145"/>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9"/>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6" w:name="_Toc19433"/>
      <w:r>
        <w:rPr>
          <w:rFonts w:ascii="Arial" w:eastAsia="宋体" w:hAnsi="Arial" w:hint="eastAsia"/>
          <w:b/>
          <w:kern w:val="2"/>
          <w:sz w:val="32"/>
          <w:lang w:eastAsia="zh-CN"/>
        </w:rPr>
        <w:t>第十一章  质疑处理</w:t>
      </w:r>
      <w:bookmarkEnd w:id="14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7" w:name="_Hlk75374941"/>
      <w:r>
        <w:rPr>
          <w:rFonts w:eastAsia="宋体" w:hint="eastAsia"/>
          <w:kern w:val="2"/>
          <w:sz w:val="21"/>
          <w:lang w:eastAsia="zh-CN"/>
        </w:rPr>
        <w:t>以联合体形式参与的，质疑应当由组成联合体的所有成员共同提出</w:t>
      </w:r>
      <w:bookmarkEnd w:id="147"/>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pgBorders>
            <w:top w:val="none" w:sz="0" w:space="0" w:color="auto"/>
            <w:left w:val="none" w:sz="0" w:space="0" w:color="auto"/>
            <w:bottom w:val="none" w:sz="0" w:space="0" w:color="auto"/>
            <w:right w:val="none" w:sz="0" w:space="0" w:color="auto"/>
          </w:pgBorders>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深圳市龙华区中心医院热敏纸采购项目-A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应急保障方案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网点服务响应时间配送时效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投标人资质证明</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配套能力保障</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LHAZXDL-2024-00182-001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深圳市龙华区中心医院热敏纸采购项目-A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具有独立法人资格或是具有独立承担民事责任能力的其他组织（提供营业执照或事业单位法人证书等证明资料扫描件，原件备查）；：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具有独立法人资格或是具有独立承担民事责任能力的其他组织（提供营业执照或事业单位法人证书等证明资料扫描件，原件备查）；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本项目不接受联合体投标（由供应商在《政府采购投标及履约承诺函》中作出声明），是否接受投标人选用进口产品参与投标详见招标文件货物需求明细”表；：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本项目不接受联合体投标（由供应商在《政府采购投标及履约承诺函》中作出声明），是否接受投标人选用进口产品参与投标详见招标文件货物需求明细”表；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代理机构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代理机构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本项目不属于专门面向中小微企业采购项目。</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投标人根据本项目提供项目实施方案，内容包括： 1）供货服务方案； 2）供货配送计划； 3）货物质量保障措施。 （二）评分依据： 每提供以上1项内容得10分，最高得30分。在此基础上，专家根据各供应商的具体响应内容进一步评审： （1）内容针对性强，全面具体，科学合理，可操作性强，评审为优，得70分； （2）内容针对性较强，较全面具体，较科学合理，可操作性较强，评审为良，得40分； （3）内容针对性一般，基本全面，合理性及可操作性一般，评审为中，得10分； （4）内容针对性差，不全面不具体，合理性及可操作性差，评审为差，不得分； （5）未提供项目实施方案，不得分。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投标人根据本项目提供售后服务方案，内容包括： 1）所有产品均支持七天无理由退换； 2）退换货流程； 3）投诉事件分级及处理细则； 4）对账管理方案。 （二）评分依据： 每提供以上1项内容得10分，最高得40分。在此基础上，专家根据各供应商的具体响应内容进一步评审： （1）内容针对性强，全面具体，科学合理，可操作性强，评审为优，得60分； （2）内容针对性较强，较全面具体，较科学合理，可操作性较强，评审为良，得20分； （3）内容针对性一般，基本全面，合理性及可操作性一般，评审为中，得10分； （4）内容针对性差，不全面不具体，合理性及可操作性差，评审为差，不得分； （5）未提供售后服务方案，不得分。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应急保障方案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投标人根据本项目提供应急保障方案，内容包括： 1）临时紧急配送方案； 2）恶劣天气配送方案； 3）周末及节假日供货方案； 4）质量不符合要求的货物更换方案。 （二）评分依据： 每提供以上1项内容得10分，最高得40分。在此基础上，专家根据各供应商的具体响应内容进一步评审： （1）内容针对性强，全面具体，科学合理，可操作性强，评审为优，得60分； （2）内容针对性较强，较全面具体，较科学合理，可操作性较强，评审为良，得20分； （3）内容针对性一般，基本全面，合理性及可操作性一般，评审为中，得10分； （4）内容针对性差，不全面不具体，合理性及可操作性差，评审为差，不得分； （5）未提供应急保障方案，不得分。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1.承诺提供的热敏纸货物按最新执行标准GBT 28210-2024执行； 2.如提供的货物质量不符合要求或存在问题，免费退换并承担赔偿责任。 （二）评分依据： 投标人承诺以上全部2项得100分，要求提供违约承诺函（格式自定）作为得分依据，未提供承诺函或承诺内容不满足要求的不得分。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样板质量</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评审委员会对投标人提供的样品进行综合评审打分： 1、投标人提供符合要求的样品得10分，不提供样品不得分，样品不合格不得分。 ①样品名称：热敏纸1；数量要求1卷； ②样品名称：热敏纸不干胶1，数量要求1卷。 2、在此基础上，评标委员会对各供应商提供的样品按以下标准进行评分： （1）优评分标准：样品材质和工艺质量好的，加90分； （2）良评分标准：样品材质和工艺质量较好的，加50分； （3）中评分标准：样品材质和工艺质量一般的，加10分； （4）差评分标准：样品材质和工艺质量差的，不加分。 以上累计最高得100分。 注意事项：（提交时间：开标当日140000—143000，联系方式：许工 0755-21075754，提交地点：深圳市龙华区和平路21号振华时代广场8层802）；递交人需提交法定法定代表人授权委托书（盖公章）和授权委托人身份证原件，样品上应当标注项目名称及项目编号、样品编号、样品名称”等信息。</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网点服务响应时间配送时效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根据采购方物品清单日常下单采购需求，承诺产品配送时效： 1、接到采购通知24小时内提供配送服务的，得100分； 2、接到通知48小时内提供配送服务的，得60分； 3、接到通知72小时内提供服务的，得20分。 （二）评分依据： 投标人承诺产品配送时效，要求提供产品配送承诺函（格式自定）作为得分依据，未提供承诺函或承诺内容不满足要求的不得分。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评审委员会根据《技术要求偏离表》（以下简称偏离表”）响应情况进行打分，全部满足的得100分，一般参数每负偏离一项扣1分，重点技术参数▲项每负偏离一项扣10分，扣完为止。 证明文件： 偏离表应如实对应填写所投产品的具体参数。如要求提供厂家网站截图说明书厂家出具的参数文件检验报告”等证明资料的，需按要求提供相关证明资料；提供的证明资料与所填写内容不一致的，以证明资料为准，原件备查。证明材料不能满足招标要求的，该项按负偏离处理。未按上述要求提供相关材料或无法凭所提供资料判断是否得分的或证明材料不清晰导致无法识别的，均不得相应分数。</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投标人资质证明</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1、投标人须提供相关部门颁发的印刷经营许可证，得100分。 （二）评分依据： 要求提供有效的证书扫描件，原件备查，评分中出现无证明资料或证书过期或专家无法凭所提供资料判断是否得分的情况，一律作不得分处理。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投标人自2022年1月1日至本项目投标截止之日止所签订的同类业绩项目合同（以合同签订日期为准），每提供1个同类业绩得20分，最高得100分。 备注：同一个采购人（合同甲方）只计为一份业绩。 （二）评分依据： 要求提供合同关键信息（包括但不限于合同标的、签订时间、双方签章页）作为得分依据，通过合同关键信息无法判断是否得分的，还须同时提供能证明得分的其它证明资料，如合同甲方出具的证明文件或项目报告。 备注：以上资料均要求提供扫描件，原件备查，评分中出现无证明资料或证书过期或专家无法凭所提供资料判断是否得分的情况，一律作不得分处理。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配套能力保障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1、投标人有固定的库存仓库能力保障情况： ①仓库面积≧200 平方米，得 40分； ②100 平方米≤仓库面积＜200 平方米，得20分； ③仓库面积＜100 平方米，得 10分； 2、投标人为此项目拟投入专用车辆数量情况： ①专用运输车辆≧3辆，得60分； ②2 辆≤专用运输车辆＜3 辆，得 40分； ③专用运输车辆＜2 辆，得 20 分； 没有或者其他情况不得分。 （二）评分依据： 1、要求提供租赁合同或自有产权证明，如为租赁性质需再提供近三个月的每个月转账凭证以及对应的租金发票扫描件，提供不齐全的不得分。 2、要求提供的车辆需适用于载货物，若提供自有车辆的，车辆需登记在投标人名下的，需提供有效的行驶证扫描件、车辆全身照（包括车辆内部照）等作为证明材料，提供法人或股东名下车辆不得分。若提供车辆租赁合同的，其租赁合同采购方为投标人，提供有效的车辆行驶证、车辆实拍全身图片（包括车辆内部照）、租赁合同、近三个月的每个月租赁转账凭证及对应的租金发票扫描件，车辆行驶证上所有人需与出租方名称一致，提供不齐全的不得分。 3、如投标人为新成立且成立时间不足三个月的，需提供成立月的次月至开标日期间的上述1和2要求的相关证明文件。 4、以上证明文件均提供扫描件，未提供完整证明材料或提供不清晰导致评委无法识别的，均不得分。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 （二）评分依据： 查询渠道：通过信用中国”、中国政府采购网”（www.ccgp.gov.cn）以及深圳市政府采购监管网”（httpzfcg.sz.gov.cn）查询供应商信用信息，信用信息以代理机构开标当日的查询结果为准。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投标报价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C586F70F"/>
    <w:multiLevelType w:val="singleLevel"/>
    <w:tmpl w:val="C586F70F"/>
    <w:lvl w:ilvl="0">
      <w:start w:val="11"/>
      <w:numFmt w:val="chineseCounting"/>
      <w:suff w:val="nothing"/>
      <w:lvlText w:val="%1、"/>
      <w:lvlJc w:val="left"/>
      <w:rPr>
        <w:rFonts w:hint="eastAsia"/>
      </w:rPr>
    </w:lvl>
  </w:abstractNum>
  <w:abstractNum w:abstractNumId="3">
    <w:nsid w:val="721CBBE0"/>
    <w:multiLevelType w:val="singleLevel"/>
    <w:tmpl w:val="721CBBE0"/>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