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widowControl/>
        <w:spacing w:before="0" w:beforeAutospacing="1" w:after="0" w:afterAutospacing="1"/>
        <w:jc w:val="center"/>
        <w:outlineLvl w:val="0"/>
        <w:rPr>
          <w:rFonts w:ascii="黑体" w:eastAsia="黑体" w:hAnsi="宋体" w:cs="黑体" w:hint="eastAsia"/>
          <w:sz w:val="40"/>
          <w:szCs w:val="40"/>
          <w:lang w:eastAsia="zh-CN"/>
        </w:rPr>
      </w:pPr>
      <w:r>
        <w:rPr>
          <w:rFonts w:ascii="黑体" w:eastAsia="黑体" w:hAnsi="宋体" w:cs="黑体" w:hint="eastAsia"/>
          <w:sz w:val="40"/>
          <w:szCs w:val="40"/>
          <w:lang w:eastAsia="zh-CN"/>
        </w:rPr>
        <w:t>招标文件信息</w:t>
      </w:r>
    </w:p>
    <w:p>
      <w:pPr>
        <w:widowControl w:val="0"/>
        <w:tabs>
          <w:tab w:val="left" w:pos="2790"/>
        </w:tabs>
        <w:snapToGrid w:val="0"/>
        <w:jc w:val="center"/>
        <w:outlineLvl w:val="0"/>
        <w:rPr>
          <w:rFonts w:ascii="黑体" w:eastAsia="黑体" w:hAnsi="黑体" w:hint="eastAsia"/>
          <w:kern w:val="2"/>
          <w:sz w:val="40"/>
          <w:szCs w:val="40"/>
          <w:lang w:eastAsia="zh-CN"/>
        </w:rPr>
      </w:pP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项目编号：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LHAZXDL-2024-00182</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项目名称：</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深圳市龙华区中心医院热敏纸采购项目</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包号：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A</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货物类</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采购方式：</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公开招标</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货币类型：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人民币</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评标方法：</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综合评分法</w:t>
      </w:r>
    </w:p>
    <w:p>
      <w:pPr>
        <w:widowControl w:val="0"/>
        <w:tabs>
          <w:tab w:val="left" w:pos="2790"/>
        </w:tabs>
        <w:snapToGrid w:val="0"/>
        <w:jc w:val="both"/>
        <w:outlineLvl w:val="9"/>
        <w:rPr>
          <w:rFonts w:ascii="宋体" w:eastAsia="宋体" w:hAnsi="宋体" w:cs="宋体" w:hint="eastAsia"/>
          <w:kern w:val="2"/>
          <w:sz w:val="32"/>
          <w:szCs w:val="32"/>
          <w:lang w:eastAsia="zh-CN"/>
        </w:rPr>
      </w:pPr>
    </w:p>
    <w:p>
      <w:pPr>
        <w:widowControl w:val="0"/>
        <w:spacing w:line="360" w:lineRule="auto"/>
        <w:jc w:val="both"/>
        <w:rPr>
          <w:rFonts w:ascii="Calibri" w:eastAsia="宋体" w:hAnsi="Calibri" w:hint="eastAsia"/>
          <w:b/>
          <w:bCs/>
          <w:kern w:val="2"/>
          <w:szCs w:val="22"/>
          <w:lang w:eastAsia="zh-CN"/>
        </w:rPr>
      </w:pPr>
    </w:p>
    <w:p>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56"/>
        <w:gridCol w:w="8100"/>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序号</w:t>
            </w:r>
          </w:p>
        </w:tc>
        <w:tc>
          <w:tcPr>
            <w:tcW w:w="8669"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1</w:t>
            </w:r>
          </w:p>
        </w:tc>
        <w:tc>
          <w:tcPr>
            <w:tcW w:w="8669"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both"/>
              <w:rPr>
                <w:rFonts w:ascii="宋体" w:eastAsia="宋体" w:hAnsi="宋体" w:cs="宋体"/>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资格要求，或未提交相应的资格证明资料（详见招标公告</w:t>
            </w:r>
            <w:r>
              <w:rPr>
                <w:rFonts w:ascii="宋体" w:eastAsia="宋体" w:hAnsi="宋体" w:hint="eastAsia"/>
                <w:kern w:val="2"/>
                <w:sz w:val="21"/>
                <w:szCs w:val="21"/>
                <w:lang w:eastAsia="zh-CN"/>
              </w:rPr>
              <w:t>投标人资格要求，即申请人的资格要求</w:t>
            </w:r>
            <w:r>
              <w:rPr>
                <w:rFonts w:ascii="宋体" w:eastAsia="宋体" w:hAnsi="宋体" w:cs="宋体"/>
                <w:sz w:val="21"/>
                <w:szCs w:val="21"/>
                <w:lang w:eastAsia="zh-CN"/>
              </w:rPr>
              <w:t>）。</w:t>
            </w:r>
          </w:p>
        </w:tc>
      </w:tr>
    </w:tbl>
    <w:p>
      <w:pPr>
        <w:widowControl w:val="0"/>
        <w:tabs>
          <w:tab w:val="left" w:pos="2790"/>
        </w:tabs>
        <w:snapToGrid w:val="0"/>
        <w:jc w:val="center"/>
        <w:rPr>
          <w:rFonts w:ascii="黑体" w:eastAsia="黑体" w:hAnsi="黑体"/>
          <w:kern w:val="2"/>
          <w:sz w:val="40"/>
          <w:szCs w:val="40"/>
          <w:lang w:eastAsia="zh-CN"/>
        </w:rPr>
      </w:pPr>
    </w:p>
    <w:p>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47"/>
        <w:gridCol w:w="8109"/>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序号</w:t>
            </w:r>
          </w:p>
        </w:tc>
        <w:tc>
          <w:tcPr>
            <w:tcW w:w="8647"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不得将一个包的内容拆开投标；</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对同一项目投标时，不得提供两套以上的投标方案（招标文件另有规定的除外）；</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3</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分项报价或投标总价不得高于</w:t>
            </w:r>
            <w:bookmarkStart w:id="0" w:name="_Hlk71832186"/>
            <w:r>
              <w:rPr>
                <w:rFonts w:ascii="宋体" w:eastAsia="宋体" w:hAnsi="宋体" w:cstheme="minorBidi" w:hint="eastAsia"/>
                <w:kern w:val="2"/>
                <w:sz w:val="21"/>
                <w:szCs w:val="21"/>
                <w:lang w:eastAsia="zh-CN"/>
              </w:rPr>
              <w:t>相应预算金额（或设定的预算金额下的最高限价）</w:t>
            </w:r>
            <w:bookmarkEnd w:id="0"/>
            <w:r>
              <w:rPr>
                <w:rFonts w:ascii="宋体" w:eastAsia="宋体" w:hAnsi="宋体" w:cstheme="minorBidi" w:hint="eastAsia"/>
                <w:kern w:val="2"/>
                <w:sz w:val="21"/>
                <w:szCs w:val="21"/>
                <w:lang w:eastAsia="zh-CN"/>
              </w:rPr>
              <w:t>；</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4</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5</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6</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未按招标文件所提供的样式填写《投标函》、《股东构成审查表》；未按招标文件所提供的《政府采购投标及履约承诺函》进行承诺；未按招标文件对投标文件组成的要求提供投标文件；</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7</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采购标的/所投产品/货物清单/报价等任意一类有缺漏项或响应不全，或者对招标文件规定的项目需求内容或者需求数量进行修改，评审委员会判定投标响应不满足采购需求；</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8</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投标文件电子文档不得带病毒；</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9</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投标文件用不属于本公司的电子密钥进行加密的；</w:t>
            </w:r>
          </w:p>
        </w:tc>
      </w:tr>
      <w:tr>
        <w:tblPrEx>
          <w:tblW w:w="5000" w:type="pct"/>
          <w:jc w:val="center"/>
          <w:tblLayout w:type="fixed"/>
          <w:tblCellMar>
            <w:top w:w="20" w:type="dxa"/>
            <w:left w:w="108" w:type="dxa"/>
            <w:bottom w:w="20" w:type="dxa"/>
            <w:right w:w="108" w:type="dxa"/>
          </w:tblCellMar>
        </w:tblPrEx>
        <w:trPr>
          <w:trHeight w:val="280"/>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10</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不同投标供应商投标文件“文件制作机器码”一致；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11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不同投标供应商投标文件“文件创建标识码”一致；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12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法律、法规、规章、规范性文件规定的其他情形。</w:t>
            </w:r>
          </w:p>
        </w:tc>
      </w:tr>
    </w:tbl>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spacing w:before="100" w:beforeAutospacing="1" w:afterAutospacing="1"/>
        <w:jc w:val="center"/>
        <w:outlineLvl w:val="0"/>
        <w:rPr>
          <w:rFonts w:ascii="黑体" w:eastAsia="黑体" w:hAnsi="宋体"/>
          <w:kern w:val="2"/>
          <w:sz w:val="40"/>
          <w:szCs w:val="40"/>
          <w:lang w:eastAsia="zh-CN"/>
        </w:rPr>
      </w:pPr>
      <w:r>
        <w:rPr>
          <w:rFonts w:ascii="黑体" w:eastAsia="黑体" w:hAnsi="黑体" w:cstheme="minorBidi" w:hint="eastAsia"/>
          <w:kern w:val="2"/>
          <w:sz w:val="40"/>
          <w:szCs w:val="40"/>
          <w:lang w:eastAsia="zh-CN"/>
        </w:rPr>
        <w:t>评标信息</w:t>
      </w:r>
    </w:p>
    <w:tbl>
      <w:tblPr>
        <w:tblStyle w:val="TableNormal"/>
        <w:tblW w:w="5000" w:type="pct"/>
        <w:jc w:val="center"/>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5" w:type="dxa"/>
          <w:left w:w="45" w:type="dxa"/>
          <w:bottom w:w="45" w:type="dxa"/>
          <w:right w:w="45" w:type="dxa"/>
        </w:tblCellMar>
      </w:tblPr>
      <w:tblGrid>
        <w:gridCol w:w="8730"/>
      </w:tblGrid>
      <w:tr>
        <w:tblPrEx>
          <w:tblW w:w="5000" w:type="pct"/>
          <w:jc w:val="center"/>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5" w:type="dxa"/>
            <w:left w:w="45" w:type="dxa"/>
            <w:bottom w:w="45" w:type="dxa"/>
            <w:right w:w="45" w:type="dxa"/>
          </w:tblCellMar>
        </w:tblPrEx>
        <w:trPr>
          <w:tblCellSpacing w:w="0" w:type="dxa"/>
          <w:jc w:val="center"/>
        </w:trPr>
        <w:tc>
          <w:tcPr>
            <w:tcW w:w="8668" w:type="dxa"/>
            <w:shd w:val="clear" w:color="auto" w:fill="auto"/>
            <w:vAlign w:val="center"/>
          </w:tcPr>
          <w:p>
            <w:pPr>
              <w:widowControl w:val="0"/>
              <w:jc w:val="left"/>
              <w:rPr>
                <w:rFonts w:ascii="宋体" w:eastAsia="宋体" w:hAnsi="Calibri"/>
                <w:b/>
                <w:bCs/>
                <w:kern w:val="2"/>
                <w:szCs w:val="22"/>
                <w:lang w:eastAsia="zh-CN"/>
              </w:rPr>
            </w:pPr>
            <w:r>
              <w:rPr>
                <w:rFonts w:ascii="Calibri" w:eastAsia="宋体" w:hAnsi="Calibri" w:cstheme="minorBidi"/>
                <w:b/>
                <w:bCs/>
                <w:kern w:val="2"/>
                <w:sz w:val="21"/>
                <w:szCs w:val="22"/>
                <w:lang w:eastAsia="zh-CN"/>
              </w:rPr>
              <w:t>评标方法：综合评分法</w:t>
            </w:r>
          </w:p>
        </w:tc>
      </w:tr>
      <w:tr>
        <w:tblPrEx>
          <w:tblW w:w="5000" w:type="pct"/>
          <w:jc w:val="center"/>
          <w:tblCellSpacing w:w="0" w:type="dxa"/>
          <w:tblLayout w:type="fixed"/>
          <w:tblCellMar>
            <w:top w:w="45" w:type="dxa"/>
            <w:left w:w="45" w:type="dxa"/>
            <w:bottom w:w="45" w:type="dxa"/>
            <w:right w:w="45" w:type="dxa"/>
          </w:tblCellMar>
        </w:tblPrEx>
        <w:trPr>
          <w:tblCellSpacing w:w="0" w:type="dxa"/>
          <w:jc w:val="center"/>
        </w:trPr>
        <w:tc>
          <w:tcPr>
            <w:tcW w:w="8668" w:type="dxa"/>
            <w:shd w:val="clear" w:color="auto" w:fill="auto"/>
            <w:vAlign w:val="center"/>
          </w:tcPr>
          <w:p>
            <w:pPr>
              <w:widowControl w:val="0"/>
              <w:ind w:firstLine="420"/>
              <w:jc w:val="both"/>
              <w:rPr>
                <w:rFonts w:ascii="Calibri" w:eastAsia="宋体" w:hAnsi="Calibri"/>
                <w:kern w:val="2"/>
                <w:sz w:val="21"/>
                <w:szCs w:val="21"/>
                <w:lang w:eastAsia="zh-CN"/>
              </w:rPr>
            </w:pPr>
            <w:r>
              <w:rPr>
                <w:rFonts w:ascii="Calibri" w:eastAsia="宋体" w:hAnsi="Calibri" w:cstheme="minorBidi"/>
                <w:kern w:val="2"/>
                <w:sz w:val="21"/>
                <w:szCs w:val="21"/>
                <w:lang w:eastAsia="zh-CN"/>
              </w:rPr>
              <w:t>综合评分法，</w:t>
            </w:r>
            <w:r>
              <w:rPr>
                <w:rFonts w:ascii="Calibri" w:eastAsia="宋体" w:hAnsi="Calibri" w:cstheme="minorBidi" w:hint="eastAsia"/>
                <w:kern w:val="2"/>
                <w:sz w:val="21"/>
                <w:szCs w:val="21"/>
                <w:lang w:eastAsia="zh-CN"/>
              </w:rPr>
              <w:t>是指投标文件满足招标文件全部实质性要求，且按照评审因素的量化指标评审得分排名前列</w:t>
            </w:r>
            <w:r>
              <w:rPr>
                <w:rFonts w:ascii="Calibri" w:eastAsia="宋体" w:hAnsi="Calibri" w:cstheme="minorBidi"/>
                <w:kern w:val="2"/>
                <w:sz w:val="21"/>
                <w:szCs w:val="21"/>
                <w:lang w:eastAsia="zh-CN"/>
              </w:rPr>
              <w:t>的投标人为中标候选人的评标方法。</w:t>
            </w:r>
          </w:p>
          <w:p>
            <w:pPr>
              <w:widowControl w:val="0"/>
              <w:ind w:firstLine="420"/>
              <w:jc w:val="both"/>
              <w:rPr>
                <w:rFonts w:ascii="Calibri" w:eastAsia="宋体" w:hAnsi="Calibri"/>
                <w:kern w:val="2"/>
                <w:sz w:val="21"/>
                <w:szCs w:val="22"/>
                <w:lang w:eastAsia="zh-CN"/>
              </w:rPr>
            </w:pPr>
          </w:p>
          <w:p>
            <w:pPr>
              <w:widowControl w:val="0"/>
              <w:ind w:firstLine="420"/>
              <w:jc w:val="both"/>
              <w:rPr>
                <w:rFonts w:ascii="Calibri" w:eastAsia="宋体" w:hAnsi="Calibri"/>
                <w:kern w:val="2"/>
                <w:sz w:val="21"/>
                <w:szCs w:val="21"/>
                <w:lang w:eastAsia="zh-CN"/>
              </w:rPr>
            </w:pPr>
            <w:r>
              <w:rPr>
                <w:rFonts w:ascii="Calibri" w:eastAsia="宋体" w:hAnsi="Calibri" w:cstheme="minorBidi"/>
                <w:kern w:val="2"/>
                <w:sz w:val="21"/>
                <w:szCs w:val="21"/>
                <w:lang w:eastAsia="zh-CN"/>
              </w:rPr>
              <w:t>价格分计算方法：</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采用低价优先法计算，即满足招标文件要求且投标价格最低的投标报价为评标基准价，其价格分为满分。其他投标人的价格分统一按照下列公式计算：</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投标报价得分=(评标基准价／投标报价)×100</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评标总得分＝F1×A1＋F2×A2＋……＋Fn×An</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F1、F2……Fn分别为各项评审因素的得分；</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A1、A2、……An分别为各项评审因素所占的权重(A1＋A2＋……＋An＝1)。</w:t>
            </w:r>
          </w:p>
          <w:p>
            <w:pPr>
              <w:widowControl/>
              <w:spacing w:before="100" w:beforeAutospacing="0" w:afterAutospacing="0"/>
              <w:ind w:left="420"/>
              <w:jc w:val="left"/>
              <w:rPr>
                <w:rFonts w:ascii="宋体" w:eastAsia="宋体" w:hAnsi="宋体"/>
                <w:kern w:val="2"/>
                <w:sz w:val="21"/>
                <w:szCs w:val="21"/>
                <w:lang w:eastAsia="zh-CN"/>
              </w:rPr>
            </w:pPr>
            <w:r>
              <w:rPr>
                <w:rFonts w:ascii="宋体" w:eastAsia="宋体" w:hAnsi="宋体" w:cstheme="minorBidi"/>
                <w:kern w:val="2"/>
                <w:sz w:val="21"/>
                <w:szCs w:val="21"/>
                <w:lang w:eastAsia="zh-CN"/>
              </w:rPr>
              <w:t>评标过程中，不得去掉报价中的最高报价和最低报价。</w:t>
            </w:r>
          </w:p>
          <w:p>
            <w:pPr>
              <w:widowControl/>
              <w:spacing w:before="100" w:beforeAutospacing="0" w:afterAutospacing="0"/>
              <w:ind w:left="420"/>
              <w:jc w:val="left"/>
              <w:rPr>
                <w:rFonts w:ascii="宋体" w:eastAsia="宋体" w:hAnsi="宋体"/>
                <w:kern w:val="2"/>
                <w:lang w:eastAsia="zh-CN"/>
              </w:rPr>
            </w:pPr>
            <w:r>
              <w:rPr>
                <w:rFonts w:ascii="宋体" w:eastAsia="宋体" w:hAnsi="宋体" w:cstheme="minorBidi" w:hint="eastAsia"/>
                <w:kern w:val="2"/>
                <w:sz w:val="21"/>
                <w:szCs w:val="21"/>
                <w:lang w:eastAsia="zh-CN"/>
              </w:rPr>
              <w:t>因落实政府采购政策进行价格调整的，以调整后的价格计算评标基准价和投标报价。</w:t>
            </w:r>
          </w:p>
        </w:tc>
      </w:tr>
    </w:tbl>
    <w:tbl>
      <w:tblPr>
        <w:tblStyle w:val="TableNormal"/>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73"/>
        <w:gridCol w:w="683"/>
        <w:gridCol w:w="13"/>
        <w:gridCol w:w="1540"/>
        <w:gridCol w:w="1107"/>
        <w:gridCol w:w="494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0"/>
          <w:jc w:val="center"/>
        </w:trPr>
        <w:tc>
          <w:tcPr>
            <w:tcW w:w="560"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sz w:val="21"/>
                <w:szCs w:val="21"/>
              </w:rPr>
            </w:pPr>
            <w:r>
              <w:rPr>
                <w:rFonts w:ascii="宋体" w:eastAsia="宋体" w:hAnsi="宋体" w:cs="宋体" w:hint="eastAsia"/>
                <w:b/>
                <w:bCs/>
                <w:sz w:val="21"/>
                <w:szCs w:val="21"/>
              </w:rPr>
              <w:t>序号</w:t>
            </w:r>
          </w:p>
        </w:tc>
        <w:tc>
          <w:tcPr>
            <w:tcW w:w="3267" w:type="dxa"/>
            <w:gridSpan w:val="4"/>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sz w:val="21"/>
                <w:szCs w:val="21"/>
              </w:rPr>
            </w:pPr>
            <w:r>
              <w:rPr>
                <w:rFonts w:ascii="宋体" w:eastAsia="宋体" w:hAnsi="宋体" w:cs="宋体" w:hint="eastAsia"/>
                <w:b/>
                <w:bCs/>
                <w:sz w:val="21"/>
                <w:szCs w:val="21"/>
              </w:rPr>
              <w:t>评分项</w:t>
            </w:r>
          </w:p>
        </w:tc>
        <w:tc>
          <w:tcPr>
            <w:tcW w:w="4827"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sz w:val="21"/>
                <w:szCs w:val="21"/>
              </w:rPr>
            </w:pPr>
            <w:r>
              <w:rPr>
                <w:rFonts w:ascii="宋体" w:eastAsia="宋体" w:hAnsi="宋体" w:cs="宋体" w:hint="eastAsia"/>
                <w:b/>
                <w:bCs/>
                <w:sz w:val="21"/>
                <w:szCs w:val="21"/>
              </w:rPr>
              <w:t>权重</w:t>
            </w:r>
          </w:p>
        </w:tc>
      </w:tr>
      <w:tr>
        <w:tblPrEx>
          <w:tblW w:w="5000" w:type="pct"/>
          <w:jc w:val="center"/>
          <w:tblLayout w:type="fixed"/>
          <w:tblCellMar>
            <w:top w:w="0" w:type="dxa"/>
            <w:left w:w="108" w:type="dxa"/>
            <w:bottom w:w="0" w:type="dxa"/>
            <w:right w:w="108" w:type="dxa"/>
          </w:tblCellMar>
        </w:tblPrEx>
        <w:trPr>
          <w:trHeight w:val="326"/>
          <w:jc w:val="center"/>
        </w:trPr>
        <w:tc>
          <w:tcPr>
            <w:tcW w:w="560"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color w:val="0000FF"/>
                <w:sz w:val="21"/>
                <w:szCs w:val="21"/>
              </w:rPr>
            </w:pPr>
            <w:r>
              <w:rPr>
                <w:rFonts w:ascii="宋体" w:eastAsia="宋体" w:hAnsi="宋体" w:cs="宋体" w:hint="eastAsia"/>
                <w:b/>
                <w:bCs/>
                <w:color w:val="0000FF"/>
                <w:sz w:val="21"/>
                <w:szCs w:val="21"/>
              </w:rPr>
              <w:t>1</w:t>
            </w:r>
          </w:p>
        </w:tc>
        <w:tc>
          <w:tcPr>
            <w:tcW w:w="3267" w:type="dxa"/>
            <w:gridSpan w:val="4"/>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color w:val="0000FF"/>
                <w:sz w:val="21"/>
                <w:szCs w:val="21"/>
              </w:rPr>
            </w:pPr>
            <w:r>
              <w:rPr>
                <w:rFonts w:ascii="宋体" w:eastAsia="宋体" w:hAnsi="宋体" w:cs="宋体" w:hint="eastAsia"/>
                <w:b/>
                <w:bCs/>
                <w:color w:val="0000FF"/>
                <w:sz w:val="21"/>
                <w:szCs w:val="21"/>
              </w:rPr>
              <w:t>价格</w:t>
            </w:r>
          </w:p>
        </w:tc>
        <w:tc>
          <w:tcPr>
            <w:tcW w:w="4827"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color w:val="0000FF"/>
                <w:sz w:val="21"/>
                <w:szCs w:val="21"/>
              </w:rPr>
            </w:pPr>
            <w:r>
              <w:rPr>
                <w:rFonts w:ascii="宋体" w:eastAsia="宋体" w:hAnsi="宋体" w:cs="宋体" w:hint="eastAsia"/>
                <w:b/>
                <w:bCs/>
                <w:color w:val="0000FF"/>
                <w:sz w:val="21"/>
                <w:szCs w:val="21"/>
              </w:rPr>
              <w:t>30</w:t>
            </w:r>
          </w:p>
        </w:tc>
      </w:tr>
      <w:tr>
        <w:tblPrEx>
          <w:tblW w:w="5000" w:type="pct"/>
          <w:jc w:val="center"/>
          <w:tblLayout w:type="fixed"/>
          <w:tblCellMar>
            <w:top w:w="0" w:type="dxa"/>
            <w:left w:w="108" w:type="dxa"/>
            <w:bottom w:w="0" w:type="dxa"/>
            <w:right w:w="108" w:type="dxa"/>
          </w:tblCellMar>
        </w:tblPrEx>
        <w:trPr>
          <w:trHeight w:val="366"/>
          <w:jc w:val="center"/>
        </w:trPr>
        <w:tc>
          <w:tcPr>
            <w:tcW w:w="560"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color w:val="0000FF"/>
                <w:sz w:val="21"/>
                <w:szCs w:val="21"/>
              </w:rPr>
            </w:pPr>
            <w:r>
              <w:rPr>
                <w:rFonts w:ascii="宋体" w:eastAsia="宋体" w:hAnsi="宋体" w:cs="宋体" w:hint="eastAsia"/>
                <w:b/>
                <w:bCs/>
                <w:color w:val="0000FF"/>
                <w:sz w:val="21"/>
                <w:szCs w:val="21"/>
              </w:rPr>
              <w:t>2</w:t>
            </w:r>
          </w:p>
        </w:tc>
        <w:tc>
          <w:tcPr>
            <w:tcW w:w="3267" w:type="dxa"/>
            <w:gridSpan w:val="4"/>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color w:val="0000FF"/>
                <w:sz w:val="21"/>
                <w:szCs w:val="21"/>
              </w:rPr>
            </w:pPr>
            <w:r>
              <w:rPr>
                <w:rFonts w:ascii="宋体" w:eastAsia="宋体" w:hAnsi="宋体" w:cs="宋体" w:hint="eastAsia"/>
                <w:b/>
                <w:bCs/>
                <w:color w:val="0000FF"/>
                <w:sz w:val="21"/>
                <w:szCs w:val="21"/>
              </w:rPr>
              <w:t>技术部分</w:t>
            </w:r>
          </w:p>
        </w:tc>
        <w:tc>
          <w:tcPr>
            <w:tcW w:w="4827"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b/>
                <w:bCs/>
                <w:color w:val="0000FF"/>
                <w:sz w:val="21"/>
                <w:szCs w:val="21"/>
                <w:lang w:eastAsia="zh-CN"/>
              </w:rPr>
            </w:pPr>
            <w:r>
              <w:rPr>
                <w:rFonts w:ascii="宋体" w:eastAsia="宋体" w:hAnsi="宋体" w:cs="宋体"/>
                <w:b/>
                <w:bCs/>
                <w:color w:val="0000FF"/>
                <w:sz w:val="21"/>
                <w:szCs w:val="21"/>
                <w:lang w:eastAsia="zh-CN"/>
              </w:rPr>
              <w:t>45</w:t>
            </w:r>
          </w:p>
        </w:tc>
      </w:tr>
      <w:tr>
        <w:tblPrEx>
          <w:tblW w:w="5000" w:type="pct"/>
          <w:jc w:val="center"/>
          <w:tblLayout w:type="fixed"/>
          <w:tblCellMar>
            <w:top w:w="0" w:type="dxa"/>
            <w:left w:w="108" w:type="dxa"/>
            <w:bottom w:w="0" w:type="dxa"/>
            <w:right w:w="108" w:type="dxa"/>
          </w:tblCellMar>
        </w:tblPrEx>
        <w:trPr>
          <w:trHeight w:val="339"/>
          <w:jc w:val="center"/>
        </w:trPr>
        <w:tc>
          <w:tcPr>
            <w:tcW w:w="560" w:type="dxa"/>
            <w:vMerge w:val="restart"/>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sz w:val="21"/>
                <w:szCs w:val="21"/>
              </w:rPr>
            </w:pPr>
          </w:p>
        </w:tc>
        <w:tc>
          <w:tcPr>
            <w:tcW w:w="667"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sz w:val="21"/>
                <w:szCs w:val="21"/>
              </w:rPr>
            </w:pPr>
            <w:r>
              <w:rPr>
                <w:rFonts w:ascii="宋体" w:eastAsia="宋体" w:hAnsi="宋体" w:cs="宋体" w:hint="eastAsia"/>
                <w:b/>
                <w:bCs/>
                <w:sz w:val="21"/>
                <w:szCs w:val="21"/>
              </w:rPr>
              <w:t>序号</w:t>
            </w:r>
          </w:p>
        </w:tc>
        <w:tc>
          <w:tcPr>
            <w:tcW w:w="1518" w:type="dxa"/>
            <w:gridSpan w:val="2"/>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sz w:val="21"/>
                <w:szCs w:val="21"/>
              </w:rPr>
            </w:pPr>
            <w:r>
              <w:rPr>
                <w:rFonts w:ascii="宋体" w:eastAsia="宋体" w:hAnsi="宋体" w:cs="宋体" w:hint="eastAsia"/>
                <w:b/>
                <w:bCs/>
                <w:sz w:val="21"/>
                <w:szCs w:val="21"/>
              </w:rPr>
              <w:t>评分因素</w:t>
            </w:r>
          </w:p>
        </w:tc>
        <w:tc>
          <w:tcPr>
            <w:tcW w:w="1082"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sz w:val="21"/>
                <w:szCs w:val="21"/>
              </w:rPr>
            </w:pPr>
            <w:r>
              <w:rPr>
                <w:rFonts w:ascii="宋体" w:eastAsia="宋体" w:hAnsi="宋体" w:cs="宋体" w:hint="eastAsia"/>
                <w:b/>
                <w:bCs/>
                <w:sz w:val="21"/>
                <w:szCs w:val="21"/>
              </w:rPr>
              <w:t>权重(%)</w:t>
            </w:r>
          </w:p>
        </w:tc>
        <w:tc>
          <w:tcPr>
            <w:tcW w:w="4827"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sz w:val="21"/>
                <w:szCs w:val="21"/>
              </w:rPr>
            </w:pPr>
            <w:r>
              <w:rPr>
                <w:rFonts w:ascii="宋体" w:eastAsia="宋体" w:hAnsi="宋体" w:cs="宋体" w:hint="eastAsia"/>
                <w:b/>
                <w:bCs/>
                <w:sz w:val="21"/>
                <w:szCs w:val="21"/>
              </w:rPr>
              <w:t>评分准则</w:t>
            </w:r>
          </w:p>
        </w:tc>
      </w:tr>
      <w:tr>
        <w:tblPrEx>
          <w:tblW w:w="5000" w:type="pct"/>
          <w:jc w:val="center"/>
          <w:tblLayout w:type="fixed"/>
          <w:tblCellMar>
            <w:top w:w="0" w:type="dxa"/>
            <w:left w:w="108" w:type="dxa"/>
            <w:bottom w:w="0" w:type="dxa"/>
            <w:right w:w="108" w:type="dxa"/>
          </w:tblCellMar>
        </w:tblPrEx>
        <w:trPr>
          <w:trHeight w:val="90"/>
          <w:jc w:val="center"/>
        </w:trPr>
        <w:tc>
          <w:tcPr>
            <w:tcW w:w="560" w:type="dxa"/>
            <w:vMerge/>
            <w:noWrap w:val="0"/>
            <w:vAlign w:val="center"/>
          </w:tcPr>
          <w:p>
            <w:pPr>
              <w:keepNext/>
              <w:keepLines/>
              <w:pageBreakBefore w:val="0"/>
              <w:kinsoku/>
              <w:wordWrap/>
              <w:overflowPunct/>
              <w:topLinePunct w:val="0"/>
              <w:autoSpaceDE/>
              <w:autoSpaceDN/>
              <w:bidi w:val="0"/>
              <w:adjustRightInd/>
              <w:spacing w:line="360" w:lineRule="auto"/>
              <w:jc w:val="center"/>
              <w:textAlignment w:val="auto"/>
              <w:outlineLvl w:val="0"/>
              <w:rPr>
                <w:rFonts w:ascii="宋体" w:eastAsia="宋体" w:hAnsi="宋体" w:cs="宋体" w:hint="eastAsia"/>
                <w:sz w:val="21"/>
                <w:szCs w:val="21"/>
              </w:rPr>
            </w:pPr>
          </w:p>
        </w:tc>
        <w:tc>
          <w:tcPr>
            <w:tcW w:w="667"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sz w:val="21"/>
                <w:szCs w:val="21"/>
              </w:rPr>
            </w:pPr>
            <w:r>
              <w:rPr>
                <w:rFonts w:ascii="宋体" w:eastAsia="宋体" w:hAnsi="宋体" w:cs="宋体" w:hint="eastAsia"/>
                <w:sz w:val="21"/>
                <w:szCs w:val="21"/>
              </w:rPr>
              <w:t>1</w:t>
            </w:r>
          </w:p>
        </w:tc>
        <w:tc>
          <w:tcPr>
            <w:tcW w:w="1518" w:type="dxa"/>
            <w:gridSpan w:val="2"/>
            <w:noWrap w:val="0"/>
            <w:vAlign w:val="center"/>
          </w:tcPr>
          <w:p>
            <w:pPr>
              <w:wordWrap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sz w:val="21"/>
                <w:szCs w:val="21"/>
              </w:rPr>
              <w:t>项目实施方案</w:t>
            </w:r>
          </w:p>
        </w:tc>
        <w:tc>
          <w:tcPr>
            <w:tcW w:w="1082" w:type="dxa"/>
            <w:noWrap w:val="0"/>
            <w:vAlign w:val="center"/>
          </w:tcPr>
          <w:p>
            <w:pPr>
              <w:wordWrap w:val="0"/>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5</w:t>
            </w:r>
          </w:p>
        </w:tc>
        <w:tc>
          <w:tcPr>
            <w:tcW w:w="4827" w:type="dxa"/>
            <w:noWrap w:val="0"/>
            <w:vAlign w:val="top"/>
          </w:tcPr>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（一）评分内容：</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投标人根据本项目提供项目实施方案，内容包括：</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1）供货服务方案；</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2）供货配送计划；</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3）货物质量保障措施。</w:t>
            </w:r>
          </w:p>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（二）评分依据：</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每提供以上1项内容得</w:t>
            </w:r>
            <w:r>
              <w:rPr>
                <w:rFonts w:ascii="宋体" w:eastAsia="宋体" w:hAnsi="宋体" w:cs="宋体" w:hint="eastAsia"/>
                <w:sz w:val="21"/>
                <w:szCs w:val="21"/>
                <w:lang w:eastAsia="zh-CN"/>
              </w:rPr>
              <w:t>10</w:t>
            </w:r>
            <w:r>
              <w:rPr>
                <w:rFonts w:ascii="宋体" w:eastAsia="宋体" w:hAnsi="宋体" w:cs="宋体" w:hint="eastAsia"/>
                <w:sz w:val="21"/>
                <w:szCs w:val="21"/>
              </w:rPr>
              <w:t>分，最高得</w:t>
            </w:r>
            <w:r>
              <w:rPr>
                <w:rFonts w:ascii="宋体" w:eastAsia="宋体" w:hAnsi="宋体" w:cs="宋体" w:hint="eastAsia"/>
                <w:sz w:val="21"/>
                <w:szCs w:val="21"/>
                <w:lang w:eastAsia="zh-CN"/>
              </w:rPr>
              <w:t>30</w:t>
            </w:r>
            <w:r>
              <w:rPr>
                <w:rFonts w:ascii="宋体" w:eastAsia="宋体" w:hAnsi="宋体" w:cs="宋体" w:hint="eastAsia"/>
                <w:sz w:val="21"/>
                <w:szCs w:val="21"/>
              </w:rPr>
              <w:t>分。在此基础上，专家根据各供应商的具体响应内容进一步评审：</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（1）内容针对性强，全面具体，科学合理，可操作性强，评审为优，得</w:t>
            </w:r>
            <w:r>
              <w:rPr>
                <w:rFonts w:ascii="宋体" w:eastAsia="宋体" w:hAnsi="宋体" w:cs="宋体" w:hint="eastAsia"/>
                <w:sz w:val="21"/>
                <w:szCs w:val="21"/>
                <w:lang w:eastAsia="zh-CN"/>
              </w:rPr>
              <w:t>70</w:t>
            </w:r>
            <w:r>
              <w:rPr>
                <w:rFonts w:ascii="宋体" w:eastAsia="宋体" w:hAnsi="宋体" w:cs="宋体" w:hint="eastAsia"/>
                <w:sz w:val="21"/>
                <w:szCs w:val="21"/>
              </w:rPr>
              <w:t>分；</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（2）内容针对性较强，较全面具体，较科学合理，可操作性较强，评审为良，得</w:t>
            </w:r>
            <w:r>
              <w:rPr>
                <w:rFonts w:ascii="宋体" w:eastAsia="宋体" w:hAnsi="宋体" w:cs="宋体" w:hint="eastAsia"/>
                <w:sz w:val="21"/>
                <w:szCs w:val="21"/>
                <w:lang w:eastAsia="zh-CN"/>
              </w:rPr>
              <w:t>40</w:t>
            </w:r>
            <w:r>
              <w:rPr>
                <w:rFonts w:ascii="宋体" w:eastAsia="宋体" w:hAnsi="宋体" w:cs="宋体" w:hint="eastAsia"/>
                <w:sz w:val="21"/>
                <w:szCs w:val="21"/>
              </w:rPr>
              <w:t>分；</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（3）内容针对性一般，基本全面，合理性及可操作性一般，评审为中，得</w:t>
            </w:r>
            <w:r>
              <w:rPr>
                <w:rFonts w:ascii="宋体" w:eastAsia="宋体" w:hAnsi="宋体" w:cs="宋体" w:hint="eastAsia"/>
                <w:sz w:val="21"/>
                <w:szCs w:val="21"/>
                <w:lang w:eastAsia="zh-CN"/>
              </w:rPr>
              <w:t>10</w:t>
            </w:r>
            <w:r>
              <w:rPr>
                <w:rFonts w:ascii="宋体" w:eastAsia="宋体" w:hAnsi="宋体" w:cs="宋体" w:hint="eastAsia"/>
                <w:sz w:val="21"/>
                <w:szCs w:val="21"/>
              </w:rPr>
              <w:t>分；</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（4）内容针对性差，不全面不具体，合理性及可操作性差，评审为差，不得分；</w:t>
            </w:r>
          </w:p>
          <w:p>
            <w:pPr>
              <w:spacing w:line="360" w:lineRule="auto"/>
              <w:jc w:val="both"/>
              <w:rPr>
                <w:rFonts w:ascii="宋体" w:eastAsia="宋体" w:hAnsi="宋体" w:cs="宋体" w:hint="eastAsia"/>
                <w:kern w:val="2"/>
                <w:sz w:val="21"/>
                <w:szCs w:val="21"/>
                <w:lang w:eastAsia="zh-CN"/>
              </w:rPr>
            </w:pPr>
            <w:r>
              <w:rPr>
                <w:rFonts w:ascii="宋体" w:eastAsia="宋体" w:hAnsi="宋体" w:cs="宋体" w:hint="eastAsia"/>
                <w:sz w:val="21"/>
                <w:szCs w:val="21"/>
              </w:rPr>
              <w:t>（5）未提供项目实施方案，不得分。</w:t>
            </w:r>
          </w:p>
        </w:tc>
      </w:tr>
      <w:tr>
        <w:tblPrEx>
          <w:tblW w:w="5000" w:type="pct"/>
          <w:jc w:val="center"/>
          <w:tblLayout w:type="fixed"/>
          <w:tblCellMar>
            <w:top w:w="0" w:type="dxa"/>
            <w:left w:w="108" w:type="dxa"/>
            <w:bottom w:w="0" w:type="dxa"/>
            <w:right w:w="108" w:type="dxa"/>
          </w:tblCellMar>
        </w:tblPrEx>
        <w:trPr>
          <w:trHeight w:val="90"/>
          <w:jc w:val="center"/>
        </w:trPr>
        <w:tc>
          <w:tcPr>
            <w:tcW w:w="560" w:type="dxa"/>
            <w:vMerge/>
            <w:noWrap w:val="0"/>
            <w:vAlign w:val="center"/>
          </w:tcPr>
          <w:p>
            <w:pPr>
              <w:keepNext/>
              <w:keepLines/>
              <w:pageBreakBefore w:val="0"/>
              <w:kinsoku/>
              <w:wordWrap/>
              <w:overflowPunct/>
              <w:topLinePunct w:val="0"/>
              <w:autoSpaceDE/>
              <w:autoSpaceDN/>
              <w:bidi w:val="0"/>
              <w:adjustRightInd/>
              <w:spacing w:line="360" w:lineRule="auto"/>
              <w:jc w:val="center"/>
              <w:textAlignment w:val="auto"/>
              <w:outlineLvl w:val="0"/>
              <w:rPr>
                <w:rFonts w:ascii="宋体" w:eastAsia="宋体" w:hAnsi="宋体" w:cs="宋体" w:hint="eastAsia"/>
                <w:sz w:val="21"/>
                <w:szCs w:val="21"/>
              </w:rPr>
            </w:pPr>
          </w:p>
        </w:tc>
        <w:tc>
          <w:tcPr>
            <w:tcW w:w="667"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sz w:val="21"/>
                <w:szCs w:val="21"/>
                <w:lang w:eastAsia="zh-CN"/>
              </w:rPr>
            </w:pPr>
            <w:r>
              <w:rPr>
                <w:rFonts w:ascii="宋体" w:eastAsia="宋体" w:hAnsi="宋体" w:cs="宋体" w:hint="eastAsia"/>
                <w:sz w:val="21"/>
                <w:szCs w:val="21"/>
                <w:lang w:eastAsia="zh-CN"/>
              </w:rPr>
              <w:t>2</w:t>
            </w:r>
          </w:p>
        </w:tc>
        <w:tc>
          <w:tcPr>
            <w:tcW w:w="1518" w:type="dxa"/>
            <w:gridSpan w:val="2"/>
            <w:shd w:val="clear" w:color="auto" w:fill="auto"/>
            <w:noWrap w:val="0"/>
            <w:vAlign w:val="center"/>
          </w:tcPr>
          <w:p>
            <w:pPr>
              <w:wordWrap w:val="0"/>
              <w:spacing w:line="360" w:lineRule="auto"/>
              <w:jc w:val="center"/>
              <w:rPr>
                <w:rFonts w:ascii="宋体" w:eastAsia="宋体" w:hAnsi="宋体" w:cs="宋体" w:hint="eastAsia"/>
                <w:sz w:val="21"/>
                <w:szCs w:val="21"/>
              </w:rPr>
            </w:pPr>
            <w:r>
              <w:rPr>
                <w:rFonts w:ascii="宋体" w:eastAsia="宋体" w:hAnsi="宋体" w:cs="宋体" w:hint="eastAsia"/>
                <w:sz w:val="21"/>
                <w:szCs w:val="21"/>
              </w:rPr>
              <w:t>售后服务方案</w:t>
            </w:r>
          </w:p>
        </w:tc>
        <w:tc>
          <w:tcPr>
            <w:tcW w:w="1082" w:type="dxa"/>
            <w:shd w:val="clear" w:color="auto" w:fill="auto"/>
            <w:noWrap w:val="0"/>
            <w:vAlign w:val="center"/>
          </w:tcPr>
          <w:p>
            <w:pPr>
              <w:wordWrap w:val="0"/>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6</w:t>
            </w:r>
          </w:p>
        </w:tc>
        <w:tc>
          <w:tcPr>
            <w:tcW w:w="4827" w:type="dxa"/>
            <w:shd w:val="clear" w:color="auto" w:fill="auto"/>
            <w:noWrap w:val="0"/>
            <w:vAlign w:val="top"/>
          </w:tcPr>
          <w:p>
            <w:pPr>
              <w:spacing w:line="360" w:lineRule="auto"/>
              <w:rPr>
                <w:rFonts w:ascii="宋体" w:eastAsia="宋体" w:hAnsi="宋体" w:cs="宋体" w:hint="eastAsia"/>
                <w:b/>
                <w:bCs/>
                <w:sz w:val="21"/>
                <w:szCs w:val="21"/>
              </w:rPr>
            </w:pPr>
            <w:r>
              <w:rPr>
                <w:rFonts w:ascii="宋体" w:eastAsia="宋体" w:hAnsi="宋体" w:cs="宋体" w:hint="eastAsia"/>
                <w:b/>
                <w:bCs/>
                <w:sz w:val="21"/>
                <w:szCs w:val="21"/>
              </w:rPr>
              <w:t>（一）评分内容：</w:t>
            </w:r>
          </w:p>
          <w:p>
            <w:pPr>
              <w:spacing w:line="360" w:lineRule="auto"/>
              <w:rPr>
                <w:rFonts w:ascii="宋体" w:eastAsia="宋体" w:hAnsi="宋体" w:cs="宋体" w:hint="eastAsia"/>
                <w:sz w:val="21"/>
                <w:szCs w:val="21"/>
              </w:rPr>
            </w:pPr>
            <w:r>
              <w:rPr>
                <w:rFonts w:ascii="宋体" w:eastAsia="宋体" w:hAnsi="宋体" w:cs="宋体" w:hint="eastAsia"/>
                <w:sz w:val="21"/>
                <w:szCs w:val="21"/>
              </w:rPr>
              <w:t>投标人根据本项目提供售后服务方案，内容包括：</w:t>
            </w:r>
          </w:p>
          <w:p>
            <w:pPr>
              <w:spacing w:line="360" w:lineRule="auto"/>
              <w:rPr>
                <w:rFonts w:ascii="宋体" w:eastAsia="宋体" w:hAnsi="宋体" w:cs="宋体" w:hint="eastAsia"/>
                <w:sz w:val="21"/>
                <w:szCs w:val="21"/>
              </w:rPr>
            </w:pPr>
            <w:r>
              <w:rPr>
                <w:rFonts w:ascii="宋体" w:eastAsia="宋体" w:hAnsi="宋体" w:cs="宋体" w:hint="eastAsia"/>
                <w:sz w:val="21"/>
                <w:szCs w:val="21"/>
              </w:rPr>
              <w:t>1）所有产品均支持七天无理由退换；</w:t>
            </w:r>
          </w:p>
          <w:p>
            <w:pPr>
              <w:spacing w:line="360" w:lineRule="auto"/>
              <w:rPr>
                <w:rFonts w:ascii="宋体" w:eastAsia="宋体" w:hAnsi="宋体" w:cs="宋体" w:hint="eastAsia"/>
                <w:sz w:val="21"/>
                <w:szCs w:val="21"/>
              </w:rPr>
            </w:pPr>
            <w:r>
              <w:rPr>
                <w:rFonts w:ascii="宋体" w:eastAsia="宋体" w:hAnsi="宋体" w:cs="宋体" w:hint="eastAsia"/>
                <w:sz w:val="21"/>
                <w:szCs w:val="21"/>
              </w:rPr>
              <w:t>2）退换货流程；</w:t>
            </w:r>
          </w:p>
          <w:p>
            <w:pPr>
              <w:spacing w:line="360" w:lineRule="auto"/>
              <w:rPr>
                <w:rFonts w:ascii="宋体" w:eastAsia="宋体" w:hAnsi="宋体" w:cs="宋体" w:hint="eastAsia"/>
                <w:sz w:val="21"/>
                <w:szCs w:val="21"/>
              </w:rPr>
            </w:pPr>
            <w:r>
              <w:rPr>
                <w:rFonts w:ascii="宋体" w:eastAsia="宋体" w:hAnsi="宋体" w:cs="宋体" w:hint="eastAsia"/>
                <w:sz w:val="21"/>
                <w:szCs w:val="21"/>
              </w:rPr>
              <w:t>3）投诉事件分级及处理细则；</w:t>
            </w:r>
          </w:p>
          <w:p>
            <w:pPr>
              <w:spacing w:line="360" w:lineRule="auto"/>
              <w:rPr>
                <w:rFonts w:ascii="宋体" w:eastAsia="宋体" w:hAnsi="宋体" w:cs="宋体" w:hint="eastAsia"/>
                <w:sz w:val="21"/>
                <w:szCs w:val="21"/>
              </w:rPr>
            </w:pPr>
            <w:r>
              <w:rPr>
                <w:rFonts w:ascii="宋体" w:eastAsia="宋体" w:hAnsi="宋体" w:cs="宋体" w:hint="eastAsia"/>
                <w:sz w:val="21"/>
                <w:szCs w:val="21"/>
              </w:rPr>
              <w:t>4）对账管理方案。</w:t>
            </w:r>
          </w:p>
          <w:p>
            <w:pPr>
              <w:spacing w:line="360" w:lineRule="auto"/>
              <w:rPr>
                <w:rFonts w:ascii="宋体" w:eastAsia="宋体" w:hAnsi="宋体" w:cs="宋体" w:hint="eastAsia"/>
                <w:b/>
                <w:bCs/>
                <w:sz w:val="21"/>
                <w:szCs w:val="21"/>
              </w:rPr>
            </w:pPr>
            <w:r>
              <w:rPr>
                <w:rFonts w:ascii="宋体" w:eastAsia="宋体" w:hAnsi="宋体" w:cs="宋体" w:hint="eastAsia"/>
                <w:b/>
                <w:bCs/>
                <w:sz w:val="21"/>
                <w:szCs w:val="21"/>
              </w:rPr>
              <w:t>（二）评分依据：</w:t>
            </w:r>
          </w:p>
          <w:p>
            <w:pPr>
              <w:spacing w:line="360" w:lineRule="auto"/>
              <w:rPr>
                <w:rFonts w:ascii="宋体" w:eastAsia="宋体" w:hAnsi="宋体" w:cs="宋体" w:hint="eastAsia"/>
                <w:sz w:val="21"/>
                <w:szCs w:val="21"/>
              </w:rPr>
            </w:pPr>
            <w:r>
              <w:rPr>
                <w:rFonts w:ascii="宋体" w:eastAsia="宋体" w:hAnsi="宋体" w:cs="宋体" w:hint="eastAsia"/>
                <w:sz w:val="21"/>
                <w:szCs w:val="21"/>
              </w:rPr>
              <w:t>每提供以上1项内容得</w:t>
            </w:r>
            <w:r>
              <w:rPr>
                <w:rFonts w:ascii="宋体" w:eastAsia="宋体" w:hAnsi="宋体" w:cs="宋体" w:hint="eastAsia"/>
                <w:sz w:val="21"/>
                <w:szCs w:val="21"/>
                <w:lang w:eastAsia="zh-CN"/>
              </w:rPr>
              <w:t>10</w:t>
            </w:r>
            <w:r>
              <w:rPr>
                <w:rFonts w:ascii="宋体" w:eastAsia="宋体" w:hAnsi="宋体" w:cs="宋体" w:hint="eastAsia"/>
                <w:sz w:val="21"/>
                <w:szCs w:val="21"/>
              </w:rPr>
              <w:t>分，最高得</w:t>
            </w:r>
            <w:r>
              <w:rPr>
                <w:rFonts w:ascii="宋体" w:eastAsia="宋体" w:hAnsi="宋体" w:cs="宋体" w:hint="eastAsia"/>
                <w:sz w:val="21"/>
                <w:szCs w:val="21"/>
                <w:lang w:eastAsia="zh-CN"/>
              </w:rPr>
              <w:t>40</w:t>
            </w:r>
            <w:r>
              <w:rPr>
                <w:rFonts w:ascii="宋体" w:eastAsia="宋体" w:hAnsi="宋体" w:cs="宋体" w:hint="eastAsia"/>
                <w:sz w:val="21"/>
                <w:szCs w:val="21"/>
              </w:rPr>
              <w:t>分。在此基础上，专家根据各供应商的具体响应内容进一步评审：</w:t>
            </w:r>
          </w:p>
          <w:p>
            <w:pPr>
              <w:spacing w:line="360" w:lineRule="auto"/>
              <w:rPr>
                <w:rFonts w:ascii="宋体" w:eastAsia="宋体" w:hAnsi="宋体" w:cs="宋体" w:hint="eastAsia"/>
                <w:sz w:val="21"/>
                <w:szCs w:val="21"/>
              </w:rPr>
            </w:pPr>
            <w:r>
              <w:rPr>
                <w:rFonts w:ascii="宋体" w:eastAsia="宋体" w:hAnsi="宋体" w:cs="宋体" w:hint="eastAsia"/>
                <w:sz w:val="21"/>
                <w:szCs w:val="21"/>
              </w:rPr>
              <w:t>（1）内容针对性强，全面具体，科学合理，可操作性强，评审为优，得</w:t>
            </w:r>
            <w:r>
              <w:rPr>
                <w:rFonts w:ascii="宋体" w:eastAsia="宋体" w:hAnsi="宋体" w:cs="宋体" w:hint="eastAsia"/>
                <w:sz w:val="21"/>
                <w:szCs w:val="21"/>
                <w:lang w:eastAsia="zh-CN"/>
              </w:rPr>
              <w:t>60</w:t>
            </w:r>
            <w:r>
              <w:rPr>
                <w:rFonts w:ascii="宋体" w:eastAsia="宋体" w:hAnsi="宋体" w:cs="宋体" w:hint="eastAsia"/>
                <w:sz w:val="21"/>
                <w:szCs w:val="21"/>
              </w:rPr>
              <w:t>分；</w:t>
            </w:r>
          </w:p>
          <w:p>
            <w:pPr>
              <w:spacing w:line="360" w:lineRule="auto"/>
              <w:rPr>
                <w:rFonts w:ascii="宋体" w:eastAsia="宋体" w:hAnsi="宋体" w:cs="宋体" w:hint="eastAsia"/>
                <w:sz w:val="21"/>
                <w:szCs w:val="21"/>
              </w:rPr>
            </w:pPr>
            <w:r>
              <w:rPr>
                <w:rFonts w:ascii="宋体" w:eastAsia="宋体" w:hAnsi="宋体" w:cs="宋体" w:hint="eastAsia"/>
                <w:sz w:val="21"/>
                <w:szCs w:val="21"/>
              </w:rPr>
              <w:t>（2）内容针对性较强，较全面具体，较科学合理，可操作性较强，评审为良，得</w:t>
            </w:r>
            <w:r>
              <w:rPr>
                <w:rFonts w:ascii="宋体" w:eastAsia="宋体" w:hAnsi="宋体" w:cs="宋体" w:hint="eastAsia"/>
                <w:sz w:val="21"/>
                <w:szCs w:val="21"/>
                <w:lang w:eastAsia="zh-CN"/>
              </w:rPr>
              <w:t>20</w:t>
            </w:r>
            <w:r>
              <w:rPr>
                <w:rFonts w:ascii="宋体" w:eastAsia="宋体" w:hAnsi="宋体" w:cs="宋体" w:hint="eastAsia"/>
                <w:sz w:val="21"/>
                <w:szCs w:val="21"/>
              </w:rPr>
              <w:t>分；</w:t>
            </w:r>
          </w:p>
          <w:p>
            <w:pPr>
              <w:spacing w:line="360" w:lineRule="auto"/>
              <w:rPr>
                <w:rFonts w:ascii="宋体" w:eastAsia="宋体" w:hAnsi="宋体" w:cs="宋体" w:hint="eastAsia"/>
                <w:sz w:val="21"/>
                <w:szCs w:val="21"/>
              </w:rPr>
            </w:pPr>
            <w:r>
              <w:rPr>
                <w:rFonts w:ascii="宋体" w:eastAsia="宋体" w:hAnsi="宋体" w:cs="宋体" w:hint="eastAsia"/>
                <w:sz w:val="21"/>
                <w:szCs w:val="21"/>
              </w:rPr>
              <w:t>（3）内容针对性一般，基本全面，合理性及可操作性一般，评审为中，得</w:t>
            </w:r>
            <w:r>
              <w:rPr>
                <w:rFonts w:ascii="宋体" w:eastAsia="宋体" w:hAnsi="宋体" w:cs="宋体" w:hint="eastAsia"/>
                <w:sz w:val="21"/>
                <w:szCs w:val="21"/>
                <w:lang w:eastAsia="zh-CN"/>
              </w:rPr>
              <w:t>10</w:t>
            </w:r>
            <w:r>
              <w:rPr>
                <w:rFonts w:ascii="宋体" w:eastAsia="宋体" w:hAnsi="宋体" w:cs="宋体" w:hint="eastAsia"/>
                <w:sz w:val="21"/>
                <w:szCs w:val="21"/>
              </w:rPr>
              <w:t>分；</w:t>
            </w:r>
          </w:p>
          <w:p>
            <w:pPr>
              <w:spacing w:line="360" w:lineRule="auto"/>
              <w:rPr>
                <w:rFonts w:ascii="宋体" w:eastAsia="宋体" w:hAnsi="宋体" w:cs="宋体" w:hint="eastAsia"/>
                <w:sz w:val="21"/>
                <w:szCs w:val="21"/>
              </w:rPr>
            </w:pPr>
            <w:r>
              <w:rPr>
                <w:rFonts w:ascii="宋体" w:eastAsia="宋体" w:hAnsi="宋体" w:cs="宋体" w:hint="eastAsia"/>
                <w:sz w:val="21"/>
                <w:szCs w:val="21"/>
              </w:rPr>
              <w:t>（4）内容针对性差，不全面不具体，合理性及可操作性差，评审为差，不得分；</w:t>
            </w:r>
          </w:p>
          <w:p>
            <w:pPr>
              <w:spacing w:line="360" w:lineRule="auto"/>
              <w:rPr>
                <w:rFonts w:ascii="宋体" w:eastAsia="宋体" w:hAnsi="宋体" w:cs="宋体" w:hint="eastAsia"/>
                <w:sz w:val="21"/>
                <w:szCs w:val="21"/>
              </w:rPr>
            </w:pPr>
            <w:r>
              <w:rPr>
                <w:rFonts w:ascii="宋体" w:eastAsia="宋体" w:hAnsi="宋体" w:cs="宋体" w:hint="eastAsia"/>
                <w:sz w:val="21"/>
                <w:szCs w:val="21"/>
              </w:rPr>
              <w:t>（5）未提供售后服务方案，不得分。</w:t>
            </w:r>
          </w:p>
        </w:tc>
      </w:tr>
      <w:tr>
        <w:tblPrEx>
          <w:tblW w:w="5000" w:type="pct"/>
          <w:jc w:val="center"/>
          <w:tblLayout w:type="fixed"/>
          <w:tblCellMar>
            <w:top w:w="0" w:type="dxa"/>
            <w:left w:w="108" w:type="dxa"/>
            <w:bottom w:w="0" w:type="dxa"/>
            <w:right w:w="108" w:type="dxa"/>
          </w:tblCellMar>
        </w:tblPrEx>
        <w:trPr>
          <w:trHeight w:val="90"/>
          <w:jc w:val="center"/>
        </w:trPr>
        <w:tc>
          <w:tcPr>
            <w:tcW w:w="560" w:type="dxa"/>
            <w:vMerge/>
            <w:noWrap w:val="0"/>
            <w:vAlign w:val="center"/>
          </w:tcPr>
          <w:p>
            <w:pPr>
              <w:keepNext/>
              <w:keepLines/>
              <w:pageBreakBefore w:val="0"/>
              <w:kinsoku/>
              <w:wordWrap/>
              <w:overflowPunct/>
              <w:topLinePunct w:val="0"/>
              <w:autoSpaceDE/>
              <w:autoSpaceDN/>
              <w:bidi w:val="0"/>
              <w:adjustRightInd/>
              <w:spacing w:line="360" w:lineRule="auto"/>
              <w:jc w:val="center"/>
              <w:textAlignment w:val="auto"/>
              <w:outlineLvl w:val="0"/>
              <w:rPr>
                <w:rFonts w:ascii="宋体" w:eastAsia="宋体" w:hAnsi="宋体" w:cs="宋体" w:hint="eastAsia"/>
                <w:sz w:val="21"/>
                <w:szCs w:val="21"/>
              </w:rPr>
            </w:pPr>
          </w:p>
        </w:tc>
        <w:tc>
          <w:tcPr>
            <w:tcW w:w="667"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3</w:t>
            </w:r>
          </w:p>
        </w:tc>
        <w:tc>
          <w:tcPr>
            <w:tcW w:w="1518" w:type="dxa"/>
            <w:gridSpan w:val="2"/>
            <w:noWrap w:val="0"/>
            <w:vAlign w:val="center"/>
          </w:tcPr>
          <w:p>
            <w:pPr>
              <w:wordWrap w:val="0"/>
              <w:spacing w:line="360" w:lineRule="auto"/>
              <w:jc w:val="both"/>
              <w:rPr>
                <w:rFonts w:ascii="宋体" w:eastAsia="宋体" w:hAnsi="宋体" w:cs="宋体" w:hint="eastAsia"/>
                <w:sz w:val="21"/>
                <w:szCs w:val="21"/>
              </w:rPr>
            </w:pPr>
            <w:r>
              <w:rPr>
                <w:rFonts w:ascii="宋体" w:eastAsia="宋体" w:hAnsi="宋体" w:cs="宋体" w:hint="eastAsia"/>
                <w:sz w:val="21"/>
                <w:szCs w:val="21"/>
              </w:rPr>
              <w:t>应急保障方案</w:t>
            </w:r>
          </w:p>
        </w:tc>
        <w:tc>
          <w:tcPr>
            <w:tcW w:w="1082" w:type="dxa"/>
            <w:noWrap w:val="0"/>
            <w:vAlign w:val="center"/>
          </w:tcPr>
          <w:p>
            <w:pPr>
              <w:wordWrap w:val="0"/>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4</w:t>
            </w:r>
          </w:p>
        </w:tc>
        <w:tc>
          <w:tcPr>
            <w:tcW w:w="4827" w:type="dxa"/>
            <w:noWrap w:val="0"/>
            <w:vAlign w:val="center"/>
          </w:tcPr>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（一）评分内容：</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投标人根据本项目提供应急保障方案，内容包括：</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1）临时紧急配送方案；</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2）恶劣天气配送方案；</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3）周末及节假日供货方案；</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4）质量不符合要求的货物更换方案。</w:t>
            </w:r>
          </w:p>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（二）评分依据：</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每提供以上1项内容得</w:t>
            </w:r>
            <w:r>
              <w:rPr>
                <w:rFonts w:ascii="宋体" w:eastAsia="宋体" w:hAnsi="宋体" w:cs="宋体" w:hint="eastAsia"/>
                <w:sz w:val="21"/>
                <w:szCs w:val="21"/>
                <w:lang w:eastAsia="zh-CN"/>
              </w:rPr>
              <w:t>10</w:t>
            </w:r>
            <w:r>
              <w:rPr>
                <w:rFonts w:ascii="宋体" w:eastAsia="宋体" w:hAnsi="宋体" w:cs="宋体" w:hint="eastAsia"/>
                <w:sz w:val="21"/>
                <w:szCs w:val="21"/>
              </w:rPr>
              <w:t>分，最高得</w:t>
            </w:r>
            <w:r>
              <w:rPr>
                <w:rFonts w:ascii="宋体" w:eastAsia="宋体" w:hAnsi="宋体" w:cs="宋体" w:hint="eastAsia"/>
                <w:sz w:val="21"/>
                <w:szCs w:val="21"/>
                <w:lang w:eastAsia="zh-CN"/>
              </w:rPr>
              <w:t>40</w:t>
            </w:r>
            <w:r>
              <w:rPr>
                <w:rFonts w:ascii="宋体" w:eastAsia="宋体" w:hAnsi="宋体" w:cs="宋体" w:hint="eastAsia"/>
                <w:sz w:val="21"/>
                <w:szCs w:val="21"/>
              </w:rPr>
              <w:t>分。在此基础上，专家根据各供应商的具体响应内容进一步评审：</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（1）内容针对性强，全面具体，科学合理，可操作性强，评审为优，得</w:t>
            </w:r>
            <w:r>
              <w:rPr>
                <w:rFonts w:ascii="宋体" w:eastAsia="宋体" w:hAnsi="宋体" w:cs="宋体" w:hint="eastAsia"/>
                <w:sz w:val="21"/>
                <w:szCs w:val="21"/>
                <w:lang w:eastAsia="zh-CN"/>
              </w:rPr>
              <w:t>60</w:t>
            </w:r>
            <w:r>
              <w:rPr>
                <w:rFonts w:ascii="宋体" w:eastAsia="宋体" w:hAnsi="宋体" w:cs="宋体" w:hint="eastAsia"/>
                <w:sz w:val="21"/>
                <w:szCs w:val="21"/>
              </w:rPr>
              <w:t>分；</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（2）内容针对性较强，较全面具体，较科学合理，可操作性较强，评审为良，得</w:t>
            </w:r>
            <w:r>
              <w:rPr>
                <w:rFonts w:ascii="宋体" w:eastAsia="宋体" w:hAnsi="宋体" w:cs="宋体" w:hint="eastAsia"/>
                <w:sz w:val="21"/>
                <w:szCs w:val="21"/>
                <w:lang w:eastAsia="zh-CN"/>
              </w:rPr>
              <w:t>20</w:t>
            </w:r>
            <w:r>
              <w:rPr>
                <w:rFonts w:ascii="宋体" w:eastAsia="宋体" w:hAnsi="宋体" w:cs="宋体" w:hint="eastAsia"/>
                <w:sz w:val="21"/>
                <w:szCs w:val="21"/>
              </w:rPr>
              <w:t>分；</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（3）内容针对性一般，基本全面，合理性及可操作性一般，评审为中，得</w:t>
            </w:r>
            <w:r>
              <w:rPr>
                <w:rFonts w:ascii="宋体" w:eastAsia="宋体" w:hAnsi="宋体" w:cs="宋体" w:hint="eastAsia"/>
                <w:sz w:val="21"/>
                <w:szCs w:val="21"/>
                <w:lang w:eastAsia="zh-CN"/>
              </w:rPr>
              <w:t>10</w:t>
            </w:r>
            <w:r>
              <w:rPr>
                <w:rFonts w:ascii="宋体" w:eastAsia="宋体" w:hAnsi="宋体" w:cs="宋体" w:hint="eastAsia"/>
                <w:sz w:val="21"/>
                <w:szCs w:val="21"/>
              </w:rPr>
              <w:t>分；</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（4）内容针对性差，不全面不具体，合理性及可操作性差，评审为差，不得分；</w:t>
            </w:r>
          </w:p>
          <w:p>
            <w:pPr>
              <w:spacing w:line="360" w:lineRule="auto"/>
              <w:jc w:val="both"/>
              <w:rPr>
                <w:rFonts w:ascii="宋体" w:eastAsia="宋体" w:hAnsi="宋体" w:cs="宋体" w:hint="eastAsia"/>
                <w:color w:val="000000"/>
                <w:sz w:val="21"/>
                <w:szCs w:val="21"/>
                <w:lang w:eastAsia="zh-CN" w:bidi="ar"/>
              </w:rPr>
            </w:pPr>
            <w:r>
              <w:rPr>
                <w:rFonts w:ascii="宋体" w:eastAsia="宋体" w:hAnsi="宋体" w:cs="宋体" w:hint="eastAsia"/>
                <w:sz w:val="21"/>
                <w:szCs w:val="21"/>
              </w:rPr>
              <w:t>（5）未提供应急保障方案，不得分。</w:t>
            </w:r>
          </w:p>
        </w:tc>
      </w:tr>
      <w:tr>
        <w:tblPrEx>
          <w:tblW w:w="5000" w:type="pct"/>
          <w:jc w:val="center"/>
          <w:tblLayout w:type="fixed"/>
          <w:tblCellMar>
            <w:top w:w="0" w:type="dxa"/>
            <w:left w:w="108" w:type="dxa"/>
            <w:bottom w:w="0" w:type="dxa"/>
            <w:right w:w="108" w:type="dxa"/>
          </w:tblCellMar>
        </w:tblPrEx>
        <w:trPr>
          <w:trHeight w:val="90"/>
          <w:jc w:val="center"/>
        </w:trPr>
        <w:tc>
          <w:tcPr>
            <w:tcW w:w="560" w:type="dxa"/>
            <w:vMerge/>
            <w:noWrap w:val="0"/>
            <w:vAlign w:val="center"/>
          </w:tcPr>
          <w:p>
            <w:pPr>
              <w:keepNext/>
              <w:keepLines/>
              <w:pageBreakBefore w:val="0"/>
              <w:kinsoku/>
              <w:wordWrap/>
              <w:overflowPunct/>
              <w:topLinePunct w:val="0"/>
              <w:autoSpaceDE/>
              <w:autoSpaceDN/>
              <w:bidi w:val="0"/>
              <w:adjustRightInd/>
              <w:spacing w:line="360" w:lineRule="auto"/>
              <w:jc w:val="center"/>
              <w:textAlignment w:val="auto"/>
              <w:outlineLvl w:val="0"/>
              <w:rPr>
                <w:rFonts w:ascii="宋体" w:eastAsia="宋体" w:hAnsi="宋体" w:cs="宋体" w:hint="eastAsia"/>
                <w:sz w:val="21"/>
                <w:szCs w:val="21"/>
              </w:rPr>
            </w:pPr>
          </w:p>
        </w:tc>
        <w:tc>
          <w:tcPr>
            <w:tcW w:w="667"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4</w:t>
            </w:r>
          </w:p>
        </w:tc>
        <w:tc>
          <w:tcPr>
            <w:tcW w:w="1518" w:type="dxa"/>
            <w:gridSpan w:val="2"/>
            <w:noWrap w:val="0"/>
            <w:vAlign w:val="center"/>
          </w:tcPr>
          <w:p>
            <w:pPr>
              <w:wordWrap w:val="0"/>
              <w:spacing w:line="360" w:lineRule="auto"/>
              <w:jc w:val="center"/>
              <w:rPr>
                <w:rFonts w:ascii="宋体" w:eastAsia="宋体" w:hAnsi="宋体" w:cs="宋体" w:hint="eastAsia"/>
                <w:sz w:val="21"/>
                <w:szCs w:val="21"/>
              </w:rPr>
            </w:pPr>
            <w:r>
              <w:rPr>
                <w:rFonts w:ascii="宋体" w:eastAsia="宋体" w:hAnsi="宋体" w:cs="宋体" w:hint="eastAsia"/>
                <w:sz w:val="21"/>
                <w:szCs w:val="21"/>
              </w:rPr>
              <w:t>违约承诺</w:t>
            </w:r>
          </w:p>
        </w:tc>
        <w:tc>
          <w:tcPr>
            <w:tcW w:w="1082" w:type="dxa"/>
            <w:noWrap w:val="0"/>
            <w:vAlign w:val="center"/>
          </w:tcPr>
          <w:p>
            <w:pPr>
              <w:wordWrap w:val="0"/>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3</w:t>
            </w:r>
          </w:p>
        </w:tc>
        <w:tc>
          <w:tcPr>
            <w:tcW w:w="4827" w:type="dxa"/>
            <w:noWrap w:val="0"/>
            <w:vAlign w:val="center"/>
          </w:tcPr>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（一）评分内容：</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1.承诺提供的热敏纸货物按最新执行标准GB/T 28210-2024执行；</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2.如提供的货物质量不符合要求或存在问题，免费退换并承担赔偿责任。</w:t>
            </w:r>
          </w:p>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（二）评分依据：</w:t>
            </w:r>
          </w:p>
          <w:p>
            <w:pPr>
              <w:spacing w:line="360" w:lineRule="auto"/>
              <w:jc w:val="both"/>
              <w:rPr>
                <w:rFonts w:ascii="宋体" w:eastAsia="宋体" w:hAnsi="宋体" w:cs="宋体" w:hint="eastAsia"/>
                <w:color w:val="000000"/>
                <w:sz w:val="21"/>
                <w:szCs w:val="21"/>
                <w:lang w:eastAsia="zh-CN" w:bidi="ar"/>
              </w:rPr>
            </w:pPr>
            <w:r>
              <w:rPr>
                <w:rFonts w:ascii="宋体" w:eastAsia="宋体" w:hAnsi="宋体" w:cs="宋体" w:hint="eastAsia"/>
                <w:sz w:val="21"/>
                <w:szCs w:val="21"/>
              </w:rPr>
              <w:t>投标人承诺以上全部2项得</w:t>
            </w:r>
            <w:r>
              <w:rPr>
                <w:rFonts w:ascii="宋体" w:eastAsia="宋体" w:hAnsi="宋体" w:cs="宋体" w:hint="eastAsia"/>
                <w:sz w:val="21"/>
                <w:szCs w:val="21"/>
                <w:lang w:eastAsia="zh-CN"/>
              </w:rPr>
              <w:t>100</w:t>
            </w:r>
            <w:r>
              <w:rPr>
                <w:rFonts w:ascii="宋体" w:eastAsia="宋体" w:hAnsi="宋体" w:cs="宋体" w:hint="eastAsia"/>
                <w:sz w:val="21"/>
                <w:szCs w:val="21"/>
              </w:rPr>
              <w:t>分，要求提供违约承诺函（格式自定）作为得分依据，未提供承诺函或承诺内容不满足要求的不得分。</w:t>
            </w:r>
          </w:p>
        </w:tc>
      </w:tr>
      <w:tr>
        <w:tblPrEx>
          <w:tblW w:w="5000" w:type="pct"/>
          <w:jc w:val="center"/>
          <w:tblLayout w:type="fixed"/>
          <w:tblCellMar>
            <w:top w:w="0" w:type="dxa"/>
            <w:left w:w="108" w:type="dxa"/>
            <w:bottom w:w="0" w:type="dxa"/>
            <w:right w:w="108" w:type="dxa"/>
          </w:tblCellMar>
        </w:tblPrEx>
        <w:trPr>
          <w:trHeight w:val="90"/>
          <w:jc w:val="center"/>
        </w:trPr>
        <w:tc>
          <w:tcPr>
            <w:tcW w:w="560" w:type="dxa"/>
            <w:vMerge/>
            <w:noWrap w:val="0"/>
            <w:vAlign w:val="center"/>
          </w:tcPr>
          <w:p>
            <w:pPr>
              <w:keepNext/>
              <w:keepLines/>
              <w:pageBreakBefore w:val="0"/>
              <w:kinsoku/>
              <w:wordWrap/>
              <w:overflowPunct/>
              <w:topLinePunct w:val="0"/>
              <w:autoSpaceDE/>
              <w:autoSpaceDN/>
              <w:bidi w:val="0"/>
              <w:adjustRightInd/>
              <w:spacing w:line="360" w:lineRule="auto"/>
              <w:jc w:val="center"/>
              <w:textAlignment w:val="auto"/>
              <w:outlineLvl w:val="0"/>
              <w:rPr>
                <w:rFonts w:ascii="宋体" w:eastAsia="宋体" w:hAnsi="宋体" w:cs="宋体" w:hint="eastAsia"/>
                <w:sz w:val="21"/>
                <w:szCs w:val="21"/>
              </w:rPr>
            </w:pPr>
          </w:p>
        </w:tc>
        <w:tc>
          <w:tcPr>
            <w:tcW w:w="667"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5</w:t>
            </w:r>
          </w:p>
        </w:tc>
        <w:tc>
          <w:tcPr>
            <w:tcW w:w="1518" w:type="dxa"/>
            <w:gridSpan w:val="2"/>
            <w:noWrap w:val="0"/>
            <w:vAlign w:val="center"/>
          </w:tcPr>
          <w:p>
            <w:pPr>
              <w:wordWrap w:val="0"/>
              <w:spacing w:line="360" w:lineRule="auto"/>
              <w:jc w:val="center"/>
              <w:rPr>
                <w:rFonts w:ascii="宋体" w:eastAsia="宋体" w:hAnsi="宋体" w:cs="宋体" w:hint="eastAsia"/>
                <w:sz w:val="21"/>
                <w:szCs w:val="21"/>
              </w:rPr>
            </w:pPr>
            <w:r>
              <w:rPr>
                <w:rFonts w:ascii="宋体" w:eastAsia="宋体" w:hAnsi="宋体" w:cs="宋体" w:hint="eastAsia"/>
                <w:sz w:val="21"/>
                <w:szCs w:val="21"/>
              </w:rPr>
              <w:t>样板质量</w:t>
            </w:r>
          </w:p>
        </w:tc>
        <w:tc>
          <w:tcPr>
            <w:tcW w:w="1082" w:type="dxa"/>
            <w:noWrap w:val="0"/>
            <w:vAlign w:val="center"/>
          </w:tcPr>
          <w:p>
            <w:pPr>
              <w:wordWrap w:val="0"/>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5</w:t>
            </w:r>
          </w:p>
        </w:tc>
        <w:tc>
          <w:tcPr>
            <w:tcW w:w="4827" w:type="dxa"/>
            <w:noWrap w:val="0"/>
            <w:vAlign w:val="center"/>
          </w:tcPr>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（一）评分内容：</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评审委员会对投标人提供的样品进行综合评审打分：</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1、投标人提供符合要求的样品得10分，不提供样品不得分，样品不合格不得分。</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①样品名称：</w:t>
            </w:r>
            <w:r>
              <w:rPr>
                <w:rFonts w:ascii="宋体" w:eastAsia="宋体" w:hAnsi="宋体" w:cs="宋体" w:hint="eastAsia"/>
                <w:bCs/>
                <w:sz w:val="21"/>
                <w:szCs w:val="21"/>
                <w:lang w:eastAsia="zh-CN"/>
              </w:rPr>
              <w:t>热敏纸</w:t>
            </w:r>
            <w:r>
              <w:rPr>
                <w:rFonts w:ascii="宋体" w:eastAsia="宋体" w:hAnsi="宋体" w:cs="宋体" w:hint="eastAsia"/>
                <w:bCs/>
                <w:color w:val="FF0000"/>
                <w:sz w:val="21"/>
                <w:szCs w:val="21"/>
                <w:lang w:eastAsia="zh-CN"/>
              </w:rPr>
              <w:t>1</w:t>
            </w:r>
            <w:r>
              <w:rPr>
                <w:rFonts w:ascii="宋体" w:eastAsia="宋体" w:hAnsi="宋体" w:cs="宋体" w:hint="eastAsia"/>
                <w:kern w:val="2"/>
                <w:sz w:val="21"/>
                <w:szCs w:val="21"/>
                <w:lang w:eastAsia="zh-CN"/>
              </w:rPr>
              <w:t>；数量要求1卷；</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②样品名称：</w:t>
            </w:r>
            <w:r>
              <w:rPr>
                <w:rFonts w:ascii="宋体" w:eastAsia="宋体" w:hAnsi="宋体" w:cs="宋体" w:hint="eastAsia"/>
                <w:color w:val="000000"/>
                <w:sz w:val="21"/>
                <w:szCs w:val="21"/>
              </w:rPr>
              <w:t>热敏纸不干胶</w:t>
            </w:r>
            <w:r>
              <w:rPr>
                <w:rFonts w:ascii="宋体" w:eastAsia="宋体" w:hAnsi="宋体" w:cs="宋体" w:hint="eastAsia"/>
                <w:color w:val="000000"/>
                <w:sz w:val="21"/>
                <w:szCs w:val="21"/>
                <w:lang w:eastAsia="zh-CN"/>
              </w:rPr>
              <w:t>1，数量要求1卷。</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2、在此基础上，评标委员会对各供应商提供的样品按以下标准进行评分：</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（1）优评分标准：样品材质和工艺质量好的，加90分；</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（2）良评分标准：样品材质和工艺质量较好的，加50分；</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（3）中评分标准：样品材质和工艺质量一般的，加10分；</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（4）差评分标准：样品材质和工艺质量差的，不加分。</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以上累计最高得100分。</w:t>
            </w:r>
          </w:p>
          <w:p>
            <w:pPr>
              <w:spacing w:line="360" w:lineRule="auto"/>
              <w:jc w:val="both"/>
              <w:rPr>
                <w:rFonts w:ascii="宋体" w:eastAsia="宋体" w:hAnsi="宋体" w:cs="宋体" w:hint="eastAsia"/>
                <w:color w:val="000000"/>
                <w:sz w:val="21"/>
                <w:szCs w:val="21"/>
                <w:lang w:eastAsia="zh-CN" w:bidi="ar"/>
              </w:rPr>
            </w:pPr>
            <w:r>
              <w:rPr>
                <w:rFonts w:ascii="宋体" w:eastAsia="宋体" w:hAnsi="宋体" w:cs="宋体" w:hint="eastAsia"/>
                <w:b/>
                <w:bCs/>
                <w:kern w:val="2"/>
                <w:sz w:val="21"/>
                <w:szCs w:val="21"/>
                <w:lang w:eastAsia="zh-CN"/>
              </w:rPr>
              <w:t>注意事项：</w:t>
            </w:r>
            <w:r>
              <w:rPr>
                <w:rFonts w:ascii="宋体" w:eastAsia="宋体" w:hAnsi="宋体" w:cs="宋体" w:hint="eastAsia"/>
                <w:kern w:val="2"/>
                <w:sz w:val="21"/>
                <w:szCs w:val="21"/>
                <w:lang w:eastAsia="zh-CN"/>
              </w:rPr>
              <w:t>（提交时间：开标当日14:00:00—14:30:00，联系方式：许工 0755-21075754，提交地点：深圳市龙华区和平路21号振华时代广场8层802）；递交人需提交法定法定代表人授权委托书（盖公章）和授权委托人身份证原件，样品上应当标注“项目名称及项目编号、样品编号、样品名称”等信息。</w:t>
            </w:r>
            <w:r>
              <w:rPr>
                <w:rFonts w:ascii="宋体" w:eastAsia="宋体" w:hAnsi="宋体" w:cs="宋体" w:hint="eastAsia"/>
                <w:sz w:val="21"/>
                <w:szCs w:val="21"/>
              </w:rPr>
              <w:t xml:space="preserve">        </w:t>
            </w:r>
          </w:p>
        </w:tc>
      </w:tr>
      <w:tr>
        <w:tblPrEx>
          <w:tblW w:w="5000" w:type="pct"/>
          <w:jc w:val="center"/>
          <w:tblLayout w:type="fixed"/>
          <w:tblCellMar>
            <w:top w:w="0" w:type="dxa"/>
            <w:left w:w="108" w:type="dxa"/>
            <w:bottom w:w="0" w:type="dxa"/>
            <w:right w:w="108" w:type="dxa"/>
          </w:tblCellMar>
        </w:tblPrEx>
        <w:trPr>
          <w:trHeight w:val="20"/>
          <w:jc w:val="center"/>
        </w:trPr>
        <w:tc>
          <w:tcPr>
            <w:tcW w:w="560" w:type="dxa"/>
            <w:vMerge/>
            <w:noWrap w:val="0"/>
            <w:vAlign w:val="center"/>
          </w:tcPr>
          <w:p>
            <w:pPr>
              <w:keepNext/>
              <w:keepLines/>
              <w:pageBreakBefore w:val="0"/>
              <w:kinsoku/>
              <w:wordWrap/>
              <w:overflowPunct/>
              <w:topLinePunct w:val="0"/>
              <w:autoSpaceDE/>
              <w:autoSpaceDN/>
              <w:bidi w:val="0"/>
              <w:adjustRightInd/>
              <w:spacing w:line="360" w:lineRule="auto"/>
              <w:jc w:val="center"/>
              <w:textAlignment w:val="auto"/>
              <w:outlineLvl w:val="2"/>
              <w:rPr>
                <w:rFonts w:ascii="宋体" w:eastAsia="宋体" w:hAnsi="宋体" w:cs="宋体" w:hint="eastAsia"/>
                <w:sz w:val="21"/>
                <w:szCs w:val="21"/>
              </w:rPr>
            </w:pPr>
          </w:p>
        </w:tc>
        <w:tc>
          <w:tcPr>
            <w:tcW w:w="667"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6</w:t>
            </w:r>
          </w:p>
        </w:tc>
        <w:tc>
          <w:tcPr>
            <w:tcW w:w="1518" w:type="dxa"/>
            <w:gridSpan w:val="2"/>
            <w:noWrap w:val="0"/>
            <w:vAlign w:val="center"/>
          </w:tcPr>
          <w:p>
            <w:pPr>
              <w:wordWrap w:val="0"/>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网点</w:t>
            </w:r>
            <w:r>
              <w:rPr>
                <w:rFonts w:ascii="宋体" w:eastAsia="宋体" w:hAnsi="宋体" w:cs="宋体" w:hint="eastAsia"/>
                <w:sz w:val="21"/>
                <w:szCs w:val="21"/>
              </w:rPr>
              <w:t>服务响应时间</w:t>
            </w:r>
            <w:r>
              <w:rPr>
                <w:rFonts w:ascii="宋体" w:eastAsia="宋体" w:hAnsi="宋体" w:cs="宋体" w:hint="eastAsia"/>
                <w:sz w:val="21"/>
                <w:szCs w:val="21"/>
                <w:lang w:eastAsia="zh-CN"/>
              </w:rPr>
              <w:t>配送时效</w:t>
            </w:r>
          </w:p>
        </w:tc>
        <w:tc>
          <w:tcPr>
            <w:tcW w:w="1082" w:type="dxa"/>
            <w:noWrap w:val="0"/>
            <w:vAlign w:val="center"/>
          </w:tcPr>
          <w:p>
            <w:pPr>
              <w:wordWrap w:val="0"/>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5</w:t>
            </w:r>
          </w:p>
        </w:tc>
        <w:tc>
          <w:tcPr>
            <w:tcW w:w="4827" w:type="dxa"/>
            <w:noWrap w:val="0"/>
            <w:vAlign w:val="center"/>
          </w:tcPr>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（一）评分内容：</w:t>
            </w:r>
          </w:p>
          <w:p>
            <w:pPr>
              <w:wordWrap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根据采购方物品清单日常下单采购需求，承诺产品配送时效：</w:t>
            </w:r>
          </w:p>
          <w:p>
            <w:pPr>
              <w:wordWrap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1、接到采购通知24小时内提供配送服务的，得100分；</w:t>
            </w:r>
          </w:p>
          <w:p>
            <w:pPr>
              <w:wordWrap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2、接到通知48小时内提供配送服务的，得60分；</w:t>
            </w:r>
          </w:p>
          <w:p>
            <w:pPr>
              <w:wordWrap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3、接到通知72小时内提供服务的，得20分。</w:t>
            </w:r>
          </w:p>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（二）评分依据：</w:t>
            </w:r>
          </w:p>
          <w:p>
            <w:pPr>
              <w:tabs>
                <w:tab w:val="left" w:pos="426"/>
              </w:tabs>
              <w:spacing w:line="360" w:lineRule="auto"/>
              <w:jc w:val="both"/>
              <w:textAlignment w:val="top"/>
              <w:rPr>
                <w:rFonts w:ascii="宋体" w:eastAsia="宋体" w:hAnsi="宋体" w:cs="宋体" w:hint="eastAsia"/>
                <w:kern w:val="2"/>
                <w:sz w:val="21"/>
                <w:szCs w:val="21"/>
                <w:lang w:eastAsia="zh-CN"/>
              </w:rPr>
            </w:pPr>
            <w:r>
              <w:rPr>
                <w:rFonts w:ascii="宋体" w:eastAsia="宋体" w:hAnsi="宋体" w:cs="宋体" w:hint="eastAsia"/>
                <w:sz w:val="21"/>
                <w:szCs w:val="21"/>
                <w:lang w:eastAsia="zh-CN"/>
              </w:rPr>
              <w:t>投标人承诺产品配送时效，要求提供产品配送承诺函（格式自定）作为得分依据，未提供承诺函或承诺内容不满足要求的不得分。</w:t>
            </w:r>
          </w:p>
        </w:tc>
      </w:tr>
      <w:tr>
        <w:tblPrEx>
          <w:tblW w:w="5000" w:type="pct"/>
          <w:jc w:val="center"/>
          <w:tblLayout w:type="fixed"/>
          <w:tblCellMar>
            <w:top w:w="0" w:type="dxa"/>
            <w:left w:w="108" w:type="dxa"/>
            <w:bottom w:w="0" w:type="dxa"/>
            <w:right w:w="108" w:type="dxa"/>
          </w:tblCellMar>
        </w:tblPrEx>
        <w:trPr>
          <w:trHeight w:val="6132"/>
          <w:jc w:val="center"/>
        </w:trPr>
        <w:tc>
          <w:tcPr>
            <w:tcW w:w="560" w:type="dxa"/>
            <w:vMerge/>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sz w:val="21"/>
                <w:szCs w:val="21"/>
              </w:rPr>
            </w:pPr>
          </w:p>
        </w:tc>
        <w:tc>
          <w:tcPr>
            <w:tcW w:w="667"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7</w:t>
            </w:r>
          </w:p>
        </w:tc>
        <w:tc>
          <w:tcPr>
            <w:tcW w:w="1518" w:type="dxa"/>
            <w:gridSpan w:val="2"/>
            <w:noWrap w:val="0"/>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rPr>
              <w:t>技术规格偏离情况</w:t>
            </w:r>
          </w:p>
        </w:tc>
        <w:tc>
          <w:tcPr>
            <w:tcW w:w="1082" w:type="dxa"/>
            <w:noWrap w:val="0"/>
            <w:vAlign w:val="center"/>
          </w:tcPr>
          <w:p>
            <w:pPr>
              <w:spacing w:line="360" w:lineRule="auto"/>
              <w:jc w:val="center"/>
              <w:rPr>
                <w:rFonts w:ascii="宋体" w:eastAsia="宋体" w:hAnsi="宋体" w:cs="宋体"/>
                <w:kern w:val="2"/>
                <w:sz w:val="21"/>
                <w:szCs w:val="21"/>
                <w:lang w:eastAsia="zh-CN"/>
              </w:rPr>
            </w:pPr>
            <w:r>
              <w:rPr>
                <w:rFonts w:ascii="宋体" w:eastAsia="宋体" w:hAnsi="宋体" w:cs="宋体"/>
                <w:kern w:val="2"/>
                <w:sz w:val="21"/>
                <w:szCs w:val="21"/>
                <w:lang w:eastAsia="zh-CN"/>
              </w:rPr>
              <w:t>17</w:t>
            </w:r>
          </w:p>
        </w:tc>
        <w:tc>
          <w:tcPr>
            <w:tcW w:w="4827" w:type="dxa"/>
            <w:noWrap w:val="0"/>
            <w:vAlign w:val="center"/>
          </w:tcPr>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（一）评分内容：</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评审委员会根据《技术要求偏离表》（以下简称“偏离表”）响应情况进行打分，全部满足的得</w:t>
            </w:r>
            <w:r>
              <w:rPr>
                <w:rFonts w:ascii="宋体" w:eastAsia="宋体" w:hAnsi="宋体" w:cs="宋体" w:hint="eastAsia"/>
                <w:sz w:val="21"/>
                <w:szCs w:val="21"/>
                <w:lang w:eastAsia="zh-CN"/>
              </w:rPr>
              <w:t>100</w:t>
            </w:r>
            <w:r>
              <w:rPr>
                <w:rFonts w:ascii="宋体" w:eastAsia="宋体" w:hAnsi="宋体" w:cs="宋体" w:hint="eastAsia"/>
                <w:sz w:val="21"/>
                <w:szCs w:val="21"/>
              </w:rPr>
              <w:t>分，一般参数每负偏离一项扣1分，</w:t>
            </w:r>
            <w:r>
              <w:rPr>
                <w:rFonts w:ascii="宋体" w:eastAsia="宋体" w:hAnsi="宋体" w:cs="宋体" w:hint="eastAsia"/>
                <w:color w:val="000000"/>
                <w:sz w:val="21"/>
                <w:szCs w:val="21"/>
                <w:lang w:bidi="ar"/>
              </w:rPr>
              <w:t>重点技术参数▲项每负偏离一项扣</w:t>
            </w:r>
            <w:r>
              <w:rPr>
                <w:rFonts w:ascii="宋体" w:eastAsia="宋体" w:hAnsi="宋体" w:cs="宋体" w:hint="eastAsia"/>
                <w:color w:val="000000"/>
                <w:sz w:val="21"/>
                <w:szCs w:val="21"/>
                <w:lang w:eastAsia="zh-CN" w:bidi="ar"/>
              </w:rPr>
              <w:t>10</w:t>
            </w:r>
            <w:r>
              <w:rPr>
                <w:rFonts w:ascii="宋体" w:eastAsia="宋体" w:hAnsi="宋体" w:cs="宋体" w:hint="eastAsia"/>
                <w:color w:val="000000"/>
                <w:sz w:val="21"/>
                <w:szCs w:val="21"/>
                <w:lang w:bidi="ar"/>
              </w:rPr>
              <w:t>分</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 xml:space="preserve">扣完为止。 </w:t>
            </w:r>
          </w:p>
          <w:p>
            <w:pPr>
              <w:spacing w:line="360" w:lineRule="auto"/>
              <w:jc w:val="both"/>
              <w:rPr>
                <w:rFonts w:ascii="宋体" w:eastAsia="宋体" w:hAnsi="宋体" w:cs="宋体" w:hint="eastAsia"/>
                <w:b/>
                <w:sz w:val="21"/>
                <w:szCs w:val="21"/>
              </w:rPr>
            </w:pPr>
            <w:r>
              <w:rPr>
                <w:rFonts w:ascii="宋体" w:eastAsia="宋体" w:hAnsi="宋体" w:cs="宋体" w:hint="eastAsia"/>
                <w:b/>
                <w:sz w:val="21"/>
                <w:szCs w:val="21"/>
              </w:rPr>
              <w:t>证明文件：</w:t>
            </w:r>
          </w:p>
          <w:p>
            <w:pPr>
              <w:spacing w:line="360" w:lineRule="auto"/>
              <w:jc w:val="both"/>
              <w:rPr>
                <w:rFonts w:ascii="宋体" w:eastAsia="宋体" w:hAnsi="宋体" w:cs="宋体" w:hint="eastAsia"/>
                <w:kern w:val="2"/>
                <w:sz w:val="21"/>
                <w:szCs w:val="21"/>
                <w:lang w:eastAsia="zh-CN"/>
              </w:rPr>
            </w:pPr>
            <w:r>
              <w:rPr>
                <w:rFonts w:ascii="宋体" w:eastAsia="宋体" w:hAnsi="宋体" w:cs="宋体" w:hint="eastAsia"/>
                <w:sz w:val="21"/>
                <w:szCs w:val="21"/>
              </w:rPr>
              <w:t>偏离表应如实对应填写所投产品的具体参数。如要求提供“厂家网站截图/说明书/厂家出具的参数文件/检验报告”等证明资料的，需按要求提供相关证明资料；提供的证明资料与所填写内容不一致的，以证明资料为准，原件备查。证明材料不能满足招标要求的，该项按负偏离处理。未按上述要求提供相关材料或无法凭所提供资料判断是否得分的或证明材料不清晰导致无法识别的，均不得相应分数。</w:t>
            </w:r>
          </w:p>
        </w:tc>
      </w:tr>
      <w:tr>
        <w:tblPrEx>
          <w:tblW w:w="5000" w:type="pct"/>
          <w:jc w:val="center"/>
          <w:tblLayout w:type="fixed"/>
          <w:tblCellMar>
            <w:top w:w="0" w:type="dxa"/>
            <w:left w:w="108" w:type="dxa"/>
            <w:bottom w:w="0" w:type="dxa"/>
            <w:right w:w="108" w:type="dxa"/>
          </w:tblCellMar>
        </w:tblPrEx>
        <w:trPr>
          <w:trHeight w:val="20"/>
          <w:jc w:val="center"/>
        </w:trPr>
        <w:tc>
          <w:tcPr>
            <w:tcW w:w="560"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color w:val="0000FF"/>
                <w:sz w:val="21"/>
                <w:szCs w:val="21"/>
              </w:rPr>
            </w:pPr>
            <w:r>
              <w:rPr>
                <w:rFonts w:ascii="宋体" w:eastAsia="宋体" w:hAnsi="宋体" w:cs="宋体" w:hint="eastAsia"/>
                <w:b/>
                <w:bCs/>
                <w:color w:val="0000FF"/>
                <w:sz w:val="21"/>
                <w:szCs w:val="21"/>
              </w:rPr>
              <w:t>3</w:t>
            </w:r>
          </w:p>
        </w:tc>
        <w:tc>
          <w:tcPr>
            <w:tcW w:w="3267" w:type="dxa"/>
            <w:gridSpan w:val="4"/>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color w:val="0000FF"/>
                <w:sz w:val="21"/>
                <w:szCs w:val="21"/>
              </w:rPr>
            </w:pPr>
            <w:r>
              <w:rPr>
                <w:rFonts w:ascii="宋体" w:eastAsia="宋体" w:hAnsi="宋体" w:cs="宋体" w:hint="eastAsia"/>
                <w:b/>
                <w:bCs/>
                <w:color w:val="0000FF"/>
                <w:sz w:val="21"/>
                <w:szCs w:val="21"/>
              </w:rPr>
              <w:t>商务部分</w:t>
            </w:r>
          </w:p>
        </w:tc>
        <w:tc>
          <w:tcPr>
            <w:tcW w:w="4827"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b/>
                <w:bCs/>
                <w:color w:val="0000FF"/>
                <w:sz w:val="21"/>
                <w:szCs w:val="21"/>
                <w:lang w:eastAsia="zh-CN"/>
              </w:rPr>
            </w:pPr>
            <w:r>
              <w:rPr>
                <w:rFonts w:ascii="宋体" w:eastAsia="宋体" w:hAnsi="宋体" w:cs="宋体"/>
                <w:b/>
                <w:bCs/>
                <w:color w:val="0000FF"/>
                <w:sz w:val="21"/>
                <w:szCs w:val="21"/>
                <w:lang w:eastAsia="zh-CN"/>
              </w:rPr>
              <w:t>25</w:t>
            </w:r>
          </w:p>
        </w:tc>
      </w:tr>
      <w:tr>
        <w:tblPrEx>
          <w:tblW w:w="5000" w:type="pct"/>
          <w:jc w:val="center"/>
          <w:tblLayout w:type="fixed"/>
          <w:tblCellMar>
            <w:top w:w="0" w:type="dxa"/>
            <w:left w:w="108" w:type="dxa"/>
            <w:bottom w:w="0" w:type="dxa"/>
            <w:right w:w="108" w:type="dxa"/>
          </w:tblCellMar>
        </w:tblPrEx>
        <w:trPr>
          <w:trHeight w:val="367"/>
          <w:jc w:val="center"/>
        </w:trPr>
        <w:tc>
          <w:tcPr>
            <w:tcW w:w="560" w:type="dxa"/>
            <w:vMerge w:val="restart"/>
            <w:noWrap w:val="0"/>
            <w:vAlign w:val="center"/>
          </w:tcPr>
          <w:p>
            <w:pPr>
              <w:keepNext/>
              <w:keepLines/>
              <w:pageBreakBefore w:val="0"/>
              <w:kinsoku/>
              <w:wordWrap/>
              <w:overflowPunct/>
              <w:topLinePunct w:val="0"/>
              <w:autoSpaceDE/>
              <w:autoSpaceDN/>
              <w:bidi w:val="0"/>
              <w:adjustRightInd/>
              <w:spacing w:line="360" w:lineRule="auto"/>
              <w:jc w:val="center"/>
              <w:textAlignment w:val="auto"/>
              <w:outlineLvl w:val="0"/>
              <w:rPr>
                <w:rFonts w:ascii="宋体" w:eastAsia="宋体" w:hAnsi="宋体" w:cs="宋体" w:hint="eastAsia"/>
                <w:sz w:val="21"/>
                <w:szCs w:val="21"/>
              </w:rPr>
            </w:pPr>
          </w:p>
        </w:tc>
        <w:tc>
          <w:tcPr>
            <w:tcW w:w="680" w:type="dxa"/>
            <w:gridSpan w:val="2"/>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sz w:val="21"/>
                <w:szCs w:val="21"/>
              </w:rPr>
            </w:pPr>
            <w:r>
              <w:rPr>
                <w:rFonts w:ascii="宋体" w:eastAsia="宋体" w:hAnsi="宋体" w:cs="宋体" w:hint="eastAsia"/>
                <w:b/>
                <w:bCs/>
                <w:sz w:val="21"/>
                <w:szCs w:val="21"/>
              </w:rPr>
              <w:t>序号</w:t>
            </w:r>
          </w:p>
        </w:tc>
        <w:tc>
          <w:tcPr>
            <w:tcW w:w="1505"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sz w:val="21"/>
                <w:szCs w:val="21"/>
              </w:rPr>
            </w:pPr>
            <w:r>
              <w:rPr>
                <w:rFonts w:ascii="宋体" w:eastAsia="宋体" w:hAnsi="宋体" w:cs="宋体" w:hint="eastAsia"/>
                <w:b/>
                <w:bCs/>
                <w:sz w:val="21"/>
                <w:szCs w:val="21"/>
              </w:rPr>
              <w:t>评分因素</w:t>
            </w:r>
          </w:p>
        </w:tc>
        <w:tc>
          <w:tcPr>
            <w:tcW w:w="1082"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sz w:val="21"/>
                <w:szCs w:val="21"/>
              </w:rPr>
            </w:pPr>
            <w:r>
              <w:rPr>
                <w:rFonts w:ascii="宋体" w:eastAsia="宋体" w:hAnsi="宋体" w:cs="宋体" w:hint="eastAsia"/>
                <w:b/>
                <w:bCs/>
                <w:sz w:val="21"/>
                <w:szCs w:val="21"/>
              </w:rPr>
              <w:t>权重</w:t>
            </w:r>
          </w:p>
        </w:tc>
        <w:tc>
          <w:tcPr>
            <w:tcW w:w="4827" w:type="dxa"/>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b/>
                <w:bCs/>
                <w:sz w:val="21"/>
                <w:szCs w:val="21"/>
              </w:rPr>
            </w:pPr>
            <w:r>
              <w:rPr>
                <w:rFonts w:ascii="宋体" w:eastAsia="宋体" w:hAnsi="宋体" w:cs="宋体" w:hint="eastAsia"/>
                <w:b/>
                <w:bCs/>
                <w:sz w:val="21"/>
                <w:szCs w:val="21"/>
              </w:rPr>
              <w:t>评分准则</w:t>
            </w:r>
          </w:p>
        </w:tc>
      </w:tr>
      <w:tr>
        <w:tblPrEx>
          <w:tblW w:w="5000" w:type="pct"/>
          <w:jc w:val="center"/>
          <w:tblLayout w:type="fixed"/>
          <w:tblCellMar>
            <w:top w:w="0" w:type="dxa"/>
            <w:left w:w="108" w:type="dxa"/>
            <w:bottom w:w="0" w:type="dxa"/>
            <w:right w:w="108" w:type="dxa"/>
          </w:tblCellMar>
        </w:tblPrEx>
        <w:trPr>
          <w:trHeight w:val="20"/>
          <w:jc w:val="center"/>
        </w:trPr>
        <w:tc>
          <w:tcPr>
            <w:tcW w:w="560" w:type="dxa"/>
            <w:vMerge/>
            <w:noWrap w:val="0"/>
            <w:vAlign w:val="center"/>
          </w:tcPr>
          <w:p>
            <w:pPr>
              <w:keepNext/>
              <w:keepLines/>
              <w:pageBreakBefore w:val="0"/>
              <w:kinsoku/>
              <w:wordWrap/>
              <w:overflowPunct/>
              <w:topLinePunct w:val="0"/>
              <w:autoSpaceDE/>
              <w:autoSpaceDN/>
              <w:bidi w:val="0"/>
              <w:adjustRightInd/>
              <w:spacing w:line="360" w:lineRule="auto"/>
              <w:jc w:val="center"/>
              <w:textAlignment w:val="auto"/>
              <w:outlineLvl w:val="0"/>
              <w:rPr>
                <w:rFonts w:ascii="宋体" w:eastAsia="宋体" w:hAnsi="宋体" w:cs="宋体" w:hint="eastAsia"/>
                <w:sz w:val="21"/>
                <w:szCs w:val="21"/>
              </w:rPr>
            </w:pPr>
          </w:p>
        </w:tc>
        <w:tc>
          <w:tcPr>
            <w:tcW w:w="680" w:type="dxa"/>
            <w:gridSpan w:val="2"/>
            <w:noWrap w:val="0"/>
            <w:vAlign w:val="center"/>
          </w:tcPr>
          <w:p>
            <w:pPr>
              <w:pageBreakBefore w:val="0"/>
              <w:kinsoku/>
              <w:wordWrap/>
              <w:overflowPunct/>
              <w:topLinePunct w:val="0"/>
              <w:autoSpaceDE/>
              <w:autoSpaceDN/>
              <w:bidi w:val="0"/>
              <w:adjustRightInd/>
              <w:spacing w:line="360" w:lineRule="auto"/>
              <w:jc w:val="center"/>
              <w:textAlignment w:val="auto"/>
              <w:rPr>
                <w:rFonts w:ascii="宋体" w:eastAsia="宋体" w:hAnsi="宋体" w:cs="宋体" w:hint="eastAsia"/>
                <w:sz w:val="21"/>
                <w:szCs w:val="21"/>
              </w:rPr>
            </w:pPr>
            <w:r>
              <w:rPr>
                <w:rFonts w:ascii="宋体" w:eastAsia="宋体" w:hAnsi="宋体" w:cs="宋体" w:hint="eastAsia"/>
                <w:sz w:val="21"/>
                <w:szCs w:val="21"/>
              </w:rPr>
              <w:t>1</w:t>
            </w:r>
          </w:p>
        </w:tc>
        <w:tc>
          <w:tcPr>
            <w:tcW w:w="1505" w:type="dxa"/>
            <w:noWrap w:val="0"/>
            <w:vAlign w:val="center"/>
          </w:tcPr>
          <w:p>
            <w:pPr>
              <w:autoSpaceDE w:val="0"/>
              <w:autoSpaceDN w:val="0"/>
              <w:adjustRightInd w:val="0"/>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投标人资质证明</w:t>
            </w:r>
          </w:p>
        </w:tc>
        <w:tc>
          <w:tcPr>
            <w:tcW w:w="1082" w:type="dxa"/>
            <w:noWrap w:val="0"/>
            <w:vAlign w:val="center"/>
          </w:tcPr>
          <w:p>
            <w:pPr>
              <w:widowControl/>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5</w:t>
            </w:r>
          </w:p>
        </w:tc>
        <w:tc>
          <w:tcPr>
            <w:tcW w:w="4827" w:type="dxa"/>
            <w:noWrap w:val="0"/>
            <w:vAlign w:val="center"/>
          </w:tcPr>
          <w:p>
            <w:pPr>
              <w:spacing w:line="360" w:lineRule="auto"/>
              <w:jc w:val="both"/>
              <w:rPr>
                <w:rFonts w:ascii="宋体" w:eastAsia="宋体" w:hAnsi="宋体" w:cs="宋体" w:hint="eastAsia"/>
                <w:sz w:val="21"/>
                <w:szCs w:val="21"/>
                <w:lang w:eastAsia="zh-CN"/>
              </w:rPr>
            </w:pPr>
            <w:r>
              <w:rPr>
                <w:rFonts w:ascii="宋体" w:eastAsia="宋体" w:hAnsi="宋体" w:cs="宋体" w:hint="eastAsia"/>
                <w:b/>
                <w:bCs/>
                <w:sz w:val="21"/>
                <w:szCs w:val="21"/>
              </w:rPr>
              <w:t>（一）评分内容：</w:t>
            </w:r>
          </w:p>
          <w:p>
            <w:pPr>
              <w:wordWrap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1、投标人须提供相关部门颁发的印刷经营许可证，得100分。</w:t>
            </w:r>
          </w:p>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（二）评分依据：</w:t>
            </w:r>
          </w:p>
          <w:p>
            <w:pPr>
              <w:widowControl/>
              <w:spacing w:line="360" w:lineRule="auto"/>
              <w:jc w:val="both"/>
              <w:rPr>
                <w:rFonts w:ascii="宋体" w:eastAsia="宋体" w:hAnsi="宋体" w:cs="宋体" w:hint="eastAsia"/>
                <w:kern w:val="2"/>
                <w:sz w:val="21"/>
                <w:szCs w:val="21"/>
                <w:lang w:eastAsia="zh-CN"/>
              </w:rPr>
            </w:pPr>
            <w:r>
              <w:rPr>
                <w:rFonts w:ascii="宋体" w:eastAsia="宋体" w:hAnsi="宋体" w:cs="宋体" w:hint="eastAsia"/>
                <w:sz w:val="21"/>
                <w:szCs w:val="21"/>
                <w:lang w:eastAsia="zh-CN"/>
              </w:rPr>
              <w:t>要求提供有效的证书扫描件，原件备查，评分中出现无证明资料或证书过期或专家无法凭所提供资料判断是否得分的情况，一律作不得分处理。</w:t>
            </w:r>
          </w:p>
        </w:tc>
      </w:tr>
      <w:tr>
        <w:tblPrEx>
          <w:tblW w:w="5000" w:type="pct"/>
          <w:jc w:val="center"/>
          <w:tblLayout w:type="fixed"/>
          <w:tblCellMar>
            <w:top w:w="0" w:type="dxa"/>
            <w:left w:w="108" w:type="dxa"/>
            <w:bottom w:w="0" w:type="dxa"/>
            <w:right w:w="108" w:type="dxa"/>
          </w:tblCellMar>
        </w:tblPrEx>
        <w:trPr>
          <w:trHeight w:val="20"/>
          <w:jc w:val="center"/>
        </w:trPr>
        <w:tc>
          <w:tcPr>
            <w:tcW w:w="560" w:type="dxa"/>
            <w:vMerge/>
            <w:noWrap w:val="0"/>
            <w:vAlign w:val="center"/>
          </w:tcPr>
          <w:p>
            <w:pPr>
              <w:keepNext/>
              <w:keepLines/>
              <w:pageBreakBefore w:val="0"/>
              <w:kinsoku/>
              <w:wordWrap/>
              <w:overflowPunct/>
              <w:topLinePunct w:val="0"/>
              <w:autoSpaceDE/>
              <w:autoSpaceDN/>
              <w:bidi w:val="0"/>
              <w:adjustRightInd/>
              <w:spacing w:line="360" w:lineRule="auto"/>
              <w:jc w:val="center"/>
              <w:textAlignment w:val="auto"/>
              <w:outlineLvl w:val="2"/>
              <w:rPr>
                <w:rFonts w:ascii="宋体" w:eastAsia="宋体" w:hAnsi="宋体" w:cs="宋体" w:hint="eastAsia"/>
                <w:sz w:val="21"/>
                <w:szCs w:val="21"/>
              </w:rPr>
            </w:pPr>
          </w:p>
        </w:tc>
        <w:tc>
          <w:tcPr>
            <w:tcW w:w="680" w:type="dxa"/>
            <w:gridSpan w:val="2"/>
            <w:noWrap w:val="0"/>
            <w:vAlign w:val="center"/>
          </w:tcPr>
          <w:p>
            <w:pPr>
              <w:pageBreakBefore w:val="0"/>
              <w:kinsoku/>
              <w:wordWrap/>
              <w:overflowPunct/>
              <w:topLinePunct w:val="0"/>
              <w:autoSpaceDE/>
              <w:autoSpaceDN/>
              <w:bidi w:val="0"/>
              <w:adjustRightInd/>
              <w:spacing w:line="360" w:lineRule="auto"/>
              <w:ind w:firstLine="210" w:firstLineChars="1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2</w:t>
            </w:r>
          </w:p>
        </w:tc>
        <w:tc>
          <w:tcPr>
            <w:tcW w:w="1505" w:type="dxa"/>
            <w:noWrap w:val="0"/>
            <w:vAlign w:val="center"/>
          </w:tcPr>
          <w:p>
            <w:pPr>
              <w:wordWrap w:val="0"/>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rPr>
              <w:t>投标人同类项目业绩情况</w:t>
            </w:r>
          </w:p>
        </w:tc>
        <w:tc>
          <w:tcPr>
            <w:tcW w:w="1082" w:type="dxa"/>
            <w:noWrap w:val="0"/>
            <w:vAlign w:val="center"/>
          </w:tcPr>
          <w:p>
            <w:pPr>
              <w:wordWrap w:val="0"/>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5</w:t>
            </w:r>
          </w:p>
        </w:tc>
        <w:tc>
          <w:tcPr>
            <w:tcW w:w="4827" w:type="dxa"/>
            <w:noWrap w:val="0"/>
            <w:vAlign w:val="top"/>
          </w:tcPr>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（一）评分内容：</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投标人自202</w:t>
            </w:r>
            <w:r>
              <w:rPr>
                <w:rFonts w:ascii="宋体" w:eastAsia="宋体" w:hAnsi="宋体" w:cs="宋体" w:hint="eastAsia"/>
                <w:sz w:val="21"/>
                <w:szCs w:val="21"/>
                <w:lang w:eastAsia="zh-CN"/>
              </w:rPr>
              <w:t>2</w:t>
            </w:r>
            <w:r>
              <w:rPr>
                <w:rFonts w:ascii="宋体" w:eastAsia="宋体" w:hAnsi="宋体" w:cs="宋体" w:hint="eastAsia"/>
                <w:sz w:val="21"/>
                <w:szCs w:val="21"/>
              </w:rPr>
              <w:t>年1月1日至本项目</w:t>
            </w:r>
            <w:r>
              <w:rPr>
                <w:rFonts w:ascii="宋体" w:eastAsia="宋体" w:hAnsi="宋体" w:cs="宋体" w:hint="eastAsia"/>
                <w:sz w:val="21"/>
                <w:szCs w:val="21"/>
                <w:lang w:eastAsia="zh-CN"/>
              </w:rPr>
              <w:t>投标截止之日止</w:t>
            </w:r>
            <w:r>
              <w:rPr>
                <w:rFonts w:ascii="宋体" w:eastAsia="宋体" w:hAnsi="宋体" w:cs="宋体" w:hint="eastAsia"/>
                <w:sz w:val="21"/>
                <w:szCs w:val="21"/>
              </w:rPr>
              <w:t>所签订的同类业绩项目合同（以合同签订日期为准），每提供1个同类业绩得</w:t>
            </w:r>
            <w:r>
              <w:rPr>
                <w:rFonts w:ascii="宋体" w:eastAsia="宋体" w:hAnsi="宋体" w:cs="宋体" w:hint="eastAsia"/>
                <w:sz w:val="21"/>
                <w:szCs w:val="21"/>
                <w:lang w:eastAsia="zh-CN"/>
              </w:rPr>
              <w:t>20</w:t>
            </w:r>
            <w:r>
              <w:rPr>
                <w:rFonts w:ascii="宋体" w:eastAsia="宋体" w:hAnsi="宋体" w:cs="宋体" w:hint="eastAsia"/>
                <w:sz w:val="21"/>
                <w:szCs w:val="21"/>
              </w:rPr>
              <w:t>分，最高得</w:t>
            </w:r>
            <w:r>
              <w:rPr>
                <w:rFonts w:ascii="宋体" w:eastAsia="宋体" w:hAnsi="宋体" w:cs="宋体" w:hint="eastAsia"/>
                <w:sz w:val="21"/>
                <w:szCs w:val="21"/>
                <w:lang w:eastAsia="zh-CN"/>
              </w:rPr>
              <w:t>100</w:t>
            </w:r>
            <w:r>
              <w:rPr>
                <w:rFonts w:ascii="宋体" w:eastAsia="宋体" w:hAnsi="宋体" w:cs="宋体" w:hint="eastAsia"/>
                <w:sz w:val="21"/>
                <w:szCs w:val="21"/>
              </w:rPr>
              <w:t>分。</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备注：同一个采购人（合同甲方）只计为一份业绩。</w:t>
            </w:r>
          </w:p>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（二）评分依据：</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要求提供合同关键信息（包括但不限于合同标的、签订时间、双方签章页）作为得分依据，通过合同关键信息无法判断是否得分的，还须同时提供能证明得分的其它证明资料，如合同甲方出具的证明文件或项目报告。</w:t>
            </w:r>
          </w:p>
          <w:p>
            <w:pPr>
              <w:widowControl/>
              <w:spacing w:line="360" w:lineRule="auto"/>
              <w:jc w:val="both"/>
              <w:rPr>
                <w:rFonts w:ascii="宋体" w:eastAsia="宋体" w:hAnsi="宋体" w:cs="宋体" w:hint="eastAsia"/>
                <w:kern w:val="2"/>
                <w:sz w:val="21"/>
                <w:szCs w:val="21"/>
                <w:lang w:eastAsia="zh-CN"/>
              </w:rPr>
            </w:pPr>
            <w:r>
              <w:rPr>
                <w:rFonts w:ascii="宋体" w:eastAsia="宋体" w:hAnsi="宋体" w:cs="宋体" w:hint="eastAsia"/>
                <w:sz w:val="21"/>
                <w:szCs w:val="21"/>
              </w:rPr>
              <w:t>备注：以上资料均要求提供扫描件，原件备查，评分中出现无证明资料或证书过期或专家无法凭所提供资料判断是否得分的情况，一律作不得分处理。</w:t>
            </w:r>
          </w:p>
        </w:tc>
      </w:tr>
      <w:tr>
        <w:tblPrEx>
          <w:tblW w:w="5000" w:type="pct"/>
          <w:jc w:val="center"/>
          <w:tblLayout w:type="fixed"/>
          <w:tblCellMar>
            <w:top w:w="0" w:type="dxa"/>
            <w:left w:w="108" w:type="dxa"/>
            <w:bottom w:w="0" w:type="dxa"/>
            <w:right w:w="108" w:type="dxa"/>
          </w:tblCellMar>
        </w:tblPrEx>
        <w:trPr>
          <w:trHeight w:val="20"/>
          <w:jc w:val="center"/>
        </w:trPr>
        <w:tc>
          <w:tcPr>
            <w:tcW w:w="560" w:type="dxa"/>
            <w:vMerge/>
          </w:tcPr>
          <w:p>
            <w:pPr>
              <w:keepNext/>
              <w:keepLines/>
              <w:pageBreakBefore w:val="0"/>
              <w:kinsoku/>
              <w:wordWrap/>
              <w:overflowPunct/>
              <w:topLinePunct w:val="0"/>
              <w:autoSpaceDE/>
              <w:autoSpaceDN/>
              <w:bidi w:val="0"/>
              <w:adjustRightInd/>
              <w:spacing w:line="360" w:lineRule="auto"/>
              <w:jc w:val="center"/>
              <w:textAlignment w:val="auto"/>
              <w:outlineLvl w:val="2"/>
              <w:rPr>
                <w:rFonts w:ascii="宋体" w:eastAsia="宋体" w:hAnsi="宋体" w:cs="宋体" w:hint="eastAsia"/>
                <w:sz w:val="21"/>
                <w:szCs w:val="21"/>
              </w:rPr>
            </w:pPr>
          </w:p>
        </w:tc>
        <w:tc>
          <w:tcPr>
            <w:tcW w:w="680" w:type="dxa"/>
            <w:gridSpan w:val="2"/>
            <w:vAlign w:val="center"/>
          </w:tcPr>
          <w:p>
            <w:pPr>
              <w:pageBreakBefore w:val="0"/>
              <w:kinsoku/>
              <w:wordWrap/>
              <w:overflowPunct/>
              <w:topLinePunct w:val="0"/>
              <w:autoSpaceDE/>
              <w:autoSpaceDN/>
              <w:bidi w:val="0"/>
              <w:adjustRightInd/>
              <w:spacing w:line="360" w:lineRule="auto"/>
              <w:ind w:firstLine="210" w:firstLineChars="100"/>
              <w:jc w:val="center"/>
              <w:textAlignment w:val="auto"/>
              <w:rPr>
                <w:rFonts w:ascii="宋体" w:eastAsia="宋体" w:hAnsi="宋体" w:cs="宋体"/>
                <w:sz w:val="21"/>
                <w:szCs w:val="21"/>
                <w:lang w:eastAsia="zh-CN"/>
              </w:rPr>
            </w:pPr>
            <w:r>
              <w:rPr>
                <w:rFonts w:ascii="宋体" w:eastAsia="宋体" w:hAnsi="宋体" w:cs="宋体" w:hint="eastAsia"/>
                <w:sz w:val="21"/>
                <w:szCs w:val="21"/>
                <w:lang w:eastAsia="zh-CN"/>
              </w:rPr>
              <w:t>3</w:t>
            </w:r>
          </w:p>
        </w:tc>
        <w:tc>
          <w:tcPr>
            <w:tcW w:w="1505" w:type="dxa"/>
            <w:vAlign w:val="center"/>
          </w:tcPr>
          <w:p>
            <w:pPr>
              <w:widowControl/>
              <w:tabs>
                <w:tab w:val="left" w:pos="840"/>
              </w:tabs>
              <w:snapToGrid w:val="0"/>
              <w:spacing w:line="360" w:lineRule="auto"/>
              <w:jc w:val="center"/>
              <w:rPr>
                <w:rFonts w:ascii="宋体" w:eastAsia="宋体" w:hAnsi="宋体" w:cs="宋体" w:hint="eastAsia"/>
                <w:sz w:val="21"/>
                <w:szCs w:val="21"/>
              </w:rPr>
            </w:pPr>
            <w:r>
              <w:rPr>
                <w:rFonts w:ascii="宋体" w:eastAsia="宋体" w:hAnsi="宋体" w:cs="宋体" w:hint="eastAsia"/>
                <w:sz w:val="21"/>
                <w:szCs w:val="21"/>
              </w:rPr>
              <w:t>配套能力保障</w:t>
            </w:r>
          </w:p>
        </w:tc>
        <w:tc>
          <w:tcPr>
            <w:tcW w:w="1082" w:type="dxa"/>
            <w:vAlign w:val="center"/>
          </w:tcPr>
          <w:p>
            <w:pPr>
              <w:widowControl/>
              <w:snapToGrid w:val="0"/>
              <w:spacing w:line="360" w:lineRule="auto"/>
              <w:jc w:val="center"/>
              <w:rPr>
                <w:rFonts w:ascii="宋体" w:eastAsia="宋体" w:hAnsi="宋体" w:cs="宋体"/>
                <w:sz w:val="21"/>
                <w:szCs w:val="21"/>
              </w:rPr>
            </w:pPr>
            <w:r>
              <w:rPr>
                <w:rFonts w:ascii="宋体" w:eastAsia="宋体" w:hAnsi="宋体" w:cs="宋体"/>
                <w:sz w:val="21"/>
                <w:szCs w:val="21"/>
              </w:rPr>
              <w:t>10</w:t>
            </w:r>
          </w:p>
        </w:tc>
        <w:tc>
          <w:tcPr>
            <w:tcW w:w="4827" w:type="dxa"/>
            <w:vAlign w:val="center"/>
          </w:tcPr>
          <w:p>
            <w:pPr>
              <w:widowControl/>
              <w:snapToGrid w:val="0"/>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（一）评分内容：</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1、投标人有固定的库存仓库能力保障情况：</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 xml:space="preserve">①仓库面积≧200 平方米，得 </w:t>
            </w:r>
            <w:r>
              <w:rPr>
                <w:rFonts w:ascii="宋体" w:eastAsia="宋体" w:hAnsi="宋体" w:cs="宋体" w:hint="eastAsia"/>
                <w:sz w:val="21"/>
                <w:szCs w:val="21"/>
                <w:lang w:eastAsia="zh-CN"/>
              </w:rPr>
              <w:t>40</w:t>
            </w:r>
            <w:r>
              <w:rPr>
                <w:rFonts w:ascii="宋体" w:eastAsia="宋体" w:hAnsi="宋体" w:cs="宋体" w:hint="eastAsia"/>
                <w:sz w:val="21"/>
                <w:szCs w:val="21"/>
              </w:rPr>
              <w:t>分；</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②100 平方米≤仓库面积＜200 平方米，得</w:t>
            </w:r>
            <w:r>
              <w:rPr>
                <w:rFonts w:ascii="宋体" w:eastAsia="宋体" w:hAnsi="宋体" w:cs="宋体" w:hint="eastAsia"/>
                <w:sz w:val="21"/>
                <w:szCs w:val="21"/>
                <w:lang w:eastAsia="zh-CN"/>
              </w:rPr>
              <w:t>20</w:t>
            </w:r>
            <w:r>
              <w:rPr>
                <w:rFonts w:ascii="宋体" w:eastAsia="宋体" w:hAnsi="宋体" w:cs="宋体" w:hint="eastAsia"/>
                <w:sz w:val="21"/>
                <w:szCs w:val="21"/>
              </w:rPr>
              <w:t>分；</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 xml:space="preserve">③仓库面积＜100 平方米，得 </w:t>
            </w:r>
            <w:r>
              <w:rPr>
                <w:rFonts w:ascii="宋体" w:eastAsia="宋体" w:hAnsi="宋体" w:cs="宋体" w:hint="eastAsia"/>
                <w:sz w:val="21"/>
                <w:szCs w:val="21"/>
                <w:lang w:eastAsia="zh-CN"/>
              </w:rPr>
              <w:t>10</w:t>
            </w:r>
            <w:r>
              <w:rPr>
                <w:rFonts w:ascii="宋体" w:eastAsia="宋体" w:hAnsi="宋体" w:cs="宋体" w:hint="eastAsia"/>
                <w:sz w:val="21"/>
                <w:szCs w:val="21"/>
              </w:rPr>
              <w:t>分；</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2、投标人为此项目拟投入专用车辆数量情况：</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①专用运输车辆≧3辆，得</w:t>
            </w:r>
            <w:r>
              <w:rPr>
                <w:rFonts w:ascii="宋体" w:eastAsia="宋体" w:hAnsi="宋体" w:cs="宋体" w:hint="eastAsia"/>
                <w:sz w:val="21"/>
                <w:szCs w:val="21"/>
                <w:lang w:eastAsia="zh-CN"/>
              </w:rPr>
              <w:t>60</w:t>
            </w:r>
            <w:r>
              <w:rPr>
                <w:rFonts w:ascii="宋体" w:eastAsia="宋体" w:hAnsi="宋体" w:cs="宋体" w:hint="eastAsia"/>
                <w:sz w:val="21"/>
                <w:szCs w:val="21"/>
              </w:rPr>
              <w:t>分；</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 xml:space="preserve">②2 辆≤专用运输车辆＜3 辆，得 </w:t>
            </w:r>
            <w:r>
              <w:rPr>
                <w:rFonts w:ascii="宋体" w:eastAsia="宋体" w:hAnsi="宋体" w:cs="宋体" w:hint="eastAsia"/>
                <w:sz w:val="21"/>
                <w:szCs w:val="21"/>
                <w:lang w:eastAsia="zh-CN"/>
              </w:rPr>
              <w:t>40</w:t>
            </w:r>
            <w:r>
              <w:rPr>
                <w:rFonts w:ascii="宋体" w:eastAsia="宋体" w:hAnsi="宋体" w:cs="宋体" w:hint="eastAsia"/>
                <w:sz w:val="21"/>
                <w:szCs w:val="21"/>
              </w:rPr>
              <w:t>分；</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 xml:space="preserve">③专用运输车辆＜2 辆，得 </w:t>
            </w:r>
            <w:r>
              <w:rPr>
                <w:rFonts w:ascii="宋体" w:eastAsia="宋体" w:hAnsi="宋体" w:cs="宋体" w:hint="eastAsia"/>
                <w:sz w:val="21"/>
                <w:szCs w:val="21"/>
                <w:lang w:eastAsia="zh-CN"/>
              </w:rPr>
              <w:t>20</w:t>
            </w:r>
            <w:r>
              <w:rPr>
                <w:rFonts w:ascii="宋体" w:eastAsia="宋体" w:hAnsi="宋体" w:cs="宋体" w:hint="eastAsia"/>
                <w:sz w:val="21"/>
                <w:szCs w:val="21"/>
              </w:rPr>
              <w:t xml:space="preserve"> 分；</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没有或者其他情况不得分。</w:t>
            </w:r>
          </w:p>
          <w:p>
            <w:pPr>
              <w:widowControl/>
              <w:snapToGrid w:val="0"/>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（二）评分依据：</w:t>
            </w:r>
          </w:p>
          <w:p>
            <w:pPr>
              <w:widowControl/>
              <w:snapToGrid w:val="0"/>
              <w:spacing w:line="360" w:lineRule="auto"/>
              <w:jc w:val="both"/>
              <w:rPr>
                <w:rFonts w:ascii="宋体" w:eastAsia="宋体" w:hAnsi="宋体" w:cs="宋体" w:hint="eastAsia"/>
                <w:sz w:val="21"/>
                <w:szCs w:val="21"/>
              </w:rPr>
            </w:pPr>
            <w:r>
              <w:rPr>
                <w:rFonts w:ascii="宋体" w:eastAsia="宋体" w:hAnsi="宋体" w:cs="宋体" w:hint="eastAsia"/>
                <w:sz w:val="21"/>
                <w:szCs w:val="21"/>
              </w:rPr>
              <w:t>1、要求提供租赁合同或自有产权证明，如为租赁性质需再提供近</w:t>
            </w:r>
            <w:r>
              <w:rPr>
                <w:rFonts w:ascii="宋体" w:eastAsia="宋体" w:hAnsi="宋体" w:cs="宋体" w:hint="eastAsia"/>
                <w:sz w:val="21"/>
                <w:szCs w:val="21"/>
                <w:lang w:eastAsia="zh-CN"/>
              </w:rPr>
              <w:t>三</w:t>
            </w:r>
            <w:r>
              <w:rPr>
                <w:rFonts w:ascii="宋体" w:eastAsia="宋体" w:hAnsi="宋体" w:cs="宋体" w:hint="eastAsia"/>
                <w:sz w:val="21"/>
                <w:szCs w:val="21"/>
              </w:rPr>
              <w:t>个月的每个月转账凭证以及对应的租金发票扫描件，提供不齐全的不得分。</w:t>
            </w:r>
          </w:p>
          <w:p>
            <w:pPr>
              <w:widowControl/>
              <w:snapToGrid w:val="0"/>
              <w:spacing w:line="360" w:lineRule="auto"/>
              <w:jc w:val="both"/>
              <w:rPr>
                <w:rFonts w:ascii="宋体" w:eastAsia="宋体" w:hAnsi="宋体" w:cs="宋体" w:hint="eastAsia"/>
                <w:sz w:val="21"/>
                <w:szCs w:val="21"/>
              </w:rPr>
            </w:pPr>
            <w:r>
              <w:rPr>
                <w:rFonts w:ascii="宋体" w:eastAsia="宋体" w:hAnsi="宋体" w:cs="宋体" w:hint="eastAsia"/>
                <w:sz w:val="21"/>
                <w:szCs w:val="21"/>
              </w:rPr>
              <w:t>2、要求提供的车辆需适用于载货物，</w:t>
            </w:r>
            <w:r>
              <w:rPr>
                <w:rFonts w:ascii="宋体" w:eastAsia="宋体" w:hAnsi="宋体" w:cs="宋体" w:hint="eastAsia"/>
                <w:sz w:val="21"/>
                <w:szCs w:val="21"/>
                <w:lang w:eastAsia="zh-CN"/>
              </w:rPr>
              <w:t>若提供自有车辆的，车辆需</w:t>
            </w:r>
            <w:r>
              <w:rPr>
                <w:rFonts w:ascii="宋体" w:eastAsia="宋体" w:hAnsi="宋体" w:cs="宋体" w:hint="eastAsia"/>
                <w:sz w:val="21"/>
                <w:szCs w:val="21"/>
              </w:rPr>
              <w:t>登记在投标人名下的，需提供有效的行驶证扫描件、车辆全身照（包括车辆内部照）等作为证明材料，提供法人或股东名下车辆不得分。若提供车辆租赁合同的，其租赁合同采购方为投标人，提供有效的车辆行驶证、车辆实拍全身图片（包括车辆内部照）、租赁合同、近</w:t>
            </w:r>
            <w:r>
              <w:rPr>
                <w:rFonts w:ascii="宋体" w:eastAsia="宋体" w:hAnsi="宋体" w:cs="宋体" w:hint="eastAsia"/>
                <w:sz w:val="21"/>
                <w:szCs w:val="21"/>
                <w:lang w:eastAsia="zh-CN"/>
              </w:rPr>
              <w:t>三</w:t>
            </w:r>
            <w:r>
              <w:rPr>
                <w:rFonts w:ascii="宋体" w:eastAsia="宋体" w:hAnsi="宋体" w:cs="宋体" w:hint="eastAsia"/>
                <w:sz w:val="21"/>
                <w:szCs w:val="21"/>
              </w:rPr>
              <w:t xml:space="preserve">个月的每个月租赁转账凭证及对应的租金发票扫描件，车辆行驶证上所有人需与出租方名称一致，提供不齐全的不得分。 </w:t>
            </w:r>
          </w:p>
          <w:p>
            <w:pPr>
              <w:snapToGrid w:val="0"/>
              <w:spacing w:line="360" w:lineRule="auto"/>
              <w:jc w:val="both"/>
              <w:rPr>
                <w:rFonts w:ascii="宋体" w:eastAsia="宋体" w:hAnsi="宋体" w:cs="宋体" w:hint="eastAsia"/>
                <w:sz w:val="21"/>
                <w:szCs w:val="21"/>
              </w:rPr>
            </w:pPr>
            <w:r>
              <w:rPr>
                <w:rFonts w:ascii="宋体" w:eastAsia="宋体" w:hAnsi="宋体" w:cs="宋体" w:hint="eastAsia"/>
                <w:sz w:val="21"/>
                <w:szCs w:val="21"/>
              </w:rPr>
              <w:t>3、如投标人为新成立且成立时间不足</w:t>
            </w:r>
            <w:r>
              <w:rPr>
                <w:rFonts w:ascii="宋体" w:eastAsia="宋体" w:hAnsi="宋体" w:cs="宋体" w:hint="eastAsia"/>
                <w:sz w:val="21"/>
                <w:szCs w:val="21"/>
                <w:lang w:eastAsia="zh-CN"/>
              </w:rPr>
              <w:t>三</w:t>
            </w:r>
            <w:r>
              <w:rPr>
                <w:rFonts w:ascii="宋体" w:eastAsia="宋体" w:hAnsi="宋体" w:cs="宋体" w:hint="eastAsia"/>
                <w:sz w:val="21"/>
                <w:szCs w:val="21"/>
              </w:rPr>
              <w:t>个月的，需提供成立月的次月至开标日期间的上述1和2要求的相关证明文件。</w:t>
            </w:r>
          </w:p>
          <w:p>
            <w:pPr>
              <w:snapToGrid w:val="0"/>
              <w:spacing w:line="360" w:lineRule="auto"/>
              <w:jc w:val="both"/>
              <w:rPr>
                <w:rFonts w:ascii="宋体" w:eastAsia="宋体" w:hAnsi="宋体" w:cs="宋体" w:hint="eastAsia"/>
                <w:sz w:val="21"/>
                <w:szCs w:val="21"/>
              </w:rPr>
            </w:pPr>
            <w:r>
              <w:rPr>
                <w:rFonts w:ascii="宋体" w:eastAsia="宋体" w:hAnsi="宋体" w:cs="宋体" w:hint="eastAsia"/>
                <w:sz w:val="21"/>
                <w:szCs w:val="21"/>
              </w:rPr>
              <w:t>4、以上证明文件均提供扫描件，未提供完整证明材料或提供不清晰导致评委无法识别的，均不得分。</w:t>
            </w:r>
          </w:p>
        </w:tc>
      </w:tr>
      <w:tr>
        <w:tblPrEx>
          <w:tblW w:w="5000" w:type="pct"/>
          <w:jc w:val="center"/>
          <w:tblLayout w:type="fixed"/>
          <w:tblCellMar>
            <w:top w:w="0" w:type="dxa"/>
            <w:left w:w="108" w:type="dxa"/>
            <w:bottom w:w="0" w:type="dxa"/>
            <w:right w:w="108" w:type="dxa"/>
          </w:tblCellMar>
        </w:tblPrEx>
        <w:trPr>
          <w:trHeight w:val="20"/>
          <w:jc w:val="center"/>
        </w:trPr>
        <w:tc>
          <w:tcPr>
            <w:tcW w:w="560" w:type="dxa"/>
            <w:vMerge/>
          </w:tcPr>
          <w:p>
            <w:pPr>
              <w:keepNext/>
              <w:keepLines/>
              <w:pageBreakBefore w:val="0"/>
              <w:kinsoku/>
              <w:wordWrap/>
              <w:overflowPunct/>
              <w:topLinePunct w:val="0"/>
              <w:autoSpaceDE/>
              <w:autoSpaceDN/>
              <w:bidi w:val="0"/>
              <w:adjustRightInd/>
              <w:spacing w:line="360" w:lineRule="auto"/>
              <w:jc w:val="center"/>
              <w:textAlignment w:val="auto"/>
              <w:outlineLvl w:val="2"/>
              <w:rPr>
                <w:rFonts w:ascii="宋体" w:eastAsia="宋体" w:hAnsi="宋体" w:cs="宋体" w:hint="eastAsia"/>
                <w:sz w:val="21"/>
                <w:szCs w:val="21"/>
              </w:rPr>
            </w:pPr>
          </w:p>
        </w:tc>
        <w:tc>
          <w:tcPr>
            <w:tcW w:w="680" w:type="dxa"/>
            <w:gridSpan w:val="2"/>
            <w:vAlign w:val="center"/>
          </w:tcPr>
          <w:p>
            <w:pPr>
              <w:pageBreakBefore w:val="0"/>
              <w:kinsoku/>
              <w:wordWrap/>
              <w:overflowPunct/>
              <w:topLinePunct w:val="0"/>
              <w:autoSpaceDE/>
              <w:autoSpaceDN/>
              <w:bidi w:val="0"/>
              <w:adjustRightInd/>
              <w:spacing w:line="360" w:lineRule="auto"/>
              <w:ind w:firstLine="210" w:firstLineChars="100"/>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4</w:t>
            </w:r>
          </w:p>
        </w:tc>
        <w:tc>
          <w:tcPr>
            <w:tcW w:w="1505" w:type="dxa"/>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rPr>
              <w:t>诚信评价</w:t>
            </w:r>
          </w:p>
        </w:tc>
        <w:tc>
          <w:tcPr>
            <w:tcW w:w="1082" w:type="dxa"/>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rPr>
              <w:t>5</w:t>
            </w:r>
          </w:p>
        </w:tc>
        <w:tc>
          <w:tcPr>
            <w:tcW w:w="4827" w:type="dxa"/>
            <w:vAlign w:val="top"/>
          </w:tcPr>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（一）评分内容：</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供应商存在《深圳市财政局政府采购供应商信用信息管理办法》（深财规〔2023〕3号）列明的一般行政处罚信息、一般违法失信记录信息的，本项不得分，不存在上述情形的本项得</w:t>
            </w:r>
            <w:r>
              <w:rPr>
                <w:rFonts w:ascii="宋体" w:eastAsia="宋体" w:hAnsi="宋体" w:cs="宋体" w:hint="eastAsia"/>
                <w:sz w:val="21"/>
                <w:szCs w:val="21"/>
                <w:lang w:eastAsia="zh-CN"/>
              </w:rPr>
              <w:t>100</w:t>
            </w:r>
            <w:r>
              <w:rPr>
                <w:rFonts w:ascii="宋体" w:eastAsia="宋体" w:hAnsi="宋体" w:cs="宋体" w:hint="eastAsia"/>
                <w:sz w:val="21"/>
                <w:szCs w:val="21"/>
              </w:rPr>
              <w:t>分。供应商无需提供任何证明材料，评标过程中由工作人员向评审委员会提供有关供应商诚信查询结果。</w:t>
            </w:r>
          </w:p>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（二）评分依据：</w:t>
            </w:r>
          </w:p>
          <w:p>
            <w:pPr>
              <w:spacing w:line="360" w:lineRule="auto"/>
              <w:jc w:val="both"/>
              <w:rPr>
                <w:rFonts w:ascii="宋体" w:eastAsia="宋体" w:hAnsi="宋体" w:cs="宋体" w:hint="eastAsia"/>
                <w:kern w:val="2"/>
                <w:sz w:val="21"/>
                <w:szCs w:val="21"/>
                <w:lang w:eastAsia="zh-CN"/>
              </w:rPr>
            </w:pPr>
            <w:r>
              <w:rPr>
                <w:rFonts w:ascii="宋体" w:eastAsia="宋体" w:hAnsi="宋体" w:cs="宋体" w:hint="eastAsia"/>
                <w:sz w:val="21"/>
                <w:szCs w:val="21"/>
              </w:rPr>
              <w:t>查询渠道：通过“信用中国”、“中国政府采购网”（www.ccgp.gov.cn）以及“深圳市政府采购监管网”（http://zfcg.sz.gov.cn）查询供应商信用信息，信用信息以</w:t>
            </w:r>
            <w:r>
              <w:rPr>
                <w:rFonts w:ascii="宋体" w:eastAsia="宋体" w:hAnsi="宋体" w:cs="宋体" w:hint="eastAsia"/>
                <w:sz w:val="21"/>
                <w:szCs w:val="21"/>
                <w:lang w:eastAsia="zh-CN"/>
              </w:rPr>
              <w:t>代理机构</w:t>
            </w:r>
            <w:r>
              <w:rPr>
                <w:rFonts w:ascii="宋体" w:eastAsia="宋体" w:hAnsi="宋体" w:cs="宋体" w:hint="eastAsia"/>
                <w:sz w:val="21"/>
                <w:szCs w:val="21"/>
              </w:rPr>
              <w:t>开标当日的查询结果为准。</w:t>
            </w:r>
          </w:p>
        </w:tc>
      </w:tr>
    </w:tbl>
    <w:p>
      <w:pPr>
        <w:bidi w:val="0"/>
        <w:spacing w:line="360" w:lineRule="auto"/>
        <w:ind w:firstLine="440" w:firstLineChars="200"/>
        <w:rPr>
          <w:rFonts w:ascii="宋体" w:eastAsia="宋体" w:hAnsi="宋体" w:cs="宋体" w:hint="eastAsia"/>
          <w:sz w:val="22"/>
          <w:szCs w:val="22"/>
        </w:rPr>
      </w:pPr>
      <w:r>
        <w:rPr>
          <w:rFonts w:ascii="宋体" w:eastAsia="宋体" w:hAnsi="宋体" w:cs="宋体" w:hint="eastAsia"/>
          <w:sz w:val="22"/>
          <w:szCs w:val="22"/>
        </w:rPr>
        <w:t>备注：1.对于要求提供学历、学位证书的，须明确要求投标人提供证书复印件以及学信网查询记录。对于较早颁发的学历学位证书学信网无法查询的，除要求提供证书复印件外，还应要求提供毕业院校、人社部门等颁发机构或监管机构等单位出具的证明，否则应作不得分处理。</w:t>
      </w:r>
    </w:p>
    <w:p>
      <w:pPr>
        <w:bidi w:val="0"/>
        <w:spacing w:line="360" w:lineRule="auto"/>
        <w:ind w:firstLine="440" w:firstLineChars="200"/>
        <w:rPr>
          <w:rFonts w:ascii="宋体" w:eastAsia="宋体" w:hAnsi="宋体" w:cs="宋体" w:hint="eastAsia"/>
          <w:b/>
          <w:bCs/>
          <w:color w:val="FF0000"/>
          <w:sz w:val="22"/>
          <w:szCs w:val="22"/>
        </w:rPr>
      </w:pPr>
      <w:r>
        <w:rPr>
          <w:rFonts w:ascii="宋体" w:eastAsia="宋体" w:hAnsi="宋体" w:cs="宋体" w:hint="eastAsia"/>
          <w:b/>
          <w:bCs/>
          <w:color w:val="FF0000"/>
          <w:sz w:val="22"/>
          <w:szCs w:val="22"/>
        </w:rPr>
        <w:t>2.若采购人将产品节能要求纳入评审因素，需考察属于本项目的所投产品。</w:t>
      </w:r>
    </w:p>
    <w:p>
      <w:pPr>
        <w:widowControl w:val="0"/>
        <w:jc w:val="both"/>
        <w:rPr>
          <w:rFonts w:ascii="Calibri" w:eastAsia="宋体" w:hAnsi="Calibri"/>
          <w:b/>
          <w:kern w:val="2"/>
          <w:sz w:val="84"/>
          <w:szCs w:val="84"/>
          <w:lang w:eastAsia="zh-CN"/>
        </w:rPr>
      </w:pPr>
    </w:p>
    <w:p>
      <w:pPr>
        <w:rPr>
          <w:rFonts w:ascii="Calibri" w:eastAsia="宋体" w:hAnsi="Calibri"/>
          <w:b/>
          <w:kern w:val="2"/>
          <w:sz w:val="84"/>
          <w:szCs w:val="84"/>
          <w:lang w:eastAsia="zh-CN"/>
        </w:rPr>
      </w:pPr>
    </w:p>
    <w:p>
      <w:pPr>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自行采购</w:t>
      </w: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招标文件</w:t>
      </w:r>
    </w:p>
    <w:p>
      <w:pPr>
        <w:widowControl w:val="0"/>
        <w:jc w:val="center"/>
        <w:rPr>
          <w:rFonts w:ascii="Calibri" w:eastAsia="宋体" w:hAnsi="Calibri"/>
          <w:b/>
          <w:kern w:val="2"/>
          <w:sz w:val="52"/>
          <w:szCs w:val="52"/>
          <w:lang w:eastAsia="zh-CN"/>
        </w:rPr>
      </w:pPr>
      <w:r>
        <w:rPr>
          <w:rFonts w:ascii="Calibri" w:eastAsia="宋体" w:hAnsi="Calibri" w:cstheme="minorBidi" w:hint="eastAsia"/>
          <w:b/>
          <w:kern w:val="2"/>
          <w:sz w:val="52"/>
          <w:szCs w:val="52"/>
          <w:lang w:eastAsia="zh-CN"/>
        </w:rPr>
        <w:t>（货物类）</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深圳市千里招标代理有限公司</w:t>
      </w: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w:t>
      </w:r>
      <w:r>
        <w:rPr>
          <w:rFonts w:ascii="Calibri" w:eastAsia="宋体" w:hAnsi="Calibri" w:cstheme="minorBidi"/>
          <w:b/>
          <w:kern w:val="2"/>
          <w:sz w:val="44"/>
          <w:szCs w:val="44"/>
          <w:lang w:eastAsia="zh-CN"/>
        </w:rPr>
        <w:t>20</w:t>
      </w:r>
      <w:r>
        <w:rPr>
          <w:rFonts w:ascii="Calibri" w:eastAsia="宋体" w:hAnsi="Calibri" w:cstheme="minorBidi" w:hint="eastAsia"/>
          <w:b/>
          <w:kern w:val="2"/>
          <w:sz w:val="44"/>
          <w:szCs w:val="44"/>
          <w:lang w:eastAsia="zh-CN"/>
        </w:rPr>
        <w:t>24</w:t>
      </w:r>
      <w:r>
        <w:rPr>
          <w:rFonts w:ascii="宋体" w:eastAsia="宋体" w:hAnsi="宋体" w:cstheme="minorBidi" w:hint="eastAsia"/>
          <w:b/>
          <w:kern w:val="2"/>
          <w:sz w:val="44"/>
          <w:szCs w:val="44"/>
          <w:lang w:eastAsia="zh-CN"/>
        </w:rPr>
        <w:t>）</w:t>
      </w:r>
    </w:p>
    <w:p>
      <w:pPr>
        <w:widowControl w:val="0"/>
        <w:ind w:firstLine="6760" w:firstLineChars="1300"/>
        <w:jc w:val="center"/>
        <w:rPr>
          <w:rFonts w:ascii="Calibri" w:eastAsia="宋体" w:hAnsi="Calibri"/>
          <w:bCs/>
          <w:color w:val="FF0000"/>
          <w:kern w:val="2"/>
          <w:sz w:val="21"/>
          <w:szCs w:val="22"/>
          <w:lang w:eastAsia="zh-CN"/>
        </w:rPr>
      </w:pPr>
      <w:r>
        <w:rPr>
          <w:rFonts w:ascii="Calibri" w:eastAsia="宋体" w:hAnsi="Calibri" w:cstheme="minorBidi" w:hint="eastAsia"/>
          <w:b/>
          <w:color w:val="FF0000"/>
          <w:kern w:val="2"/>
          <w:sz w:val="52"/>
          <w:szCs w:val="52"/>
          <w:lang w:eastAsia="zh-CN"/>
        </w:rPr>
        <w:br w:type="page"/>
      </w:r>
    </w:p>
    <w:p>
      <w:pPr>
        <w:widowControl w:val="0"/>
        <w:ind w:firstLine="3640" w:firstLineChars="1300"/>
        <w:jc w:val="both"/>
        <w:rPr>
          <w:rFonts w:ascii="宋体" w:eastAsia="宋体" w:hAnsi="宋体"/>
          <w:color w:val="FF0000"/>
          <w:kern w:val="2"/>
          <w:sz w:val="21"/>
          <w:szCs w:val="21"/>
          <w:lang w:eastAsia="zh-CN"/>
        </w:rPr>
      </w:pPr>
      <w:bookmarkStart w:id="1" w:name="_Hlk73564573"/>
      <w:r>
        <w:rPr>
          <w:rFonts w:ascii="宋体" w:eastAsia="黑体" w:hAnsi="宋体" w:cstheme="minorBidi" w:hint="eastAsia"/>
          <w:b/>
          <w:bCs/>
          <w:color w:val="FF0000"/>
          <w:kern w:val="44"/>
          <w:sz w:val="28"/>
          <w:szCs w:val="44"/>
          <w:lang w:eastAsia="zh-CN"/>
        </w:rPr>
        <w:t>警示条款</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w:t>
      </w:r>
      <w:r>
        <w:rPr>
          <w:rFonts w:ascii="宋体" w:eastAsia="宋体" w:hAnsi="宋体" w:cstheme="minorBidi" w:hint="eastAsia"/>
          <w:b/>
          <w:bCs/>
          <w:color w:val="FF0000"/>
          <w:kern w:val="2"/>
          <w:sz w:val="20"/>
          <w:szCs w:val="20"/>
          <w:lang w:eastAsia="zh-CN"/>
        </w:rPr>
        <w:t>《深圳经济特区政府采购条例》第五十七条</w:t>
      </w:r>
      <w:r>
        <w:rPr>
          <w:rFonts w:ascii="宋体" w:eastAsia="宋体" w:hAnsi="宋体" w:cstheme="minorBidi" w:hint="eastAsia"/>
          <w:color w:val="FF0000"/>
          <w:kern w:val="2"/>
          <w:sz w:val="20"/>
          <w:szCs w:val="20"/>
          <w:lang w:eastAsia="zh-CN"/>
        </w:rPr>
        <w:t>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（一）在采购活动中应当回避而未回避的；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（二）未按本条例规定签订、履行采购合同，造成严重后果的；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（三）隐瞒真实情况，提供虚假资料的；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（四）以非法手段排斥其他供应商参与竞争的；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（五）与其他采购参加人串通投标的；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（六）恶意投诉的；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（七）向采购项目相关人行贿或者提供其他不当利益的；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（八）阻碍、抗拒主管部门监督检查的；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（九）其他违反本条例规定的行为。</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二、《深圳经济特区政府采购条例实施细则》第七十五条</w:t>
      </w:r>
      <w:r>
        <w:rPr>
          <w:rFonts w:ascii="宋体" w:eastAsia="宋体" w:hAnsi="宋体" w:cstheme="minorBidi" w:hint="eastAsia"/>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三、《深圳经济特区政府采购条例实施细则》第七十七条</w:t>
      </w:r>
      <w:r>
        <w:rPr>
          <w:rFonts w:ascii="宋体" w:eastAsia="宋体" w:hAnsi="宋体" w:cstheme="minorBidi" w:hint="eastAsia"/>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投标供应商不能提供项目负责人或者主要技术人员的劳动合同、社会保险等劳动关系证明材料的，视为存在前款第（三）项规定的情形。</w:t>
      </w:r>
    </w:p>
    <w:bookmarkEnd w:id="1"/>
    <w:p>
      <w:pPr>
        <w:widowControl w:val="0"/>
        <w:ind w:firstLine="420" w:firstLineChars="200"/>
        <w:jc w:val="both"/>
        <w:rPr>
          <w:rFonts w:ascii="Calibri" w:eastAsia="宋体" w:hAnsi="Calibri"/>
          <w:b/>
          <w:color w:val="FF0000"/>
          <w:kern w:val="2"/>
          <w:sz w:val="21"/>
          <w:szCs w:val="22"/>
          <w:lang w:eastAsia="zh-CN"/>
        </w:rPr>
      </w:pPr>
      <w:r>
        <w:rPr>
          <w:rFonts w:ascii="Calibri" w:eastAsia="宋体" w:hAnsi="Calibri" w:cstheme="minorBidi" w:hint="eastAsia"/>
          <w:b/>
          <w:color w:val="FF0000"/>
          <w:kern w:val="2"/>
          <w:sz w:val="21"/>
          <w:szCs w:val="22"/>
          <w:lang w:eastAsia="zh-CN"/>
        </w:rPr>
        <w:t>四、请投标供应商阅读《政府采购违法行为风险知悉确认书》（内容详见“投标文件附件（信息不公开部分）”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五、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为避免出现不同供应商投标文件的文件制作机器码、文件创建标识码、IP地址一致的异常情况，建议各供应商编制、上传投标文件时不要使用公共电脑设备或公共网络。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ascii="宋体" w:eastAsia="宋体" w:hAnsi="宋体" w:cstheme="minorBidi" w:hint="eastAsia"/>
          <w:color w:val="FF0000"/>
          <w:kern w:val="2"/>
          <w:sz w:val="20"/>
          <w:szCs w:val="20"/>
          <w:lang w:eastAsia="zh-CN"/>
        </w:rPr>
        <w:t>取消参与本市政府采购资格</w:t>
      </w:r>
      <w:r>
        <w:rPr>
          <w:rFonts w:ascii="Calibri" w:eastAsia="宋体" w:hAnsi="宋体" w:cstheme="minorBidi" w:hint="eastAsia"/>
          <w:color w:val="FF0000"/>
          <w:kern w:val="2"/>
          <w:sz w:val="20"/>
          <w:szCs w:val="20"/>
          <w:lang w:eastAsia="zh-CN"/>
        </w:rPr>
        <w:t>、</w:t>
      </w:r>
      <w:r>
        <w:rPr>
          <w:rFonts w:ascii="宋体" w:eastAsia="宋体" w:hAnsi="宋体" w:cstheme="minorBidi" w:hint="eastAsia"/>
          <w:color w:val="FF0000"/>
          <w:kern w:val="2"/>
          <w:sz w:val="20"/>
          <w:szCs w:val="20"/>
          <w:lang w:eastAsia="zh-CN"/>
        </w:rPr>
        <w:t>依法吊销其营业</w:t>
      </w:r>
      <w:r>
        <w:rPr>
          <w:rFonts w:ascii="Calibri" w:eastAsia="宋体" w:hAnsi="宋体" w:cstheme="minorBidi" w:hint="eastAsia"/>
          <w:color w:val="FF0000"/>
          <w:kern w:val="2"/>
          <w:sz w:val="20"/>
          <w:szCs w:val="20"/>
          <w:lang w:eastAsia="zh-CN"/>
        </w:rPr>
        <w:t>执照等行政处罚，</w:t>
      </w:r>
      <w:r>
        <w:rPr>
          <w:rFonts w:ascii="宋体" w:eastAsia="宋体" w:hAnsi="宋体" w:cstheme="minorBidi" w:hint="eastAsia"/>
          <w:color w:val="FF0000"/>
          <w:kern w:val="2"/>
          <w:sz w:val="20"/>
          <w:szCs w:val="20"/>
          <w:lang w:eastAsia="zh-CN"/>
        </w:rPr>
        <w:t>构成犯罪的，依法追究刑事责任</w:t>
      </w:r>
      <w:r>
        <w:rPr>
          <w:rFonts w:ascii="Calibri" w:eastAsia="宋体" w:hAnsi="Calibri" w:cstheme="minorBidi" w:hint="eastAsia"/>
          <w:bCs/>
          <w:color w:val="FF0000"/>
          <w:kern w:val="2"/>
          <w:sz w:val="20"/>
          <w:szCs w:val="20"/>
          <w:lang w:eastAsia="zh-CN"/>
        </w:rPr>
        <w:t>，请各供应商独立编制、上传投标文件，妥善保管和使用电子秘钥。</w:t>
      </w:r>
    </w:p>
    <w:p>
      <w:pPr>
        <w:widowControl w:val="0"/>
        <w:snapToGrid w:val="0"/>
        <w:spacing w:line="360" w:lineRule="exact"/>
        <w:jc w:val="left"/>
        <w:rPr>
          <w:rFonts w:ascii="宋体" w:eastAsia="宋体" w:hAnsi="宋体" w:cs="宋体"/>
          <w:color w:val="000000"/>
          <w:lang w:eastAsia="zh-CN"/>
        </w:rPr>
      </w:pPr>
    </w:p>
    <w:p>
      <w:pPr>
        <w:widowControl w:val="0"/>
        <w:snapToGrid w:val="0"/>
        <w:spacing w:line="360" w:lineRule="exact"/>
        <w:jc w:val="left"/>
        <w:rPr>
          <w:rFonts w:ascii="宋体" w:eastAsia="宋体" w:hAnsi="宋体" w:cs="宋体"/>
          <w:color w:val="000000"/>
          <w:lang w:eastAsia="zh-CN"/>
        </w:rPr>
      </w:pPr>
    </w:p>
    <w:p>
      <w:pPr>
        <w:widowControl w:val="0"/>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目录</w:t>
      </w:r>
    </w:p>
    <w:p>
      <w:pPr>
        <w:widowControl w:val="0"/>
        <w:jc w:val="both"/>
        <w:rPr>
          <w:rFonts w:ascii="Calibri" w:eastAsia="宋体" w:hAnsi="Calibri"/>
          <w:b/>
          <w:kern w:val="2"/>
          <w:lang w:eastAsia="zh-CN"/>
        </w:rPr>
      </w:pPr>
      <w:r>
        <w:rPr>
          <w:rFonts w:ascii="Calibri" w:eastAsia="宋体" w:hAnsi="Calibri" w:cstheme="minorBidi" w:hint="eastAsia"/>
          <w:b/>
          <w:kern w:val="2"/>
          <w:lang w:eastAsia="zh-CN"/>
        </w:rPr>
        <w:t>第一册专用条款</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ab/>
      </w:r>
      <w:r>
        <w:rPr>
          <w:rFonts w:ascii="宋体" w:eastAsia="宋体" w:hAnsi="宋体" w:cstheme="minorBidi" w:hint="eastAsia"/>
          <w:kern w:val="2"/>
          <w:sz w:val="21"/>
          <w:szCs w:val="21"/>
          <w:lang w:eastAsia="zh-CN"/>
        </w:rPr>
        <w:t>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第一章招标公告</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第二章对通用条款的补充内容及其他关键信息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第三章用户需求书</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第四章投标文件组成要求及格式</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第五章合同条款及格式</w:t>
      </w:r>
    </w:p>
    <w:p>
      <w:pPr>
        <w:widowControl w:val="0"/>
        <w:jc w:val="both"/>
        <w:rPr>
          <w:rFonts w:ascii="Calibri" w:eastAsia="宋体" w:hAnsi="Calibri"/>
          <w:b/>
          <w:kern w:val="2"/>
          <w:szCs w:val="22"/>
          <w:lang w:eastAsia="zh-CN"/>
        </w:rPr>
      </w:pPr>
    </w:p>
    <w:p>
      <w:pPr>
        <w:widowControl w:val="0"/>
        <w:jc w:val="both"/>
        <w:rPr>
          <w:rFonts w:ascii="Calibri" w:eastAsia="宋体" w:hAnsi="Calibri"/>
          <w:b/>
          <w:kern w:val="2"/>
          <w:lang w:eastAsia="zh-CN"/>
        </w:rPr>
      </w:pPr>
      <w:r>
        <w:rPr>
          <w:rFonts w:ascii="Calibri" w:eastAsia="宋体" w:hAnsi="Calibri" w:cstheme="minorBidi" w:hint="eastAsia"/>
          <w:b/>
          <w:kern w:val="2"/>
          <w:lang w:eastAsia="zh-CN"/>
        </w:rPr>
        <w:t>第二册通用条款</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第一章总则</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第二章招标文件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第三章投标文件的编制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第四章投标文件的递交</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第五章开标</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第六章评审要求</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第七章评审程序及评审方法</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第八章定标及公示</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第九章公开招标失败的后续处理</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第十章合同的授予与备案</w:t>
      </w:r>
    </w:p>
    <w:p>
      <w:pPr>
        <w:widowControl w:val="0"/>
        <w:ind w:left="720" w:firstLine="412" w:leftChars="300" w:firstLineChars="196"/>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第十一章质疑处理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jc w:val="center"/>
        <w:rPr>
          <w:rFonts w:ascii="Arial" w:eastAsia="宋体" w:hAnsi="Arial"/>
          <w:b/>
          <w:bCs/>
          <w:kern w:val="44"/>
          <w:sz w:val="32"/>
          <w:szCs w:val="32"/>
          <w:lang w:eastAsia="zh-CN"/>
        </w:rPr>
      </w:pPr>
      <w:r>
        <w:rPr>
          <w:rFonts w:ascii="Calibri" w:eastAsia="宋体" w:hAnsi="Calibri" w:cstheme="minorBidi"/>
          <w:kern w:val="2"/>
          <w:sz w:val="21"/>
          <w:szCs w:val="22"/>
          <w:lang w:eastAsia="zh-CN"/>
        </w:rPr>
        <w:br w:type="page"/>
      </w:r>
      <w:r>
        <w:rPr>
          <w:rFonts w:ascii="Arial" w:eastAsia="宋体" w:hAnsi="Arial" w:hint="eastAsia"/>
          <w:b/>
          <w:bCs/>
          <w:kern w:val="44"/>
          <w:sz w:val="32"/>
          <w:szCs w:val="32"/>
          <w:lang w:eastAsia="zh-CN"/>
        </w:rPr>
        <w:t>第一册  专用条款</w:t>
      </w: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第一章  招标公告</w:t>
      </w:r>
    </w:p>
    <w:p>
      <w:pPr>
        <w:widowControl w:val="0"/>
        <w:spacing w:line="360" w:lineRule="auto"/>
        <w:jc w:val="both"/>
        <w:rPr>
          <w:rFonts w:ascii="宋体" w:eastAsia="宋体" w:hAnsi="宋体" w:cs="宋体"/>
          <w:b/>
          <w:bCs/>
          <w:sz w:val="21"/>
          <w:szCs w:val="21"/>
          <w:lang w:eastAsia="zh-CN"/>
        </w:rPr>
      </w:pPr>
      <w:r>
        <w:rPr>
          <w:rFonts w:ascii="宋体" w:eastAsia="宋体" w:hAnsi="宋体" w:cs="宋体" w:hint="eastAsia"/>
          <w:b/>
          <w:bCs/>
          <w:sz w:val="21"/>
          <w:szCs w:val="21"/>
          <w:lang w:eastAsia="zh-CN"/>
        </w:rPr>
        <w:t>申请人的资格要求：</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highlight w:val="yellow"/>
        </w:rPr>
      </w:pPr>
      <w:r>
        <w:rPr>
          <w:rFonts w:ascii="宋体" w:eastAsia="宋体" w:hAnsi="宋体" w:cs="宋体" w:hint="eastAsia"/>
          <w:sz w:val="21"/>
          <w:szCs w:val="21"/>
        </w:rPr>
        <w:t>1.具有独立法人资格或是具有独立承担民事责任能力的其他组织（提供营业执照或事业单位法人证书等证明资料扫描件</w:t>
      </w:r>
      <w:r>
        <w:rPr>
          <w:rFonts w:ascii="宋体" w:eastAsia="宋体" w:hAnsi="宋体" w:cs="宋体" w:hint="eastAsia"/>
          <w:sz w:val="21"/>
          <w:szCs w:val="21"/>
          <w:lang w:eastAsia="zh-CN"/>
        </w:rPr>
        <w:t>，</w:t>
      </w:r>
      <w:r>
        <w:rPr>
          <w:rFonts w:ascii="宋体" w:eastAsia="宋体" w:hAnsi="宋体" w:cs="宋体" w:hint="eastAsia"/>
          <w:sz w:val="21"/>
          <w:szCs w:val="21"/>
        </w:rPr>
        <w:t>原件备查）；</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2.本项目不接受联合体投标（由供应商在《政府采购投标及履约承诺函》中作出声明），是否接受投标人选用进口产品参与投标详见招标文件“货物需求明细”表；</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3.参与本项目政府采购活动时不存在被有关部门禁止参与政府采购活动且在有效期内的情况（由供应商在《政府采购投标及履约承诺函》中作出声明）；</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4.具备《中华人民共和国政府采购法》第二十二条第一款的条件（由供应商在《政府采购投标及履约承诺函》中作出声明）；</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5.未被列入失信被执行人、重大税收违法案件当事人名单、政府采购严重违法失信行为记录名单（由供应商在《政府采购投标及履约承诺函》中作出声明）；</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w:t>
      </w:r>
      <w:r>
        <w:rPr>
          <w:rFonts w:ascii="宋体" w:eastAsia="宋体" w:hAnsi="宋体" w:cs="宋体" w:hint="eastAsia"/>
          <w:sz w:val="21"/>
          <w:szCs w:val="21"/>
          <w:lang w:eastAsia="zh-CN"/>
        </w:rPr>
        <w:t>代理机构</w:t>
      </w:r>
      <w:r>
        <w:rPr>
          <w:rFonts w:ascii="宋体" w:eastAsia="宋体" w:hAnsi="宋体" w:cs="宋体" w:hint="eastAsia"/>
          <w:sz w:val="21"/>
          <w:szCs w:val="21"/>
        </w:rPr>
        <w:t>开标当日的查询结果为准；</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6.不存在《深圳市财政局政府采购供应商信用信息管理办法》（深财规〔2023〕3号）列明的严重违法失信行为（由供应商在《政府采购投标及履约承诺函》中作出声明）；</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7.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政府采购投标及履约承诺函》中作出声明）；</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FF0000"/>
          <w:sz w:val="21"/>
          <w:szCs w:val="21"/>
        </w:rPr>
      </w:pPr>
      <w:r>
        <w:rPr>
          <w:rFonts w:ascii="宋体" w:eastAsia="宋体" w:hAnsi="宋体" w:cs="宋体" w:hint="eastAsia"/>
          <w:color w:val="FF0000"/>
          <w:sz w:val="21"/>
          <w:szCs w:val="21"/>
        </w:rPr>
        <w:t>8.本项目不属于专门面向中小微企业采购项目。</w:t>
      </w:r>
    </w:p>
    <w:p>
      <w:pPr>
        <w:widowControl w:val="0"/>
        <w:autoSpaceDE w:val="0"/>
        <w:autoSpaceDN w:val="0"/>
        <w:adjustRightInd w:val="0"/>
        <w:rPr>
          <w:rFonts w:ascii="宋体" w:eastAsia="宋体" w:hAnsi="Calibri" w:cs="宋体" w:hint="eastAsia"/>
          <w:color w:val="000000"/>
          <w:lang w:eastAsia="zh-CN"/>
        </w:rPr>
      </w:pPr>
    </w:p>
    <w:p>
      <w:pPr>
        <w:widowControl w:val="0"/>
        <w:spacing w:after="60" w:afterLines="25"/>
        <w:jc w:val="center"/>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完整公告内容以网站公布信息为准，详见：深圳政府采购自行采购系统网（https://zxcg.szggzy.com/home/index.html）</w:t>
      </w:r>
    </w:p>
    <w:p>
      <w:pPr>
        <w:keepNext/>
        <w:keepLines/>
        <w:widowControl w:val="0"/>
        <w:spacing w:before="260" w:after="260" w:line="416" w:lineRule="auto"/>
        <w:jc w:val="center"/>
        <w:outlineLvl w:val="1"/>
        <w:rPr>
          <w:rFonts w:ascii="宋体" w:eastAsia="宋体" w:hAnsi="宋体"/>
          <w:b/>
          <w:bCs/>
          <w:sz w:val="28"/>
          <w:szCs w:val="28"/>
          <w:lang w:eastAsia="zh-CN"/>
        </w:rPr>
      </w:pPr>
      <w:r>
        <w:rPr>
          <w:rFonts w:ascii="宋体" w:eastAsia="宋体" w:hAnsi="宋体" w:hint="eastAsia"/>
          <w:b/>
          <w:bCs/>
          <w:sz w:val="28"/>
          <w:szCs w:val="28"/>
          <w:lang w:eastAsia="zh-CN"/>
        </w:rPr>
        <w:t>第二章</w:t>
      </w:r>
      <w:bookmarkStart w:id="2" w:name="_Hlk71926094"/>
      <w:r>
        <w:rPr>
          <w:rFonts w:ascii="宋体" w:eastAsia="宋体" w:hAnsi="宋体" w:hint="eastAsia"/>
          <w:b/>
          <w:bCs/>
          <w:sz w:val="28"/>
          <w:szCs w:val="28"/>
          <w:lang w:eastAsia="zh-CN"/>
        </w:rPr>
        <w:t xml:space="preserve">  对通用条款的补充内容及其他关键信息</w:t>
      </w:r>
      <w:bookmarkEnd w:id="2"/>
    </w:p>
    <w:p>
      <w:pPr>
        <w:keepNext/>
        <w:keepLines/>
        <w:widowControl w:val="0"/>
        <w:adjustRightInd w:val="0"/>
        <w:spacing w:before="120" w:beforeLines="50" w:after="120" w:afterLines="50"/>
        <w:jc w:val="center"/>
        <w:textAlignment w:val="baseline"/>
        <w:outlineLvl w:val="2"/>
        <w:rPr>
          <w:rFonts w:ascii="宋体" w:eastAsia="宋体" w:hAnsi="宋体"/>
          <w:b/>
          <w:bCs/>
          <w:lang w:eastAsia="zh-CN"/>
        </w:rPr>
      </w:pPr>
      <w:bookmarkStart w:id="3" w:name="_Toc73518117"/>
      <w:bookmarkStart w:id="4" w:name="_Toc73517639"/>
      <w:bookmarkStart w:id="5" w:name="_Toc100052364"/>
      <w:bookmarkStart w:id="6" w:name="_Toc73521547"/>
      <w:bookmarkStart w:id="7" w:name="_Toc60560625"/>
      <w:bookmarkStart w:id="8" w:name="_Toc73521635"/>
      <w:bookmarkStart w:id="9" w:name="_Toc101074876"/>
      <w:bookmarkStart w:id="10" w:name="_Toc60631620"/>
      <w:r>
        <w:rPr>
          <w:rFonts w:ascii="宋体" w:eastAsia="宋体" w:hAnsi="宋体" w:hint="eastAsia"/>
          <w:b/>
          <w:bCs/>
          <w:lang w:eastAsia="zh-CN"/>
        </w:rPr>
        <w:t>一、对通用条款的补充内容</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22"/>
        <w:gridCol w:w="1639"/>
        <w:gridCol w:w="6295"/>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通用条款序号</w:t>
            </w:r>
          </w:p>
        </w:tc>
        <w:tc>
          <w:tcPr>
            <w:tcW w:w="1755"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涉及事项</w:t>
            </w:r>
          </w:p>
        </w:tc>
        <w:tc>
          <w:tcPr>
            <w:tcW w:w="6795"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具体补充内容</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.1</w:t>
            </w:r>
          </w:p>
        </w:tc>
        <w:tc>
          <w:tcPr>
            <w:tcW w:w="1755" w:type="dxa"/>
            <w:vAlign w:val="center"/>
          </w:tcPr>
          <w:p>
            <w:pPr>
              <w:widowControl w:val="0"/>
              <w:jc w:val="center"/>
              <w:rPr>
                <w:rFonts w:ascii="宋体" w:eastAsia="宋体" w:hAnsi="宋体"/>
                <w:kern w:val="2"/>
                <w:sz w:val="21"/>
                <w:szCs w:val="21"/>
                <w:highlight w:val="yellow"/>
                <w:lang w:eastAsia="zh-CN"/>
              </w:rPr>
            </w:pPr>
            <w:r>
              <w:rPr>
                <w:rFonts w:ascii="宋体" w:eastAsia="宋体" w:hAnsi="宋体" w:cstheme="minorBidi" w:hint="eastAsia"/>
                <w:kern w:val="2"/>
                <w:sz w:val="21"/>
                <w:szCs w:val="21"/>
                <w:lang w:eastAsia="zh-CN"/>
              </w:rPr>
              <w:t>采购人</w:t>
            </w:r>
          </w:p>
        </w:tc>
        <w:tc>
          <w:tcPr>
            <w:tcW w:w="6795" w:type="dxa"/>
            <w:vAlign w:val="center"/>
          </w:tcPr>
          <w:p>
            <w:pPr>
              <w:widowControl w:val="0"/>
              <w:jc w:val="left"/>
              <w:rPr>
                <w:rFonts w:ascii="宋体" w:eastAsia="宋体" w:hAnsi="宋体" w:hint="eastAsia"/>
                <w:kern w:val="2"/>
                <w:sz w:val="21"/>
                <w:szCs w:val="21"/>
                <w:highlight w:val="yellow"/>
                <w:lang w:eastAsia="zh-CN"/>
              </w:rPr>
            </w:pPr>
            <w:r>
              <w:rPr>
                <w:rFonts w:ascii="宋体" w:eastAsia="宋体" w:hAnsi="宋体" w:cs="Arial" w:hint="eastAsia"/>
                <w:b/>
                <w:kern w:val="2"/>
                <w:sz w:val="21"/>
                <w:szCs w:val="21"/>
                <w:lang w:eastAsia="zh-CN"/>
              </w:rPr>
              <w:t>深圳市龙华区中心医院</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社会代理机构</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Arial" w:hint="eastAsia"/>
                <w:kern w:val="2"/>
                <w:sz w:val="21"/>
                <w:szCs w:val="21"/>
                <w:lang w:eastAsia="zh-CN"/>
              </w:rPr>
              <w:t>本文件所述的“</w:t>
            </w:r>
            <w:r>
              <w:rPr>
                <w:rFonts w:ascii="宋体" w:eastAsia="宋体" w:hAnsi="宋体" w:cstheme="minorBidi" w:hint="eastAsia"/>
                <w:kern w:val="2"/>
                <w:sz w:val="21"/>
                <w:szCs w:val="21"/>
                <w:lang w:eastAsia="zh-CN"/>
              </w:rPr>
              <w:t>社会代理机构</w:t>
            </w:r>
            <w:r>
              <w:rPr>
                <w:rFonts w:ascii="宋体" w:eastAsia="宋体" w:hAnsi="宋体" w:cs="Arial" w:hint="eastAsia"/>
                <w:kern w:val="2"/>
                <w:sz w:val="21"/>
                <w:szCs w:val="21"/>
                <w:lang w:eastAsia="zh-CN"/>
              </w:rPr>
              <w:t>”</w:t>
            </w:r>
            <w:r>
              <w:rPr>
                <w:rFonts w:ascii="宋体" w:eastAsia="宋体" w:hAnsi="宋体" w:cs="Arial"/>
                <w:kern w:val="2"/>
                <w:sz w:val="21"/>
                <w:szCs w:val="21"/>
                <w:lang w:eastAsia="zh-CN"/>
              </w:rPr>
              <w:t>指</w:t>
            </w:r>
            <w:r>
              <w:rPr>
                <w:rFonts w:ascii="宋体" w:eastAsia="宋体" w:hAnsi="宋体" w:cs="Arial" w:hint="eastAsia"/>
                <w:b/>
                <w:bCs/>
                <w:kern w:val="2"/>
                <w:sz w:val="21"/>
                <w:szCs w:val="21"/>
                <w:lang w:eastAsia="zh-CN"/>
              </w:rPr>
              <w:t>深圳市千里招标代理有限公司</w:t>
            </w:r>
            <w:r>
              <w:rPr>
                <w:rFonts w:ascii="宋体" w:eastAsia="宋体" w:hAnsi="宋体" w:hint="eastAsia"/>
                <w:kern w:val="2"/>
                <w:sz w:val="21"/>
                <w:szCs w:val="21"/>
                <w:lang w:eastAsia="zh-CN"/>
              </w:rPr>
              <w:t>。</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5</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联合体投标</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9</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踏勘现场</w:t>
            </w:r>
          </w:p>
        </w:tc>
        <w:tc>
          <w:tcPr>
            <w:tcW w:w="6795" w:type="dxa"/>
            <w:vAlign w:val="center"/>
          </w:tcPr>
          <w:p>
            <w:pPr>
              <w:widowControl w:val="0"/>
              <w:jc w:val="left"/>
              <w:rPr>
                <w:rFonts w:ascii="宋体" w:eastAsia="宋体" w:hAnsi="宋体"/>
                <w:kern w:val="2"/>
                <w:sz w:val="21"/>
                <w:szCs w:val="21"/>
                <w:highlight w:val="yellow"/>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标前会议</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招标文件的澄清和修改</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不晚于投标截止日三日前，投标人有义务在招标期间在采购代理机构网站浏览与本项目有关的澄清和修改信息。</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投标有效期</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120日历天（从投标截止之日算起）</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投标人的替代方案</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5</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投标文件的大小</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投标文件大小不得超过100MB</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kern w:val="2"/>
                <w:sz w:val="21"/>
                <w:szCs w:val="21"/>
                <w:lang w:eastAsia="zh-CN"/>
              </w:rPr>
            </w:pPr>
            <w:bookmarkStart w:id="11" w:name="_Hlk71664860"/>
            <w:r>
              <w:rPr>
                <w:rFonts w:ascii="宋体" w:eastAsia="宋体" w:hAnsi="宋体" w:cstheme="minorBidi" w:hint="eastAsia"/>
                <w:kern w:val="2"/>
                <w:sz w:val="21"/>
                <w:szCs w:val="21"/>
                <w:lang w:eastAsia="zh-CN"/>
              </w:rPr>
              <w:t>样品、现场演示、方案讲解</w:t>
            </w:r>
            <w:bookmarkEnd w:id="11"/>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“无”</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7</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评审方法</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b/>
                <w:bCs/>
                <w:kern w:val="2"/>
                <w:sz w:val="21"/>
                <w:szCs w:val="21"/>
                <w:lang w:eastAsia="zh-CN"/>
              </w:rPr>
              <w:t>综合评分法</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8</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定标方法</w:t>
            </w:r>
          </w:p>
        </w:tc>
        <w:tc>
          <w:tcPr>
            <w:tcW w:w="6795" w:type="dxa"/>
            <w:vAlign w:val="center"/>
          </w:tcPr>
          <w:p>
            <w:pPr>
              <w:widowControl w:val="0"/>
              <w:jc w:val="left"/>
              <w:rPr>
                <w:rFonts w:ascii="宋体" w:eastAsia="宋体" w:hAnsi="宋体"/>
                <w:b/>
                <w:bCs/>
                <w:kern w:val="2"/>
                <w:sz w:val="21"/>
                <w:szCs w:val="21"/>
                <w:lang w:eastAsia="zh-CN"/>
              </w:rPr>
            </w:pPr>
            <w:r>
              <w:rPr>
                <w:rFonts w:ascii="宋体" w:eastAsia="宋体" w:hAnsi="宋体" w:hint="eastAsia"/>
                <w:b/>
                <w:bCs/>
                <w:kern w:val="2"/>
                <w:sz w:val="21"/>
                <w:szCs w:val="21"/>
                <w:lang w:eastAsia="zh-CN"/>
              </w:rPr>
              <w:t>非评定分离</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4</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履约担保</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不需要</w:t>
            </w:r>
          </w:p>
        </w:tc>
      </w:tr>
      <w:bookmarkEnd w:id="3"/>
      <w:bookmarkEnd w:id="4"/>
      <w:bookmarkEnd w:id="5"/>
      <w:bookmarkEnd w:id="6"/>
      <w:bookmarkEnd w:id="7"/>
      <w:bookmarkEnd w:id="8"/>
      <w:bookmarkEnd w:id="9"/>
      <w:bookmarkEnd w:id="10"/>
    </w:tbl>
    <w:p>
      <w:pPr>
        <w:widowControl/>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备注：本表是通用条款相关条款的补充和明确，如与通用条款内容相冲突的，以本表为准。</w:t>
      </w:r>
    </w:p>
    <w:p>
      <w:pPr>
        <w:keepNext/>
        <w:keepLines/>
        <w:widowControl w:val="0"/>
        <w:adjustRightInd w:val="0"/>
        <w:spacing w:before="120" w:beforeLines="50" w:after="120" w:afterLines="50"/>
        <w:jc w:val="center"/>
        <w:textAlignment w:val="baseline"/>
        <w:outlineLvl w:val="2"/>
        <w:rPr>
          <w:rFonts w:ascii="宋体" w:eastAsia="宋体" w:hAnsi="宋体"/>
          <w:b/>
          <w:bCs/>
          <w:lang w:eastAsia="zh-CN"/>
        </w:rPr>
      </w:pPr>
      <w:r>
        <w:rPr>
          <w:rFonts w:ascii="宋体" w:eastAsia="宋体" w:hAnsi="宋体" w:hint="eastAsia"/>
          <w:b/>
          <w:bCs/>
          <w:lang w:eastAsia="zh-CN"/>
        </w:rPr>
        <w:t>二、其他关键信息</w:t>
      </w:r>
    </w:p>
    <w:p>
      <w:pPr>
        <w:widowControl w:val="0"/>
        <w:tabs>
          <w:tab w:val="left" w:pos="720"/>
        </w:tabs>
        <w:spacing w:line="360" w:lineRule="auto"/>
        <w:jc w:val="both"/>
        <w:rPr>
          <w:rFonts w:ascii="黑体" w:eastAsia="黑体" w:hAnsi="宋体"/>
          <w:kern w:val="2"/>
          <w:szCs w:val="22"/>
          <w:lang w:eastAsia="zh-CN"/>
        </w:rPr>
      </w:pPr>
      <w:r>
        <w:rPr>
          <w:rFonts w:ascii="黑体" w:eastAsia="黑体" w:hAnsi="宋体" w:cstheme="minorBidi" w:hint="eastAsia"/>
          <w:kern w:val="2"/>
          <w:szCs w:val="22"/>
          <w:lang w:eastAsia="zh-CN"/>
        </w:rPr>
        <w:t>（一）</w:t>
      </w:r>
      <w:r>
        <w:rPr>
          <w:rFonts w:ascii="黑体" w:eastAsia="黑体" w:hAnsi="宋体" w:cstheme="minorBidi" w:hint="eastAsia"/>
          <w:bCs/>
          <w:kern w:val="2"/>
          <w:szCs w:val="22"/>
          <w:lang w:eastAsia="zh-CN"/>
        </w:rPr>
        <w:t>与“对通用条款的补充内容”章节相关的事项</w:t>
      </w:r>
    </w:p>
    <w:p>
      <w:pPr>
        <w:widowControl w:val="0"/>
        <w:tabs>
          <w:tab w:val="left" w:pos="720"/>
        </w:tabs>
        <w:spacing w:line="360" w:lineRule="auto"/>
        <w:jc w:val="both"/>
        <w:rPr>
          <w:rFonts w:ascii="黑体" w:eastAsia="黑体" w:hAnsi="宋体"/>
          <w:bCs/>
          <w:kern w:val="2"/>
          <w:szCs w:val="22"/>
          <w:lang w:eastAsia="zh-CN"/>
        </w:rPr>
      </w:pPr>
      <w:r>
        <w:rPr>
          <w:rFonts w:ascii="黑体" w:eastAsia="黑体" w:hAnsi="宋体" w:cstheme="minorBidi" w:hint="eastAsia"/>
          <w:bCs/>
          <w:kern w:val="2"/>
          <w:szCs w:val="22"/>
          <w:lang w:eastAsia="zh-CN"/>
        </w:rPr>
        <w:t>1、评标定标信息</w:t>
      </w:r>
    </w:p>
    <w:p>
      <w:pPr>
        <w:widowControl w:val="0"/>
        <w:spacing w:line="360" w:lineRule="auto"/>
        <w:jc w:val="center"/>
        <w:rPr>
          <w:rFonts w:ascii="Calibri" w:eastAsia="宋体" w:hAnsi="Calibri"/>
          <w:kern w:val="2"/>
          <w:sz w:val="21"/>
          <w:szCs w:val="22"/>
          <w:lang w:eastAsia="zh-CN"/>
        </w:rPr>
      </w:pPr>
      <w:r>
        <w:rPr>
          <w:rFonts w:ascii="Calibri" w:eastAsia="宋体" w:hAnsi="Calibri" w:cstheme="minorBidi" w:hint="eastAsia"/>
          <w:b/>
          <w:kern w:val="2"/>
          <w:sz w:val="21"/>
          <w:szCs w:val="22"/>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862"/>
        <w:gridCol w:w="4994"/>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125" w:type="dxa"/>
          </w:tcPr>
          <w:p>
            <w:pPr>
              <w:spacing w:line="360" w:lineRule="auto"/>
              <w:jc w:val="center"/>
              <w:rPr>
                <w:rFonts w:ascii="宋体" w:hAnsi="宋体"/>
                <w:kern w:val="2"/>
                <w:sz w:val="21"/>
                <w:szCs w:val="22"/>
                <w:lang w:eastAsia="zh-CN"/>
              </w:rPr>
            </w:pPr>
            <w:r>
              <w:rPr>
                <w:rFonts w:ascii="宋体" w:hAnsi="宋体" w:cstheme="minorBidi" w:hint="eastAsia"/>
                <w:kern w:val="2"/>
                <w:sz w:val="21"/>
                <w:szCs w:val="22"/>
                <w:lang w:eastAsia="zh-CN"/>
              </w:rPr>
              <w:t>评标方法</w:t>
            </w:r>
          </w:p>
        </w:tc>
        <w:tc>
          <w:tcPr>
            <w:tcW w:w="5339" w:type="dxa"/>
          </w:tcPr>
          <w:p>
            <w:pPr>
              <w:spacing w:line="360" w:lineRule="auto"/>
              <w:jc w:val="center"/>
              <w:rPr>
                <w:rFonts w:ascii="宋体" w:hAnsi="宋体"/>
                <w:kern w:val="2"/>
                <w:sz w:val="21"/>
                <w:szCs w:val="22"/>
                <w:lang w:eastAsia="zh-CN"/>
              </w:rPr>
            </w:pPr>
            <w:r>
              <w:rPr>
                <w:rFonts w:ascii="Wingdings" w:hAnsi="Wingdings" w:cstheme="minorBidi"/>
                <w:kern w:val="2"/>
                <w:sz w:val="21"/>
                <w:szCs w:val="22"/>
                <w:lang w:eastAsia="zh-CN"/>
              </w:rPr>
              <w:sym w:font="Wingdings" w:char="F0FE"/>
            </w:r>
            <w:r>
              <w:rPr>
                <w:rFonts w:ascii="宋体" w:hAnsi="宋体" w:cstheme="minorBidi" w:hint="eastAsia"/>
                <w:kern w:val="2"/>
                <w:sz w:val="21"/>
                <w:szCs w:val="22"/>
                <w:lang w:eastAsia="zh-CN"/>
              </w:rPr>
              <w:t>综合评分法</w:t>
            </w:r>
          </w:p>
        </w:tc>
      </w:tr>
      <w:tr>
        <w:tblPrEx>
          <w:tblW w:w="5000" w:type="pct"/>
          <w:tblInd w:w="0" w:type="dxa"/>
          <w:tblLayout w:type="fixed"/>
          <w:tblCellMar>
            <w:top w:w="0" w:type="dxa"/>
            <w:left w:w="108" w:type="dxa"/>
            <w:bottom w:w="0" w:type="dxa"/>
            <w:right w:w="108" w:type="dxa"/>
          </w:tblCellMar>
        </w:tblPrEx>
        <w:tc>
          <w:tcPr>
            <w:tcW w:w="4125" w:type="dxa"/>
          </w:tcPr>
          <w:p>
            <w:pPr>
              <w:spacing w:line="360" w:lineRule="auto"/>
              <w:jc w:val="center"/>
              <w:rPr>
                <w:rFonts w:ascii="宋体" w:hAnsi="宋体"/>
                <w:kern w:val="2"/>
                <w:sz w:val="21"/>
                <w:szCs w:val="22"/>
                <w:lang w:eastAsia="zh-CN"/>
              </w:rPr>
            </w:pPr>
            <w:r>
              <w:rPr>
                <w:rFonts w:ascii="宋体" w:hAnsi="宋体" w:cstheme="minorBidi" w:hint="eastAsia"/>
                <w:kern w:val="2"/>
                <w:sz w:val="21"/>
                <w:szCs w:val="22"/>
                <w:lang w:eastAsia="zh-CN"/>
              </w:rPr>
              <w:t>候选中标供应商家数</w:t>
            </w:r>
          </w:p>
        </w:tc>
        <w:tc>
          <w:tcPr>
            <w:tcW w:w="5339" w:type="dxa"/>
          </w:tcPr>
          <w:p>
            <w:pPr>
              <w:spacing w:line="360" w:lineRule="auto"/>
              <w:jc w:val="center"/>
              <w:rPr>
                <w:rFonts w:ascii="宋体" w:hAnsi="宋体"/>
                <w:kern w:val="2"/>
                <w:sz w:val="21"/>
                <w:szCs w:val="22"/>
                <w:lang w:eastAsia="zh-CN"/>
              </w:rPr>
            </w:pPr>
            <w:r>
              <w:rPr>
                <w:rFonts w:ascii="宋体" w:hAnsi="宋体" w:cstheme="minorBidi" w:hint="eastAsia"/>
                <w:kern w:val="2"/>
                <w:sz w:val="21"/>
                <w:szCs w:val="22"/>
                <w:lang w:eastAsia="zh-CN"/>
              </w:rPr>
              <w:t>3</w:t>
            </w:r>
          </w:p>
        </w:tc>
      </w:tr>
      <w:tr>
        <w:tblPrEx>
          <w:tblW w:w="5000" w:type="pct"/>
          <w:tblInd w:w="0" w:type="dxa"/>
          <w:tblLayout w:type="fixed"/>
          <w:tblCellMar>
            <w:top w:w="0" w:type="dxa"/>
            <w:left w:w="108" w:type="dxa"/>
            <w:bottom w:w="0" w:type="dxa"/>
            <w:right w:w="108" w:type="dxa"/>
          </w:tblCellMar>
        </w:tblPrEx>
        <w:tc>
          <w:tcPr>
            <w:tcW w:w="4125" w:type="dxa"/>
          </w:tcPr>
          <w:p>
            <w:pPr>
              <w:spacing w:line="360" w:lineRule="auto"/>
              <w:jc w:val="center"/>
              <w:rPr>
                <w:rFonts w:ascii="宋体" w:hAnsi="宋体"/>
                <w:kern w:val="2"/>
                <w:sz w:val="21"/>
                <w:szCs w:val="22"/>
                <w:lang w:eastAsia="zh-CN"/>
              </w:rPr>
            </w:pPr>
            <w:r>
              <w:rPr>
                <w:rFonts w:ascii="宋体" w:hAnsi="宋体" w:cstheme="minorBidi" w:hint="eastAsia"/>
                <w:kern w:val="2"/>
                <w:sz w:val="21"/>
                <w:szCs w:val="22"/>
                <w:lang w:eastAsia="zh-CN"/>
              </w:rPr>
              <w:t>中标供应商家数</w:t>
            </w:r>
          </w:p>
        </w:tc>
        <w:tc>
          <w:tcPr>
            <w:tcW w:w="5339" w:type="dxa"/>
          </w:tcPr>
          <w:p>
            <w:pPr>
              <w:spacing w:line="360" w:lineRule="auto"/>
              <w:jc w:val="center"/>
              <w:rPr>
                <w:rFonts w:ascii="宋体" w:hAnsi="宋体"/>
                <w:kern w:val="2"/>
                <w:sz w:val="21"/>
                <w:szCs w:val="22"/>
                <w:lang w:eastAsia="zh-CN"/>
              </w:rPr>
            </w:pPr>
            <w:r>
              <w:rPr>
                <w:rFonts w:ascii="宋体" w:hAnsi="宋体" w:cstheme="minorBidi" w:hint="eastAsia"/>
                <w:kern w:val="2"/>
                <w:sz w:val="21"/>
                <w:szCs w:val="22"/>
                <w:lang w:eastAsia="zh-CN"/>
              </w:rPr>
              <w:t>1</w:t>
            </w:r>
          </w:p>
        </w:tc>
      </w:tr>
    </w:tbl>
    <w:p>
      <w:pPr>
        <w:widowControl w:val="0"/>
        <w:tabs>
          <w:tab w:val="left" w:pos="720"/>
        </w:tabs>
        <w:spacing w:line="360" w:lineRule="auto"/>
        <w:jc w:val="both"/>
        <w:rPr>
          <w:rFonts w:ascii="宋体" w:eastAsia="宋体" w:hAnsi="宋体" w:cs="宋体"/>
          <w:bCs/>
          <w:kern w:val="2"/>
          <w:sz w:val="21"/>
          <w:szCs w:val="21"/>
          <w:lang w:eastAsia="zh-CN"/>
        </w:rPr>
      </w:pPr>
    </w:p>
    <w:p>
      <w:pPr>
        <w:widowControl w:val="0"/>
        <w:tabs>
          <w:tab w:val="left" w:pos="720"/>
        </w:tabs>
        <w:spacing w:line="360" w:lineRule="auto"/>
        <w:jc w:val="both"/>
        <w:rPr>
          <w:rFonts w:ascii="黑体" w:eastAsia="黑体" w:hAnsi="宋体"/>
          <w:kern w:val="2"/>
          <w:szCs w:val="22"/>
          <w:lang w:eastAsia="zh-CN"/>
        </w:rPr>
      </w:pPr>
      <w:r>
        <w:rPr>
          <w:rFonts w:ascii="黑体" w:eastAsia="黑体" w:hAnsi="宋体" w:cstheme="minorBidi" w:hint="eastAsia"/>
          <w:kern w:val="2"/>
          <w:szCs w:val="22"/>
          <w:lang w:eastAsia="zh-CN"/>
        </w:rPr>
        <w:t>（二）其他事项</w:t>
      </w:r>
    </w:p>
    <w:p>
      <w:pPr>
        <w:widowControl w:val="0"/>
        <w:tabs>
          <w:tab w:val="left" w:pos="720"/>
        </w:tabs>
        <w:spacing w:line="360" w:lineRule="auto"/>
        <w:jc w:val="both"/>
        <w:rPr>
          <w:rFonts w:ascii="黑体" w:eastAsia="黑体" w:hAnsi="宋体"/>
          <w:kern w:val="2"/>
          <w:szCs w:val="22"/>
          <w:lang w:eastAsia="zh-CN"/>
        </w:rPr>
      </w:pPr>
      <w:r>
        <w:rPr>
          <w:rFonts w:ascii="黑体" w:eastAsia="黑体" w:hAnsi="宋体" w:cstheme="minorBidi" w:hint="eastAsia"/>
          <w:kern w:val="2"/>
          <w:szCs w:val="22"/>
          <w:lang w:eastAsia="zh-CN"/>
        </w:rPr>
        <w:t>1、关于享受优惠政策的主体、价格扣除比例及采购标的所属行业</w:t>
      </w:r>
    </w:p>
    <w:p>
      <w:pPr>
        <w:widowControl w:val="0"/>
        <w:spacing w:line="360" w:lineRule="auto"/>
        <w:ind w:firstLine="420" w:firstLineChars="200"/>
        <w:jc w:val="both"/>
        <w:rPr>
          <w:rFonts w:ascii="Calibri" w:eastAsia="宋体" w:hAnsi="Calibri"/>
          <w:kern w:val="2"/>
          <w:sz w:val="21"/>
          <w:szCs w:val="22"/>
          <w:lang w:eastAsia="zh-CN"/>
        </w:rPr>
      </w:pP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、关于享受优惠政策的主体及价格扣除比例</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rPr>
        <w:t>（1）</w:t>
      </w:r>
      <w:r>
        <w:rPr>
          <w:rFonts w:ascii="宋体" w:eastAsia="宋体" w:hAnsi="宋体" w:cs="宋体" w:hint="eastAsia"/>
          <w:sz w:val="21"/>
          <w:szCs w:val="21"/>
          <w:lang w:eastAsia="zh-CN"/>
        </w:rPr>
        <w:t>专门面向</w:t>
      </w:r>
      <w:r>
        <w:rPr>
          <w:rFonts w:ascii="宋体" w:eastAsia="宋体" w:hAnsi="宋体" w:cs="宋体" w:hint="eastAsia"/>
          <w:b/>
          <w:bCs/>
          <w:sz w:val="21"/>
          <w:szCs w:val="21"/>
          <w:lang w:eastAsia="zh-CN"/>
        </w:rPr>
        <w:t>中小微企业</w:t>
      </w:r>
      <w:r>
        <w:rPr>
          <w:rFonts w:ascii="宋体" w:eastAsia="宋体" w:hAnsi="宋体" w:cs="宋体" w:hint="eastAsia"/>
          <w:sz w:val="21"/>
          <w:szCs w:val="21"/>
          <w:lang w:eastAsia="zh-CN"/>
        </w:rPr>
        <w:t>采购的项目，不再执行价格扣除比例。</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（2）非专门面向中小微企业采购的项目，应执行价格扣除比例：</w:t>
      </w:r>
      <w:r>
        <w:rPr>
          <w:rFonts w:ascii="宋体" w:eastAsia="宋体" w:hAnsi="宋体" w:cs="宋体" w:hint="eastAsia"/>
          <w:sz w:val="21"/>
          <w:szCs w:val="21"/>
        </w:rPr>
        <w:t>投标人提供的货物（以招标文件用户需求书“货物清单明细”的“货物名称”一栏为准）全部均由优惠主体制造，则对其投标总价给予</w:t>
      </w:r>
      <w:r>
        <w:rPr>
          <w:rFonts w:ascii="宋体" w:eastAsia="宋体" w:hAnsi="宋体" w:cs="宋体" w:hint="eastAsia"/>
          <w:b/>
          <w:bCs/>
          <w:color w:val="FF0000"/>
          <w:sz w:val="21"/>
          <w:szCs w:val="21"/>
          <w:u w:val="single"/>
        </w:rPr>
        <w:t xml:space="preserve">  </w:t>
      </w:r>
      <w:r>
        <w:rPr>
          <w:rFonts w:ascii="宋体" w:eastAsia="宋体" w:hAnsi="宋体" w:cs="宋体" w:hint="eastAsia"/>
          <w:b/>
          <w:bCs/>
          <w:color w:val="FF0000"/>
          <w:sz w:val="21"/>
          <w:szCs w:val="21"/>
          <w:u w:val="single"/>
          <w:lang w:eastAsia="zh-CN"/>
        </w:rPr>
        <w:t xml:space="preserve">   10</w:t>
      </w:r>
      <w:r>
        <w:rPr>
          <w:rFonts w:ascii="宋体" w:eastAsia="宋体" w:hAnsi="宋体" w:cs="宋体" w:hint="eastAsia"/>
          <w:b/>
          <w:bCs/>
          <w:color w:val="FF0000"/>
          <w:sz w:val="21"/>
          <w:szCs w:val="21"/>
          <w:u w:val="single"/>
        </w:rPr>
        <w:t xml:space="preserve"> </w:t>
      </w:r>
      <w:r>
        <w:rPr>
          <w:rFonts w:ascii="宋体" w:eastAsia="宋体" w:hAnsi="宋体" w:cs="宋体" w:hint="eastAsia"/>
          <w:b/>
          <w:bCs/>
          <w:color w:val="FF0000"/>
          <w:sz w:val="21"/>
          <w:szCs w:val="21"/>
          <w:u w:val="single"/>
          <w:lang w:eastAsia="zh-CN"/>
        </w:rPr>
        <w:t xml:space="preserve"> </w:t>
      </w:r>
      <w:r>
        <w:rPr>
          <w:rFonts w:ascii="宋体" w:eastAsia="宋体" w:hAnsi="宋体" w:cs="宋体" w:hint="eastAsia"/>
          <w:b/>
          <w:bCs/>
          <w:color w:val="FF0000"/>
          <w:sz w:val="21"/>
          <w:szCs w:val="21"/>
        </w:rPr>
        <w:t>%</w:t>
      </w:r>
      <w:r>
        <w:rPr>
          <w:rFonts w:ascii="宋体" w:eastAsia="宋体" w:hAnsi="宋体" w:cs="宋体" w:hint="eastAsia"/>
          <w:color w:val="000000"/>
          <w:sz w:val="21"/>
          <w:szCs w:val="21"/>
          <w:lang w:eastAsia="zh-CN"/>
        </w:rPr>
        <w:t>（10%~20%）</w:t>
      </w:r>
      <w:r>
        <w:rPr>
          <w:rFonts w:ascii="宋体" w:eastAsia="宋体" w:hAnsi="宋体" w:cs="宋体" w:hint="eastAsia"/>
          <w:sz w:val="21"/>
          <w:szCs w:val="21"/>
        </w:rPr>
        <w:t>的扣除，用扣除后的价格参与评审。满足多项优惠政策的</w:t>
      </w:r>
      <w:r>
        <w:rPr>
          <w:rFonts w:ascii="宋体" w:eastAsia="宋体" w:hAnsi="宋体" w:cs="宋体" w:hint="eastAsia"/>
          <w:sz w:val="21"/>
          <w:szCs w:val="21"/>
          <w:lang w:eastAsia="zh-CN"/>
        </w:rPr>
        <w:t>供应商</w:t>
      </w:r>
      <w:r>
        <w:rPr>
          <w:rFonts w:ascii="宋体" w:eastAsia="宋体" w:hAnsi="宋体" w:cs="宋体" w:hint="eastAsia"/>
          <w:sz w:val="21"/>
          <w:szCs w:val="21"/>
        </w:rPr>
        <w:t>，不重复享受多项价格扣除政策。</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b)优惠主体制造是指货物由优惠主体生产且使用该优惠主体商号或者注册商标；投标人提供的货物既有优惠主体制造货物，又有非优惠主体制造货物的，不给予价格扣除。</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w:t>
      </w:r>
      <w:r>
        <w:rPr>
          <w:rFonts w:ascii="宋体" w:eastAsia="宋体" w:hAnsi="宋体" w:cs="宋体" w:hint="eastAsia"/>
          <w:sz w:val="21"/>
          <w:szCs w:val="21"/>
          <w:lang w:eastAsia="zh-CN"/>
        </w:rPr>
        <w:t>3</w:t>
      </w:r>
      <w:r>
        <w:rPr>
          <w:rFonts w:ascii="宋体" w:eastAsia="宋体" w:hAnsi="宋体" w:cs="宋体" w:hint="eastAsia"/>
          <w:sz w:val="21"/>
          <w:szCs w:val="21"/>
        </w:rPr>
        <w:t>）</w:t>
      </w:r>
      <w:bookmarkStart w:id="12" w:name="_Hlk71970739"/>
      <w:r>
        <w:rPr>
          <w:rFonts w:ascii="宋体" w:eastAsia="宋体" w:hAnsi="宋体" w:cs="宋体" w:hint="eastAsia"/>
          <w:sz w:val="21"/>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ascii="宋体" w:eastAsia="宋体" w:hAnsi="宋体" w:cs="宋体" w:hint="eastAsia"/>
          <w:b/>
          <w:bCs/>
          <w:color w:val="FF0000"/>
          <w:sz w:val="21"/>
          <w:szCs w:val="21"/>
        </w:rPr>
        <w:t>《中小企业声明函》中相关企业所属行业应当与采购标的所属行业相一致。</w:t>
      </w:r>
      <w:r>
        <w:rPr>
          <w:rFonts w:ascii="宋体" w:eastAsia="宋体" w:hAnsi="宋体" w:cs="宋体" w:hint="eastAsia"/>
          <w:sz w:val="21"/>
          <w:szCs w:val="21"/>
        </w:rPr>
        <w:t>本项目采购标的（货物）对应的中小企业划分标准所属行业为</w:t>
      </w:r>
      <w:r>
        <w:rPr>
          <w:rFonts w:ascii="宋体" w:eastAsia="宋体" w:hAnsi="宋体" w:cs="宋体" w:hint="eastAsia"/>
          <w:b/>
          <w:bCs/>
          <w:color w:val="FF0000"/>
          <w:sz w:val="21"/>
          <w:szCs w:val="21"/>
          <w:u w:val="single"/>
        </w:rPr>
        <w:t xml:space="preserve">   </w:t>
      </w:r>
      <w:r>
        <w:rPr>
          <w:rFonts w:ascii="宋体" w:eastAsia="宋体" w:hAnsi="宋体" w:cs="宋体" w:hint="eastAsia"/>
          <w:b/>
          <w:bCs/>
          <w:color w:val="FF0000"/>
          <w:sz w:val="21"/>
          <w:szCs w:val="21"/>
          <w:u w:val="single"/>
          <w:lang w:eastAsia="zh-CN"/>
        </w:rPr>
        <w:t xml:space="preserve">工  </w:t>
      </w:r>
      <w:r>
        <w:rPr>
          <w:rFonts w:ascii="宋体" w:eastAsia="宋体" w:hAnsi="宋体" w:cs="宋体" w:hint="eastAsia"/>
          <w:b/>
          <w:bCs/>
          <w:color w:val="FF0000"/>
          <w:sz w:val="21"/>
          <w:szCs w:val="21"/>
          <w:u w:val="single"/>
        </w:rPr>
        <w:t xml:space="preserve"> </w:t>
      </w:r>
      <w:r>
        <w:rPr>
          <w:rFonts w:ascii="宋体" w:eastAsia="宋体" w:hAnsi="宋体" w:cs="宋体" w:hint="eastAsia"/>
          <w:b/>
          <w:bCs/>
          <w:sz w:val="21"/>
          <w:szCs w:val="21"/>
        </w:rPr>
        <w:t>业</w:t>
      </w:r>
      <w:r>
        <w:rPr>
          <w:rFonts w:ascii="宋体" w:eastAsia="宋体" w:hAnsi="宋体" w:cs="宋体" w:hint="eastAsia"/>
          <w:sz w:val="21"/>
          <w:szCs w:val="21"/>
        </w:rPr>
        <w:t>。</w:t>
      </w:r>
      <w:bookmarkEnd w:id="12"/>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w:t>
      </w:r>
      <w:r>
        <w:rPr>
          <w:rFonts w:ascii="宋体" w:eastAsia="宋体" w:hAnsi="宋体" w:cs="宋体" w:hint="eastAsia"/>
          <w:sz w:val="21"/>
          <w:szCs w:val="21"/>
          <w:lang w:eastAsia="zh-CN"/>
        </w:rPr>
        <w:t>4</w:t>
      </w:r>
      <w:r>
        <w:rPr>
          <w:rFonts w:ascii="宋体" w:eastAsia="宋体" w:hAnsi="宋体" w:cs="宋体" w:hint="eastAsia"/>
          <w:sz w:val="21"/>
          <w:szCs w:val="21"/>
        </w:rPr>
        <w:t>）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w:t>
      </w:r>
      <w:r>
        <w:rPr>
          <w:rFonts w:ascii="宋体" w:eastAsia="宋体" w:hAnsi="宋体" w:cs="宋体" w:hint="eastAsia"/>
          <w:sz w:val="21"/>
          <w:szCs w:val="21"/>
          <w:lang w:eastAsia="zh-CN"/>
        </w:rPr>
        <w:t>四</w:t>
      </w:r>
      <w:r>
        <w:rPr>
          <w:rFonts w:ascii="宋体" w:eastAsia="宋体" w:hAnsi="宋体" w:cs="宋体" w:hint="eastAsia"/>
          <w:sz w:val="21"/>
          <w:szCs w:val="21"/>
        </w:rPr>
        <w:t>章“投标文件格式、附件”中“</w:t>
      </w:r>
      <w:r>
        <w:rPr>
          <w:rFonts w:ascii="宋体" w:eastAsia="宋体" w:hAnsi="宋体" w:cs="宋体" w:hint="eastAsia"/>
          <w:sz w:val="21"/>
          <w:szCs w:val="21"/>
          <w:lang w:eastAsia="zh-CN"/>
        </w:rPr>
        <w:t>三、</w:t>
      </w:r>
      <w:r>
        <w:rPr>
          <w:rFonts w:ascii="宋体" w:eastAsia="宋体" w:hAnsi="宋体" w:cs="宋体" w:hint="eastAsia"/>
          <w:sz w:val="21"/>
          <w:szCs w:val="21"/>
        </w:rPr>
        <w:t>投标人情况及资格证明文件”章节提供的格式）。</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w:t>
      </w:r>
      <w:r>
        <w:rPr>
          <w:rFonts w:ascii="宋体" w:eastAsia="宋体" w:hAnsi="宋体" w:cs="宋体" w:hint="eastAsia"/>
          <w:sz w:val="21"/>
          <w:szCs w:val="21"/>
          <w:lang w:eastAsia="zh-CN"/>
        </w:rPr>
        <w:t>5</w:t>
      </w:r>
      <w:r>
        <w:rPr>
          <w:rFonts w:ascii="宋体" w:eastAsia="宋体" w:hAnsi="宋体" w:cs="宋体" w:hint="eastAsia"/>
          <w:sz w:val="21"/>
          <w:szCs w:val="21"/>
        </w:rPr>
        <w:t>）享受价格扣除获得政府采购合同的，小微企业不得将合同分包给大中型企业。</w:t>
      </w:r>
    </w:p>
    <w:p>
      <w:pPr>
        <w:widowControl w:val="0"/>
        <w:tabs>
          <w:tab w:val="left" w:pos="720"/>
        </w:tabs>
        <w:spacing w:line="360" w:lineRule="auto"/>
        <w:ind w:firstLine="480" w:firstLineChars="200"/>
        <w:jc w:val="both"/>
        <w:rPr>
          <w:rFonts w:ascii="黑体" w:eastAsia="黑体" w:hAnsi="宋体"/>
          <w:kern w:val="2"/>
          <w:szCs w:val="22"/>
          <w:highlight w:val="yellow"/>
          <w:lang w:eastAsia="zh-CN"/>
        </w:rPr>
      </w:pPr>
    </w:p>
    <w:p>
      <w:pPr>
        <w:widowControl w:val="0"/>
        <w:spacing w:line="360" w:lineRule="auto"/>
        <w:jc w:val="both"/>
        <w:rPr>
          <w:rFonts w:ascii="宋体" w:eastAsia="宋体" w:hAnsi="宋体" w:cs="宋体"/>
          <w:b/>
          <w:bCs/>
          <w:kern w:val="2"/>
          <w:sz w:val="21"/>
          <w:lang w:eastAsia="zh-CN"/>
        </w:rPr>
      </w:pPr>
      <w:r>
        <w:rPr>
          <w:rFonts w:ascii="宋体" w:eastAsia="宋体" w:hAnsi="宋体" w:cs="宋体" w:hint="eastAsia"/>
          <w:b/>
          <w:bCs/>
          <w:kern w:val="2"/>
          <w:sz w:val="21"/>
          <w:lang w:eastAsia="zh-CN"/>
        </w:rPr>
        <w:t>2.关于政府采购订单融资政策</w:t>
      </w:r>
    </w:p>
    <w:p>
      <w:pPr>
        <w:widowControl w:val="0"/>
        <w:spacing w:line="360" w:lineRule="auto"/>
        <w:ind w:firstLine="420" w:firstLineChars="200"/>
        <w:jc w:val="both"/>
        <w:rPr>
          <w:rFonts w:ascii="宋体" w:eastAsia="宋体" w:hAnsi="宋体"/>
          <w:b/>
          <w:kern w:val="2"/>
          <w:sz w:val="21"/>
          <w:lang w:eastAsia="zh-CN"/>
        </w:rPr>
      </w:pPr>
      <w:r>
        <w:rPr>
          <w:rFonts w:eastAsia="宋体" w:hint="eastAsia"/>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tabs>
          <w:tab w:val="left" w:pos="720"/>
        </w:tabs>
        <w:spacing w:line="360" w:lineRule="auto"/>
        <w:jc w:val="both"/>
        <w:rPr>
          <w:rFonts w:ascii="黑体" w:eastAsia="黑体" w:hAnsi="宋体"/>
          <w:kern w:val="2"/>
          <w:szCs w:val="22"/>
          <w:lang w:eastAsia="zh-CN"/>
        </w:rPr>
      </w:pPr>
    </w:p>
    <w:p>
      <w:pPr>
        <w:widowControl w:val="0"/>
        <w:tabs>
          <w:tab w:val="left" w:pos="720"/>
        </w:tabs>
        <w:spacing w:line="360" w:lineRule="auto"/>
        <w:jc w:val="both"/>
        <w:rPr>
          <w:rFonts w:ascii="宋体" w:eastAsia="宋体" w:hAnsi="宋体"/>
          <w:b/>
          <w:bCs/>
          <w:kern w:val="2"/>
          <w:sz w:val="21"/>
          <w:szCs w:val="22"/>
          <w:lang w:eastAsia="zh-CN"/>
        </w:rPr>
      </w:pPr>
      <w:r>
        <w:rPr>
          <w:rFonts w:ascii="宋体" w:eastAsia="宋体" w:hAnsi="宋体" w:cstheme="minorBidi" w:hint="eastAsia"/>
          <w:b/>
          <w:bCs/>
          <w:kern w:val="2"/>
          <w:sz w:val="21"/>
          <w:szCs w:val="22"/>
          <w:lang w:eastAsia="zh-CN"/>
        </w:rPr>
        <w:t>3、</w:t>
      </w:r>
      <w:r>
        <w:rPr>
          <w:rFonts w:ascii="宋体" w:eastAsia="宋体" w:hAnsi="宋体" w:cstheme="minorBidi"/>
          <w:b/>
          <w:bCs/>
          <w:kern w:val="2"/>
          <w:sz w:val="21"/>
          <w:szCs w:val="22"/>
          <w:lang w:eastAsia="zh-CN"/>
        </w:rPr>
        <w:t>本项目将向中标</w:t>
      </w:r>
      <w:r>
        <w:rPr>
          <w:rFonts w:ascii="宋体" w:eastAsia="宋体" w:hAnsi="宋体" w:cstheme="minorBidi" w:hint="eastAsia"/>
          <w:b/>
          <w:bCs/>
          <w:kern w:val="2"/>
          <w:sz w:val="21"/>
          <w:szCs w:val="22"/>
          <w:lang w:eastAsia="zh-CN"/>
        </w:rPr>
        <w:t>（成交）</w:t>
      </w:r>
      <w:r>
        <w:rPr>
          <w:rFonts w:ascii="宋体" w:eastAsia="宋体" w:hAnsi="宋体" w:cstheme="minorBidi"/>
          <w:b/>
          <w:bCs/>
          <w:kern w:val="2"/>
          <w:sz w:val="21"/>
          <w:szCs w:val="22"/>
          <w:lang w:eastAsia="zh-CN"/>
        </w:rPr>
        <w:t>供应商收取代理服务费</w:t>
      </w:r>
      <w:r>
        <w:rPr>
          <w:rFonts w:ascii="宋体" w:eastAsia="宋体" w:hAnsi="宋体" w:cstheme="minorBidi" w:hint="eastAsia"/>
          <w:b/>
          <w:bCs/>
          <w:kern w:val="2"/>
          <w:sz w:val="21"/>
          <w:szCs w:val="22"/>
          <w:lang w:eastAsia="zh-CN"/>
        </w:rPr>
        <w:t>。</w:t>
      </w:r>
    </w:p>
    <w:p>
      <w:pPr>
        <w:widowControl/>
        <w:spacing w:line="360" w:lineRule="auto"/>
        <w:ind w:firstLine="42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中标（成交）供应商在领取《中标（成交）通知书》之前须向深圳市千里招标代理有限公司交纳代理服务费。若因中标（成交）供应商交纳代理服务费所产生的时间影响到合同签订的，由中标（成交）供应商自行承担责任。代理服务费标准参照下列标准收取。本项目类型为</w:t>
      </w:r>
      <w:r>
        <w:rPr>
          <w:rFonts w:ascii="宋体" w:eastAsia="宋体" w:hAnsi="宋体" w:cstheme="minorBidi" w:hint="eastAsia"/>
          <w:b/>
          <w:bCs/>
          <w:kern w:val="2"/>
          <w:sz w:val="21"/>
          <w:szCs w:val="21"/>
          <w:u w:val="single"/>
          <w:lang w:eastAsia="zh-CN"/>
        </w:rPr>
        <w:t>货物采购</w:t>
      </w:r>
      <w:r>
        <w:rPr>
          <w:rFonts w:ascii="宋体" w:eastAsia="宋体" w:hAnsi="宋体" w:cstheme="minorBidi" w:hint="eastAsia"/>
          <w:kern w:val="2"/>
          <w:sz w:val="21"/>
          <w:szCs w:val="21"/>
          <w:lang w:eastAsia="zh-CN"/>
        </w:rPr>
        <w:t>：</w:t>
      </w:r>
    </w:p>
    <w:p>
      <w:pPr>
        <w:widowControl/>
        <w:spacing w:line="360" w:lineRule="auto"/>
        <w:ind w:firstLine="42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（1）代理服务费以《中标（成交）通知书》确定的中标（成交）金额作为计算基数，按差额定率累进法计算。</w:t>
      </w:r>
    </w:p>
    <w:p>
      <w:pPr>
        <w:widowControl/>
        <w:wordWrap w:val="0"/>
        <w:autoSpaceDE w:val="0"/>
        <w:autoSpaceDN w:val="0"/>
        <w:spacing w:line="360" w:lineRule="auto"/>
        <w:ind w:right="808" w:firstLine="420" w:firstLineChars="200"/>
        <w:jc w:val="both"/>
        <w:rPr>
          <w:rFonts w:ascii="宋体" w:eastAsia="宋体" w:hAnsi="宋体" w:cs="宋体" w:hint="eastAsia"/>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sz w:val="21"/>
          <w:szCs w:val="21"/>
          <w:lang w:eastAsia="zh-CN"/>
        </w:rPr>
        <w:t>招标代理服务费</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根据原国家计委《招标代理服务收费管理暂行办法》（计价格[2002]1980号）和国家发改委办公厅《关于招标代理服务收费有关问题的通知》（发改办价格[2003]857号）文件相关规定，招标代理服务费以中标金额为基数、按差额定率累进法计算，并在此计算结果基础上下浮 20 %，作为中标服务费。具体计取费率标准如下表所示（由中标单位支付招标代理服务费）：</w:t>
      </w:r>
    </w:p>
    <w:tbl>
      <w:tblPr>
        <w:tblStyle w:val="TableNormal"/>
        <w:tblW w:w="5000" w:type="pct"/>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0" w:type="dxa"/>
          <w:left w:w="108" w:type="dxa"/>
          <w:bottom w:w="0" w:type="dxa"/>
          <w:right w:w="108" w:type="dxa"/>
        </w:tblCellMar>
      </w:tblPr>
      <w:tblGrid>
        <w:gridCol w:w="2858"/>
        <w:gridCol w:w="1999"/>
        <w:gridCol w:w="2000"/>
        <w:gridCol w:w="1999"/>
      </w:tblGrid>
      <w:tr>
        <w:tblPrEx>
          <w:tblW w:w="5000" w:type="pct"/>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0" w:type="dxa"/>
            <w:left w:w="108" w:type="dxa"/>
            <w:bottom w:w="0" w:type="dxa"/>
            <w:right w:w="108" w:type="dxa"/>
          </w:tblCellMar>
        </w:tblPrEx>
        <w:trPr>
          <w:trHeight w:val="794"/>
        </w:trPr>
        <w:tc>
          <w:tcPr>
            <w:tcW w:w="2836" w:type="dxa"/>
            <w:tcBorders>
              <w:tl2br w:val="single" w:sz="8" w:space="0" w:color="auto"/>
            </w:tcBorders>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服务类型中标金额(万元)</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货物招标</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服务招标</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工程招标</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100以下</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1.5％</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1.5％</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100-500</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1.1％</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0.8％</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0.7％</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500-1000</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0.8％</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0.45％</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0.55％</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1000-5000</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0.5％</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0.25％</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0.35％</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5000-10000</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0.25％</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0.1％</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0.2％</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10000-100000</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0.05％</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0.05％</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0.05％</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1000000以上</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0.01％</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0.01％</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0.01％</w:t>
            </w:r>
          </w:p>
        </w:tc>
      </w:tr>
    </w:tbl>
    <w:p>
      <w:pPr>
        <w:widowControl w:val="0"/>
        <w:spacing w:line="360" w:lineRule="auto"/>
        <w:ind w:firstLine="420" w:firstLineChars="200"/>
        <w:jc w:val="both"/>
        <w:rPr>
          <w:rFonts w:eastAsia="宋体" w:hint="eastAsia"/>
          <w:kern w:val="2"/>
          <w:sz w:val="21"/>
          <w:lang w:eastAsia="zh-CN"/>
        </w:rPr>
      </w:pPr>
      <w:r>
        <w:rPr>
          <w:rFonts w:eastAsia="宋体" w:hint="eastAsia"/>
          <w:kern w:val="2"/>
          <w:sz w:val="21"/>
          <w:lang w:eastAsia="zh-CN"/>
        </w:rPr>
        <w:t>注：</w:t>
      </w:r>
    </w:p>
    <w:p>
      <w:pPr>
        <w:widowControl w:val="0"/>
        <w:spacing w:line="360" w:lineRule="auto"/>
        <w:ind w:firstLine="420" w:firstLineChars="200"/>
        <w:jc w:val="both"/>
        <w:rPr>
          <w:rFonts w:eastAsia="宋体" w:hint="eastAsia"/>
          <w:kern w:val="2"/>
          <w:sz w:val="21"/>
          <w:lang w:eastAsia="zh-CN"/>
        </w:rPr>
      </w:pPr>
      <w:r>
        <w:rPr>
          <w:rFonts w:eastAsia="宋体" w:hint="eastAsia"/>
          <w:kern w:val="2"/>
          <w:sz w:val="21"/>
          <w:lang w:eastAsia="zh-CN"/>
        </w:rPr>
        <w:t>（1）按本表费率计算的收费为招标代理服务的收费基准价格。</w:t>
      </w:r>
    </w:p>
    <w:p>
      <w:pPr>
        <w:widowControl w:val="0"/>
        <w:spacing w:line="360" w:lineRule="auto"/>
        <w:ind w:firstLine="420" w:firstLineChars="200"/>
        <w:jc w:val="both"/>
        <w:rPr>
          <w:rFonts w:eastAsia="宋体" w:hint="eastAsia"/>
          <w:kern w:val="2"/>
          <w:sz w:val="21"/>
          <w:lang w:eastAsia="zh-CN"/>
        </w:rPr>
      </w:pPr>
      <w:r>
        <w:rPr>
          <w:rFonts w:eastAsia="宋体" w:hint="eastAsia"/>
          <w:kern w:val="2"/>
          <w:sz w:val="21"/>
          <w:lang w:eastAsia="zh-CN"/>
        </w:rPr>
        <w:t>（2）招标代理服务收费按差额定率累进法计算。</w:t>
      </w:r>
    </w:p>
    <w:p>
      <w:pPr>
        <w:widowControl w:val="0"/>
        <w:spacing w:line="360" w:lineRule="auto"/>
        <w:ind w:firstLine="420" w:firstLineChars="200"/>
        <w:jc w:val="both"/>
        <w:rPr>
          <w:rFonts w:eastAsia="宋体" w:hint="eastAsia"/>
          <w:kern w:val="2"/>
          <w:sz w:val="21"/>
          <w:lang w:eastAsia="zh-CN"/>
        </w:rPr>
      </w:pPr>
      <w:r>
        <w:rPr>
          <w:rFonts w:eastAsia="宋体" w:hint="eastAsia"/>
          <w:kern w:val="2"/>
          <w:sz w:val="21"/>
          <w:lang w:eastAsia="zh-CN"/>
        </w:rPr>
        <w:t>例如：某服务招标代理业务中标金额为600万元，计算招标代理服务收费额如下：</w:t>
      </w:r>
    </w:p>
    <w:p>
      <w:pPr>
        <w:widowControl w:val="0"/>
        <w:spacing w:line="360" w:lineRule="auto"/>
        <w:ind w:firstLine="420" w:firstLineChars="200"/>
        <w:jc w:val="both"/>
        <w:rPr>
          <w:rFonts w:eastAsia="宋体" w:hint="eastAsia"/>
          <w:kern w:val="2"/>
          <w:sz w:val="21"/>
          <w:lang w:eastAsia="zh-CN"/>
        </w:rPr>
      </w:pPr>
      <w:r>
        <w:rPr>
          <w:rFonts w:eastAsia="宋体" w:hint="eastAsia"/>
          <w:kern w:val="2"/>
          <w:sz w:val="21"/>
          <w:lang w:eastAsia="zh-CN"/>
        </w:rPr>
        <w:t>100万元×1.5%=1.5万元</w:t>
      </w:r>
    </w:p>
    <w:p>
      <w:pPr>
        <w:widowControl w:val="0"/>
        <w:spacing w:line="360" w:lineRule="auto"/>
        <w:ind w:firstLine="420" w:firstLineChars="200"/>
        <w:jc w:val="both"/>
        <w:rPr>
          <w:rFonts w:eastAsia="宋体" w:hint="eastAsia"/>
          <w:kern w:val="2"/>
          <w:sz w:val="21"/>
          <w:lang w:eastAsia="zh-CN"/>
        </w:rPr>
      </w:pPr>
      <w:r>
        <w:rPr>
          <w:rFonts w:eastAsia="宋体" w:hint="eastAsia"/>
          <w:kern w:val="2"/>
          <w:sz w:val="21"/>
          <w:lang w:eastAsia="zh-CN"/>
        </w:rPr>
        <w:t>（500-100）万元×0.8%=3.2万元</w:t>
      </w:r>
    </w:p>
    <w:p>
      <w:pPr>
        <w:widowControl w:val="0"/>
        <w:spacing w:line="360" w:lineRule="auto"/>
        <w:ind w:firstLine="420" w:firstLineChars="200"/>
        <w:jc w:val="both"/>
        <w:rPr>
          <w:rFonts w:eastAsia="宋体" w:hint="eastAsia"/>
          <w:kern w:val="2"/>
          <w:sz w:val="21"/>
          <w:lang w:eastAsia="zh-CN"/>
        </w:rPr>
      </w:pPr>
      <w:r>
        <w:rPr>
          <w:rFonts w:eastAsia="宋体" w:hint="eastAsia"/>
          <w:kern w:val="2"/>
          <w:sz w:val="21"/>
          <w:lang w:eastAsia="zh-CN"/>
        </w:rPr>
        <w:t>（600-500）万元×0.45%=0.45万元</w:t>
      </w:r>
    </w:p>
    <w:p>
      <w:pPr>
        <w:widowControl w:val="0"/>
        <w:spacing w:line="360" w:lineRule="auto"/>
        <w:ind w:firstLine="420" w:firstLineChars="200"/>
        <w:jc w:val="both"/>
        <w:rPr>
          <w:rFonts w:eastAsia="宋体" w:hint="eastAsia"/>
          <w:kern w:val="2"/>
          <w:sz w:val="21"/>
          <w:lang w:eastAsia="zh-CN"/>
        </w:rPr>
      </w:pPr>
      <w:r>
        <w:rPr>
          <w:rFonts w:eastAsia="宋体" w:hint="eastAsia"/>
          <w:kern w:val="2"/>
          <w:sz w:val="21"/>
          <w:lang w:eastAsia="zh-CN"/>
        </w:rPr>
        <w:t>合计收费=1.5+3.2+0.45=5.15万元</w:t>
      </w:r>
    </w:p>
    <w:p>
      <w:pPr>
        <w:widowControl w:val="0"/>
        <w:spacing w:line="360" w:lineRule="auto"/>
        <w:ind w:firstLine="420" w:firstLineChars="200"/>
        <w:jc w:val="both"/>
        <w:rPr>
          <w:rFonts w:eastAsia="宋体" w:hint="eastAsia"/>
          <w:kern w:val="2"/>
          <w:sz w:val="21"/>
          <w:lang w:eastAsia="zh-CN"/>
        </w:rPr>
      </w:pPr>
      <w:r>
        <w:rPr>
          <w:rFonts w:eastAsia="宋体" w:hint="eastAsia"/>
          <w:kern w:val="2"/>
          <w:sz w:val="21"/>
          <w:lang w:eastAsia="zh-CN"/>
        </w:rPr>
        <w:t>备注：最低收费不低于人民币6000元。代理服务费用超过6000元，则按国家计费规定收取代理服务费。</w:t>
      </w:r>
    </w:p>
    <w:p>
      <w:pPr>
        <w:widowControl w:val="0"/>
        <w:spacing w:line="360" w:lineRule="auto"/>
        <w:ind w:firstLine="420" w:firstLineChars="200"/>
        <w:jc w:val="both"/>
        <w:rPr>
          <w:rFonts w:eastAsia="宋体" w:hint="eastAsia"/>
          <w:kern w:val="2"/>
          <w:sz w:val="21"/>
          <w:lang w:eastAsia="zh-CN"/>
        </w:rPr>
      </w:pPr>
      <w:r>
        <w:rPr>
          <w:rFonts w:eastAsia="宋体" w:hint="eastAsia"/>
          <w:kern w:val="2"/>
          <w:sz w:val="21"/>
          <w:lang w:eastAsia="zh-CN"/>
        </w:rPr>
        <w:t>收款单位：深圳市千里招标代理有限公司</w:t>
      </w:r>
    </w:p>
    <w:p>
      <w:pPr>
        <w:widowControl w:val="0"/>
        <w:spacing w:line="360" w:lineRule="auto"/>
        <w:ind w:firstLine="420" w:firstLineChars="200"/>
        <w:jc w:val="both"/>
        <w:rPr>
          <w:rFonts w:eastAsia="宋体" w:hint="eastAsia"/>
          <w:kern w:val="2"/>
          <w:sz w:val="21"/>
          <w:lang w:eastAsia="zh-CN"/>
        </w:rPr>
      </w:pPr>
      <w:r>
        <w:rPr>
          <w:rFonts w:eastAsia="宋体" w:hint="eastAsia"/>
          <w:kern w:val="2"/>
          <w:sz w:val="21"/>
          <w:lang w:eastAsia="zh-CN"/>
        </w:rPr>
        <w:t>开户银行：中国平安银行深圳创业路支行</w:t>
      </w:r>
    </w:p>
    <w:p>
      <w:pPr>
        <w:widowControl w:val="0"/>
        <w:spacing w:line="360" w:lineRule="auto"/>
        <w:ind w:firstLine="420" w:firstLineChars="200"/>
        <w:jc w:val="both"/>
        <w:rPr>
          <w:rFonts w:eastAsia="宋体" w:hint="eastAsia"/>
          <w:kern w:val="2"/>
          <w:sz w:val="21"/>
          <w:lang w:eastAsia="zh-CN"/>
        </w:rPr>
      </w:pPr>
      <w:r>
        <w:rPr>
          <w:rFonts w:eastAsia="宋体" w:hint="eastAsia"/>
          <w:kern w:val="2"/>
          <w:sz w:val="21"/>
          <w:lang w:eastAsia="zh-CN"/>
        </w:rPr>
        <w:t>帐号：（人民币）15000094959311（用于支付标书费和中标服务费）</w:t>
      </w:r>
    </w:p>
    <w:p>
      <w:pPr>
        <w:widowControl w:val="0"/>
        <w:spacing w:line="360" w:lineRule="auto"/>
        <w:ind w:firstLine="420" w:firstLineChars="200"/>
        <w:jc w:val="both"/>
        <w:rPr>
          <w:rFonts w:eastAsia="宋体" w:hint="eastAsia"/>
          <w:kern w:val="2"/>
          <w:sz w:val="21"/>
          <w:lang w:eastAsia="zh-CN"/>
        </w:rPr>
      </w:pPr>
      <w:r>
        <w:rPr>
          <w:rFonts w:eastAsia="宋体" w:hint="eastAsia"/>
          <w:kern w:val="2"/>
          <w:sz w:val="21"/>
          <w:lang w:eastAsia="zh-CN"/>
        </w:rPr>
        <w:t>中标人须在中标公告公示期结束后，领取《中标通知书》前，向招标（采购）代理机构缴纳招标代理服务费。</w:t>
      </w:r>
    </w:p>
    <w:p>
      <w:pPr>
        <w:widowControl w:val="0"/>
        <w:spacing w:line="360" w:lineRule="auto"/>
        <w:ind w:firstLine="420" w:firstLineChars="200"/>
        <w:jc w:val="both"/>
        <w:rPr>
          <w:rFonts w:eastAsia="宋体" w:hint="eastAsia"/>
          <w:kern w:val="2"/>
          <w:sz w:val="21"/>
          <w:lang w:eastAsia="zh-CN"/>
        </w:rPr>
      </w:pPr>
      <w:r>
        <w:rPr>
          <w:rFonts w:eastAsia="宋体" w:hint="eastAsia"/>
          <w:kern w:val="2"/>
          <w:sz w:val="21"/>
          <w:lang w:eastAsia="zh-CN"/>
        </w:rPr>
        <w:t>招标代理服务费以转账、银行汇票形式交付。</w:t>
      </w: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第三章  用户需求书</w:t>
      </w:r>
    </w:p>
    <w:p>
      <w:pPr>
        <w:keepNext/>
        <w:keepLines/>
        <w:widowControl w:val="0"/>
        <w:tabs>
          <w:tab w:val="left" w:pos="1680"/>
        </w:tabs>
        <w:spacing w:before="260" w:after="60" w:afterLines="25"/>
        <w:jc w:val="center"/>
        <w:outlineLvl w:val="2"/>
        <w:rPr>
          <w:rFonts w:ascii="Arial" w:eastAsia="宋体" w:hAnsi="Arial"/>
          <w:b/>
          <w:kern w:val="2"/>
          <w:sz w:val="32"/>
          <w:szCs w:val="32"/>
          <w:lang w:eastAsia="zh-CN"/>
        </w:rPr>
      </w:pPr>
      <w:r>
        <w:rPr>
          <w:rFonts w:ascii="Arial" w:eastAsia="宋体" w:hAnsi="Arial" w:hint="eastAsia"/>
          <w:b/>
          <w:kern w:val="2"/>
          <w:sz w:val="32"/>
          <w:szCs w:val="32"/>
          <w:lang w:eastAsia="zh-CN"/>
        </w:rPr>
        <w:t>一、项目基本信息</w:t>
      </w:r>
    </w:p>
    <w:tbl>
      <w:tblPr>
        <w:tblStyle w:val="TableNormal"/>
        <w:tblW w:w="5000" w:type="pct"/>
        <w:jc w:val="center"/>
        <w:tblLayout w:type="fixed"/>
        <w:tblCellMar>
          <w:top w:w="15" w:type="dxa"/>
          <w:left w:w="15" w:type="dxa"/>
          <w:bottom w:w="15" w:type="dxa"/>
          <w:right w:w="15" w:type="dxa"/>
        </w:tblCellMar>
      </w:tblPr>
      <w:tblGrid>
        <w:gridCol w:w="614"/>
        <w:gridCol w:w="1891"/>
        <w:gridCol w:w="2326"/>
        <w:gridCol w:w="1609"/>
        <w:gridCol w:w="1027"/>
        <w:gridCol w:w="1203"/>
      </w:tblGrid>
      <w:tr>
        <w:tblPrEx>
          <w:tblW w:w="5000" w:type="pct"/>
          <w:jc w:val="center"/>
          <w:tblLayout w:type="fixed"/>
          <w:tblCellMar>
            <w:top w:w="15" w:type="dxa"/>
            <w:left w:w="15" w:type="dxa"/>
            <w:bottom w:w="15" w:type="dxa"/>
            <w:right w:w="15" w:type="dxa"/>
          </w:tblCellMar>
        </w:tblPrEx>
        <w:trPr>
          <w:trHeight w:val="563"/>
          <w:jc w:val="center"/>
        </w:trPr>
        <w:tc>
          <w:tcPr>
            <w:tcW w:w="692" w:type="dxa"/>
            <w:tcBorders>
              <w:top w:val="single" w:sz="4" w:space="0" w:color="000000"/>
              <w:left w:val="single" w:sz="4" w:space="0" w:color="000000"/>
              <w:bottom w:val="single" w:sz="4" w:space="0" w:color="000000"/>
              <w:right w:val="single" w:sz="4" w:space="0" w:color="auto"/>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序号</w:t>
            </w:r>
          </w:p>
        </w:tc>
        <w:tc>
          <w:tcPr>
            <w:tcW w:w="2144" w:type="dxa"/>
            <w:tcBorders>
              <w:top w:val="single" w:sz="4" w:space="0" w:color="000000"/>
              <w:left w:val="single" w:sz="4" w:space="0" w:color="auto"/>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项目编号</w:t>
            </w:r>
          </w:p>
        </w:tc>
        <w:tc>
          <w:tcPr>
            <w:tcW w:w="2639"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项目名称</w:t>
            </w:r>
          </w:p>
        </w:tc>
        <w:tc>
          <w:tcPr>
            <w:tcW w:w="1824"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宋体" w:eastAsia="宋体" w:hAnsi="宋体" w:cstheme="minorBidi" w:hint="eastAsia"/>
                <w:b/>
                <w:kern w:val="2"/>
                <w:sz w:val="21"/>
                <w:szCs w:val="21"/>
                <w:lang w:eastAsia="zh-CN"/>
              </w:rPr>
              <w:t>最高限价（元）</w:t>
            </w:r>
          </w:p>
        </w:tc>
        <w:tc>
          <w:tcPr>
            <w:tcW w:w="1161"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textAlignment w:val="baseline"/>
              <w:rPr>
                <w:rFonts w:ascii="宋体" w:eastAsia="宋体" w:hAnsi="宋体" w:cs="宋体" w:hint="eastAsia"/>
                <w:b/>
                <w:kern w:val="2"/>
                <w:sz w:val="21"/>
                <w:szCs w:val="21"/>
                <w:lang w:eastAsia="zh-CN"/>
              </w:rPr>
            </w:pPr>
            <w:r>
              <w:rPr>
                <w:rFonts w:ascii="宋体" w:eastAsia="宋体" w:hAnsi="宋体" w:cs="宋体" w:hint="eastAsia"/>
                <w:b/>
                <w:bCs/>
                <w:sz w:val="21"/>
                <w:szCs w:val="21"/>
              </w:rPr>
              <w:t>备注</w:t>
            </w:r>
          </w:p>
        </w:tc>
        <w:tc>
          <w:tcPr>
            <w:tcW w:w="1362"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center"/>
              <w:textAlignment w:val="baseline"/>
              <w:rPr>
                <w:rFonts w:ascii="宋体" w:eastAsia="宋体" w:hAnsi="宋体" w:cs="宋体" w:hint="eastAsia"/>
                <w:b/>
                <w:kern w:val="2"/>
                <w:sz w:val="21"/>
                <w:szCs w:val="21"/>
                <w:lang w:eastAsia="zh-CN"/>
              </w:rPr>
            </w:pPr>
            <w:r>
              <w:rPr>
                <w:rFonts w:ascii="宋体" w:eastAsia="宋体" w:hAnsi="宋体" w:cs="宋体" w:hint="eastAsia"/>
                <w:b/>
                <w:bCs/>
                <w:sz w:val="21"/>
                <w:szCs w:val="21"/>
                <w:lang w:eastAsia="zh-CN"/>
              </w:rPr>
              <w:t>所属行业</w:t>
            </w:r>
          </w:p>
        </w:tc>
      </w:tr>
      <w:tr>
        <w:tblPrEx>
          <w:tblW w:w="5000" w:type="pct"/>
          <w:jc w:val="center"/>
          <w:tblLayout w:type="fixed"/>
          <w:tblCellMar>
            <w:top w:w="15" w:type="dxa"/>
            <w:left w:w="15" w:type="dxa"/>
            <w:bottom w:w="15" w:type="dxa"/>
            <w:right w:w="15" w:type="dxa"/>
          </w:tblCellMar>
        </w:tblPrEx>
        <w:trPr>
          <w:trHeight w:val="564"/>
          <w:jc w:val="center"/>
        </w:trPr>
        <w:tc>
          <w:tcPr>
            <w:tcW w:w="692" w:type="dxa"/>
            <w:tcBorders>
              <w:top w:val="single" w:sz="4" w:space="0" w:color="000000"/>
              <w:left w:val="single" w:sz="4" w:space="0" w:color="000000"/>
              <w:bottom w:val="single" w:sz="4" w:space="0" w:color="000000"/>
              <w:right w:val="single" w:sz="4" w:space="0" w:color="auto"/>
            </w:tcBorders>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p>
        </w:tc>
        <w:tc>
          <w:tcPr>
            <w:tcW w:w="2144" w:type="dxa"/>
            <w:tcBorders>
              <w:top w:val="single" w:sz="4" w:space="0" w:color="000000"/>
              <w:left w:val="single" w:sz="4" w:space="0" w:color="auto"/>
              <w:bottom w:val="single" w:sz="4" w:space="0" w:color="000000"/>
              <w:right w:val="single" w:sz="4" w:space="0" w:color="000000"/>
            </w:tcBorders>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LHAZXDL-2024-00182</w:t>
            </w:r>
          </w:p>
        </w:tc>
        <w:tc>
          <w:tcPr>
            <w:tcW w:w="2639" w:type="dxa"/>
            <w:tcBorders>
              <w:top w:val="single" w:sz="4" w:space="0" w:color="000000"/>
              <w:left w:val="single" w:sz="4" w:space="0" w:color="000000"/>
              <w:bottom w:val="single" w:sz="4" w:space="0" w:color="auto"/>
              <w:right w:val="single" w:sz="4" w:space="0" w:color="000000"/>
            </w:tcBorders>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深圳市龙华区中心医院热敏纸采购项目</w:t>
            </w:r>
          </w:p>
        </w:tc>
        <w:tc>
          <w:tcPr>
            <w:tcW w:w="1824" w:type="dxa"/>
            <w:tcBorders>
              <w:top w:val="single" w:sz="4" w:space="0" w:color="000000"/>
              <w:left w:val="single" w:sz="4" w:space="0" w:color="000000"/>
              <w:bottom w:val="single" w:sz="4" w:space="0" w:color="auto"/>
              <w:right w:val="single" w:sz="4" w:space="0" w:color="000000"/>
            </w:tcBorders>
            <w:vAlign w:val="center"/>
          </w:tcPr>
          <w:p>
            <w:pPr>
              <w:widowControl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284,900.00</w:t>
            </w:r>
          </w:p>
        </w:tc>
        <w:tc>
          <w:tcPr>
            <w:tcW w:w="1161" w:type="dxa"/>
            <w:tcBorders>
              <w:top w:val="single" w:sz="4" w:space="0" w:color="000000"/>
              <w:left w:val="single" w:sz="4" w:space="0" w:color="000000"/>
              <w:bottom w:val="single" w:sz="4" w:space="0" w:color="auto"/>
              <w:right w:val="single" w:sz="4" w:space="0" w:color="000000"/>
            </w:tcBorders>
            <w:vAlign w:val="center"/>
          </w:tcPr>
          <w:p>
            <w:pPr>
              <w:jc w:val="center"/>
              <w:textAlignment w:val="baseline"/>
              <w:rPr>
                <w:rFonts w:ascii="宋体" w:eastAsia="宋体" w:hAnsi="宋体" w:cs="宋体" w:hint="eastAsia"/>
                <w:kern w:val="2"/>
                <w:sz w:val="21"/>
                <w:szCs w:val="21"/>
                <w:lang w:eastAsia="zh-CN"/>
              </w:rPr>
            </w:pPr>
            <w:r>
              <w:rPr>
                <w:rFonts w:ascii="宋体" w:eastAsia="宋体" w:hAnsi="宋体" w:cs="宋体" w:hint="eastAsia"/>
                <w:bCs/>
                <w:sz w:val="21"/>
                <w:szCs w:val="21"/>
                <w:lang w:eastAsia="zh-CN"/>
              </w:rPr>
              <w:t>拒绝</w:t>
            </w:r>
            <w:r>
              <w:rPr>
                <w:rFonts w:ascii="宋体" w:eastAsia="宋体" w:hAnsi="宋体" w:cs="宋体" w:hint="eastAsia"/>
                <w:bCs/>
                <w:sz w:val="21"/>
                <w:szCs w:val="21"/>
              </w:rPr>
              <w:t>进口</w:t>
            </w:r>
          </w:p>
        </w:tc>
        <w:tc>
          <w:tcPr>
            <w:tcW w:w="1362" w:type="dxa"/>
            <w:tcBorders>
              <w:top w:val="single" w:sz="4" w:space="0" w:color="000000"/>
              <w:left w:val="single" w:sz="4" w:space="0" w:color="000000"/>
              <w:bottom w:val="single" w:sz="4" w:space="0" w:color="auto"/>
              <w:right w:val="single" w:sz="4" w:space="0" w:color="000000"/>
            </w:tcBorders>
            <w:vAlign w:val="center"/>
          </w:tcPr>
          <w:p>
            <w:pPr>
              <w:jc w:val="center"/>
              <w:textAlignment w:val="baseline"/>
              <w:rPr>
                <w:rFonts w:ascii="宋体" w:eastAsia="宋体" w:hAnsi="宋体" w:cs="宋体" w:hint="eastAsia"/>
                <w:kern w:val="2"/>
                <w:sz w:val="21"/>
                <w:szCs w:val="21"/>
                <w:lang w:eastAsia="zh-CN"/>
              </w:rPr>
            </w:pPr>
            <w:r>
              <w:rPr>
                <w:rFonts w:ascii="宋体" w:eastAsia="宋体" w:hAnsi="宋体" w:cs="宋体" w:hint="eastAsia"/>
                <w:bCs/>
                <w:sz w:val="21"/>
                <w:szCs w:val="21"/>
                <w:lang w:eastAsia="zh-CN"/>
              </w:rPr>
              <w:t>工业</w:t>
            </w:r>
          </w:p>
        </w:tc>
      </w:tr>
    </w:tbl>
    <w:p>
      <w:pPr>
        <w:spacing w:before="120" w:after="120"/>
        <w:rPr>
          <w:rFonts w:ascii="Calibri" w:hAnsi="Calibri" w:hint="eastAsia"/>
          <w:b/>
          <w:bCs/>
          <w:caps/>
          <w:sz w:val="21"/>
          <w:szCs w:val="21"/>
        </w:rPr>
      </w:pPr>
      <w:r>
        <w:rPr>
          <w:rFonts w:ascii="Calibri" w:hAnsi="Calibri" w:hint="eastAsia"/>
          <w:b/>
          <w:bCs/>
          <w:caps/>
          <w:sz w:val="21"/>
          <w:szCs w:val="21"/>
        </w:rPr>
        <w:t>备注：</w:t>
      </w:r>
      <w:r>
        <w:rPr>
          <w:rFonts w:ascii="Calibri" w:hAnsi="Calibri" w:hint="eastAsia"/>
          <w:b/>
          <w:bCs/>
          <w:caps/>
          <w:color w:val="FF0000"/>
          <w:sz w:val="21"/>
          <w:szCs w:val="21"/>
        </w:rPr>
        <w:t>预算采购金额计算来源：上一年度采购产品单价*年度使用数量=预算采购金额。此金额不作为最终结算依据。最终结算金额由中标公司提供采购单价*日常业务需求数量。</w:t>
      </w:r>
    </w:p>
    <w:p>
      <w:pPr>
        <w:keepNext/>
        <w:keepLines/>
        <w:widowControl w:val="0"/>
        <w:tabs>
          <w:tab w:val="left" w:pos="1680"/>
        </w:tabs>
        <w:spacing w:before="260" w:after="60" w:afterLines="25"/>
        <w:jc w:val="both"/>
        <w:outlineLvl w:val="9"/>
        <w:rPr>
          <w:rFonts w:ascii="Arial" w:eastAsia="宋体" w:hAnsi="Arial" w:hint="eastAsia"/>
          <w:b/>
          <w:kern w:val="2"/>
          <w:sz w:val="32"/>
          <w:szCs w:val="32"/>
          <w:lang w:eastAsia="zh-CN"/>
        </w:rPr>
      </w:pPr>
    </w:p>
    <w:p>
      <w:pPr>
        <w:keepNext/>
        <w:keepLines/>
        <w:widowControl w:val="0"/>
        <w:tabs>
          <w:tab w:val="left" w:pos="1680"/>
        </w:tabs>
        <w:spacing w:before="260" w:after="60" w:afterLines="25"/>
        <w:jc w:val="center"/>
        <w:outlineLvl w:val="2"/>
        <w:rPr>
          <w:rFonts w:ascii="Arial" w:eastAsia="宋体" w:hAnsi="Arial" w:hint="eastAsia"/>
          <w:b/>
          <w:kern w:val="2"/>
          <w:sz w:val="32"/>
          <w:szCs w:val="32"/>
          <w:lang w:eastAsia="zh-CN"/>
        </w:rPr>
      </w:pPr>
      <w:r>
        <w:rPr>
          <w:rFonts w:ascii="Arial" w:eastAsia="宋体" w:hAnsi="Arial" w:hint="eastAsia"/>
          <w:b/>
          <w:kern w:val="2"/>
          <w:sz w:val="32"/>
          <w:szCs w:val="32"/>
          <w:lang w:eastAsia="zh-CN"/>
        </w:rPr>
        <w:t>二、货物需求明细</w:t>
      </w:r>
      <w:bookmarkStart w:id="13" w:name="_Toc128884461"/>
    </w:p>
    <w:p>
      <w:pPr>
        <w:widowControl w:val="0"/>
        <w:autoSpaceDE w:val="0"/>
        <w:autoSpaceDN w:val="0"/>
        <w:adjustRightInd w:val="0"/>
        <w:rPr>
          <w:rFonts w:ascii="宋体" w:eastAsia="宋体" w:hAnsi="Calibri" w:cs="宋体" w:hint="eastAsia"/>
          <w:color w:val="000000"/>
          <w:lang w:eastAsia="zh-CN"/>
        </w:rPr>
      </w:pP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21"/>
        <w:gridCol w:w="2062"/>
        <w:gridCol w:w="1152"/>
        <w:gridCol w:w="1022"/>
        <w:gridCol w:w="1122"/>
        <w:gridCol w:w="1325"/>
        <w:gridCol w:w="1352"/>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95"/>
          <w:jc w:val="center"/>
        </w:trPr>
        <w:tc>
          <w:tcPr>
            <w:tcW w:w="843" w:type="dxa"/>
            <w:noWrap w:val="0"/>
            <w:vAlign w:val="center"/>
          </w:tcPr>
          <w:p>
            <w:pPr>
              <w:widowControl w:val="0"/>
              <w:jc w:val="center"/>
              <w:rPr>
                <w:rFonts w:ascii="Calibri" w:eastAsia="宋体" w:hAnsi="Calibri" w:hint="eastAsia"/>
                <w:b/>
                <w:kern w:val="2"/>
                <w:sz w:val="21"/>
                <w:szCs w:val="21"/>
                <w:lang w:eastAsia="zh-CN"/>
              </w:rPr>
            </w:pPr>
            <w:r>
              <w:rPr>
                <w:rFonts w:ascii="Calibri" w:eastAsia="宋体" w:hAnsi="Calibri" w:cstheme="minorBidi" w:hint="eastAsia"/>
                <w:b/>
                <w:kern w:val="2"/>
                <w:sz w:val="21"/>
                <w:szCs w:val="21"/>
                <w:lang w:eastAsia="zh-CN"/>
              </w:rPr>
              <w:t>序号</w:t>
            </w:r>
          </w:p>
        </w:tc>
        <w:tc>
          <w:tcPr>
            <w:tcW w:w="2130" w:type="dxa"/>
            <w:noWrap w:val="0"/>
            <w:vAlign w:val="center"/>
          </w:tcPr>
          <w:p>
            <w:pPr>
              <w:widowControl w:val="0"/>
              <w:jc w:val="center"/>
              <w:rPr>
                <w:rFonts w:ascii="Calibri" w:eastAsia="宋体" w:hAnsi="Calibri" w:hint="eastAsia"/>
                <w:b/>
                <w:kern w:val="2"/>
                <w:sz w:val="21"/>
                <w:szCs w:val="21"/>
                <w:lang w:eastAsia="zh-CN"/>
              </w:rPr>
            </w:pPr>
            <w:r>
              <w:rPr>
                <w:rFonts w:ascii="Calibri" w:eastAsia="宋体" w:hAnsi="Calibri" w:cstheme="minorBidi" w:hint="eastAsia"/>
                <w:b/>
                <w:kern w:val="2"/>
                <w:sz w:val="21"/>
                <w:szCs w:val="21"/>
                <w:lang w:eastAsia="zh-CN"/>
              </w:rPr>
              <w:t>货物名称</w:t>
            </w:r>
          </w:p>
        </w:tc>
        <w:tc>
          <w:tcPr>
            <w:tcW w:w="1186" w:type="dxa"/>
            <w:noWrap w:val="0"/>
            <w:vAlign w:val="center"/>
          </w:tcPr>
          <w:p>
            <w:pPr>
              <w:widowControl/>
              <w:jc w:val="center"/>
              <w:rPr>
                <w:rFonts w:ascii="宋体" w:eastAsia="宋体" w:hAnsi="宋体" w:cs="宋体" w:hint="eastAsia"/>
                <w:b/>
                <w:kern w:val="2"/>
                <w:sz w:val="21"/>
                <w:szCs w:val="21"/>
                <w:lang w:eastAsia="zh-CN"/>
              </w:rPr>
            </w:pPr>
            <w:r>
              <w:rPr>
                <w:rFonts w:ascii="宋体" w:eastAsia="宋体" w:hAnsi="宋体" w:cs="宋体" w:hint="eastAsia"/>
                <w:b/>
                <w:color w:val="000000"/>
                <w:sz w:val="21"/>
                <w:szCs w:val="21"/>
              </w:rPr>
              <w:t>预计数量</w:t>
            </w:r>
          </w:p>
        </w:tc>
        <w:tc>
          <w:tcPr>
            <w:tcW w:w="1051" w:type="dxa"/>
            <w:noWrap w:val="0"/>
            <w:vAlign w:val="center"/>
          </w:tcPr>
          <w:p>
            <w:pPr>
              <w:widowControl/>
              <w:jc w:val="center"/>
              <w:rPr>
                <w:rFonts w:ascii="宋体" w:eastAsia="宋体" w:hAnsi="宋体" w:cs="宋体" w:hint="eastAsia"/>
                <w:b/>
                <w:color w:val="000000"/>
                <w:sz w:val="21"/>
                <w:szCs w:val="21"/>
              </w:rPr>
            </w:pPr>
            <w:r>
              <w:rPr>
                <w:rFonts w:ascii="宋体" w:eastAsia="宋体" w:hAnsi="宋体" w:cs="宋体" w:hint="eastAsia"/>
                <w:b/>
                <w:color w:val="000000"/>
                <w:sz w:val="21"/>
                <w:szCs w:val="21"/>
              </w:rPr>
              <w:t>单位</w:t>
            </w:r>
          </w:p>
        </w:tc>
        <w:tc>
          <w:tcPr>
            <w:tcW w:w="1155" w:type="dxa"/>
            <w:noWrap w:val="0"/>
            <w:vAlign w:val="center"/>
          </w:tcPr>
          <w:p>
            <w:pPr>
              <w:widowControl/>
              <w:jc w:val="center"/>
              <w:rPr>
                <w:rFonts w:ascii="Calibri" w:eastAsia="宋体" w:hAnsi="Calibri"/>
                <w:b/>
                <w:kern w:val="2"/>
                <w:sz w:val="21"/>
                <w:szCs w:val="21"/>
                <w:lang w:eastAsia="zh-CN"/>
              </w:rPr>
            </w:pPr>
            <w:r>
              <w:rPr>
                <w:rFonts w:ascii="宋体" w:eastAsia="宋体" w:hAnsi="宋体" w:cs="宋体" w:hint="eastAsia"/>
                <w:b/>
                <w:color w:val="000000"/>
                <w:sz w:val="21"/>
                <w:szCs w:val="21"/>
              </w:rPr>
              <w:t>最高限价（单价）</w:t>
            </w:r>
          </w:p>
        </w:tc>
        <w:tc>
          <w:tcPr>
            <w:tcW w:w="1365" w:type="dxa"/>
            <w:noWrap w:val="0"/>
            <w:vAlign w:val="center"/>
          </w:tcPr>
          <w:p>
            <w:pPr>
              <w:widowControl w:val="0"/>
              <w:jc w:val="center"/>
              <w:rPr>
                <w:rFonts w:ascii="Calibri" w:eastAsia="宋体" w:hAnsi="Calibri" w:hint="eastAsia"/>
                <w:b/>
                <w:kern w:val="2"/>
                <w:sz w:val="21"/>
                <w:szCs w:val="21"/>
                <w:lang w:eastAsia="zh-CN"/>
              </w:rPr>
            </w:pPr>
            <w:r>
              <w:rPr>
                <w:rFonts w:ascii="Calibri" w:eastAsia="宋体" w:hAnsi="Calibri" w:cstheme="minorBidi" w:hint="eastAsia"/>
                <w:b/>
                <w:kern w:val="2"/>
                <w:sz w:val="21"/>
                <w:szCs w:val="21"/>
                <w:lang w:eastAsia="zh-CN"/>
              </w:rPr>
              <w:t>备注</w:t>
            </w:r>
          </w:p>
        </w:tc>
        <w:tc>
          <w:tcPr>
            <w:tcW w:w="1394" w:type="dxa"/>
            <w:noWrap w:val="0"/>
            <w:vAlign w:val="center"/>
          </w:tcPr>
          <w:p>
            <w:pPr>
              <w:widowControl w:val="0"/>
              <w:jc w:val="center"/>
              <w:rPr>
                <w:rFonts w:ascii="Calibri" w:eastAsia="宋体" w:hAnsi="Calibri" w:hint="eastAsia"/>
                <w:b/>
                <w:kern w:val="2"/>
                <w:sz w:val="21"/>
                <w:szCs w:val="21"/>
                <w:lang w:eastAsia="zh-CN"/>
              </w:rPr>
            </w:pPr>
            <w:r>
              <w:rPr>
                <w:rFonts w:ascii="Calibri" w:eastAsia="宋体" w:hAnsi="Calibri" w:cstheme="minorBidi" w:hint="eastAsia"/>
                <w:b/>
                <w:kern w:val="2"/>
                <w:sz w:val="21"/>
                <w:szCs w:val="21"/>
                <w:lang w:eastAsia="zh-CN"/>
              </w:rPr>
              <w:t>最高限价（元）</w:t>
            </w:r>
          </w:p>
        </w:tc>
      </w:tr>
      <w:tr>
        <w:tblPrEx>
          <w:tblW w:w="5000" w:type="pct"/>
          <w:jc w:val="center"/>
          <w:tblLayout w:type="fixed"/>
          <w:tblCellMar>
            <w:top w:w="0" w:type="dxa"/>
            <w:left w:w="108" w:type="dxa"/>
            <w:bottom w:w="0" w:type="dxa"/>
            <w:right w:w="108" w:type="dxa"/>
          </w:tblCellMar>
        </w:tblPrEx>
        <w:trPr>
          <w:trHeight w:val="291"/>
          <w:jc w:val="center"/>
        </w:trPr>
        <w:tc>
          <w:tcPr>
            <w:tcW w:w="843" w:type="dxa"/>
            <w:noWrap w:val="0"/>
            <w:vAlign w:val="center"/>
          </w:tcPr>
          <w:p>
            <w:pPr>
              <w:widowControl/>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1</w:t>
            </w:r>
          </w:p>
        </w:tc>
        <w:tc>
          <w:tcPr>
            <w:tcW w:w="2130"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热敏纸</w:t>
            </w:r>
            <w:r>
              <w:rPr>
                <w:rFonts w:ascii="宋体" w:eastAsia="宋体" w:hAnsi="宋体" w:cs="宋体" w:hint="eastAsia"/>
                <w:color w:val="000000"/>
                <w:sz w:val="21"/>
                <w:szCs w:val="21"/>
                <w:lang w:eastAsia="zh-CN"/>
              </w:rPr>
              <w:t>1</w:t>
            </w:r>
          </w:p>
        </w:tc>
        <w:tc>
          <w:tcPr>
            <w:tcW w:w="1186"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28664</w:t>
            </w:r>
          </w:p>
        </w:tc>
        <w:tc>
          <w:tcPr>
            <w:tcW w:w="1051" w:type="dxa"/>
            <w:noWrap w:val="0"/>
            <w:vAlign w:val="center"/>
          </w:tcPr>
          <w:p>
            <w:pPr>
              <w:widowControl/>
              <w:jc w:val="center"/>
              <w:rPr>
                <w:rFonts w:ascii="宋体" w:eastAsia="宋体" w:hAnsi="宋体" w:cs="宋体"/>
                <w:color w:val="000000"/>
                <w:sz w:val="21"/>
                <w:szCs w:val="21"/>
                <w:lang w:eastAsia="zh-CN"/>
              </w:rPr>
            </w:pPr>
            <w:r>
              <w:rPr>
                <w:rFonts w:ascii="宋体" w:eastAsia="宋体" w:hAnsi="宋体" w:cs="宋体" w:hint="eastAsia"/>
                <w:color w:val="000000"/>
                <w:sz w:val="21"/>
                <w:szCs w:val="21"/>
                <w:lang w:eastAsia="zh-CN"/>
              </w:rPr>
              <w:t>卷</w:t>
            </w:r>
          </w:p>
        </w:tc>
        <w:tc>
          <w:tcPr>
            <w:tcW w:w="1155" w:type="dxa"/>
            <w:noWrap w:val="0"/>
            <w:vAlign w:val="center"/>
          </w:tcPr>
          <w:p>
            <w:pPr>
              <w:widowControl/>
              <w:jc w:val="center"/>
              <w:rPr>
                <w:rFonts w:ascii="宋体" w:eastAsia="宋体" w:hAnsi="宋体" w:cs="宋体"/>
                <w:color w:val="FF0000"/>
                <w:kern w:val="2"/>
                <w:sz w:val="21"/>
                <w:szCs w:val="21"/>
                <w:highlight w:val="yellow"/>
                <w:lang w:eastAsia="zh-CN"/>
              </w:rPr>
            </w:pPr>
            <w:r>
              <w:rPr>
                <w:rFonts w:ascii="宋体" w:eastAsia="宋体" w:hAnsi="宋体" w:cs="宋体" w:hint="eastAsia"/>
                <w:color w:val="000000"/>
                <w:sz w:val="21"/>
                <w:szCs w:val="21"/>
              </w:rPr>
              <w:t>5</w:t>
            </w:r>
          </w:p>
        </w:tc>
        <w:tc>
          <w:tcPr>
            <w:tcW w:w="1365"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394" w:type="dxa"/>
            <w:vMerge w:val="restart"/>
            <w:noWrap w:val="0"/>
            <w:vAlign w:val="center"/>
          </w:tcPr>
          <w:p>
            <w:pPr>
              <w:widowControl w:val="0"/>
              <w:jc w:val="center"/>
              <w:rPr>
                <w:rFonts w:ascii="Calibri" w:eastAsia="宋体" w:hAnsi="Calibri"/>
                <w:kern w:val="2"/>
                <w:sz w:val="21"/>
                <w:szCs w:val="21"/>
                <w:lang w:eastAsia="zh-CN"/>
              </w:rPr>
            </w:pPr>
            <w:r>
              <w:rPr>
                <w:rFonts w:ascii="宋体" w:eastAsia="宋体" w:hAnsi="宋体" w:hint="eastAsia"/>
                <w:kern w:val="2"/>
                <w:sz w:val="21"/>
                <w:szCs w:val="21"/>
                <w:lang w:eastAsia="zh-CN"/>
              </w:rPr>
              <w:t>284,900.00</w:t>
            </w:r>
          </w:p>
        </w:tc>
      </w:tr>
      <w:tr>
        <w:tblPrEx>
          <w:tblW w:w="5000" w:type="pct"/>
          <w:jc w:val="center"/>
          <w:tblLayout w:type="fixed"/>
          <w:tblCellMar>
            <w:top w:w="0" w:type="dxa"/>
            <w:left w:w="108" w:type="dxa"/>
            <w:bottom w:w="0" w:type="dxa"/>
            <w:right w:w="108" w:type="dxa"/>
          </w:tblCellMar>
        </w:tblPrEx>
        <w:trPr>
          <w:trHeight w:val="572"/>
          <w:jc w:val="center"/>
        </w:trPr>
        <w:tc>
          <w:tcPr>
            <w:tcW w:w="843" w:type="dxa"/>
            <w:noWrap w:val="0"/>
            <w:vAlign w:val="center"/>
          </w:tcPr>
          <w:p>
            <w:pPr>
              <w:widowControl/>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2</w:t>
            </w:r>
          </w:p>
        </w:tc>
        <w:tc>
          <w:tcPr>
            <w:tcW w:w="2130"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热敏纸不干胶</w:t>
            </w:r>
            <w:r>
              <w:rPr>
                <w:rFonts w:ascii="宋体" w:eastAsia="宋体" w:hAnsi="宋体" w:cs="宋体" w:hint="eastAsia"/>
                <w:color w:val="000000"/>
                <w:sz w:val="21"/>
                <w:szCs w:val="21"/>
                <w:lang w:eastAsia="zh-CN"/>
              </w:rPr>
              <w:t>1</w:t>
            </w:r>
          </w:p>
        </w:tc>
        <w:tc>
          <w:tcPr>
            <w:tcW w:w="1186"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3522</w:t>
            </w:r>
          </w:p>
        </w:tc>
        <w:tc>
          <w:tcPr>
            <w:tcW w:w="1051" w:type="dxa"/>
            <w:noWrap w:val="0"/>
            <w:vAlign w:val="center"/>
          </w:tcPr>
          <w:p>
            <w:pPr>
              <w:widowControl/>
              <w:jc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卷</w:t>
            </w:r>
          </w:p>
        </w:tc>
        <w:tc>
          <w:tcPr>
            <w:tcW w:w="1155" w:type="dxa"/>
            <w:noWrap w:val="0"/>
            <w:vAlign w:val="center"/>
          </w:tcPr>
          <w:p>
            <w:pPr>
              <w:widowControl/>
              <w:jc w:val="center"/>
              <w:rPr>
                <w:rFonts w:ascii="宋体" w:eastAsia="宋体" w:hAnsi="宋体" w:cs="宋体"/>
                <w:color w:val="FF0000"/>
                <w:kern w:val="2"/>
                <w:sz w:val="21"/>
                <w:szCs w:val="21"/>
                <w:highlight w:val="yellow"/>
                <w:lang w:eastAsia="zh-CN"/>
              </w:rPr>
            </w:pPr>
            <w:r>
              <w:rPr>
                <w:rFonts w:ascii="宋体" w:eastAsia="宋体" w:hAnsi="宋体" w:cs="宋体" w:hint="eastAsia"/>
                <w:color w:val="000000"/>
                <w:sz w:val="21"/>
                <w:szCs w:val="21"/>
              </w:rPr>
              <w:t>21</w:t>
            </w:r>
          </w:p>
        </w:tc>
        <w:tc>
          <w:tcPr>
            <w:tcW w:w="1365"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p>
            <w:pPr>
              <w:widowControl w:val="0"/>
              <w:autoSpaceDE w:val="0"/>
              <w:autoSpaceDN w:val="0"/>
              <w:adjustRightInd w:val="0"/>
              <w:jc w:val="center"/>
              <w:rPr>
                <w:rFonts w:ascii="宋体" w:eastAsia="宋体" w:hAnsi="Calibri" w:cs="宋体" w:hint="eastAsia"/>
                <w:color w:val="000000"/>
                <w:lang w:eastAsia="zh-CN"/>
              </w:rPr>
            </w:pPr>
            <w:r>
              <w:rPr>
                <w:rFonts w:ascii="Calibri" w:eastAsia="宋体" w:hAnsi="Calibri" w:cstheme="minorBidi" w:hint="eastAsia"/>
                <w:b/>
                <w:bCs/>
                <w:color w:val="FF0000"/>
                <w:kern w:val="2"/>
                <w:sz w:val="21"/>
                <w:szCs w:val="21"/>
                <w:lang w:eastAsia="zh-CN"/>
              </w:rPr>
              <w:t>核心产品</w:t>
            </w:r>
          </w:p>
        </w:tc>
        <w:tc>
          <w:tcPr>
            <w:tcW w:w="1394"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291"/>
          <w:jc w:val="center"/>
        </w:trPr>
        <w:tc>
          <w:tcPr>
            <w:tcW w:w="843"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3</w:t>
            </w:r>
          </w:p>
        </w:tc>
        <w:tc>
          <w:tcPr>
            <w:tcW w:w="2130"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FF0000"/>
                <w:sz w:val="21"/>
                <w:szCs w:val="21"/>
                <w:highlight w:val="yellow"/>
              </w:rPr>
              <w:t>热敏纸不干胶</w:t>
            </w:r>
          </w:p>
        </w:tc>
        <w:tc>
          <w:tcPr>
            <w:tcW w:w="1186"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216</w:t>
            </w:r>
          </w:p>
        </w:tc>
        <w:tc>
          <w:tcPr>
            <w:tcW w:w="1051" w:type="dxa"/>
            <w:noWrap w:val="0"/>
            <w:vAlign w:val="center"/>
          </w:tcPr>
          <w:p>
            <w:pPr>
              <w:widowControl/>
              <w:jc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卷</w:t>
            </w:r>
          </w:p>
        </w:tc>
        <w:tc>
          <w:tcPr>
            <w:tcW w:w="1155"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25</w:t>
            </w:r>
          </w:p>
        </w:tc>
        <w:tc>
          <w:tcPr>
            <w:tcW w:w="1365"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394"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291"/>
          <w:jc w:val="center"/>
        </w:trPr>
        <w:tc>
          <w:tcPr>
            <w:tcW w:w="843"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4</w:t>
            </w:r>
          </w:p>
        </w:tc>
        <w:tc>
          <w:tcPr>
            <w:tcW w:w="2130"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热敏纸不干胶</w:t>
            </w:r>
            <w:r>
              <w:rPr>
                <w:rFonts w:ascii="宋体" w:eastAsia="宋体" w:hAnsi="宋体" w:cs="宋体" w:hint="eastAsia"/>
                <w:color w:val="000000"/>
                <w:sz w:val="21"/>
                <w:szCs w:val="21"/>
                <w:lang w:eastAsia="zh-CN"/>
              </w:rPr>
              <w:t>2</w:t>
            </w:r>
          </w:p>
        </w:tc>
        <w:tc>
          <w:tcPr>
            <w:tcW w:w="1186"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53</w:t>
            </w:r>
          </w:p>
        </w:tc>
        <w:tc>
          <w:tcPr>
            <w:tcW w:w="1051" w:type="dxa"/>
            <w:noWrap w:val="0"/>
            <w:vAlign w:val="center"/>
          </w:tcPr>
          <w:p>
            <w:pPr>
              <w:widowControl/>
              <w:jc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卷</w:t>
            </w:r>
          </w:p>
        </w:tc>
        <w:tc>
          <w:tcPr>
            <w:tcW w:w="1155"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38</w:t>
            </w:r>
          </w:p>
        </w:tc>
        <w:tc>
          <w:tcPr>
            <w:tcW w:w="1365"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394"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291"/>
          <w:jc w:val="center"/>
        </w:trPr>
        <w:tc>
          <w:tcPr>
            <w:tcW w:w="843"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5</w:t>
            </w:r>
          </w:p>
        </w:tc>
        <w:tc>
          <w:tcPr>
            <w:tcW w:w="2130" w:type="dxa"/>
            <w:noWrap w:val="0"/>
            <w:vAlign w:val="center"/>
          </w:tcPr>
          <w:p>
            <w:pPr>
              <w:widowControl/>
              <w:jc w:val="center"/>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热敏纸 </w:t>
            </w:r>
          </w:p>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POS机专用</w:t>
            </w:r>
          </w:p>
        </w:tc>
        <w:tc>
          <w:tcPr>
            <w:tcW w:w="1186"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5500</w:t>
            </w:r>
          </w:p>
        </w:tc>
        <w:tc>
          <w:tcPr>
            <w:tcW w:w="1051" w:type="dxa"/>
            <w:noWrap w:val="0"/>
            <w:vAlign w:val="center"/>
          </w:tcPr>
          <w:p>
            <w:pPr>
              <w:widowControl/>
              <w:jc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卷</w:t>
            </w:r>
          </w:p>
        </w:tc>
        <w:tc>
          <w:tcPr>
            <w:tcW w:w="1155"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2</w:t>
            </w:r>
          </w:p>
        </w:tc>
        <w:tc>
          <w:tcPr>
            <w:tcW w:w="1365"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394"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291"/>
          <w:jc w:val="center"/>
        </w:trPr>
        <w:tc>
          <w:tcPr>
            <w:tcW w:w="843"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6</w:t>
            </w:r>
          </w:p>
        </w:tc>
        <w:tc>
          <w:tcPr>
            <w:tcW w:w="2130"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热敏纸不干胶</w:t>
            </w:r>
            <w:r>
              <w:rPr>
                <w:rFonts w:ascii="宋体" w:eastAsia="宋体" w:hAnsi="宋体" w:cs="宋体" w:hint="eastAsia"/>
                <w:color w:val="000000"/>
                <w:sz w:val="21"/>
                <w:szCs w:val="21"/>
                <w:lang w:eastAsia="zh-CN"/>
              </w:rPr>
              <w:t>3</w:t>
            </w:r>
          </w:p>
        </w:tc>
        <w:tc>
          <w:tcPr>
            <w:tcW w:w="1186"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2677</w:t>
            </w:r>
          </w:p>
        </w:tc>
        <w:tc>
          <w:tcPr>
            <w:tcW w:w="1051" w:type="dxa"/>
            <w:noWrap w:val="0"/>
            <w:vAlign w:val="center"/>
          </w:tcPr>
          <w:p>
            <w:pPr>
              <w:widowControl/>
              <w:jc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卷</w:t>
            </w:r>
          </w:p>
        </w:tc>
        <w:tc>
          <w:tcPr>
            <w:tcW w:w="1155"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15</w:t>
            </w:r>
          </w:p>
        </w:tc>
        <w:tc>
          <w:tcPr>
            <w:tcW w:w="1365"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394"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291"/>
          <w:jc w:val="center"/>
        </w:trPr>
        <w:tc>
          <w:tcPr>
            <w:tcW w:w="843"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7</w:t>
            </w:r>
          </w:p>
        </w:tc>
        <w:tc>
          <w:tcPr>
            <w:tcW w:w="2130"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热敏不干胶</w:t>
            </w:r>
            <w:r>
              <w:rPr>
                <w:rFonts w:ascii="宋体" w:eastAsia="宋体" w:hAnsi="宋体" w:cs="宋体" w:hint="eastAsia"/>
                <w:color w:val="000000"/>
                <w:sz w:val="21"/>
                <w:szCs w:val="21"/>
                <w:lang w:eastAsia="zh-CN"/>
              </w:rPr>
              <w:t>4</w:t>
            </w:r>
          </w:p>
        </w:tc>
        <w:tc>
          <w:tcPr>
            <w:tcW w:w="1186"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550</w:t>
            </w:r>
          </w:p>
        </w:tc>
        <w:tc>
          <w:tcPr>
            <w:tcW w:w="1051" w:type="dxa"/>
            <w:noWrap w:val="0"/>
            <w:vAlign w:val="center"/>
          </w:tcPr>
          <w:p>
            <w:pPr>
              <w:widowControl/>
              <w:jc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卷</w:t>
            </w:r>
          </w:p>
        </w:tc>
        <w:tc>
          <w:tcPr>
            <w:tcW w:w="1155"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4.8</w:t>
            </w:r>
          </w:p>
        </w:tc>
        <w:tc>
          <w:tcPr>
            <w:tcW w:w="1365"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394"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301"/>
          <w:jc w:val="center"/>
        </w:trPr>
        <w:tc>
          <w:tcPr>
            <w:tcW w:w="843"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8</w:t>
            </w:r>
          </w:p>
        </w:tc>
        <w:tc>
          <w:tcPr>
            <w:tcW w:w="2130"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热敏不干胶</w:t>
            </w:r>
            <w:r>
              <w:rPr>
                <w:rFonts w:ascii="宋体" w:eastAsia="宋体" w:hAnsi="宋体" w:cs="宋体" w:hint="eastAsia"/>
                <w:color w:val="000000"/>
                <w:sz w:val="21"/>
                <w:szCs w:val="21"/>
                <w:lang w:eastAsia="zh-CN"/>
              </w:rPr>
              <w:t>5</w:t>
            </w:r>
          </w:p>
        </w:tc>
        <w:tc>
          <w:tcPr>
            <w:tcW w:w="1186"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rPr>
              <w:t>1394</w:t>
            </w:r>
          </w:p>
        </w:tc>
        <w:tc>
          <w:tcPr>
            <w:tcW w:w="1051" w:type="dxa"/>
            <w:noWrap w:val="0"/>
            <w:vAlign w:val="center"/>
          </w:tcPr>
          <w:p>
            <w:pPr>
              <w:widowControl/>
              <w:jc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卷</w:t>
            </w:r>
          </w:p>
        </w:tc>
        <w:tc>
          <w:tcPr>
            <w:tcW w:w="1155" w:type="dxa"/>
            <w:noWrap w:val="0"/>
            <w:vAlign w:val="center"/>
          </w:tcPr>
          <w:p>
            <w:pPr>
              <w:widowControl/>
              <w:jc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rPr>
              <w:t>4.6</w:t>
            </w:r>
          </w:p>
        </w:tc>
        <w:tc>
          <w:tcPr>
            <w:tcW w:w="1365" w:type="dxa"/>
            <w:noWrap w:val="0"/>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拒绝进口</w:t>
            </w:r>
          </w:p>
        </w:tc>
        <w:tc>
          <w:tcPr>
            <w:tcW w:w="1394" w:type="dxa"/>
            <w:vMerge/>
            <w:noWrap w:val="0"/>
            <w:vAlign w:val="center"/>
          </w:tcPr>
          <w:p>
            <w:pPr>
              <w:widowControl w:val="0"/>
              <w:jc w:val="center"/>
              <w:rPr>
                <w:rFonts w:ascii="Calibri" w:eastAsia="宋体" w:hAnsi="Calibri" w:hint="eastAsia"/>
                <w:b/>
                <w:bCs/>
                <w:color w:val="FF0000"/>
                <w:kern w:val="2"/>
                <w:sz w:val="21"/>
                <w:szCs w:val="21"/>
                <w:lang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b/>
          <w:color w:val="FF0000"/>
          <w:sz w:val="21"/>
          <w:szCs w:val="21"/>
        </w:rPr>
      </w:pPr>
      <w:r>
        <w:rPr>
          <w:rFonts w:ascii="宋体" w:eastAsia="宋体" w:hAnsi="宋体" w:cs="宋体" w:hint="eastAsia"/>
          <w:b/>
          <w:color w:val="FF0000"/>
          <w:sz w:val="21"/>
          <w:szCs w:val="21"/>
          <w:lang w:eastAsia="zh-CN"/>
        </w:rPr>
        <w:t>1、</w:t>
      </w:r>
      <w:r>
        <w:rPr>
          <w:rFonts w:ascii="宋体" w:eastAsia="宋体" w:hAnsi="宋体" w:cs="宋体" w:hint="eastAsia"/>
          <w:b/>
          <w:color w:val="FF0000"/>
          <w:sz w:val="21"/>
          <w:szCs w:val="21"/>
        </w:rPr>
        <w:t>报价不得超出最高限价（单价）。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b/>
          <w:color w:val="FF0000"/>
          <w:sz w:val="21"/>
          <w:szCs w:val="21"/>
        </w:rPr>
      </w:pPr>
      <w:r>
        <w:rPr>
          <w:rFonts w:ascii="宋体" w:eastAsia="宋体" w:hAnsi="宋体" w:cs="宋体" w:hint="eastAsia"/>
          <w:b/>
          <w:color w:val="FF0000"/>
          <w:sz w:val="21"/>
          <w:szCs w:val="21"/>
        </w:rPr>
        <w:t>2、如以上商品有因生产厂家对商品升级、停产或其他原因导致无法供货的，在满足采购方使用需求的前提下，可对比该商品参数和单价选用其他品牌同类产品，单价不得高于该商品单价，参数要求不得低于该商品参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b/>
          <w:color w:val="FF0000"/>
          <w:sz w:val="21"/>
          <w:szCs w:val="21"/>
        </w:rPr>
      </w:pPr>
      <w:r>
        <w:rPr>
          <w:rFonts w:ascii="宋体" w:eastAsia="宋体" w:hAnsi="宋体" w:cs="宋体" w:hint="eastAsia"/>
          <w:b/>
          <w:color w:val="FF0000"/>
          <w:sz w:val="21"/>
          <w:szCs w:val="21"/>
        </w:rPr>
        <w:t>3、中标人根据采购方实际采购需要，负责本项目《采购产品清单》中的内容，但不限于此清单货物的供应。如不在本项目采购产品清单内但属于清单同类产品的，中标人应按照采购方要求采购，采购方向中标人发出报价通知后，中标人应根据采购方需求，参考京东及天猫等网上商城的供货价报价。采购方接受该报价后，即将其添加于本项目采购产品清单内，由采购方按照本项目合同的约定向中标人采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b/>
          <w:color w:val="FF0000"/>
          <w:sz w:val="21"/>
          <w:szCs w:val="21"/>
        </w:rPr>
      </w:pPr>
      <w:r>
        <w:rPr>
          <w:rFonts w:ascii="宋体" w:eastAsia="宋体" w:hAnsi="宋体" w:cs="宋体" w:hint="eastAsia"/>
          <w:b/>
          <w:color w:val="FF0000"/>
          <w:sz w:val="21"/>
          <w:szCs w:val="21"/>
        </w:rPr>
        <w:t>4、中标人需有自营配送服务、技术服务团队，按照采购方要求配送物资至指定地点，并按照流程完成验收手续。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b/>
          <w:color w:val="FF0000"/>
          <w:sz w:val="21"/>
          <w:szCs w:val="21"/>
        </w:rPr>
      </w:pPr>
      <w:r>
        <w:rPr>
          <w:rFonts w:ascii="宋体" w:eastAsia="宋体" w:hAnsi="宋体" w:cs="宋体" w:hint="eastAsia"/>
          <w:b/>
          <w:color w:val="FF0000"/>
          <w:sz w:val="21"/>
          <w:szCs w:val="21"/>
        </w:rPr>
        <w:t xml:space="preserve">5.备注栏注明“拒绝进口”的产品不接受投标人选用进口产品参与投标；注明“接受进口”的产品允许投标人选用进口产品参与投标，但不排斥国内产品。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b/>
          <w:color w:val="FF0000"/>
          <w:sz w:val="21"/>
          <w:szCs w:val="21"/>
        </w:rPr>
      </w:pPr>
      <w:r>
        <w:rPr>
          <w:rFonts w:ascii="宋体" w:eastAsia="宋体" w:hAnsi="宋体" w:cs="宋体" w:hint="eastAsia"/>
          <w:b/>
          <w:color w:val="FF0000"/>
          <w:sz w:val="21"/>
          <w:szCs w:val="21"/>
        </w:rPr>
        <w:t>6、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b/>
          <w:color w:val="FF0000"/>
          <w:sz w:val="21"/>
          <w:szCs w:val="21"/>
          <w:u w:val="single"/>
        </w:rPr>
      </w:pPr>
      <w:r>
        <w:rPr>
          <w:rFonts w:ascii="宋体" w:eastAsia="宋体" w:hAnsi="宋体" w:cs="宋体" w:hint="eastAsia"/>
          <w:b/>
          <w:color w:val="FF0000"/>
          <w:sz w:val="21"/>
          <w:szCs w:val="21"/>
        </w:rPr>
        <w:t>7、本项目核心产品为：</w:t>
      </w:r>
      <w:r>
        <w:rPr>
          <w:rFonts w:ascii="宋体" w:eastAsia="宋体" w:hAnsi="宋体" w:cs="宋体" w:hint="eastAsia"/>
          <w:b/>
          <w:color w:val="FF0000"/>
          <w:sz w:val="21"/>
          <w:szCs w:val="21"/>
          <w:u w:val="single"/>
        </w:rPr>
        <w:t>热敏纸不干胶</w:t>
      </w:r>
      <w:r>
        <w:rPr>
          <w:rFonts w:ascii="宋体" w:eastAsia="宋体" w:hAnsi="宋体" w:cs="宋体" w:hint="eastAsia"/>
          <w:b/>
          <w:color w:val="FF0000"/>
          <w:sz w:val="21"/>
          <w:szCs w:val="21"/>
          <w:u w:val="single"/>
          <w:lang w:eastAsia="zh-CN"/>
        </w:rPr>
        <w:t>1</w:t>
      </w:r>
      <w:r>
        <w:rPr>
          <w:rFonts w:ascii="宋体" w:eastAsia="宋体" w:hAnsi="宋体" w:cs="宋体" w:hint="eastAsia"/>
          <w:b/>
          <w:color w:val="FF0000"/>
          <w:sz w:val="21"/>
          <w:szCs w:val="21"/>
        </w:rPr>
        <w:t>。</w:t>
      </w:r>
    </w:p>
    <w:p>
      <w:pPr>
        <w:spacing w:after="120"/>
        <w:ind w:left="480" w:leftChars="200"/>
        <w:rPr>
          <w:rFonts w:ascii="宋体" w:eastAsia="宋体" w:hAnsi="宋体" w:hint="eastAsia"/>
          <w:b/>
          <w:color w:val="000000"/>
          <w:sz w:val="21"/>
          <w:szCs w:val="21"/>
          <w:u w:val="single"/>
          <w:lang w:eastAsia="zh-CN"/>
        </w:rPr>
      </w:pPr>
    </w:p>
    <w:p>
      <w:pPr>
        <w:spacing w:after="120"/>
        <w:ind w:left="480" w:leftChars="200"/>
        <w:rPr>
          <w:rFonts w:ascii="宋体" w:eastAsia="宋体" w:hAnsi="宋体" w:hint="eastAsia"/>
          <w:b/>
          <w:color w:val="000000"/>
          <w:sz w:val="21"/>
          <w:szCs w:val="21"/>
          <w:u w:val="single"/>
          <w:lang w:eastAsia="zh-CN"/>
        </w:rPr>
      </w:pPr>
    </w:p>
    <w:p>
      <w:pPr>
        <w:spacing w:after="120"/>
        <w:ind w:left="480" w:leftChars="200"/>
        <w:rPr>
          <w:rFonts w:ascii="宋体" w:eastAsia="宋体" w:hAnsi="宋体" w:hint="eastAsia"/>
          <w:b/>
          <w:color w:val="000000"/>
          <w:sz w:val="21"/>
          <w:szCs w:val="21"/>
          <w:u w:val="single"/>
          <w:lang w:eastAsia="zh-CN"/>
        </w:rPr>
      </w:pPr>
    </w:p>
    <w:p>
      <w:pPr>
        <w:spacing w:after="120"/>
        <w:ind w:left="480" w:leftChars="200"/>
        <w:rPr>
          <w:rFonts w:ascii="宋体" w:eastAsia="宋体" w:hAnsi="宋体" w:hint="eastAsia"/>
          <w:b/>
          <w:color w:val="000000"/>
          <w:sz w:val="21"/>
          <w:szCs w:val="21"/>
          <w:u w:val="single"/>
          <w:lang w:eastAsia="zh-CN"/>
        </w:rPr>
      </w:pPr>
    </w:p>
    <w:p>
      <w:pPr>
        <w:spacing w:after="120"/>
        <w:ind w:left="0" w:firstLine="0" w:leftChars="0" w:firstLineChars="0"/>
        <w:rPr>
          <w:rFonts w:ascii="宋体" w:eastAsia="宋体" w:hAnsi="宋体" w:hint="eastAsia"/>
          <w:b/>
          <w:color w:val="000000"/>
          <w:sz w:val="21"/>
          <w:szCs w:val="21"/>
          <w:u w:val="single"/>
          <w:lang w:eastAsia="zh-CN"/>
        </w:rPr>
      </w:pPr>
    </w:p>
    <w:p>
      <w:pPr>
        <w:keepNext/>
        <w:keepLines/>
        <w:widowControl w:val="0"/>
        <w:spacing w:before="260" w:after="260" w:line="240" w:lineRule="auto"/>
        <w:jc w:val="center"/>
        <w:outlineLvl w:val="2"/>
        <w:rPr>
          <w:rFonts w:ascii="宋体" w:eastAsia="宋体" w:hAnsi="宋体"/>
          <w:b/>
          <w:bCs/>
          <w:kern w:val="2"/>
          <w:sz w:val="28"/>
          <w:szCs w:val="32"/>
          <w:lang w:eastAsia="zh-CN"/>
        </w:rPr>
      </w:pPr>
      <w:r>
        <w:rPr>
          <w:rFonts w:ascii="宋体" w:eastAsia="宋体" w:hAnsi="宋体" w:cstheme="minorBidi" w:hint="eastAsia"/>
          <w:b/>
          <w:bCs/>
          <w:kern w:val="2"/>
          <w:sz w:val="28"/>
          <w:szCs w:val="32"/>
          <w:lang w:eastAsia="zh-CN"/>
        </w:rPr>
        <w:t>三、实质性条款</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52"/>
        <w:gridCol w:w="7904"/>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54"/>
          <w:jc w:val="center"/>
        </w:trPr>
        <w:tc>
          <w:tcPr>
            <w:tcW w:w="961" w:type="dxa"/>
            <w:vAlign w:val="center"/>
          </w:tcPr>
          <w:p>
            <w:pPr>
              <w:widowControl w:val="0"/>
              <w:jc w:val="center"/>
              <w:rPr>
                <w:rFonts w:ascii="宋体" w:eastAsia="宋体" w:hAnsi="宋体"/>
                <w:b/>
                <w:kern w:val="2"/>
                <w:sz w:val="21"/>
                <w:szCs w:val="22"/>
                <w:lang w:eastAsia="zh-CN"/>
              </w:rPr>
            </w:pPr>
            <w:r>
              <w:rPr>
                <w:rFonts w:ascii="宋体" w:eastAsia="宋体" w:hAnsi="宋体" w:cstheme="minorBidi" w:hint="eastAsia"/>
                <w:b/>
                <w:kern w:val="2"/>
                <w:sz w:val="21"/>
                <w:szCs w:val="22"/>
                <w:lang w:eastAsia="zh-CN"/>
              </w:rPr>
              <w:t>序号</w:t>
            </w:r>
          </w:p>
        </w:tc>
        <w:tc>
          <w:tcPr>
            <w:tcW w:w="8000" w:type="dxa"/>
            <w:vAlign w:val="center"/>
          </w:tcPr>
          <w:p>
            <w:pPr>
              <w:widowControl w:val="0"/>
              <w:jc w:val="center"/>
              <w:rPr>
                <w:rFonts w:ascii="宋体" w:eastAsia="宋体" w:hAnsi="宋体"/>
                <w:b/>
                <w:kern w:val="2"/>
                <w:sz w:val="21"/>
                <w:szCs w:val="22"/>
                <w:lang w:eastAsia="zh-CN"/>
              </w:rPr>
            </w:pPr>
            <w:r>
              <w:rPr>
                <w:rFonts w:ascii="宋体" w:eastAsia="宋体" w:hAnsi="宋体" w:cstheme="minorBidi" w:hint="eastAsia"/>
                <w:b/>
                <w:kern w:val="2"/>
                <w:sz w:val="21"/>
                <w:szCs w:val="22"/>
                <w:lang w:eastAsia="zh-CN"/>
              </w:rPr>
              <w:t>实质性条款具体内容</w:t>
            </w:r>
          </w:p>
        </w:tc>
      </w:tr>
      <w:tr>
        <w:tblPrEx>
          <w:tblW w:w="5000" w:type="pct"/>
          <w:jc w:val="center"/>
          <w:tblLayout w:type="fixed"/>
          <w:tblCellMar>
            <w:top w:w="0" w:type="dxa"/>
            <w:left w:w="108" w:type="dxa"/>
            <w:bottom w:w="0" w:type="dxa"/>
            <w:right w:w="108" w:type="dxa"/>
          </w:tblCellMar>
        </w:tblPrEx>
        <w:trPr>
          <w:trHeight w:val="454"/>
          <w:jc w:val="center"/>
        </w:trPr>
        <w:tc>
          <w:tcPr>
            <w:tcW w:w="961"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1</w:t>
            </w:r>
          </w:p>
        </w:tc>
        <w:tc>
          <w:tcPr>
            <w:tcW w:w="8000"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本项目招标文件中所有带★号条款内容</w:t>
            </w:r>
          </w:p>
        </w:tc>
      </w:tr>
      <w:bookmarkEnd w:id="13"/>
    </w:tbl>
    <w:p>
      <w:pPr>
        <w:widowControl w:val="0"/>
        <w:spacing w:line="360" w:lineRule="auto"/>
        <w:ind w:firstLine="420" w:firstLineChars="200"/>
        <w:jc w:val="both"/>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pPr>
        <w:widowControl w:val="0"/>
        <w:spacing w:line="360" w:lineRule="auto"/>
        <w:jc w:val="both"/>
        <w:rPr>
          <w:rFonts w:ascii="宋体" w:eastAsia="宋体" w:hAnsi="宋体" w:cs="宋体"/>
          <w:kern w:val="2"/>
          <w:sz w:val="21"/>
          <w:szCs w:val="21"/>
          <w:lang w:eastAsia="zh-CN"/>
        </w:rPr>
      </w:pPr>
    </w:p>
    <w:p>
      <w:pPr>
        <w:keepNext/>
        <w:keepLines/>
        <w:widowControl w:val="0"/>
        <w:tabs>
          <w:tab w:val="left" w:pos="1680"/>
        </w:tabs>
        <w:spacing w:before="260" w:after="60" w:afterLines="25"/>
        <w:jc w:val="center"/>
        <w:outlineLvl w:val="2"/>
        <w:rPr>
          <w:rFonts w:ascii="Arial" w:eastAsia="宋体" w:hAnsi="Arial"/>
          <w:b/>
          <w:bCs/>
          <w:kern w:val="2"/>
          <w:sz w:val="32"/>
          <w:szCs w:val="32"/>
          <w:lang w:eastAsia="zh-CN"/>
        </w:rPr>
      </w:pPr>
      <w:r>
        <w:rPr>
          <w:rFonts w:ascii="Arial" w:eastAsia="宋体" w:hAnsi="Arial" w:hint="eastAsia"/>
          <w:b/>
          <w:bCs/>
          <w:kern w:val="2"/>
          <w:sz w:val="32"/>
          <w:szCs w:val="32"/>
          <w:lang w:eastAsia="zh-CN"/>
        </w:rPr>
        <w:t>四、技术要求</w:t>
      </w:r>
    </w:p>
    <w:p>
      <w:pPr>
        <w:widowControl w:val="0"/>
        <w:jc w:val="both"/>
        <w:rPr>
          <w:rFonts w:ascii="Calibri" w:eastAsia="宋体" w:hAnsi="Calibri" w:hint="eastAsia"/>
          <w:b/>
          <w:color w:val="000000"/>
          <w:kern w:val="2"/>
          <w:sz w:val="21"/>
          <w:szCs w:val="21"/>
          <w:lang w:eastAsia="zh-CN"/>
        </w:rPr>
      </w:pPr>
      <w:r>
        <w:rPr>
          <w:rFonts w:ascii="Calibri" w:eastAsia="宋体" w:hAnsi="Calibri" w:cstheme="minorBidi" w:hint="eastAsia"/>
          <w:b/>
          <w:color w:val="000000"/>
          <w:kern w:val="2"/>
          <w:sz w:val="21"/>
          <w:szCs w:val="21"/>
          <w:lang w:eastAsia="zh-CN"/>
        </w:rPr>
        <w:t>说明：</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1、评分时，如对一项招标技术要求（以划分框为准）中的内容存在两处（或以上）负偏离的，在评分时只作一项负偏离扣分。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highlight w:val="yellow"/>
          <w:lang w:eastAsia="zh-CN"/>
        </w:rPr>
      </w:pPr>
      <w:r>
        <w:rPr>
          <w:rFonts w:ascii="宋体" w:eastAsia="宋体" w:hAnsi="宋体" w:cs="宋体" w:hint="eastAsia"/>
          <w:bCs/>
          <w:kern w:val="2"/>
          <w:sz w:val="21"/>
          <w:szCs w:val="21"/>
          <w:lang w:eastAsia="zh-CN"/>
        </w:rPr>
        <w:t>2、带★号条款为不可负偏离条款，不作为评分准则中的评分内容，如未响应或出现负偏离的，将作投标无效处理。带▲号参数为重要参数，其他参数（非▲号参数）为普通参数，如出现负偏离，将按照评分准则做扣分处理。如注明要求提供相关佐证材料的，需以佐证材料作为是否偏离的依据。</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3、所列的技术参数需求中如出现品牌信息仅供参考，不作为参数要求，目的只为投标人更清楚地了解采购需求，投标人可提供其他品牌设备投标。</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4、如有方案或参数表述中有出现类似可实现、实现、可支持、支持等描述的，均表示方案或参数需要实现的功能或应满足的要求，即项目在验收时无须增加其他额外设备或系统，使用本项目中的设备或系统即能实现相应功能或满足相关要求。</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5、针对招标文件产品技术参数如涉及相关既定值、单向范围值、区间范围值的，投标技术参数响应方式举例说明如下：</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（1）涉及相关既定值的，例：招标技术参数要求值为“20L”，投标技术参数响应值与“20L”不一致的，均视为负偏离；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2）涉及相关单向范围值的，例：招标技术参数要求的单向范围值为“≥6m”，除有特别注明以外，投标技术参数响应值与招标技术参数要求范围值完全一致的（如响应为“≥6m”）或投标技术参数响应值大于招标技术参数要求范围值的（如响应为“≥5”或“＞5”等）或投标技术参数响应值为招标技术参数要求范围值内的任意值的（如响应为“7m”或“6.5m”等）均视为符合要求，投标技术参数响应值小于招标技术参数要求的（如响应为"＜6m"或“＜5m”或“5m”等）均视为负偏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涉及相关区间范围值的，例：招标技术参数要求的区间范围值为“0-20ML”，除有特别注明以外，投标技术参数响应值与招标技术参数要求范围值完全一致的（如响应为“0-20ML”）或投标技术参数响应值大于招标技术参数要求范围值的（如响应为“0-21ML”或“-1-20ML”或“0-25ML”等）均视为符合要求，投标技术参数响应值小于招标技术参数要求范围值的（如响应为“0-15ML”或“1-12ML ”或 “9-20ML”或“9ML” 等）均视为负偏离。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6、检验（检测）报告要求具有CMA、CNAS等标识的，若有材料证明相关检测事项不在实施该项检测的机构许可（认可）CMA、CNAS等资质范围或检测范围内的，该检验（检测）报告视为不满足招标文件要求，作负偏离处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7、相关证明材料的产品名称与招标文件要求的名称不完全一致的，需提供为同种产品的说明；若名称不完全一致又未提供说明的，由评审委员会判定是否符合文件要求。</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84"/>
        <w:gridCol w:w="1838"/>
        <w:gridCol w:w="6034"/>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52"/>
          <w:jc w:val="center"/>
        </w:trPr>
        <w:tc>
          <w:tcPr>
            <w:tcW w:w="947" w:type="dxa"/>
            <w:noWrap w:val="0"/>
            <w:vAlign w:val="center"/>
          </w:tcPr>
          <w:p>
            <w:pPr>
              <w:keepNext w:val="0"/>
              <w:keepLines w:val="0"/>
              <w:pageBreakBefore w:val="0"/>
              <w:kinsoku/>
              <w:wordWrap/>
              <w:overflowPunct/>
              <w:topLinePunct w:val="0"/>
              <w:autoSpaceDE/>
              <w:autoSpaceDN/>
              <w:bidi w:val="0"/>
              <w:adjustRightInd/>
              <w:spacing w:beforeAutospacing="0" w:afterAutospacing="0" w:line="400" w:lineRule="exact"/>
              <w:ind w:left="0" w:right="0" w:firstLine="0" w:leftChars="0" w:firstLineChars="0"/>
              <w:jc w:val="center"/>
              <w:textAlignment w:val="auto"/>
              <w:rPr>
                <w:rFonts w:ascii="宋体" w:eastAsia="宋体" w:hAnsi="宋体" w:cs="宋体" w:hint="eastAsia"/>
                <w:b/>
                <w:bCs/>
                <w:kern w:val="21"/>
                <w:sz w:val="21"/>
                <w:szCs w:val="21"/>
              </w:rPr>
            </w:pPr>
            <w:r>
              <w:rPr>
                <w:rFonts w:ascii="宋体" w:eastAsia="宋体" w:hAnsi="宋体" w:cs="宋体" w:hint="eastAsia"/>
                <w:b/>
                <w:bCs/>
                <w:kern w:val="21"/>
                <w:sz w:val="21"/>
                <w:szCs w:val="21"/>
              </w:rPr>
              <w:t>序号</w:t>
            </w:r>
          </w:p>
        </w:tc>
        <w:tc>
          <w:tcPr>
            <w:tcW w:w="1768" w:type="dxa"/>
            <w:noWrap w:val="0"/>
            <w:vAlign w:val="center"/>
          </w:tcPr>
          <w:p>
            <w:pPr>
              <w:keepNext w:val="0"/>
              <w:keepLines w:val="0"/>
              <w:pageBreakBefore w:val="0"/>
              <w:widowControl/>
              <w:kinsoku/>
              <w:wordWrap/>
              <w:overflowPunct/>
              <w:topLinePunct w:val="0"/>
              <w:autoSpaceDE/>
              <w:autoSpaceDN/>
              <w:bidi w:val="0"/>
              <w:adjustRightInd/>
              <w:spacing w:beforeAutospacing="0" w:afterAutospacing="0" w:line="400" w:lineRule="exact"/>
              <w:ind w:left="0" w:right="0" w:firstLine="0" w:leftChars="0" w:firstLineChars="0"/>
              <w:jc w:val="center"/>
              <w:textAlignment w:val="auto"/>
              <w:rPr>
                <w:rFonts w:ascii="宋体" w:eastAsia="宋体" w:hAnsi="宋体" w:cs="宋体" w:hint="eastAsia"/>
                <w:b/>
                <w:bCs/>
                <w:kern w:val="21"/>
                <w:sz w:val="21"/>
                <w:szCs w:val="21"/>
              </w:rPr>
            </w:pPr>
            <w:r>
              <w:rPr>
                <w:rFonts w:ascii="宋体" w:eastAsia="宋体" w:hAnsi="宋体" w:cs="宋体" w:hint="eastAsia"/>
                <w:b/>
                <w:bCs/>
                <w:kern w:val="21"/>
                <w:sz w:val="21"/>
                <w:szCs w:val="21"/>
              </w:rPr>
              <w:t>货物名称</w:t>
            </w:r>
          </w:p>
        </w:tc>
        <w:tc>
          <w:tcPr>
            <w:tcW w:w="5805" w:type="dxa"/>
            <w:noWrap w:val="0"/>
            <w:vAlign w:val="center"/>
          </w:tcPr>
          <w:p>
            <w:pPr>
              <w:keepNext w:val="0"/>
              <w:keepLines w:val="0"/>
              <w:pageBreakBefore w:val="0"/>
              <w:kinsoku/>
              <w:wordWrap/>
              <w:overflowPunct/>
              <w:topLinePunct w:val="0"/>
              <w:autoSpaceDE/>
              <w:autoSpaceDN/>
              <w:bidi w:val="0"/>
              <w:adjustRightInd/>
              <w:spacing w:beforeAutospacing="0" w:afterAutospacing="0" w:line="400" w:lineRule="exact"/>
              <w:ind w:left="0" w:right="0" w:firstLine="0" w:leftChars="0" w:firstLineChars="0"/>
              <w:jc w:val="center"/>
              <w:textAlignment w:val="auto"/>
              <w:rPr>
                <w:rFonts w:ascii="宋体" w:eastAsia="宋体" w:hAnsi="宋体" w:cs="宋体" w:hint="eastAsia"/>
                <w:b/>
                <w:bCs/>
                <w:kern w:val="21"/>
                <w:sz w:val="21"/>
                <w:szCs w:val="21"/>
                <w:lang w:eastAsia="zh-CN"/>
              </w:rPr>
            </w:pPr>
            <w:r>
              <w:rPr>
                <w:rFonts w:ascii="宋体" w:eastAsia="宋体" w:hAnsi="宋体" w:cs="宋体" w:hint="eastAsia"/>
                <w:b/>
                <w:bCs/>
                <w:kern w:val="21"/>
                <w:sz w:val="21"/>
                <w:szCs w:val="21"/>
                <w:lang w:eastAsia="zh-CN"/>
              </w:rPr>
              <w:t>招标技术要求</w:t>
            </w:r>
          </w:p>
        </w:tc>
      </w:tr>
      <w:tr>
        <w:tblPrEx>
          <w:tblW w:w="5000" w:type="pct"/>
          <w:jc w:val="center"/>
          <w:tblLayout w:type="fixed"/>
          <w:tblCellMar>
            <w:top w:w="0" w:type="dxa"/>
            <w:left w:w="108" w:type="dxa"/>
            <w:bottom w:w="0" w:type="dxa"/>
            <w:right w:w="108" w:type="dxa"/>
          </w:tblCellMar>
        </w:tblPrEx>
        <w:trPr>
          <w:trHeight w:val="308"/>
          <w:jc w:val="center"/>
        </w:trPr>
        <w:tc>
          <w:tcPr>
            <w:tcW w:w="947" w:type="dxa"/>
            <w:vMerge w:val="restart"/>
            <w:shd w:val="clear" w:color="auto" w:fill="auto"/>
            <w:noWrap w:val="0"/>
            <w:vAlign w:val="center"/>
          </w:tcPr>
          <w:p>
            <w:pPr>
              <w:jc w:val="center"/>
              <w:rPr>
                <w:rFonts w:ascii="宋体" w:eastAsia="宋体" w:hAnsi="宋体" w:cs="宋体" w:hint="eastAsia"/>
                <w:kern w:val="2"/>
                <w:sz w:val="21"/>
                <w:szCs w:val="21"/>
                <w:lang w:eastAsia="zh-CN"/>
              </w:rPr>
            </w:pPr>
            <w:r>
              <w:rPr>
                <w:rFonts w:ascii="宋体" w:eastAsia="宋体" w:hAnsi="宋体" w:cs="宋体" w:hint="eastAsia"/>
                <w:sz w:val="21"/>
                <w:szCs w:val="21"/>
              </w:rPr>
              <w:t>1</w:t>
            </w:r>
          </w:p>
        </w:tc>
        <w:tc>
          <w:tcPr>
            <w:tcW w:w="1768" w:type="dxa"/>
            <w:vMerge w:val="restart"/>
            <w:shd w:val="clear" w:color="auto" w:fill="auto"/>
            <w:noWrap w:val="0"/>
            <w:vAlign w:val="center"/>
          </w:tcPr>
          <w:p>
            <w:pPr>
              <w:widowControl/>
              <w:jc w:val="center"/>
              <w:rPr>
                <w:rFonts w:ascii="宋体" w:eastAsia="宋体" w:hAnsi="宋体" w:cs="宋体" w:hint="eastAsia"/>
                <w:sz w:val="21"/>
                <w:szCs w:val="21"/>
                <w:lang w:eastAsia="zh-CN"/>
              </w:rPr>
            </w:pPr>
            <w:r>
              <w:rPr>
                <w:rFonts w:ascii="宋体" w:eastAsia="宋体" w:hAnsi="宋体" w:cs="宋体" w:hint="eastAsia"/>
                <w:sz w:val="21"/>
                <w:szCs w:val="21"/>
              </w:rPr>
              <w:t>热敏纸</w:t>
            </w:r>
            <w:r>
              <w:rPr>
                <w:rFonts w:ascii="宋体" w:eastAsia="宋体" w:hAnsi="宋体" w:cs="宋体" w:hint="eastAsia"/>
                <w:sz w:val="21"/>
                <w:szCs w:val="21"/>
                <w:lang w:eastAsia="zh-CN"/>
              </w:rPr>
              <w:t>1</w:t>
            </w:r>
          </w:p>
        </w:tc>
        <w:tc>
          <w:tcPr>
            <w:tcW w:w="5805" w:type="dxa"/>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sz w:val="21"/>
                <w:szCs w:val="21"/>
                <w:lang w:eastAsia="zh-CN"/>
              </w:rPr>
              <w:t>1、</w:t>
            </w:r>
            <w:r>
              <w:rPr>
                <w:rFonts w:ascii="宋体" w:eastAsia="宋体" w:hAnsi="宋体" w:cs="宋体" w:hint="eastAsia"/>
                <w:sz w:val="21"/>
                <w:szCs w:val="21"/>
              </w:rPr>
              <w:t>规格（长*宽）MM</w:t>
            </w:r>
            <w:r>
              <w:rPr>
                <w:rFonts w:ascii="宋体" w:eastAsia="宋体" w:hAnsi="宋体" w:cs="宋体" w:hint="eastAsia"/>
                <w:sz w:val="21"/>
                <w:szCs w:val="21"/>
                <w:lang w:eastAsia="zh-CN"/>
              </w:rPr>
              <w:t>：</w:t>
            </w:r>
            <w:r>
              <w:rPr>
                <w:rFonts w:ascii="宋体" w:eastAsia="宋体" w:hAnsi="宋体" w:cs="宋体" w:hint="eastAsia"/>
                <w:sz w:val="21"/>
                <w:szCs w:val="21"/>
              </w:rPr>
              <w:t>80*80</w:t>
            </w:r>
            <w:r>
              <w:rPr>
                <w:rFonts w:ascii="宋体" w:eastAsia="宋体" w:hAnsi="宋体" w:cs="宋体" w:hint="eastAsia"/>
                <w:sz w:val="21"/>
                <w:szCs w:val="21"/>
                <w:lang w:eastAsia="zh-CN"/>
              </w:rPr>
              <w:t>（允许误差±1mm）</w:t>
            </w:r>
          </w:p>
        </w:tc>
      </w:tr>
      <w:tr>
        <w:tblPrEx>
          <w:tblW w:w="5000" w:type="pct"/>
          <w:jc w:val="center"/>
          <w:tblLayout w:type="fixed"/>
          <w:tblCellMar>
            <w:top w:w="0" w:type="dxa"/>
            <w:left w:w="108" w:type="dxa"/>
            <w:bottom w:w="0" w:type="dxa"/>
            <w:right w:w="108" w:type="dxa"/>
          </w:tblCellMar>
        </w:tblPrEx>
        <w:trPr>
          <w:trHeight w:val="308"/>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5805" w:type="dxa"/>
            <w:noWrap w:val="0"/>
            <w:vAlign w:val="center"/>
          </w:tcPr>
          <w:p>
            <w:pPr>
              <w:widowControl/>
              <w:jc w:val="left"/>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2、管芯≤17MM</w:t>
            </w:r>
            <w:r>
              <w:rPr>
                <w:rFonts w:ascii="宋体" w:eastAsia="宋体" w:hAnsi="宋体" w:cs="宋体" w:hint="eastAsia"/>
                <w:sz w:val="21"/>
                <w:szCs w:val="21"/>
                <w:lang w:eastAsia="zh-Hans" w:bidi="ar"/>
              </w:rPr>
              <w:t>，</w:t>
            </w:r>
            <w:r>
              <w:rPr>
                <w:rFonts w:ascii="宋体" w:eastAsia="宋体" w:hAnsi="宋体" w:cs="宋体" w:hint="eastAsia"/>
                <w:sz w:val="21"/>
                <w:szCs w:val="21"/>
              </w:rPr>
              <w:t>紧度</w:t>
            </w:r>
            <w:r>
              <w:rPr>
                <w:rFonts w:ascii="宋体" w:eastAsia="宋体" w:hAnsi="宋体" w:cs="宋体" w:hint="eastAsia"/>
                <w:sz w:val="21"/>
                <w:szCs w:val="21"/>
                <w:lang w:bidi="en-US"/>
              </w:rPr>
              <w:t>20.80g/cm</w:t>
            </w:r>
            <w:r>
              <w:rPr>
                <w:rFonts w:ascii="宋体" w:eastAsia="宋体" w:hAnsi="宋体" w:cs="宋体" w:hint="eastAsia"/>
                <w:sz w:val="21"/>
                <w:szCs w:val="21"/>
                <w:vertAlign w:val="superscript"/>
                <w:lang w:bidi="en-US"/>
              </w:rPr>
              <w:t xml:space="preserve">3 </w:t>
            </w:r>
            <w:r>
              <w:rPr>
                <w:rFonts w:ascii="宋体" w:eastAsia="宋体" w:hAnsi="宋体" w:cs="宋体" w:hint="eastAsia"/>
                <w:sz w:val="21"/>
                <w:szCs w:val="21"/>
                <w:vertAlign w:val="superscript"/>
                <w:lang w:eastAsia="zh-CN" w:bidi="en-US"/>
              </w:rPr>
              <w:t>，</w:t>
            </w:r>
            <w:r>
              <w:rPr>
                <w:rFonts w:ascii="宋体" w:eastAsia="宋体" w:hAnsi="宋体" w:cs="宋体" w:hint="eastAsia"/>
                <w:bCs/>
                <w:kern w:val="21"/>
                <w:sz w:val="21"/>
                <w:szCs w:val="21"/>
                <w:lang w:eastAsia="zh-Hans"/>
              </w:rPr>
              <w:t>（</w:t>
            </w:r>
            <w:r>
              <w:rPr>
                <w:rFonts w:ascii="宋体" w:eastAsia="宋体" w:hAnsi="宋体" w:cs="宋体" w:hint="eastAsia"/>
                <w:sz w:val="21"/>
                <w:szCs w:val="21"/>
                <w:lang w:eastAsia="zh-CN"/>
              </w:rPr>
              <w:t>允许误差</w:t>
            </w:r>
            <w:r>
              <w:rPr>
                <w:rFonts w:ascii="宋体" w:eastAsia="宋体" w:hAnsi="宋体" w:cs="宋体" w:hint="eastAsia"/>
                <w:bCs/>
                <w:kern w:val="21"/>
                <w:sz w:val="21"/>
                <w:szCs w:val="21"/>
                <w:lang w:eastAsia="zh-Hans"/>
              </w:rPr>
              <w:t>±</w:t>
            </w:r>
            <w:r>
              <w:rPr>
                <w:rFonts w:ascii="宋体" w:eastAsia="宋体" w:hAnsi="宋体" w:cs="宋体" w:hint="eastAsia"/>
                <w:bCs/>
                <w:kern w:val="21"/>
                <w:sz w:val="21"/>
                <w:szCs w:val="21"/>
                <w:lang w:eastAsia="zh-CN"/>
              </w:rPr>
              <w:t>5</w:t>
            </w:r>
            <w:r>
              <w:rPr>
                <w:rFonts w:ascii="宋体" w:eastAsia="宋体" w:hAnsi="宋体" w:cs="宋体" w:hint="eastAsia"/>
                <w:bCs/>
                <w:kern w:val="21"/>
                <w:sz w:val="21"/>
                <w:szCs w:val="21"/>
                <w:lang w:eastAsia="zh-Hans"/>
              </w:rPr>
              <w:t>%</w:t>
            </w:r>
            <w:r>
              <w:rPr>
                <w:rFonts w:ascii="宋体" w:eastAsia="宋体" w:hAnsi="宋体" w:cs="宋体" w:hint="eastAsia"/>
                <w:sz w:val="21"/>
                <w:szCs w:val="21"/>
                <w:lang w:eastAsia="zh-CN"/>
              </w:rPr>
              <w:t>）</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center"/>
              <w:textAlignment w:val="center"/>
              <w:rPr>
                <w:rFonts w:ascii="宋体" w:eastAsia="宋体" w:hAnsi="宋体" w:cs="宋体" w:hint="eastAsia"/>
                <w:sz w:val="21"/>
                <w:szCs w:val="21"/>
              </w:rPr>
            </w:pPr>
          </w:p>
        </w:tc>
        <w:tc>
          <w:tcPr>
            <w:tcW w:w="5805" w:type="dxa"/>
            <w:noWrap w:val="0"/>
            <w:vAlign w:val="center"/>
          </w:tcPr>
          <w:p>
            <w:pPr>
              <w:widowControl/>
              <w:jc w:val="left"/>
              <w:textAlignment w:val="center"/>
              <w:rPr>
                <w:rFonts w:ascii="宋体" w:eastAsia="宋体" w:hAnsi="宋体" w:cs="宋体" w:hint="eastAsia"/>
                <w:bCs/>
                <w:kern w:val="21"/>
                <w:sz w:val="21"/>
                <w:szCs w:val="21"/>
              </w:rPr>
            </w:pPr>
            <w:r>
              <w:rPr>
                <w:rFonts w:ascii="宋体" w:eastAsia="宋体" w:hAnsi="宋体" w:cs="宋体" w:hint="eastAsia"/>
                <w:sz w:val="21"/>
                <w:szCs w:val="21"/>
                <w:lang w:eastAsia="zh-CN" w:bidi="en-US"/>
              </w:rPr>
              <w:t>3、</w:t>
            </w:r>
            <w:r>
              <w:rPr>
                <w:rFonts w:ascii="宋体" w:eastAsia="宋体" w:hAnsi="宋体" w:cs="宋体" w:hint="eastAsia"/>
                <w:sz w:val="21"/>
                <w:szCs w:val="21"/>
                <w:lang w:bidi="en-US"/>
              </w:rPr>
              <w:t>D65</w:t>
            </w:r>
            <w:r>
              <w:rPr>
                <w:rFonts w:ascii="宋体" w:eastAsia="宋体" w:hAnsi="宋体" w:cs="宋体" w:hint="eastAsia"/>
                <w:sz w:val="21"/>
                <w:szCs w:val="21"/>
              </w:rPr>
              <w:t>亮度（正面）%</w:t>
            </w:r>
            <w:r>
              <w:rPr>
                <w:rFonts w:ascii="宋体" w:eastAsia="宋体" w:hAnsi="宋体" w:cs="宋体" w:hint="eastAsia"/>
                <w:sz w:val="21"/>
                <w:szCs w:val="21"/>
                <w:lang w:eastAsia="zh-CN"/>
              </w:rPr>
              <w:t xml:space="preserve"> </w:t>
            </w:r>
            <w:r>
              <w:rPr>
                <w:rFonts w:ascii="宋体" w:eastAsia="宋体" w:hAnsi="宋体" w:cs="宋体" w:hint="eastAsia"/>
                <w:sz w:val="21"/>
                <w:szCs w:val="21"/>
                <w:lang w:bidi="en-US"/>
              </w:rPr>
              <w:t>75.0-90.0</w:t>
            </w:r>
            <w:r>
              <w:rPr>
                <w:rFonts w:ascii="宋体" w:eastAsia="宋体" w:hAnsi="宋体" w:cs="宋体" w:hint="eastAsia"/>
                <w:bCs/>
                <w:kern w:val="21"/>
                <w:sz w:val="21"/>
                <w:szCs w:val="21"/>
                <w:lang w:eastAsia="zh-Hans"/>
              </w:rPr>
              <w:t>（</w:t>
            </w:r>
            <w:r>
              <w:rPr>
                <w:rFonts w:ascii="宋体" w:eastAsia="宋体" w:hAnsi="宋体" w:cs="宋体" w:hint="eastAsia"/>
                <w:sz w:val="21"/>
                <w:szCs w:val="21"/>
                <w:lang w:eastAsia="zh-CN"/>
              </w:rPr>
              <w:t>允许误差</w:t>
            </w:r>
            <w:r>
              <w:rPr>
                <w:rFonts w:ascii="宋体" w:eastAsia="宋体" w:hAnsi="宋体" w:cs="宋体" w:hint="eastAsia"/>
                <w:bCs/>
                <w:kern w:val="21"/>
                <w:sz w:val="21"/>
                <w:szCs w:val="21"/>
                <w:lang w:eastAsia="zh-Hans"/>
              </w:rPr>
              <w:t>±</w:t>
            </w:r>
            <w:r>
              <w:rPr>
                <w:rFonts w:ascii="宋体" w:eastAsia="宋体" w:hAnsi="宋体" w:cs="宋体" w:hint="eastAsia"/>
                <w:bCs/>
                <w:kern w:val="21"/>
                <w:sz w:val="21"/>
                <w:szCs w:val="21"/>
                <w:lang w:eastAsia="zh-CN"/>
              </w:rPr>
              <w:t>5</w:t>
            </w:r>
            <w:r>
              <w:rPr>
                <w:rFonts w:ascii="宋体" w:eastAsia="宋体" w:hAnsi="宋体" w:cs="宋体" w:hint="eastAsia"/>
                <w:bCs/>
                <w:kern w:val="21"/>
                <w:sz w:val="21"/>
                <w:szCs w:val="21"/>
                <w:lang w:eastAsia="zh-Hans"/>
              </w:rPr>
              <w:t>%</w:t>
            </w:r>
            <w:r>
              <w:rPr>
                <w:rFonts w:ascii="宋体" w:eastAsia="宋体" w:hAnsi="宋体" w:cs="宋体" w:hint="eastAsia"/>
                <w:sz w:val="21"/>
                <w:szCs w:val="21"/>
                <w:lang w:eastAsia="zh-CN"/>
              </w:rPr>
              <w:t>）</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widowControl/>
              <w:jc w:val="left"/>
              <w:textAlignment w:val="center"/>
              <w:rPr>
                <w:rFonts w:ascii="宋体" w:eastAsia="宋体" w:hAnsi="宋体" w:cs="宋体" w:hint="eastAsia"/>
                <w:bCs/>
                <w:kern w:val="21"/>
                <w:sz w:val="21"/>
                <w:szCs w:val="21"/>
              </w:rPr>
            </w:pPr>
          </w:p>
        </w:tc>
        <w:tc>
          <w:tcPr>
            <w:tcW w:w="1768" w:type="dxa"/>
            <w:vMerge/>
            <w:shd w:val="clear" w:color="auto" w:fill="auto"/>
            <w:noWrap w:val="0"/>
            <w:vAlign w:val="center"/>
          </w:tcPr>
          <w:p>
            <w:pPr>
              <w:widowControl/>
              <w:jc w:val="center"/>
              <w:textAlignment w:val="center"/>
              <w:rPr>
                <w:rFonts w:ascii="宋体" w:eastAsia="宋体" w:hAnsi="宋体" w:cs="宋体" w:hint="eastAsia"/>
                <w:bCs/>
                <w:kern w:val="21"/>
                <w:sz w:val="21"/>
                <w:szCs w:val="21"/>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Hans"/>
              </w:rPr>
            </w:pPr>
            <w:r>
              <w:rPr>
                <w:rFonts w:ascii="宋体" w:eastAsia="宋体" w:hAnsi="宋体" w:cs="宋体" w:hint="eastAsia"/>
                <w:bCs/>
                <w:kern w:val="21"/>
                <w:sz w:val="21"/>
                <w:szCs w:val="21"/>
                <w:lang w:eastAsia="zh-CN"/>
              </w:rPr>
              <w:t>4、</w:t>
            </w:r>
            <w:r>
              <w:rPr>
                <w:rFonts w:ascii="宋体" w:eastAsia="宋体" w:hAnsi="宋体" w:cs="宋体" w:hint="eastAsia"/>
                <w:bCs/>
                <w:kern w:val="21"/>
                <w:sz w:val="21"/>
                <w:szCs w:val="21"/>
                <w:lang w:eastAsia="zh-Hans"/>
              </w:rPr>
              <w:t>塑封包装、</w:t>
            </w:r>
            <w:r>
              <w:rPr>
                <w:rFonts w:ascii="宋体" w:eastAsia="宋体" w:hAnsi="宋体" w:cs="宋体" w:hint="eastAsia"/>
                <w:kern w:val="2"/>
                <w:sz w:val="21"/>
                <w:szCs w:val="21"/>
                <w:lang w:eastAsia="zh-CN"/>
              </w:rPr>
              <w:t>≥</w:t>
            </w:r>
            <w:r>
              <w:rPr>
                <w:rFonts w:ascii="宋体" w:eastAsia="宋体" w:hAnsi="宋体" w:cs="宋体" w:hint="eastAsia"/>
                <w:bCs/>
                <w:kern w:val="21"/>
                <w:sz w:val="21"/>
                <w:szCs w:val="21"/>
                <w:lang w:eastAsia="zh-Hans"/>
              </w:rPr>
              <w:t>5卷/包、</w:t>
            </w:r>
            <w:r>
              <w:rPr>
                <w:rFonts w:ascii="宋体" w:eastAsia="宋体" w:hAnsi="宋体" w:cs="宋体" w:hint="eastAsia"/>
                <w:kern w:val="2"/>
                <w:sz w:val="21"/>
                <w:szCs w:val="21"/>
                <w:lang w:eastAsia="zh-CN"/>
              </w:rPr>
              <w:t>≥</w:t>
            </w:r>
            <w:r>
              <w:rPr>
                <w:rFonts w:ascii="宋体" w:eastAsia="宋体" w:hAnsi="宋体" w:cs="宋体" w:hint="eastAsia"/>
                <w:bCs/>
                <w:kern w:val="21"/>
                <w:sz w:val="21"/>
                <w:szCs w:val="21"/>
                <w:lang w:eastAsia="zh-Hans"/>
              </w:rPr>
              <w:t>50卷/箱</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widowControl/>
              <w:jc w:val="left"/>
              <w:textAlignment w:val="center"/>
              <w:rPr>
                <w:rFonts w:ascii="宋体" w:eastAsia="宋体" w:hAnsi="宋体" w:cs="宋体" w:hint="eastAsia"/>
                <w:bCs/>
                <w:kern w:val="21"/>
                <w:sz w:val="21"/>
                <w:szCs w:val="21"/>
              </w:rPr>
            </w:pPr>
          </w:p>
        </w:tc>
        <w:tc>
          <w:tcPr>
            <w:tcW w:w="1768" w:type="dxa"/>
            <w:vMerge/>
            <w:shd w:val="clear" w:color="auto" w:fill="auto"/>
            <w:noWrap w:val="0"/>
            <w:vAlign w:val="center"/>
          </w:tcPr>
          <w:p>
            <w:pPr>
              <w:widowControl/>
              <w:jc w:val="center"/>
              <w:textAlignment w:val="center"/>
              <w:rPr>
                <w:rFonts w:ascii="宋体" w:eastAsia="宋体" w:hAnsi="宋体" w:cs="宋体" w:hint="eastAsia"/>
                <w:bCs/>
                <w:kern w:val="21"/>
                <w:sz w:val="21"/>
                <w:szCs w:val="21"/>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Hans"/>
              </w:rPr>
            </w:pPr>
            <w:r>
              <w:rPr>
                <w:rFonts w:ascii="宋体" w:eastAsia="宋体" w:hAnsi="宋体" w:cs="宋体" w:hint="eastAsia"/>
                <w:sz w:val="21"/>
                <w:szCs w:val="21"/>
                <w:lang w:eastAsia="zh-CN"/>
              </w:rPr>
              <w:t>5、</w:t>
            </w:r>
            <w:r>
              <w:rPr>
                <w:rFonts w:ascii="宋体" w:eastAsia="宋体" w:hAnsi="宋体" w:cs="宋体" w:hint="eastAsia"/>
                <w:sz w:val="21"/>
                <w:szCs w:val="21"/>
              </w:rPr>
              <w:t>双酚A</w:t>
            </w:r>
            <w:r>
              <w:rPr>
                <w:rFonts w:ascii="宋体" w:eastAsia="宋体" w:hAnsi="宋体" w:cs="宋体" w:hint="eastAsia"/>
                <w:sz w:val="21"/>
                <w:szCs w:val="21"/>
                <w:lang w:bidi="en-US"/>
              </w:rPr>
              <w:t>不得含有</w:t>
            </w:r>
            <w:r>
              <w:rPr>
                <w:rFonts w:ascii="宋体" w:eastAsia="宋体" w:hAnsi="宋体" w:cs="宋体" w:hint="eastAsia"/>
                <w:sz w:val="21"/>
                <w:szCs w:val="21"/>
                <w:lang w:eastAsia="zh-CN" w:bidi="en-US"/>
              </w:rPr>
              <w:t>（检出</w:t>
            </w:r>
            <w:r>
              <w:rPr>
                <w:rFonts w:ascii="宋体" w:eastAsia="宋体" w:hAnsi="宋体" w:cs="宋体" w:hint="eastAsia"/>
                <w:sz w:val="21"/>
                <w:szCs w:val="21"/>
                <w:lang w:eastAsia="zh-CN" w:bidi="ar"/>
              </w:rPr>
              <w:t>≤</w:t>
            </w:r>
            <w:r>
              <w:rPr>
                <w:rFonts w:ascii="宋体" w:eastAsia="宋体" w:hAnsi="宋体" w:cs="宋体" w:hint="eastAsia"/>
                <w:sz w:val="21"/>
                <w:szCs w:val="21"/>
                <w:lang w:eastAsia="zh-CN" w:bidi="en-US"/>
              </w:rPr>
              <w:t>0.5mg/kg)</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widowControl/>
              <w:jc w:val="left"/>
              <w:textAlignment w:val="center"/>
              <w:rPr>
                <w:rFonts w:ascii="宋体" w:eastAsia="宋体" w:hAnsi="宋体" w:cs="宋体" w:hint="eastAsia"/>
                <w:bCs/>
                <w:kern w:val="21"/>
                <w:sz w:val="21"/>
                <w:szCs w:val="21"/>
              </w:rPr>
            </w:pPr>
          </w:p>
        </w:tc>
        <w:tc>
          <w:tcPr>
            <w:tcW w:w="1768" w:type="dxa"/>
            <w:vMerge/>
            <w:shd w:val="clear" w:color="auto" w:fill="auto"/>
            <w:noWrap w:val="0"/>
            <w:vAlign w:val="center"/>
          </w:tcPr>
          <w:p>
            <w:pPr>
              <w:widowControl/>
              <w:jc w:val="center"/>
              <w:textAlignment w:val="center"/>
              <w:rPr>
                <w:rFonts w:ascii="宋体" w:eastAsia="宋体" w:hAnsi="宋体" w:cs="宋体" w:hint="eastAsia"/>
                <w:bCs/>
                <w:kern w:val="21"/>
                <w:sz w:val="21"/>
                <w:szCs w:val="21"/>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Hans"/>
              </w:rPr>
            </w:pPr>
            <w:r>
              <w:rPr>
                <w:rFonts w:ascii="宋体" w:eastAsia="宋体" w:hAnsi="宋体" w:cs="宋体" w:hint="eastAsia"/>
                <w:bCs/>
                <w:kern w:val="21"/>
                <w:sz w:val="21"/>
                <w:szCs w:val="21"/>
                <w:lang w:eastAsia="zh-CN"/>
              </w:rPr>
              <w:t>6、</w:t>
            </w:r>
            <w:r>
              <w:rPr>
                <w:rFonts w:ascii="宋体" w:eastAsia="宋体" w:hAnsi="宋体" w:cs="宋体" w:hint="eastAsia"/>
                <w:bCs/>
                <w:kern w:val="21"/>
                <w:sz w:val="21"/>
                <w:szCs w:val="21"/>
                <w:lang w:eastAsia="zh-Hans"/>
              </w:rPr>
              <w:t>执行标准号：GB/T28210-2011</w:t>
            </w:r>
          </w:p>
        </w:tc>
      </w:tr>
      <w:tr>
        <w:tblPrEx>
          <w:tblW w:w="5000" w:type="pct"/>
          <w:jc w:val="center"/>
          <w:tblLayout w:type="fixed"/>
          <w:tblCellMar>
            <w:top w:w="0" w:type="dxa"/>
            <w:left w:w="108" w:type="dxa"/>
            <w:bottom w:w="0" w:type="dxa"/>
            <w:right w:w="108" w:type="dxa"/>
          </w:tblCellMar>
        </w:tblPrEx>
        <w:trPr>
          <w:trHeight w:val="154"/>
          <w:jc w:val="center"/>
        </w:trPr>
        <w:tc>
          <w:tcPr>
            <w:tcW w:w="947" w:type="dxa"/>
            <w:vMerge w:val="restart"/>
            <w:shd w:val="clear" w:color="auto" w:fill="auto"/>
            <w:noWrap w:val="0"/>
            <w:vAlign w:val="center"/>
          </w:tcPr>
          <w:p>
            <w:pPr>
              <w:jc w:val="center"/>
              <w:rPr>
                <w:rFonts w:ascii="宋体" w:eastAsia="宋体" w:hAnsi="宋体" w:cs="宋体" w:hint="eastAsia"/>
                <w:kern w:val="2"/>
                <w:sz w:val="21"/>
                <w:szCs w:val="21"/>
                <w:lang w:eastAsia="zh-CN"/>
              </w:rPr>
            </w:pPr>
            <w:r>
              <w:rPr>
                <w:rFonts w:ascii="宋体" w:eastAsia="宋体" w:hAnsi="宋体" w:cs="宋体" w:hint="eastAsia"/>
                <w:sz w:val="21"/>
                <w:szCs w:val="21"/>
              </w:rPr>
              <w:t>2</w:t>
            </w:r>
          </w:p>
        </w:tc>
        <w:tc>
          <w:tcPr>
            <w:tcW w:w="1768" w:type="dxa"/>
            <w:vMerge w:val="restart"/>
            <w:shd w:val="clear" w:color="auto" w:fill="auto"/>
            <w:noWrap w:val="0"/>
            <w:vAlign w:val="center"/>
          </w:tcPr>
          <w:p>
            <w:pPr>
              <w:widowControl/>
              <w:jc w:val="center"/>
              <w:rPr>
                <w:rFonts w:ascii="宋体" w:eastAsia="宋体" w:hAnsi="宋体" w:cs="宋体" w:hint="eastAsia"/>
                <w:sz w:val="21"/>
                <w:szCs w:val="21"/>
                <w:lang w:eastAsia="zh-CN"/>
              </w:rPr>
            </w:pPr>
            <w:r>
              <w:rPr>
                <w:rFonts w:ascii="宋体" w:eastAsia="宋体" w:hAnsi="宋体" w:cs="宋体" w:hint="eastAsia"/>
                <w:sz w:val="21"/>
                <w:szCs w:val="21"/>
              </w:rPr>
              <w:t>热敏纸不干胶</w:t>
            </w:r>
            <w:r>
              <w:rPr>
                <w:rFonts w:ascii="宋体" w:eastAsia="宋体" w:hAnsi="宋体" w:cs="宋体" w:hint="eastAsia"/>
                <w:sz w:val="21"/>
                <w:szCs w:val="21"/>
                <w:lang w:eastAsia="zh-CN"/>
              </w:rPr>
              <w:t>1</w:t>
            </w: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Hans"/>
              </w:rPr>
            </w:pPr>
            <w:r>
              <w:rPr>
                <w:rFonts w:ascii="宋体" w:eastAsia="宋体" w:hAnsi="宋体" w:cs="宋体" w:hint="eastAsia"/>
                <w:bCs/>
                <w:kern w:val="21"/>
                <w:sz w:val="21"/>
                <w:szCs w:val="21"/>
                <w:lang w:eastAsia="zh-CN"/>
              </w:rPr>
              <w:t>1、</w:t>
            </w:r>
            <w:r>
              <w:rPr>
                <w:rFonts w:ascii="宋体" w:eastAsia="宋体" w:hAnsi="宋体" w:cs="宋体" w:hint="eastAsia"/>
                <w:sz w:val="21"/>
                <w:szCs w:val="21"/>
              </w:rPr>
              <w:t>规格（长*宽）MM</w:t>
            </w:r>
            <w:r>
              <w:rPr>
                <w:rFonts w:ascii="宋体" w:eastAsia="宋体" w:hAnsi="宋体" w:cs="宋体" w:hint="eastAsia"/>
                <w:sz w:val="21"/>
                <w:szCs w:val="21"/>
                <w:lang w:eastAsia="zh-CN"/>
              </w:rPr>
              <w:t>：</w:t>
            </w:r>
            <w:r>
              <w:rPr>
                <w:rFonts w:ascii="宋体" w:eastAsia="宋体" w:hAnsi="宋体" w:cs="宋体" w:hint="eastAsia"/>
                <w:sz w:val="21"/>
                <w:szCs w:val="21"/>
              </w:rPr>
              <w:t>80*40*1000</w:t>
            </w:r>
            <w:r>
              <w:rPr>
                <w:rFonts w:ascii="宋体" w:eastAsia="宋体" w:hAnsi="宋体" w:cs="宋体" w:hint="eastAsia"/>
                <w:sz w:val="21"/>
                <w:szCs w:val="21"/>
                <w:lang w:eastAsia="zh-CN"/>
              </w:rPr>
              <w:t>（允许误差±1mm）</w:t>
            </w:r>
          </w:p>
        </w:tc>
      </w:tr>
      <w:tr>
        <w:tblPrEx>
          <w:tblW w:w="5000" w:type="pct"/>
          <w:jc w:val="center"/>
          <w:tblLayout w:type="fixed"/>
          <w:tblCellMar>
            <w:top w:w="0" w:type="dxa"/>
            <w:left w:w="108" w:type="dxa"/>
            <w:bottom w:w="0" w:type="dxa"/>
            <w:right w:w="108" w:type="dxa"/>
          </w:tblCellMar>
        </w:tblPrEx>
        <w:trPr>
          <w:trHeight w:val="154"/>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2、</w:t>
            </w:r>
            <w:r>
              <w:rPr>
                <w:rFonts w:ascii="宋体" w:eastAsia="宋体" w:hAnsi="宋体" w:cs="宋体" w:hint="eastAsia"/>
                <w:bCs/>
                <w:color w:val="FF0000"/>
                <w:kern w:val="21"/>
                <w:sz w:val="21"/>
                <w:szCs w:val="21"/>
                <w:highlight w:val="yellow"/>
                <w:lang w:eastAsia="zh-CN"/>
              </w:rPr>
              <w:t>面材基本克重 80G/M2（允许误差±5%）</w:t>
            </w:r>
          </w:p>
        </w:tc>
      </w:tr>
      <w:tr>
        <w:tblPrEx>
          <w:tblW w:w="5000" w:type="pct"/>
          <w:jc w:val="center"/>
          <w:tblLayout w:type="fixed"/>
          <w:tblCellMar>
            <w:top w:w="0" w:type="dxa"/>
            <w:left w:w="108" w:type="dxa"/>
            <w:bottom w:w="0" w:type="dxa"/>
            <w:right w:w="108" w:type="dxa"/>
          </w:tblCellMar>
        </w:tblPrEx>
        <w:trPr>
          <w:trHeight w:val="318"/>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center"/>
              <w:textAlignment w:val="center"/>
              <w:rPr>
                <w:rFonts w:ascii="宋体" w:eastAsia="宋体" w:hAnsi="宋体" w:cs="宋体" w:hint="eastAsia"/>
                <w:sz w:val="21"/>
                <w:szCs w:val="21"/>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3、</w:t>
            </w:r>
            <w:r>
              <w:rPr>
                <w:rFonts w:ascii="宋体" w:eastAsia="宋体" w:hAnsi="宋体" w:cs="宋体" w:hint="eastAsia"/>
                <w:bCs/>
                <w:kern w:val="21"/>
                <w:sz w:val="21"/>
                <w:szCs w:val="21"/>
                <w:lang w:eastAsia="zh-Hans"/>
              </w:rPr>
              <w:t>底纸经超级砑光处理</w:t>
            </w:r>
          </w:p>
        </w:tc>
      </w:tr>
      <w:tr>
        <w:tblPrEx>
          <w:tblW w:w="5000" w:type="pct"/>
          <w:jc w:val="center"/>
          <w:tblLayout w:type="fixed"/>
          <w:tblCellMar>
            <w:top w:w="0" w:type="dxa"/>
            <w:left w:w="108" w:type="dxa"/>
            <w:bottom w:w="0" w:type="dxa"/>
            <w:right w:w="108" w:type="dxa"/>
          </w:tblCellMar>
        </w:tblPrEx>
        <w:trPr>
          <w:trHeight w:val="342"/>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center"/>
              <w:textAlignment w:val="center"/>
              <w:rPr>
                <w:rFonts w:ascii="宋体" w:eastAsia="宋体" w:hAnsi="宋体" w:cs="宋体" w:hint="eastAsia"/>
                <w:sz w:val="21"/>
                <w:szCs w:val="21"/>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Hans"/>
              </w:rPr>
            </w:pPr>
            <w:r>
              <w:rPr>
                <w:rFonts w:ascii="宋体" w:eastAsia="宋体" w:hAnsi="宋体" w:cs="宋体" w:hint="eastAsia"/>
                <w:bCs/>
                <w:kern w:val="21"/>
                <w:sz w:val="21"/>
                <w:szCs w:val="21"/>
                <w:lang w:eastAsia="zh-CN"/>
              </w:rPr>
              <w:t>4、</w:t>
            </w:r>
            <w:r>
              <w:rPr>
                <w:rFonts w:ascii="宋体" w:eastAsia="宋体" w:hAnsi="宋体" w:cs="宋体" w:hint="eastAsia"/>
                <w:bCs/>
                <w:kern w:val="21"/>
                <w:sz w:val="21"/>
                <w:szCs w:val="21"/>
                <w:lang w:eastAsia="zh-Hans"/>
              </w:rPr>
              <w:t>使用温度范围-50℃-- +90℃</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p>
        </w:tc>
        <w:tc>
          <w:tcPr>
            <w:tcW w:w="1768" w:type="dxa"/>
            <w:vMerge/>
            <w:shd w:val="clear" w:color="auto" w:fill="auto"/>
            <w:noWrap w:val="0"/>
            <w:vAlign w:val="center"/>
          </w:tcPr>
          <w:p>
            <w:pPr>
              <w:widowControl/>
              <w:jc w:val="center"/>
              <w:textAlignment w:val="center"/>
              <w:rPr>
                <w:rFonts w:ascii="宋体" w:eastAsia="宋体" w:hAnsi="宋体" w:cs="宋体" w:hint="eastAsia"/>
                <w:bCs/>
                <w:kern w:val="21"/>
                <w:sz w:val="21"/>
                <w:szCs w:val="21"/>
                <w:lang w:eastAsia="zh-CN"/>
              </w:rPr>
            </w:pPr>
          </w:p>
        </w:tc>
        <w:tc>
          <w:tcPr>
            <w:tcW w:w="5805" w:type="dxa"/>
            <w:shd w:val="clear" w:color="auto" w:fill="auto"/>
            <w:noWrap w:val="0"/>
            <w:vAlign w:val="center"/>
          </w:tcPr>
          <w:p>
            <w:pPr>
              <w:widowControl/>
              <w:jc w:val="left"/>
              <w:textAlignment w:val="center"/>
              <w:rPr>
                <w:rFonts w:ascii="宋体" w:eastAsia="宋体" w:hAnsi="宋体" w:cs="宋体" w:hint="eastAsia"/>
                <w:sz w:val="21"/>
                <w:szCs w:val="21"/>
                <w:lang w:eastAsia="zh-CN"/>
              </w:rPr>
            </w:pPr>
            <w:r>
              <w:rPr>
                <w:rFonts w:ascii="宋体" w:eastAsia="宋体" w:hAnsi="宋体" w:cs="宋体" w:hint="eastAsia"/>
                <w:kern w:val="2"/>
                <w:sz w:val="21"/>
                <w:szCs w:val="21"/>
                <w:lang w:eastAsia="zh-CN"/>
              </w:rPr>
              <w:t>5、▲三防热敏纸不干胶</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p>
        </w:tc>
        <w:tc>
          <w:tcPr>
            <w:tcW w:w="1768" w:type="dxa"/>
            <w:vMerge/>
            <w:shd w:val="clear" w:color="auto" w:fill="auto"/>
            <w:noWrap w:val="0"/>
            <w:vAlign w:val="center"/>
          </w:tcPr>
          <w:p>
            <w:pPr>
              <w:widowControl/>
              <w:jc w:val="center"/>
              <w:textAlignment w:val="center"/>
              <w:rPr>
                <w:rFonts w:ascii="宋体" w:eastAsia="宋体" w:hAnsi="宋体" w:cs="宋体" w:hint="eastAsia"/>
                <w:bCs/>
                <w:kern w:val="21"/>
                <w:sz w:val="21"/>
                <w:szCs w:val="21"/>
                <w:lang w:eastAsia="zh-CN"/>
              </w:rPr>
            </w:pPr>
          </w:p>
        </w:tc>
        <w:tc>
          <w:tcPr>
            <w:tcW w:w="5805" w:type="dxa"/>
            <w:shd w:val="clear" w:color="auto" w:fill="auto"/>
            <w:noWrap w:val="0"/>
            <w:vAlign w:val="center"/>
          </w:tcPr>
          <w:p>
            <w:pPr>
              <w:widowControl/>
              <w:jc w:val="left"/>
              <w:textAlignment w:val="center"/>
              <w:rPr>
                <w:rFonts w:ascii="宋体" w:eastAsia="宋体" w:hAnsi="宋体" w:cs="宋体" w:hint="eastAsia"/>
                <w:sz w:val="21"/>
                <w:szCs w:val="21"/>
                <w:lang w:eastAsia="zh-Hans"/>
              </w:rPr>
            </w:pPr>
            <w:r>
              <w:rPr>
                <w:rFonts w:ascii="宋体" w:eastAsia="宋体" w:hAnsi="宋体" w:cs="宋体" w:hint="eastAsia"/>
                <w:sz w:val="21"/>
                <w:szCs w:val="21"/>
                <w:lang w:eastAsia="zh-CN"/>
              </w:rPr>
              <w:t>6、</w:t>
            </w:r>
            <w:r>
              <w:rPr>
                <w:rFonts w:ascii="宋体" w:eastAsia="宋体" w:hAnsi="宋体" w:cs="宋体" w:hint="eastAsia"/>
                <w:sz w:val="21"/>
                <w:szCs w:val="21"/>
              </w:rPr>
              <w:t>整卷无拼接，无脱胶</w:t>
            </w:r>
            <w:r>
              <w:rPr>
                <w:rFonts w:ascii="宋体" w:eastAsia="宋体" w:hAnsi="宋体" w:cs="宋体" w:hint="eastAsia"/>
                <w:sz w:val="21"/>
                <w:szCs w:val="21"/>
                <w:lang w:eastAsia="zh-Hans"/>
              </w:rPr>
              <w:t>，</w:t>
            </w:r>
            <w:r>
              <w:rPr>
                <w:rFonts w:ascii="宋体" w:eastAsia="宋体" w:hAnsi="宋体" w:cs="宋体" w:hint="eastAsia"/>
                <w:sz w:val="21"/>
                <w:szCs w:val="21"/>
              </w:rPr>
              <w:t>单卷独立包装</w:t>
            </w:r>
          </w:p>
        </w:tc>
      </w:tr>
      <w:tr>
        <w:tblPrEx>
          <w:tblW w:w="5000" w:type="pct"/>
          <w:jc w:val="center"/>
          <w:tblLayout w:type="fixed"/>
          <w:tblCellMar>
            <w:top w:w="0" w:type="dxa"/>
            <w:left w:w="108" w:type="dxa"/>
            <w:bottom w:w="0" w:type="dxa"/>
            <w:right w:w="108" w:type="dxa"/>
          </w:tblCellMar>
        </w:tblPrEx>
        <w:trPr>
          <w:trHeight w:val="154"/>
          <w:jc w:val="center"/>
        </w:trPr>
        <w:tc>
          <w:tcPr>
            <w:tcW w:w="947" w:type="dxa"/>
            <w:vMerge w:val="restart"/>
            <w:shd w:val="clear" w:color="auto" w:fill="auto"/>
            <w:noWrap w:val="0"/>
            <w:vAlign w:val="center"/>
          </w:tcPr>
          <w:p>
            <w:pPr>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3</w:t>
            </w:r>
          </w:p>
        </w:tc>
        <w:tc>
          <w:tcPr>
            <w:tcW w:w="1768" w:type="dxa"/>
            <w:vMerge w:val="restart"/>
            <w:shd w:val="clear" w:color="auto" w:fill="auto"/>
            <w:noWrap w:val="0"/>
            <w:vAlign w:val="center"/>
          </w:tcPr>
          <w:p>
            <w:pPr>
              <w:widowControl/>
              <w:jc w:val="center"/>
              <w:rPr>
                <w:rFonts w:ascii="宋体" w:eastAsia="宋体" w:hAnsi="宋体" w:cs="宋体" w:hint="eastAsia"/>
                <w:sz w:val="21"/>
                <w:szCs w:val="21"/>
                <w:lang w:eastAsia="zh-CN"/>
              </w:rPr>
            </w:pPr>
            <w:r>
              <w:rPr>
                <w:rFonts w:ascii="宋体" w:eastAsia="宋体" w:hAnsi="宋体" w:cs="宋体" w:hint="eastAsia"/>
                <w:color w:val="FF0000"/>
                <w:sz w:val="21"/>
                <w:szCs w:val="21"/>
                <w:highlight w:val="yellow"/>
              </w:rPr>
              <w:t>热敏纸不干胶</w:t>
            </w: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sz w:val="21"/>
                <w:szCs w:val="21"/>
                <w:lang w:eastAsia="zh-CN"/>
              </w:rPr>
              <w:t>1、</w:t>
            </w:r>
            <w:r>
              <w:rPr>
                <w:rFonts w:ascii="宋体" w:eastAsia="宋体" w:hAnsi="宋体" w:cs="宋体" w:hint="eastAsia"/>
                <w:sz w:val="21"/>
                <w:szCs w:val="21"/>
              </w:rPr>
              <w:t>规格（长*宽）MM</w:t>
            </w:r>
            <w:r>
              <w:rPr>
                <w:rFonts w:ascii="宋体" w:eastAsia="宋体" w:hAnsi="宋体" w:cs="宋体" w:hint="eastAsia"/>
                <w:sz w:val="21"/>
                <w:szCs w:val="21"/>
                <w:lang w:eastAsia="zh-CN"/>
              </w:rPr>
              <w:t>：</w:t>
            </w:r>
            <w:r>
              <w:rPr>
                <w:rFonts w:ascii="宋体" w:eastAsia="宋体" w:hAnsi="宋体" w:cs="宋体" w:hint="eastAsia"/>
                <w:sz w:val="21"/>
                <w:szCs w:val="21"/>
              </w:rPr>
              <w:t>100*70*1000</w:t>
            </w:r>
            <w:r>
              <w:rPr>
                <w:rFonts w:ascii="宋体" w:eastAsia="宋体" w:hAnsi="宋体" w:cs="宋体" w:hint="eastAsia"/>
                <w:sz w:val="21"/>
                <w:szCs w:val="21"/>
                <w:lang w:eastAsia="zh-CN"/>
              </w:rPr>
              <w:t>（允许误差±1mm）</w:t>
            </w:r>
          </w:p>
        </w:tc>
      </w:tr>
      <w:tr>
        <w:tblPrEx>
          <w:tblW w:w="5000" w:type="pct"/>
          <w:jc w:val="center"/>
          <w:tblLayout w:type="fixed"/>
          <w:tblCellMar>
            <w:top w:w="0" w:type="dxa"/>
            <w:left w:w="108" w:type="dxa"/>
            <w:bottom w:w="0" w:type="dxa"/>
            <w:right w:w="108" w:type="dxa"/>
          </w:tblCellMar>
        </w:tblPrEx>
        <w:trPr>
          <w:trHeight w:val="154"/>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2、</w:t>
            </w:r>
            <w:r>
              <w:rPr>
                <w:rFonts w:ascii="宋体" w:eastAsia="宋体" w:hAnsi="宋体" w:cs="宋体" w:hint="eastAsia"/>
                <w:bCs/>
                <w:color w:val="FF0000"/>
                <w:kern w:val="21"/>
                <w:sz w:val="21"/>
                <w:szCs w:val="21"/>
                <w:highlight w:val="yellow"/>
                <w:lang w:eastAsia="zh-CN"/>
              </w:rPr>
              <w:t>面材基本克重 80G/M2（允许误差±5%）</w:t>
            </w:r>
          </w:p>
        </w:tc>
      </w:tr>
      <w:tr>
        <w:tblPrEx>
          <w:tblW w:w="5000" w:type="pct"/>
          <w:jc w:val="center"/>
          <w:tblLayout w:type="fixed"/>
          <w:tblCellMar>
            <w:top w:w="0" w:type="dxa"/>
            <w:left w:w="108" w:type="dxa"/>
            <w:bottom w:w="0" w:type="dxa"/>
            <w:right w:w="108" w:type="dxa"/>
          </w:tblCellMar>
        </w:tblPrEx>
        <w:trPr>
          <w:trHeight w:val="318"/>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center"/>
              <w:textAlignment w:val="center"/>
              <w:rPr>
                <w:rFonts w:ascii="宋体" w:eastAsia="宋体" w:hAnsi="宋体" w:cs="宋体" w:hint="eastAsia"/>
                <w:sz w:val="21"/>
                <w:szCs w:val="21"/>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3、</w:t>
            </w:r>
            <w:r>
              <w:rPr>
                <w:rFonts w:ascii="宋体" w:eastAsia="宋体" w:hAnsi="宋体" w:cs="宋体" w:hint="eastAsia"/>
                <w:bCs/>
                <w:kern w:val="21"/>
                <w:sz w:val="21"/>
                <w:szCs w:val="21"/>
                <w:lang w:eastAsia="zh-Hans"/>
              </w:rPr>
              <w:t>底纸经超级砑光处理</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center"/>
              <w:textAlignment w:val="center"/>
              <w:rPr>
                <w:rFonts w:ascii="宋体" w:eastAsia="宋体" w:hAnsi="宋体" w:cs="宋体" w:hint="eastAsia"/>
                <w:sz w:val="21"/>
                <w:szCs w:val="21"/>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4、</w:t>
            </w:r>
            <w:r>
              <w:rPr>
                <w:rFonts w:ascii="宋体" w:eastAsia="宋体" w:hAnsi="宋体" w:cs="宋体" w:hint="eastAsia"/>
                <w:bCs/>
                <w:kern w:val="21"/>
                <w:sz w:val="21"/>
                <w:szCs w:val="21"/>
                <w:lang w:eastAsia="zh-Hans"/>
              </w:rPr>
              <w:t>使用温度范围-50℃-- +90℃</w:t>
            </w:r>
          </w:p>
        </w:tc>
      </w:tr>
      <w:tr>
        <w:tblPrEx>
          <w:tblW w:w="5000" w:type="pct"/>
          <w:jc w:val="center"/>
          <w:tblLayout w:type="fixed"/>
          <w:tblCellMar>
            <w:top w:w="0" w:type="dxa"/>
            <w:left w:w="108" w:type="dxa"/>
            <w:bottom w:w="0" w:type="dxa"/>
            <w:right w:w="108" w:type="dxa"/>
          </w:tblCellMar>
        </w:tblPrEx>
        <w:trPr>
          <w:trHeight w:val="321"/>
          <w:jc w:val="center"/>
        </w:trPr>
        <w:tc>
          <w:tcPr>
            <w:tcW w:w="947" w:type="dxa"/>
            <w:vMerge/>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p>
        </w:tc>
        <w:tc>
          <w:tcPr>
            <w:tcW w:w="1768" w:type="dxa"/>
            <w:vMerge/>
            <w:shd w:val="clear" w:color="auto" w:fill="auto"/>
            <w:noWrap w:val="0"/>
            <w:vAlign w:val="center"/>
          </w:tcPr>
          <w:p>
            <w:pPr>
              <w:widowControl/>
              <w:jc w:val="center"/>
              <w:textAlignment w:val="center"/>
              <w:rPr>
                <w:rFonts w:ascii="宋体" w:eastAsia="宋体" w:hAnsi="宋体" w:cs="宋体" w:hint="eastAsia"/>
                <w:bCs/>
                <w:kern w:val="21"/>
                <w:sz w:val="21"/>
                <w:szCs w:val="21"/>
                <w:lang w:eastAsia="zh-CN"/>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kern w:val="2"/>
                <w:sz w:val="21"/>
                <w:szCs w:val="21"/>
                <w:lang w:eastAsia="zh-CN"/>
              </w:rPr>
              <w:t>5、▲三防热敏纸不干胶</w:t>
            </w:r>
          </w:p>
        </w:tc>
      </w:tr>
      <w:tr>
        <w:tblPrEx>
          <w:tblW w:w="5000" w:type="pct"/>
          <w:jc w:val="center"/>
          <w:tblLayout w:type="fixed"/>
          <w:tblCellMar>
            <w:top w:w="0" w:type="dxa"/>
            <w:left w:w="108" w:type="dxa"/>
            <w:bottom w:w="0" w:type="dxa"/>
            <w:right w:w="108" w:type="dxa"/>
          </w:tblCellMar>
        </w:tblPrEx>
        <w:trPr>
          <w:trHeight w:val="541"/>
          <w:jc w:val="center"/>
        </w:trPr>
        <w:tc>
          <w:tcPr>
            <w:tcW w:w="947" w:type="dxa"/>
            <w:vMerge/>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p>
        </w:tc>
        <w:tc>
          <w:tcPr>
            <w:tcW w:w="1768" w:type="dxa"/>
            <w:vMerge/>
            <w:shd w:val="clear" w:color="auto" w:fill="auto"/>
            <w:noWrap w:val="0"/>
            <w:vAlign w:val="center"/>
          </w:tcPr>
          <w:p>
            <w:pPr>
              <w:widowControl/>
              <w:jc w:val="center"/>
              <w:textAlignment w:val="center"/>
              <w:rPr>
                <w:rFonts w:ascii="宋体" w:eastAsia="宋体" w:hAnsi="宋体" w:cs="宋体" w:hint="eastAsia"/>
                <w:bCs/>
                <w:kern w:val="21"/>
                <w:sz w:val="21"/>
                <w:szCs w:val="21"/>
                <w:lang w:eastAsia="zh-CN"/>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Hans"/>
              </w:rPr>
            </w:pPr>
            <w:r>
              <w:rPr>
                <w:rFonts w:ascii="宋体" w:eastAsia="宋体" w:hAnsi="宋体" w:cs="宋体" w:hint="eastAsia"/>
                <w:sz w:val="21"/>
                <w:szCs w:val="21"/>
                <w:lang w:eastAsia="zh-CN"/>
              </w:rPr>
              <w:t>6、</w:t>
            </w:r>
            <w:r>
              <w:rPr>
                <w:rFonts w:ascii="宋体" w:eastAsia="宋体" w:hAnsi="宋体" w:cs="宋体" w:hint="eastAsia"/>
                <w:sz w:val="21"/>
                <w:szCs w:val="21"/>
              </w:rPr>
              <w:t>整卷无拼接，无脱胶</w:t>
            </w:r>
            <w:r>
              <w:rPr>
                <w:rFonts w:ascii="宋体" w:eastAsia="宋体" w:hAnsi="宋体" w:cs="宋体" w:hint="eastAsia"/>
                <w:sz w:val="21"/>
                <w:szCs w:val="21"/>
                <w:lang w:eastAsia="zh-Hans"/>
              </w:rPr>
              <w:t>，</w:t>
            </w:r>
            <w:r>
              <w:rPr>
                <w:rFonts w:ascii="宋体" w:eastAsia="宋体" w:hAnsi="宋体" w:cs="宋体" w:hint="eastAsia"/>
                <w:sz w:val="21"/>
                <w:szCs w:val="21"/>
              </w:rPr>
              <w:t>单卷独立包装</w:t>
            </w:r>
          </w:p>
        </w:tc>
      </w:tr>
      <w:tr>
        <w:tblPrEx>
          <w:tblW w:w="5000" w:type="pct"/>
          <w:jc w:val="center"/>
          <w:tblLayout w:type="fixed"/>
          <w:tblCellMar>
            <w:top w:w="0" w:type="dxa"/>
            <w:left w:w="108" w:type="dxa"/>
            <w:bottom w:w="0" w:type="dxa"/>
            <w:right w:w="108" w:type="dxa"/>
          </w:tblCellMar>
        </w:tblPrEx>
        <w:trPr>
          <w:trHeight w:val="234"/>
          <w:jc w:val="center"/>
        </w:trPr>
        <w:tc>
          <w:tcPr>
            <w:tcW w:w="947" w:type="dxa"/>
            <w:vMerge w:val="restart"/>
            <w:shd w:val="clear" w:color="auto" w:fill="auto"/>
            <w:noWrap w:val="0"/>
            <w:vAlign w:val="center"/>
          </w:tcPr>
          <w:p>
            <w:pPr>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4</w:t>
            </w:r>
          </w:p>
        </w:tc>
        <w:tc>
          <w:tcPr>
            <w:tcW w:w="1768" w:type="dxa"/>
            <w:vMerge w:val="restart"/>
            <w:shd w:val="clear" w:color="auto" w:fill="auto"/>
            <w:noWrap w:val="0"/>
            <w:vAlign w:val="center"/>
          </w:tcPr>
          <w:p>
            <w:pPr>
              <w:widowControl/>
              <w:jc w:val="center"/>
              <w:rPr>
                <w:rFonts w:ascii="宋体" w:eastAsia="宋体" w:hAnsi="宋体" w:cs="宋体" w:hint="eastAsia"/>
                <w:sz w:val="21"/>
                <w:szCs w:val="21"/>
                <w:lang w:eastAsia="zh-CN"/>
              </w:rPr>
            </w:pPr>
            <w:r>
              <w:rPr>
                <w:rFonts w:ascii="宋体" w:eastAsia="宋体" w:hAnsi="宋体" w:cs="宋体" w:hint="eastAsia"/>
                <w:sz w:val="21"/>
                <w:szCs w:val="21"/>
              </w:rPr>
              <w:t>热敏纸不干胶</w:t>
            </w:r>
            <w:r>
              <w:rPr>
                <w:rFonts w:ascii="宋体" w:eastAsia="宋体" w:hAnsi="宋体" w:cs="宋体" w:hint="eastAsia"/>
                <w:sz w:val="21"/>
                <w:szCs w:val="21"/>
                <w:lang w:eastAsia="zh-CN"/>
              </w:rPr>
              <w:t>2</w:t>
            </w: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sz w:val="21"/>
                <w:szCs w:val="21"/>
                <w:lang w:eastAsia="zh-CN"/>
              </w:rPr>
              <w:t>1、</w:t>
            </w:r>
            <w:r>
              <w:rPr>
                <w:rFonts w:ascii="宋体" w:eastAsia="宋体" w:hAnsi="宋体" w:cs="宋体" w:hint="eastAsia"/>
                <w:sz w:val="21"/>
                <w:szCs w:val="21"/>
              </w:rPr>
              <w:t>规格（长*宽）MM</w:t>
            </w:r>
            <w:r>
              <w:rPr>
                <w:rFonts w:ascii="宋体" w:eastAsia="宋体" w:hAnsi="宋体" w:cs="宋体" w:hint="eastAsia"/>
                <w:sz w:val="21"/>
                <w:szCs w:val="21"/>
                <w:lang w:eastAsia="zh-CN"/>
              </w:rPr>
              <w:t>：</w:t>
            </w:r>
            <w:r>
              <w:rPr>
                <w:rFonts w:ascii="宋体" w:eastAsia="宋体" w:hAnsi="宋体" w:cs="宋体" w:hint="eastAsia"/>
                <w:sz w:val="21"/>
                <w:szCs w:val="21"/>
              </w:rPr>
              <w:t>100*160*500</w:t>
            </w:r>
            <w:r>
              <w:rPr>
                <w:rFonts w:ascii="宋体" w:eastAsia="宋体" w:hAnsi="宋体" w:cs="宋体" w:hint="eastAsia"/>
                <w:sz w:val="21"/>
                <w:szCs w:val="21"/>
                <w:lang w:eastAsia="zh-CN"/>
              </w:rPr>
              <w:t>（允许误差±1mm）</w:t>
            </w:r>
          </w:p>
        </w:tc>
      </w:tr>
      <w:tr>
        <w:tblPrEx>
          <w:tblW w:w="5000" w:type="pct"/>
          <w:jc w:val="center"/>
          <w:tblLayout w:type="fixed"/>
          <w:tblCellMar>
            <w:top w:w="0" w:type="dxa"/>
            <w:left w:w="108" w:type="dxa"/>
            <w:bottom w:w="0" w:type="dxa"/>
            <w:right w:w="108" w:type="dxa"/>
          </w:tblCellMar>
        </w:tblPrEx>
        <w:trPr>
          <w:trHeight w:val="234"/>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2、</w:t>
            </w:r>
            <w:r>
              <w:rPr>
                <w:rFonts w:ascii="宋体" w:eastAsia="宋体" w:hAnsi="宋体" w:cs="宋体" w:hint="eastAsia"/>
                <w:bCs/>
                <w:color w:val="FF0000"/>
                <w:kern w:val="21"/>
                <w:sz w:val="21"/>
                <w:szCs w:val="21"/>
                <w:highlight w:val="yellow"/>
                <w:lang w:eastAsia="zh-CN"/>
              </w:rPr>
              <w:t>面材基本克重 80G/M2（允许误差±5%）</w:t>
            </w:r>
          </w:p>
        </w:tc>
      </w:tr>
      <w:tr>
        <w:tblPrEx>
          <w:tblW w:w="5000" w:type="pct"/>
          <w:jc w:val="center"/>
          <w:tblLayout w:type="fixed"/>
          <w:tblCellMar>
            <w:top w:w="0" w:type="dxa"/>
            <w:left w:w="108" w:type="dxa"/>
            <w:bottom w:w="0" w:type="dxa"/>
            <w:right w:w="108" w:type="dxa"/>
          </w:tblCellMar>
        </w:tblPrEx>
        <w:trPr>
          <w:trHeight w:val="478"/>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center"/>
              <w:textAlignment w:val="center"/>
              <w:rPr>
                <w:rFonts w:ascii="宋体" w:eastAsia="宋体" w:hAnsi="宋体" w:cs="宋体" w:hint="eastAsia"/>
                <w:sz w:val="21"/>
                <w:szCs w:val="21"/>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3、</w:t>
            </w:r>
            <w:r>
              <w:rPr>
                <w:rFonts w:ascii="宋体" w:eastAsia="宋体" w:hAnsi="宋体" w:cs="宋体" w:hint="eastAsia"/>
                <w:bCs/>
                <w:kern w:val="21"/>
                <w:sz w:val="21"/>
                <w:szCs w:val="21"/>
                <w:lang w:eastAsia="zh-Hans"/>
              </w:rPr>
              <w:t>底纸经超级砑光处理</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center"/>
              <w:textAlignment w:val="center"/>
              <w:rPr>
                <w:rFonts w:ascii="宋体" w:eastAsia="宋体" w:hAnsi="宋体" w:cs="宋体" w:hint="eastAsia"/>
                <w:sz w:val="21"/>
                <w:szCs w:val="21"/>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4、</w:t>
            </w:r>
            <w:r>
              <w:rPr>
                <w:rFonts w:ascii="宋体" w:eastAsia="宋体" w:hAnsi="宋体" w:cs="宋体" w:hint="eastAsia"/>
                <w:bCs/>
                <w:kern w:val="21"/>
                <w:sz w:val="21"/>
                <w:szCs w:val="21"/>
                <w:lang w:eastAsia="zh-Hans"/>
              </w:rPr>
              <w:t>使用温度范围-50℃-- +90℃</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p>
        </w:tc>
        <w:tc>
          <w:tcPr>
            <w:tcW w:w="1768" w:type="dxa"/>
            <w:vMerge/>
            <w:shd w:val="clear" w:color="auto" w:fill="auto"/>
            <w:noWrap w:val="0"/>
            <w:vAlign w:val="center"/>
          </w:tcPr>
          <w:p>
            <w:pPr>
              <w:widowControl/>
              <w:jc w:val="center"/>
              <w:textAlignment w:val="center"/>
              <w:rPr>
                <w:rFonts w:ascii="宋体" w:eastAsia="宋体" w:hAnsi="宋体" w:cs="宋体" w:hint="eastAsia"/>
                <w:bCs/>
                <w:kern w:val="21"/>
                <w:sz w:val="21"/>
                <w:szCs w:val="21"/>
                <w:lang w:eastAsia="zh-CN"/>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kern w:val="2"/>
                <w:sz w:val="21"/>
                <w:szCs w:val="21"/>
                <w:lang w:eastAsia="zh-CN"/>
              </w:rPr>
              <w:t>5、▲三防热敏纸不干胶</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p>
        </w:tc>
        <w:tc>
          <w:tcPr>
            <w:tcW w:w="1768" w:type="dxa"/>
            <w:vMerge/>
            <w:shd w:val="clear" w:color="auto" w:fill="auto"/>
            <w:noWrap w:val="0"/>
            <w:vAlign w:val="center"/>
          </w:tcPr>
          <w:p>
            <w:pPr>
              <w:widowControl/>
              <w:jc w:val="center"/>
              <w:textAlignment w:val="center"/>
              <w:rPr>
                <w:rFonts w:ascii="宋体" w:eastAsia="宋体" w:hAnsi="宋体" w:cs="宋体" w:hint="eastAsia"/>
                <w:bCs/>
                <w:kern w:val="21"/>
                <w:sz w:val="21"/>
                <w:szCs w:val="21"/>
                <w:lang w:eastAsia="zh-CN"/>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sz w:val="21"/>
                <w:szCs w:val="21"/>
                <w:lang w:eastAsia="zh-CN"/>
              </w:rPr>
              <w:t>6、</w:t>
            </w:r>
            <w:r>
              <w:rPr>
                <w:rFonts w:ascii="宋体" w:eastAsia="宋体" w:hAnsi="宋体" w:cs="宋体" w:hint="eastAsia"/>
                <w:sz w:val="21"/>
                <w:szCs w:val="21"/>
              </w:rPr>
              <w:t>整卷无拼接，无脱胶</w:t>
            </w:r>
            <w:r>
              <w:rPr>
                <w:rFonts w:ascii="宋体" w:eastAsia="宋体" w:hAnsi="宋体" w:cs="宋体" w:hint="eastAsia"/>
                <w:sz w:val="21"/>
                <w:szCs w:val="21"/>
                <w:lang w:eastAsia="zh-Hans"/>
              </w:rPr>
              <w:t>，</w:t>
            </w:r>
            <w:r>
              <w:rPr>
                <w:rFonts w:ascii="宋体" w:eastAsia="宋体" w:hAnsi="宋体" w:cs="宋体" w:hint="eastAsia"/>
                <w:sz w:val="21"/>
                <w:szCs w:val="21"/>
              </w:rPr>
              <w:t>单卷独立包装</w:t>
            </w:r>
          </w:p>
        </w:tc>
      </w:tr>
      <w:tr>
        <w:tblPrEx>
          <w:tblW w:w="5000" w:type="pct"/>
          <w:jc w:val="center"/>
          <w:tblLayout w:type="fixed"/>
          <w:tblCellMar>
            <w:top w:w="0" w:type="dxa"/>
            <w:left w:w="108" w:type="dxa"/>
            <w:bottom w:w="0" w:type="dxa"/>
            <w:right w:w="108" w:type="dxa"/>
          </w:tblCellMar>
        </w:tblPrEx>
        <w:trPr>
          <w:trHeight w:val="154"/>
          <w:jc w:val="center"/>
        </w:trPr>
        <w:tc>
          <w:tcPr>
            <w:tcW w:w="947" w:type="dxa"/>
            <w:vMerge w:val="restart"/>
            <w:shd w:val="clear" w:color="auto" w:fill="auto"/>
            <w:noWrap w:val="0"/>
            <w:vAlign w:val="center"/>
          </w:tcPr>
          <w:p>
            <w:pPr>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5</w:t>
            </w:r>
          </w:p>
        </w:tc>
        <w:tc>
          <w:tcPr>
            <w:tcW w:w="1768" w:type="dxa"/>
            <w:vMerge w:val="restart"/>
            <w:shd w:val="clear" w:color="auto" w:fill="auto"/>
            <w:noWrap w:val="0"/>
            <w:vAlign w:val="center"/>
          </w:tcPr>
          <w:p>
            <w:pPr>
              <w:widowControl/>
              <w:jc w:val="center"/>
              <w:rPr>
                <w:rFonts w:ascii="宋体" w:eastAsia="宋体" w:hAnsi="宋体" w:cs="宋体" w:hint="eastAsia"/>
                <w:bCs/>
                <w:kern w:val="21"/>
                <w:sz w:val="21"/>
                <w:szCs w:val="21"/>
                <w:lang w:eastAsia="zh-Hans"/>
              </w:rPr>
            </w:pPr>
            <w:r>
              <w:rPr>
                <w:rFonts w:ascii="宋体" w:eastAsia="宋体" w:hAnsi="宋体" w:cs="宋体" w:hint="eastAsia"/>
                <w:sz w:val="21"/>
                <w:szCs w:val="21"/>
              </w:rPr>
              <w:t>热敏纸</w:t>
            </w:r>
            <w:r>
              <w:rPr>
                <w:rFonts w:ascii="宋体" w:eastAsia="宋体" w:hAnsi="宋体" w:cs="宋体" w:hint="eastAsia"/>
                <w:bCs/>
                <w:kern w:val="21"/>
                <w:sz w:val="21"/>
                <w:szCs w:val="21"/>
                <w:lang w:eastAsia="zh-Hans"/>
              </w:rPr>
              <w:t xml:space="preserve"> </w:t>
            </w:r>
          </w:p>
          <w:p>
            <w:pPr>
              <w:widowControl/>
              <w:jc w:val="center"/>
              <w:rPr>
                <w:rFonts w:ascii="宋体" w:eastAsia="宋体" w:hAnsi="宋体" w:cs="宋体" w:hint="eastAsia"/>
                <w:sz w:val="21"/>
                <w:szCs w:val="21"/>
                <w:lang w:eastAsia="zh-CN"/>
              </w:rPr>
            </w:pPr>
            <w:r>
              <w:rPr>
                <w:rFonts w:ascii="宋体" w:eastAsia="宋体" w:hAnsi="宋体" w:cs="宋体" w:hint="eastAsia"/>
                <w:bCs/>
                <w:kern w:val="21"/>
                <w:sz w:val="21"/>
                <w:szCs w:val="21"/>
                <w:lang w:eastAsia="zh-Hans"/>
              </w:rPr>
              <w:t>POS机专用</w:t>
            </w: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Hans"/>
              </w:rPr>
            </w:pPr>
            <w:r>
              <w:rPr>
                <w:rFonts w:ascii="宋体" w:eastAsia="宋体" w:hAnsi="宋体" w:cs="宋体" w:hint="eastAsia"/>
                <w:sz w:val="21"/>
                <w:szCs w:val="21"/>
                <w:lang w:eastAsia="zh-CN"/>
              </w:rPr>
              <w:t>1、</w:t>
            </w:r>
            <w:r>
              <w:rPr>
                <w:rFonts w:ascii="宋体" w:eastAsia="宋体" w:hAnsi="宋体" w:cs="宋体" w:hint="eastAsia"/>
                <w:sz w:val="21"/>
                <w:szCs w:val="21"/>
              </w:rPr>
              <w:t>规格（长*宽）MM</w:t>
            </w:r>
            <w:r>
              <w:rPr>
                <w:rFonts w:ascii="宋体" w:eastAsia="宋体" w:hAnsi="宋体" w:cs="宋体" w:hint="eastAsia"/>
                <w:sz w:val="21"/>
                <w:szCs w:val="21"/>
                <w:lang w:eastAsia="zh-CN"/>
              </w:rPr>
              <w:t>：</w:t>
            </w:r>
            <w:r>
              <w:rPr>
                <w:rFonts w:ascii="宋体" w:eastAsia="宋体" w:hAnsi="宋体" w:cs="宋体" w:hint="eastAsia"/>
                <w:bCs/>
                <w:kern w:val="21"/>
                <w:sz w:val="21"/>
                <w:szCs w:val="21"/>
                <w:lang w:eastAsia="zh-Hans"/>
              </w:rPr>
              <w:t>57*40</w:t>
            </w:r>
            <w:r>
              <w:rPr>
                <w:rFonts w:ascii="宋体" w:eastAsia="宋体" w:hAnsi="宋体" w:cs="宋体" w:hint="eastAsia"/>
                <w:sz w:val="21"/>
                <w:szCs w:val="21"/>
                <w:lang w:eastAsia="zh-CN"/>
              </w:rPr>
              <w:t>（允许误差±1mm）</w:t>
            </w:r>
          </w:p>
        </w:tc>
      </w:tr>
      <w:tr>
        <w:tblPrEx>
          <w:tblW w:w="5000" w:type="pct"/>
          <w:jc w:val="center"/>
          <w:tblLayout w:type="fixed"/>
          <w:tblCellMar>
            <w:top w:w="0" w:type="dxa"/>
            <w:left w:w="108" w:type="dxa"/>
            <w:bottom w:w="0" w:type="dxa"/>
            <w:right w:w="108" w:type="dxa"/>
          </w:tblCellMar>
        </w:tblPrEx>
        <w:trPr>
          <w:trHeight w:val="154"/>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2、</w:t>
            </w:r>
            <w:r>
              <w:rPr>
                <w:rFonts w:ascii="宋体" w:eastAsia="宋体" w:hAnsi="宋体" w:cs="宋体" w:hint="eastAsia"/>
                <w:bCs/>
                <w:color w:val="FF0000"/>
                <w:kern w:val="21"/>
                <w:sz w:val="21"/>
                <w:szCs w:val="21"/>
                <w:highlight w:val="yellow"/>
                <w:lang w:eastAsia="zh-CN"/>
              </w:rPr>
              <w:t>卷芯12MM（允许误差±1mm），≥200卷/箱，</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center"/>
              <w:textAlignment w:val="center"/>
              <w:rPr>
                <w:rFonts w:ascii="宋体" w:eastAsia="宋体" w:hAnsi="宋体" w:cs="宋体" w:hint="eastAsia"/>
                <w:sz w:val="21"/>
                <w:szCs w:val="21"/>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sz w:val="21"/>
                <w:szCs w:val="21"/>
                <w:lang w:eastAsia="zh-CN"/>
              </w:rPr>
              <w:t>3、</w:t>
            </w:r>
            <w:r>
              <w:rPr>
                <w:rFonts w:ascii="宋体" w:eastAsia="宋体" w:hAnsi="宋体" w:cs="宋体" w:hint="eastAsia"/>
                <w:sz w:val="21"/>
                <w:szCs w:val="21"/>
              </w:rPr>
              <w:t>耐光性能空白部分</w:t>
            </w:r>
            <w:r>
              <w:rPr>
                <w:rFonts w:ascii="宋体" w:eastAsia="宋体" w:hAnsi="宋体" w:cs="宋体" w:hint="eastAsia"/>
                <w:sz w:val="21"/>
                <w:szCs w:val="21"/>
                <w:lang w:bidi="en-US"/>
              </w:rPr>
              <w:t>W0.25</w:t>
            </w:r>
            <w:r>
              <w:rPr>
                <w:rFonts w:ascii="宋体" w:eastAsia="宋体" w:hAnsi="宋体" w:cs="宋体" w:hint="eastAsia"/>
                <w:bCs/>
                <w:kern w:val="21"/>
                <w:sz w:val="21"/>
                <w:szCs w:val="21"/>
                <w:lang w:eastAsia="zh-Hans"/>
              </w:rPr>
              <w:t>（</w:t>
            </w:r>
            <w:r>
              <w:rPr>
                <w:rFonts w:ascii="宋体" w:eastAsia="宋体" w:hAnsi="宋体" w:cs="宋体" w:hint="eastAsia"/>
                <w:sz w:val="21"/>
                <w:szCs w:val="21"/>
                <w:lang w:eastAsia="zh-CN"/>
              </w:rPr>
              <w:t>允许误差</w:t>
            </w:r>
            <w:r>
              <w:rPr>
                <w:rFonts w:ascii="宋体" w:eastAsia="宋体" w:hAnsi="宋体" w:cs="宋体" w:hint="eastAsia"/>
                <w:bCs/>
                <w:kern w:val="21"/>
                <w:sz w:val="21"/>
                <w:szCs w:val="21"/>
                <w:lang w:eastAsia="zh-Hans"/>
              </w:rPr>
              <w:t>±</w:t>
            </w:r>
            <w:r>
              <w:rPr>
                <w:rFonts w:ascii="宋体" w:eastAsia="宋体" w:hAnsi="宋体" w:cs="宋体" w:hint="eastAsia"/>
                <w:bCs/>
                <w:kern w:val="21"/>
                <w:sz w:val="21"/>
                <w:szCs w:val="21"/>
                <w:lang w:eastAsia="zh-CN"/>
              </w:rPr>
              <w:t>5</w:t>
            </w:r>
            <w:r>
              <w:rPr>
                <w:rFonts w:ascii="宋体" w:eastAsia="宋体" w:hAnsi="宋体" w:cs="宋体" w:hint="eastAsia"/>
                <w:bCs/>
                <w:kern w:val="21"/>
                <w:sz w:val="21"/>
                <w:szCs w:val="21"/>
                <w:lang w:eastAsia="zh-Hans"/>
              </w:rPr>
              <w:t>%</w:t>
            </w:r>
            <w:r>
              <w:rPr>
                <w:rFonts w:ascii="宋体" w:eastAsia="宋体" w:hAnsi="宋体" w:cs="宋体" w:hint="eastAsia"/>
                <w:sz w:val="21"/>
                <w:szCs w:val="21"/>
                <w:lang w:eastAsia="zh-CN"/>
              </w:rPr>
              <w:t>）</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p>
        </w:tc>
        <w:tc>
          <w:tcPr>
            <w:tcW w:w="1768" w:type="dxa"/>
            <w:vMerge/>
            <w:shd w:val="clear" w:color="auto" w:fill="auto"/>
            <w:noWrap w:val="0"/>
            <w:vAlign w:val="center"/>
          </w:tcPr>
          <w:p>
            <w:pPr>
              <w:widowControl/>
              <w:jc w:val="center"/>
              <w:textAlignment w:val="center"/>
              <w:rPr>
                <w:rFonts w:ascii="宋体" w:eastAsia="宋体" w:hAnsi="宋体" w:cs="宋体" w:hint="eastAsia"/>
                <w:bCs/>
                <w:kern w:val="21"/>
                <w:sz w:val="21"/>
                <w:szCs w:val="21"/>
                <w:lang w:eastAsia="zh-CN"/>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sz w:val="21"/>
                <w:szCs w:val="21"/>
                <w:lang w:eastAsia="zh-CN"/>
              </w:rPr>
              <w:t>4、</w:t>
            </w:r>
            <w:r>
              <w:rPr>
                <w:rFonts w:ascii="宋体" w:eastAsia="宋体" w:hAnsi="宋体" w:cs="宋体" w:hint="eastAsia"/>
                <w:sz w:val="21"/>
                <w:szCs w:val="21"/>
              </w:rPr>
              <w:t>耐光性能</w:t>
            </w:r>
            <w:r>
              <w:rPr>
                <w:rFonts w:ascii="宋体" w:eastAsia="宋体" w:hAnsi="宋体" w:cs="宋体" w:hint="eastAsia"/>
                <w:sz w:val="21"/>
                <w:szCs w:val="21"/>
                <w:lang w:eastAsia="zh-Hans"/>
              </w:rPr>
              <w:t>显色</w:t>
            </w:r>
            <w:r>
              <w:rPr>
                <w:rFonts w:ascii="宋体" w:eastAsia="宋体" w:hAnsi="宋体" w:cs="宋体" w:hint="eastAsia"/>
                <w:sz w:val="21"/>
                <w:szCs w:val="21"/>
              </w:rPr>
              <w:t xml:space="preserve">部分 </w:t>
            </w:r>
            <w:r>
              <w:rPr>
                <w:rFonts w:ascii="宋体" w:eastAsia="宋体" w:hAnsi="宋体" w:cs="宋体" w:hint="eastAsia"/>
                <w:sz w:val="21"/>
                <w:szCs w:val="21"/>
                <w:lang w:bidi="en-US"/>
              </w:rPr>
              <w:t>$0.80</w:t>
            </w:r>
            <w:r>
              <w:rPr>
                <w:rFonts w:ascii="宋体" w:eastAsia="宋体" w:hAnsi="宋体" w:cs="宋体" w:hint="eastAsia"/>
                <w:bCs/>
                <w:kern w:val="21"/>
                <w:sz w:val="21"/>
                <w:szCs w:val="21"/>
                <w:lang w:eastAsia="zh-Hans"/>
              </w:rPr>
              <w:t>（</w:t>
            </w:r>
            <w:r>
              <w:rPr>
                <w:rFonts w:ascii="宋体" w:eastAsia="宋体" w:hAnsi="宋体" w:cs="宋体" w:hint="eastAsia"/>
                <w:sz w:val="21"/>
                <w:szCs w:val="21"/>
                <w:lang w:eastAsia="zh-CN"/>
              </w:rPr>
              <w:t>允许误差</w:t>
            </w:r>
            <w:r>
              <w:rPr>
                <w:rFonts w:ascii="宋体" w:eastAsia="宋体" w:hAnsi="宋体" w:cs="宋体" w:hint="eastAsia"/>
                <w:bCs/>
                <w:kern w:val="21"/>
                <w:sz w:val="21"/>
                <w:szCs w:val="21"/>
                <w:lang w:eastAsia="zh-Hans"/>
              </w:rPr>
              <w:t>±</w:t>
            </w:r>
            <w:r>
              <w:rPr>
                <w:rFonts w:ascii="宋体" w:eastAsia="宋体" w:hAnsi="宋体" w:cs="宋体" w:hint="eastAsia"/>
                <w:bCs/>
                <w:kern w:val="21"/>
                <w:sz w:val="21"/>
                <w:szCs w:val="21"/>
                <w:lang w:eastAsia="zh-CN"/>
              </w:rPr>
              <w:t>5</w:t>
            </w:r>
            <w:r>
              <w:rPr>
                <w:rFonts w:ascii="宋体" w:eastAsia="宋体" w:hAnsi="宋体" w:cs="宋体" w:hint="eastAsia"/>
                <w:bCs/>
                <w:kern w:val="21"/>
                <w:sz w:val="21"/>
                <w:szCs w:val="21"/>
                <w:lang w:eastAsia="zh-Hans"/>
              </w:rPr>
              <w:t>%</w:t>
            </w:r>
            <w:r>
              <w:rPr>
                <w:rFonts w:ascii="宋体" w:eastAsia="宋体" w:hAnsi="宋体" w:cs="宋体" w:hint="eastAsia"/>
                <w:sz w:val="21"/>
                <w:szCs w:val="21"/>
                <w:lang w:eastAsia="zh-CN"/>
              </w:rPr>
              <w:t>）</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p>
        </w:tc>
        <w:tc>
          <w:tcPr>
            <w:tcW w:w="1768" w:type="dxa"/>
            <w:vMerge/>
            <w:shd w:val="clear" w:color="auto" w:fill="auto"/>
            <w:noWrap w:val="0"/>
            <w:vAlign w:val="center"/>
          </w:tcPr>
          <w:p>
            <w:pPr>
              <w:widowControl/>
              <w:jc w:val="center"/>
              <w:textAlignment w:val="center"/>
              <w:rPr>
                <w:rFonts w:ascii="宋体" w:eastAsia="宋体" w:hAnsi="宋体" w:cs="宋体" w:hint="eastAsia"/>
                <w:bCs/>
                <w:kern w:val="21"/>
                <w:sz w:val="21"/>
                <w:szCs w:val="21"/>
                <w:lang w:eastAsia="zh-CN"/>
              </w:rPr>
            </w:pPr>
          </w:p>
        </w:tc>
        <w:tc>
          <w:tcPr>
            <w:tcW w:w="5805" w:type="dxa"/>
            <w:shd w:val="clear" w:color="auto" w:fill="auto"/>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5、GB/T 28210-2011附录c</w:t>
            </w:r>
          </w:p>
        </w:tc>
      </w:tr>
      <w:tr>
        <w:tblPrEx>
          <w:tblW w:w="5000" w:type="pct"/>
          <w:jc w:val="center"/>
          <w:tblLayout w:type="fixed"/>
          <w:tblCellMar>
            <w:top w:w="0" w:type="dxa"/>
            <w:left w:w="108" w:type="dxa"/>
            <w:bottom w:w="0" w:type="dxa"/>
            <w:right w:w="108" w:type="dxa"/>
          </w:tblCellMar>
        </w:tblPrEx>
        <w:trPr>
          <w:trHeight w:val="154"/>
          <w:jc w:val="center"/>
        </w:trPr>
        <w:tc>
          <w:tcPr>
            <w:tcW w:w="947" w:type="dxa"/>
            <w:vMerge w:val="restart"/>
            <w:shd w:val="clear" w:color="auto" w:fill="auto"/>
            <w:noWrap w:val="0"/>
            <w:vAlign w:val="center"/>
          </w:tcPr>
          <w:p>
            <w:pPr>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6</w:t>
            </w:r>
          </w:p>
        </w:tc>
        <w:tc>
          <w:tcPr>
            <w:tcW w:w="1768" w:type="dxa"/>
            <w:vMerge w:val="restart"/>
            <w:shd w:val="clear" w:color="auto" w:fill="auto"/>
            <w:noWrap w:val="0"/>
            <w:vAlign w:val="center"/>
          </w:tcPr>
          <w:p>
            <w:pPr>
              <w:widowControl/>
              <w:jc w:val="center"/>
              <w:rPr>
                <w:rFonts w:ascii="宋体" w:eastAsia="宋体" w:hAnsi="宋体" w:cs="宋体" w:hint="eastAsia"/>
                <w:sz w:val="21"/>
                <w:szCs w:val="21"/>
                <w:lang w:eastAsia="zh-CN"/>
              </w:rPr>
            </w:pPr>
            <w:r>
              <w:rPr>
                <w:rFonts w:ascii="宋体" w:eastAsia="宋体" w:hAnsi="宋体" w:cs="宋体" w:hint="eastAsia"/>
                <w:sz w:val="21"/>
                <w:szCs w:val="21"/>
              </w:rPr>
              <w:t>热敏纸不干胶</w:t>
            </w:r>
            <w:r>
              <w:rPr>
                <w:rFonts w:ascii="宋体" w:eastAsia="宋体" w:hAnsi="宋体" w:cs="宋体" w:hint="eastAsia"/>
                <w:sz w:val="21"/>
                <w:szCs w:val="21"/>
                <w:lang w:eastAsia="zh-CN"/>
              </w:rPr>
              <w:t>3</w:t>
            </w:r>
          </w:p>
        </w:tc>
        <w:tc>
          <w:tcPr>
            <w:tcW w:w="5805" w:type="dxa"/>
            <w:noWrap w:val="0"/>
            <w:vAlign w:val="center"/>
          </w:tcPr>
          <w:p>
            <w:pPr>
              <w:widowControl/>
              <w:jc w:val="left"/>
              <w:textAlignment w:val="center"/>
              <w:rPr>
                <w:rFonts w:ascii="宋体" w:eastAsia="宋体" w:hAnsi="宋体" w:cs="宋体" w:hint="eastAsia"/>
                <w:bCs/>
                <w:kern w:val="21"/>
                <w:sz w:val="21"/>
                <w:szCs w:val="21"/>
                <w:lang w:eastAsia="zh-Hans"/>
              </w:rPr>
            </w:pPr>
            <w:r>
              <w:rPr>
                <w:rFonts w:ascii="宋体" w:eastAsia="宋体" w:hAnsi="宋体" w:cs="宋体" w:hint="eastAsia"/>
                <w:sz w:val="21"/>
                <w:szCs w:val="21"/>
                <w:lang w:eastAsia="zh-CN"/>
              </w:rPr>
              <w:t>1、</w:t>
            </w:r>
            <w:r>
              <w:rPr>
                <w:rFonts w:ascii="宋体" w:eastAsia="宋体" w:hAnsi="宋体" w:cs="宋体" w:hint="eastAsia"/>
                <w:sz w:val="21"/>
                <w:szCs w:val="21"/>
              </w:rPr>
              <w:t>规格（长*宽）MM</w:t>
            </w:r>
            <w:r>
              <w:rPr>
                <w:rFonts w:ascii="宋体" w:eastAsia="宋体" w:hAnsi="宋体" w:cs="宋体" w:hint="eastAsia"/>
                <w:sz w:val="21"/>
                <w:szCs w:val="21"/>
                <w:lang w:eastAsia="zh-CN"/>
              </w:rPr>
              <w:t>：</w:t>
            </w:r>
            <w:r>
              <w:rPr>
                <w:rFonts w:ascii="宋体" w:eastAsia="宋体" w:hAnsi="宋体" w:cs="宋体" w:hint="eastAsia"/>
                <w:sz w:val="21"/>
                <w:szCs w:val="21"/>
              </w:rPr>
              <w:t>50*30*1000</w:t>
            </w:r>
            <w:r>
              <w:rPr>
                <w:rFonts w:ascii="宋体" w:eastAsia="宋体" w:hAnsi="宋体" w:cs="宋体" w:hint="eastAsia"/>
                <w:sz w:val="21"/>
                <w:szCs w:val="21"/>
                <w:lang w:eastAsia="zh-CN"/>
              </w:rPr>
              <w:t>（允许误差±1mm）</w:t>
            </w:r>
          </w:p>
        </w:tc>
      </w:tr>
      <w:tr>
        <w:tblPrEx>
          <w:tblW w:w="5000" w:type="pct"/>
          <w:jc w:val="center"/>
          <w:tblLayout w:type="fixed"/>
          <w:tblCellMar>
            <w:top w:w="0" w:type="dxa"/>
            <w:left w:w="108" w:type="dxa"/>
            <w:bottom w:w="0" w:type="dxa"/>
            <w:right w:w="108" w:type="dxa"/>
          </w:tblCellMar>
        </w:tblPrEx>
        <w:trPr>
          <w:trHeight w:val="154"/>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2、</w:t>
            </w:r>
            <w:r>
              <w:rPr>
                <w:rFonts w:ascii="宋体" w:eastAsia="宋体" w:hAnsi="宋体" w:cs="宋体" w:hint="eastAsia"/>
                <w:bCs/>
                <w:color w:val="FF0000"/>
                <w:kern w:val="21"/>
                <w:sz w:val="21"/>
                <w:szCs w:val="21"/>
                <w:highlight w:val="yellow"/>
                <w:lang w:eastAsia="zh-CN"/>
              </w:rPr>
              <w:t>面材基本克重 80G/M2（允许误差±5%）</w:t>
            </w:r>
          </w:p>
        </w:tc>
      </w:tr>
      <w:tr>
        <w:tblPrEx>
          <w:tblW w:w="5000" w:type="pct"/>
          <w:jc w:val="center"/>
          <w:tblLayout w:type="fixed"/>
          <w:tblCellMar>
            <w:top w:w="0" w:type="dxa"/>
            <w:left w:w="108" w:type="dxa"/>
            <w:bottom w:w="0" w:type="dxa"/>
            <w:right w:w="108" w:type="dxa"/>
          </w:tblCellMar>
        </w:tblPrEx>
        <w:trPr>
          <w:trHeight w:val="318"/>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3、</w:t>
            </w:r>
            <w:r>
              <w:rPr>
                <w:rFonts w:ascii="宋体" w:eastAsia="宋体" w:hAnsi="宋体" w:cs="宋体" w:hint="eastAsia"/>
                <w:bCs/>
                <w:kern w:val="21"/>
                <w:sz w:val="21"/>
                <w:szCs w:val="21"/>
                <w:lang w:eastAsia="zh-Hans"/>
              </w:rPr>
              <w:t>底纸经超级砑光处理</w:t>
            </w:r>
          </w:p>
        </w:tc>
      </w:tr>
      <w:tr>
        <w:tblPrEx>
          <w:tblW w:w="5000" w:type="pct"/>
          <w:jc w:val="center"/>
          <w:tblLayout w:type="fixed"/>
          <w:tblCellMar>
            <w:top w:w="0" w:type="dxa"/>
            <w:left w:w="108" w:type="dxa"/>
            <w:bottom w:w="0" w:type="dxa"/>
            <w:right w:w="108" w:type="dxa"/>
          </w:tblCellMar>
        </w:tblPrEx>
        <w:trPr>
          <w:trHeight w:val="339"/>
          <w:jc w:val="center"/>
        </w:trPr>
        <w:tc>
          <w:tcPr>
            <w:tcW w:w="947" w:type="dxa"/>
            <w:vMerge/>
            <w:shd w:val="clear" w:color="auto" w:fill="auto"/>
            <w:noWrap w:val="0"/>
            <w:vAlign w:val="center"/>
          </w:tcPr>
          <w:p>
            <w:pPr>
              <w:keepNext w:val="0"/>
              <w:keepLines w:val="0"/>
              <w:pageBreakBefore w:val="0"/>
              <w:tabs>
                <w:tab w:val="left" w:pos="851"/>
              </w:tabs>
              <w:kinsoku/>
              <w:wordWrap/>
              <w:overflowPunct/>
              <w:topLinePunct w:val="0"/>
              <w:autoSpaceDE/>
              <w:autoSpaceDN/>
              <w:bidi w:val="0"/>
              <w:spacing w:line="400" w:lineRule="exact"/>
              <w:ind w:firstLine="420" w:leftChars="0" w:firstLineChars="200"/>
              <w:textAlignment w:val="auto"/>
              <w:rPr>
                <w:rFonts w:ascii="宋体" w:eastAsia="宋体" w:hAnsi="宋体" w:cs="宋体" w:hint="eastAsia"/>
                <w:sz w:val="21"/>
                <w:szCs w:val="21"/>
              </w:rPr>
            </w:pPr>
          </w:p>
        </w:tc>
        <w:tc>
          <w:tcPr>
            <w:tcW w:w="1768" w:type="dxa"/>
            <w:vMerge/>
            <w:shd w:val="clear" w:color="auto" w:fill="auto"/>
            <w:noWrap w:val="0"/>
            <w:vAlign w:val="center"/>
          </w:tcPr>
          <w:p>
            <w:pPr>
              <w:keepNext w:val="0"/>
              <w:keepLines w:val="0"/>
              <w:pageBreakBefore w:val="0"/>
              <w:tabs>
                <w:tab w:val="left" w:pos="851"/>
              </w:tabs>
              <w:kinsoku/>
              <w:wordWrap/>
              <w:overflowPunct/>
              <w:topLinePunct w:val="0"/>
              <w:autoSpaceDE/>
              <w:autoSpaceDN/>
              <w:bidi w:val="0"/>
              <w:spacing w:line="400" w:lineRule="exact"/>
              <w:ind w:firstLine="420" w:leftChars="0" w:firstLineChars="200"/>
              <w:jc w:val="center"/>
              <w:textAlignment w:val="auto"/>
              <w:rPr>
                <w:rFonts w:ascii="宋体" w:eastAsia="宋体" w:hAnsi="宋体" w:cs="宋体" w:hint="eastAsia"/>
                <w:sz w:val="21"/>
                <w:szCs w:val="21"/>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Hans"/>
              </w:rPr>
            </w:pPr>
            <w:r>
              <w:rPr>
                <w:rFonts w:ascii="宋体" w:eastAsia="宋体" w:hAnsi="宋体" w:cs="宋体" w:hint="eastAsia"/>
                <w:bCs/>
                <w:kern w:val="21"/>
                <w:sz w:val="21"/>
                <w:szCs w:val="21"/>
                <w:lang w:eastAsia="zh-CN"/>
              </w:rPr>
              <w:t>4、</w:t>
            </w:r>
            <w:r>
              <w:rPr>
                <w:rFonts w:ascii="宋体" w:eastAsia="宋体" w:hAnsi="宋体" w:cs="宋体" w:hint="eastAsia"/>
                <w:bCs/>
                <w:kern w:val="21"/>
                <w:sz w:val="21"/>
                <w:szCs w:val="21"/>
                <w:lang w:eastAsia="zh-Hans"/>
              </w:rPr>
              <w:t>使用温度范围-50℃-- +90℃</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keepNext w:val="0"/>
              <w:keepLines w:val="0"/>
              <w:pageBreakBefore w:val="0"/>
              <w:tabs>
                <w:tab w:val="left" w:pos="851"/>
              </w:tabs>
              <w:kinsoku/>
              <w:wordWrap/>
              <w:overflowPunct/>
              <w:topLinePunct w:val="0"/>
              <w:autoSpaceDE/>
              <w:autoSpaceDN/>
              <w:bidi w:val="0"/>
              <w:spacing w:line="400" w:lineRule="exact"/>
              <w:ind w:firstLine="420" w:leftChars="0" w:firstLineChars="200"/>
              <w:textAlignment w:val="auto"/>
              <w:rPr>
                <w:rFonts w:ascii="宋体" w:eastAsia="宋体" w:hAnsi="宋体" w:cs="宋体" w:hint="eastAsia"/>
                <w:bCs/>
                <w:kern w:val="21"/>
                <w:sz w:val="21"/>
                <w:szCs w:val="21"/>
                <w:lang w:eastAsia="zh-CN"/>
              </w:rPr>
            </w:pPr>
          </w:p>
        </w:tc>
        <w:tc>
          <w:tcPr>
            <w:tcW w:w="1768" w:type="dxa"/>
            <w:vMerge/>
            <w:shd w:val="clear" w:color="auto" w:fill="auto"/>
            <w:noWrap w:val="0"/>
            <w:vAlign w:val="center"/>
          </w:tcPr>
          <w:p>
            <w:pPr>
              <w:keepNext w:val="0"/>
              <w:keepLines w:val="0"/>
              <w:pageBreakBefore w:val="0"/>
              <w:tabs>
                <w:tab w:val="left" w:pos="851"/>
              </w:tabs>
              <w:kinsoku/>
              <w:wordWrap/>
              <w:overflowPunct/>
              <w:topLinePunct w:val="0"/>
              <w:autoSpaceDE/>
              <w:autoSpaceDN/>
              <w:bidi w:val="0"/>
              <w:spacing w:line="400" w:lineRule="exact"/>
              <w:ind w:firstLine="420" w:leftChars="0" w:firstLineChars="200"/>
              <w:jc w:val="center"/>
              <w:textAlignment w:val="auto"/>
              <w:rPr>
                <w:rFonts w:ascii="宋体" w:eastAsia="宋体" w:hAnsi="宋体" w:cs="宋体" w:hint="eastAsia"/>
                <w:bCs/>
                <w:kern w:val="21"/>
                <w:sz w:val="21"/>
                <w:szCs w:val="21"/>
                <w:lang w:eastAsia="zh-CN"/>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kern w:val="2"/>
                <w:sz w:val="21"/>
                <w:szCs w:val="21"/>
                <w:lang w:eastAsia="zh-CN"/>
              </w:rPr>
              <w:t>5、▲三防热敏纸不干胶</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keepNext w:val="0"/>
              <w:keepLines w:val="0"/>
              <w:pageBreakBefore w:val="0"/>
              <w:tabs>
                <w:tab w:val="left" w:pos="851"/>
              </w:tabs>
              <w:kinsoku/>
              <w:wordWrap/>
              <w:overflowPunct/>
              <w:topLinePunct w:val="0"/>
              <w:autoSpaceDE/>
              <w:autoSpaceDN/>
              <w:bidi w:val="0"/>
              <w:spacing w:line="400" w:lineRule="exact"/>
              <w:ind w:firstLine="420" w:leftChars="0" w:firstLineChars="200"/>
              <w:textAlignment w:val="auto"/>
              <w:rPr>
                <w:rFonts w:ascii="宋体" w:eastAsia="宋体" w:hAnsi="宋体" w:cs="宋体" w:hint="eastAsia"/>
                <w:bCs/>
                <w:kern w:val="21"/>
                <w:sz w:val="21"/>
                <w:szCs w:val="21"/>
                <w:lang w:eastAsia="zh-CN"/>
              </w:rPr>
            </w:pPr>
          </w:p>
        </w:tc>
        <w:tc>
          <w:tcPr>
            <w:tcW w:w="1768" w:type="dxa"/>
            <w:vMerge/>
            <w:shd w:val="clear" w:color="auto" w:fill="auto"/>
            <w:noWrap w:val="0"/>
            <w:vAlign w:val="center"/>
          </w:tcPr>
          <w:p>
            <w:pPr>
              <w:keepNext w:val="0"/>
              <w:keepLines w:val="0"/>
              <w:pageBreakBefore w:val="0"/>
              <w:tabs>
                <w:tab w:val="left" w:pos="851"/>
              </w:tabs>
              <w:kinsoku/>
              <w:wordWrap/>
              <w:overflowPunct/>
              <w:topLinePunct w:val="0"/>
              <w:autoSpaceDE/>
              <w:autoSpaceDN/>
              <w:bidi w:val="0"/>
              <w:spacing w:line="400" w:lineRule="exact"/>
              <w:ind w:firstLine="420" w:leftChars="0" w:firstLineChars="200"/>
              <w:jc w:val="center"/>
              <w:textAlignment w:val="auto"/>
              <w:rPr>
                <w:rFonts w:ascii="宋体" w:eastAsia="宋体" w:hAnsi="宋体" w:cs="宋体" w:hint="eastAsia"/>
                <w:bCs/>
                <w:kern w:val="21"/>
                <w:sz w:val="21"/>
                <w:szCs w:val="21"/>
                <w:lang w:eastAsia="zh-CN"/>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sz w:val="21"/>
                <w:szCs w:val="21"/>
                <w:lang w:eastAsia="zh-CN"/>
              </w:rPr>
              <w:t>6、</w:t>
            </w:r>
            <w:r>
              <w:rPr>
                <w:rFonts w:ascii="宋体" w:eastAsia="宋体" w:hAnsi="宋体" w:cs="宋体" w:hint="eastAsia"/>
                <w:sz w:val="21"/>
                <w:szCs w:val="21"/>
              </w:rPr>
              <w:t>整卷无拼接，无脱胶</w:t>
            </w:r>
            <w:r>
              <w:rPr>
                <w:rFonts w:ascii="宋体" w:eastAsia="宋体" w:hAnsi="宋体" w:cs="宋体" w:hint="eastAsia"/>
                <w:sz w:val="21"/>
                <w:szCs w:val="21"/>
                <w:lang w:eastAsia="zh-Hans"/>
              </w:rPr>
              <w:t>，</w:t>
            </w:r>
            <w:r>
              <w:rPr>
                <w:rFonts w:ascii="宋体" w:eastAsia="宋体" w:hAnsi="宋体" w:cs="宋体" w:hint="eastAsia"/>
                <w:sz w:val="21"/>
                <w:szCs w:val="21"/>
              </w:rPr>
              <w:t>单卷独立包装</w:t>
            </w:r>
          </w:p>
        </w:tc>
      </w:tr>
      <w:tr>
        <w:tblPrEx>
          <w:tblW w:w="5000" w:type="pct"/>
          <w:jc w:val="center"/>
          <w:tblLayout w:type="fixed"/>
          <w:tblCellMar>
            <w:top w:w="0" w:type="dxa"/>
            <w:left w:w="108" w:type="dxa"/>
            <w:bottom w:w="0" w:type="dxa"/>
            <w:right w:w="108" w:type="dxa"/>
          </w:tblCellMar>
        </w:tblPrEx>
        <w:trPr>
          <w:trHeight w:val="154"/>
          <w:jc w:val="center"/>
        </w:trPr>
        <w:tc>
          <w:tcPr>
            <w:tcW w:w="947" w:type="dxa"/>
            <w:vMerge w:val="restart"/>
            <w:shd w:val="clear" w:color="auto" w:fill="auto"/>
            <w:noWrap w:val="0"/>
            <w:vAlign w:val="center"/>
          </w:tcPr>
          <w:p>
            <w:pPr>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7</w:t>
            </w:r>
          </w:p>
        </w:tc>
        <w:tc>
          <w:tcPr>
            <w:tcW w:w="1768" w:type="dxa"/>
            <w:vMerge w:val="restart"/>
            <w:shd w:val="clear" w:color="auto" w:fill="auto"/>
            <w:noWrap w:val="0"/>
            <w:vAlign w:val="center"/>
          </w:tcPr>
          <w:p>
            <w:pPr>
              <w:widowControl/>
              <w:jc w:val="center"/>
              <w:rPr>
                <w:rFonts w:ascii="宋体" w:eastAsia="宋体" w:hAnsi="宋体" w:cs="宋体" w:hint="eastAsia"/>
                <w:sz w:val="21"/>
                <w:szCs w:val="21"/>
                <w:lang w:eastAsia="zh-CN"/>
              </w:rPr>
            </w:pPr>
            <w:r>
              <w:rPr>
                <w:rFonts w:ascii="宋体" w:eastAsia="宋体" w:hAnsi="宋体" w:cs="宋体" w:hint="eastAsia"/>
                <w:sz w:val="21"/>
                <w:szCs w:val="21"/>
              </w:rPr>
              <w:t>热敏不干胶</w:t>
            </w:r>
            <w:r>
              <w:rPr>
                <w:rFonts w:ascii="宋体" w:eastAsia="宋体" w:hAnsi="宋体" w:cs="宋体" w:hint="eastAsia"/>
                <w:sz w:val="21"/>
                <w:szCs w:val="21"/>
                <w:lang w:eastAsia="zh-CN"/>
              </w:rPr>
              <w:t>4</w:t>
            </w:r>
          </w:p>
        </w:tc>
        <w:tc>
          <w:tcPr>
            <w:tcW w:w="5805" w:type="dxa"/>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sz w:val="21"/>
                <w:szCs w:val="21"/>
                <w:lang w:eastAsia="zh-CN"/>
              </w:rPr>
              <w:t>1、</w:t>
            </w:r>
            <w:r>
              <w:rPr>
                <w:rFonts w:ascii="宋体" w:eastAsia="宋体" w:hAnsi="宋体" w:cs="宋体" w:hint="eastAsia"/>
                <w:color w:val="FF0000"/>
                <w:sz w:val="21"/>
                <w:szCs w:val="21"/>
                <w:highlight w:val="yellow"/>
                <w:lang w:eastAsia="zh-CN"/>
              </w:rPr>
              <w:t>规格（长*宽）MM：56*7.5*1000（允许误差±1mm）</w:t>
            </w:r>
          </w:p>
        </w:tc>
      </w:tr>
      <w:tr>
        <w:tblPrEx>
          <w:tblW w:w="5000" w:type="pct"/>
          <w:jc w:val="center"/>
          <w:tblLayout w:type="fixed"/>
          <w:tblCellMar>
            <w:top w:w="0" w:type="dxa"/>
            <w:left w:w="108" w:type="dxa"/>
            <w:bottom w:w="0" w:type="dxa"/>
            <w:right w:w="108" w:type="dxa"/>
          </w:tblCellMar>
        </w:tblPrEx>
        <w:trPr>
          <w:trHeight w:val="154"/>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2、</w:t>
            </w:r>
            <w:r>
              <w:rPr>
                <w:rFonts w:ascii="宋体" w:eastAsia="宋体" w:hAnsi="宋体" w:cs="宋体" w:hint="eastAsia"/>
                <w:bCs/>
                <w:color w:val="FF0000"/>
                <w:kern w:val="21"/>
                <w:sz w:val="21"/>
                <w:szCs w:val="21"/>
                <w:highlight w:val="yellow"/>
                <w:lang w:eastAsia="zh-CN"/>
              </w:rPr>
              <w:t>面材基本克重 80G/M2（允许误差±5%）</w:t>
            </w:r>
          </w:p>
        </w:tc>
      </w:tr>
      <w:tr>
        <w:tblPrEx>
          <w:tblW w:w="5000" w:type="pct"/>
          <w:jc w:val="center"/>
          <w:tblLayout w:type="fixed"/>
          <w:tblCellMar>
            <w:top w:w="0" w:type="dxa"/>
            <w:left w:w="108" w:type="dxa"/>
            <w:bottom w:w="0" w:type="dxa"/>
            <w:right w:w="108" w:type="dxa"/>
          </w:tblCellMar>
        </w:tblPrEx>
        <w:trPr>
          <w:trHeight w:val="318"/>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center"/>
              <w:textAlignment w:val="center"/>
              <w:rPr>
                <w:rFonts w:ascii="宋体" w:eastAsia="宋体" w:hAnsi="宋体" w:cs="宋体" w:hint="eastAsia"/>
                <w:sz w:val="21"/>
                <w:szCs w:val="21"/>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3、</w:t>
            </w:r>
            <w:r>
              <w:rPr>
                <w:rFonts w:ascii="宋体" w:eastAsia="宋体" w:hAnsi="宋体" w:cs="宋体" w:hint="eastAsia"/>
                <w:bCs/>
                <w:kern w:val="21"/>
                <w:sz w:val="21"/>
                <w:szCs w:val="21"/>
                <w:lang w:eastAsia="zh-Hans"/>
              </w:rPr>
              <w:t>底纸经超级砑光处理</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keepNext w:val="0"/>
              <w:keepLines w:val="0"/>
              <w:pageBreakBefore w:val="0"/>
              <w:tabs>
                <w:tab w:val="left" w:pos="851"/>
              </w:tabs>
              <w:kinsoku/>
              <w:wordWrap/>
              <w:overflowPunct/>
              <w:topLinePunct w:val="0"/>
              <w:autoSpaceDE/>
              <w:autoSpaceDN/>
              <w:bidi w:val="0"/>
              <w:spacing w:line="240" w:lineRule="auto"/>
              <w:ind w:firstLine="420" w:leftChars="0" w:firstLineChars="200"/>
              <w:textAlignment w:val="auto"/>
              <w:rPr>
                <w:rFonts w:ascii="宋体" w:eastAsia="宋体" w:hAnsi="宋体" w:cs="宋体" w:hint="eastAsia"/>
                <w:sz w:val="21"/>
                <w:szCs w:val="21"/>
              </w:rPr>
            </w:pPr>
          </w:p>
        </w:tc>
        <w:tc>
          <w:tcPr>
            <w:tcW w:w="1768" w:type="dxa"/>
            <w:vMerge/>
            <w:shd w:val="clear" w:color="auto" w:fill="auto"/>
            <w:noWrap w:val="0"/>
            <w:vAlign w:val="center"/>
          </w:tcPr>
          <w:p>
            <w:pPr>
              <w:keepNext w:val="0"/>
              <w:keepLines w:val="0"/>
              <w:pageBreakBefore w:val="0"/>
              <w:tabs>
                <w:tab w:val="left" w:pos="851"/>
              </w:tabs>
              <w:kinsoku/>
              <w:wordWrap/>
              <w:overflowPunct/>
              <w:topLinePunct w:val="0"/>
              <w:autoSpaceDE/>
              <w:autoSpaceDN/>
              <w:bidi w:val="0"/>
              <w:spacing w:line="240" w:lineRule="auto"/>
              <w:ind w:firstLine="420" w:leftChars="0" w:firstLineChars="200"/>
              <w:jc w:val="center"/>
              <w:textAlignment w:val="auto"/>
              <w:rPr>
                <w:rFonts w:ascii="宋体" w:eastAsia="宋体" w:hAnsi="宋体" w:cs="宋体" w:hint="eastAsia"/>
                <w:sz w:val="21"/>
                <w:szCs w:val="21"/>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4、</w:t>
            </w:r>
            <w:r>
              <w:rPr>
                <w:rFonts w:ascii="宋体" w:eastAsia="宋体" w:hAnsi="宋体" w:cs="宋体" w:hint="eastAsia"/>
                <w:bCs/>
                <w:kern w:val="21"/>
                <w:sz w:val="21"/>
                <w:szCs w:val="21"/>
                <w:lang w:eastAsia="zh-Hans"/>
              </w:rPr>
              <w:t>使用温度范围-50℃-- +90℃</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keepNext w:val="0"/>
              <w:keepLines w:val="0"/>
              <w:pageBreakBefore w:val="0"/>
              <w:tabs>
                <w:tab w:val="left" w:pos="851"/>
              </w:tabs>
              <w:kinsoku/>
              <w:wordWrap/>
              <w:overflowPunct/>
              <w:topLinePunct w:val="0"/>
              <w:autoSpaceDE/>
              <w:autoSpaceDN/>
              <w:bidi w:val="0"/>
              <w:spacing w:line="240" w:lineRule="auto"/>
              <w:ind w:firstLine="420" w:leftChars="0" w:firstLineChars="200"/>
              <w:textAlignment w:val="auto"/>
              <w:rPr>
                <w:rFonts w:ascii="宋体" w:eastAsia="宋体" w:hAnsi="宋体" w:cs="宋体" w:hint="eastAsia"/>
                <w:bCs/>
                <w:kern w:val="21"/>
                <w:sz w:val="21"/>
                <w:szCs w:val="21"/>
                <w:lang w:eastAsia="zh-CN"/>
              </w:rPr>
            </w:pPr>
          </w:p>
        </w:tc>
        <w:tc>
          <w:tcPr>
            <w:tcW w:w="1768" w:type="dxa"/>
            <w:vMerge/>
            <w:shd w:val="clear" w:color="auto" w:fill="auto"/>
            <w:noWrap w:val="0"/>
            <w:vAlign w:val="center"/>
          </w:tcPr>
          <w:p>
            <w:pPr>
              <w:keepNext w:val="0"/>
              <w:keepLines w:val="0"/>
              <w:pageBreakBefore w:val="0"/>
              <w:tabs>
                <w:tab w:val="left" w:pos="851"/>
              </w:tabs>
              <w:kinsoku/>
              <w:wordWrap/>
              <w:overflowPunct/>
              <w:topLinePunct w:val="0"/>
              <w:autoSpaceDE/>
              <w:autoSpaceDN/>
              <w:bidi w:val="0"/>
              <w:spacing w:line="240" w:lineRule="auto"/>
              <w:ind w:firstLine="420" w:leftChars="0" w:firstLineChars="200"/>
              <w:jc w:val="center"/>
              <w:textAlignment w:val="auto"/>
              <w:rPr>
                <w:rFonts w:ascii="宋体" w:eastAsia="宋体" w:hAnsi="宋体" w:cs="宋体" w:hint="eastAsia"/>
                <w:bCs/>
                <w:kern w:val="21"/>
                <w:sz w:val="21"/>
                <w:szCs w:val="21"/>
                <w:lang w:eastAsia="zh-CN"/>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kern w:val="2"/>
                <w:sz w:val="21"/>
                <w:szCs w:val="21"/>
                <w:lang w:eastAsia="zh-CN"/>
              </w:rPr>
              <w:t>5、▲三防热敏纸不干胶</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keepNext w:val="0"/>
              <w:keepLines w:val="0"/>
              <w:pageBreakBefore w:val="0"/>
              <w:tabs>
                <w:tab w:val="left" w:pos="851"/>
              </w:tabs>
              <w:kinsoku/>
              <w:wordWrap/>
              <w:overflowPunct/>
              <w:topLinePunct w:val="0"/>
              <w:autoSpaceDE/>
              <w:autoSpaceDN/>
              <w:bidi w:val="0"/>
              <w:spacing w:line="240" w:lineRule="auto"/>
              <w:ind w:firstLine="420" w:leftChars="0" w:firstLineChars="200"/>
              <w:textAlignment w:val="auto"/>
              <w:rPr>
                <w:rFonts w:ascii="宋体" w:eastAsia="宋体" w:hAnsi="宋体" w:cs="宋体" w:hint="eastAsia"/>
                <w:bCs/>
                <w:kern w:val="21"/>
                <w:sz w:val="21"/>
                <w:szCs w:val="21"/>
                <w:lang w:eastAsia="zh-CN"/>
              </w:rPr>
            </w:pPr>
          </w:p>
        </w:tc>
        <w:tc>
          <w:tcPr>
            <w:tcW w:w="1768" w:type="dxa"/>
            <w:vMerge/>
            <w:shd w:val="clear" w:color="auto" w:fill="auto"/>
            <w:noWrap w:val="0"/>
            <w:vAlign w:val="center"/>
          </w:tcPr>
          <w:p>
            <w:pPr>
              <w:keepNext w:val="0"/>
              <w:keepLines w:val="0"/>
              <w:pageBreakBefore w:val="0"/>
              <w:tabs>
                <w:tab w:val="left" w:pos="851"/>
              </w:tabs>
              <w:kinsoku/>
              <w:wordWrap/>
              <w:overflowPunct/>
              <w:topLinePunct w:val="0"/>
              <w:autoSpaceDE/>
              <w:autoSpaceDN/>
              <w:bidi w:val="0"/>
              <w:spacing w:line="240" w:lineRule="auto"/>
              <w:ind w:firstLine="420" w:leftChars="0" w:firstLineChars="200"/>
              <w:jc w:val="center"/>
              <w:textAlignment w:val="auto"/>
              <w:rPr>
                <w:rFonts w:ascii="宋体" w:eastAsia="宋体" w:hAnsi="宋体" w:cs="宋体" w:hint="eastAsia"/>
                <w:bCs/>
                <w:kern w:val="21"/>
                <w:sz w:val="21"/>
                <w:szCs w:val="21"/>
                <w:lang w:eastAsia="zh-CN"/>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sz w:val="21"/>
                <w:szCs w:val="21"/>
                <w:lang w:eastAsia="zh-CN"/>
              </w:rPr>
              <w:t>6、</w:t>
            </w:r>
            <w:r>
              <w:rPr>
                <w:rFonts w:ascii="宋体" w:eastAsia="宋体" w:hAnsi="宋体" w:cs="宋体" w:hint="eastAsia"/>
                <w:sz w:val="21"/>
                <w:szCs w:val="21"/>
              </w:rPr>
              <w:t>整卷无拼接，无脱胶</w:t>
            </w:r>
            <w:r>
              <w:rPr>
                <w:rFonts w:ascii="宋体" w:eastAsia="宋体" w:hAnsi="宋体" w:cs="宋体" w:hint="eastAsia"/>
                <w:sz w:val="21"/>
                <w:szCs w:val="21"/>
                <w:lang w:eastAsia="zh-Hans"/>
              </w:rPr>
              <w:t>，</w:t>
            </w:r>
            <w:r>
              <w:rPr>
                <w:rFonts w:ascii="宋体" w:eastAsia="宋体" w:hAnsi="宋体" w:cs="宋体" w:hint="eastAsia"/>
                <w:sz w:val="21"/>
                <w:szCs w:val="21"/>
              </w:rPr>
              <w:t>单卷独立包装</w:t>
            </w:r>
          </w:p>
        </w:tc>
      </w:tr>
      <w:tr>
        <w:tblPrEx>
          <w:tblW w:w="5000" w:type="pct"/>
          <w:jc w:val="center"/>
          <w:tblLayout w:type="fixed"/>
          <w:tblCellMar>
            <w:top w:w="0" w:type="dxa"/>
            <w:left w:w="108" w:type="dxa"/>
            <w:bottom w:w="0" w:type="dxa"/>
            <w:right w:w="108" w:type="dxa"/>
          </w:tblCellMar>
        </w:tblPrEx>
        <w:trPr>
          <w:trHeight w:val="154"/>
          <w:jc w:val="center"/>
        </w:trPr>
        <w:tc>
          <w:tcPr>
            <w:tcW w:w="947" w:type="dxa"/>
            <w:vMerge w:val="restart"/>
            <w:shd w:val="clear" w:color="auto" w:fill="auto"/>
            <w:noWrap w:val="0"/>
            <w:vAlign w:val="center"/>
          </w:tcPr>
          <w:p>
            <w:pPr>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8</w:t>
            </w:r>
          </w:p>
        </w:tc>
        <w:tc>
          <w:tcPr>
            <w:tcW w:w="1768" w:type="dxa"/>
            <w:vMerge w:val="restart"/>
            <w:shd w:val="clear" w:color="auto" w:fill="auto"/>
            <w:noWrap w:val="0"/>
            <w:vAlign w:val="center"/>
          </w:tcPr>
          <w:p>
            <w:pPr>
              <w:widowControl/>
              <w:jc w:val="center"/>
              <w:rPr>
                <w:rFonts w:ascii="宋体" w:eastAsia="宋体" w:hAnsi="宋体" w:cs="宋体" w:hint="eastAsia"/>
                <w:sz w:val="21"/>
                <w:szCs w:val="21"/>
                <w:lang w:eastAsia="zh-CN"/>
              </w:rPr>
            </w:pPr>
            <w:r>
              <w:rPr>
                <w:rFonts w:ascii="宋体" w:eastAsia="宋体" w:hAnsi="宋体" w:cs="宋体" w:hint="eastAsia"/>
                <w:sz w:val="21"/>
                <w:szCs w:val="21"/>
              </w:rPr>
              <w:t>热敏不干胶</w:t>
            </w:r>
            <w:r>
              <w:rPr>
                <w:rFonts w:ascii="宋体" w:eastAsia="宋体" w:hAnsi="宋体" w:cs="宋体" w:hint="eastAsia"/>
                <w:sz w:val="21"/>
                <w:szCs w:val="21"/>
                <w:lang w:eastAsia="zh-CN"/>
              </w:rPr>
              <w:t>5</w:t>
            </w:r>
          </w:p>
        </w:tc>
        <w:tc>
          <w:tcPr>
            <w:tcW w:w="5805" w:type="dxa"/>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sz w:val="21"/>
                <w:szCs w:val="21"/>
                <w:lang w:eastAsia="zh-CN"/>
              </w:rPr>
              <w:t>1、</w:t>
            </w:r>
            <w:r>
              <w:rPr>
                <w:rFonts w:ascii="宋体" w:eastAsia="宋体" w:hAnsi="宋体" w:cs="宋体" w:hint="eastAsia"/>
                <w:color w:val="FF0000"/>
                <w:sz w:val="21"/>
                <w:szCs w:val="21"/>
                <w:highlight w:val="yellow"/>
                <w:lang w:eastAsia="zh-CN"/>
              </w:rPr>
              <w:t>规格（长*宽）MM：90*52*50（允许误差±1mm）</w:t>
            </w:r>
          </w:p>
        </w:tc>
      </w:tr>
      <w:tr>
        <w:tblPrEx>
          <w:tblW w:w="5000" w:type="pct"/>
          <w:jc w:val="center"/>
          <w:tblLayout w:type="fixed"/>
          <w:tblCellMar>
            <w:top w:w="0" w:type="dxa"/>
            <w:left w:w="108" w:type="dxa"/>
            <w:bottom w:w="0" w:type="dxa"/>
            <w:right w:w="108" w:type="dxa"/>
          </w:tblCellMar>
        </w:tblPrEx>
        <w:trPr>
          <w:trHeight w:val="154"/>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2、</w:t>
            </w:r>
            <w:r>
              <w:rPr>
                <w:rFonts w:ascii="宋体" w:eastAsia="宋体" w:hAnsi="宋体" w:cs="宋体" w:hint="eastAsia"/>
                <w:bCs/>
                <w:color w:val="FF0000"/>
                <w:kern w:val="21"/>
                <w:sz w:val="21"/>
                <w:szCs w:val="21"/>
                <w:highlight w:val="yellow"/>
                <w:lang w:eastAsia="zh-CN"/>
              </w:rPr>
              <w:t>面材基本克重 80G/M2（允许误差±5%）</w:t>
            </w:r>
          </w:p>
        </w:tc>
      </w:tr>
      <w:tr>
        <w:tblPrEx>
          <w:tblW w:w="5000" w:type="pct"/>
          <w:jc w:val="center"/>
          <w:tblLayout w:type="fixed"/>
          <w:tblCellMar>
            <w:top w:w="0" w:type="dxa"/>
            <w:left w:w="108" w:type="dxa"/>
            <w:bottom w:w="0" w:type="dxa"/>
            <w:right w:w="108" w:type="dxa"/>
          </w:tblCellMar>
        </w:tblPrEx>
        <w:trPr>
          <w:trHeight w:val="318"/>
          <w:jc w:val="center"/>
        </w:trPr>
        <w:tc>
          <w:tcPr>
            <w:tcW w:w="947"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1768" w:type="dxa"/>
            <w:vMerge/>
            <w:shd w:val="clear" w:color="auto" w:fill="auto"/>
            <w:noWrap w:val="0"/>
            <w:vAlign w:val="center"/>
          </w:tcPr>
          <w:p>
            <w:pPr>
              <w:widowControl/>
              <w:jc w:val="left"/>
              <w:textAlignment w:val="center"/>
              <w:rPr>
                <w:rFonts w:ascii="宋体" w:eastAsia="宋体" w:hAnsi="宋体" w:cs="宋体" w:hint="eastAsia"/>
                <w:sz w:val="21"/>
                <w:szCs w:val="21"/>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3、</w:t>
            </w:r>
            <w:r>
              <w:rPr>
                <w:rFonts w:ascii="宋体" w:eastAsia="宋体" w:hAnsi="宋体" w:cs="宋体" w:hint="eastAsia"/>
                <w:bCs/>
                <w:kern w:val="21"/>
                <w:sz w:val="21"/>
                <w:szCs w:val="21"/>
                <w:lang w:eastAsia="zh-Hans"/>
              </w:rPr>
              <w:t>底纸经超级砑光处理</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spacing w:line="240" w:lineRule="auto"/>
              <w:rPr>
                <w:rFonts w:ascii="宋体" w:eastAsia="宋体" w:hAnsi="宋体" w:cs="宋体" w:hint="eastAsia"/>
                <w:sz w:val="21"/>
                <w:szCs w:val="21"/>
              </w:rPr>
            </w:pPr>
          </w:p>
        </w:tc>
        <w:tc>
          <w:tcPr>
            <w:tcW w:w="1768" w:type="dxa"/>
            <w:vMerge/>
            <w:shd w:val="clear" w:color="auto" w:fill="auto"/>
            <w:noWrap w:val="0"/>
            <w:vAlign w:val="center"/>
          </w:tcPr>
          <w:p>
            <w:pPr>
              <w:spacing w:line="240" w:lineRule="auto"/>
              <w:rPr>
                <w:rFonts w:ascii="宋体" w:eastAsia="宋体" w:hAnsi="宋体" w:cs="宋体" w:hint="eastAsia"/>
                <w:sz w:val="21"/>
                <w:szCs w:val="21"/>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bCs/>
                <w:kern w:val="21"/>
                <w:sz w:val="21"/>
                <w:szCs w:val="21"/>
                <w:lang w:eastAsia="zh-CN"/>
              </w:rPr>
              <w:t>4、</w:t>
            </w:r>
            <w:r>
              <w:rPr>
                <w:rFonts w:ascii="宋体" w:eastAsia="宋体" w:hAnsi="宋体" w:cs="宋体" w:hint="eastAsia"/>
                <w:bCs/>
                <w:kern w:val="21"/>
                <w:sz w:val="21"/>
                <w:szCs w:val="21"/>
                <w:lang w:eastAsia="zh-Hans"/>
              </w:rPr>
              <w:t>使用温度范围-50℃-- +90℃</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spacing w:line="240" w:lineRule="auto"/>
              <w:rPr>
                <w:rFonts w:ascii="宋体" w:eastAsia="宋体" w:hAnsi="宋体" w:cs="宋体" w:hint="eastAsia"/>
                <w:bCs/>
                <w:kern w:val="21"/>
                <w:sz w:val="21"/>
                <w:szCs w:val="21"/>
                <w:lang w:eastAsia="zh-CN"/>
              </w:rPr>
            </w:pPr>
          </w:p>
        </w:tc>
        <w:tc>
          <w:tcPr>
            <w:tcW w:w="1768" w:type="dxa"/>
            <w:vMerge/>
            <w:shd w:val="clear" w:color="auto" w:fill="auto"/>
            <w:noWrap w:val="0"/>
            <w:vAlign w:val="center"/>
          </w:tcPr>
          <w:p>
            <w:pPr>
              <w:spacing w:line="240" w:lineRule="auto"/>
              <w:rPr>
                <w:rFonts w:ascii="宋体" w:eastAsia="宋体" w:hAnsi="宋体" w:cs="宋体" w:hint="eastAsia"/>
                <w:bCs/>
                <w:kern w:val="21"/>
                <w:sz w:val="21"/>
                <w:szCs w:val="21"/>
                <w:lang w:eastAsia="zh-CN"/>
              </w:rPr>
            </w:pPr>
          </w:p>
        </w:tc>
        <w:tc>
          <w:tcPr>
            <w:tcW w:w="5805" w:type="dxa"/>
            <w:noWrap w:val="0"/>
            <w:vAlign w:val="center"/>
          </w:tcPr>
          <w:p>
            <w:pPr>
              <w:widowControl/>
              <w:jc w:val="left"/>
              <w:textAlignment w:val="center"/>
              <w:rPr>
                <w:rFonts w:ascii="宋体" w:eastAsia="宋体" w:hAnsi="宋体" w:cs="宋体" w:hint="eastAsia"/>
                <w:bCs/>
                <w:kern w:val="21"/>
                <w:sz w:val="21"/>
                <w:szCs w:val="21"/>
                <w:lang w:eastAsia="zh-CN"/>
              </w:rPr>
            </w:pPr>
            <w:r>
              <w:rPr>
                <w:rFonts w:ascii="宋体" w:eastAsia="宋体" w:hAnsi="宋体" w:cs="宋体" w:hint="eastAsia"/>
                <w:kern w:val="2"/>
                <w:sz w:val="21"/>
                <w:szCs w:val="21"/>
                <w:lang w:eastAsia="zh-CN"/>
              </w:rPr>
              <w:t>5、▲三防热敏纸不干胶</w:t>
            </w:r>
          </w:p>
        </w:tc>
      </w:tr>
      <w:tr>
        <w:tblPrEx>
          <w:tblW w:w="5000" w:type="pct"/>
          <w:jc w:val="center"/>
          <w:tblLayout w:type="fixed"/>
          <w:tblCellMar>
            <w:top w:w="0" w:type="dxa"/>
            <w:left w:w="108" w:type="dxa"/>
            <w:bottom w:w="0" w:type="dxa"/>
            <w:right w:w="108" w:type="dxa"/>
          </w:tblCellMar>
        </w:tblPrEx>
        <w:trPr>
          <w:trHeight w:val="319"/>
          <w:jc w:val="center"/>
        </w:trPr>
        <w:tc>
          <w:tcPr>
            <w:tcW w:w="947" w:type="dxa"/>
            <w:vMerge/>
            <w:shd w:val="clear" w:color="auto" w:fill="auto"/>
            <w:noWrap w:val="0"/>
            <w:vAlign w:val="center"/>
          </w:tcPr>
          <w:p>
            <w:pPr>
              <w:spacing w:line="240" w:lineRule="auto"/>
              <w:rPr>
                <w:rFonts w:ascii="宋体" w:eastAsia="宋体" w:hAnsi="宋体" w:cs="宋体" w:hint="eastAsia"/>
                <w:bCs/>
                <w:kern w:val="21"/>
                <w:sz w:val="21"/>
                <w:szCs w:val="21"/>
                <w:lang w:eastAsia="zh-CN"/>
              </w:rPr>
            </w:pPr>
          </w:p>
        </w:tc>
        <w:tc>
          <w:tcPr>
            <w:tcW w:w="1768" w:type="dxa"/>
            <w:vMerge/>
            <w:shd w:val="clear" w:color="auto" w:fill="auto"/>
            <w:noWrap w:val="0"/>
            <w:vAlign w:val="center"/>
          </w:tcPr>
          <w:p>
            <w:pPr>
              <w:spacing w:line="240" w:lineRule="auto"/>
              <w:rPr>
                <w:rFonts w:ascii="宋体" w:eastAsia="宋体" w:hAnsi="宋体" w:cs="宋体" w:hint="eastAsia"/>
                <w:bCs/>
                <w:kern w:val="21"/>
                <w:sz w:val="21"/>
                <w:szCs w:val="21"/>
                <w:lang w:eastAsia="zh-CN"/>
              </w:rPr>
            </w:pPr>
          </w:p>
        </w:tc>
        <w:tc>
          <w:tcPr>
            <w:tcW w:w="5805" w:type="dxa"/>
            <w:noWrap w:val="0"/>
            <w:vAlign w:val="center"/>
          </w:tcPr>
          <w:p>
            <w:pPr>
              <w:widowControl/>
              <w:jc w:val="left"/>
              <w:textAlignment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6、</w:t>
            </w:r>
            <w:r>
              <w:rPr>
                <w:rFonts w:ascii="宋体" w:eastAsia="宋体" w:hAnsi="宋体" w:cs="宋体" w:hint="eastAsia"/>
                <w:color w:val="FF0000"/>
                <w:kern w:val="2"/>
                <w:sz w:val="21"/>
                <w:szCs w:val="21"/>
                <w:highlight w:val="yellow"/>
                <w:lang w:eastAsia="zh-CN"/>
              </w:rPr>
              <w:t>卷心12mm（允许误差±1mm）</w:t>
            </w:r>
            <w:r>
              <w:rPr>
                <w:rFonts w:ascii="宋体" w:eastAsia="宋体" w:hAnsi="宋体" w:cs="宋体" w:hint="eastAsia"/>
                <w:color w:val="FF0000"/>
                <w:kern w:val="2"/>
                <w:sz w:val="21"/>
                <w:szCs w:val="21"/>
                <w:highlight w:val="yellow"/>
                <w:lang w:eastAsia="zh-CN"/>
              </w:rPr>
              <w:t>,50个/卷</w:t>
            </w:r>
          </w:p>
        </w:tc>
      </w:tr>
      <w:tr>
        <w:tblPrEx>
          <w:tblW w:w="5000" w:type="pct"/>
          <w:jc w:val="center"/>
          <w:tblLayout w:type="fixed"/>
          <w:tblCellMar>
            <w:top w:w="0" w:type="dxa"/>
            <w:left w:w="108" w:type="dxa"/>
            <w:bottom w:w="0" w:type="dxa"/>
            <w:right w:w="108" w:type="dxa"/>
          </w:tblCellMar>
        </w:tblPrEx>
        <w:trPr>
          <w:trHeight w:val="329"/>
          <w:jc w:val="center"/>
        </w:trPr>
        <w:tc>
          <w:tcPr>
            <w:tcW w:w="947" w:type="dxa"/>
            <w:vMerge/>
            <w:noWrap w:val="0"/>
            <w:vAlign w:val="center"/>
          </w:tcPr>
          <w:p>
            <w:pPr>
              <w:keepNext w:val="0"/>
              <w:keepLines w:val="0"/>
              <w:pageBreakBefore w:val="0"/>
              <w:kinsoku/>
              <w:wordWrap/>
              <w:overflowPunct/>
              <w:topLinePunct w:val="0"/>
              <w:autoSpaceDE/>
              <w:autoSpaceDN/>
              <w:bidi w:val="0"/>
              <w:adjustRightInd/>
              <w:spacing w:beforeAutospacing="0" w:afterAutospacing="0" w:line="400" w:lineRule="exact"/>
              <w:ind w:left="0" w:right="0" w:firstLine="0" w:leftChars="0" w:firstLineChars="0"/>
              <w:jc w:val="center"/>
              <w:textAlignment w:val="auto"/>
              <w:rPr>
                <w:rFonts w:ascii="宋体" w:eastAsia="宋体" w:hAnsi="宋体" w:cs="宋体" w:hint="eastAsia"/>
                <w:kern w:val="21"/>
                <w:sz w:val="21"/>
                <w:szCs w:val="21"/>
              </w:rPr>
            </w:pPr>
          </w:p>
        </w:tc>
        <w:tc>
          <w:tcPr>
            <w:tcW w:w="1768" w:type="dxa"/>
            <w:vMerge/>
            <w:noWrap w:val="0"/>
            <w:vAlign w:val="center"/>
          </w:tcPr>
          <w:p>
            <w:pPr>
              <w:keepNext w:val="0"/>
              <w:keepLines w:val="0"/>
              <w:pageBreakBefore w:val="0"/>
              <w:kinsoku/>
              <w:wordWrap/>
              <w:overflowPunct/>
              <w:topLinePunct w:val="0"/>
              <w:autoSpaceDE/>
              <w:autoSpaceDN/>
              <w:bidi w:val="0"/>
              <w:adjustRightInd/>
              <w:spacing w:beforeAutospacing="0" w:afterAutospacing="0" w:line="400" w:lineRule="exact"/>
              <w:ind w:left="0" w:right="0" w:firstLine="0" w:leftChars="0" w:firstLineChars="0"/>
              <w:textAlignment w:val="auto"/>
              <w:rPr>
                <w:rFonts w:ascii="宋体" w:eastAsia="宋体" w:hAnsi="宋体" w:cs="宋体" w:hint="eastAsia"/>
                <w:kern w:val="21"/>
                <w:sz w:val="21"/>
                <w:szCs w:val="21"/>
              </w:rPr>
            </w:pPr>
          </w:p>
        </w:tc>
        <w:tc>
          <w:tcPr>
            <w:tcW w:w="5805" w:type="dxa"/>
            <w:noWrap w:val="0"/>
            <w:vAlign w:val="center"/>
          </w:tcPr>
          <w:p>
            <w:pPr>
              <w:widowControl/>
              <w:jc w:val="left"/>
              <w:textAlignment w:val="center"/>
              <w:rPr>
                <w:rFonts w:ascii="宋体" w:eastAsia="宋体" w:hAnsi="宋体" w:cs="宋体" w:hint="eastAsia"/>
                <w:bCs/>
                <w:kern w:val="21"/>
                <w:sz w:val="21"/>
                <w:szCs w:val="21"/>
              </w:rPr>
            </w:pPr>
            <w:r>
              <w:rPr>
                <w:rFonts w:ascii="宋体" w:eastAsia="宋体" w:hAnsi="宋体" w:cs="宋体" w:hint="eastAsia"/>
                <w:sz w:val="21"/>
                <w:szCs w:val="21"/>
                <w:lang w:eastAsia="zh-CN"/>
              </w:rPr>
              <w:t>7、</w:t>
            </w:r>
            <w:r>
              <w:rPr>
                <w:rFonts w:ascii="宋体" w:eastAsia="宋体" w:hAnsi="宋体" w:cs="宋体" w:hint="eastAsia"/>
                <w:sz w:val="21"/>
                <w:szCs w:val="21"/>
              </w:rPr>
              <w:t>整卷无拼接，无脱胶</w:t>
            </w:r>
            <w:r>
              <w:rPr>
                <w:rFonts w:ascii="宋体" w:eastAsia="宋体" w:hAnsi="宋体" w:cs="宋体" w:hint="eastAsia"/>
                <w:sz w:val="21"/>
                <w:szCs w:val="21"/>
                <w:lang w:eastAsia="zh-Hans"/>
              </w:rPr>
              <w:t>，</w:t>
            </w:r>
            <w:r>
              <w:rPr>
                <w:rFonts w:ascii="宋体" w:eastAsia="宋体" w:hAnsi="宋体" w:cs="宋体" w:hint="eastAsia"/>
                <w:sz w:val="21"/>
                <w:szCs w:val="21"/>
              </w:rPr>
              <w:t>单卷独立包装</w:t>
            </w:r>
          </w:p>
        </w:tc>
      </w:tr>
    </w:tbl>
    <w:p>
      <w:pPr>
        <w:widowControl w:val="0"/>
        <w:jc w:val="both"/>
        <w:rPr>
          <w:rFonts w:ascii="Calibri" w:eastAsia="宋体" w:hAnsi="Calibri"/>
          <w:b/>
          <w:color w:val="FF0000"/>
          <w:kern w:val="2"/>
          <w:sz w:val="21"/>
          <w:szCs w:val="22"/>
          <w:lang w:eastAsia="zh-CN"/>
        </w:rPr>
      </w:pPr>
    </w:p>
    <w:p>
      <w:pPr>
        <w:keepNext/>
        <w:keepLines/>
        <w:widowControl w:val="0"/>
        <w:spacing w:before="260" w:after="260" w:line="240" w:lineRule="auto"/>
        <w:jc w:val="center"/>
        <w:outlineLvl w:val="2"/>
        <w:rPr>
          <w:rFonts w:ascii="宋体" w:eastAsia="宋体" w:hAnsi="宋体"/>
          <w:b/>
          <w:bCs/>
          <w:kern w:val="2"/>
          <w:sz w:val="28"/>
          <w:szCs w:val="32"/>
          <w:lang w:eastAsia="zh-CN"/>
        </w:rPr>
      </w:pPr>
      <w:r>
        <w:rPr>
          <w:rFonts w:ascii="宋体" w:eastAsia="宋体" w:hAnsi="宋体" w:cstheme="minorBidi" w:hint="eastAsia"/>
          <w:b/>
          <w:bCs/>
          <w:kern w:val="2"/>
          <w:sz w:val="28"/>
          <w:szCs w:val="32"/>
          <w:lang w:eastAsia="zh-CN"/>
        </w:rPr>
        <w:t>五、商务条款要求</w:t>
      </w:r>
    </w:p>
    <w:p>
      <w:pPr>
        <w:widowControl w:val="0"/>
        <w:ind w:firstLine="420" w:firstLineChars="200"/>
        <w:jc w:val="both"/>
        <w:rPr>
          <w:rFonts w:ascii="Calibri" w:eastAsia="宋体" w:hAnsi="Calibri" w:hint="eastAsia"/>
          <w:b/>
          <w:kern w:val="2"/>
          <w:sz w:val="21"/>
          <w:szCs w:val="21"/>
          <w:lang w:eastAsia="zh-CN"/>
        </w:rPr>
      </w:pPr>
      <w:r>
        <w:rPr>
          <w:rFonts w:ascii="Calibri" w:eastAsia="宋体" w:hAnsi="Calibri" w:cstheme="minorBidi" w:hint="eastAsia"/>
          <w:b/>
          <w:kern w:val="2"/>
          <w:sz w:val="21"/>
          <w:szCs w:val="21"/>
          <w:lang w:eastAsia="zh-CN"/>
        </w:rPr>
        <w:t>说明：带★号条款为不可偏离条款，不作为评分准则中的评分内容，如未响应或出现负偏离的，将作投标无效处理；带“</w:t>
      </w:r>
      <w:r>
        <w:rPr>
          <w:rFonts w:ascii="Calibri" w:eastAsia="宋体" w:hAnsi="Calibri" w:cstheme="minorBidi"/>
          <w:kern w:val="2"/>
          <w:sz w:val="21"/>
          <w:szCs w:val="22"/>
          <w:lang w:eastAsia="zh-CN"/>
        </w:rPr>
        <w:t>▲</w:t>
      </w:r>
      <w:r>
        <w:rPr>
          <w:rFonts w:ascii="Calibri" w:eastAsia="宋体" w:hAnsi="Calibri" w:cstheme="minorBidi" w:hint="eastAsia"/>
          <w:b/>
          <w:kern w:val="2"/>
          <w:sz w:val="21"/>
          <w:szCs w:val="21"/>
          <w:lang w:eastAsia="zh-CN"/>
        </w:rPr>
        <w:t>”指标项为重要参数，负偏离时依相关评分准则内容作重点扣分处理。</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01"/>
        <w:gridCol w:w="1705"/>
        <w:gridCol w:w="655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97"/>
          <w:jc w:val="center"/>
        </w:trPr>
        <w:tc>
          <w:tcPr>
            <w:tcW w:w="61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
                <w:bCs/>
                <w:sz w:val="21"/>
                <w:szCs w:val="21"/>
              </w:rPr>
            </w:pPr>
            <w:r>
              <w:rPr>
                <w:rFonts w:ascii="宋体" w:eastAsia="宋体" w:hAnsi="宋体" w:cs="宋体" w:hint="eastAsia"/>
                <w:b/>
                <w:bCs/>
                <w:sz w:val="21"/>
                <w:szCs w:val="21"/>
              </w:rPr>
              <w:t>序号</w:t>
            </w:r>
          </w:p>
        </w:tc>
        <w:tc>
          <w:tcPr>
            <w:tcW w:w="1743"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
                <w:bCs/>
                <w:sz w:val="21"/>
                <w:szCs w:val="21"/>
              </w:rPr>
            </w:pPr>
            <w:r>
              <w:rPr>
                <w:rFonts w:ascii="宋体" w:eastAsia="宋体" w:hAnsi="宋体" w:cs="宋体" w:hint="eastAsia"/>
                <w:b/>
                <w:bCs/>
                <w:sz w:val="21"/>
                <w:szCs w:val="21"/>
              </w:rPr>
              <w:t>目录</w:t>
            </w:r>
          </w:p>
        </w:tc>
        <w:tc>
          <w:tcPr>
            <w:tcW w:w="6714"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
                <w:bCs/>
                <w:sz w:val="21"/>
                <w:szCs w:val="21"/>
              </w:rPr>
            </w:pPr>
            <w:r>
              <w:rPr>
                <w:rFonts w:ascii="宋体" w:eastAsia="宋体" w:hAnsi="宋体" w:cs="宋体" w:hint="eastAsia"/>
                <w:b/>
                <w:bCs/>
                <w:sz w:val="21"/>
                <w:szCs w:val="21"/>
              </w:rPr>
              <w:t>招标商务需求</w:t>
            </w:r>
          </w:p>
        </w:tc>
      </w:tr>
      <w:tr>
        <w:tblPrEx>
          <w:tblW w:w="5000" w:type="pct"/>
          <w:jc w:val="center"/>
          <w:tblLayout w:type="fixed"/>
          <w:tblCellMar>
            <w:top w:w="0" w:type="dxa"/>
            <w:left w:w="108" w:type="dxa"/>
            <w:bottom w:w="0" w:type="dxa"/>
            <w:right w:w="108" w:type="dxa"/>
          </w:tblCellMar>
        </w:tblPrEx>
        <w:trPr>
          <w:trHeight w:val="350"/>
          <w:jc w:val="center"/>
        </w:trPr>
        <w:tc>
          <w:tcPr>
            <w:tcW w:w="61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rPr>
            </w:pPr>
            <w:r>
              <w:rPr>
                <w:rFonts w:ascii="宋体" w:eastAsia="宋体" w:hAnsi="宋体" w:cs="宋体" w:hint="eastAsia"/>
                <w:bCs/>
                <w:sz w:val="21"/>
                <w:szCs w:val="21"/>
              </w:rPr>
              <w:t>1</w:t>
            </w:r>
          </w:p>
        </w:tc>
        <w:tc>
          <w:tcPr>
            <w:tcW w:w="1743"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rPr>
            </w:pPr>
            <w:r>
              <w:rPr>
                <w:rFonts w:ascii="宋体" w:eastAsia="宋体" w:hAnsi="宋体" w:cs="宋体" w:hint="eastAsia"/>
                <w:bCs/>
                <w:sz w:val="21"/>
                <w:szCs w:val="21"/>
              </w:rPr>
              <w:t>关于交货</w:t>
            </w:r>
          </w:p>
        </w:tc>
        <w:tc>
          <w:tcPr>
            <w:tcW w:w="6714"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textAlignment w:val="auto"/>
              <w:rPr>
                <w:rFonts w:ascii="宋体" w:eastAsia="宋体" w:hAnsi="宋体" w:cs="宋体" w:hint="eastAsia"/>
                <w:sz w:val="21"/>
                <w:szCs w:val="21"/>
              </w:rPr>
            </w:pPr>
            <w:r>
              <w:rPr>
                <w:rFonts w:ascii="宋体" w:eastAsia="宋体" w:hAnsi="宋体" w:cs="宋体" w:hint="eastAsia"/>
                <w:b/>
                <w:sz w:val="21"/>
                <w:szCs w:val="21"/>
              </w:rPr>
              <w:t>★</w:t>
            </w:r>
            <w:r>
              <w:rPr>
                <w:rFonts w:ascii="宋体" w:eastAsia="宋体" w:hAnsi="宋体" w:cs="宋体" w:hint="eastAsia"/>
                <w:sz w:val="21"/>
                <w:szCs w:val="21"/>
              </w:rPr>
              <w:t>1.1交货期</w:t>
            </w:r>
            <w:r>
              <w:rPr>
                <w:rFonts w:ascii="宋体" w:eastAsia="宋体" w:hAnsi="宋体" w:cs="宋体" w:hint="eastAsia"/>
                <w:sz w:val="21"/>
                <w:szCs w:val="21"/>
                <w:lang w:eastAsia="zh-CN"/>
              </w:rPr>
              <w:t>：根据采购单位需求，中标方按各自承诺配送时效交货</w:t>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1.2交货地点：采购人指定地点。</w:t>
            </w:r>
          </w:p>
        </w:tc>
      </w:tr>
      <w:tr>
        <w:tblPrEx>
          <w:tblW w:w="5000" w:type="pct"/>
          <w:jc w:val="center"/>
          <w:tblLayout w:type="fixed"/>
          <w:tblCellMar>
            <w:top w:w="0" w:type="dxa"/>
            <w:left w:w="108" w:type="dxa"/>
            <w:bottom w:w="0" w:type="dxa"/>
            <w:right w:w="108" w:type="dxa"/>
          </w:tblCellMar>
        </w:tblPrEx>
        <w:trPr>
          <w:trHeight w:val="350"/>
          <w:jc w:val="center"/>
        </w:trPr>
        <w:tc>
          <w:tcPr>
            <w:tcW w:w="61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rPr>
            </w:pPr>
            <w:r>
              <w:rPr>
                <w:rFonts w:ascii="宋体" w:eastAsia="宋体" w:hAnsi="宋体" w:cs="宋体" w:hint="eastAsia"/>
                <w:bCs/>
                <w:sz w:val="21"/>
                <w:szCs w:val="21"/>
              </w:rPr>
              <w:t>2</w:t>
            </w:r>
          </w:p>
        </w:tc>
        <w:tc>
          <w:tcPr>
            <w:tcW w:w="174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rPr>
            </w:pPr>
            <w:r>
              <w:rPr>
                <w:rFonts w:ascii="宋体" w:eastAsia="宋体" w:hAnsi="宋体" w:cs="宋体" w:hint="eastAsia"/>
                <w:bCs/>
                <w:sz w:val="21"/>
                <w:szCs w:val="21"/>
              </w:rPr>
              <w:t>关于验收</w:t>
            </w:r>
          </w:p>
        </w:tc>
        <w:tc>
          <w:tcPr>
            <w:tcW w:w="6714" w:type="dxa"/>
            <w:noWrap w:val="0"/>
            <w:vAlign w:val="center"/>
          </w:tcPr>
          <w:p>
            <w:pPr>
              <w:keepNext w:val="0"/>
              <w:keepLines w:val="0"/>
              <w:pageBreakBefore w:val="0"/>
              <w:widowControl w:val="0"/>
              <w:numPr>
                <w:ilvl w:val="0"/>
                <w:numId w:val="0"/>
              </w:numPr>
              <w:tabs>
                <w:tab w:val="left" w:pos="851"/>
              </w:tabs>
              <w:kinsoku/>
              <w:wordWrap/>
              <w:overflowPunct/>
              <w:topLinePunct w:val="0"/>
              <w:autoSpaceDE/>
              <w:autoSpaceDN/>
              <w:bidi w:val="0"/>
              <w:adjustRightInd/>
              <w:snapToGrid/>
              <w:spacing w:line="400" w:lineRule="exact"/>
              <w:ind w:left="0" w:firstLine="0" w:leftChars="0"/>
              <w:textAlignment w:val="auto"/>
              <w:rPr>
                <w:rFonts w:ascii="宋体" w:eastAsia="宋体" w:hAnsi="宋体" w:cs="宋体" w:hint="eastAsia"/>
                <w:bCs/>
                <w:sz w:val="21"/>
                <w:szCs w:val="21"/>
              </w:rPr>
            </w:pPr>
            <w:r>
              <w:rPr>
                <w:rFonts w:ascii="宋体" w:eastAsia="宋体" w:hAnsi="宋体" w:cs="宋体" w:hint="eastAsia"/>
                <w:sz w:val="21"/>
                <w:szCs w:val="21"/>
                <w:lang w:eastAsia="zh-CN"/>
              </w:rPr>
              <w:t>2.1投标人货物经过双方检验认可后，签署货物移交，产品保修期自验收合格之日起算，由投标人提供产品保修文件。</w:t>
            </w:r>
          </w:p>
        </w:tc>
      </w:tr>
      <w:tr>
        <w:tblPrEx>
          <w:tblW w:w="5000" w:type="pct"/>
          <w:jc w:val="center"/>
          <w:tblLayout w:type="fixed"/>
          <w:tblCellMar>
            <w:top w:w="0" w:type="dxa"/>
            <w:left w:w="108" w:type="dxa"/>
            <w:bottom w:w="0" w:type="dxa"/>
            <w:right w:w="108" w:type="dxa"/>
          </w:tblCellMar>
        </w:tblPrEx>
        <w:trPr>
          <w:trHeight w:val="350"/>
          <w:jc w:val="center"/>
        </w:trPr>
        <w:tc>
          <w:tcPr>
            <w:tcW w:w="610" w:type="dxa"/>
            <w:vMerg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rPr>
            </w:pPr>
          </w:p>
        </w:tc>
        <w:tc>
          <w:tcPr>
            <w:tcW w:w="1743" w:type="dxa"/>
            <w:vMerg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textAlignment w:val="auto"/>
              <w:rPr>
                <w:rFonts w:ascii="宋体" w:eastAsia="宋体" w:hAnsi="宋体" w:cs="宋体" w:hint="eastAsia"/>
                <w:bCs/>
                <w:sz w:val="21"/>
                <w:szCs w:val="21"/>
              </w:rPr>
            </w:pPr>
          </w:p>
        </w:tc>
        <w:tc>
          <w:tcPr>
            <w:tcW w:w="671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eastAsia="宋体" w:hAnsi="宋体" w:cs="宋体" w:hint="eastAsia"/>
                <w:sz w:val="21"/>
                <w:szCs w:val="21"/>
              </w:rPr>
            </w:pPr>
            <w:r>
              <w:rPr>
                <w:rFonts w:ascii="宋体" w:eastAsia="宋体" w:hAnsi="宋体" w:cs="宋体" w:hint="eastAsia"/>
                <w:sz w:val="21"/>
                <w:szCs w:val="21"/>
              </w:rPr>
              <w:t>2.2当满足以下条件时，采购人才向中标人签发货物验收报告：</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eastAsia="宋体" w:hAnsi="宋体" w:cs="宋体" w:hint="eastAsia"/>
                <w:sz w:val="21"/>
                <w:szCs w:val="21"/>
              </w:rPr>
            </w:pPr>
            <w:r>
              <w:rPr>
                <w:rFonts w:ascii="宋体" w:eastAsia="宋体" w:hAnsi="宋体" w:cs="宋体" w:hint="eastAsia"/>
                <w:sz w:val="21"/>
                <w:szCs w:val="21"/>
              </w:rPr>
              <w:t>a、中标人已按照合同规定提供了全部产品及完整的技术资料。</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eastAsia="宋体" w:hAnsi="宋体" w:cs="宋体" w:hint="eastAsia"/>
                <w:sz w:val="21"/>
                <w:szCs w:val="21"/>
              </w:rPr>
            </w:pPr>
            <w:r>
              <w:rPr>
                <w:rFonts w:ascii="宋体" w:eastAsia="宋体" w:hAnsi="宋体" w:cs="宋体" w:hint="eastAsia"/>
                <w:sz w:val="21"/>
                <w:szCs w:val="21"/>
              </w:rPr>
              <w:t>b、货物符合招标文件技术规格书的要求，性能满足要求。</w:t>
            </w:r>
          </w:p>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textAlignment w:val="auto"/>
              <w:rPr>
                <w:rFonts w:ascii="宋体" w:eastAsia="宋体" w:hAnsi="宋体" w:cs="宋体" w:hint="eastAsia"/>
                <w:bCs/>
                <w:sz w:val="21"/>
                <w:szCs w:val="21"/>
              </w:rPr>
            </w:pPr>
            <w:r>
              <w:rPr>
                <w:rFonts w:ascii="宋体" w:eastAsia="宋体" w:hAnsi="宋体" w:cs="宋体" w:hint="eastAsia"/>
                <w:sz w:val="21"/>
                <w:szCs w:val="21"/>
              </w:rPr>
              <w:t>c、货物具备产品合格证。</w:t>
            </w:r>
          </w:p>
        </w:tc>
      </w:tr>
      <w:tr>
        <w:tblPrEx>
          <w:tblW w:w="5000" w:type="pct"/>
          <w:jc w:val="center"/>
          <w:tblLayout w:type="fixed"/>
          <w:tblCellMar>
            <w:top w:w="0" w:type="dxa"/>
            <w:left w:w="108" w:type="dxa"/>
            <w:bottom w:w="0" w:type="dxa"/>
            <w:right w:w="108" w:type="dxa"/>
          </w:tblCellMar>
        </w:tblPrEx>
        <w:trPr>
          <w:trHeight w:val="350"/>
          <w:jc w:val="center"/>
        </w:trPr>
        <w:tc>
          <w:tcPr>
            <w:tcW w:w="61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lang w:eastAsia="zh-CN"/>
              </w:rPr>
            </w:pPr>
            <w:r>
              <w:rPr>
                <w:rFonts w:ascii="宋体" w:eastAsia="宋体" w:hAnsi="宋体" w:cs="宋体" w:hint="eastAsia"/>
                <w:bCs/>
                <w:sz w:val="21"/>
                <w:szCs w:val="21"/>
                <w:lang w:eastAsia="zh-CN"/>
              </w:rPr>
              <w:t>3</w:t>
            </w:r>
          </w:p>
        </w:tc>
        <w:tc>
          <w:tcPr>
            <w:tcW w:w="1743" w:type="dxa"/>
            <w:vMerge w:val="restart"/>
            <w:noWrap w:val="0"/>
            <w:vAlign w:val="center"/>
          </w:tcPr>
          <w:p>
            <w:pPr>
              <w:keepNext w:val="0"/>
              <w:keepLines w:val="0"/>
              <w:pageBreakBefore w:val="0"/>
              <w:widowControl w:val="0"/>
              <w:numPr>
                <w:ilvl w:val="0"/>
                <w:numId w:val="0"/>
              </w:numPr>
              <w:tabs>
                <w:tab w:val="left" w:pos="851"/>
              </w:tabs>
              <w:kinsoku/>
              <w:wordWrap/>
              <w:overflowPunct/>
              <w:topLinePunct w:val="0"/>
              <w:autoSpaceDE/>
              <w:autoSpaceDN/>
              <w:bidi w:val="0"/>
              <w:adjustRightInd/>
              <w:snapToGrid/>
              <w:spacing w:line="400" w:lineRule="exact"/>
              <w:ind w:left="0" w:firstLine="0" w:leftChars="0"/>
              <w:textAlignment w:val="auto"/>
              <w:rPr>
                <w:rFonts w:ascii="宋体" w:eastAsia="宋体" w:hAnsi="宋体" w:cs="宋体" w:hint="eastAsia"/>
                <w:bCs/>
                <w:sz w:val="21"/>
                <w:szCs w:val="21"/>
              </w:rPr>
            </w:pPr>
            <w:r>
              <w:rPr>
                <w:rFonts w:ascii="宋体" w:eastAsia="宋体" w:hAnsi="宋体" w:cs="宋体" w:hint="eastAsia"/>
                <w:bCs/>
                <w:sz w:val="21"/>
                <w:szCs w:val="21"/>
              </w:rPr>
              <w:t>售后服务要求</w:t>
            </w:r>
          </w:p>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rPr>
            </w:pPr>
          </w:p>
        </w:tc>
        <w:tc>
          <w:tcPr>
            <w:tcW w:w="6714" w:type="dxa"/>
            <w:noWrap w:val="0"/>
            <w:vAlign w:val="center"/>
          </w:tcPr>
          <w:p>
            <w:pPr>
              <w:keepNext w:val="0"/>
              <w:keepLines w:val="0"/>
              <w:pageBreakBefore w:val="0"/>
              <w:widowControl w:val="0"/>
              <w:numPr>
                <w:ilvl w:val="0"/>
                <w:numId w:val="0"/>
              </w:numPr>
              <w:tabs>
                <w:tab w:val="left" w:pos="851"/>
              </w:tabs>
              <w:kinsoku/>
              <w:wordWrap/>
              <w:overflowPunct/>
              <w:topLinePunct w:val="0"/>
              <w:autoSpaceDE/>
              <w:autoSpaceDN/>
              <w:bidi w:val="0"/>
              <w:adjustRightInd/>
              <w:snapToGrid/>
              <w:spacing w:beforeAutospacing="0" w:afterAutospacing="0" w:line="400" w:lineRule="exact"/>
              <w:ind w:left="0" w:right="0" w:firstLine="0" w:leftChars="0" w:rightChars="0"/>
              <w:textAlignment w:val="auto"/>
              <w:rPr>
                <w:rFonts w:ascii="宋体" w:eastAsia="宋体" w:hAnsi="宋体" w:cs="宋体" w:hint="eastAsia"/>
                <w:bCs/>
                <w:kern w:val="2"/>
                <w:sz w:val="21"/>
                <w:szCs w:val="21"/>
                <w:lang w:eastAsia="zh-CN"/>
              </w:rPr>
            </w:pPr>
            <w:r>
              <w:rPr>
                <w:rFonts w:ascii="宋体" w:eastAsia="宋体" w:hAnsi="宋体" w:cs="宋体" w:hint="eastAsia"/>
                <w:b/>
                <w:sz w:val="21"/>
                <w:szCs w:val="21"/>
              </w:rPr>
              <w:t>★</w:t>
            </w:r>
            <w:r>
              <w:rPr>
                <w:rFonts w:ascii="宋体" w:eastAsia="宋体" w:hAnsi="宋体" w:cs="宋体" w:hint="eastAsia"/>
                <w:bCs/>
                <w:kern w:val="2"/>
                <w:sz w:val="21"/>
                <w:szCs w:val="21"/>
                <w:lang w:eastAsia="zh-CN"/>
              </w:rPr>
              <w:t>3.1货物自交货验收合格之日起质保为1年。如采购方在收到货物后一个月内发现质量问题，中标方必须无条件换货。</w:t>
            </w:r>
          </w:p>
        </w:tc>
      </w:tr>
      <w:tr>
        <w:tblPrEx>
          <w:tblW w:w="5000" w:type="pct"/>
          <w:jc w:val="center"/>
          <w:tblLayout w:type="fixed"/>
          <w:tblCellMar>
            <w:top w:w="0" w:type="dxa"/>
            <w:left w:w="108" w:type="dxa"/>
            <w:bottom w:w="0" w:type="dxa"/>
            <w:right w:w="108" w:type="dxa"/>
          </w:tblCellMar>
        </w:tblPrEx>
        <w:trPr>
          <w:trHeight w:val="350"/>
          <w:jc w:val="center"/>
        </w:trPr>
        <w:tc>
          <w:tcPr>
            <w:tcW w:w="610" w:type="dxa"/>
            <w:vMerg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lang w:eastAsia="zh-CN"/>
              </w:rPr>
            </w:pPr>
          </w:p>
        </w:tc>
        <w:tc>
          <w:tcPr>
            <w:tcW w:w="1743" w:type="dxa"/>
            <w:vMerg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rPr>
            </w:pPr>
          </w:p>
        </w:tc>
        <w:tc>
          <w:tcPr>
            <w:tcW w:w="6714" w:type="dxa"/>
            <w:noWrap w:val="0"/>
            <w:vAlign w:val="center"/>
          </w:tcPr>
          <w:p>
            <w:pPr>
              <w:keepNext w:val="0"/>
              <w:keepLines w:val="0"/>
              <w:pageBreakBefore w:val="0"/>
              <w:widowControl w:val="0"/>
              <w:numPr>
                <w:ilvl w:val="0"/>
                <w:numId w:val="0"/>
              </w:numPr>
              <w:tabs>
                <w:tab w:val="left" w:pos="851"/>
              </w:tabs>
              <w:kinsoku/>
              <w:wordWrap/>
              <w:overflowPunct/>
              <w:topLinePunct w:val="0"/>
              <w:autoSpaceDE/>
              <w:autoSpaceDN/>
              <w:bidi w:val="0"/>
              <w:adjustRightInd/>
              <w:snapToGrid/>
              <w:spacing w:beforeAutospacing="0" w:afterAutospacing="0" w:line="400" w:lineRule="exact"/>
              <w:ind w:left="0" w:right="0" w:firstLine="0" w:leftChars="0" w:rightChars="0"/>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3.2质保期内中标人必须提供7*24小时，8小时内上门面对面服务。交货后，货物需修改、调换的须在15个工作日完成。同时，在重大事件或用户要求时，中标人必须提供不限次数及时间的免费全过程现场配合。</w:t>
            </w:r>
          </w:p>
        </w:tc>
      </w:tr>
      <w:tr>
        <w:tblPrEx>
          <w:tblW w:w="5000" w:type="pct"/>
          <w:jc w:val="center"/>
          <w:tblLayout w:type="fixed"/>
          <w:tblCellMar>
            <w:top w:w="0" w:type="dxa"/>
            <w:left w:w="108" w:type="dxa"/>
            <w:bottom w:w="0" w:type="dxa"/>
            <w:right w:w="108" w:type="dxa"/>
          </w:tblCellMar>
        </w:tblPrEx>
        <w:trPr>
          <w:trHeight w:val="350"/>
          <w:jc w:val="center"/>
        </w:trPr>
        <w:tc>
          <w:tcPr>
            <w:tcW w:w="61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lang w:eastAsia="zh-CN"/>
              </w:rPr>
            </w:pPr>
            <w:r>
              <w:rPr>
                <w:rFonts w:ascii="宋体" w:eastAsia="宋体" w:hAnsi="宋体" w:cs="宋体" w:hint="eastAsia"/>
                <w:bCs/>
                <w:sz w:val="21"/>
                <w:szCs w:val="21"/>
                <w:lang w:eastAsia="zh-CN"/>
              </w:rPr>
              <w:t>4</w:t>
            </w:r>
          </w:p>
        </w:tc>
        <w:tc>
          <w:tcPr>
            <w:tcW w:w="174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rPr>
            </w:pPr>
            <w:r>
              <w:rPr>
                <w:rFonts w:ascii="宋体" w:eastAsia="宋体" w:hAnsi="宋体" w:cs="宋体" w:hint="eastAsia"/>
                <w:bCs/>
                <w:sz w:val="21"/>
                <w:szCs w:val="21"/>
              </w:rPr>
              <w:t>违约责任</w:t>
            </w:r>
          </w:p>
        </w:tc>
        <w:tc>
          <w:tcPr>
            <w:tcW w:w="6714"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textAlignment w:val="auto"/>
              <w:rPr>
                <w:rFonts w:ascii="宋体" w:eastAsia="宋体" w:hAnsi="宋体" w:cs="宋体" w:hint="eastAsia"/>
                <w:bCs/>
                <w:sz w:val="21"/>
                <w:szCs w:val="21"/>
              </w:rPr>
            </w:pPr>
            <w:r>
              <w:rPr>
                <w:rFonts w:ascii="宋体" w:eastAsia="宋体" w:hAnsi="宋体" w:cs="宋体" w:hint="eastAsia"/>
                <w:sz w:val="21"/>
                <w:szCs w:val="21"/>
              </w:rPr>
              <w:t>3.1如中标人未按照投标文件中承诺的时间交货或提供服务，中标人应承担延期交货和延期服务的违约责任，并赔偿采购人因此造成的实际经济损失。</w:t>
            </w:r>
          </w:p>
        </w:tc>
      </w:tr>
      <w:tr>
        <w:tblPrEx>
          <w:tblW w:w="5000" w:type="pct"/>
          <w:jc w:val="center"/>
          <w:tblLayout w:type="fixed"/>
          <w:tblCellMar>
            <w:top w:w="0" w:type="dxa"/>
            <w:left w:w="108" w:type="dxa"/>
            <w:bottom w:w="0" w:type="dxa"/>
            <w:right w:w="108" w:type="dxa"/>
          </w:tblCellMar>
        </w:tblPrEx>
        <w:trPr>
          <w:trHeight w:val="350"/>
          <w:jc w:val="center"/>
        </w:trPr>
        <w:tc>
          <w:tcPr>
            <w:tcW w:w="610" w:type="dxa"/>
            <w:vMerg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rPr>
            </w:pPr>
          </w:p>
        </w:tc>
        <w:tc>
          <w:tcPr>
            <w:tcW w:w="1743" w:type="dxa"/>
            <w:vMerg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rPr>
            </w:pPr>
          </w:p>
        </w:tc>
        <w:tc>
          <w:tcPr>
            <w:tcW w:w="6714"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textAlignment w:val="auto"/>
              <w:rPr>
                <w:rFonts w:ascii="宋体" w:eastAsia="宋体" w:hAnsi="宋体" w:cs="宋体" w:hint="eastAsia"/>
                <w:bCs/>
                <w:sz w:val="21"/>
                <w:szCs w:val="21"/>
              </w:rPr>
            </w:pPr>
            <w:r>
              <w:rPr>
                <w:rFonts w:ascii="宋体" w:eastAsia="宋体" w:hAnsi="宋体" w:cs="宋体" w:hint="eastAsia"/>
                <w:bCs/>
                <w:sz w:val="21"/>
                <w:szCs w:val="21"/>
              </w:rPr>
              <w:t>3.2中标人所交设备的品种、型号、规格、质量、功能、技术参数等方面不能实质性满足招标文件要求的，采购人有权拒绝收货，中标人向采购人偿付项目采购金额</w:t>
            </w:r>
            <w:r>
              <w:rPr>
                <w:rFonts w:ascii="宋体" w:eastAsia="宋体" w:hAnsi="宋体" w:cs="宋体" w:hint="eastAsia"/>
                <w:bCs/>
                <w:sz w:val="21"/>
                <w:szCs w:val="21"/>
                <w:lang w:eastAsia="zh-CN"/>
              </w:rPr>
              <w:t>10</w:t>
            </w:r>
            <w:r>
              <w:rPr>
                <w:rFonts w:ascii="宋体" w:eastAsia="宋体" w:hAnsi="宋体" w:cs="宋体" w:hint="eastAsia"/>
                <w:bCs/>
                <w:sz w:val="21"/>
                <w:szCs w:val="21"/>
              </w:rPr>
              <w:t xml:space="preserve">% 的违约金；造成严重后果的，根据《深圳经济特区政府采购条例》第五十七条第（二）款规定，由主管部门对中标人进行处罚。  </w:t>
            </w:r>
          </w:p>
        </w:tc>
      </w:tr>
      <w:tr>
        <w:tblPrEx>
          <w:tblW w:w="5000" w:type="pct"/>
          <w:jc w:val="center"/>
          <w:tblLayout w:type="fixed"/>
          <w:tblCellMar>
            <w:top w:w="0" w:type="dxa"/>
            <w:left w:w="108" w:type="dxa"/>
            <w:bottom w:w="0" w:type="dxa"/>
            <w:right w:w="108" w:type="dxa"/>
          </w:tblCellMar>
        </w:tblPrEx>
        <w:trPr>
          <w:trHeight w:val="350"/>
          <w:jc w:val="center"/>
        </w:trPr>
        <w:tc>
          <w:tcPr>
            <w:tcW w:w="610" w:type="dxa"/>
            <w:vMerg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rPr>
            </w:pPr>
          </w:p>
        </w:tc>
        <w:tc>
          <w:tcPr>
            <w:tcW w:w="1743" w:type="dxa"/>
            <w:vMerg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rPr>
            </w:pPr>
          </w:p>
        </w:tc>
        <w:tc>
          <w:tcPr>
            <w:tcW w:w="6714"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textAlignment w:val="auto"/>
              <w:rPr>
                <w:rFonts w:ascii="宋体" w:eastAsia="宋体" w:hAnsi="宋体" w:cs="宋体" w:hint="eastAsia"/>
                <w:bCs/>
                <w:sz w:val="21"/>
                <w:szCs w:val="21"/>
              </w:rPr>
            </w:pPr>
            <w:r>
              <w:rPr>
                <w:rFonts w:ascii="宋体" w:eastAsia="宋体" w:hAnsi="宋体" w:cs="宋体" w:hint="eastAsia"/>
                <w:bCs/>
                <w:sz w:val="21"/>
                <w:szCs w:val="21"/>
              </w:rPr>
              <w:t>3.3中标人不能交付</w:t>
            </w:r>
            <w:r>
              <w:rPr>
                <w:rFonts w:ascii="宋体" w:eastAsia="宋体" w:hAnsi="宋体" w:cs="宋体" w:hint="eastAsia"/>
                <w:bCs/>
                <w:sz w:val="21"/>
                <w:szCs w:val="21"/>
                <w:lang w:eastAsia="zh-CN"/>
              </w:rPr>
              <w:t>货物</w:t>
            </w:r>
            <w:r>
              <w:rPr>
                <w:rFonts w:ascii="宋体" w:eastAsia="宋体" w:hAnsi="宋体" w:cs="宋体" w:hint="eastAsia"/>
                <w:bCs/>
                <w:sz w:val="21"/>
                <w:szCs w:val="21"/>
              </w:rPr>
              <w:t>的，中标人向采购人偿付项目采购金额</w:t>
            </w:r>
            <w:r>
              <w:rPr>
                <w:rFonts w:ascii="宋体" w:eastAsia="宋体" w:hAnsi="宋体" w:cs="宋体" w:hint="eastAsia"/>
                <w:bCs/>
                <w:sz w:val="21"/>
                <w:szCs w:val="21"/>
                <w:lang w:eastAsia="zh-CN"/>
              </w:rPr>
              <w:t>10%</w:t>
            </w:r>
            <w:r>
              <w:rPr>
                <w:rFonts w:ascii="宋体" w:eastAsia="宋体" w:hAnsi="宋体" w:cs="宋体" w:hint="eastAsia"/>
                <w:bCs/>
                <w:sz w:val="21"/>
                <w:szCs w:val="21"/>
              </w:rPr>
              <w:t xml:space="preserve">的违约金并按主管部门相关规定处理。 </w:t>
            </w:r>
          </w:p>
        </w:tc>
      </w:tr>
      <w:tr>
        <w:tblPrEx>
          <w:tblW w:w="5000" w:type="pct"/>
          <w:jc w:val="center"/>
          <w:tblLayout w:type="fixed"/>
          <w:tblCellMar>
            <w:top w:w="0" w:type="dxa"/>
            <w:left w:w="108" w:type="dxa"/>
            <w:bottom w:w="0" w:type="dxa"/>
            <w:right w:w="108" w:type="dxa"/>
          </w:tblCellMar>
        </w:tblPrEx>
        <w:trPr>
          <w:trHeight w:val="350"/>
          <w:jc w:val="center"/>
        </w:trPr>
        <w:tc>
          <w:tcPr>
            <w:tcW w:w="610" w:type="dxa"/>
            <w:vMerg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rPr>
            </w:pPr>
          </w:p>
        </w:tc>
        <w:tc>
          <w:tcPr>
            <w:tcW w:w="1743" w:type="dxa"/>
            <w:vMerg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textAlignment w:val="auto"/>
              <w:rPr>
                <w:rFonts w:ascii="宋体" w:eastAsia="宋体" w:hAnsi="宋体" w:cs="宋体" w:hint="eastAsia"/>
                <w:bCs/>
                <w:sz w:val="21"/>
                <w:szCs w:val="21"/>
              </w:rPr>
            </w:pPr>
          </w:p>
        </w:tc>
        <w:tc>
          <w:tcPr>
            <w:tcW w:w="6714"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textAlignment w:val="auto"/>
              <w:rPr>
                <w:rFonts w:ascii="宋体" w:eastAsia="宋体" w:hAnsi="宋体" w:cs="宋体" w:hint="eastAsia"/>
                <w:sz w:val="21"/>
                <w:szCs w:val="21"/>
              </w:rPr>
            </w:pPr>
            <w:r>
              <w:rPr>
                <w:rFonts w:ascii="宋体" w:eastAsia="宋体" w:hAnsi="宋体" w:cs="宋体" w:hint="eastAsia"/>
                <w:bCs/>
                <w:sz w:val="21"/>
                <w:szCs w:val="21"/>
              </w:rPr>
              <w:t>3.4在中标人承诺的或国家规定的质量保证期内（取两者中最长的期限），如经中标人两次维修或更换，货物仍不能达到招标文件要求及投标文件承诺的质量标准，采购人有权退货，中标人应退回全部货款并赔偿采购人因此遭受的损失。</w:t>
            </w:r>
          </w:p>
        </w:tc>
      </w:tr>
      <w:tr>
        <w:tblPrEx>
          <w:tblW w:w="5000" w:type="pct"/>
          <w:jc w:val="center"/>
          <w:tblLayout w:type="fixed"/>
          <w:tblCellMar>
            <w:top w:w="0" w:type="dxa"/>
            <w:left w:w="108" w:type="dxa"/>
            <w:bottom w:w="0" w:type="dxa"/>
            <w:right w:w="108" w:type="dxa"/>
          </w:tblCellMar>
        </w:tblPrEx>
        <w:trPr>
          <w:trHeight w:val="350"/>
          <w:jc w:val="center"/>
        </w:trPr>
        <w:tc>
          <w:tcPr>
            <w:tcW w:w="610" w:type="dxa"/>
            <w:vMerg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jc w:val="center"/>
              <w:textAlignment w:val="auto"/>
              <w:rPr>
                <w:rFonts w:ascii="宋体" w:eastAsia="宋体" w:hAnsi="宋体" w:cs="宋体" w:hint="eastAsia"/>
                <w:bCs/>
                <w:sz w:val="21"/>
                <w:szCs w:val="21"/>
              </w:rPr>
            </w:pPr>
          </w:p>
        </w:tc>
        <w:tc>
          <w:tcPr>
            <w:tcW w:w="1743" w:type="dxa"/>
            <w:vMerg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textAlignment w:val="auto"/>
              <w:rPr>
                <w:rFonts w:ascii="宋体" w:eastAsia="宋体" w:hAnsi="宋体" w:cs="宋体" w:hint="eastAsia"/>
                <w:bCs/>
                <w:sz w:val="21"/>
                <w:szCs w:val="21"/>
              </w:rPr>
            </w:pPr>
          </w:p>
        </w:tc>
        <w:tc>
          <w:tcPr>
            <w:tcW w:w="6714"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right="0" w:firstLine="0" w:leftChars="0" w:firstLineChars="0"/>
              <w:textAlignment w:val="auto"/>
              <w:rPr>
                <w:rFonts w:ascii="宋体" w:eastAsia="宋体" w:hAnsi="宋体" w:cs="宋体" w:hint="eastAsia"/>
                <w:sz w:val="21"/>
                <w:szCs w:val="21"/>
              </w:rPr>
            </w:pPr>
            <w:r>
              <w:rPr>
                <w:rFonts w:ascii="宋体" w:eastAsia="宋体" w:hAnsi="宋体" w:cs="宋体" w:hint="eastAsia"/>
                <w:bCs/>
                <w:sz w:val="21"/>
                <w:szCs w:val="21"/>
              </w:rPr>
              <w:t>3.5中标人在承担上述一项或多项违约责任后，仍应继续履行合同规定的义务（采购人解除合同的除外）。采购人未能及时追究中标人的任何一项违约责任并不表明采购人放弃追究中标人该项或其他违约责任。</w:t>
            </w:r>
          </w:p>
        </w:tc>
      </w:tr>
    </w:tbl>
    <w:p>
      <w:pPr>
        <w:widowControl w:val="0"/>
        <w:ind w:firstLine="420" w:firstLineChars="200"/>
        <w:jc w:val="both"/>
        <w:rPr>
          <w:rFonts w:ascii="Calibri" w:eastAsia="宋体" w:hAnsi="Calibri" w:hint="eastAsia"/>
          <w:b/>
          <w:kern w:val="2"/>
          <w:sz w:val="21"/>
          <w:szCs w:val="21"/>
          <w:lang w:eastAsia="zh-CN"/>
        </w:rPr>
      </w:pPr>
    </w:p>
    <w:p>
      <w:pPr>
        <w:widowControl w:val="0"/>
        <w:ind w:firstLine="420" w:firstLineChars="200"/>
        <w:jc w:val="both"/>
        <w:rPr>
          <w:rFonts w:ascii="Calibri" w:eastAsia="宋体" w:hAnsi="Calibri" w:hint="eastAsia"/>
          <w:b/>
          <w:kern w:val="2"/>
          <w:sz w:val="21"/>
          <w:szCs w:val="21"/>
          <w:lang w:eastAsia="zh-CN"/>
        </w:rPr>
      </w:pPr>
    </w:p>
    <w:p>
      <w:pPr>
        <w:widowControl w:val="0"/>
        <w:ind w:firstLine="420" w:firstLineChars="200"/>
        <w:jc w:val="both"/>
        <w:rPr>
          <w:rFonts w:ascii="Calibri" w:eastAsia="宋体" w:hAnsi="Calibri" w:hint="eastAsia"/>
          <w:b/>
          <w:kern w:val="2"/>
          <w:sz w:val="21"/>
          <w:szCs w:val="21"/>
          <w:lang w:eastAsia="zh-CN"/>
        </w:rPr>
      </w:pPr>
    </w:p>
    <w:p>
      <w:pPr>
        <w:keepNext/>
        <w:keepLines/>
        <w:widowControl w:val="0"/>
        <w:spacing w:before="120" w:beforeLines="50" w:after="120" w:afterLines="50" w:line="416" w:lineRule="auto"/>
        <w:jc w:val="center"/>
        <w:outlineLvl w:val="2"/>
        <w:rPr>
          <w:rFonts w:ascii="宋体" w:eastAsia="宋体" w:hAnsi="宋体"/>
          <w:b/>
          <w:bCs/>
          <w:kern w:val="2"/>
          <w:sz w:val="28"/>
          <w:szCs w:val="28"/>
          <w:lang w:eastAsia="zh-CN"/>
        </w:rPr>
      </w:pPr>
      <w:r>
        <w:rPr>
          <w:rFonts w:ascii="宋体" w:eastAsia="宋体" w:hAnsi="宋体" w:cstheme="minorBidi" w:hint="eastAsia"/>
          <w:b/>
          <w:bCs/>
          <w:kern w:val="2"/>
          <w:sz w:val="28"/>
          <w:szCs w:val="28"/>
          <w:lang w:eastAsia="zh-CN"/>
        </w:rPr>
        <w:t>六、其他重要条款</w:t>
      </w:r>
    </w:p>
    <w:p>
      <w:pPr>
        <w:keepNext w:val="0"/>
        <w:keepLines w:val="0"/>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ascii="宋体" w:eastAsia="宋体" w:hAnsi="宋体" w:cs="宋体" w:hint="eastAsia"/>
          <w:caps/>
          <w:sz w:val="21"/>
          <w:szCs w:val="21"/>
        </w:rPr>
      </w:pPr>
      <w:r>
        <w:rPr>
          <w:rFonts w:ascii="宋体" w:eastAsia="宋体" w:hAnsi="宋体" w:cs="宋体" w:hint="eastAsia"/>
          <w:caps/>
          <w:sz w:val="21"/>
          <w:szCs w:val="21"/>
        </w:rPr>
        <w:t>1</w:t>
      </w:r>
      <w:r>
        <w:rPr>
          <w:rFonts w:ascii="宋体" w:eastAsia="宋体" w:hAnsi="宋体" w:cs="宋体" w:hint="eastAsia"/>
          <w:caps/>
          <w:sz w:val="21"/>
          <w:szCs w:val="21"/>
          <w:lang w:eastAsia="zh-CN"/>
        </w:rPr>
        <w:t>、</w:t>
      </w:r>
      <w:r>
        <w:rPr>
          <w:rFonts w:ascii="宋体" w:eastAsia="宋体" w:hAnsi="宋体" w:cs="宋体" w:hint="eastAsia"/>
          <w:caps/>
          <w:sz w:val="21"/>
          <w:szCs w:val="21"/>
        </w:rPr>
        <w:t>本项目投标报价采用折扣率报价方式，以“采购产品清单”</w:t>
      </w:r>
      <w:r>
        <w:rPr>
          <w:rFonts w:ascii="宋体" w:eastAsia="宋体" w:hAnsi="宋体" w:cs="宋体" w:hint="eastAsia"/>
          <w:caps/>
          <w:sz w:val="21"/>
          <w:szCs w:val="21"/>
          <w:lang w:eastAsia="zh-CN"/>
        </w:rPr>
        <w:t>中</w:t>
      </w:r>
      <w:r>
        <w:rPr>
          <w:rFonts w:ascii="宋体" w:eastAsia="宋体" w:hAnsi="宋体" w:cs="宋体" w:hint="eastAsia"/>
          <w:caps/>
          <w:sz w:val="21"/>
          <w:szCs w:val="21"/>
        </w:rPr>
        <w:t>最高限价（单价）为基准，数量以实际采购数量为准。</w:t>
      </w:r>
    </w:p>
    <w:p>
      <w:pPr>
        <w:keepNext w:val="0"/>
        <w:keepLines w:val="0"/>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ascii="宋体" w:eastAsia="宋体" w:hAnsi="宋体" w:cs="宋体" w:hint="eastAsia"/>
          <w:caps/>
          <w:sz w:val="21"/>
          <w:szCs w:val="21"/>
        </w:rPr>
      </w:pPr>
      <w:r>
        <w:rPr>
          <w:rFonts w:ascii="宋体" w:eastAsia="宋体" w:hAnsi="宋体" w:cs="宋体" w:hint="eastAsia"/>
          <w:caps/>
          <w:sz w:val="21"/>
          <w:szCs w:val="21"/>
        </w:rPr>
        <w:t>例：【如投标折扣率报价为</w:t>
      </w:r>
      <w:r>
        <w:rPr>
          <w:rFonts w:ascii="宋体" w:eastAsia="宋体" w:hAnsi="宋体" w:cs="宋体" w:hint="eastAsia"/>
          <w:caps/>
          <w:sz w:val="21"/>
          <w:szCs w:val="21"/>
          <w:lang w:eastAsia="zh-CN"/>
        </w:rPr>
        <w:t>90%</w:t>
      </w:r>
      <w:r>
        <w:rPr>
          <w:rFonts w:ascii="宋体" w:eastAsia="宋体" w:hAnsi="宋体" w:cs="宋体" w:hint="eastAsia"/>
          <w:caps/>
          <w:sz w:val="21"/>
          <w:szCs w:val="21"/>
        </w:rPr>
        <w:t>，则供货价：产品货款＝产品的基准价×</w:t>
      </w:r>
      <w:r>
        <w:rPr>
          <w:rFonts w:ascii="宋体" w:eastAsia="宋体" w:hAnsi="宋体" w:cs="宋体" w:hint="eastAsia"/>
          <w:caps/>
          <w:sz w:val="21"/>
          <w:szCs w:val="21"/>
          <w:lang w:eastAsia="zh-CN"/>
        </w:rPr>
        <w:t>90%</w:t>
      </w:r>
      <w:r>
        <w:rPr>
          <w:rFonts w:ascii="宋体" w:eastAsia="宋体" w:hAnsi="宋体" w:cs="宋体" w:hint="eastAsia"/>
          <w:caps/>
          <w:sz w:val="21"/>
          <w:szCs w:val="21"/>
        </w:rPr>
        <w:t>×实际供货量】。</w:t>
      </w:r>
    </w:p>
    <w:p>
      <w:pPr>
        <w:keepNext w:val="0"/>
        <w:keepLines w:val="0"/>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ascii="宋体" w:eastAsia="宋体" w:hAnsi="宋体" w:cs="宋体" w:hint="eastAsia"/>
          <w:caps/>
          <w:sz w:val="21"/>
          <w:szCs w:val="21"/>
        </w:rPr>
      </w:pPr>
      <w:r>
        <w:rPr>
          <w:rFonts w:ascii="宋体" w:eastAsia="宋体" w:hAnsi="宋体" w:cs="宋体" w:hint="eastAsia"/>
          <w:caps/>
          <w:sz w:val="21"/>
          <w:szCs w:val="21"/>
        </w:rPr>
        <w:t>（2）投标人报价须充分考虑企业的成本、本项目服务要求和特点，以及各种管理因素和环境条件，一旦中标不再调整投标折扣率，且不再为此增加任何费用。报价包括但不限于产品价款、包装、运输、装卸、送货、人工、保险、税费及相关售后服务及合同实施过程中不可预见费用等项目相关的一切费用。</w:t>
      </w:r>
    </w:p>
    <w:p>
      <w:pPr>
        <w:keepNext w:val="0"/>
        <w:keepLines w:val="0"/>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ascii="宋体" w:eastAsia="宋体" w:hAnsi="宋体" w:cs="宋体" w:hint="eastAsia"/>
          <w:caps/>
          <w:sz w:val="21"/>
          <w:szCs w:val="21"/>
        </w:rPr>
      </w:pPr>
      <w:r>
        <w:rPr>
          <w:rFonts w:ascii="宋体" w:eastAsia="宋体" w:hAnsi="宋体" w:cs="宋体" w:hint="eastAsia"/>
          <w:caps/>
          <w:sz w:val="21"/>
          <w:szCs w:val="21"/>
        </w:rPr>
        <w:t>（3）折扣率填写要求：</w:t>
      </w:r>
    </w:p>
    <w:p>
      <w:pPr>
        <w:keepNext w:val="0"/>
        <w:keepLines w:val="0"/>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ascii="宋体" w:eastAsia="宋体" w:hAnsi="宋体" w:cs="宋体" w:hint="eastAsia"/>
          <w:caps/>
          <w:sz w:val="21"/>
          <w:szCs w:val="21"/>
        </w:rPr>
      </w:pPr>
      <w:r>
        <w:rPr>
          <w:rFonts w:ascii="宋体" w:eastAsia="宋体" w:hAnsi="宋体" w:cs="宋体" w:hint="eastAsia"/>
          <w:caps/>
          <w:sz w:val="21"/>
          <w:szCs w:val="21"/>
        </w:rPr>
        <w:t>1）填写要求：0</w:t>
      </w:r>
      <w:r>
        <w:rPr>
          <w:rFonts w:ascii="宋体" w:eastAsia="宋体" w:hAnsi="宋体" w:cs="宋体" w:hint="eastAsia"/>
          <w:caps/>
          <w:sz w:val="21"/>
          <w:szCs w:val="21"/>
          <w:lang w:eastAsia="zh-CN"/>
        </w:rPr>
        <w:t>%</w:t>
      </w:r>
      <w:r>
        <w:rPr>
          <w:rFonts w:ascii="宋体" w:eastAsia="宋体" w:hAnsi="宋体" w:cs="宋体" w:hint="eastAsia"/>
          <w:caps/>
          <w:sz w:val="21"/>
          <w:szCs w:val="21"/>
        </w:rPr>
        <w:t>＜折扣率≤1</w:t>
      </w:r>
      <w:r>
        <w:rPr>
          <w:rFonts w:ascii="宋体" w:eastAsia="宋体" w:hAnsi="宋体" w:cs="宋体" w:hint="eastAsia"/>
          <w:caps/>
          <w:sz w:val="21"/>
          <w:szCs w:val="21"/>
          <w:lang w:eastAsia="zh-CN"/>
        </w:rPr>
        <w:t>00%</w:t>
      </w:r>
      <w:r>
        <w:rPr>
          <w:rFonts w:ascii="宋体" w:eastAsia="宋体" w:hAnsi="宋体" w:cs="宋体" w:hint="eastAsia"/>
          <w:caps/>
          <w:sz w:val="21"/>
          <w:szCs w:val="21"/>
        </w:rPr>
        <w:t>，未按此要求填写将按投标无效处理；</w:t>
      </w:r>
    </w:p>
    <w:p>
      <w:pPr>
        <w:keepNext w:val="0"/>
        <w:keepLines w:val="0"/>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ascii="宋体" w:eastAsia="宋体" w:hAnsi="宋体" w:cs="宋体" w:hint="eastAsia"/>
          <w:caps/>
          <w:sz w:val="21"/>
          <w:szCs w:val="21"/>
        </w:rPr>
      </w:pPr>
      <w:r>
        <w:rPr>
          <w:rFonts w:ascii="宋体" w:eastAsia="宋体" w:hAnsi="宋体" w:cs="宋体" w:hint="eastAsia"/>
          <w:caps/>
          <w:sz w:val="21"/>
          <w:szCs w:val="21"/>
        </w:rPr>
        <w:t>2）填写的“折扣率”只取</w:t>
      </w:r>
      <w:r>
        <w:rPr>
          <w:rFonts w:ascii="宋体" w:eastAsia="宋体" w:hAnsi="宋体" w:cs="宋体" w:hint="eastAsia"/>
          <w:caps/>
          <w:sz w:val="21"/>
          <w:szCs w:val="21"/>
          <w:lang w:eastAsia="zh-CN"/>
        </w:rPr>
        <w:t>到个位</w:t>
      </w:r>
      <w:r>
        <w:rPr>
          <w:rFonts w:ascii="宋体" w:eastAsia="宋体" w:hAnsi="宋体" w:cs="宋体" w:hint="eastAsia"/>
          <w:caps/>
          <w:sz w:val="21"/>
          <w:szCs w:val="21"/>
        </w:rPr>
        <w:t>数；如</w:t>
      </w:r>
      <w:r>
        <w:rPr>
          <w:rFonts w:ascii="宋体" w:eastAsia="宋体" w:hAnsi="宋体" w:cs="宋体" w:hint="eastAsia"/>
          <w:caps/>
          <w:sz w:val="21"/>
          <w:szCs w:val="21"/>
          <w:lang w:eastAsia="zh-CN"/>
        </w:rPr>
        <w:t>95%</w:t>
      </w:r>
      <w:r>
        <w:rPr>
          <w:rFonts w:ascii="宋体" w:eastAsia="宋体" w:hAnsi="宋体" w:cs="宋体" w:hint="eastAsia"/>
          <w:caps/>
          <w:sz w:val="21"/>
          <w:szCs w:val="21"/>
        </w:rPr>
        <w:t>，</w:t>
      </w:r>
      <w:r>
        <w:rPr>
          <w:rFonts w:ascii="宋体" w:eastAsia="宋体" w:hAnsi="宋体" w:cs="宋体" w:hint="eastAsia"/>
          <w:caps/>
          <w:sz w:val="21"/>
          <w:szCs w:val="21"/>
          <w:lang w:eastAsia="zh-CN"/>
        </w:rPr>
        <w:t>90%</w:t>
      </w:r>
      <w:r>
        <w:rPr>
          <w:rFonts w:ascii="宋体" w:eastAsia="宋体" w:hAnsi="宋体" w:cs="宋体" w:hint="eastAsia"/>
          <w:caps/>
          <w:sz w:val="21"/>
          <w:szCs w:val="21"/>
        </w:rPr>
        <w:t>，</w:t>
      </w:r>
      <w:r>
        <w:rPr>
          <w:rFonts w:ascii="宋体" w:eastAsia="宋体" w:hAnsi="宋体" w:cs="宋体" w:hint="eastAsia"/>
          <w:caps/>
          <w:sz w:val="21"/>
          <w:szCs w:val="21"/>
          <w:lang w:eastAsia="zh-CN"/>
        </w:rPr>
        <w:t>85%</w:t>
      </w:r>
      <w:r>
        <w:rPr>
          <w:rFonts w:ascii="宋体" w:eastAsia="宋体" w:hAnsi="宋体" w:cs="宋体" w:hint="eastAsia"/>
          <w:caps/>
          <w:sz w:val="21"/>
          <w:szCs w:val="21"/>
        </w:rPr>
        <w:t>；</w:t>
      </w:r>
    </w:p>
    <w:p>
      <w:pPr>
        <w:keepNext w:val="0"/>
        <w:keepLines w:val="0"/>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ascii="宋体" w:eastAsia="宋体" w:hAnsi="宋体" w:cs="宋体" w:hint="eastAsia"/>
          <w:caps/>
          <w:sz w:val="21"/>
          <w:szCs w:val="21"/>
        </w:rPr>
      </w:pPr>
      <w:r>
        <w:rPr>
          <w:rFonts w:ascii="宋体" w:eastAsia="宋体" w:hAnsi="宋体" w:cs="宋体" w:hint="eastAsia"/>
          <w:caps/>
          <w:sz w:val="21"/>
          <w:szCs w:val="21"/>
        </w:rPr>
        <w:t>3）“折扣率”缺填、未按要求填、漏填将直接作投标无效处理。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2</w:t>
      </w:r>
      <w:r>
        <w:rPr>
          <w:rFonts w:ascii="宋体" w:eastAsia="宋体" w:hAnsi="宋体" w:cs="宋体" w:hint="eastAsia"/>
          <w:sz w:val="21"/>
          <w:szCs w:val="21"/>
          <w:lang w:eastAsia="zh-CN"/>
        </w:rPr>
        <w:t>、</w:t>
      </w:r>
      <w:r>
        <w:rPr>
          <w:rFonts w:ascii="宋体" w:eastAsia="宋体" w:hAnsi="宋体" w:cs="宋体" w:hint="eastAsia"/>
          <w:sz w:val="21"/>
          <w:szCs w:val="21"/>
        </w:rPr>
        <w:t>本项目服务费采用包干制，应包括服务成本、法定税费和利润。由企业根据招标文件所提供的资料自行测算投标报价；一经中标，投标报价总价作为中标单位与采购单位签定的合同金额，合同期限内不做调整；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3</w:t>
      </w:r>
      <w:r>
        <w:rPr>
          <w:rFonts w:ascii="宋体" w:eastAsia="宋体" w:hAnsi="宋体" w:cs="宋体" w:hint="eastAsia"/>
          <w:sz w:val="21"/>
          <w:szCs w:val="21"/>
          <w:lang w:eastAsia="zh-CN"/>
        </w:rPr>
        <w:t>、</w:t>
      </w:r>
      <w:r>
        <w:rPr>
          <w:rFonts w:ascii="宋体" w:eastAsia="宋体" w:hAnsi="宋体" w:cs="宋体" w:hint="eastAsia"/>
          <w:sz w:val="21"/>
          <w:szCs w:val="21"/>
        </w:rPr>
        <w:t>投标人应根据其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若评审委员会成员对是否须由投标人作出报价合理性说明，以及书面说明是否采纳等判断不一致的，按照“少数服从多数”的原则确定评审委员会的意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4</w:t>
      </w:r>
      <w:r>
        <w:rPr>
          <w:rFonts w:ascii="宋体" w:eastAsia="宋体" w:hAnsi="宋体" w:cs="宋体" w:hint="eastAsia"/>
          <w:sz w:val="21"/>
          <w:szCs w:val="21"/>
          <w:lang w:eastAsia="zh-CN"/>
        </w:rPr>
        <w:t>、</w:t>
      </w:r>
      <w:r>
        <w:rPr>
          <w:rFonts w:ascii="宋体" w:eastAsia="宋体" w:hAnsi="宋体" w:cs="宋体" w:hint="eastAsia"/>
          <w:sz w:val="21"/>
          <w:szCs w:val="21"/>
        </w:rPr>
        <w:t>投标人的投标报价不得超过财政预算限额，如设投标最高限价的，报价不得超过最高限价；</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5</w:t>
      </w:r>
      <w:r>
        <w:rPr>
          <w:rFonts w:ascii="宋体" w:eastAsia="宋体" w:hAnsi="宋体" w:cs="宋体" w:hint="eastAsia"/>
          <w:sz w:val="21"/>
          <w:szCs w:val="21"/>
          <w:lang w:eastAsia="zh-CN"/>
        </w:rPr>
        <w:t>、</w:t>
      </w:r>
      <w:r>
        <w:rPr>
          <w:rFonts w:ascii="宋体" w:eastAsia="宋体" w:hAnsi="宋体" w:cs="宋体" w:hint="eastAsia"/>
          <w:sz w:val="21"/>
          <w:szCs w:val="21"/>
        </w:rPr>
        <w:t>投标人的投标报价，应是本项目招标范围和招标文件及合同条款上所列的各项内容中所述的全部，不得以任何理由予以重复，并以投标人在中提出的综合单价或总价为依据；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6</w:t>
      </w:r>
      <w:r>
        <w:rPr>
          <w:rFonts w:ascii="宋体" w:eastAsia="宋体" w:hAnsi="宋体" w:cs="宋体" w:hint="eastAsia"/>
          <w:sz w:val="21"/>
          <w:szCs w:val="21"/>
          <w:lang w:eastAsia="zh-CN"/>
        </w:rPr>
        <w:t>、</w:t>
      </w:r>
      <w:r>
        <w:rPr>
          <w:rFonts w:ascii="宋体" w:eastAsia="宋体" w:hAnsi="宋体" w:cs="宋体" w:hint="eastAsia"/>
          <w:sz w:val="21"/>
          <w:szCs w:val="21"/>
        </w:rPr>
        <w:t>除非采购</w:t>
      </w:r>
      <w:r>
        <w:rPr>
          <w:rFonts w:ascii="宋体" w:eastAsia="宋体" w:hAnsi="宋体" w:cs="宋体" w:hint="eastAsia"/>
          <w:sz w:val="21"/>
          <w:szCs w:val="21"/>
          <w:lang w:eastAsia="zh-CN"/>
        </w:rPr>
        <w:t>代理</w:t>
      </w:r>
      <w:r>
        <w:rPr>
          <w:rFonts w:ascii="宋体" w:eastAsia="宋体" w:hAnsi="宋体" w:cs="宋体" w:hint="eastAsia"/>
          <w:sz w:val="21"/>
          <w:szCs w:val="21"/>
        </w:rPr>
        <w:t>机构通过修改招标文件予以更正，否则，投标人应毫无例外地按招标文件所列的清单中项目和数量填报综合单价和合价。投标人未填综合单价或合价的项目，视作该项费用已包括在其它有价款的综合单价或合价内；</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7</w:t>
      </w:r>
      <w:r>
        <w:rPr>
          <w:rFonts w:ascii="宋体" w:eastAsia="宋体" w:hAnsi="宋体" w:cs="宋体" w:hint="eastAsia"/>
          <w:sz w:val="21"/>
          <w:szCs w:val="21"/>
          <w:lang w:eastAsia="zh-CN"/>
        </w:rPr>
        <w:t>、</w:t>
      </w:r>
      <w:r>
        <w:rPr>
          <w:rFonts w:ascii="宋体" w:eastAsia="宋体" w:hAnsi="宋体" w:cs="宋体" w:hint="eastAsia"/>
          <w:sz w:val="21"/>
          <w:szCs w:val="21"/>
        </w:rPr>
        <w:t>投标人应先到项目地点踏勘以充分了解项目的位置、情况、道路及任何其它足以影响投标报价的情况，任何因忽视或误解项目情况而导致的索赔或服务期限延长申请将不获批准；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8</w:t>
      </w:r>
      <w:r>
        <w:rPr>
          <w:rFonts w:ascii="宋体" w:eastAsia="宋体" w:hAnsi="宋体" w:cs="宋体" w:hint="eastAsia"/>
          <w:sz w:val="21"/>
          <w:szCs w:val="21"/>
          <w:lang w:eastAsia="zh-CN"/>
        </w:rPr>
        <w:t>、</w:t>
      </w:r>
      <w:r>
        <w:rPr>
          <w:rFonts w:ascii="宋体" w:eastAsia="宋体" w:hAnsi="宋体" w:cs="宋体" w:hint="eastAsia"/>
          <w:sz w:val="21"/>
          <w:szCs w:val="21"/>
        </w:rPr>
        <w:t>投标人不得期望通过索赔等方式获取补偿，否则，除可能遭到拒绝外，还可能将被作为不良行为记录在案，并可能影响其以后参加政府采购的项目投标。各投标人在投标报价时，应充分考虑投标报价的风险。</w:t>
      </w: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七、注意事项</w:t>
      </w:r>
    </w:p>
    <w:p>
      <w:pPr>
        <w:keepNext w:val="0"/>
        <w:keepLines w:val="0"/>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ascii="宋体" w:eastAsia="宋体" w:hAnsi="宋体" w:cs="宋体" w:hint="eastAsia"/>
          <w:caps/>
          <w:sz w:val="21"/>
          <w:szCs w:val="21"/>
        </w:rPr>
      </w:pPr>
      <w:r>
        <w:rPr>
          <w:rFonts w:ascii="宋体" w:eastAsia="宋体" w:hAnsi="宋体" w:cs="宋体" w:hint="eastAsia"/>
          <w:caps/>
          <w:sz w:val="21"/>
          <w:szCs w:val="21"/>
        </w:rPr>
        <w:t>1、中标人不得将项目非法分包或转包给任何单位和个人。否则，采购单位有权即刻终止合同，并要求中标人赔偿相应损失。</w:t>
      </w:r>
    </w:p>
    <w:p>
      <w:pPr>
        <w:keepNext w:val="0"/>
        <w:keepLines w:val="0"/>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ascii="宋体" w:eastAsia="宋体" w:hAnsi="宋体" w:cs="宋体" w:hint="eastAsia"/>
          <w:caps/>
          <w:sz w:val="21"/>
          <w:szCs w:val="21"/>
        </w:rPr>
      </w:pPr>
      <w:r>
        <w:rPr>
          <w:rFonts w:ascii="宋体" w:eastAsia="宋体" w:hAnsi="宋体" w:cs="宋体" w:hint="eastAsia"/>
          <w:caps/>
          <w:sz w:val="21"/>
          <w:szCs w:val="21"/>
        </w:rPr>
        <w:t>2、投标人使用的标准必须是国际公认或国家、或地方政府颁布的同等或更高的标准，如投标人使用的标准低于上述标准,评标委员会将有权不予接受，投标人必须列表将明显的差异详细说明。</w:t>
      </w:r>
    </w:p>
    <w:p>
      <w:pPr>
        <w:keepNext w:val="0"/>
        <w:keepLines w:val="0"/>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ascii="宋体" w:eastAsia="宋体" w:hAnsi="宋体" w:cs="宋体" w:hint="eastAsia"/>
          <w:caps/>
          <w:sz w:val="21"/>
          <w:szCs w:val="21"/>
        </w:rPr>
      </w:pPr>
      <w:r>
        <w:rPr>
          <w:rFonts w:ascii="宋体" w:eastAsia="宋体" w:hAnsi="宋体" w:cs="宋体" w:hint="eastAsia"/>
          <w:caps/>
          <w:sz w:val="21"/>
          <w:szCs w:val="21"/>
        </w:rPr>
        <w:t>3、投标人若认为采购文件的技术要求或其他要求有倾向性或不公正性，可在采购答疑阶段提出，以维护采购行为的公平、公正。。</w:t>
      </w:r>
    </w:p>
    <w:p>
      <w:pPr>
        <w:keepNext w:val="0"/>
        <w:keepLines w:val="0"/>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ascii="宋体" w:eastAsia="宋体" w:hAnsi="宋体" w:cs="宋体" w:hint="eastAsia"/>
          <w:caps/>
          <w:sz w:val="21"/>
          <w:szCs w:val="21"/>
        </w:rPr>
      </w:pPr>
      <w:r>
        <w:rPr>
          <w:rFonts w:ascii="宋体" w:eastAsia="宋体" w:hAnsi="宋体" w:cs="宋体" w:hint="eastAsia"/>
          <w:caps/>
          <w:sz w:val="21"/>
          <w:szCs w:val="21"/>
        </w:rPr>
        <w:t>4、除政府采购合同继续履行将损害国家利益和社会公共利益外，双方当事人不得擅自变更、中止或者终止合同。</w:t>
      </w:r>
    </w:p>
    <w:p>
      <w:pPr>
        <w:keepNext w:val="0"/>
        <w:keepLines w:val="0"/>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ascii="宋体" w:eastAsia="宋体" w:hAnsi="宋体" w:cs="宋体" w:hint="eastAsia"/>
          <w:caps/>
          <w:sz w:val="21"/>
          <w:szCs w:val="21"/>
        </w:rPr>
      </w:pPr>
      <w:r>
        <w:rPr>
          <w:rFonts w:ascii="宋体" w:eastAsia="宋体" w:hAnsi="宋体" w:cs="宋体" w:hint="eastAsia"/>
          <w:caps/>
          <w:sz w:val="21"/>
          <w:szCs w:val="21"/>
        </w:rPr>
        <w:t>5、投标人须在法定质疑期内一次性提出针对同一采购程序环节的质疑。</w:t>
      </w:r>
    </w:p>
    <w:p>
      <w:pPr>
        <w:keepNext w:val="0"/>
        <w:keepLines w:val="0"/>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ascii="宋体" w:eastAsia="宋体" w:hAnsi="宋体" w:cs="宋体" w:hint="eastAsia"/>
          <w:caps/>
          <w:sz w:val="21"/>
          <w:szCs w:val="21"/>
        </w:rPr>
      </w:pPr>
      <w:r>
        <w:rPr>
          <w:rFonts w:ascii="宋体" w:eastAsia="宋体" w:hAnsi="宋体" w:cs="宋体" w:hint="eastAsia"/>
          <w:caps/>
          <w:sz w:val="21"/>
          <w:szCs w:val="21"/>
        </w:rPr>
        <w:t>6、本项目参照政府采购相关法律法规和政策文件规定执行。</w:t>
      </w:r>
    </w:p>
    <w:p>
      <w:pPr>
        <w:widowControl w:val="0"/>
        <w:spacing w:line="360" w:lineRule="auto"/>
        <w:ind w:firstLine="420" w:firstLineChars="200"/>
        <w:jc w:val="both"/>
        <w:rPr>
          <w:rFonts w:ascii="宋体" w:eastAsia="宋体" w:hAnsi="宋体"/>
          <w:bCs/>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keepNext/>
        <w:keepLines/>
        <w:widowControl w:val="0"/>
        <w:adjustRightInd w:val="0"/>
        <w:spacing w:line="320" w:lineRule="atLeast"/>
        <w:jc w:val="center"/>
        <w:textAlignment w:val="baseline"/>
        <w:outlineLvl w:val="9"/>
        <w:rPr>
          <w:rFonts w:ascii="宋体" w:eastAsia="宋体" w:hAnsi="宋体" w:hint="eastAsia"/>
          <w:b/>
          <w:bCs/>
          <w:sz w:val="28"/>
          <w:szCs w:val="28"/>
          <w:lang w:eastAsia="zh-CN"/>
        </w:rPr>
      </w:pPr>
    </w:p>
    <w:p>
      <w:pPr>
        <w:keepNext/>
        <w:keepLines/>
        <w:widowControl w:val="0"/>
        <w:adjustRightInd w:val="0"/>
        <w:spacing w:line="320" w:lineRule="atLeast"/>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第四章  投标文件组成要求及格式</w:t>
      </w:r>
    </w:p>
    <w:p>
      <w:pPr>
        <w:widowControl w:val="0"/>
        <w:spacing w:line="360" w:lineRule="auto"/>
        <w:jc w:val="both"/>
        <w:rPr>
          <w:rFonts w:ascii="Calibri" w:eastAsia="宋体" w:hAnsi="Calibri"/>
          <w:b/>
          <w:bCs/>
          <w:kern w:val="2"/>
          <w:szCs w:val="22"/>
          <w:lang w:eastAsia="zh-CN"/>
        </w:rPr>
      </w:pPr>
      <w:bookmarkStart w:id="14" w:name="_Hlk72257167"/>
    </w:p>
    <w:bookmarkEnd w:id="14"/>
    <w:p>
      <w:pPr>
        <w:widowControl/>
        <w:spacing w:line="320" w:lineRule="atLeast"/>
        <w:jc w:val="left"/>
        <w:outlineLvl w:val="2"/>
        <w:rPr>
          <w:rFonts w:ascii="宋体" w:eastAsia="黑体" w:hAnsi="宋体" w:hint="eastAsia"/>
          <w:bCs/>
          <w:kern w:val="44"/>
          <w:lang w:eastAsia="zh-CN"/>
        </w:rPr>
      </w:pPr>
      <w:r>
        <w:rPr>
          <w:rFonts w:ascii="宋体" w:eastAsia="黑体" w:hAnsi="宋体" w:hint="eastAsia"/>
          <w:bCs/>
          <w:kern w:val="44"/>
          <w:lang w:eastAsia="zh-CN"/>
        </w:rPr>
        <w:t>投标文件组成：</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（1）投标函</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eastAsia="宋体" w:hint="eastAsia"/>
          <w:lang w:eastAsia="zh-CN"/>
        </w:rPr>
      </w:pPr>
      <w:r>
        <w:rPr>
          <w:rFonts w:hint="eastAsia"/>
        </w:rPr>
        <w:t>（2）</w:t>
      </w:r>
      <w:r>
        <w:rPr>
          <w:rFonts w:eastAsia="宋体" w:hint="eastAsia"/>
          <w:lang w:eastAsia="zh-CN"/>
        </w:rPr>
        <w:t>政府采购投标及履约承诺函</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（3）投标人情况及资格证明文件</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（4）分项报价清单</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（5）股东构成审查表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（6）法定代表人（负责人）证明书</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（7）投标文件签署授权委托书</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（8）实质性条款响应情况表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（9）技术要求偏离表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（10）商务要求偏离表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ascii="宋体" w:hAnsi="宋体" w:cs="宋体" w:hint="eastAsia"/>
          <w:szCs w:val="21"/>
        </w:rPr>
      </w:pPr>
      <w:r>
        <w:rPr>
          <w:rFonts w:hint="eastAsia"/>
        </w:rPr>
        <w:t>（11）</w:t>
      </w:r>
      <w:r>
        <w:rPr>
          <w:rFonts w:ascii="宋体" w:hAnsi="宋体" w:cs="宋体" w:hint="eastAsia"/>
          <w:szCs w:val="21"/>
        </w:rPr>
        <w:t>项目实施方案</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w:t>
      </w:r>
      <w:r>
        <w:rPr>
          <w:rFonts w:eastAsia="宋体" w:hint="eastAsia"/>
          <w:lang w:eastAsia="zh-CN"/>
        </w:rPr>
        <w:t>2</w:t>
      </w:r>
      <w:r>
        <w:rPr>
          <w:rFonts w:hint="eastAsia"/>
        </w:rPr>
        <w:t>）</w:t>
      </w:r>
      <w:r>
        <w:rPr>
          <w:rFonts w:ascii="宋体" w:hAnsi="宋体" w:cs="宋体" w:hint="eastAsia"/>
          <w:szCs w:val="21"/>
        </w:rPr>
        <w:t>售后服务方案</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w:t>
      </w:r>
      <w:r>
        <w:rPr>
          <w:rFonts w:eastAsia="宋体" w:hint="eastAsia"/>
          <w:lang w:eastAsia="zh-CN"/>
        </w:rPr>
        <w:t>3</w:t>
      </w:r>
      <w:r>
        <w:rPr>
          <w:rFonts w:hint="eastAsia"/>
        </w:rPr>
        <w:t>）</w:t>
      </w:r>
      <w:r>
        <w:rPr>
          <w:rFonts w:ascii="宋体" w:hAnsi="宋体" w:cs="宋体" w:hint="eastAsia"/>
          <w:szCs w:val="21"/>
        </w:rPr>
        <w:t>应急保障方案</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ascii="宋体" w:hAnsi="宋体" w:cs="宋体" w:hint="eastAsia"/>
          <w:szCs w:val="21"/>
        </w:rPr>
      </w:pPr>
      <w:r>
        <w:rPr>
          <w:rFonts w:hint="eastAsia"/>
        </w:rPr>
        <w:t>（1</w:t>
      </w:r>
      <w:r>
        <w:rPr>
          <w:rFonts w:eastAsia="宋体" w:hint="eastAsia"/>
          <w:lang w:eastAsia="zh-CN"/>
        </w:rPr>
        <w:t>4</w:t>
      </w:r>
      <w:r>
        <w:rPr>
          <w:rFonts w:hint="eastAsia"/>
        </w:rPr>
        <w:t>）</w:t>
      </w:r>
      <w:r>
        <w:rPr>
          <w:rFonts w:ascii="宋体" w:hAnsi="宋体" w:cs="宋体" w:hint="eastAsia"/>
          <w:szCs w:val="21"/>
        </w:rPr>
        <w:t>违约承诺</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ascii="宋体" w:hAnsi="宋体" w:cs="宋体" w:hint="eastAsia"/>
          <w:szCs w:val="21"/>
          <w:lang w:eastAsia="zh-CN"/>
        </w:rPr>
      </w:pPr>
      <w:r>
        <w:rPr>
          <w:rFonts w:hint="eastAsia"/>
        </w:rPr>
        <w:t>（1</w:t>
      </w:r>
      <w:r>
        <w:rPr>
          <w:rFonts w:eastAsia="宋体" w:hint="eastAsia"/>
          <w:lang w:eastAsia="zh-CN"/>
        </w:rPr>
        <w:t>5</w:t>
      </w:r>
      <w:r>
        <w:rPr>
          <w:rFonts w:hint="eastAsia"/>
        </w:rPr>
        <w:t>）</w:t>
      </w:r>
      <w:r>
        <w:rPr>
          <w:rFonts w:ascii="宋体" w:hAnsi="宋体" w:cs="宋体" w:hint="eastAsia"/>
          <w:szCs w:val="21"/>
          <w:lang w:eastAsia="zh-CN"/>
        </w:rPr>
        <w:t>网点</w:t>
      </w:r>
      <w:r>
        <w:rPr>
          <w:rFonts w:ascii="宋体" w:eastAsia="宋体" w:hAnsi="宋体" w:hint="eastAsia"/>
          <w:szCs w:val="21"/>
        </w:rPr>
        <w:t>服务响应时间</w:t>
      </w:r>
      <w:r>
        <w:rPr>
          <w:rFonts w:ascii="宋体" w:hAnsi="宋体" w:cs="宋体" w:hint="eastAsia"/>
          <w:szCs w:val="21"/>
          <w:lang w:eastAsia="zh-CN"/>
        </w:rPr>
        <w:t>配送时效</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ascii="宋体" w:hAnsi="宋体" w:cs="宋体" w:hint="eastAsia"/>
          <w:szCs w:val="21"/>
          <w:lang w:eastAsia="zh-CN"/>
        </w:rPr>
      </w:pPr>
      <w:r>
        <w:rPr>
          <w:rFonts w:hint="eastAsia"/>
        </w:rPr>
        <w:t>（1</w:t>
      </w:r>
      <w:r>
        <w:rPr>
          <w:rFonts w:eastAsia="宋体" w:hint="eastAsia"/>
          <w:lang w:eastAsia="zh-CN"/>
        </w:rPr>
        <w:t>6</w:t>
      </w:r>
      <w:r>
        <w:rPr>
          <w:rFonts w:hint="eastAsia"/>
        </w:rPr>
        <w:t>）</w:t>
      </w:r>
      <w:r>
        <w:rPr>
          <w:rFonts w:ascii="宋体" w:hAnsi="宋体" w:cs="宋体" w:hint="eastAsia"/>
          <w:szCs w:val="21"/>
          <w:lang w:eastAsia="zh-CN"/>
        </w:rPr>
        <w:t>投标人资质证明</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ascii="宋体" w:hAnsi="宋体" w:cs="宋体" w:hint="eastAsia"/>
          <w:szCs w:val="21"/>
        </w:rPr>
      </w:pPr>
      <w:r>
        <w:rPr>
          <w:rFonts w:hint="eastAsia"/>
        </w:rPr>
        <w:t>（1</w:t>
      </w:r>
      <w:r>
        <w:rPr>
          <w:rFonts w:eastAsia="宋体" w:hint="eastAsia"/>
          <w:lang w:eastAsia="zh-CN"/>
        </w:rPr>
        <w:t>7</w:t>
      </w:r>
      <w:r>
        <w:rPr>
          <w:rFonts w:hint="eastAsia"/>
        </w:rPr>
        <w:t>）</w:t>
      </w:r>
      <w:r>
        <w:rPr>
          <w:rFonts w:ascii="宋体" w:hAnsi="宋体" w:cs="宋体" w:hint="eastAsia"/>
          <w:szCs w:val="21"/>
        </w:rPr>
        <w:t>投标人同类项目业绩情况</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w:t>
      </w:r>
      <w:r>
        <w:rPr>
          <w:rFonts w:eastAsia="宋体" w:hint="eastAsia"/>
          <w:lang w:eastAsia="zh-CN"/>
        </w:rPr>
        <w:t>8</w:t>
      </w:r>
      <w:r>
        <w:rPr>
          <w:rFonts w:hint="eastAsia"/>
        </w:rPr>
        <w:t>）</w:t>
      </w:r>
      <w:r>
        <w:rPr>
          <w:rFonts w:ascii="宋体" w:hAnsi="宋体" w:cs="宋体" w:hint="eastAsia"/>
          <w:szCs w:val="21"/>
        </w:rPr>
        <w:t>配套能力保障</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ascii="宋体" w:eastAsia="黑体" w:hAnsi="宋体" w:hint="eastAsia"/>
          <w:bCs/>
          <w:kern w:val="44"/>
          <w:lang w:eastAsia="zh-CN"/>
        </w:rPr>
      </w:pPr>
      <w:r>
        <w:rPr>
          <w:rFonts w:hint="eastAsia"/>
        </w:rPr>
        <w:t>（1</w:t>
      </w:r>
      <w:r>
        <w:rPr>
          <w:rFonts w:eastAsia="宋体" w:hint="eastAsia"/>
          <w:lang w:eastAsia="zh-CN"/>
        </w:rPr>
        <w:t>9</w:t>
      </w:r>
      <w:r>
        <w:rPr>
          <w:rFonts w:hint="eastAsia"/>
        </w:rPr>
        <w:t>）投标人认为需要加以说明的其他内容</w:t>
      </w:r>
    </w:p>
    <w:p>
      <w:pPr>
        <w:widowControl w:val="0"/>
        <w:spacing w:line="320" w:lineRule="atLeast"/>
        <w:jc w:val="both"/>
        <w:rPr>
          <w:rFonts w:ascii="宋体" w:eastAsia="宋体" w:hAnsi="宋体"/>
          <w:b/>
          <w:kern w:val="2"/>
          <w:lang w:eastAsia="zh-CN"/>
        </w:rPr>
      </w:pPr>
      <w:bookmarkStart w:id="15" w:name="_Hlk72257771"/>
      <w:r>
        <w:rPr>
          <w:rFonts w:ascii="宋体" w:eastAsia="宋体" w:hAnsi="宋体" w:cstheme="minorBidi" w:hint="eastAsia"/>
          <w:b/>
          <w:kern w:val="2"/>
          <w:lang w:eastAsia="zh-CN"/>
        </w:rPr>
        <w:t>备注：</w:t>
      </w:r>
    </w:p>
    <w:p>
      <w:pPr>
        <w:widowControl w:val="0"/>
        <w:snapToGrid w:val="0"/>
        <w:spacing w:line="320" w:lineRule="atLeast"/>
        <w:ind w:firstLine="480" w:firstLineChars="200"/>
        <w:jc w:val="both"/>
        <w:rPr>
          <w:rFonts w:ascii="宋体" w:eastAsia="宋体" w:hAnsi="宋体"/>
          <w:b/>
          <w:kern w:val="2"/>
          <w:lang w:eastAsia="zh-CN"/>
        </w:rPr>
      </w:pPr>
      <w:r>
        <w:rPr>
          <w:rFonts w:ascii="宋体" w:eastAsia="宋体" w:hAnsi="宋体" w:cstheme="minorBidi" w:hint="eastAsia"/>
          <w:b/>
          <w:kern w:val="2"/>
          <w:lang w:eastAsia="zh-CN"/>
        </w:rPr>
        <w:t>1.本项目为网上电子投标项目，投标文件不需法人或授权委托人另行签字，无需加盖单位公章，招标文件另有规定的除外。</w:t>
      </w:r>
    </w:p>
    <w:p>
      <w:pPr>
        <w:widowControl w:val="0"/>
        <w:snapToGrid w:val="0"/>
        <w:spacing w:after="60" w:afterLines="25"/>
        <w:ind w:firstLine="480" w:firstLineChars="200"/>
        <w:jc w:val="both"/>
        <w:rPr>
          <w:rFonts w:ascii="宋体" w:eastAsia="黑体" w:hAnsi="宋体"/>
          <w:bCs/>
          <w:kern w:val="44"/>
          <w:sz w:val="32"/>
          <w:szCs w:val="32"/>
          <w:lang w:eastAsia="zh-CN"/>
        </w:rPr>
      </w:pPr>
      <w:bookmarkStart w:id="16" w:name="_Hlk72263559"/>
      <w:r>
        <w:rPr>
          <w:rFonts w:ascii="宋体" w:eastAsia="宋体" w:hAnsi="宋体" w:cstheme="minorBidi" w:hint="eastAsia"/>
          <w:b/>
          <w:kern w:val="2"/>
          <w:lang w:eastAsia="zh-CN"/>
        </w:rPr>
        <w:t>2.关于填写“开标一览表”的说明：“开标一览表”中除“投标总价”外，其他信息不作评审依据。</w:t>
      </w:r>
      <w:bookmarkEnd w:id="15"/>
      <w:bookmarkEnd w:id="16"/>
      <w:r>
        <w:rPr>
          <w:rFonts w:ascii="宋体" w:eastAsia="黑体" w:hAnsi="宋体"/>
          <w:bCs/>
          <w:kern w:val="44"/>
          <w:sz w:val="32"/>
          <w:szCs w:val="32"/>
          <w:lang w:eastAsia="zh-CN"/>
        </w:rPr>
        <w:br w:type="page"/>
      </w:r>
    </w:p>
    <w:p>
      <w:pPr>
        <w:keepNext/>
        <w:keepLines/>
        <w:widowControl w:val="0"/>
        <w:spacing w:before="120" w:after="120" w:line="240" w:lineRule="auto"/>
        <w:jc w:val="center"/>
        <w:outlineLvl w:val="2"/>
        <w:rPr>
          <w:rFonts w:ascii="黑体" w:eastAsia="黑体" w:hint="eastAsia"/>
          <w:b/>
          <w:bCs/>
          <w:kern w:val="2"/>
          <w:sz w:val="30"/>
          <w:szCs w:val="22"/>
          <w:lang w:eastAsia="zh-CN"/>
        </w:rPr>
      </w:pPr>
      <w:r>
        <w:rPr>
          <w:rFonts w:ascii="黑体" w:eastAsia="黑体" w:hint="eastAsia"/>
          <w:b/>
          <w:bCs/>
          <w:kern w:val="2"/>
          <w:sz w:val="30"/>
          <w:szCs w:val="22"/>
          <w:lang w:eastAsia="zh-CN"/>
        </w:rPr>
        <w:t>一、投标函</w:t>
      </w:r>
    </w:p>
    <w:p>
      <w:pPr>
        <w:widowControl w:val="0"/>
        <w:spacing w:line="360" w:lineRule="auto"/>
        <w:jc w:val="both"/>
        <w:rPr>
          <w:rFonts w:ascii="宋体" w:eastAsia="宋体" w:hAnsi="宋体"/>
          <w:kern w:val="2"/>
          <w:sz w:val="21"/>
          <w:szCs w:val="21"/>
          <w:lang w:eastAsia="zh-CN"/>
        </w:rPr>
      </w:pPr>
      <w:bookmarkStart w:id="17" w:name="_Hlk72257506"/>
      <w:r>
        <w:rPr>
          <w:rFonts w:ascii="宋体" w:eastAsia="宋体" w:hAnsi="宋体" w:cstheme="minorBidi" w:hint="eastAsia"/>
          <w:kern w:val="2"/>
          <w:sz w:val="21"/>
          <w:szCs w:val="21"/>
          <w:lang w:eastAsia="zh-CN"/>
        </w:rPr>
        <w:t>致：</w:t>
      </w:r>
      <w:r>
        <w:rPr>
          <w:rFonts w:ascii="宋体" w:eastAsia="宋体" w:hAnsi="宋体" w:cstheme="minorBidi" w:hint="eastAsia"/>
          <w:b/>
          <w:color w:val="000000"/>
          <w:kern w:val="2"/>
          <w:sz w:val="21"/>
          <w:szCs w:val="21"/>
          <w:u w:val="single"/>
          <w:lang w:eastAsia="zh-CN"/>
        </w:rPr>
        <w:t>深圳市千里招标代理有限公司</w:t>
      </w:r>
    </w:p>
    <w:p>
      <w:pPr>
        <w:widowControl w:val="0"/>
        <w:spacing w:line="360" w:lineRule="auto"/>
        <w:ind w:firstLine="420" w:firstLineChars="200"/>
        <w:jc w:val="both"/>
        <w:rPr>
          <w:rFonts w:ascii="宋体" w:eastAsia="宋体" w:hAnsi="宋体"/>
          <w:kern w:val="2"/>
          <w:sz w:val="21"/>
          <w:szCs w:val="21"/>
          <w:lang w:eastAsia="zh-CN"/>
        </w:rPr>
      </w:pPr>
      <w:bookmarkStart w:id="18" w:name="_Hlk73818812"/>
      <w:r>
        <w:rPr>
          <w:rFonts w:ascii="Calibri" w:eastAsia="宋体" w:hAnsi="Calibri" w:cstheme="minorBidi" w:hint="eastAsia"/>
          <w:kern w:val="2"/>
          <w:sz w:val="21"/>
          <w:szCs w:val="21"/>
          <w:lang w:eastAsia="zh-CN"/>
        </w:rPr>
        <w:t>1、根据已收到贵单位的项目编号为</w:t>
      </w:r>
      <w:r>
        <w:rPr>
          <w:rFonts w:ascii="Calibri" w:eastAsia="宋体" w:hAnsi="Calibri" w:cstheme="minorBidi" w:hint="eastAsia"/>
          <w:kern w:val="2"/>
          <w:sz w:val="21"/>
          <w:szCs w:val="21"/>
          <w:u w:val="single"/>
          <w:lang w:eastAsia="zh-CN"/>
        </w:rPr>
        <w:t>LHAZXDL-2024-00182</w:t>
      </w:r>
      <w:r>
        <w:rPr>
          <w:rFonts w:ascii="Calibri" w:eastAsia="宋体" w:hAnsi="Calibri" w:cstheme="minorBidi" w:hint="eastAsia"/>
          <w:kern w:val="2"/>
          <w:sz w:val="21"/>
          <w:szCs w:val="21"/>
          <w:lang w:eastAsia="zh-CN"/>
        </w:rPr>
        <w:t>的</w:t>
      </w:r>
      <w:r>
        <w:rPr>
          <w:rFonts w:ascii="Calibri" w:eastAsia="宋体" w:hAnsi="Calibri" w:cstheme="minorBidi" w:hint="eastAsia"/>
          <w:kern w:val="2"/>
          <w:sz w:val="21"/>
          <w:szCs w:val="21"/>
          <w:u w:val="thick"/>
          <w:lang w:eastAsia="zh-CN"/>
        </w:rPr>
        <w:t>深圳市龙华区中心医院热敏纸采购项目</w:t>
      </w:r>
      <w:r>
        <w:rPr>
          <w:rFonts w:ascii="Calibri" w:eastAsia="宋体" w:hAnsi="Calibri" w:cstheme="minorBidi" w:hint="eastAsia"/>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19" w:name="_Hlk72263588"/>
      <w:r>
        <w:rPr>
          <w:rFonts w:ascii="Calibri" w:eastAsia="宋体" w:hAnsi="Calibri" w:cstheme="minorBidi" w:hint="eastAsia"/>
          <w:kern w:val="2"/>
          <w:sz w:val="21"/>
          <w:szCs w:val="21"/>
          <w:lang w:eastAsia="zh-CN"/>
        </w:rPr>
        <w:t>愿意按照招标文件要求承包上述项目并修补其任何缺陷。</w:t>
      </w:r>
      <w:bookmarkEnd w:id="19"/>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w:t>
      </w:r>
      <w:bookmarkStart w:id="20" w:name="_Hlk73819847"/>
      <w:r>
        <w:rPr>
          <w:rFonts w:ascii="宋体" w:eastAsia="宋体" w:hAnsi="宋体" w:cstheme="minorBidi" w:hint="eastAsia"/>
          <w:kern w:val="2"/>
          <w:sz w:val="21"/>
          <w:szCs w:val="21"/>
          <w:lang w:eastAsia="zh-CN"/>
        </w:rPr>
        <w:t>投标价格见</w:t>
      </w:r>
      <w:r>
        <w:rPr>
          <w:rFonts w:ascii="Calibri" w:eastAsia="宋体" w:hAnsi="Calibri" w:cstheme="minorBidi" w:hint="eastAsia"/>
          <w:kern w:val="2"/>
          <w:sz w:val="21"/>
          <w:szCs w:val="21"/>
          <w:lang w:eastAsia="zh-CN"/>
        </w:rPr>
        <w:t>投标书编制软件中《开标一览表》中填写的投标总价。</w:t>
      </w:r>
      <w:bookmarkEnd w:id="20"/>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3、如果我单位中标，我单位将按照招标文件的要求足额提交履约担保。</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4、我单位同意所递交的投标文件在“对通用条款的补充内容”中明确的投标有效期内有效，在此期间内我单位的投标有可能中标，我方将受此约束。</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5、除非另外达成协议并生效，贵单位的中标通知书和本投标文件将构成合同的重要内容。</w:t>
      </w:r>
    </w:p>
    <w:p>
      <w:pPr>
        <w:widowControl w:val="0"/>
        <w:spacing w:line="360" w:lineRule="auto"/>
        <w:ind w:left="480" w:left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6、我单位理解贵单位将不受必须接受所收到的最低报价或其它任何投标文件的约束。</w:t>
      </w:r>
      <w:bookmarkEnd w:id="18"/>
    </w:p>
    <w:p>
      <w:pPr>
        <w:widowControl w:val="0"/>
        <w:spacing w:line="360" w:lineRule="auto"/>
        <w:ind w:left="480" w:leftChars="200"/>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7</w:t>
      </w:r>
      <w:r>
        <w:rPr>
          <w:rFonts w:ascii="宋体" w:eastAsia="宋体" w:hAnsi="宋体" w:cstheme="minorBidi"/>
          <w:b/>
          <w:kern w:val="2"/>
          <w:sz w:val="21"/>
          <w:szCs w:val="21"/>
          <w:lang w:eastAsia="zh-CN"/>
        </w:rPr>
        <w:t>、如我单位提交样品，且未在规定时间内取回样品的，视同放弃取回，同意深圳市千里招标代理有限公司对我单位提交的样品进行清理。</w:t>
      </w:r>
    </w:p>
    <w:p>
      <w:pPr>
        <w:widowControl w:val="0"/>
        <w:spacing w:line="360" w:lineRule="auto"/>
        <w:ind w:left="480" w:firstLine="210" w:leftChars="200" w:firstLineChars="100"/>
        <w:jc w:val="both"/>
        <w:rPr>
          <w:rFonts w:ascii="Calibri" w:eastAsia="宋体" w:hAnsi="Calibri"/>
          <w:kern w:val="2"/>
          <w:sz w:val="21"/>
          <w:szCs w:val="21"/>
          <w:lang w:eastAsia="zh-CN"/>
        </w:rPr>
      </w:pP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；单位地址：</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法定代表人（负责人）或其授权委托代理人：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开户银行名称：</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开户银行账号：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邮政编码：</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传真：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Cs w:val="22"/>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bookmarkEnd w:id="17"/>
    <w:p>
      <w:pPr>
        <w:keepNext/>
        <w:keepLines/>
        <w:spacing w:before="260" w:after="260" w:line="240" w:lineRule="auto"/>
        <w:jc w:val="center"/>
        <w:outlineLvl w:val="2"/>
        <w:rPr>
          <w:rFonts w:ascii="黑体" w:eastAsia="黑体" w:hAnsi="宋体"/>
          <w:bCs/>
          <w:szCs w:val="32"/>
        </w:rPr>
      </w:pPr>
      <w:r>
        <w:rPr>
          <w:rFonts w:ascii="黑体" w:eastAsia="黑体" w:hAnsi="宋体" w:hint="eastAsia"/>
          <w:bCs/>
          <w:szCs w:val="32"/>
        </w:rPr>
        <w:t>二、政府采购投标及履约承诺函</w:t>
      </w:r>
    </w:p>
    <w:p>
      <w:pPr>
        <w:spacing w:line="360" w:lineRule="auto"/>
        <w:rPr>
          <w:rFonts w:ascii="宋体" w:eastAsia="宋体" w:hAnsi="宋体" w:cs="宋体" w:hint="eastAsia"/>
          <w:sz w:val="21"/>
          <w:szCs w:val="21"/>
          <w:lang w:eastAsia="zh-CN"/>
        </w:rPr>
      </w:pPr>
      <w:bookmarkStart w:id="21" w:name="_Hlk72257530"/>
      <w:r>
        <w:rPr>
          <w:rFonts w:ascii="宋体" w:eastAsia="宋体" w:hAnsi="宋体" w:cs="宋体" w:hint="eastAsia"/>
          <w:sz w:val="21"/>
          <w:szCs w:val="21"/>
        </w:rPr>
        <w:t>致：</w:t>
      </w:r>
      <w:r>
        <w:rPr>
          <w:rFonts w:ascii="宋体" w:eastAsia="宋体" w:hAnsi="宋体" w:cs="宋体" w:hint="eastAsia"/>
          <w:sz w:val="21"/>
          <w:szCs w:val="21"/>
          <w:u w:val="single"/>
          <w:lang w:eastAsia="zh-CN"/>
        </w:rPr>
        <w:t>深圳市千里招标代理有限公司</w:t>
      </w:r>
    </w:p>
    <w:p>
      <w:pPr>
        <w:spacing w:line="360" w:lineRule="auto"/>
        <w:ind w:right="-815" w:firstLine="420" w:firstLineChars="200"/>
        <w:rPr>
          <w:rFonts w:ascii="宋体" w:eastAsia="宋体" w:hAnsi="宋体" w:cs="宋体" w:hint="eastAsia"/>
          <w:sz w:val="21"/>
          <w:szCs w:val="21"/>
        </w:rPr>
      </w:pPr>
      <w:r>
        <w:rPr>
          <w:rFonts w:ascii="宋体" w:eastAsia="宋体" w:hAnsi="宋体" w:cs="宋体" w:hint="eastAsia"/>
          <w:sz w:val="21"/>
          <w:szCs w:val="21"/>
        </w:rPr>
        <w:t>我单位承诺：</w:t>
      </w:r>
    </w:p>
    <w:p>
      <w:pPr>
        <w:spacing w:line="360" w:lineRule="auto"/>
        <w:ind w:firstLine="420" w:firstLineChars="200"/>
        <w:rPr>
          <w:rFonts w:ascii="宋体" w:eastAsia="宋体" w:hAnsi="宋体" w:cs="宋体" w:hint="eastAsia"/>
          <w:b/>
          <w:sz w:val="21"/>
          <w:szCs w:val="21"/>
        </w:rPr>
      </w:pPr>
      <w:r>
        <w:rPr>
          <w:rFonts w:ascii="宋体" w:eastAsia="宋体" w:hAnsi="宋体" w:cs="宋体" w:hint="eastAsia"/>
          <w:bCs/>
          <w:sz w:val="21"/>
          <w:szCs w:val="21"/>
        </w:rPr>
        <w:t>1.我单位参与本项目所投标（响应）的货物、工程或服务，不存在侵犯知识产权的情况。</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2.我单位参与本项目政府采购活动时不存在被有关部门禁止参与政府采购活动且在有效期内的情况。符合招标文件关于联合体及进口产品的相关资格要求。</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3.我单位具备《中华人民共和国政府采购法》第二十二条第一款的条件。</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4.我单位未被列入失信被执行人、重大税收违法案件当事人名单、政府采购严重违法失信行为记录名单。</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5.我单位不存在《深圳市财政局政府采购供应商信用信息管理办法》（深财规〔2023〕3号）列明的严重违法失信行为。</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6</w:t>
      </w:r>
      <w:r>
        <w:rPr>
          <w:rFonts w:ascii="宋体" w:eastAsia="宋体" w:hAnsi="宋体" w:cs="宋体" w:hint="eastAsia"/>
          <w:sz w:val="21"/>
          <w:szCs w:val="21"/>
        </w:rPr>
        <w:t>.</w:t>
      </w:r>
      <w:bookmarkStart w:id="22" w:name="_Hlk72587269"/>
      <w:bookmarkStart w:id="23" w:name="_Hlk72587299"/>
      <w:r>
        <w:rPr>
          <w:rFonts w:ascii="宋体" w:eastAsia="宋体" w:hAnsi="宋体" w:cs="宋体" w:hint="eastAsia"/>
          <w:sz w:val="21"/>
          <w:szCs w:val="21"/>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bookmarkEnd w:id="22"/>
      <w:r>
        <w:rPr>
          <w:rFonts w:ascii="宋体" w:eastAsia="宋体" w:hAnsi="宋体" w:cs="宋体" w:hint="eastAsia"/>
          <w:sz w:val="21"/>
          <w:szCs w:val="21"/>
        </w:rPr>
        <w:t>。</w:t>
      </w:r>
    </w:p>
    <w:bookmarkEnd w:id="23"/>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7</w:t>
      </w:r>
      <w:r>
        <w:rPr>
          <w:rFonts w:ascii="宋体" w:eastAsia="宋体" w:hAnsi="宋体" w:cs="宋体" w:hint="eastAsia"/>
          <w:sz w:val="21"/>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8</w:t>
      </w:r>
      <w:r>
        <w:rPr>
          <w:rFonts w:ascii="宋体" w:eastAsia="宋体" w:hAnsi="宋体" w:cs="宋体" w:hint="eastAsia"/>
          <w:sz w:val="21"/>
          <w:szCs w:val="21"/>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9</w:t>
      </w:r>
      <w:r>
        <w:rPr>
          <w:rFonts w:ascii="宋体" w:eastAsia="宋体" w:hAnsi="宋体" w:cs="宋体" w:hint="eastAsia"/>
          <w:sz w:val="21"/>
          <w:szCs w:val="21"/>
        </w:rPr>
        <w:t>.我单位承诺中标后项目不转包，未经采购人同意不进行分包。</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10</w:t>
      </w:r>
      <w:r>
        <w:rPr>
          <w:rFonts w:ascii="宋体" w:eastAsia="宋体" w:hAnsi="宋体" w:cs="宋体" w:hint="eastAsia"/>
          <w:sz w:val="21"/>
          <w:szCs w:val="21"/>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rPr>
        <w:t>1</w:t>
      </w:r>
      <w:r>
        <w:rPr>
          <w:rFonts w:ascii="宋体" w:eastAsia="宋体" w:hAnsi="宋体" w:cs="宋体" w:hint="eastAsia"/>
          <w:sz w:val="21"/>
          <w:szCs w:val="21"/>
          <w:lang w:eastAsia="zh-CN"/>
        </w:rPr>
        <w:t>1</w:t>
      </w:r>
      <w:r>
        <w:rPr>
          <w:rFonts w:ascii="宋体" w:eastAsia="宋体" w:hAnsi="宋体" w:cs="宋体" w:hint="eastAsia"/>
          <w:sz w:val="21"/>
          <w:szCs w:val="21"/>
        </w:rPr>
        <w:t>.我单位保证，若所投货物涉及《财政部生态环境部关于印发节能产品政府采购品目清单的通知》（财库〔2019〕19号）列明的政府采购强制产品，则所投该产品符合节能产品的认证要求。</w:t>
      </w:r>
      <w:r>
        <w:rPr>
          <w:rFonts w:ascii="宋体" w:eastAsia="宋体" w:hAnsi="宋体" w:cs="宋体" w:hint="eastAsia"/>
          <w:sz w:val="21"/>
          <w:szCs w:val="21"/>
          <w:lang w:eastAsia="zh-CN"/>
        </w:rPr>
        <w:t>若所投产品包括数据中心相关设备的，应满足</w:t>
      </w:r>
      <w:r>
        <w:rPr>
          <w:rFonts w:ascii="宋体" w:eastAsia="宋体" w:hAnsi="宋体" w:cs="宋体" w:hint="eastAsia"/>
          <w:sz w:val="21"/>
          <w:szCs w:val="21"/>
        </w:rPr>
        <w:t>《财政部 生态环境部 工业和信息化部关于印发&lt;绿色数据中心政府采购需求标准（试行）&gt;的通知》</w:t>
      </w:r>
      <w:r>
        <w:rPr>
          <w:rFonts w:ascii="宋体" w:eastAsia="宋体" w:hAnsi="宋体" w:cs="宋体" w:hint="eastAsia"/>
          <w:sz w:val="21"/>
          <w:szCs w:val="21"/>
          <w:lang w:eastAsia="zh-CN"/>
        </w:rPr>
        <w:t>（</w:t>
      </w:r>
      <w:r>
        <w:rPr>
          <w:rFonts w:ascii="宋体" w:eastAsia="宋体" w:hAnsi="宋体" w:cs="宋体" w:hint="eastAsia"/>
          <w:sz w:val="21"/>
          <w:szCs w:val="21"/>
        </w:rPr>
        <w:t>财库〔2023〕7号）</w:t>
      </w:r>
      <w:r>
        <w:rPr>
          <w:rFonts w:ascii="宋体" w:eastAsia="宋体" w:hAnsi="宋体" w:cs="宋体" w:hint="eastAsia"/>
          <w:sz w:val="21"/>
          <w:szCs w:val="21"/>
          <w:lang w:eastAsia="zh-CN"/>
        </w:rPr>
        <w:t>要求。若所投产品涉及国家强制性标准的，所投产品应符合国家强制性标准相关要求。</w:t>
      </w:r>
    </w:p>
    <w:p>
      <w:pPr>
        <w:spacing w:line="360" w:lineRule="auto"/>
        <w:ind w:firstLine="420" w:firstLineChars="200"/>
        <w:rPr>
          <w:rFonts w:ascii="宋体" w:eastAsia="宋体" w:hAnsi="宋体" w:cs="宋体" w:hint="eastAsia"/>
          <w:bCs/>
          <w:sz w:val="21"/>
          <w:szCs w:val="21"/>
        </w:rPr>
      </w:pPr>
      <w:r>
        <w:rPr>
          <w:rFonts w:ascii="宋体" w:eastAsia="宋体" w:hAnsi="宋体" w:cs="宋体" w:hint="eastAsia"/>
          <w:bCs/>
          <w:sz w:val="21"/>
          <w:szCs w:val="21"/>
        </w:rPr>
        <w:t>1</w:t>
      </w:r>
      <w:r>
        <w:rPr>
          <w:rFonts w:ascii="宋体" w:eastAsia="宋体" w:hAnsi="宋体" w:cs="宋体" w:hint="eastAsia"/>
          <w:bCs/>
          <w:sz w:val="21"/>
          <w:szCs w:val="21"/>
          <w:lang w:eastAsia="zh-CN"/>
        </w:rPr>
        <w:t>2</w:t>
      </w:r>
      <w:r>
        <w:rPr>
          <w:rFonts w:ascii="宋体" w:eastAsia="宋体" w:hAnsi="宋体" w:cs="宋体" w:hint="eastAsia"/>
          <w:bCs/>
          <w:sz w:val="21"/>
          <w:szCs w:val="21"/>
        </w:rPr>
        <w:t>.我单位已知悉并同意中标（成交）结果信息公示（公开）的内容。</w:t>
      </w:r>
    </w:p>
    <w:p>
      <w:pPr>
        <w:spacing w:line="360" w:lineRule="auto"/>
        <w:ind w:firstLine="420" w:firstLineChars="200"/>
        <w:rPr>
          <w:rFonts w:ascii="宋体" w:eastAsia="宋体" w:hAnsi="宋体" w:cs="宋体" w:hint="eastAsia"/>
          <w:b/>
          <w:sz w:val="21"/>
          <w:szCs w:val="21"/>
          <w:lang w:eastAsia="zh-CN"/>
        </w:rPr>
      </w:pPr>
      <w:r>
        <w:rPr>
          <w:rFonts w:ascii="宋体" w:eastAsia="宋体" w:hAnsi="宋体" w:cs="宋体" w:hint="eastAsia"/>
          <w:bCs/>
          <w:sz w:val="21"/>
          <w:szCs w:val="21"/>
        </w:rPr>
        <w:t>1</w:t>
      </w:r>
      <w:r>
        <w:rPr>
          <w:rFonts w:ascii="宋体" w:eastAsia="宋体" w:hAnsi="宋体" w:cs="宋体" w:hint="eastAsia"/>
          <w:bCs/>
          <w:sz w:val="21"/>
          <w:szCs w:val="21"/>
          <w:lang w:eastAsia="zh-CN"/>
        </w:rPr>
        <w:t>3</w:t>
      </w:r>
      <w:r>
        <w:rPr>
          <w:rFonts w:ascii="宋体" w:eastAsia="宋体" w:hAnsi="宋体" w:cs="宋体" w:hint="eastAsia"/>
          <w:bCs/>
          <w:sz w:val="21"/>
          <w:szCs w:val="21"/>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r>
        <w:rPr>
          <w:rFonts w:ascii="宋体" w:eastAsia="宋体" w:hAnsi="宋体" w:cs="宋体" w:hint="eastAsia"/>
          <w:bCs/>
          <w:sz w:val="21"/>
          <w:szCs w:val="21"/>
          <w:lang w:eastAsia="zh-CN"/>
        </w:rPr>
        <w:t>若</w:t>
      </w:r>
      <w:r>
        <w:rPr>
          <w:rFonts w:ascii="宋体" w:eastAsia="宋体" w:hAnsi="宋体" w:cs="宋体" w:hint="eastAsia"/>
          <w:bCs/>
          <w:sz w:val="21"/>
          <w:szCs w:val="21"/>
        </w:rPr>
        <w:t>存在“不同供应商的董事、股东或其他高级管理人员为同一人的”情形的，</w:t>
      </w:r>
      <w:r>
        <w:rPr>
          <w:rFonts w:ascii="宋体" w:eastAsia="宋体" w:hAnsi="宋体" w:cs="宋体" w:hint="eastAsia"/>
          <w:bCs/>
          <w:sz w:val="21"/>
          <w:szCs w:val="21"/>
          <w:lang w:eastAsia="zh-CN"/>
        </w:rPr>
        <w:t>我单位保证</w:t>
      </w:r>
      <w:r>
        <w:rPr>
          <w:rFonts w:ascii="宋体" w:eastAsia="宋体" w:hAnsi="宋体" w:cs="宋体" w:hint="eastAsia"/>
          <w:bCs/>
          <w:sz w:val="21"/>
          <w:szCs w:val="21"/>
        </w:rPr>
        <w:t>不存在串通投标、恶意串通或者视为串通投标的情形</w:t>
      </w:r>
      <w:r>
        <w:rPr>
          <w:rFonts w:ascii="宋体" w:eastAsia="宋体" w:hAnsi="宋体" w:cs="宋体" w:hint="eastAsia"/>
          <w:bCs/>
          <w:sz w:val="21"/>
          <w:szCs w:val="21"/>
          <w:lang w:eastAsia="zh-CN"/>
        </w:rPr>
        <w:t>。</w:t>
      </w:r>
    </w:p>
    <w:p>
      <w:pPr>
        <w:spacing w:line="360" w:lineRule="auto"/>
        <w:ind w:firstLine="420" w:firstLineChars="200"/>
        <w:rPr>
          <w:rFonts w:ascii="宋体" w:eastAsia="宋体" w:hAnsi="宋体" w:cs="宋体" w:hint="eastAsia"/>
          <w:b/>
          <w:sz w:val="21"/>
          <w:szCs w:val="21"/>
          <w:lang w:eastAsia="zh-CN"/>
        </w:rPr>
      </w:pPr>
      <w:r>
        <w:rPr>
          <w:rFonts w:ascii="宋体" w:eastAsia="宋体" w:hAnsi="宋体" w:cs="宋体" w:hint="eastAsia"/>
          <w:b/>
          <w:sz w:val="21"/>
          <w:szCs w:val="21"/>
          <w:lang w:eastAsia="zh-CN"/>
        </w:rPr>
        <w:t>14.我单位清楚，如存在违反投标承诺行为情节严重的，将根据《深圳市财政局关于印发&lt;深圳市财政局政府采购供应商信用信息管理办法&gt;的通知》，依法被列入失信信息。</w:t>
      </w:r>
    </w:p>
    <w:p>
      <w:pPr>
        <w:spacing w:line="360" w:lineRule="auto"/>
        <w:ind w:firstLine="420" w:firstLineChars="200"/>
        <w:rPr>
          <w:rFonts w:ascii="宋体" w:eastAsia="宋体" w:hAnsi="宋体" w:cs="宋体" w:hint="eastAsia"/>
          <w:bCs/>
          <w:sz w:val="21"/>
          <w:szCs w:val="21"/>
        </w:rPr>
      </w:pPr>
      <w:r>
        <w:rPr>
          <w:rFonts w:ascii="宋体" w:eastAsia="宋体" w:hAnsi="宋体" w:cs="宋体" w:hint="eastAsia"/>
          <w:bCs/>
          <w:sz w:val="21"/>
          <w:szCs w:val="21"/>
          <w:lang w:eastAsia="zh-CN"/>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以上承诺，如有违反，愿依照国家相关法律法规处理，并承担由此给采购人带来的损失。</w:t>
      </w:r>
    </w:p>
    <w:bookmarkEnd w:id="21"/>
    <w:p>
      <w:pPr>
        <w:widowControl w:val="0"/>
        <w:spacing w:before="60" w:beforeLines="25" w:after="60" w:afterLines="25"/>
        <w:jc w:val="right"/>
        <w:rPr>
          <w:rFonts w:ascii="Calibri" w:eastAsia="宋体" w:hAnsi="Calibri" w:hint="eastAsia"/>
          <w:kern w:val="2"/>
          <w:sz w:val="21"/>
          <w:szCs w:val="21"/>
          <w:lang w:eastAsia="zh-CN"/>
        </w:rPr>
      </w:pPr>
    </w:p>
    <w:p>
      <w:pPr>
        <w:widowControl w:val="0"/>
        <w:spacing w:before="60" w:beforeLines="25" w:after="60" w:afterLines="25"/>
        <w:jc w:val="right"/>
        <w:rPr>
          <w:rFonts w:ascii="Calibri" w:eastAsia="宋体" w:hAnsi="Calibri" w:hint="eastAsia"/>
          <w:kern w:val="2"/>
          <w:sz w:val="21"/>
          <w:szCs w:val="22"/>
          <w:lang w:eastAsia="zh-CN"/>
        </w:rPr>
      </w:pPr>
      <w:r>
        <w:rPr>
          <w:rFonts w:ascii="Calibri" w:eastAsia="宋体" w:hAnsi="Calibri"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Calibri" w:eastAsia="宋体" w:hAnsi="Calibri" w:cstheme="minorBidi" w:hint="eastAsia"/>
          <w:color w:val="FFFFFF"/>
          <w:kern w:val="2"/>
          <w:sz w:val="21"/>
          <w:szCs w:val="21"/>
          <w:u w:val="single"/>
          <w:lang w:eastAsia="zh-CN"/>
        </w:rPr>
        <w:t>.</w:t>
      </w:r>
    </w:p>
    <w:p>
      <w:pPr>
        <w:widowControl w:val="0"/>
        <w:ind w:firstLine="645"/>
        <w:jc w:val="right"/>
        <w:rPr>
          <w:rFonts w:ascii="宋体" w:eastAsia="宋体" w:hAnsi="宋体"/>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宋体" w:eastAsia="宋体" w:hAnsi="宋体" w:cs="宋体"/>
          <w:b/>
          <w:bCs/>
          <w:color w:val="FF0000"/>
          <w:kern w:val="2"/>
          <w:sz w:val="21"/>
          <w:szCs w:val="21"/>
          <w:lang w:eastAsia="zh-CN"/>
        </w:rPr>
      </w:pPr>
    </w:p>
    <w:p>
      <w:pPr>
        <w:spacing w:line="360" w:lineRule="auto"/>
        <w:ind w:firstLine="420" w:firstLineChars="200"/>
        <w:rPr>
          <w:rFonts w:ascii="宋体" w:eastAsia="宋体" w:hAnsi="宋体" w:cs="宋体" w:hint="eastAsia"/>
          <w:bCs/>
          <w:sz w:val="21"/>
          <w:szCs w:val="21"/>
          <w:lang w:eastAsia="zh-CN"/>
        </w:rPr>
      </w:pPr>
    </w:p>
    <w:p>
      <w:pPr>
        <w:spacing w:line="360" w:lineRule="auto"/>
        <w:ind w:firstLine="420" w:firstLineChars="200"/>
        <w:rPr>
          <w:rFonts w:ascii="宋体" w:eastAsia="宋体" w:hAnsi="宋体" w:cs="宋体" w:hint="eastAsia"/>
          <w:bCs/>
          <w:sz w:val="21"/>
          <w:szCs w:val="21"/>
          <w:lang w:eastAsia="zh-CN"/>
        </w:rPr>
      </w:pPr>
      <w:r>
        <w:rPr>
          <w:rFonts w:ascii="宋体" w:eastAsia="宋体" w:hAnsi="宋体" w:cs="宋体" w:hint="eastAsia"/>
          <w:bCs/>
          <w:sz w:val="21"/>
          <w:szCs w:val="21"/>
          <w:lang w:eastAsia="zh-CN"/>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pPr>
        <w:widowControl w:val="0"/>
        <w:ind w:firstLine="645"/>
        <w:jc w:val="both"/>
        <w:rPr>
          <w:rFonts w:ascii="宋体" w:eastAsia="宋体" w:hAnsi="宋体"/>
          <w:kern w:val="2"/>
          <w:sz w:val="21"/>
          <w:szCs w:val="21"/>
          <w:lang w:eastAsia="zh-CN"/>
        </w:rPr>
      </w:pPr>
    </w:p>
    <w:p>
      <w:pPr>
        <w:widowControl w:val="0"/>
        <w:jc w:val="both"/>
        <w:rPr>
          <w:rFonts w:ascii="宋体" w:eastAsia="宋体" w:hAnsi="Calibri"/>
          <w:b/>
          <w:kern w:val="2"/>
          <w:sz w:val="21"/>
          <w:szCs w:val="21"/>
          <w:lang w:eastAsia="zh-CN"/>
        </w:rPr>
      </w:pPr>
    </w:p>
    <w:p>
      <w:pPr>
        <w:widowControl w:val="0"/>
        <w:ind w:firstLine="480" w:firstLineChars="200"/>
        <w:jc w:val="center"/>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jc w:val="both"/>
        <w:rPr>
          <w:rFonts w:ascii="Calibri" w:eastAsia="宋体" w:hAnsi="宋体"/>
          <w:b/>
          <w:bCs/>
          <w:kern w:val="2"/>
          <w:szCs w:val="22"/>
          <w:lang w:eastAsia="zh-CN"/>
        </w:rPr>
      </w:pPr>
    </w:p>
    <w:p>
      <w:pPr>
        <w:keepNext/>
        <w:keepLines/>
        <w:widowControl w:val="0"/>
        <w:spacing w:before="260" w:after="260" w:line="240" w:lineRule="auto"/>
        <w:jc w:val="center"/>
        <w:outlineLvl w:val="2"/>
        <w:rPr>
          <w:rFonts w:ascii="黑体" w:eastAsia="黑体" w:hAnsi="宋体"/>
          <w:b/>
          <w:kern w:val="2"/>
          <w:sz w:val="30"/>
          <w:szCs w:val="30"/>
          <w:lang w:eastAsia="zh-CN"/>
        </w:rPr>
      </w:pPr>
      <w:r>
        <w:rPr>
          <w:rFonts w:ascii="黑体" w:eastAsia="黑体" w:hAnsi="宋体" w:cstheme="minorBidi" w:hint="eastAsia"/>
          <w:b/>
          <w:kern w:val="2"/>
          <w:sz w:val="30"/>
          <w:szCs w:val="30"/>
          <w:lang w:eastAsia="zh-CN"/>
        </w:rPr>
        <w:t>三、投标人情况及资格证明文件</w:t>
      </w:r>
    </w:p>
    <w:p>
      <w:pPr>
        <w:widowControl w:val="0"/>
        <w:jc w:val="both"/>
        <w:rPr>
          <w:rFonts w:ascii="Calibri" w:eastAsia="宋体" w:hAnsi="Calibri"/>
          <w:b/>
          <w:bCs/>
          <w:kern w:val="2"/>
          <w:szCs w:val="22"/>
          <w:lang w:eastAsia="zh-CN"/>
        </w:rPr>
      </w:pPr>
    </w:p>
    <w:p>
      <w:pPr>
        <w:widowControl w:val="0"/>
        <w:ind w:firstLine="2640" w:firstLineChars="1100"/>
        <w:jc w:val="both"/>
        <w:outlineLvl w:val="3"/>
        <w:rPr>
          <w:rFonts w:ascii="黑体" w:eastAsia="黑体" w:hAnsi="宋体"/>
          <w:bCs/>
          <w:szCs w:val="32"/>
          <w:lang w:eastAsia="zh-CN"/>
        </w:rPr>
      </w:pPr>
      <w:bookmarkStart w:id="24" w:name="_Hlk72257590"/>
      <w:r>
        <w:rPr>
          <w:rFonts w:ascii="黑体" w:eastAsia="黑体" w:hAnsi="宋体" w:cstheme="minorBidi" w:hint="eastAsia"/>
          <w:bCs/>
          <w:szCs w:val="32"/>
          <w:lang w:eastAsia="zh-CN"/>
        </w:rPr>
        <w:t>（一）投标人资格证明文件</w:t>
      </w:r>
    </w:p>
    <w:p>
      <w:pPr>
        <w:widowControl w:val="0"/>
        <w:spacing w:before="120" w:beforeLines="50"/>
        <w:ind w:firstLine="420" w:firstLineChars="200"/>
        <w:jc w:val="both"/>
        <w:rPr>
          <w:rFonts w:ascii="Calibri" w:eastAsia="宋体" w:hAnsi="Calibri"/>
          <w:b/>
          <w:bCs/>
          <w:color w:val="FF0000"/>
          <w:kern w:val="2"/>
          <w:sz w:val="21"/>
          <w:szCs w:val="22"/>
          <w:lang w:eastAsia="zh-CN"/>
        </w:rPr>
      </w:pPr>
      <w:r>
        <w:rPr>
          <w:rFonts w:ascii="Calibri" w:eastAsia="宋体" w:hAnsi="Calibri" w:cstheme="minorBidi" w:hint="eastAsia"/>
          <w:b/>
          <w:bCs/>
          <w:color w:val="FF0000"/>
          <w:kern w:val="2"/>
          <w:sz w:val="21"/>
          <w:szCs w:val="22"/>
          <w:lang w:eastAsia="zh-CN"/>
        </w:rPr>
        <w:t>（特别提示：投标人须按本招标文件第一册第一章招标公告“申请人的资格要求”（即投标人资格要求）提供相关的资格证明资料，未提供或提供不完整、不符合要求的，将作投标无效处理，其中要求提供《龙华区教育局自行采购投标及履约承诺函》且已在“二、龙华区教育局自行采购投标及履约承诺函”章节中提供了，此处可不重复提供。）</w:t>
      </w:r>
    </w:p>
    <w:p>
      <w:pPr>
        <w:widowControl w:val="0"/>
        <w:jc w:val="both"/>
        <w:rPr>
          <w:rFonts w:ascii="Calibri" w:eastAsia="宋体" w:hAnsi="Calibri"/>
          <w:b/>
          <w:bCs/>
          <w:kern w:val="2"/>
          <w:szCs w:val="22"/>
          <w:lang w:eastAsia="zh-CN"/>
        </w:rPr>
      </w:pPr>
    </w:p>
    <w:p>
      <w:pPr>
        <w:widowControl w:val="0"/>
        <w:ind w:firstLine="480" w:firstLineChars="200"/>
        <w:jc w:val="both"/>
        <w:outlineLvl w:val="3"/>
        <w:rPr>
          <w:rFonts w:ascii="黑体" w:eastAsia="黑体" w:hAnsi="宋体"/>
          <w:bCs/>
          <w:szCs w:val="32"/>
          <w:lang w:eastAsia="zh-CN"/>
        </w:rPr>
      </w:pPr>
      <w:bookmarkStart w:id="25" w:name="_Hlk72257908"/>
      <w:r>
        <w:rPr>
          <w:rFonts w:ascii="黑体" w:eastAsia="黑体" w:hAnsi="宋体" w:cstheme="minorBidi" w:hint="eastAsia"/>
          <w:bCs/>
          <w:szCs w:val="32"/>
          <w:lang w:eastAsia="zh-CN"/>
        </w:rPr>
        <w:t>（二）中小企业声明函、残疾人福利性单位声明函及监狱企业声明函</w:t>
      </w:r>
    </w:p>
    <w:bookmarkEnd w:id="24"/>
    <w:p>
      <w:pPr>
        <w:widowControl w:val="0"/>
        <w:jc w:val="both"/>
        <w:rPr>
          <w:rFonts w:ascii="Calibri" w:eastAsia="宋体" w:hAnsi="Calibri"/>
          <w:sz w:val="21"/>
          <w:szCs w:val="22"/>
          <w:lang w:eastAsia="zh-CN"/>
        </w:rPr>
      </w:pPr>
      <w:r>
        <w:rPr>
          <w:rFonts w:ascii="Calibri" w:eastAsia="宋体" w:hAnsi="Calibri" w:cstheme="minorBidi" w:hint="eastAsia"/>
          <w:sz w:val="21"/>
          <w:szCs w:val="22"/>
          <w:lang w:eastAsia="zh-CN"/>
        </w:rPr>
        <w:t>填写指引：</w:t>
      </w:r>
    </w:p>
    <w:p>
      <w:pPr>
        <w:widowControl w:val="0"/>
        <w:jc w:val="both"/>
        <w:rPr>
          <w:rFonts w:ascii="Calibri" w:eastAsia="宋体" w:hAnsi="Calibri"/>
          <w:kern w:val="2"/>
          <w:sz w:val="21"/>
          <w:szCs w:val="22"/>
          <w:lang w:eastAsia="zh-CN"/>
        </w:rPr>
      </w:pPr>
      <w:r>
        <w:rPr>
          <w:rFonts w:ascii="Calibri" w:eastAsia="宋体" w:hAnsi="宋体" w:cstheme="minorBidi" w:hint="eastAsia"/>
          <w:bCs/>
          <w:sz w:val="21"/>
          <w:szCs w:val="22"/>
          <w:lang w:eastAsia="zh-CN"/>
        </w:rPr>
        <w:t>1、该部分内容由投标人根据自身实际情况填写，不符合要求的投标人可以不填写或直接删除相应的声明函。</w:t>
      </w:r>
      <w:r>
        <w:rPr>
          <w:rFonts w:ascii="Calibri" w:eastAsia="宋体" w:hAnsi="Calibri" w:cstheme="minorBidi" w:hint="eastAsia"/>
          <w:kern w:val="2"/>
          <w:sz w:val="21"/>
          <w:szCs w:val="22"/>
          <w:lang w:eastAsia="zh-CN"/>
        </w:rPr>
        <w:t>投标人提供的声明函不属实的，属于提供虚假资料谋取中标，依照《中华人民共和国政府采购法》等国家有关规定追究相应责任。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2、该部分内容填写需要参考的相关文件：</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)财政部《政府采购促进中小企业发展管理办法》（财库〔2020〕46号）；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2</w:t>
      </w:r>
      <w:r>
        <w:rPr>
          <w:rFonts w:ascii="Calibri" w:eastAsia="宋体" w:hAnsi="Calibri" w:cstheme="minorBidi" w:hint="eastAsia"/>
          <w:kern w:val="2"/>
          <w:sz w:val="21"/>
          <w:szCs w:val="22"/>
          <w:lang w:eastAsia="zh-CN"/>
        </w:rPr>
        <w:t>)《工业和信息化部、国家统计局、国家发展和改革委员会、财政部关于印发中小企业划型标准规定的通知》（工信部联企业〔2011〕300号，以下简称3</w:t>
      </w:r>
      <w:r>
        <w:rPr>
          <w:rFonts w:ascii="Calibri" w:eastAsia="宋体" w:hAnsi="Calibri" w:cstheme="minorBidi"/>
          <w:kern w:val="2"/>
          <w:sz w:val="21"/>
          <w:szCs w:val="22"/>
          <w:lang w:eastAsia="zh-CN"/>
        </w:rPr>
        <w:t>00</w:t>
      </w:r>
      <w:r>
        <w:rPr>
          <w:rFonts w:ascii="Calibri" w:eastAsia="宋体" w:hAnsi="Calibri" w:cstheme="minorBidi" w:hint="eastAsia"/>
          <w:kern w:val="2"/>
          <w:sz w:val="21"/>
          <w:szCs w:val="22"/>
          <w:lang w:eastAsia="zh-CN"/>
        </w:rPr>
        <w:t>号文）；</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(3)《统计上大中小微型企业划分办法(2017)》（国统字〔2017〕213号）；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(4)《关于促进残疾人就业政府采购政策的通知》（财库〔2017〕141号）；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(5)《关于政府采购支持监狱企业发展有关问题的通知》（财库〔2014〕68号）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3、请依照提供的格式和内容填写声明函，不要随意变更格式；声明函不需要盖章或签字；满足多项优惠政策的投标人，不重复享受多项价格扣除政策。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4、声明函具体填写要求：</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（1）声明是中小企业须填写《中小企业声明函》的以下内容：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第一处，在“单位名称”下划线处如实填写采购人名称（深圳市千里招标代理有限公司不是本项目的采购人，而是组织实施机构）；</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第二处，在“项目名称”下划线处如实填写采购项目名称；</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第四处，在“招标文件中明确的所属行业”下划线处填写采购标的对应的中小企业划分标准所属行业（所属行业可在招标文件第一册第二章“对通用条款的补充内容及其他关键信息”章节查看）；</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制造商所属行业应当与招标文件要求的行业相一致，供应商如有疑问，可根据《国民经济行业分类》（GB/T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（2）声明是残疾人福利性单位须填写《残疾人福利性单位声明函》的相关内容，具体参照以上《中小企业声明函》填写要求执行。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（3）声明是监狱企业须填写《监狱企业声明函》的三项内容（填写位置的字体已加粗），具体参照以上《中小企业声明函》填写要求执行。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ind w:firstLine="420" w:firstLineChars="200"/>
        <w:jc w:val="both"/>
        <w:rPr>
          <w:rFonts w:ascii="Calibri" w:eastAsia="宋体" w:hAnsi="Calibri"/>
          <w:kern w:val="2"/>
          <w:sz w:val="21"/>
          <w:szCs w:val="22"/>
          <w:lang w:eastAsia="zh-CN"/>
        </w:rPr>
      </w:pPr>
    </w:p>
    <w:p>
      <w:pPr>
        <w:widowControl w:val="0"/>
        <w:numPr>
          <w:ilvl w:val="0"/>
          <w:numId w:val="1"/>
        </w:numPr>
        <w:jc w:val="center"/>
        <w:outlineLvl w:val="3"/>
        <w:rPr>
          <w:rFonts w:ascii="Calibri" w:eastAsia="宋体" w:hAnsi="Calibri"/>
          <w:b/>
          <w:kern w:val="2"/>
          <w:szCs w:val="22"/>
          <w:lang w:eastAsia="zh-CN"/>
        </w:rPr>
      </w:pPr>
      <w:r>
        <w:rPr>
          <w:rFonts w:ascii="Calibri" w:eastAsia="宋体" w:hAnsi="Calibri" w:cstheme="minorBidi"/>
          <w:b/>
          <w:kern w:val="2"/>
          <w:szCs w:val="22"/>
          <w:lang w:eastAsia="zh-CN"/>
        </w:rPr>
        <w:t>中小企业声明函（货物）</w:t>
      </w:r>
    </w:p>
    <w:p>
      <w:pPr>
        <w:widowControl w:val="0"/>
        <w:spacing w:line="360" w:lineRule="auto"/>
        <w:jc w:val="both"/>
        <w:rPr>
          <w:rFonts w:ascii="Calibri" w:eastAsia="宋体" w:hAnsi="Calibri"/>
          <w:b/>
          <w:bCs/>
          <w:kern w:val="2"/>
          <w:szCs w:val="22"/>
          <w:lang w:eastAsia="zh-CN"/>
        </w:rPr>
      </w:pP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本公司（联合体）郑重声明，根据《政府采购促进中小企业发展管理办法》（财库﹝2020﹞46号）的规定，本公司（联合体）参加</w:t>
      </w:r>
      <w:r>
        <w:rPr>
          <w:rFonts w:ascii="宋体" w:eastAsia="宋体" w:hAnsi="宋体" w:cs="宋体" w:hint="eastAsia"/>
          <w:b/>
          <w:bCs/>
          <w:i/>
          <w:iCs/>
          <w:kern w:val="2"/>
          <w:sz w:val="21"/>
          <w:szCs w:val="21"/>
          <w:u w:val="single"/>
          <w:lang w:eastAsia="zh-CN"/>
        </w:rPr>
        <w:t>（单位名称）</w:t>
      </w:r>
      <w:r>
        <w:rPr>
          <w:rFonts w:ascii="宋体" w:eastAsia="宋体" w:hAnsi="宋体" w:cs="宋体" w:hint="eastAsia"/>
          <w:kern w:val="2"/>
          <w:sz w:val="21"/>
          <w:szCs w:val="21"/>
          <w:lang w:eastAsia="zh-CN"/>
        </w:rPr>
        <w:t>的</w:t>
      </w:r>
      <w:r>
        <w:rPr>
          <w:rFonts w:ascii="宋体" w:eastAsia="宋体" w:hAnsi="宋体" w:cs="宋体" w:hint="eastAsia"/>
          <w:b/>
          <w:bCs/>
          <w:i/>
          <w:iCs/>
          <w:kern w:val="2"/>
          <w:sz w:val="21"/>
          <w:szCs w:val="21"/>
          <w:u w:val="single"/>
          <w:lang w:eastAsia="zh-CN"/>
        </w:rPr>
        <w:t>（项目名称）</w:t>
      </w:r>
      <w:r>
        <w:rPr>
          <w:rFonts w:ascii="宋体" w:eastAsia="宋体" w:hAnsi="宋体" w:cs="宋体" w:hint="eastAsia"/>
          <w:kern w:val="2"/>
          <w:sz w:val="21"/>
          <w:szCs w:val="21"/>
          <w:lang w:eastAsia="zh-CN"/>
        </w:rPr>
        <w:t>采购活动，提供的货物全部由符合政策要求的中小企业制造。相关企业（含联合体中的中小企业、签订分包意向协议的中小企业）的具体情况如下：</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b/>
          <w:b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以上企业，不属于大企业的分支机构，不存在控股股东为大企业的情形，也不存在与大企业的负责人为同一人的情形。</w:t>
      </w:r>
    </w:p>
    <w:p>
      <w:pPr>
        <w:widowControl w:val="0"/>
        <w:spacing w:line="360" w:lineRule="auto"/>
        <w:ind w:firstLine="420" w:firstLineChars="200"/>
        <w:jc w:val="both"/>
        <w:rPr>
          <w:rFonts w:ascii="宋体" w:eastAsia="宋体" w:hAnsi="宋体" w:cs="宋体"/>
          <w:kern w:val="2"/>
          <w:sz w:val="21"/>
          <w:szCs w:val="21"/>
          <w:lang w:eastAsia="zh-CN"/>
        </w:rPr>
      </w:pPr>
      <w:bookmarkStart w:id="26" w:name="_Hlk73562203"/>
      <w:r>
        <w:rPr>
          <w:rFonts w:ascii="Calibri" w:eastAsia="宋体" w:hAnsi="Calibri" w:cstheme="minorBidi" w:hint="eastAsia"/>
          <w:color w:val="FF0000"/>
          <w:kern w:val="2"/>
          <w:sz w:val="21"/>
          <w:szCs w:val="22"/>
          <w:lang w:eastAsia="zh-CN"/>
        </w:rPr>
        <w:t>本项目所属行业：工业；</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本投标人对上述声明内容的真实性负责。如有虚假，将依法承担相应责任。</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号）第二十条规定，投标人按照本办法规定提供声明函内容不实的，属于提供虚假材料谋取中标，依照《政府采购法》等政府采购有关法律法规规定追究相应责任。</w:t>
      </w:r>
      <w:bookmarkEnd w:id="26"/>
    </w:p>
    <w:p>
      <w:pPr>
        <w:widowControl w:val="0"/>
        <w:spacing w:line="360" w:lineRule="auto"/>
        <w:ind w:firstLine="420" w:firstLineChars="200"/>
        <w:jc w:val="both"/>
        <w:rPr>
          <w:rFonts w:ascii="宋体" w:eastAsia="宋体" w:hAnsi="宋体" w:cs="宋体" w:hint="eastAsia"/>
          <w:kern w:val="2"/>
          <w:sz w:val="21"/>
          <w:szCs w:val="21"/>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2、残疾人福利性单位声明函（货物类）</w:t>
      </w:r>
    </w:p>
    <w:p>
      <w:pPr>
        <w:widowControl w:val="0"/>
        <w:jc w:val="both"/>
        <w:rPr>
          <w:rFonts w:ascii="Calibri" w:eastAsia="宋体" w:hAnsi="Calibri"/>
          <w:b/>
          <w:bCs/>
          <w:kern w:val="2"/>
          <w:sz w:val="21"/>
          <w:szCs w:val="22"/>
          <w:lang w:eastAsia="zh-CN"/>
        </w:rPr>
      </w:pPr>
    </w:p>
    <w:p>
      <w:pPr>
        <w:widowControl w:val="0"/>
        <w:spacing w:line="360" w:lineRule="auto"/>
        <w:ind w:firstLine="420" w:firstLineChars="200"/>
        <w:jc w:val="both"/>
        <w:rPr>
          <w:rFonts w:ascii="宋体" w:eastAsia="宋体" w:hAnsi="宋体" w:cs="宋体"/>
          <w:kern w:val="2"/>
          <w:sz w:val="21"/>
          <w:szCs w:val="21"/>
          <w:lang w:eastAsia="zh-CN"/>
        </w:rPr>
      </w:pPr>
      <w:bookmarkStart w:id="27" w:name="_Hlk73562331"/>
      <w:bookmarkStart w:id="28" w:name="_Hlk73562245"/>
      <w:r>
        <w:rPr>
          <w:rFonts w:ascii="宋体" w:eastAsia="宋体" w:hAnsi="宋体" w:cs="宋体" w:hint="eastAsia"/>
          <w:kern w:val="2"/>
          <w:sz w:val="21"/>
          <w:szCs w:val="21"/>
          <w:lang w:eastAsia="zh-CN"/>
        </w:rPr>
        <w:t>本单位郑重声明，根据《财政部民政部中国残疾人联合会关于促进残疾人就业政府采购政策的通知》（财库〔2017〕141号）的规定，本单位为符合条件的残疾人福利性单位，且本单位参加</w:t>
      </w:r>
      <w:r>
        <w:rPr>
          <w:rFonts w:ascii="宋体" w:eastAsia="宋体" w:hAnsi="宋体" w:cs="宋体" w:hint="eastAsia"/>
          <w:b/>
          <w:bCs/>
          <w:kern w:val="2"/>
          <w:sz w:val="21"/>
          <w:szCs w:val="21"/>
          <w:u w:val="single"/>
          <w:lang w:eastAsia="zh-CN"/>
        </w:rPr>
        <w:t>（单位名称）</w:t>
      </w:r>
      <w:r>
        <w:rPr>
          <w:rFonts w:ascii="宋体" w:eastAsia="宋体" w:hAnsi="宋体" w:cs="宋体" w:hint="eastAsia"/>
          <w:kern w:val="2"/>
          <w:sz w:val="21"/>
          <w:szCs w:val="21"/>
          <w:lang w:eastAsia="zh-CN"/>
        </w:rPr>
        <w:t>单位的</w:t>
      </w:r>
      <w:r>
        <w:rPr>
          <w:rFonts w:ascii="宋体" w:eastAsia="宋体" w:hAnsi="宋体" w:cs="宋体" w:hint="eastAsia"/>
          <w:b/>
          <w:bCs/>
          <w:kern w:val="2"/>
          <w:sz w:val="21"/>
          <w:szCs w:val="21"/>
          <w:u w:val="single"/>
          <w:lang w:eastAsia="zh-CN"/>
        </w:rPr>
        <w:t>（项目名称）</w:t>
      </w:r>
      <w:r>
        <w:rPr>
          <w:rFonts w:ascii="宋体" w:eastAsia="宋体" w:hAnsi="宋体" w:cs="宋体" w:hint="eastAsia"/>
          <w:kern w:val="2"/>
          <w:sz w:val="21"/>
          <w:szCs w:val="21"/>
          <w:lang w:eastAsia="zh-CN"/>
        </w:rPr>
        <w:t>项目采购活动提供本单位制造的货物（由本单位承担工程/提供服务），或者提供其他残疾人福利性单位制造的货物（不包括使用非残疾人福利性单位注册商标的货物）。</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bookmarkEnd w:id="27"/>
    </w:p>
    <w:bookmarkEnd w:id="28"/>
    <w:p>
      <w:pPr>
        <w:widowControl w:val="0"/>
        <w:ind w:firstLine="420" w:firstLineChars="200"/>
        <w:jc w:val="both"/>
        <w:rPr>
          <w:rFonts w:ascii="宋体" w:eastAsia="宋体" w:hAnsi="宋体"/>
          <w:kern w:val="2"/>
          <w:sz w:val="21"/>
          <w:szCs w:val="21"/>
          <w:lang w:eastAsia="zh-CN"/>
        </w:rPr>
      </w:pPr>
    </w:p>
    <w:p>
      <w:pPr>
        <w:widowControl w:val="0"/>
        <w:ind w:firstLine="420" w:firstLineChars="200"/>
        <w:jc w:val="both"/>
        <w:rPr>
          <w:rFonts w:ascii="宋体" w:eastAsia="宋体" w:hAnsi="宋体"/>
          <w:kern w:val="2"/>
          <w:sz w:val="21"/>
          <w:szCs w:val="21"/>
          <w:lang w:eastAsia="zh-CN"/>
        </w:rPr>
      </w:pPr>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3、监狱企业声明函【货物类，提供监狱企业货物的供应商如需享受优惠政策，还须另行提供省级以上监狱管理局、戒毒管理局（含新疆生产建设兵团）出具的监狱企业证明文件】</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本投标人郑重声明，根据《财政部司法部关于政府采购支持监狱企业发展有关问题的通知》（财库〔</w:t>
      </w:r>
      <w:r>
        <w:rPr>
          <w:rFonts w:ascii="宋体" w:eastAsia="宋体" w:hAnsi="宋体" w:cstheme="minorBidi"/>
          <w:kern w:val="2"/>
          <w:sz w:val="21"/>
          <w:szCs w:val="21"/>
          <w:lang w:eastAsia="zh-CN"/>
        </w:rPr>
        <w:t>2014</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68</w:t>
      </w:r>
      <w:r>
        <w:rPr>
          <w:rFonts w:ascii="宋体" w:eastAsia="宋体" w:hAnsi="宋体" w:cstheme="minorBidi" w:hint="eastAsia"/>
          <w:kern w:val="2"/>
          <w:sz w:val="21"/>
          <w:szCs w:val="21"/>
          <w:lang w:eastAsia="zh-CN"/>
        </w:rPr>
        <w:t>号）的规定，本投标人</w:t>
      </w:r>
      <w:r>
        <w:rPr>
          <w:rFonts w:ascii="宋体" w:eastAsia="宋体" w:hAnsi="宋体" w:cstheme="minorBidi"/>
          <w:kern w:val="2"/>
          <w:sz w:val="21"/>
          <w:szCs w:val="21"/>
          <w:lang w:eastAsia="zh-CN"/>
        </w:rPr>
        <w:t>参加</w:t>
      </w:r>
      <w:r>
        <w:rPr>
          <w:rFonts w:ascii="宋体" w:eastAsia="宋体" w:hAnsi="宋体" w:cstheme="minorBidi"/>
          <w:b/>
          <w:bCs/>
          <w:kern w:val="2"/>
          <w:sz w:val="21"/>
          <w:szCs w:val="21"/>
          <w:u w:val="single"/>
          <w:lang w:eastAsia="zh-CN"/>
        </w:rPr>
        <w:t>（</w:t>
      </w:r>
      <w:r>
        <w:rPr>
          <w:rFonts w:ascii="宋体" w:eastAsia="宋体" w:hAnsi="宋体" w:cstheme="minorBidi" w:hint="eastAsia"/>
          <w:b/>
          <w:bCs/>
          <w:kern w:val="2"/>
          <w:sz w:val="21"/>
          <w:szCs w:val="21"/>
          <w:u w:val="single"/>
          <w:lang w:eastAsia="zh-CN"/>
        </w:rPr>
        <w:t>采购人</w:t>
      </w:r>
      <w:r>
        <w:rPr>
          <w:rFonts w:ascii="宋体" w:eastAsia="宋体" w:hAnsi="宋体" w:cstheme="minorBidi"/>
          <w:b/>
          <w:bCs/>
          <w:kern w:val="2"/>
          <w:sz w:val="21"/>
          <w:szCs w:val="21"/>
          <w:u w:val="single"/>
          <w:lang w:eastAsia="zh-CN"/>
        </w:rPr>
        <w:t>名称）</w:t>
      </w:r>
      <w:r>
        <w:rPr>
          <w:rFonts w:ascii="宋体" w:eastAsia="宋体" w:hAnsi="宋体" w:cstheme="minorBidi"/>
          <w:kern w:val="2"/>
          <w:sz w:val="21"/>
          <w:szCs w:val="21"/>
          <w:lang w:eastAsia="zh-CN"/>
        </w:rPr>
        <w:t>的</w:t>
      </w:r>
      <w:r>
        <w:rPr>
          <w:rFonts w:ascii="宋体" w:eastAsia="宋体" w:hAnsi="宋体" w:cstheme="minorBidi"/>
          <w:b/>
          <w:bCs/>
          <w:kern w:val="2"/>
          <w:sz w:val="21"/>
          <w:szCs w:val="21"/>
          <w:u w:val="single"/>
          <w:lang w:eastAsia="zh-CN"/>
        </w:rPr>
        <w:t>（项目名称）</w:t>
      </w:r>
      <w:r>
        <w:rPr>
          <w:rFonts w:ascii="宋体" w:eastAsia="宋体" w:hAnsi="宋体" w:cstheme="minorBidi"/>
          <w:kern w:val="2"/>
          <w:sz w:val="21"/>
          <w:szCs w:val="21"/>
          <w:lang w:eastAsia="zh-CN"/>
        </w:rPr>
        <w:t>采购活动，提供的货物全部由符合政策要求的</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制造。相关</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的具体情况如下：</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b/>
          <w:b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kern w:val="2"/>
          <w:sz w:val="21"/>
          <w:szCs w:val="21"/>
          <w:u w:val="single"/>
          <w:lang w:eastAsia="zh-CN"/>
        </w:rPr>
        <w:t>（</w:t>
      </w:r>
      <w:r>
        <w:rPr>
          <w:rFonts w:ascii="宋体" w:eastAsia="宋体" w:hAnsi="宋体" w:cstheme="minorBidi" w:hint="eastAsia"/>
          <w:b/>
          <w:bCs/>
          <w:kern w:val="2"/>
          <w:sz w:val="21"/>
          <w:szCs w:val="21"/>
          <w:u w:val="single"/>
          <w:lang w:eastAsia="zh-CN"/>
        </w:rPr>
        <w:t>企业</w:t>
      </w:r>
      <w:r>
        <w:rPr>
          <w:rFonts w:ascii="宋体" w:eastAsia="宋体" w:hAnsi="宋体" w:cstheme="minorBidi"/>
          <w:b/>
          <w:b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kern w:val="2"/>
          <w:sz w:val="21"/>
          <w:szCs w:val="21"/>
          <w:lang w:eastAsia="zh-CN"/>
        </w:rPr>
        <w:t>；</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b/>
          <w:b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kern w:val="2"/>
          <w:sz w:val="21"/>
          <w:szCs w:val="21"/>
          <w:u w:val="single"/>
          <w:lang w:eastAsia="zh-CN"/>
        </w:rPr>
        <w:t>（</w:t>
      </w:r>
      <w:r>
        <w:rPr>
          <w:rFonts w:ascii="宋体" w:eastAsia="宋体" w:hAnsi="宋体" w:cstheme="minorBidi" w:hint="eastAsia"/>
          <w:b/>
          <w:bCs/>
          <w:kern w:val="2"/>
          <w:sz w:val="21"/>
          <w:szCs w:val="21"/>
          <w:u w:val="single"/>
          <w:lang w:eastAsia="zh-CN"/>
        </w:rPr>
        <w:t>企业</w:t>
      </w:r>
      <w:r>
        <w:rPr>
          <w:rFonts w:ascii="宋体" w:eastAsia="宋体" w:hAnsi="宋体" w:cstheme="minorBidi"/>
          <w:b/>
          <w:b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hint="eastAsia"/>
          <w:kern w:val="2"/>
          <w:sz w:val="21"/>
          <w:szCs w:val="21"/>
          <w:lang w:eastAsia="zh-CN"/>
        </w:rPr>
        <w:t>。</w:t>
      </w:r>
    </w:p>
    <w:p>
      <w:pPr>
        <w:widowControl w:val="0"/>
        <w:jc w:val="both"/>
        <w:rPr>
          <w:rFonts w:ascii="Calibri" w:eastAsia="宋体" w:hAnsi="Calibri" w:hint="eastAsia"/>
          <w:kern w:val="2"/>
          <w:sz w:val="21"/>
          <w:szCs w:val="22"/>
          <w:lang w:eastAsia="zh-CN"/>
        </w:rPr>
      </w:pPr>
      <w:r>
        <w:rPr>
          <w:rFonts w:ascii="Calibri" w:eastAsia="宋体" w:hAnsi="Calibri" w:cstheme="minorBidi"/>
          <w:kern w:val="2"/>
          <w:sz w:val="21"/>
          <w:szCs w:val="22"/>
          <w:lang w:eastAsia="zh-CN"/>
        </w:rPr>
        <w:t>……</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本</w:t>
      </w:r>
      <w:r>
        <w:rPr>
          <w:rFonts w:ascii="宋体" w:eastAsia="宋体" w:hAnsi="宋体" w:cstheme="minorBidi" w:hint="eastAsia"/>
          <w:kern w:val="2"/>
          <w:sz w:val="21"/>
          <w:szCs w:val="21"/>
          <w:lang w:eastAsia="zh-CN"/>
        </w:rPr>
        <w:t>投标人</w:t>
      </w:r>
      <w:r>
        <w:rPr>
          <w:rFonts w:ascii="宋体" w:eastAsia="宋体" w:hAnsi="宋体" w:cstheme="minorBidi"/>
          <w:kern w:val="2"/>
          <w:sz w:val="21"/>
          <w:szCs w:val="21"/>
          <w:lang w:eastAsia="zh-CN"/>
        </w:rPr>
        <w:t>对上述声明内容的真实性负责。如有虚假，将依法承担相应责任。</w:t>
      </w:r>
    </w:p>
    <w:p>
      <w:pPr>
        <w:widowControl w:val="0"/>
        <w:spacing w:line="360" w:lineRule="auto"/>
        <w:ind w:firstLine="420" w:firstLineChars="200"/>
        <w:jc w:val="both"/>
        <w:rPr>
          <w:rFonts w:ascii="Calibri" w:eastAsia="宋体" w:hAnsi="Calibri"/>
          <w:b/>
          <w:bCs/>
          <w:color w:val="FF0000"/>
          <w:kern w:val="2"/>
          <w:sz w:val="21"/>
          <w:szCs w:val="21"/>
          <w:lang w:eastAsia="zh-CN"/>
        </w:rPr>
      </w:pPr>
      <w:r>
        <w:rPr>
          <w:rFonts w:ascii="宋体" w:eastAsia="宋体" w:hAnsi="宋体" w:cstheme="minorBidi" w:hint="eastAsia"/>
          <w:kern w:val="2"/>
          <w:sz w:val="21"/>
          <w:szCs w:val="21"/>
          <w:lang w:eastAsia="zh-CN"/>
        </w:rPr>
        <w:t>附：省级以上监狱管理局、戒毒管理局（含新疆生产建设兵团）出具的监狱企业证明文件。</w:t>
      </w:r>
      <w:bookmarkEnd w:id="25"/>
    </w:p>
    <w:p>
      <w:pPr>
        <w:keepNext/>
        <w:keepLines/>
        <w:pageBreakBefore/>
        <w:widowControl w:val="0"/>
        <w:adjustRightInd w:val="0"/>
        <w:snapToGrid w:val="0"/>
        <w:spacing w:line="360" w:lineRule="auto"/>
        <w:jc w:val="center"/>
        <w:textAlignment w:val="baseline"/>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四、分项报价清单</w:t>
      </w:r>
    </w:p>
    <w:p>
      <w:pPr>
        <w:widowControl w:val="0"/>
        <w:spacing w:after="60" w:afterLines="25" w:line="300" w:lineRule="auto"/>
        <w:jc w:val="both"/>
        <w:rPr>
          <w:rFonts w:ascii="Arial" w:eastAsia="宋体" w:hAnsi="Arial" w:cs="Arial"/>
          <w:kern w:val="2"/>
          <w:sz w:val="21"/>
          <w:lang w:eastAsia="zh-CN"/>
        </w:rPr>
      </w:pPr>
      <w:r>
        <w:rPr>
          <w:rFonts w:ascii="Arial" w:eastAsia="宋体" w:hAnsi="Arial" w:cs="Arial" w:hint="eastAsia"/>
          <w:color w:val="000000"/>
          <w:kern w:val="2"/>
          <w:sz w:val="21"/>
          <w:lang w:eastAsia="zh-CN"/>
        </w:rPr>
        <w:t>投标单位（投标人）名称：</w:t>
      </w: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（一）项目报价表</w:t>
      </w:r>
    </w:p>
    <w:tbl>
      <w:tblPr>
        <w:tblStyle w:val="TableNormal"/>
        <w:tblW w:w="500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36"/>
        <w:gridCol w:w="1021"/>
        <w:gridCol w:w="924"/>
        <w:gridCol w:w="1021"/>
        <w:gridCol w:w="923"/>
        <w:gridCol w:w="924"/>
        <w:gridCol w:w="924"/>
        <w:gridCol w:w="914"/>
        <w:gridCol w:w="741"/>
        <w:gridCol w:w="828"/>
      </w:tblGrid>
      <w:tr>
        <w:tblPrEx>
          <w:tblW w:w="500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023"/>
        </w:trPr>
        <w:tc>
          <w:tcPr>
            <w:tcW w:w="758" w:type="dxa"/>
            <w:vAlign w:val="center"/>
          </w:tcPr>
          <w:p>
            <w:pPr>
              <w:spacing w:line="360" w:lineRule="auto"/>
              <w:jc w:val="center"/>
              <w:rPr>
                <w:rFonts w:ascii="宋体" w:eastAsia="宋体" w:hAnsi="宋体" w:cs="宋体" w:hint="eastAsia"/>
                <w:b/>
                <w:color w:val="000000"/>
                <w:sz w:val="21"/>
                <w:szCs w:val="21"/>
              </w:rPr>
            </w:pPr>
            <w:r>
              <w:rPr>
                <w:rFonts w:ascii="宋体" w:eastAsia="宋体" w:hAnsi="宋体" w:cs="宋体" w:hint="eastAsia"/>
                <w:b/>
                <w:color w:val="000000"/>
                <w:sz w:val="21"/>
                <w:szCs w:val="21"/>
              </w:rPr>
              <w:t>序号</w:t>
            </w:r>
          </w:p>
        </w:tc>
        <w:tc>
          <w:tcPr>
            <w:tcW w:w="1262" w:type="dxa"/>
            <w:vAlign w:val="center"/>
          </w:tcPr>
          <w:p>
            <w:pPr>
              <w:spacing w:line="360" w:lineRule="auto"/>
              <w:jc w:val="center"/>
              <w:rPr>
                <w:rFonts w:ascii="宋体" w:eastAsia="宋体" w:hAnsi="宋体" w:cs="宋体" w:hint="eastAsia"/>
                <w:b/>
                <w:color w:val="000000"/>
                <w:sz w:val="21"/>
                <w:szCs w:val="21"/>
              </w:rPr>
            </w:pPr>
            <w:r>
              <w:rPr>
                <w:rFonts w:ascii="宋体" w:eastAsia="宋体" w:hAnsi="宋体" w:cs="宋体" w:hint="eastAsia"/>
                <w:b/>
                <w:color w:val="000000"/>
                <w:sz w:val="21"/>
                <w:szCs w:val="21"/>
              </w:rPr>
              <w:t>货物名称</w:t>
            </w:r>
          </w:p>
        </w:tc>
        <w:tc>
          <w:tcPr>
            <w:tcW w:w="1136" w:type="dxa"/>
            <w:vAlign w:val="center"/>
          </w:tcPr>
          <w:p>
            <w:pPr>
              <w:spacing w:line="360" w:lineRule="auto"/>
              <w:jc w:val="center"/>
              <w:rPr>
                <w:rFonts w:ascii="宋体" w:eastAsia="宋体" w:hAnsi="宋体" w:cs="宋体" w:hint="eastAsia"/>
                <w:b/>
                <w:color w:val="000000"/>
                <w:sz w:val="21"/>
                <w:szCs w:val="21"/>
              </w:rPr>
            </w:pPr>
            <w:r>
              <w:rPr>
                <w:rFonts w:ascii="宋体" w:eastAsia="宋体" w:hAnsi="宋体" w:cs="宋体" w:hint="eastAsia"/>
                <w:b/>
                <w:color w:val="000000"/>
                <w:sz w:val="21"/>
                <w:szCs w:val="21"/>
              </w:rPr>
              <w:t>规格及型号</w:t>
            </w:r>
          </w:p>
        </w:tc>
        <w:tc>
          <w:tcPr>
            <w:tcW w:w="1263" w:type="dxa"/>
            <w:vAlign w:val="center"/>
          </w:tcPr>
          <w:p>
            <w:pPr>
              <w:spacing w:line="360" w:lineRule="auto"/>
              <w:jc w:val="center"/>
              <w:rPr>
                <w:rFonts w:ascii="宋体" w:eastAsia="宋体" w:hAnsi="宋体" w:cs="宋体" w:hint="eastAsia"/>
                <w:b/>
                <w:color w:val="000000"/>
                <w:sz w:val="21"/>
                <w:szCs w:val="21"/>
              </w:rPr>
            </w:pPr>
            <w:r>
              <w:rPr>
                <w:rFonts w:ascii="宋体" w:eastAsia="宋体" w:hAnsi="宋体" w:cs="宋体" w:hint="eastAsia"/>
                <w:b/>
                <w:color w:val="000000"/>
                <w:sz w:val="21"/>
                <w:szCs w:val="21"/>
              </w:rPr>
              <w:t>制造商、品牌、原产地</w:t>
            </w:r>
          </w:p>
        </w:tc>
        <w:tc>
          <w:tcPr>
            <w:tcW w:w="1135" w:type="dxa"/>
            <w:vAlign w:val="center"/>
          </w:tcPr>
          <w:p>
            <w:pPr>
              <w:spacing w:line="360" w:lineRule="auto"/>
              <w:jc w:val="center"/>
              <w:rPr>
                <w:rFonts w:ascii="宋体" w:eastAsia="宋体" w:hAnsi="宋体" w:cs="宋体" w:hint="eastAsia"/>
                <w:b/>
                <w:color w:val="000000"/>
                <w:sz w:val="21"/>
                <w:szCs w:val="21"/>
              </w:rPr>
            </w:pPr>
            <w:r>
              <w:rPr>
                <w:rFonts w:ascii="宋体" w:eastAsia="宋体" w:hAnsi="宋体" w:cs="宋体" w:hint="eastAsia"/>
                <w:b/>
                <w:color w:val="000000"/>
                <w:sz w:val="21"/>
                <w:szCs w:val="21"/>
              </w:rPr>
              <w:t>数量</w:t>
            </w:r>
          </w:p>
        </w:tc>
        <w:tc>
          <w:tcPr>
            <w:tcW w:w="1136" w:type="dxa"/>
            <w:vAlign w:val="center"/>
          </w:tcPr>
          <w:p>
            <w:pPr>
              <w:spacing w:line="360" w:lineRule="auto"/>
              <w:jc w:val="center"/>
              <w:rPr>
                <w:rFonts w:ascii="宋体" w:eastAsia="宋体" w:hAnsi="宋体" w:cs="宋体" w:hint="eastAsia"/>
                <w:b/>
                <w:color w:val="000000"/>
                <w:sz w:val="21"/>
                <w:szCs w:val="21"/>
              </w:rPr>
            </w:pPr>
            <w:r>
              <w:rPr>
                <w:rFonts w:ascii="宋体" w:eastAsia="宋体" w:hAnsi="宋体" w:cs="宋体" w:hint="eastAsia"/>
                <w:b/>
                <w:color w:val="000000"/>
                <w:sz w:val="21"/>
                <w:szCs w:val="21"/>
              </w:rPr>
              <w:t>单位</w:t>
            </w:r>
          </w:p>
        </w:tc>
        <w:tc>
          <w:tcPr>
            <w:tcW w:w="1136" w:type="dxa"/>
            <w:vAlign w:val="center"/>
          </w:tcPr>
          <w:p>
            <w:pPr>
              <w:spacing w:line="360" w:lineRule="auto"/>
              <w:jc w:val="center"/>
              <w:rPr>
                <w:rFonts w:ascii="宋体" w:eastAsia="宋体" w:hAnsi="宋体" w:cs="宋体" w:hint="eastAsia"/>
                <w:b/>
                <w:color w:val="000000"/>
                <w:sz w:val="21"/>
                <w:szCs w:val="21"/>
              </w:rPr>
            </w:pPr>
            <w:r>
              <w:rPr>
                <w:rFonts w:ascii="宋体" w:eastAsia="宋体" w:hAnsi="宋体" w:cs="宋体" w:hint="eastAsia"/>
                <w:b/>
                <w:sz w:val="21"/>
                <w:szCs w:val="21"/>
              </w:rPr>
              <w:t>招标控制</w:t>
            </w:r>
            <w:r>
              <w:rPr>
                <w:rFonts w:ascii="宋体" w:eastAsia="宋体" w:hAnsi="宋体" w:cs="宋体" w:hint="eastAsia"/>
                <w:b/>
                <w:sz w:val="21"/>
                <w:szCs w:val="21"/>
                <w:lang w:eastAsia="zh-CN"/>
              </w:rPr>
              <w:t>最高</w:t>
            </w:r>
            <w:r>
              <w:rPr>
                <w:rFonts w:ascii="宋体" w:eastAsia="宋体" w:hAnsi="宋体" w:cs="宋体" w:hint="eastAsia"/>
                <w:b/>
                <w:sz w:val="21"/>
                <w:szCs w:val="21"/>
              </w:rPr>
              <w:t>单价（元）</w:t>
            </w:r>
          </w:p>
        </w:tc>
        <w:tc>
          <w:tcPr>
            <w:tcW w:w="1123" w:type="dxa"/>
            <w:vAlign w:val="center"/>
          </w:tcPr>
          <w:p>
            <w:pPr>
              <w:spacing w:line="360" w:lineRule="auto"/>
              <w:jc w:val="center"/>
              <w:rPr>
                <w:rFonts w:ascii="宋体" w:eastAsia="宋体" w:hAnsi="宋体" w:cs="宋体" w:hint="eastAsia"/>
                <w:b/>
                <w:color w:val="000000"/>
                <w:sz w:val="21"/>
                <w:szCs w:val="21"/>
              </w:rPr>
            </w:pPr>
            <w:r>
              <w:rPr>
                <w:rFonts w:ascii="宋体" w:eastAsia="宋体" w:hAnsi="宋体" w:cs="宋体" w:hint="eastAsia"/>
                <w:b/>
                <w:sz w:val="21"/>
                <w:szCs w:val="21"/>
                <w:lang w:eastAsia="zh-CN"/>
              </w:rPr>
              <w:t>折扣后单价（</w:t>
            </w:r>
            <w:r>
              <w:rPr>
                <w:rFonts w:ascii="宋体" w:eastAsia="宋体" w:hAnsi="宋体" w:cs="宋体" w:hint="eastAsia"/>
                <w:b/>
                <w:sz w:val="21"/>
                <w:szCs w:val="21"/>
              </w:rPr>
              <w:t>元</w:t>
            </w:r>
            <w:r>
              <w:rPr>
                <w:rFonts w:ascii="宋体" w:eastAsia="宋体" w:hAnsi="宋体" w:cs="宋体" w:hint="eastAsia"/>
                <w:b/>
                <w:sz w:val="21"/>
                <w:szCs w:val="21"/>
                <w:lang w:eastAsia="zh-CN"/>
              </w:rPr>
              <w:t>）</w:t>
            </w:r>
          </w:p>
        </w:tc>
        <w:tc>
          <w:tcPr>
            <w:tcW w:w="897" w:type="dxa"/>
            <w:vAlign w:val="center"/>
          </w:tcPr>
          <w:p>
            <w:pPr>
              <w:spacing w:line="360" w:lineRule="auto"/>
              <w:jc w:val="center"/>
              <w:rPr>
                <w:rFonts w:ascii="宋体" w:eastAsia="宋体" w:hAnsi="宋体" w:cs="宋体"/>
                <w:b/>
                <w:color w:val="000000"/>
                <w:sz w:val="21"/>
                <w:szCs w:val="21"/>
              </w:rPr>
            </w:pPr>
            <w:r>
              <w:rPr>
                <w:rFonts w:ascii="宋体" w:eastAsia="宋体" w:hAnsi="宋体" w:cs="宋体" w:hint="eastAsia"/>
                <w:b/>
                <w:sz w:val="21"/>
                <w:szCs w:val="21"/>
                <w:lang w:eastAsia="zh-CN"/>
              </w:rPr>
              <w:t>折扣率（%)</w:t>
            </w:r>
          </w:p>
        </w:tc>
        <w:tc>
          <w:tcPr>
            <w:tcW w:w="1010" w:type="dxa"/>
            <w:vAlign w:val="center"/>
          </w:tcPr>
          <w:p>
            <w:pPr>
              <w:spacing w:line="360" w:lineRule="auto"/>
              <w:jc w:val="center"/>
              <w:rPr>
                <w:rFonts w:ascii="宋体" w:eastAsia="宋体" w:hAnsi="宋体" w:cs="宋体" w:hint="eastAsia"/>
                <w:b/>
                <w:color w:val="000000"/>
                <w:sz w:val="21"/>
                <w:szCs w:val="21"/>
              </w:rPr>
            </w:pPr>
            <w:r>
              <w:rPr>
                <w:rFonts w:ascii="宋体" w:eastAsia="宋体" w:hAnsi="宋体" w:cs="宋体" w:hint="eastAsia"/>
                <w:b/>
                <w:color w:val="000000"/>
                <w:sz w:val="21"/>
                <w:szCs w:val="21"/>
              </w:rPr>
              <w:t>备注</w:t>
            </w:r>
          </w:p>
        </w:tc>
      </w:tr>
      <w:tr>
        <w:tblPrEx>
          <w:tblW w:w="5000" w:type="pct"/>
          <w:tblInd w:w="-459" w:type="dxa"/>
          <w:tblLayout w:type="fixed"/>
          <w:tblCellMar>
            <w:top w:w="0" w:type="dxa"/>
            <w:left w:w="108" w:type="dxa"/>
            <w:bottom w:w="0" w:type="dxa"/>
            <w:right w:w="108" w:type="dxa"/>
          </w:tblCellMar>
        </w:tblPrEx>
        <w:trPr>
          <w:trHeight w:val="495"/>
        </w:trPr>
        <w:tc>
          <w:tcPr>
            <w:tcW w:w="758"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bCs/>
                <w:color w:val="000000"/>
                <w:sz w:val="21"/>
                <w:szCs w:val="21"/>
              </w:rPr>
            </w:pPr>
            <w:r>
              <w:rPr>
                <w:rFonts w:ascii="宋体" w:eastAsia="宋体" w:hAnsi="宋体" w:cs="宋体" w:hint="eastAsia"/>
                <w:color w:val="000000"/>
                <w:kern w:val="2"/>
                <w:sz w:val="21"/>
                <w:szCs w:val="21"/>
                <w:lang w:eastAsia="zh-CN"/>
              </w:rPr>
              <w:t>1</w:t>
            </w:r>
          </w:p>
        </w:tc>
        <w:tc>
          <w:tcPr>
            <w:tcW w:w="1262" w:type="dxa"/>
            <w:vAlign w:val="center"/>
          </w:tcPr>
          <w:p>
            <w:pPr>
              <w:widowControl/>
              <w:jc w:val="center"/>
              <w:rPr>
                <w:rFonts w:ascii="宋体" w:eastAsia="宋体" w:hAnsi="宋体" w:cs="宋体" w:hint="eastAsia"/>
                <w:bCs/>
                <w:color w:val="000000"/>
                <w:sz w:val="21"/>
                <w:szCs w:val="21"/>
              </w:rPr>
            </w:pPr>
            <w:r>
              <w:rPr>
                <w:rFonts w:ascii="宋体" w:eastAsia="宋体" w:hAnsi="宋体" w:cs="宋体" w:hint="eastAsia"/>
                <w:color w:val="000000"/>
                <w:sz w:val="21"/>
                <w:szCs w:val="21"/>
              </w:rPr>
              <w:t>热敏纸</w:t>
            </w:r>
            <w:r>
              <w:rPr>
                <w:rFonts w:ascii="宋体" w:eastAsia="宋体" w:hAnsi="宋体" w:cs="宋体" w:hint="eastAsia"/>
                <w:color w:val="000000"/>
                <w:sz w:val="21"/>
                <w:szCs w:val="21"/>
                <w:lang w:eastAsia="zh-CN"/>
              </w:rPr>
              <w:t>1</w:t>
            </w:r>
          </w:p>
        </w:tc>
        <w:tc>
          <w:tcPr>
            <w:tcW w:w="1136" w:type="dxa"/>
            <w:vAlign w:val="center"/>
          </w:tcPr>
          <w:p>
            <w:pPr>
              <w:widowControl/>
              <w:jc w:val="center"/>
              <w:textAlignment w:val="center"/>
              <w:rPr>
                <w:rFonts w:ascii="宋体" w:eastAsia="宋体" w:hAnsi="宋体" w:cs="宋体" w:hint="eastAsia"/>
                <w:bCs/>
                <w:color w:val="000000"/>
                <w:sz w:val="21"/>
                <w:szCs w:val="21"/>
              </w:rPr>
            </w:pPr>
            <w:r>
              <w:rPr>
                <w:rFonts w:ascii="宋体" w:eastAsia="宋体" w:hAnsi="宋体" w:cs="宋体" w:hint="eastAsia"/>
                <w:color w:val="000000"/>
                <w:sz w:val="21"/>
                <w:szCs w:val="21"/>
              </w:rPr>
              <w:t>80*80</w:t>
            </w:r>
          </w:p>
        </w:tc>
        <w:tc>
          <w:tcPr>
            <w:tcW w:w="1263" w:type="dxa"/>
            <w:vAlign w:val="center"/>
          </w:tcPr>
          <w:p>
            <w:pPr>
              <w:spacing w:line="360" w:lineRule="auto"/>
              <w:jc w:val="center"/>
              <w:rPr>
                <w:rFonts w:ascii="宋体" w:eastAsia="宋体" w:hAnsi="宋体" w:cs="宋体" w:hint="eastAsia"/>
                <w:bCs/>
                <w:color w:val="000000"/>
                <w:sz w:val="21"/>
                <w:szCs w:val="21"/>
              </w:rPr>
            </w:pPr>
          </w:p>
        </w:tc>
        <w:tc>
          <w:tcPr>
            <w:tcW w:w="1135" w:type="dxa"/>
            <w:vAlign w:val="center"/>
          </w:tcPr>
          <w:p>
            <w:pPr>
              <w:spacing w:line="360" w:lineRule="auto"/>
              <w:jc w:val="center"/>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1</w:t>
            </w:r>
          </w:p>
        </w:tc>
        <w:tc>
          <w:tcPr>
            <w:tcW w:w="1136"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bCs/>
                <w:color w:val="000000"/>
                <w:sz w:val="21"/>
                <w:szCs w:val="21"/>
              </w:rPr>
            </w:pPr>
            <w:r>
              <w:rPr>
                <w:rFonts w:ascii="宋体" w:eastAsia="宋体" w:hAnsi="宋体" w:cs="宋体" w:hint="eastAsia"/>
                <w:color w:val="000000"/>
                <w:kern w:val="2"/>
                <w:sz w:val="21"/>
                <w:szCs w:val="21"/>
                <w:lang w:eastAsia="zh-CN"/>
              </w:rPr>
              <w:t>卷</w:t>
            </w:r>
          </w:p>
        </w:tc>
        <w:tc>
          <w:tcPr>
            <w:tcW w:w="1136" w:type="dxa"/>
            <w:vAlign w:val="center"/>
          </w:tcPr>
          <w:p>
            <w:pPr>
              <w:spacing w:line="360" w:lineRule="auto"/>
              <w:jc w:val="center"/>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5</w:t>
            </w:r>
          </w:p>
        </w:tc>
        <w:tc>
          <w:tcPr>
            <w:tcW w:w="1123" w:type="dxa"/>
            <w:vAlign w:val="center"/>
          </w:tcPr>
          <w:p>
            <w:pPr>
              <w:spacing w:line="360" w:lineRule="auto"/>
              <w:jc w:val="center"/>
              <w:rPr>
                <w:rFonts w:ascii="宋体" w:eastAsia="宋体" w:hAnsi="宋体" w:cs="宋体" w:hint="eastAsia"/>
                <w:bCs/>
                <w:color w:val="000000"/>
                <w:sz w:val="21"/>
                <w:szCs w:val="21"/>
              </w:rPr>
            </w:pPr>
          </w:p>
        </w:tc>
        <w:tc>
          <w:tcPr>
            <w:tcW w:w="897" w:type="dxa"/>
            <w:vMerge w:val="restart"/>
            <w:vAlign w:val="center"/>
          </w:tcPr>
          <w:p>
            <w:pPr>
              <w:spacing w:line="360" w:lineRule="auto"/>
              <w:jc w:val="center"/>
              <w:rPr>
                <w:rFonts w:ascii="宋体" w:eastAsia="宋体" w:hAnsi="宋体" w:cs="宋体" w:hint="eastAsia"/>
                <w:bCs/>
                <w:color w:val="000000"/>
                <w:sz w:val="21"/>
                <w:szCs w:val="21"/>
              </w:rPr>
            </w:pPr>
          </w:p>
        </w:tc>
        <w:tc>
          <w:tcPr>
            <w:tcW w:w="1010" w:type="dxa"/>
            <w:vAlign w:val="center"/>
          </w:tcPr>
          <w:p>
            <w:pPr>
              <w:spacing w:line="360" w:lineRule="auto"/>
              <w:jc w:val="center"/>
              <w:rPr>
                <w:rFonts w:ascii="宋体" w:eastAsia="宋体" w:hAnsi="宋体" w:cs="宋体" w:hint="eastAsia"/>
                <w:bCs/>
                <w:color w:val="000000"/>
                <w:sz w:val="21"/>
                <w:szCs w:val="21"/>
              </w:rPr>
            </w:pPr>
          </w:p>
        </w:tc>
      </w:tr>
      <w:tr>
        <w:tblPrEx>
          <w:tblW w:w="5000" w:type="pct"/>
          <w:tblInd w:w="-459" w:type="dxa"/>
          <w:tblLayout w:type="fixed"/>
          <w:tblCellMar>
            <w:top w:w="0" w:type="dxa"/>
            <w:left w:w="108" w:type="dxa"/>
            <w:bottom w:w="0" w:type="dxa"/>
            <w:right w:w="108" w:type="dxa"/>
          </w:tblCellMar>
        </w:tblPrEx>
        <w:trPr>
          <w:trHeight w:val="517"/>
        </w:trPr>
        <w:tc>
          <w:tcPr>
            <w:tcW w:w="758"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bCs/>
                <w:color w:val="000000"/>
                <w:sz w:val="21"/>
                <w:szCs w:val="21"/>
              </w:rPr>
            </w:pPr>
            <w:r>
              <w:rPr>
                <w:rFonts w:ascii="宋体" w:eastAsia="宋体" w:hAnsi="宋体" w:cs="宋体" w:hint="eastAsia"/>
                <w:color w:val="000000"/>
                <w:kern w:val="2"/>
                <w:sz w:val="21"/>
                <w:szCs w:val="21"/>
                <w:lang w:eastAsia="zh-CN"/>
              </w:rPr>
              <w:t>2</w:t>
            </w:r>
          </w:p>
        </w:tc>
        <w:tc>
          <w:tcPr>
            <w:tcW w:w="1262" w:type="dxa"/>
            <w:vAlign w:val="center"/>
          </w:tcPr>
          <w:p>
            <w:pPr>
              <w:widowControl/>
              <w:jc w:val="center"/>
              <w:rPr>
                <w:rFonts w:ascii="宋体" w:eastAsia="宋体" w:hAnsi="宋体" w:cs="宋体" w:hint="eastAsia"/>
                <w:bCs/>
                <w:color w:val="000000"/>
                <w:sz w:val="21"/>
                <w:szCs w:val="21"/>
              </w:rPr>
            </w:pPr>
            <w:r>
              <w:rPr>
                <w:rFonts w:ascii="宋体" w:eastAsia="宋体" w:hAnsi="宋体" w:cs="宋体" w:hint="eastAsia"/>
                <w:color w:val="000000"/>
                <w:sz w:val="21"/>
                <w:szCs w:val="21"/>
              </w:rPr>
              <w:t>热敏纸不干胶</w:t>
            </w:r>
            <w:r>
              <w:rPr>
                <w:rFonts w:ascii="宋体" w:eastAsia="宋体" w:hAnsi="宋体" w:cs="宋体" w:hint="eastAsia"/>
                <w:color w:val="000000"/>
                <w:sz w:val="21"/>
                <w:szCs w:val="21"/>
                <w:lang w:eastAsia="zh-CN"/>
              </w:rPr>
              <w:t>1</w:t>
            </w:r>
          </w:p>
        </w:tc>
        <w:tc>
          <w:tcPr>
            <w:tcW w:w="1136" w:type="dxa"/>
            <w:vAlign w:val="center"/>
          </w:tcPr>
          <w:p>
            <w:pPr>
              <w:widowControl/>
              <w:jc w:val="center"/>
              <w:textAlignment w:val="center"/>
              <w:rPr>
                <w:rFonts w:ascii="宋体" w:eastAsia="宋体" w:hAnsi="宋体" w:cs="宋体" w:hint="eastAsia"/>
                <w:bCs/>
                <w:color w:val="000000"/>
                <w:sz w:val="21"/>
                <w:szCs w:val="21"/>
              </w:rPr>
            </w:pPr>
            <w:r>
              <w:rPr>
                <w:rFonts w:ascii="宋体" w:eastAsia="宋体" w:hAnsi="宋体" w:cs="宋体" w:hint="eastAsia"/>
                <w:color w:val="000000"/>
                <w:sz w:val="21"/>
                <w:szCs w:val="21"/>
              </w:rPr>
              <w:t>80*40</w:t>
            </w:r>
          </w:p>
        </w:tc>
        <w:tc>
          <w:tcPr>
            <w:tcW w:w="1263" w:type="dxa"/>
            <w:vAlign w:val="center"/>
          </w:tcPr>
          <w:p>
            <w:pPr>
              <w:spacing w:line="360" w:lineRule="auto"/>
              <w:jc w:val="center"/>
              <w:rPr>
                <w:rFonts w:ascii="宋体" w:eastAsia="宋体" w:hAnsi="宋体" w:cs="宋体" w:hint="eastAsia"/>
                <w:bCs/>
                <w:color w:val="000000"/>
                <w:sz w:val="21"/>
                <w:szCs w:val="21"/>
              </w:rPr>
            </w:pPr>
          </w:p>
        </w:tc>
        <w:tc>
          <w:tcPr>
            <w:tcW w:w="1135" w:type="dxa"/>
            <w:vAlign w:val="center"/>
          </w:tcPr>
          <w:p>
            <w:pPr>
              <w:spacing w:line="360" w:lineRule="auto"/>
              <w:jc w:val="center"/>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1</w:t>
            </w:r>
          </w:p>
        </w:tc>
        <w:tc>
          <w:tcPr>
            <w:tcW w:w="1136"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bCs/>
                <w:color w:val="000000"/>
                <w:sz w:val="21"/>
                <w:szCs w:val="21"/>
              </w:rPr>
            </w:pPr>
            <w:r>
              <w:rPr>
                <w:rFonts w:ascii="宋体" w:eastAsia="宋体" w:hAnsi="宋体" w:cs="宋体" w:hint="eastAsia"/>
                <w:color w:val="000000"/>
                <w:kern w:val="2"/>
                <w:sz w:val="21"/>
                <w:szCs w:val="21"/>
                <w:lang w:eastAsia="zh-CN"/>
              </w:rPr>
              <w:t>卷</w:t>
            </w:r>
          </w:p>
        </w:tc>
        <w:tc>
          <w:tcPr>
            <w:tcW w:w="1136" w:type="dxa"/>
            <w:vAlign w:val="center"/>
          </w:tcPr>
          <w:p>
            <w:pPr>
              <w:spacing w:line="360" w:lineRule="auto"/>
              <w:jc w:val="center"/>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21</w:t>
            </w:r>
          </w:p>
        </w:tc>
        <w:tc>
          <w:tcPr>
            <w:tcW w:w="1123" w:type="dxa"/>
            <w:vAlign w:val="center"/>
          </w:tcPr>
          <w:p>
            <w:pPr>
              <w:spacing w:line="360" w:lineRule="auto"/>
              <w:jc w:val="center"/>
              <w:rPr>
                <w:rFonts w:ascii="宋体" w:eastAsia="宋体" w:hAnsi="宋体" w:cs="宋体" w:hint="eastAsia"/>
                <w:bCs/>
                <w:color w:val="000000"/>
                <w:sz w:val="21"/>
                <w:szCs w:val="21"/>
              </w:rPr>
            </w:pPr>
          </w:p>
        </w:tc>
        <w:tc>
          <w:tcPr>
            <w:tcW w:w="897" w:type="dxa"/>
            <w:vMerge/>
            <w:vAlign w:val="center"/>
          </w:tcPr>
          <w:p>
            <w:pPr>
              <w:spacing w:line="360" w:lineRule="auto"/>
              <w:jc w:val="center"/>
              <w:rPr>
                <w:rFonts w:ascii="宋体" w:eastAsia="宋体" w:hAnsi="宋体" w:cs="宋体" w:hint="eastAsia"/>
                <w:bCs/>
                <w:color w:val="000000"/>
                <w:sz w:val="21"/>
                <w:szCs w:val="21"/>
              </w:rPr>
            </w:pPr>
          </w:p>
        </w:tc>
        <w:tc>
          <w:tcPr>
            <w:tcW w:w="1010" w:type="dxa"/>
            <w:vAlign w:val="center"/>
          </w:tcPr>
          <w:p>
            <w:pPr>
              <w:spacing w:line="360" w:lineRule="auto"/>
              <w:jc w:val="center"/>
              <w:rPr>
                <w:rFonts w:ascii="宋体" w:eastAsia="宋体" w:hAnsi="宋体" w:cs="宋体" w:hint="eastAsia"/>
                <w:bCs/>
                <w:color w:val="000000"/>
                <w:sz w:val="21"/>
                <w:szCs w:val="21"/>
              </w:rPr>
            </w:pPr>
          </w:p>
        </w:tc>
      </w:tr>
      <w:tr>
        <w:tblPrEx>
          <w:tblW w:w="5000" w:type="pct"/>
          <w:tblInd w:w="-459" w:type="dxa"/>
          <w:tblLayout w:type="fixed"/>
          <w:tblCellMar>
            <w:top w:w="0" w:type="dxa"/>
            <w:left w:w="108" w:type="dxa"/>
            <w:bottom w:w="0" w:type="dxa"/>
            <w:right w:w="108" w:type="dxa"/>
          </w:tblCellMar>
        </w:tblPrEx>
        <w:trPr>
          <w:trHeight w:val="517"/>
        </w:trPr>
        <w:tc>
          <w:tcPr>
            <w:tcW w:w="758"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bCs/>
                <w:color w:val="000000"/>
                <w:sz w:val="21"/>
                <w:szCs w:val="21"/>
              </w:rPr>
            </w:pPr>
            <w:r>
              <w:rPr>
                <w:rFonts w:ascii="宋体" w:eastAsia="宋体" w:hAnsi="宋体" w:cs="宋体" w:hint="eastAsia"/>
                <w:color w:val="000000"/>
                <w:kern w:val="2"/>
                <w:sz w:val="21"/>
                <w:szCs w:val="21"/>
                <w:lang w:eastAsia="zh-CN"/>
              </w:rPr>
              <w:t>3</w:t>
            </w:r>
          </w:p>
        </w:tc>
        <w:tc>
          <w:tcPr>
            <w:tcW w:w="1262" w:type="dxa"/>
            <w:vAlign w:val="center"/>
          </w:tcPr>
          <w:p>
            <w:pPr>
              <w:widowControl/>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rPr>
              <w:t>热敏纸</w:t>
            </w:r>
            <w:r>
              <w:rPr>
                <w:rFonts w:ascii="宋体" w:eastAsia="宋体" w:hAnsi="宋体" w:cs="宋体" w:hint="eastAsia"/>
                <w:color w:val="000000"/>
                <w:sz w:val="21"/>
                <w:szCs w:val="21"/>
                <w:lang w:eastAsia="zh-CN"/>
              </w:rPr>
              <w:t>2</w:t>
            </w:r>
          </w:p>
        </w:tc>
        <w:tc>
          <w:tcPr>
            <w:tcW w:w="1136" w:type="dxa"/>
            <w:vAlign w:val="center"/>
          </w:tcPr>
          <w:p>
            <w:pPr>
              <w:widowControl/>
              <w:jc w:val="center"/>
              <w:textAlignment w:val="center"/>
              <w:rPr>
                <w:rFonts w:ascii="宋体" w:eastAsia="宋体" w:hAnsi="宋体" w:cs="宋体" w:hint="eastAsia"/>
                <w:sz w:val="21"/>
                <w:szCs w:val="21"/>
              </w:rPr>
            </w:pPr>
            <w:r>
              <w:rPr>
                <w:rFonts w:ascii="宋体" w:eastAsia="宋体" w:hAnsi="宋体" w:cs="宋体" w:hint="eastAsia"/>
                <w:color w:val="000000"/>
                <w:sz w:val="21"/>
                <w:szCs w:val="21"/>
              </w:rPr>
              <w:t>100*70</w:t>
            </w:r>
          </w:p>
        </w:tc>
        <w:tc>
          <w:tcPr>
            <w:tcW w:w="1263" w:type="dxa"/>
            <w:vAlign w:val="center"/>
          </w:tcPr>
          <w:p>
            <w:pPr>
              <w:spacing w:line="360" w:lineRule="auto"/>
              <w:jc w:val="center"/>
              <w:rPr>
                <w:rFonts w:ascii="宋体" w:eastAsia="宋体" w:hAnsi="宋体" w:cs="宋体" w:hint="eastAsia"/>
                <w:bCs/>
                <w:color w:val="000000"/>
                <w:sz w:val="21"/>
                <w:szCs w:val="21"/>
              </w:rPr>
            </w:pPr>
          </w:p>
        </w:tc>
        <w:tc>
          <w:tcPr>
            <w:tcW w:w="1135" w:type="dxa"/>
            <w:vAlign w:val="center"/>
          </w:tcPr>
          <w:p>
            <w:pPr>
              <w:spacing w:line="360" w:lineRule="auto"/>
              <w:jc w:val="center"/>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1</w:t>
            </w:r>
          </w:p>
        </w:tc>
        <w:tc>
          <w:tcPr>
            <w:tcW w:w="1136"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卷</w:t>
            </w:r>
          </w:p>
        </w:tc>
        <w:tc>
          <w:tcPr>
            <w:tcW w:w="1136" w:type="dxa"/>
            <w:vAlign w:val="center"/>
          </w:tcPr>
          <w:p>
            <w:pPr>
              <w:spacing w:line="360" w:lineRule="auto"/>
              <w:jc w:val="center"/>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25</w:t>
            </w:r>
          </w:p>
        </w:tc>
        <w:tc>
          <w:tcPr>
            <w:tcW w:w="1123" w:type="dxa"/>
            <w:vAlign w:val="center"/>
          </w:tcPr>
          <w:p>
            <w:pPr>
              <w:spacing w:line="360" w:lineRule="auto"/>
              <w:jc w:val="center"/>
              <w:rPr>
                <w:rFonts w:ascii="宋体" w:eastAsia="宋体" w:hAnsi="宋体" w:cs="宋体" w:hint="eastAsia"/>
                <w:bCs/>
                <w:color w:val="000000"/>
                <w:sz w:val="21"/>
                <w:szCs w:val="21"/>
              </w:rPr>
            </w:pPr>
          </w:p>
        </w:tc>
        <w:tc>
          <w:tcPr>
            <w:tcW w:w="897" w:type="dxa"/>
            <w:vMerge/>
            <w:vAlign w:val="center"/>
          </w:tcPr>
          <w:p>
            <w:pPr>
              <w:spacing w:line="360" w:lineRule="auto"/>
              <w:jc w:val="center"/>
              <w:rPr>
                <w:rFonts w:ascii="宋体" w:eastAsia="宋体" w:hAnsi="宋体" w:cs="宋体" w:hint="eastAsia"/>
                <w:bCs/>
                <w:color w:val="000000"/>
                <w:sz w:val="21"/>
                <w:szCs w:val="21"/>
              </w:rPr>
            </w:pPr>
          </w:p>
        </w:tc>
        <w:tc>
          <w:tcPr>
            <w:tcW w:w="1010" w:type="dxa"/>
            <w:vAlign w:val="center"/>
          </w:tcPr>
          <w:p>
            <w:pPr>
              <w:spacing w:line="360" w:lineRule="auto"/>
              <w:jc w:val="center"/>
              <w:rPr>
                <w:rFonts w:ascii="宋体" w:eastAsia="宋体" w:hAnsi="宋体" w:cs="宋体" w:hint="eastAsia"/>
                <w:bCs/>
                <w:color w:val="000000"/>
                <w:sz w:val="21"/>
                <w:szCs w:val="21"/>
              </w:rPr>
            </w:pPr>
          </w:p>
        </w:tc>
      </w:tr>
      <w:tr>
        <w:tblPrEx>
          <w:tblW w:w="5000" w:type="pct"/>
          <w:tblInd w:w="-459" w:type="dxa"/>
          <w:tblLayout w:type="fixed"/>
          <w:tblCellMar>
            <w:top w:w="0" w:type="dxa"/>
            <w:left w:w="108" w:type="dxa"/>
            <w:bottom w:w="0" w:type="dxa"/>
            <w:right w:w="108" w:type="dxa"/>
          </w:tblCellMar>
        </w:tblPrEx>
        <w:trPr>
          <w:trHeight w:val="517"/>
        </w:trPr>
        <w:tc>
          <w:tcPr>
            <w:tcW w:w="758"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bCs/>
                <w:color w:val="000000"/>
                <w:sz w:val="21"/>
                <w:szCs w:val="21"/>
              </w:rPr>
            </w:pPr>
            <w:r>
              <w:rPr>
                <w:rFonts w:ascii="宋体" w:eastAsia="宋体" w:hAnsi="宋体" w:cs="宋体" w:hint="eastAsia"/>
                <w:color w:val="000000"/>
                <w:kern w:val="2"/>
                <w:sz w:val="21"/>
                <w:szCs w:val="21"/>
                <w:lang w:eastAsia="zh-CN"/>
              </w:rPr>
              <w:t>4</w:t>
            </w:r>
          </w:p>
        </w:tc>
        <w:tc>
          <w:tcPr>
            <w:tcW w:w="1262" w:type="dxa"/>
            <w:vAlign w:val="center"/>
          </w:tcPr>
          <w:p>
            <w:pPr>
              <w:widowControl/>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rPr>
              <w:t>热敏纸不干胶</w:t>
            </w:r>
            <w:r>
              <w:rPr>
                <w:rFonts w:ascii="宋体" w:eastAsia="宋体" w:hAnsi="宋体" w:cs="宋体" w:hint="eastAsia"/>
                <w:color w:val="000000"/>
                <w:sz w:val="21"/>
                <w:szCs w:val="21"/>
                <w:lang w:eastAsia="zh-CN"/>
              </w:rPr>
              <w:t>2</w:t>
            </w:r>
          </w:p>
        </w:tc>
        <w:tc>
          <w:tcPr>
            <w:tcW w:w="1136" w:type="dxa"/>
            <w:vAlign w:val="center"/>
          </w:tcPr>
          <w:p>
            <w:pPr>
              <w:widowControl/>
              <w:jc w:val="center"/>
              <w:textAlignment w:val="center"/>
              <w:rPr>
                <w:rFonts w:ascii="宋体" w:eastAsia="宋体" w:hAnsi="宋体" w:cs="宋体" w:hint="eastAsia"/>
                <w:sz w:val="21"/>
                <w:szCs w:val="21"/>
              </w:rPr>
            </w:pPr>
            <w:r>
              <w:rPr>
                <w:rFonts w:ascii="宋体" w:eastAsia="宋体" w:hAnsi="宋体" w:cs="宋体" w:hint="eastAsia"/>
                <w:color w:val="000000"/>
                <w:sz w:val="21"/>
                <w:szCs w:val="21"/>
              </w:rPr>
              <w:t>100*160</w:t>
            </w:r>
          </w:p>
        </w:tc>
        <w:tc>
          <w:tcPr>
            <w:tcW w:w="1263" w:type="dxa"/>
            <w:vAlign w:val="center"/>
          </w:tcPr>
          <w:p>
            <w:pPr>
              <w:spacing w:line="360" w:lineRule="auto"/>
              <w:jc w:val="center"/>
              <w:rPr>
                <w:rFonts w:ascii="宋体" w:eastAsia="宋体" w:hAnsi="宋体" w:cs="宋体" w:hint="eastAsia"/>
                <w:bCs/>
                <w:color w:val="000000"/>
                <w:sz w:val="21"/>
                <w:szCs w:val="21"/>
              </w:rPr>
            </w:pPr>
          </w:p>
        </w:tc>
        <w:tc>
          <w:tcPr>
            <w:tcW w:w="1135" w:type="dxa"/>
            <w:vAlign w:val="center"/>
          </w:tcPr>
          <w:p>
            <w:pPr>
              <w:spacing w:line="360" w:lineRule="auto"/>
              <w:jc w:val="center"/>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1</w:t>
            </w:r>
          </w:p>
        </w:tc>
        <w:tc>
          <w:tcPr>
            <w:tcW w:w="1136"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卷</w:t>
            </w:r>
          </w:p>
        </w:tc>
        <w:tc>
          <w:tcPr>
            <w:tcW w:w="1136" w:type="dxa"/>
            <w:vAlign w:val="center"/>
          </w:tcPr>
          <w:p>
            <w:pPr>
              <w:spacing w:line="360" w:lineRule="auto"/>
              <w:jc w:val="center"/>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38</w:t>
            </w:r>
          </w:p>
        </w:tc>
        <w:tc>
          <w:tcPr>
            <w:tcW w:w="1123" w:type="dxa"/>
            <w:vAlign w:val="center"/>
          </w:tcPr>
          <w:p>
            <w:pPr>
              <w:spacing w:line="360" w:lineRule="auto"/>
              <w:jc w:val="center"/>
              <w:rPr>
                <w:rFonts w:ascii="宋体" w:eastAsia="宋体" w:hAnsi="宋体" w:cs="宋体" w:hint="eastAsia"/>
                <w:bCs/>
                <w:color w:val="000000"/>
                <w:sz w:val="21"/>
                <w:szCs w:val="21"/>
              </w:rPr>
            </w:pPr>
          </w:p>
        </w:tc>
        <w:tc>
          <w:tcPr>
            <w:tcW w:w="897" w:type="dxa"/>
            <w:vMerge/>
            <w:vAlign w:val="center"/>
          </w:tcPr>
          <w:p>
            <w:pPr>
              <w:spacing w:line="360" w:lineRule="auto"/>
              <w:jc w:val="center"/>
              <w:rPr>
                <w:rFonts w:ascii="宋体" w:eastAsia="宋体" w:hAnsi="宋体" w:cs="宋体" w:hint="eastAsia"/>
                <w:bCs/>
                <w:color w:val="000000"/>
                <w:sz w:val="21"/>
                <w:szCs w:val="21"/>
              </w:rPr>
            </w:pPr>
          </w:p>
        </w:tc>
        <w:tc>
          <w:tcPr>
            <w:tcW w:w="1010" w:type="dxa"/>
            <w:vAlign w:val="center"/>
          </w:tcPr>
          <w:p>
            <w:pPr>
              <w:spacing w:line="360" w:lineRule="auto"/>
              <w:jc w:val="center"/>
              <w:rPr>
                <w:rFonts w:ascii="宋体" w:eastAsia="宋体" w:hAnsi="宋体" w:cs="宋体" w:hint="eastAsia"/>
                <w:bCs/>
                <w:color w:val="000000"/>
                <w:sz w:val="21"/>
                <w:szCs w:val="21"/>
              </w:rPr>
            </w:pPr>
          </w:p>
        </w:tc>
      </w:tr>
      <w:tr>
        <w:tblPrEx>
          <w:tblW w:w="5000" w:type="pct"/>
          <w:tblInd w:w="-459" w:type="dxa"/>
          <w:tblLayout w:type="fixed"/>
          <w:tblCellMar>
            <w:top w:w="0" w:type="dxa"/>
            <w:left w:w="108" w:type="dxa"/>
            <w:bottom w:w="0" w:type="dxa"/>
            <w:right w:w="108" w:type="dxa"/>
          </w:tblCellMar>
        </w:tblPrEx>
        <w:trPr>
          <w:trHeight w:val="517"/>
        </w:trPr>
        <w:tc>
          <w:tcPr>
            <w:tcW w:w="758"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bCs/>
                <w:color w:val="000000"/>
                <w:sz w:val="21"/>
                <w:szCs w:val="21"/>
              </w:rPr>
            </w:pPr>
            <w:r>
              <w:rPr>
                <w:rFonts w:ascii="宋体" w:eastAsia="宋体" w:hAnsi="宋体" w:cs="宋体" w:hint="eastAsia"/>
                <w:color w:val="000000"/>
                <w:kern w:val="2"/>
                <w:sz w:val="21"/>
                <w:szCs w:val="21"/>
                <w:lang w:eastAsia="zh-CN"/>
              </w:rPr>
              <w:t>5</w:t>
            </w:r>
          </w:p>
        </w:tc>
        <w:tc>
          <w:tcPr>
            <w:tcW w:w="1262" w:type="dxa"/>
            <w:vAlign w:val="center"/>
          </w:tcPr>
          <w:p>
            <w:pPr>
              <w:widowControl/>
              <w:jc w:val="center"/>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热敏纸 </w:t>
            </w:r>
          </w:p>
          <w:p>
            <w:pPr>
              <w:widowControl/>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rPr>
              <w:t>POS机专用</w:t>
            </w:r>
          </w:p>
        </w:tc>
        <w:tc>
          <w:tcPr>
            <w:tcW w:w="1136" w:type="dxa"/>
            <w:vAlign w:val="center"/>
          </w:tcPr>
          <w:p>
            <w:pPr>
              <w:widowControl/>
              <w:jc w:val="center"/>
              <w:textAlignment w:val="center"/>
              <w:rPr>
                <w:rFonts w:ascii="宋体" w:eastAsia="宋体" w:hAnsi="宋体" w:cs="宋体" w:hint="eastAsia"/>
                <w:sz w:val="21"/>
                <w:szCs w:val="21"/>
              </w:rPr>
            </w:pPr>
            <w:r>
              <w:rPr>
                <w:rFonts w:ascii="宋体" w:eastAsia="宋体" w:hAnsi="宋体" w:cs="宋体" w:hint="eastAsia"/>
                <w:color w:val="000000"/>
                <w:sz w:val="21"/>
                <w:szCs w:val="21"/>
              </w:rPr>
              <w:t xml:space="preserve">57*40  </w:t>
            </w:r>
          </w:p>
        </w:tc>
        <w:tc>
          <w:tcPr>
            <w:tcW w:w="1263" w:type="dxa"/>
            <w:vAlign w:val="center"/>
          </w:tcPr>
          <w:p>
            <w:pPr>
              <w:spacing w:line="360" w:lineRule="auto"/>
              <w:jc w:val="center"/>
              <w:rPr>
                <w:rFonts w:ascii="宋体" w:eastAsia="宋体" w:hAnsi="宋体" w:cs="宋体" w:hint="eastAsia"/>
                <w:bCs/>
                <w:color w:val="000000"/>
                <w:sz w:val="21"/>
                <w:szCs w:val="21"/>
              </w:rPr>
            </w:pPr>
          </w:p>
        </w:tc>
        <w:tc>
          <w:tcPr>
            <w:tcW w:w="1135" w:type="dxa"/>
            <w:vAlign w:val="center"/>
          </w:tcPr>
          <w:p>
            <w:pPr>
              <w:spacing w:line="360" w:lineRule="auto"/>
              <w:jc w:val="center"/>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1</w:t>
            </w:r>
          </w:p>
        </w:tc>
        <w:tc>
          <w:tcPr>
            <w:tcW w:w="1136"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卷</w:t>
            </w:r>
          </w:p>
        </w:tc>
        <w:tc>
          <w:tcPr>
            <w:tcW w:w="1136" w:type="dxa"/>
            <w:vAlign w:val="center"/>
          </w:tcPr>
          <w:p>
            <w:pPr>
              <w:spacing w:line="360" w:lineRule="auto"/>
              <w:jc w:val="center"/>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2</w:t>
            </w:r>
          </w:p>
        </w:tc>
        <w:tc>
          <w:tcPr>
            <w:tcW w:w="1123" w:type="dxa"/>
            <w:vAlign w:val="center"/>
          </w:tcPr>
          <w:p>
            <w:pPr>
              <w:spacing w:line="360" w:lineRule="auto"/>
              <w:jc w:val="center"/>
              <w:rPr>
                <w:rFonts w:ascii="宋体" w:eastAsia="宋体" w:hAnsi="宋体" w:cs="宋体" w:hint="eastAsia"/>
                <w:bCs/>
                <w:color w:val="000000"/>
                <w:sz w:val="21"/>
                <w:szCs w:val="21"/>
              </w:rPr>
            </w:pPr>
          </w:p>
        </w:tc>
        <w:tc>
          <w:tcPr>
            <w:tcW w:w="897" w:type="dxa"/>
            <w:vMerge/>
            <w:vAlign w:val="center"/>
          </w:tcPr>
          <w:p>
            <w:pPr>
              <w:spacing w:line="360" w:lineRule="auto"/>
              <w:jc w:val="center"/>
              <w:rPr>
                <w:rFonts w:ascii="宋体" w:eastAsia="宋体" w:hAnsi="宋体" w:cs="宋体" w:hint="eastAsia"/>
                <w:bCs/>
                <w:color w:val="000000"/>
                <w:sz w:val="21"/>
                <w:szCs w:val="21"/>
              </w:rPr>
            </w:pPr>
          </w:p>
        </w:tc>
        <w:tc>
          <w:tcPr>
            <w:tcW w:w="1010" w:type="dxa"/>
            <w:vAlign w:val="center"/>
          </w:tcPr>
          <w:p>
            <w:pPr>
              <w:spacing w:line="360" w:lineRule="auto"/>
              <w:jc w:val="center"/>
              <w:rPr>
                <w:rFonts w:ascii="宋体" w:eastAsia="宋体" w:hAnsi="宋体" w:cs="宋体" w:hint="eastAsia"/>
                <w:bCs/>
                <w:color w:val="000000"/>
                <w:sz w:val="21"/>
                <w:szCs w:val="21"/>
              </w:rPr>
            </w:pPr>
          </w:p>
        </w:tc>
      </w:tr>
      <w:tr>
        <w:tblPrEx>
          <w:tblW w:w="5000" w:type="pct"/>
          <w:tblInd w:w="-459" w:type="dxa"/>
          <w:tblLayout w:type="fixed"/>
          <w:tblCellMar>
            <w:top w:w="0" w:type="dxa"/>
            <w:left w:w="108" w:type="dxa"/>
            <w:bottom w:w="0" w:type="dxa"/>
            <w:right w:w="108" w:type="dxa"/>
          </w:tblCellMar>
        </w:tblPrEx>
        <w:trPr>
          <w:trHeight w:val="517"/>
        </w:trPr>
        <w:tc>
          <w:tcPr>
            <w:tcW w:w="758"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bCs/>
                <w:color w:val="000000"/>
                <w:sz w:val="21"/>
                <w:szCs w:val="21"/>
              </w:rPr>
            </w:pPr>
            <w:r>
              <w:rPr>
                <w:rFonts w:ascii="宋体" w:eastAsia="宋体" w:hAnsi="宋体" w:cs="宋体" w:hint="eastAsia"/>
                <w:color w:val="000000"/>
                <w:kern w:val="2"/>
                <w:sz w:val="21"/>
                <w:szCs w:val="21"/>
                <w:lang w:eastAsia="zh-CN"/>
              </w:rPr>
              <w:t>6</w:t>
            </w:r>
          </w:p>
        </w:tc>
        <w:tc>
          <w:tcPr>
            <w:tcW w:w="1262" w:type="dxa"/>
            <w:vAlign w:val="center"/>
          </w:tcPr>
          <w:p>
            <w:pPr>
              <w:widowControl/>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rPr>
              <w:t>热敏纸不干胶</w:t>
            </w:r>
            <w:r>
              <w:rPr>
                <w:rFonts w:ascii="宋体" w:eastAsia="宋体" w:hAnsi="宋体" w:cs="宋体" w:hint="eastAsia"/>
                <w:color w:val="000000"/>
                <w:sz w:val="21"/>
                <w:szCs w:val="21"/>
                <w:lang w:eastAsia="zh-CN"/>
              </w:rPr>
              <w:t>3</w:t>
            </w:r>
          </w:p>
        </w:tc>
        <w:tc>
          <w:tcPr>
            <w:tcW w:w="1136" w:type="dxa"/>
            <w:vAlign w:val="center"/>
          </w:tcPr>
          <w:p>
            <w:pPr>
              <w:widowControl/>
              <w:jc w:val="center"/>
              <w:textAlignment w:val="center"/>
              <w:rPr>
                <w:rFonts w:ascii="宋体" w:eastAsia="宋体" w:hAnsi="宋体" w:cs="宋体" w:hint="eastAsia"/>
                <w:sz w:val="21"/>
                <w:szCs w:val="21"/>
              </w:rPr>
            </w:pPr>
            <w:r>
              <w:rPr>
                <w:rFonts w:ascii="宋体" w:eastAsia="宋体" w:hAnsi="宋体" w:cs="宋体" w:hint="eastAsia"/>
                <w:color w:val="000000"/>
                <w:sz w:val="21"/>
                <w:szCs w:val="21"/>
              </w:rPr>
              <w:t>50*30</w:t>
            </w:r>
          </w:p>
        </w:tc>
        <w:tc>
          <w:tcPr>
            <w:tcW w:w="1263" w:type="dxa"/>
            <w:vAlign w:val="center"/>
          </w:tcPr>
          <w:p>
            <w:pPr>
              <w:spacing w:line="360" w:lineRule="auto"/>
              <w:jc w:val="center"/>
              <w:rPr>
                <w:rFonts w:ascii="宋体" w:eastAsia="宋体" w:hAnsi="宋体" w:cs="宋体" w:hint="eastAsia"/>
                <w:bCs/>
                <w:color w:val="000000"/>
                <w:sz w:val="21"/>
                <w:szCs w:val="21"/>
              </w:rPr>
            </w:pPr>
          </w:p>
        </w:tc>
        <w:tc>
          <w:tcPr>
            <w:tcW w:w="1135" w:type="dxa"/>
            <w:vAlign w:val="center"/>
          </w:tcPr>
          <w:p>
            <w:pPr>
              <w:spacing w:line="360" w:lineRule="auto"/>
              <w:jc w:val="center"/>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1</w:t>
            </w:r>
          </w:p>
        </w:tc>
        <w:tc>
          <w:tcPr>
            <w:tcW w:w="1136"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卷</w:t>
            </w:r>
          </w:p>
        </w:tc>
        <w:tc>
          <w:tcPr>
            <w:tcW w:w="1136" w:type="dxa"/>
            <w:vAlign w:val="center"/>
          </w:tcPr>
          <w:p>
            <w:pPr>
              <w:spacing w:line="360" w:lineRule="auto"/>
              <w:jc w:val="center"/>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15</w:t>
            </w:r>
          </w:p>
        </w:tc>
        <w:tc>
          <w:tcPr>
            <w:tcW w:w="1123" w:type="dxa"/>
            <w:vAlign w:val="center"/>
          </w:tcPr>
          <w:p>
            <w:pPr>
              <w:spacing w:line="360" w:lineRule="auto"/>
              <w:jc w:val="center"/>
              <w:rPr>
                <w:rFonts w:ascii="宋体" w:eastAsia="宋体" w:hAnsi="宋体" w:cs="宋体" w:hint="eastAsia"/>
                <w:bCs/>
                <w:color w:val="000000"/>
                <w:sz w:val="21"/>
                <w:szCs w:val="21"/>
              </w:rPr>
            </w:pPr>
          </w:p>
        </w:tc>
        <w:tc>
          <w:tcPr>
            <w:tcW w:w="897" w:type="dxa"/>
            <w:vMerge/>
            <w:vAlign w:val="center"/>
          </w:tcPr>
          <w:p>
            <w:pPr>
              <w:spacing w:line="360" w:lineRule="auto"/>
              <w:jc w:val="center"/>
              <w:rPr>
                <w:rFonts w:ascii="宋体" w:eastAsia="宋体" w:hAnsi="宋体" w:cs="宋体" w:hint="eastAsia"/>
                <w:bCs/>
                <w:color w:val="000000"/>
                <w:sz w:val="21"/>
                <w:szCs w:val="21"/>
              </w:rPr>
            </w:pPr>
          </w:p>
        </w:tc>
        <w:tc>
          <w:tcPr>
            <w:tcW w:w="1010" w:type="dxa"/>
            <w:vAlign w:val="center"/>
          </w:tcPr>
          <w:p>
            <w:pPr>
              <w:spacing w:line="360" w:lineRule="auto"/>
              <w:jc w:val="center"/>
              <w:rPr>
                <w:rFonts w:ascii="宋体" w:eastAsia="宋体" w:hAnsi="宋体" w:cs="宋体" w:hint="eastAsia"/>
                <w:bCs/>
                <w:color w:val="000000"/>
                <w:sz w:val="21"/>
                <w:szCs w:val="21"/>
              </w:rPr>
            </w:pPr>
          </w:p>
        </w:tc>
      </w:tr>
      <w:tr>
        <w:tblPrEx>
          <w:tblW w:w="5000" w:type="pct"/>
          <w:tblInd w:w="-459" w:type="dxa"/>
          <w:tblLayout w:type="fixed"/>
          <w:tblCellMar>
            <w:top w:w="0" w:type="dxa"/>
            <w:left w:w="108" w:type="dxa"/>
            <w:bottom w:w="0" w:type="dxa"/>
            <w:right w:w="108" w:type="dxa"/>
          </w:tblCellMar>
        </w:tblPrEx>
        <w:trPr>
          <w:trHeight w:val="517"/>
        </w:trPr>
        <w:tc>
          <w:tcPr>
            <w:tcW w:w="758"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bCs/>
                <w:color w:val="000000"/>
                <w:sz w:val="21"/>
                <w:szCs w:val="21"/>
              </w:rPr>
            </w:pPr>
            <w:r>
              <w:rPr>
                <w:rFonts w:ascii="宋体" w:eastAsia="宋体" w:hAnsi="宋体" w:cs="宋体" w:hint="eastAsia"/>
                <w:color w:val="000000"/>
                <w:kern w:val="2"/>
                <w:sz w:val="21"/>
                <w:szCs w:val="21"/>
                <w:lang w:eastAsia="zh-CN"/>
              </w:rPr>
              <w:t>7</w:t>
            </w:r>
          </w:p>
        </w:tc>
        <w:tc>
          <w:tcPr>
            <w:tcW w:w="1262" w:type="dxa"/>
            <w:vAlign w:val="center"/>
          </w:tcPr>
          <w:p>
            <w:pPr>
              <w:widowControl/>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rPr>
              <w:t>热敏不干胶</w:t>
            </w:r>
            <w:r>
              <w:rPr>
                <w:rFonts w:ascii="宋体" w:eastAsia="宋体" w:hAnsi="宋体" w:cs="宋体" w:hint="eastAsia"/>
                <w:color w:val="000000"/>
                <w:sz w:val="21"/>
                <w:szCs w:val="21"/>
                <w:lang w:eastAsia="zh-CN"/>
              </w:rPr>
              <w:t>4</w:t>
            </w:r>
          </w:p>
        </w:tc>
        <w:tc>
          <w:tcPr>
            <w:tcW w:w="1136" w:type="dxa"/>
            <w:vAlign w:val="center"/>
          </w:tcPr>
          <w:p>
            <w:pPr>
              <w:widowControl/>
              <w:jc w:val="center"/>
              <w:textAlignment w:val="center"/>
              <w:rPr>
                <w:rFonts w:ascii="宋体" w:eastAsia="宋体" w:hAnsi="宋体" w:cs="宋体" w:hint="eastAsia"/>
                <w:sz w:val="21"/>
                <w:szCs w:val="21"/>
              </w:rPr>
            </w:pPr>
            <w:r>
              <w:rPr>
                <w:rFonts w:ascii="宋体" w:eastAsia="宋体" w:hAnsi="宋体" w:cs="宋体" w:hint="eastAsia"/>
                <w:color w:val="000000"/>
                <w:sz w:val="21"/>
                <w:szCs w:val="21"/>
              </w:rPr>
              <w:t>56*7.5</w:t>
            </w:r>
          </w:p>
        </w:tc>
        <w:tc>
          <w:tcPr>
            <w:tcW w:w="1263" w:type="dxa"/>
            <w:vAlign w:val="center"/>
          </w:tcPr>
          <w:p>
            <w:pPr>
              <w:spacing w:line="360" w:lineRule="auto"/>
              <w:jc w:val="center"/>
              <w:rPr>
                <w:rFonts w:ascii="宋体" w:eastAsia="宋体" w:hAnsi="宋体" w:cs="宋体" w:hint="eastAsia"/>
                <w:bCs/>
                <w:color w:val="000000"/>
                <w:sz w:val="21"/>
                <w:szCs w:val="21"/>
              </w:rPr>
            </w:pPr>
          </w:p>
        </w:tc>
        <w:tc>
          <w:tcPr>
            <w:tcW w:w="1135" w:type="dxa"/>
            <w:vAlign w:val="center"/>
          </w:tcPr>
          <w:p>
            <w:pPr>
              <w:spacing w:line="360" w:lineRule="auto"/>
              <w:jc w:val="center"/>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1</w:t>
            </w:r>
          </w:p>
        </w:tc>
        <w:tc>
          <w:tcPr>
            <w:tcW w:w="1136"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卷</w:t>
            </w:r>
          </w:p>
        </w:tc>
        <w:tc>
          <w:tcPr>
            <w:tcW w:w="1136" w:type="dxa"/>
            <w:vAlign w:val="center"/>
          </w:tcPr>
          <w:p>
            <w:pPr>
              <w:spacing w:line="360" w:lineRule="auto"/>
              <w:jc w:val="center"/>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4.8</w:t>
            </w:r>
          </w:p>
        </w:tc>
        <w:tc>
          <w:tcPr>
            <w:tcW w:w="1123" w:type="dxa"/>
            <w:vAlign w:val="center"/>
          </w:tcPr>
          <w:p>
            <w:pPr>
              <w:spacing w:line="360" w:lineRule="auto"/>
              <w:jc w:val="center"/>
              <w:rPr>
                <w:rFonts w:ascii="宋体" w:eastAsia="宋体" w:hAnsi="宋体" w:cs="宋体" w:hint="eastAsia"/>
                <w:bCs/>
                <w:color w:val="000000"/>
                <w:sz w:val="21"/>
                <w:szCs w:val="21"/>
              </w:rPr>
            </w:pPr>
          </w:p>
        </w:tc>
        <w:tc>
          <w:tcPr>
            <w:tcW w:w="897" w:type="dxa"/>
            <w:vMerge/>
            <w:vAlign w:val="center"/>
          </w:tcPr>
          <w:p>
            <w:pPr>
              <w:spacing w:line="360" w:lineRule="auto"/>
              <w:jc w:val="center"/>
              <w:rPr>
                <w:rFonts w:ascii="宋体" w:eastAsia="宋体" w:hAnsi="宋体" w:cs="宋体" w:hint="eastAsia"/>
                <w:bCs/>
                <w:color w:val="000000"/>
                <w:sz w:val="21"/>
                <w:szCs w:val="21"/>
              </w:rPr>
            </w:pPr>
          </w:p>
        </w:tc>
        <w:tc>
          <w:tcPr>
            <w:tcW w:w="1010" w:type="dxa"/>
            <w:vAlign w:val="center"/>
          </w:tcPr>
          <w:p>
            <w:pPr>
              <w:spacing w:line="360" w:lineRule="auto"/>
              <w:jc w:val="center"/>
              <w:rPr>
                <w:rFonts w:ascii="宋体" w:eastAsia="宋体" w:hAnsi="宋体" w:cs="宋体" w:hint="eastAsia"/>
                <w:bCs/>
                <w:color w:val="000000"/>
                <w:sz w:val="21"/>
                <w:szCs w:val="21"/>
              </w:rPr>
            </w:pPr>
          </w:p>
        </w:tc>
      </w:tr>
      <w:tr>
        <w:tblPrEx>
          <w:tblW w:w="5000" w:type="pct"/>
          <w:tblInd w:w="-459" w:type="dxa"/>
          <w:tblLayout w:type="fixed"/>
          <w:tblCellMar>
            <w:top w:w="0" w:type="dxa"/>
            <w:left w:w="108" w:type="dxa"/>
            <w:bottom w:w="0" w:type="dxa"/>
            <w:right w:w="108" w:type="dxa"/>
          </w:tblCellMar>
        </w:tblPrEx>
        <w:trPr>
          <w:trHeight w:val="517"/>
        </w:trPr>
        <w:tc>
          <w:tcPr>
            <w:tcW w:w="758"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bCs/>
                <w:color w:val="000000"/>
                <w:sz w:val="21"/>
                <w:szCs w:val="21"/>
              </w:rPr>
            </w:pPr>
            <w:r>
              <w:rPr>
                <w:rFonts w:ascii="宋体" w:eastAsia="宋体" w:hAnsi="宋体" w:cs="宋体" w:hint="eastAsia"/>
                <w:color w:val="000000"/>
                <w:kern w:val="2"/>
                <w:sz w:val="21"/>
                <w:szCs w:val="21"/>
                <w:lang w:eastAsia="zh-CN"/>
              </w:rPr>
              <w:t>8</w:t>
            </w:r>
          </w:p>
        </w:tc>
        <w:tc>
          <w:tcPr>
            <w:tcW w:w="1262" w:type="dxa"/>
            <w:vAlign w:val="center"/>
          </w:tcPr>
          <w:p>
            <w:pPr>
              <w:widowControl/>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rPr>
              <w:t>热敏不干胶</w:t>
            </w:r>
            <w:r>
              <w:rPr>
                <w:rFonts w:ascii="宋体" w:eastAsia="宋体" w:hAnsi="宋体" w:cs="宋体" w:hint="eastAsia"/>
                <w:color w:val="000000"/>
                <w:sz w:val="21"/>
                <w:szCs w:val="21"/>
                <w:lang w:eastAsia="zh-CN"/>
              </w:rPr>
              <w:t>5</w:t>
            </w:r>
          </w:p>
        </w:tc>
        <w:tc>
          <w:tcPr>
            <w:tcW w:w="1136" w:type="dxa"/>
            <w:vAlign w:val="center"/>
          </w:tcPr>
          <w:p>
            <w:pPr>
              <w:widowControl/>
              <w:jc w:val="center"/>
              <w:textAlignment w:val="center"/>
              <w:rPr>
                <w:rFonts w:ascii="宋体" w:eastAsia="宋体" w:hAnsi="宋体" w:cs="宋体" w:hint="eastAsia"/>
                <w:sz w:val="21"/>
                <w:szCs w:val="21"/>
              </w:rPr>
            </w:pPr>
            <w:r>
              <w:rPr>
                <w:rFonts w:ascii="宋体" w:eastAsia="宋体" w:hAnsi="宋体" w:cs="宋体" w:hint="eastAsia"/>
                <w:color w:val="000000"/>
                <w:sz w:val="21"/>
                <w:szCs w:val="21"/>
              </w:rPr>
              <w:t>90*52</w:t>
            </w:r>
          </w:p>
        </w:tc>
        <w:tc>
          <w:tcPr>
            <w:tcW w:w="1263" w:type="dxa"/>
            <w:vAlign w:val="center"/>
          </w:tcPr>
          <w:p>
            <w:pPr>
              <w:spacing w:line="360" w:lineRule="auto"/>
              <w:jc w:val="center"/>
              <w:rPr>
                <w:rFonts w:ascii="宋体" w:eastAsia="宋体" w:hAnsi="宋体" w:cs="宋体" w:hint="eastAsia"/>
                <w:bCs/>
                <w:color w:val="000000"/>
                <w:sz w:val="21"/>
                <w:szCs w:val="21"/>
              </w:rPr>
            </w:pPr>
          </w:p>
        </w:tc>
        <w:tc>
          <w:tcPr>
            <w:tcW w:w="1135" w:type="dxa"/>
            <w:vAlign w:val="center"/>
          </w:tcPr>
          <w:p>
            <w:pPr>
              <w:spacing w:line="360" w:lineRule="auto"/>
              <w:jc w:val="center"/>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1</w:t>
            </w:r>
          </w:p>
        </w:tc>
        <w:tc>
          <w:tcPr>
            <w:tcW w:w="1136" w:type="dxa"/>
            <w:vAlign w:val="center"/>
          </w:tcPr>
          <w:p>
            <w:pPr>
              <w:keepNext w:val="0"/>
              <w:keepLines w:val="0"/>
              <w:widowControl/>
              <w:suppressLineNumbers w:val="0"/>
              <w:spacing w:before="0" w:beforeAutospacing="0" w:after="0" w:afterAutospacing="0"/>
              <w:ind w:left="0" w:right="0" w:leftChars="0" w:rightChars="0"/>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卷</w:t>
            </w:r>
          </w:p>
        </w:tc>
        <w:tc>
          <w:tcPr>
            <w:tcW w:w="1136" w:type="dxa"/>
            <w:vAlign w:val="center"/>
          </w:tcPr>
          <w:p>
            <w:pPr>
              <w:spacing w:line="360" w:lineRule="auto"/>
              <w:jc w:val="center"/>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4.6</w:t>
            </w:r>
          </w:p>
        </w:tc>
        <w:tc>
          <w:tcPr>
            <w:tcW w:w="1123" w:type="dxa"/>
            <w:vAlign w:val="center"/>
          </w:tcPr>
          <w:p>
            <w:pPr>
              <w:spacing w:line="360" w:lineRule="auto"/>
              <w:jc w:val="center"/>
              <w:rPr>
                <w:rFonts w:ascii="宋体" w:eastAsia="宋体" w:hAnsi="宋体" w:cs="宋体" w:hint="eastAsia"/>
                <w:bCs/>
                <w:color w:val="000000"/>
                <w:sz w:val="21"/>
                <w:szCs w:val="21"/>
              </w:rPr>
            </w:pPr>
          </w:p>
        </w:tc>
        <w:tc>
          <w:tcPr>
            <w:tcW w:w="897" w:type="dxa"/>
            <w:vMerge/>
            <w:vAlign w:val="center"/>
          </w:tcPr>
          <w:p>
            <w:pPr>
              <w:spacing w:line="360" w:lineRule="auto"/>
              <w:jc w:val="center"/>
              <w:rPr>
                <w:rFonts w:ascii="宋体" w:eastAsia="宋体" w:hAnsi="宋体" w:cs="宋体" w:hint="eastAsia"/>
                <w:bCs/>
                <w:color w:val="000000"/>
                <w:sz w:val="21"/>
                <w:szCs w:val="21"/>
              </w:rPr>
            </w:pPr>
          </w:p>
        </w:tc>
        <w:tc>
          <w:tcPr>
            <w:tcW w:w="1010" w:type="dxa"/>
            <w:vAlign w:val="center"/>
          </w:tcPr>
          <w:p>
            <w:pPr>
              <w:spacing w:line="360" w:lineRule="auto"/>
              <w:jc w:val="center"/>
              <w:rPr>
                <w:rFonts w:ascii="宋体" w:eastAsia="宋体" w:hAnsi="宋体" w:cs="宋体" w:hint="eastAsia"/>
                <w:bCs/>
                <w:color w:val="000000"/>
                <w:sz w:val="21"/>
                <w:szCs w:val="21"/>
              </w:rPr>
            </w:pPr>
          </w:p>
        </w:tc>
      </w:tr>
    </w:tbl>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填写说明：</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1.本表可根据实际需要增加相关内容，但原有的格式内容不得删减；</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2.“品牌”可以与商标一致，也可以填写便于区分其他公司商品的制造商简称或者制造商认可的品牌名称。</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3.如所投货物属于定制类的非量产货物或无具体型号的货物，可以在“规格/型号”一栏仅填写规格信息而不填写型号信息（型号信息用“定制”描述即可）；此类填写错误或缺漏（所投货物为定制类的非量产货物但供应商却错误填报了型号）可能带来的不利后果由供应商承担。</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4.“原产地”是指该货物的实际生产加工地，而非品牌所在地。</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5.所投货物均应填写制造商名称。“制造商”是指产品制造厂商，产品代工制造的，应填写接受委托生产制造的制造商。</w:t>
      </w:r>
    </w:p>
    <w:p>
      <w:pPr>
        <w:widowControl/>
        <w:wordWrap w:val="0"/>
        <w:autoSpaceDE w:val="0"/>
        <w:autoSpaceDN w:val="0"/>
        <w:spacing w:line="400" w:lineRule="exact"/>
        <w:ind w:left="0" w:right="32" w:firstLine="0" w:leftChars="0" w:rightChars="0" w:firstLineChars="0"/>
        <w:jc w:val="both"/>
        <w:rPr>
          <w:rFonts w:eastAsia="宋体" w:hint="eastAsia"/>
          <w:b/>
          <w:bCs/>
          <w:color w:val="FF0000"/>
          <w:kern w:val="2"/>
          <w:sz w:val="21"/>
          <w:lang w:eastAsia="zh-CN"/>
        </w:rPr>
      </w:pPr>
      <w:r>
        <w:rPr>
          <w:rFonts w:eastAsia="宋体" w:hint="eastAsia"/>
          <w:kern w:val="2"/>
          <w:sz w:val="21"/>
          <w:lang w:eastAsia="zh-CN"/>
        </w:rPr>
        <w:t>6.</w:t>
      </w:r>
      <w:r>
        <w:rPr>
          <w:rFonts w:eastAsia="宋体" w:hint="eastAsia"/>
          <w:b/>
          <w:bCs/>
          <w:color w:val="FF0000"/>
          <w:kern w:val="2"/>
          <w:sz w:val="21"/>
          <w:lang w:eastAsia="zh-CN"/>
        </w:rPr>
        <w:t>仅允许填报唯一一个“折扣率”；</w:t>
      </w:r>
    </w:p>
    <w:p>
      <w:pPr>
        <w:widowControl/>
        <w:wordWrap w:val="0"/>
        <w:autoSpaceDE w:val="0"/>
        <w:autoSpaceDN w:val="0"/>
        <w:spacing w:line="400" w:lineRule="exact"/>
        <w:ind w:left="0" w:right="32" w:firstLine="0" w:leftChars="0" w:rightChars="0" w:firstLineChars="0"/>
        <w:jc w:val="both"/>
        <w:rPr>
          <w:rFonts w:eastAsia="宋体" w:hint="eastAsia"/>
          <w:b/>
          <w:bCs/>
          <w:color w:val="FF0000"/>
          <w:kern w:val="2"/>
          <w:sz w:val="21"/>
          <w:lang w:eastAsia="zh-CN"/>
        </w:rPr>
      </w:pPr>
      <w:r>
        <w:rPr>
          <w:rFonts w:eastAsia="宋体" w:hint="eastAsia"/>
          <w:kern w:val="2"/>
          <w:sz w:val="21"/>
          <w:lang w:eastAsia="zh-CN"/>
        </w:rPr>
        <w:t>7.</w:t>
      </w:r>
      <w:r>
        <w:rPr>
          <w:rFonts w:eastAsia="宋体" w:hint="eastAsia"/>
          <w:b/>
          <w:bCs/>
          <w:color w:val="FF0000"/>
          <w:kern w:val="2"/>
          <w:sz w:val="21"/>
          <w:lang w:eastAsia="zh-CN"/>
        </w:rPr>
        <w:t>折扣后单价最多精确到小数点后2位（如5.00）；</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8.所有价格应按“招标文件”中规定的货币单位填写；项目报价表中单个采购预算条目报价均不得超过对应的预算金额（或设定的预算金额下的最高限价），否则将导致投标无效。</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★9.如未提供《（一）项目报价表》或者不按《第三章用户需求书：二、货物需求明细》要求填报、漏报或错报的将作投标无效处理。</w:t>
      </w:r>
    </w:p>
    <w:p>
      <w:pPr>
        <w:widowControl w:val="0"/>
        <w:spacing w:after="120" w:line="240" w:lineRule="auto"/>
        <w:ind w:left="480" w:firstLine="420" w:leftChars="200" w:firstLineChars="200"/>
        <w:jc w:val="both"/>
        <w:rPr>
          <w:rFonts w:eastAsia="宋体" w:hint="eastAsia"/>
          <w:kern w:val="2"/>
          <w:sz w:val="21"/>
          <w:lang w:eastAsia="zh-CN"/>
        </w:rPr>
      </w:pPr>
    </w:p>
    <w:p>
      <w:pPr>
        <w:widowControl w:val="0"/>
        <w:spacing w:after="120" w:line="240" w:lineRule="auto"/>
        <w:ind w:left="0" w:firstLine="0" w:leftChars="0" w:firstLineChars="0"/>
        <w:jc w:val="both"/>
        <w:rPr>
          <w:rFonts w:eastAsia="宋体" w:hint="eastAsia"/>
          <w:kern w:val="2"/>
          <w:sz w:val="21"/>
          <w:lang w:eastAsia="zh-CN"/>
        </w:rPr>
      </w:pPr>
    </w:p>
    <w:p>
      <w:pPr>
        <w:widowControl w:val="0"/>
        <w:spacing w:after="120" w:line="240" w:lineRule="auto"/>
        <w:ind w:left="0" w:firstLine="0" w:leftChars="0" w:firstLineChars="0"/>
        <w:jc w:val="both"/>
        <w:rPr>
          <w:rFonts w:eastAsia="宋体" w:hint="eastAsia"/>
          <w:kern w:val="2"/>
          <w:sz w:val="21"/>
          <w:lang w:eastAsia="zh-CN"/>
        </w:rPr>
      </w:pPr>
    </w:p>
    <w:p>
      <w:pPr>
        <w:widowControl w:val="0"/>
        <w:tabs>
          <w:tab w:val="left" w:pos="720"/>
        </w:tabs>
        <w:spacing w:after="60" w:afterLines="25" w:line="300" w:lineRule="auto"/>
        <w:jc w:val="center"/>
        <w:rPr>
          <w:rFonts w:ascii="Arial" w:eastAsia="宋体" w:hAnsi="Arial" w:hint="eastAsia"/>
          <w:b/>
          <w:kern w:val="2"/>
          <w:lang w:eastAsia="zh-CN"/>
        </w:rPr>
      </w:pPr>
      <w:r>
        <w:rPr>
          <w:rFonts w:ascii="Arial" w:eastAsia="宋体" w:hAnsi="Arial" w:hint="eastAsia"/>
          <w:b/>
          <w:kern w:val="2"/>
          <w:lang w:eastAsia="zh-CN"/>
        </w:rPr>
        <w:t>（二）核心产品品牌</w:t>
      </w:r>
    </w:p>
    <w:p>
      <w:pPr>
        <w:widowControl w:val="0"/>
        <w:spacing w:after="120" w:line="240" w:lineRule="auto"/>
        <w:ind w:left="480" w:firstLine="420" w:leftChars="200" w:firstLineChars="200"/>
        <w:jc w:val="both"/>
        <w:rPr>
          <w:rFonts w:ascii="Calibri" w:eastAsia="宋体" w:hAnsi="Calibri" w:hint="eastAsia"/>
          <w:kern w:val="2"/>
          <w:sz w:val="21"/>
          <w:szCs w:val="22"/>
          <w:lang w:eastAsia="zh-CN"/>
        </w:rPr>
      </w:pPr>
    </w:p>
    <w:p>
      <w:pPr>
        <w:widowControl w:val="0"/>
        <w:ind w:firstLine="480" w:firstLineChars="200"/>
        <w:jc w:val="both"/>
        <w:rPr>
          <w:rFonts w:ascii="宋体" w:eastAsia="宋体" w:hAnsi="宋体"/>
          <w:b/>
          <w:kern w:val="2"/>
          <w:szCs w:val="22"/>
          <w:lang w:eastAsia="zh-CN"/>
        </w:rPr>
      </w:pPr>
      <w:r>
        <w:rPr>
          <w:rFonts w:ascii="Calibri" w:eastAsia="宋体" w:hAnsi="Calibri" w:cstheme="minorBidi" w:hint="eastAsia"/>
          <w:b/>
          <w:kern w:val="2"/>
          <w:szCs w:val="22"/>
          <w:lang w:eastAsia="zh-CN"/>
        </w:rPr>
        <w:t>我单位所投核心产品的品牌为：</w:t>
      </w:r>
      <w:r>
        <w:rPr>
          <w:rFonts w:ascii="Calibri" w:eastAsia="宋体" w:hAnsi="Calibri" w:cstheme="minorBidi" w:hint="eastAsia"/>
          <w:b/>
          <w:kern w:val="2"/>
          <w:szCs w:val="22"/>
          <w:u w:val="single"/>
          <w:lang w:eastAsia="zh-CN"/>
        </w:rPr>
        <w:t xml:space="preserve">               </w:t>
      </w:r>
      <w:r>
        <w:rPr>
          <w:rFonts w:ascii="Calibri" w:eastAsia="宋体" w:hAnsi="Calibri" w:cstheme="minorBidi" w:hint="eastAsia"/>
          <w:b/>
          <w:kern w:val="2"/>
          <w:szCs w:val="22"/>
          <w:lang w:eastAsia="zh-CN"/>
        </w:rPr>
        <w:t>。</w:t>
      </w:r>
    </w:p>
    <w:p>
      <w:pPr>
        <w:widowControl/>
        <w:wordWrap w:val="0"/>
        <w:autoSpaceDE w:val="0"/>
        <w:autoSpaceDN w:val="0"/>
        <w:spacing w:line="400" w:lineRule="exact"/>
        <w:ind w:right="808" w:firstLine="420" w:firstLineChars="200"/>
        <w:jc w:val="both"/>
        <w:rPr>
          <w:rFonts w:eastAsia="宋体" w:hint="eastAsia"/>
          <w:kern w:val="2"/>
          <w:sz w:val="21"/>
          <w:lang w:eastAsia="zh-CN"/>
        </w:rPr>
      </w:pPr>
      <w:r>
        <w:rPr>
          <w:rFonts w:eastAsia="宋体" w:hint="eastAsia"/>
          <w:kern w:val="2"/>
          <w:sz w:val="21"/>
          <w:lang w:eastAsia="zh-CN"/>
        </w:rPr>
        <w:t>备注：单一产品采购项目，核心产品即为该单一产品。</w:t>
      </w:r>
    </w:p>
    <w:p>
      <w:pPr>
        <w:widowControl/>
        <w:wordWrap w:val="0"/>
        <w:autoSpaceDE w:val="0"/>
        <w:autoSpaceDN w:val="0"/>
        <w:spacing w:line="400" w:lineRule="exact"/>
        <w:ind w:right="808" w:firstLine="420" w:firstLineChars="200"/>
        <w:jc w:val="both"/>
        <w:rPr>
          <w:rFonts w:eastAsia="宋体" w:hint="eastAsia"/>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hint="eastAsia"/>
          <w:b/>
          <w:kern w:val="2"/>
          <w:lang w:eastAsia="zh-CN"/>
        </w:rPr>
      </w:pPr>
      <w:r>
        <w:rPr>
          <w:rFonts w:ascii="Arial" w:eastAsia="宋体" w:hAnsi="Arial" w:hint="eastAsia"/>
          <w:b/>
          <w:kern w:val="2"/>
          <w:lang w:eastAsia="zh-CN"/>
        </w:rPr>
        <w:t>（三）可选配件报价清单（非项目需求要求的必备配件，此部分不包括在总报价内）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注：格式可以参照《（一）项目报价表》表格，并提供相应的品牌/规格/型号、原产地、制造商信息（没有品牌、型号的，用“定制”描述即可）、单价等详细信息</w:t>
      </w: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hint="eastAsia"/>
          <w:b/>
          <w:kern w:val="2"/>
          <w:lang w:eastAsia="zh-CN"/>
        </w:rPr>
      </w:pPr>
      <w:r>
        <w:rPr>
          <w:rFonts w:ascii="Arial" w:eastAsia="宋体" w:hAnsi="Arial" w:hint="eastAsia"/>
          <w:b/>
          <w:kern w:val="2"/>
          <w:lang w:eastAsia="zh-CN"/>
        </w:rPr>
        <w:t>（四）供应商认为需要涉及的其他内容报价清单</w:t>
      </w: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keepNext/>
        <w:keepLines/>
        <w:widowControl/>
        <w:spacing w:before="260" w:after="260"/>
        <w:jc w:val="center"/>
        <w:outlineLvl w:val="2"/>
        <w:rPr>
          <w:rFonts w:ascii="黑体" w:eastAsia="黑体" w:hAnsi="宋体"/>
          <w:b/>
          <w:kern w:val="2"/>
          <w:sz w:val="30"/>
          <w:szCs w:val="30"/>
          <w:lang w:eastAsia="zh-CN"/>
        </w:rPr>
      </w:pPr>
      <w:r>
        <w:rPr>
          <w:rFonts w:ascii="黑体" w:eastAsia="黑体" w:hAnsi="宋体" w:hint="eastAsia"/>
          <w:b/>
          <w:kern w:val="2"/>
          <w:sz w:val="30"/>
          <w:szCs w:val="30"/>
          <w:lang w:eastAsia="zh-CN"/>
        </w:rPr>
        <w:t>五、股东构成审查表</w:t>
      </w:r>
    </w:p>
    <w:p>
      <w:pPr>
        <w:keepNext/>
        <w:keepLines/>
        <w:widowControl w:val="0"/>
        <w:numPr>
          <w:ilvl w:val="0"/>
          <w:numId w:val="2"/>
        </w:numPr>
        <w:kinsoku/>
        <w:overflowPunct/>
        <w:topLinePunct w:val="0"/>
        <w:bidi w:val="0"/>
        <w:spacing w:before="0" w:beforeAutospacing="0" w:after="0" w:afterAutospacing="0" w:line="360" w:lineRule="auto"/>
        <w:ind w:left="0" w:right="0" w:firstLine="0" w:leftChars="0" w:firstLineChars="0"/>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提供投标人所在地的市场监督管理部门“商事登记簿查询（商事主体登记及备案信息查询）”查询截图或提供国家企业信用信息公示系统截图；</w:t>
      </w:r>
    </w:p>
    <w:p>
      <w:pPr>
        <w:keepNext/>
        <w:keepLines/>
        <w:widowControl w:val="0"/>
        <w:numPr>
          <w:ilvl w:val="0"/>
          <w:numId w:val="0"/>
        </w:numPr>
        <w:kinsoku/>
        <w:overflowPunct/>
        <w:topLinePunct w:val="0"/>
        <w:bidi w:val="0"/>
        <w:spacing w:before="0" w:beforeAutospacing="0" w:after="0" w:afterAutospacing="0" w:line="360" w:lineRule="auto"/>
        <w:ind w:left="0" w:right="0" w:firstLine="0" w:leftChars="0" w:rightChars="0"/>
        <w:jc w:val="both"/>
        <w:outlineLvl w:val="9"/>
        <w:rPr>
          <w:rFonts w:ascii="宋体" w:eastAsia="宋体" w:hAnsi="宋体" w:cs="宋体" w:hint="eastAsia"/>
          <w:kern w:val="2"/>
          <w:sz w:val="21"/>
          <w:szCs w:val="22"/>
          <w:lang w:eastAsia="zh-CN"/>
        </w:rPr>
      </w:pPr>
      <w:r>
        <w:rPr>
          <w:rFonts w:ascii="宋体" w:eastAsia="宋体" w:hAnsi="宋体" w:cs="宋体" w:hint="eastAsia"/>
          <w:b/>
          <w:bCs/>
          <w:kern w:val="2"/>
          <w:sz w:val="21"/>
          <w:szCs w:val="22"/>
          <w:lang w:eastAsia="zh-CN"/>
        </w:rPr>
        <w:t>参考示例1：</w:t>
      </w:r>
      <w:r>
        <w:rPr>
          <w:rFonts w:ascii="宋体" w:eastAsia="宋体" w:hAnsi="宋体" w:cs="宋体" w:hint="eastAsia"/>
          <w:kern w:val="2"/>
          <w:sz w:val="21"/>
          <w:szCs w:val="22"/>
          <w:lang w:eastAsia="zh-CN"/>
        </w:rPr>
        <w:t>“深圳市市场监督管理局——商事登记簿查询（商事主体登记及备案信息查询）：</w:t>
      </w:r>
      <w:hyperlink r:id="rId4" w:history="1">
        <w:r>
          <w:rPr>
            <w:rFonts w:ascii="宋体" w:eastAsia="宋体" w:hAnsi="宋体" w:cs="宋体" w:hint="eastAsia"/>
            <w:color w:val="0000FF"/>
            <w:kern w:val="2"/>
            <w:sz w:val="21"/>
            <w:szCs w:val="22"/>
            <w:u w:val="single"/>
            <w:lang w:eastAsia="zh-CN"/>
          </w:rPr>
          <w:t>https://amr.sz.gov.cn/outer/entSelect/gs.html”。</w:t>
        </w:r>
      </w:hyperlink>
    </w:p>
    <w:p>
      <w:pPr>
        <w:widowControl/>
        <w:spacing w:line="360" w:lineRule="auto"/>
        <w:ind w:firstLine="480" w:firstLineChars="200"/>
        <w:jc w:val="left"/>
        <w:rPr>
          <w:rFonts w:ascii="宋体" w:eastAsia="宋体" w:hAnsi="宋体"/>
          <w:bCs/>
          <w:kern w:val="2"/>
          <w:sz w:val="21"/>
          <w:szCs w:val="21"/>
          <w:lang w:eastAsia="zh-CN"/>
        </w:rPr>
      </w:pPr>
      <w:r>
        <w:rPr>
          <w:rFonts w:ascii="宋体" w:eastAsia="宋体" w:hAnsi="宋体" w:cs="Times New Roman"/>
          <w:szCs w:val="21"/>
        </w:rPr>
        <w:drawing>
          <wp:inline distT="0" distB="0" distL="0" distR="0">
            <wp:extent cx="4886325" cy="4972050"/>
            <wp:effectExtent l="0" t="0" r="9525" b="0"/>
            <wp:docPr id="21" name="图片 21" descr="12e5581987e7a988a89e173886a9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2e5581987e7a988a89e173886a93ac"/>
                    <pic:cNvPicPr>
                      <a:picLocks noChangeAspect="1" noChangeArrowheads="1"/>
                    </pic:cNvPicPr>
                  </pic:nvPicPr>
                  <pic:blipFill>
                    <a:blip xmlns:r="http://schemas.openxmlformats.org/officeDocument/2006/relationships" r:embed="rId5"/>
                    <a:stretch>
                      <a:fillRect/>
                    </a:stretch>
                  </pic:blipFill>
                  <pic:spPr>
                    <a:xfrm>
                      <a:off x="0" y="0"/>
                      <a:ext cx="4886325" cy="4972050"/>
                    </a:xfrm>
                    <a:prstGeom prst="rect">
                      <a:avLst/>
                    </a:prstGeom>
                    <a:noFill/>
                    <a:ln w="9525">
                      <a:noFill/>
                      <a:miter lim="800000"/>
                      <a:headEnd/>
                      <a:tailEnd/>
                    </a:ln>
                  </pic:spPr>
                </pic:pic>
              </a:graphicData>
            </a:graphic>
          </wp:inline>
        </w:drawing>
      </w:r>
    </w:p>
    <w:p>
      <w:pPr>
        <w:widowControl/>
        <w:jc w:val="left"/>
        <w:rPr>
          <w:rFonts w:ascii="Calibri" w:eastAsia="宋体" w:hAnsi="Calibri"/>
          <w:kern w:val="2"/>
          <w:sz w:val="21"/>
          <w:szCs w:val="22"/>
          <w:lang w:eastAsia="zh-CN"/>
        </w:rPr>
      </w:pPr>
      <w:r>
        <w:rPr>
          <w:rFonts w:ascii="宋体" w:eastAsia="宋体" w:hAnsi="宋体" w:cs="Times New Roman"/>
          <w:kern w:val="0"/>
          <w:szCs w:val="21"/>
        </w:rPr>
        <w:drawing>
          <wp:inline distT="0" distB="0" distL="0" distR="0">
            <wp:extent cx="5267325" cy="2543175"/>
            <wp:effectExtent l="0" t="0" r="9525" b="9525"/>
            <wp:docPr id="22" name="图片 22" descr="d908ea879b86cdd1bf2ab44944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908ea879b86cdd1bf2ab4494434741"/>
                    <pic:cNvPicPr>
                      <a:picLocks noChangeAspect="1" noChangeArrowheads="1"/>
                    </pic:cNvPicPr>
                  </pic:nvPicPr>
                  <pic:blipFill>
                    <a:blip xmlns:r="http://schemas.openxmlformats.org/officeDocument/2006/relationships" r:embed="rId6"/>
                    <a:stretch>
                      <a:fillRect/>
                    </a:stretch>
                  </pic:blipFill>
                  <pic:spPr>
                    <a:xfrm>
                      <a:off x="0" y="0"/>
                      <a:ext cx="5267325" cy="2543175"/>
                    </a:xfrm>
                    <a:prstGeom prst="rect">
                      <a:avLst/>
                    </a:prstGeom>
                    <a:noFill/>
                    <a:ln w="9525">
                      <a:noFill/>
                      <a:miter lim="800000"/>
                      <a:headEnd/>
                      <a:tailEnd/>
                    </a:ln>
                  </pic:spPr>
                </pic:pic>
              </a:graphicData>
            </a:graphic>
          </wp:inline>
        </w:drawing>
      </w:r>
    </w:p>
    <w:p>
      <w:pPr>
        <w:widowControl w:val="0"/>
        <w:spacing w:line="360" w:lineRule="auto"/>
        <w:jc w:val="left"/>
        <w:rPr>
          <w:rFonts w:ascii="宋体" w:eastAsia="宋体" w:hAnsi="宋体" w:cs="宋体"/>
          <w:color w:val="0000FF"/>
          <w:kern w:val="2"/>
          <w:sz w:val="21"/>
          <w:szCs w:val="21"/>
          <w:u w:val="single"/>
          <w:lang w:eastAsia="zh-CN"/>
        </w:rPr>
      </w:pPr>
      <w:r>
        <w:rPr>
          <w:rFonts w:ascii="宋体" w:eastAsia="宋体" w:hAnsi="宋体" w:cs="宋体" w:hint="eastAsia"/>
          <w:b/>
          <w:bCs/>
          <w:kern w:val="2"/>
          <w:sz w:val="21"/>
          <w:szCs w:val="21"/>
          <w:lang w:eastAsia="zh-CN"/>
        </w:rPr>
        <w:t>参考示例2：</w:t>
      </w:r>
      <w:r>
        <w:rPr>
          <w:rFonts w:ascii="宋体" w:eastAsia="宋体" w:hAnsi="宋体" w:cs="宋体" w:hint="eastAsia"/>
          <w:kern w:val="2"/>
          <w:sz w:val="21"/>
          <w:szCs w:val="21"/>
          <w:lang w:eastAsia="zh-CN"/>
        </w:rPr>
        <w:t>提供国家企业信用信息公示系统截图。网址：</w:t>
      </w:r>
      <w:hyperlink r:id="rId7" w:history="1">
        <w:r>
          <w:rPr>
            <w:rFonts w:ascii="宋体" w:eastAsia="宋体" w:hAnsi="宋体" w:cs="宋体" w:hint="eastAsia"/>
            <w:color w:val="0000FF"/>
            <w:kern w:val="2"/>
            <w:sz w:val="21"/>
            <w:szCs w:val="21"/>
            <w:u w:val="single"/>
            <w:lang w:eastAsia="zh-CN"/>
          </w:rPr>
          <w:t>https://www.gsxt.gov.cn/corp-query-homepage.html</w:t>
        </w:r>
      </w:hyperlink>
    </w:p>
    <w:p>
      <w:pPr>
        <w:widowControl w:val="0"/>
        <w:spacing w:line="360" w:lineRule="auto"/>
        <w:jc w:val="both"/>
        <w:rPr>
          <w:rFonts w:ascii="Calibri" w:eastAsia="宋体" w:hAnsi="Calibri"/>
          <w:b/>
          <w:bCs/>
          <w:kern w:val="2"/>
          <w:sz w:val="21"/>
          <w:szCs w:val="22"/>
          <w:lang w:eastAsia="zh-CN"/>
        </w:rPr>
      </w:pPr>
      <w:r>
        <w:drawing>
          <wp:inline distT="0" distB="0" distL="114300" distR="114300">
            <wp:extent cx="5471795" cy="4735830"/>
            <wp:effectExtent l="0" t="0" r="14605"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xmlns:r="http://schemas.openxmlformats.org/officeDocument/2006/relationships" r:embed="rId8"/>
                    <a:stretch>
                      <a:fillRect/>
                    </a:stretch>
                  </pic:blipFill>
                  <pic:spPr>
                    <a:xfrm>
                      <a:off x="0" y="0"/>
                      <a:ext cx="5471795" cy="4735830"/>
                    </a:xfrm>
                    <a:prstGeom prst="rect">
                      <a:avLst/>
                    </a:prstGeom>
                    <a:noFill/>
                    <a:ln>
                      <a:noFill/>
                    </a:ln>
                  </pic:spPr>
                </pic:pic>
              </a:graphicData>
            </a:graphic>
          </wp:inline>
        </w:drawing>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color w:val="FF0000"/>
          <w:kern w:val="2"/>
          <w:sz w:val="21"/>
          <w:szCs w:val="22"/>
          <w:highlight w:val="yellow"/>
          <w:lang w:eastAsia="zh-CN"/>
        </w:rPr>
      </w:pPr>
      <w:r>
        <w:rPr>
          <w:rFonts w:ascii="宋体" w:eastAsia="宋体" w:hAnsi="宋体" w:cs="宋体" w:hint="eastAsia"/>
          <w:b/>
          <w:bCs/>
          <w:color w:val="FF0000"/>
          <w:kern w:val="2"/>
          <w:sz w:val="21"/>
          <w:szCs w:val="22"/>
          <w:highlight w:val="yellow"/>
          <w:lang w:eastAsia="zh-CN"/>
        </w:rPr>
        <w:t>提示：如果投标供应商存在单位负责人为同一人，或者存在直接控股、间接控股、管理关系等情形，将被纳入交易监管平台产生示警信息，由此产生的负面影响，由投标人自行承担。</w:t>
      </w:r>
    </w:p>
    <w:p>
      <w:pPr>
        <w:widowControl w:val="0"/>
        <w:jc w:val="both"/>
        <w:rPr>
          <w:rFonts w:ascii="Calibri" w:eastAsia="宋体" w:hAnsi="Calibri"/>
          <w:kern w:val="2"/>
          <w:sz w:val="21"/>
          <w:szCs w:val="22"/>
          <w:lang w:eastAsia="zh-CN"/>
        </w:rPr>
      </w:pPr>
    </w:p>
    <w:p>
      <w:pPr>
        <w:widowControl w:val="0"/>
        <w:spacing w:line="360" w:lineRule="auto"/>
        <w:jc w:val="both"/>
        <w:rPr>
          <w:rFonts w:ascii="Calibri" w:eastAsia="宋体" w:hAnsi="Calibri"/>
          <w:color w:val="FF0000"/>
          <w:kern w:val="2"/>
          <w:sz w:val="21"/>
          <w:szCs w:val="22"/>
          <w:lang w:eastAsia="zh-CN"/>
        </w:rPr>
      </w:pPr>
      <w:r>
        <w:rPr>
          <w:rFonts w:ascii="宋体" w:eastAsia="宋体" w:hAnsi="宋体" w:cstheme="minorBidi" w:hint="eastAsia"/>
          <w:b/>
          <w:color w:val="FF0000"/>
          <w:kern w:val="2"/>
          <w:sz w:val="21"/>
          <w:szCs w:val="22"/>
          <w:lang w:eastAsia="zh-CN"/>
        </w:rPr>
        <w:t>注：</w:t>
      </w:r>
      <w:r>
        <w:rPr>
          <w:rFonts w:ascii="宋体" w:eastAsia="宋体" w:hAnsi="宋体" w:cstheme="minorBidi" w:hint="eastAsia"/>
          <w:b/>
          <w:color w:val="FF0000"/>
          <w:kern w:val="2"/>
          <w:sz w:val="21"/>
          <w:szCs w:val="22"/>
          <w:highlight w:val="yellow"/>
          <w:lang w:eastAsia="zh-CN"/>
        </w:rPr>
        <w:t>若投标供应商因自身的单位性质无法截图的，无需提供截图，例如事业单位或协会等社会组织。</w:t>
      </w:r>
    </w:p>
    <w:p>
      <w:pPr>
        <w:widowControl w:val="0"/>
        <w:spacing w:after="120"/>
        <w:ind w:left="0" w:firstLine="0" w:leftChars="0" w:firstLineChars="0"/>
        <w:jc w:val="both"/>
        <w:rPr>
          <w:rFonts w:ascii="宋体" w:eastAsia="宋体" w:hAnsi="宋体" w:cs="宋体" w:hint="eastAsia"/>
          <w:kern w:val="2"/>
          <w:sz w:val="21"/>
          <w:szCs w:val="22"/>
          <w:lang w:eastAsia="zh-CN"/>
        </w:rPr>
      </w:pPr>
    </w:p>
    <w:p>
      <w:pPr>
        <w:keepNext/>
        <w:keepLines/>
        <w:widowControl w:val="0"/>
        <w:kinsoku/>
        <w:overflowPunct/>
        <w:topLinePunct w:val="0"/>
        <w:bidi w:val="0"/>
        <w:spacing w:before="0" w:beforeAutospacing="0" w:after="0" w:afterAutospacing="0" w:line="360" w:lineRule="auto"/>
        <w:ind w:left="0" w:right="0" w:firstLine="0" w:leftChars="0" w:firstLineChars="0"/>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2、股东构成审查表</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2299"/>
        <w:gridCol w:w="6557"/>
      </w:tblGrid>
      <w:tr>
        <w:tblPrEx>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589"/>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投标人名称</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794"/>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本单位负责人（法定代表人）姓名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418"/>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是否存在本单位的控股股东</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□是，其控股股东为：</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其他主要股东及其股份占比：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136"/>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□是，该单位为：</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077"/>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是否存在“与招标人有利害关系”的情况</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□是，与招标人的关系为：</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□否</w:t>
            </w:r>
          </w:p>
        </w:tc>
      </w:tr>
    </w:tbl>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注：</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2、投标人需如实填写上述信息，如查实上述信息与实际不符，视为提供虚假证明材料骗取中标，投标人应承担相应法律后果。</w:t>
      </w:r>
    </w:p>
    <w:p>
      <w:pPr>
        <w:widowControl/>
        <w:spacing w:line="360" w:lineRule="auto"/>
        <w:jc w:val="left"/>
        <w:rPr>
          <w:rFonts w:ascii="宋体" w:eastAsia="宋体" w:hAnsi="宋体" w:cs="宋体"/>
          <w:b/>
          <w:color w:val="000000"/>
          <w:kern w:val="2"/>
          <w:sz w:val="21"/>
          <w:szCs w:val="21"/>
          <w:lang w:eastAsia="zh-CN"/>
        </w:rPr>
      </w:pPr>
    </w:p>
    <w:p>
      <w:pPr>
        <w:widowControl w:val="0"/>
        <w:spacing w:after="60" w:afterLines="25" w:line="300" w:lineRule="auto"/>
        <w:jc w:val="center"/>
        <w:rPr>
          <w:rFonts w:ascii="Arial" w:eastAsia="宋体" w:hAnsi="Arial"/>
          <w:b/>
          <w:kern w:val="2"/>
          <w:sz w:val="21"/>
          <w:szCs w:val="22"/>
          <w:lang w:eastAsia="zh-CN"/>
        </w:rPr>
      </w:pPr>
    </w:p>
    <w:p>
      <w:pPr>
        <w:widowControl/>
        <w:jc w:val="center"/>
        <w:rPr>
          <w:rFonts w:ascii="Arial" w:eastAsia="宋体" w:hAnsi="Arial"/>
          <w:kern w:val="2"/>
          <w:sz w:val="21"/>
          <w:lang w:eastAsia="zh-CN"/>
        </w:rPr>
      </w:pPr>
      <w:r>
        <w:rPr>
          <w:rFonts w:ascii="Arial" w:eastAsia="宋体" w:hAnsi="Arial" w:cstheme="minorBidi"/>
          <w:kern w:val="2"/>
          <w:sz w:val="21"/>
          <w:szCs w:val="22"/>
          <w:lang w:eastAsia="zh-CN"/>
        </w:rPr>
        <w:br w:type="page"/>
      </w:r>
    </w:p>
    <w:p>
      <w:pPr>
        <w:keepNext/>
        <w:keepLines/>
        <w:widowControl w:val="0"/>
        <w:spacing w:before="260" w:after="260" w:line="240" w:lineRule="auto"/>
        <w:jc w:val="center"/>
        <w:outlineLvl w:val="2"/>
        <w:rPr>
          <w:rFonts w:ascii="黑体" w:eastAsia="黑体" w:hAnsi="宋体"/>
          <w:b/>
          <w:kern w:val="2"/>
          <w:sz w:val="30"/>
          <w:szCs w:val="30"/>
          <w:lang w:eastAsia="zh-CN"/>
        </w:rPr>
      </w:pPr>
      <w:r>
        <w:rPr>
          <w:rFonts w:ascii="黑体" w:eastAsia="黑体" w:hAnsi="宋体" w:cstheme="minorBidi" w:hint="eastAsia"/>
          <w:b/>
          <w:kern w:val="2"/>
          <w:sz w:val="30"/>
          <w:szCs w:val="30"/>
          <w:lang w:eastAsia="zh-CN"/>
        </w:rPr>
        <w:t>六、</w:t>
      </w:r>
      <w:bookmarkStart w:id="29" w:name="_Hlk72092499"/>
      <w:r>
        <w:rPr>
          <w:rFonts w:ascii="黑体" w:eastAsia="黑体" w:hAnsi="宋体" w:cstheme="minorBidi" w:hint="eastAsia"/>
          <w:b/>
          <w:kern w:val="2"/>
          <w:sz w:val="30"/>
          <w:szCs w:val="30"/>
          <w:lang w:eastAsia="zh-CN"/>
        </w:rPr>
        <w:t>法定代表人（负责人）证明书</w:t>
      </w:r>
      <w:bookmarkEnd w:id="29"/>
    </w:p>
    <w:p>
      <w:pPr>
        <w:widowControl w:val="0"/>
        <w:jc w:val="both"/>
        <w:rPr>
          <w:rFonts w:ascii="Calibri" w:eastAsia="宋体" w:hAnsi="Calibri"/>
          <w:kern w:val="2"/>
          <w:szCs w:val="22"/>
          <w:lang w:eastAsia="zh-CN"/>
        </w:rPr>
      </w:pPr>
    </w:p>
    <w:p>
      <w:pPr>
        <w:widowControl w:val="0"/>
        <w:spacing w:line="360" w:lineRule="auto"/>
        <w:jc w:val="both"/>
        <w:rPr>
          <w:rFonts w:ascii="Calibri" w:eastAsia="宋体" w:hAnsi="Calibri"/>
          <w:kern w:val="2"/>
          <w:sz w:val="21"/>
          <w:szCs w:val="21"/>
          <w:lang w:eastAsia="zh-CN"/>
        </w:rPr>
      </w:pP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（姓名），现任我单位职务，为法定代表人（负责人），身份证件号为：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特此证明。</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说明：1、法定代表人为投标人（企业事业单位、国家机关、社会团体）的主要行政负责人。</w:t>
      </w:r>
    </w:p>
    <w:p>
      <w:pPr>
        <w:widowControl w:val="0"/>
        <w:numPr>
          <w:ilvl w:val="0"/>
          <w:numId w:val="3"/>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本证明书要供法定代表人（负责人）相关身份证明文件：身份证扫描件（正反两面）；港澳台居民可提供来往通行证扫描件；非中国国籍管辖范围人员，可提供公安部门认可的身份证明材料扫描件。</w:t>
      </w:r>
    </w:p>
    <w:p>
      <w:pPr>
        <w:widowControl w:val="0"/>
        <w:numPr>
          <w:ilvl w:val="0"/>
          <w:numId w:val="3"/>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本项目投标授权代表为法定代表人（负责人）的，无需提供《投标文件签署授权委托书》。</w:t>
      </w:r>
    </w:p>
    <w:p>
      <w:pPr>
        <w:widowControl w:val="0"/>
        <w:numPr>
          <w:ilvl w:val="0"/>
          <w:numId w:val="3"/>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内容必须填写真实、清楚，涂改无效，不得转让、买卖。</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8"/>
        <w:gridCol w:w="442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68"/>
        </w:trPr>
        <w:tc>
          <w:tcPr>
            <w:tcW w:w="4529"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证件扫描件正面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c>
          <w:tcPr>
            <w:tcW w:w="4530"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证件扫描件反面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r>
    </w:tbl>
    <w:p>
      <w:pPr>
        <w:widowControl w:val="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0" w:firstLine="0" w:leftChars="0" w:firstLineChars="0"/>
        <w:jc w:val="both"/>
        <w:rPr>
          <w:rFonts w:ascii="Calibri" w:eastAsia="宋体" w:hAnsi="Calibri"/>
          <w:kern w:val="2"/>
          <w:szCs w:val="22"/>
          <w:lang w:eastAsia="zh-CN"/>
        </w:rPr>
      </w:pPr>
    </w:p>
    <w:p>
      <w:pPr>
        <w:keepNext/>
        <w:keepLines/>
        <w:widowControl w:val="0"/>
        <w:spacing w:before="120" w:after="120" w:line="240" w:lineRule="auto"/>
        <w:jc w:val="center"/>
        <w:outlineLvl w:val="2"/>
        <w:rPr>
          <w:rFonts w:ascii="黑体" w:eastAsia="黑体" w:hint="eastAsia"/>
          <w:b/>
          <w:bCs/>
          <w:kern w:val="2"/>
          <w:sz w:val="30"/>
          <w:szCs w:val="22"/>
          <w:lang w:eastAsia="zh-CN"/>
        </w:rPr>
      </w:pPr>
      <w:r>
        <w:rPr>
          <w:rFonts w:ascii="黑体" w:eastAsia="黑体" w:hint="eastAsia"/>
          <w:b/>
          <w:bCs/>
          <w:kern w:val="2"/>
          <w:sz w:val="30"/>
          <w:szCs w:val="22"/>
          <w:lang w:eastAsia="zh-CN"/>
        </w:rPr>
        <w:t>七、投标文件签署授权委托书</w:t>
      </w: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本授权委托书声明：我</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（姓名）系</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（投标人名称）的法定代表人（负责人），现授权委托</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代理人无转委托权，特此委托。</w:t>
      </w:r>
    </w:p>
    <w:p>
      <w:pPr>
        <w:widowControl w:val="0"/>
        <w:spacing w:line="360" w:lineRule="auto"/>
        <w:ind w:firstLine="420" w:firstLineChars="200"/>
        <w:jc w:val="both"/>
        <w:rPr>
          <w:rFonts w:ascii="Calibri" w:eastAsia="宋体" w:hAnsi="Calibri" w:hint="eastAsia"/>
          <w:kern w:val="2"/>
          <w:sz w:val="21"/>
          <w:szCs w:val="21"/>
          <w:lang w:eastAsia="zh-CN"/>
        </w:rPr>
      </w:pP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身份证件号：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，职务：</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，手机：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，电子邮箱：</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授权委托日期：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年</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月</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日。</w:t>
      </w:r>
    </w:p>
    <w:p>
      <w:pPr>
        <w:widowControl w:val="0"/>
        <w:spacing w:line="360" w:lineRule="auto"/>
        <w:ind w:firstLine="420" w:firstLineChars="200"/>
        <w:jc w:val="both"/>
        <w:rPr>
          <w:rFonts w:ascii="Calibri" w:eastAsia="宋体" w:hAnsi="Calibri"/>
          <w:b/>
          <w:color w:val="FF0000"/>
          <w:kern w:val="2"/>
          <w:sz w:val="21"/>
          <w:szCs w:val="21"/>
          <w:lang w:eastAsia="zh-CN"/>
        </w:rPr>
      </w:pPr>
      <w:r>
        <w:rPr>
          <w:rFonts w:ascii="Calibri" w:eastAsia="宋体" w:hAnsi="Calibri" w:cstheme="minorBidi" w:hint="eastAsia"/>
          <w:b/>
          <w:color w:val="FF0000"/>
          <w:kern w:val="2"/>
          <w:sz w:val="21"/>
          <w:szCs w:val="21"/>
          <w:lang w:eastAsia="zh-CN"/>
        </w:rPr>
        <w:t>附：请提供代理人身份证扫描件（正反两面）；港澳台居民可提供来往通行证扫描件；非中国国籍管辖范围人员，可提供公安部门认可的身份证明材料扫描件。</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18"/>
        </w:trPr>
        <w:tc>
          <w:tcPr>
            <w:tcW w:w="4269" w:type="dxa"/>
          </w:tcPr>
          <w:p>
            <w:pPr>
              <w:jc w:val="center"/>
              <w:rPr>
                <w:rFonts w:ascii="Calibri" w:hAnsi="Calibri"/>
                <w:kern w:val="2"/>
                <w:sz w:val="21"/>
                <w:szCs w:val="22"/>
                <w:lang w:eastAsia="zh-CN"/>
              </w:rPr>
            </w:pPr>
            <w:r>
              <w:rPr>
                <w:rFonts w:hAnsi="Calibri" w:cstheme="minorBidi" w:hint="eastAsia"/>
                <w:kern w:val="2"/>
                <w:sz w:val="21"/>
                <w:szCs w:val="22"/>
                <w:lang w:eastAsia="zh-CN"/>
              </w:rPr>
              <w:t>证件扫描件正面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c>
          <w:tcPr>
            <w:tcW w:w="4270" w:type="dxa"/>
          </w:tcPr>
          <w:p>
            <w:pPr>
              <w:jc w:val="center"/>
              <w:rPr>
                <w:rFonts w:ascii="Calibri" w:hAnsi="Calibri"/>
                <w:kern w:val="2"/>
                <w:sz w:val="21"/>
                <w:szCs w:val="22"/>
                <w:lang w:eastAsia="zh-CN"/>
              </w:rPr>
            </w:pPr>
            <w:r>
              <w:rPr>
                <w:rFonts w:hAnsi="Calibri" w:cstheme="minorBidi" w:hint="eastAsia"/>
                <w:kern w:val="2"/>
                <w:sz w:val="21"/>
                <w:szCs w:val="22"/>
                <w:lang w:eastAsia="zh-CN"/>
              </w:rPr>
              <w:t>证件扫描件反面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r>
    </w:tbl>
    <w:p>
      <w:pPr>
        <w:widowControl w:val="0"/>
        <w:tabs>
          <w:tab w:val="left" w:pos="651"/>
        </w:tabs>
        <w:snapToGrid w:val="0"/>
        <w:jc w:val="center"/>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jc w:val="center"/>
        <w:rPr>
          <w:rFonts w:ascii="黑体" w:eastAsia="黑体" w:hAnsi="Calibri"/>
          <w:b/>
          <w:kern w:val="2"/>
          <w:sz w:val="30"/>
          <w:szCs w:val="22"/>
          <w:lang w:eastAsia="zh-CN"/>
        </w:rPr>
      </w:pPr>
      <w:r>
        <w:rPr>
          <w:rFonts w:ascii="黑体" w:eastAsia="黑体" w:hAnsi="Calibri" w:cstheme="minorBidi" w:hint="eastAsia"/>
          <w:b/>
          <w:kern w:val="2"/>
          <w:sz w:val="30"/>
          <w:szCs w:val="22"/>
          <w:lang w:eastAsia="zh-CN"/>
        </w:rPr>
        <w:t>八、</w:t>
      </w:r>
      <w:bookmarkStart w:id="30" w:name="_Hlk72092634"/>
      <w:r>
        <w:rPr>
          <w:rFonts w:ascii="黑体" w:eastAsia="黑体" w:hAnsi="Calibri" w:cstheme="minorBidi" w:hint="eastAsia"/>
          <w:b/>
          <w:kern w:val="2"/>
          <w:sz w:val="30"/>
          <w:szCs w:val="22"/>
          <w:lang w:eastAsia="zh-CN"/>
        </w:rPr>
        <w:t>实质性条款响应情况表</w:t>
      </w:r>
      <w:bookmarkEnd w:id="30"/>
    </w:p>
    <w:p>
      <w:pPr>
        <w:widowControl w:val="0"/>
        <w:snapToGrid w:val="0"/>
        <w:jc w:val="both"/>
        <w:rPr>
          <w:rFonts w:ascii="Arial" w:eastAsia="宋体" w:hAnsi="Arial" w:cs="Arial"/>
          <w:kern w:val="2"/>
          <w:lang w:eastAsia="zh-CN"/>
        </w:rPr>
      </w:pPr>
      <w:r>
        <w:rPr>
          <w:rFonts w:ascii="Arial" w:eastAsia="宋体" w:hAnsi="Arial" w:cs="Arial" w:hint="eastAsia"/>
          <w:color w:val="000000"/>
          <w:kern w:val="2"/>
          <w:lang w:eastAsia="zh-CN"/>
        </w:rPr>
        <w:t>投标单位（投标人）名称：</w:t>
      </w:r>
    </w:p>
    <w:p>
      <w:pPr>
        <w:widowControl w:val="0"/>
        <w:snapToGrid w:val="0"/>
        <w:jc w:val="both"/>
        <w:rPr>
          <w:rFonts w:ascii="宋体" w:eastAsia="宋体" w:hAnsi="宋体"/>
          <w:b/>
          <w:kern w:val="2"/>
          <w:lang w:eastAsia="zh-CN"/>
        </w:rPr>
      </w:pPr>
    </w:p>
    <w:tbl>
      <w:tblPr>
        <w:tblStyle w:val="TableNormal"/>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
      <w:tblGrid>
        <w:gridCol w:w="578"/>
        <w:gridCol w:w="3657"/>
        <w:gridCol w:w="2047"/>
        <w:gridCol w:w="1632"/>
        <w:gridCol w:w="942"/>
      </w:tblGrid>
      <w:tr>
        <w:tblPrEx>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Ex>
        <w:trPr>
          <w:trHeight w:val="529"/>
          <w:jc w:val="center"/>
        </w:trPr>
        <w:tc>
          <w:tcPr>
            <w:tcW w:w="602"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序号</w:t>
            </w:r>
          </w:p>
        </w:tc>
        <w:tc>
          <w:tcPr>
            <w:tcW w:w="3901"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实质性条款具体内容</w:t>
            </w:r>
          </w:p>
        </w:tc>
        <w:tc>
          <w:tcPr>
            <w:tcW w:w="2176"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投标文件响应</w:t>
            </w:r>
          </w:p>
        </w:tc>
        <w:tc>
          <w:tcPr>
            <w:tcW w:w="1732" w:type="dxa"/>
          </w:tcPr>
          <w:p>
            <w:pPr>
              <w:widowControl w:val="0"/>
              <w:spacing w:before="120" w:beforeLines="5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偏离情况</w:t>
            </w:r>
          </w:p>
        </w:tc>
        <w:tc>
          <w:tcPr>
            <w:tcW w:w="992"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说明</w:t>
            </w:r>
          </w:p>
        </w:tc>
      </w:tr>
      <w:tr>
        <w:tblPrEx>
          <w:tblW w:w="5000" w:type="pct"/>
          <w:jc w:val="center"/>
          <w:tblLayout w:type="fixed"/>
          <w:tblCellMar>
            <w:top w:w="0" w:type="dxa"/>
            <w:left w:w="108" w:type="dxa"/>
            <w:bottom w:w="0" w:type="dxa"/>
            <w:right w:w="108" w:type="dxa"/>
          </w:tblCellMar>
        </w:tblPrEx>
        <w:trPr>
          <w:trHeight w:val="1060"/>
          <w:jc w:val="center"/>
        </w:trPr>
        <w:tc>
          <w:tcPr>
            <w:tcW w:w="602" w:type="dxa"/>
            <w:vAlign w:val="center"/>
          </w:tcPr>
          <w:p>
            <w:pPr>
              <w:widowControl w:val="0"/>
              <w:spacing w:line="300" w:lineRule="auto"/>
              <w:jc w:val="center"/>
              <w:rPr>
                <w:rFonts w:ascii="宋体" w:eastAsia="宋体" w:hAnsi="宋体"/>
                <w:b/>
                <w:color w:val="FF0000"/>
                <w:sz w:val="21"/>
                <w:szCs w:val="21"/>
                <w:lang w:eastAsia="zh-CN"/>
              </w:rPr>
            </w:pPr>
            <w:r>
              <w:rPr>
                <w:rFonts w:ascii="宋体" w:eastAsia="宋体" w:hAnsi="宋体" w:hint="eastAsia"/>
                <w:b/>
                <w:color w:val="FF0000"/>
                <w:sz w:val="21"/>
                <w:szCs w:val="21"/>
                <w:lang w:eastAsia="zh-CN"/>
              </w:rPr>
              <w:t>1</w:t>
            </w:r>
          </w:p>
        </w:tc>
        <w:tc>
          <w:tcPr>
            <w:tcW w:w="3901" w:type="dxa"/>
            <w:vAlign w:val="center"/>
          </w:tcPr>
          <w:p>
            <w:pPr>
              <w:widowControl w:val="0"/>
              <w:spacing w:line="300" w:lineRule="auto"/>
              <w:jc w:val="center"/>
              <w:rPr>
                <w:rFonts w:ascii="宋体" w:eastAsia="宋体" w:hAnsi="宋体"/>
                <w:b/>
                <w:color w:val="FF0000"/>
                <w:sz w:val="21"/>
                <w:szCs w:val="21"/>
                <w:lang w:eastAsia="zh-CN"/>
              </w:rPr>
            </w:pPr>
            <w:r>
              <w:rPr>
                <w:rFonts w:ascii="宋体" w:eastAsia="宋体" w:hAnsi="宋体" w:hint="eastAsia"/>
                <w:b/>
                <w:color w:val="FF0000"/>
                <w:sz w:val="21"/>
                <w:szCs w:val="21"/>
                <w:lang w:eastAsia="zh-CN"/>
              </w:rPr>
              <w:t>本项目招标文件中所有带★号条款内容</w:t>
            </w:r>
          </w:p>
        </w:tc>
        <w:tc>
          <w:tcPr>
            <w:tcW w:w="2176" w:type="dxa"/>
            <w:vAlign w:val="center"/>
          </w:tcPr>
          <w:p>
            <w:pPr>
              <w:widowControl w:val="0"/>
              <w:spacing w:line="300" w:lineRule="auto"/>
              <w:jc w:val="center"/>
              <w:rPr>
                <w:rFonts w:ascii="宋体" w:eastAsia="宋体" w:hAnsi="宋体"/>
                <w:b/>
                <w:sz w:val="21"/>
                <w:szCs w:val="21"/>
                <w:lang w:eastAsia="zh-CN"/>
              </w:rPr>
            </w:pPr>
            <w:r>
              <w:rPr>
                <w:rFonts w:ascii="宋体" w:eastAsia="宋体" w:hAnsi="宋体" w:hint="eastAsia"/>
                <w:b/>
                <w:sz w:val="21"/>
                <w:szCs w:val="21"/>
                <w:lang w:eastAsia="zh-CN"/>
              </w:rPr>
              <w:t>完全响应</w:t>
            </w:r>
          </w:p>
        </w:tc>
        <w:tc>
          <w:tcPr>
            <w:tcW w:w="1732" w:type="dxa"/>
            <w:vAlign w:val="center"/>
          </w:tcPr>
          <w:p>
            <w:pPr>
              <w:widowControl w:val="0"/>
              <w:spacing w:line="300" w:lineRule="auto"/>
              <w:jc w:val="center"/>
              <w:rPr>
                <w:rFonts w:ascii="宋体" w:eastAsia="宋体" w:hAnsi="宋体"/>
                <w:b/>
                <w:sz w:val="21"/>
                <w:szCs w:val="21"/>
                <w:lang w:eastAsia="zh-CN"/>
              </w:rPr>
            </w:pPr>
            <w:r>
              <w:rPr>
                <w:rFonts w:ascii="宋体" w:eastAsia="宋体" w:hAnsi="宋体" w:hint="eastAsia"/>
                <w:b/>
                <w:sz w:val="21"/>
                <w:szCs w:val="21"/>
                <w:lang w:eastAsia="zh-CN"/>
              </w:rPr>
              <w:t>无偏离</w:t>
            </w:r>
          </w:p>
        </w:tc>
        <w:tc>
          <w:tcPr>
            <w:tcW w:w="992" w:type="dxa"/>
            <w:vAlign w:val="center"/>
          </w:tcPr>
          <w:p>
            <w:pPr>
              <w:widowControl w:val="0"/>
              <w:spacing w:line="300" w:lineRule="auto"/>
              <w:jc w:val="center"/>
              <w:rPr>
                <w:rFonts w:ascii="宋体" w:eastAsia="宋体" w:hAnsi="宋体"/>
                <w:b/>
                <w:color w:val="FF0000"/>
                <w:sz w:val="21"/>
                <w:szCs w:val="21"/>
                <w:lang w:eastAsia="zh-CN"/>
              </w:rPr>
            </w:pPr>
          </w:p>
        </w:tc>
      </w:tr>
    </w:tbl>
    <w:p>
      <w:pPr>
        <w:widowControl w:val="0"/>
        <w:snapToGrid w:val="0"/>
        <w:jc w:val="both"/>
        <w:rPr>
          <w:rFonts w:ascii="宋体" w:eastAsia="宋体" w:hAnsi="宋体"/>
          <w:kern w:val="2"/>
          <w:lang w:eastAsia="zh-CN"/>
        </w:rPr>
      </w:pPr>
    </w:p>
    <w:p>
      <w:pPr>
        <w:widowControl w:val="0"/>
        <w:snapToGrid w:val="0"/>
        <w:spacing w:line="360" w:lineRule="auto"/>
        <w:jc w:val="both"/>
        <w:rPr>
          <w:rFonts w:ascii="宋体" w:eastAsia="宋体" w:hAnsi="宋体"/>
          <w:b/>
          <w:kern w:val="2"/>
          <w:sz w:val="21"/>
          <w:szCs w:val="21"/>
          <w:lang w:eastAsia="zh-CN"/>
        </w:rPr>
      </w:pPr>
      <w:r>
        <w:rPr>
          <w:rFonts w:ascii="宋体" w:eastAsia="宋体" w:hAnsi="宋体" w:hint="eastAsia"/>
          <w:b/>
          <w:kern w:val="2"/>
          <w:sz w:val="21"/>
          <w:szCs w:val="21"/>
          <w:lang w:eastAsia="zh-CN"/>
        </w:rPr>
        <w:t>填写说明：</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1、上表所列各项均为不可负偏离条款。</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2、“投标文件响应”一栏应当详细填写投标人自身响应情况，而不能不合理照搬照抄招标文件实质性条款具体内容。</w:t>
      </w:r>
      <w:r>
        <w:rPr>
          <w:rFonts w:ascii="宋体" w:eastAsia="宋体" w:hAnsi="宋体" w:cs="宋体" w:hint="eastAsia"/>
          <w:b/>
          <w:bCs/>
          <w:kern w:val="2"/>
          <w:sz w:val="21"/>
          <w:szCs w:val="21"/>
          <w:lang w:eastAsia="zh-CN"/>
        </w:rPr>
        <w:t>如完全满足实质性条款具体内容可填写“完全响应”，除招标文件另有注明外，不强制要求逐条列出响应。</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3、“偏离情况”一栏应填写</w:t>
      </w:r>
      <w:r>
        <w:rPr>
          <w:rFonts w:ascii="宋体" w:eastAsia="宋体" w:hAnsi="宋体" w:cs="宋体" w:hint="eastAsia"/>
          <w:kern w:val="2"/>
          <w:sz w:val="21"/>
          <w:szCs w:val="21"/>
          <w:lang w:eastAsia="zh-CN"/>
        </w:rPr>
        <w:t>“</w:t>
      </w:r>
      <w:r>
        <w:rPr>
          <w:rFonts w:ascii="宋体" w:eastAsia="宋体" w:hAnsi="宋体" w:cs="宋体" w:hint="eastAsia"/>
          <w:b/>
          <w:bCs/>
          <w:kern w:val="2"/>
          <w:sz w:val="21"/>
          <w:szCs w:val="21"/>
          <w:lang w:eastAsia="zh-CN"/>
        </w:rPr>
        <w:t>正偏离</w:t>
      </w:r>
      <w:r>
        <w:rPr>
          <w:rFonts w:ascii="宋体" w:eastAsia="宋体" w:hAnsi="宋体" w:cs="宋体" w:hint="eastAsia"/>
          <w:kern w:val="2"/>
          <w:sz w:val="21"/>
          <w:szCs w:val="21"/>
          <w:lang w:eastAsia="zh-CN"/>
        </w:rPr>
        <w:t>”或“</w:t>
      </w:r>
      <w:r>
        <w:rPr>
          <w:rFonts w:ascii="宋体" w:eastAsia="宋体" w:hAnsi="宋体" w:cs="宋体" w:hint="eastAsia"/>
          <w:b/>
          <w:bCs/>
          <w:kern w:val="2"/>
          <w:sz w:val="21"/>
          <w:szCs w:val="21"/>
          <w:lang w:eastAsia="zh-CN"/>
        </w:rPr>
        <w:t>负偏离</w:t>
      </w:r>
      <w:r>
        <w:rPr>
          <w:rFonts w:ascii="宋体" w:eastAsia="宋体" w:hAnsi="宋体" w:cs="宋体" w:hint="eastAsia"/>
          <w:kern w:val="2"/>
          <w:sz w:val="21"/>
          <w:szCs w:val="21"/>
          <w:lang w:eastAsia="zh-CN"/>
        </w:rPr>
        <w:t>”或“</w:t>
      </w:r>
      <w:r>
        <w:rPr>
          <w:rFonts w:ascii="宋体" w:eastAsia="宋体" w:hAnsi="宋体" w:cs="宋体" w:hint="eastAsia"/>
          <w:b/>
          <w:bCs/>
          <w:kern w:val="2"/>
          <w:sz w:val="21"/>
          <w:szCs w:val="21"/>
          <w:lang w:eastAsia="zh-CN"/>
        </w:rPr>
        <w:t>无偏离</w:t>
      </w:r>
      <w:r>
        <w:rPr>
          <w:rFonts w:ascii="宋体" w:eastAsia="宋体" w:hAnsi="宋体" w:cs="宋体" w:hint="eastAsia"/>
          <w:kern w:val="2"/>
          <w:sz w:val="21"/>
          <w:szCs w:val="21"/>
          <w:lang w:eastAsia="zh-CN"/>
        </w:rPr>
        <w:t>”</w:t>
      </w:r>
      <w:r>
        <w:rPr>
          <w:rFonts w:ascii="宋体" w:eastAsia="宋体" w:hAnsi="宋体" w:cs="宋体" w:hint="eastAsia"/>
          <w:bCs/>
          <w:kern w:val="2"/>
          <w:sz w:val="21"/>
          <w:szCs w:val="21"/>
          <w:lang w:eastAsia="zh-CN"/>
        </w:rPr>
        <w:t>，“正偏离”表示“投标响应优于实质性条款具体内容要求”，“负偏离”表示“投标响应不满足实质性条款具体内容要求”，“无偏离”表示“投标响应与实质性条款具体内容要求一致”。</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4、评审委员会有权对投标响应情况作出判断。</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5、实质性响应条款“投标响应情况”与投标文件其它内容冲突的，以实质性响应条款“投标响应情况”为准。</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6、以上实质性条款中要求提供证明材料，需如实提供证明材料扫描件，在“说明”一栏中列明证明材料的位置，以便评审；未要求提供证明材料的，投标人可以不提供。</w:t>
      </w:r>
    </w:p>
    <w:p>
      <w:pPr>
        <w:widowControl w:val="0"/>
        <w:jc w:val="both"/>
        <w:rPr>
          <w:rFonts w:ascii="宋体" w:eastAsia="宋体" w:hAnsi="宋体"/>
          <w:b/>
          <w:bCs/>
          <w:szCs w:val="20"/>
          <w:lang w:eastAsia="zh-CN"/>
        </w:rPr>
      </w:pPr>
      <w:r>
        <w:rPr>
          <w:rFonts w:ascii="宋体" w:eastAsia="宋体" w:hAnsi="宋体" w:hint="eastAsia"/>
          <w:b/>
          <w:bCs/>
          <w:szCs w:val="20"/>
          <w:lang w:eastAsia="zh-CN"/>
        </w:rPr>
        <w:br w:type="page"/>
      </w:r>
    </w:p>
    <w:p>
      <w:pPr>
        <w:keepNext/>
        <w:keepLines/>
        <w:widowControl w:val="0"/>
        <w:spacing w:before="260" w:after="260" w:line="240" w:lineRule="auto"/>
        <w:jc w:val="center"/>
        <w:outlineLvl w:val="2"/>
        <w:rPr>
          <w:rFonts w:ascii="黑体" w:eastAsia="黑体" w:hAnsi="宋体"/>
          <w:b/>
          <w:kern w:val="2"/>
          <w:sz w:val="30"/>
          <w:szCs w:val="30"/>
          <w:lang w:eastAsia="zh-CN"/>
        </w:rPr>
      </w:pPr>
      <w:r>
        <w:rPr>
          <w:rFonts w:ascii="黑体" w:eastAsia="黑体" w:hAnsi="宋体" w:cstheme="minorBidi" w:hint="eastAsia"/>
          <w:b/>
          <w:kern w:val="2"/>
          <w:sz w:val="30"/>
          <w:szCs w:val="30"/>
          <w:lang w:eastAsia="zh-CN"/>
        </w:rPr>
        <w:t>九、技术要求偏离表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2"/>
        <w:gridCol w:w="1125"/>
        <w:gridCol w:w="2646"/>
        <w:gridCol w:w="2519"/>
        <w:gridCol w:w="1077"/>
        <w:gridCol w:w="787"/>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54"/>
          <w:jc w:val="center"/>
        </w:trPr>
        <w:tc>
          <w:tcPr>
            <w:tcW w:w="776"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序号</w:t>
            </w:r>
          </w:p>
        </w:tc>
        <w:tc>
          <w:tcPr>
            <w:tcW w:w="1266"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货物名称</w:t>
            </w:r>
          </w:p>
        </w:tc>
        <w:tc>
          <w:tcPr>
            <w:tcW w:w="3028"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招标技术要求</w:t>
            </w:r>
          </w:p>
        </w:tc>
        <w:tc>
          <w:tcPr>
            <w:tcW w:w="2881"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投标技术响应</w:t>
            </w:r>
          </w:p>
        </w:tc>
        <w:tc>
          <w:tcPr>
            <w:tcW w:w="1210"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偏离情况</w:t>
            </w:r>
          </w:p>
        </w:tc>
        <w:tc>
          <w:tcPr>
            <w:tcW w:w="874"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restart"/>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266" w:type="dxa"/>
            <w:vMerge w:val="restart"/>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ign w:val="center"/>
          </w:tcPr>
          <w:p>
            <w:pPr>
              <w:widowControl w:val="0"/>
              <w:jc w:val="center"/>
              <w:rPr>
                <w:rFonts w:ascii="Calibri" w:eastAsia="宋体" w:hAnsi="Calibri"/>
                <w:kern w:val="2"/>
                <w:sz w:val="21"/>
                <w:szCs w:val="22"/>
                <w:lang w:eastAsia="zh-CN"/>
              </w:rPr>
            </w:pPr>
          </w:p>
        </w:tc>
        <w:tc>
          <w:tcPr>
            <w:tcW w:w="1266" w:type="dxa"/>
            <w:vMerge/>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ign w:val="center"/>
          </w:tcPr>
          <w:p>
            <w:pPr>
              <w:widowControl w:val="0"/>
              <w:jc w:val="center"/>
              <w:rPr>
                <w:rFonts w:ascii="Calibri" w:eastAsia="宋体" w:hAnsi="Calibri"/>
                <w:kern w:val="2"/>
                <w:sz w:val="21"/>
                <w:szCs w:val="22"/>
                <w:lang w:eastAsia="zh-CN"/>
              </w:rPr>
            </w:pPr>
          </w:p>
        </w:tc>
        <w:tc>
          <w:tcPr>
            <w:tcW w:w="1266" w:type="dxa"/>
            <w:vMerge/>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ign w:val="center"/>
          </w:tcPr>
          <w:p>
            <w:pPr>
              <w:widowControl w:val="0"/>
              <w:jc w:val="center"/>
              <w:rPr>
                <w:rFonts w:ascii="Calibri" w:eastAsia="宋体" w:hAnsi="Calibri"/>
                <w:kern w:val="2"/>
                <w:sz w:val="21"/>
                <w:szCs w:val="22"/>
                <w:lang w:eastAsia="zh-CN"/>
              </w:rPr>
            </w:pPr>
          </w:p>
        </w:tc>
        <w:tc>
          <w:tcPr>
            <w:tcW w:w="1266" w:type="dxa"/>
            <w:vMerge/>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restart"/>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1266" w:type="dxa"/>
            <w:vMerge w:val="restart"/>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ign w:val="center"/>
          </w:tcPr>
          <w:p>
            <w:pPr>
              <w:widowControl w:val="0"/>
              <w:jc w:val="center"/>
              <w:rPr>
                <w:rFonts w:ascii="Calibri" w:eastAsia="宋体" w:hAnsi="Calibri"/>
                <w:kern w:val="2"/>
                <w:sz w:val="21"/>
                <w:szCs w:val="22"/>
                <w:lang w:eastAsia="zh-CN"/>
              </w:rPr>
            </w:pPr>
          </w:p>
        </w:tc>
        <w:tc>
          <w:tcPr>
            <w:tcW w:w="1266" w:type="dxa"/>
            <w:vMerge/>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填写说明：</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1、技术要求偏离表的序号、货物名称、招标技术要求等栏目对应“用户需求书”中的“技术要求部分”章节相关内容。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投标技术响应”一栏必须一一对照“招标技术要求”，详细填写投标人自身投标货物的具体参数，而不能不合理照搬照抄招标文件的技术要求，以体现具体响应情况。“投标技术响应”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3、“偏离情况”一栏填写如实填写</w:t>
      </w:r>
      <w:r>
        <w:rPr>
          <w:rFonts w:ascii="Calibri" w:eastAsia="宋体" w:hAnsi="Calibri" w:cstheme="minorBidi" w:hint="eastAsia"/>
          <w:b/>
          <w:kern w:val="2"/>
          <w:sz w:val="21"/>
          <w:szCs w:val="22"/>
          <w:lang w:eastAsia="zh-CN"/>
        </w:rPr>
        <w:t>“正偏离”、“负偏离”或“无偏离”</w:t>
      </w:r>
      <w:r>
        <w:rPr>
          <w:rFonts w:ascii="Calibri" w:eastAsia="宋体" w:hAnsi="Calibri" w:cstheme="minorBidi" w:hint="eastAsia"/>
          <w:kern w:val="2"/>
          <w:sz w:val="21"/>
          <w:szCs w:val="22"/>
          <w:lang w:eastAsia="zh-CN"/>
        </w:rPr>
        <w:t>，其中：“正偏离”表示“投标响应优于招标技术要求”，“负偏离”表示“投标响应不满足招标技术要求”，“无偏离”表示“投标响应与招标技术要求一致”。“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偏离情况”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4、未要求提供证明资料的招标技术要求，可以不提供证明资料（如实响应即可）。</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证明资料条款响应要求：要求提供证明资料（且已对证明资料的形式、内容作出明确要求）进行响应的条款，应当在“说明”一栏中列明是否提供了符合要求的证明资料，以及所提供证明资料在投标文件的所在节点（位置），以便评审；此类条款应严格依照要求的形式、内容提供证明资料，如未提供证明资料（或：证明资料的形式、内容等不符合要求；证明资料显示不符合招标技术要求；证明资料模糊不清无法判断或未显示是否满足招标技术要求），且投标人在“偏离情况”一栏响应为“正偏离”或“无偏离”的，经评审委员会认定，将判定为负偏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6、投标人提供的证明资料，均要求原件备查。</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7、评审委员会有权对投标人是否存在虚假响应予以认定，并视情况经招标机构报主管部门进行处理；</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8、除招标文件另有注明外，投标文件其它位置如出现与本表中投标参数不一致的信息，均以本表信息为准。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keepNext/>
        <w:keepLines/>
        <w:widowControl w:val="0"/>
        <w:spacing w:before="260" w:after="260" w:line="240" w:lineRule="auto"/>
        <w:jc w:val="center"/>
        <w:outlineLvl w:val="2"/>
        <w:rPr>
          <w:rFonts w:ascii="黑体" w:eastAsia="黑体" w:hAnsi="宋体"/>
          <w:b/>
          <w:bCs/>
          <w:kern w:val="2"/>
          <w:sz w:val="30"/>
          <w:szCs w:val="30"/>
          <w:lang w:eastAsia="zh-CN"/>
        </w:rPr>
      </w:pPr>
      <w:r>
        <w:rPr>
          <w:rFonts w:ascii="黑体" w:eastAsia="黑体" w:hAnsi="宋体" w:cstheme="minorBidi" w:hint="eastAsia"/>
          <w:b/>
          <w:bCs/>
          <w:kern w:val="2"/>
          <w:sz w:val="30"/>
          <w:szCs w:val="30"/>
          <w:lang w:eastAsia="zh-CN"/>
        </w:rPr>
        <w:t>十、商务要求偏离表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43"/>
        <w:gridCol w:w="1456"/>
        <w:gridCol w:w="2484"/>
        <w:gridCol w:w="2403"/>
        <w:gridCol w:w="1172"/>
        <w:gridCol w:w="698"/>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序号</w:t>
            </w:r>
          </w:p>
        </w:tc>
        <w:tc>
          <w:tcPr>
            <w:tcW w:w="1456" w:type="dxa"/>
            <w:vAlign w:val="center"/>
          </w:tcPr>
          <w:p>
            <w:pPr>
              <w:widowControl w:val="0"/>
              <w:jc w:val="both"/>
              <w:rPr>
                <w:rFonts w:ascii="Calibri" w:eastAsia="宋体" w:hAnsi="Calibri"/>
                <w:kern w:val="2"/>
                <w:sz w:val="21"/>
                <w:szCs w:val="22"/>
                <w:lang w:eastAsia="zh-CN"/>
              </w:rPr>
            </w:pPr>
            <w:r>
              <w:rPr>
                <w:rFonts w:eastAsia="宋体" w:hint="eastAsia"/>
                <w:kern w:val="2"/>
                <w:sz w:val="21"/>
                <w:lang w:eastAsia="zh-CN"/>
              </w:rPr>
              <w:t>目录</w:t>
            </w:r>
          </w:p>
        </w:tc>
        <w:tc>
          <w:tcPr>
            <w:tcW w:w="2484" w:type="dxa"/>
            <w:vAlign w:val="center"/>
          </w:tcPr>
          <w:p>
            <w:pPr>
              <w:widowControl w:val="0"/>
              <w:jc w:val="both"/>
              <w:rPr>
                <w:rFonts w:ascii="Calibri" w:eastAsia="宋体" w:hAnsi="Calibri"/>
                <w:b/>
                <w:kern w:val="2"/>
                <w:sz w:val="21"/>
                <w:szCs w:val="22"/>
                <w:lang w:eastAsia="zh-CN"/>
              </w:rPr>
            </w:pPr>
            <w:r>
              <w:rPr>
                <w:rFonts w:eastAsia="宋体" w:hint="eastAsia"/>
                <w:kern w:val="2"/>
                <w:sz w:val="21"/>
                <w:lang w:eastAsia="zh-CN"/>
              </w:rPr>
              <w:t>招标商务要求</w:t>
            </w:r>
          </w:p>
        </w:tc>
        <w:tc>
          <w:tcPr>
            <w:tcW w:w="2403"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投标商务响应</w:t>
            </w:r>
          </w:p>
        </w:tc>
        <w:tc>
          <w:tcPr>
            <w:tcW w:w="1172"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偏离情况</w:t>
            </w:r>
          </w:p>
        </w:tc>
        <w:tc>
          <w:tcPr>
            <w:tcW w:w="698"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w:t>
            </w:r>
          </w:p>
        </w:tc>
        <w:tc>
          <w:tcPr>
            <w:tcW w:w="2484"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w:t>
            </w:r>
          </w:p>
        </w:tc>
        <w:tc>
          <w:tcPr>
            <w:tcW w:w="2403"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kern w:val="2"/>
                <w:sz w:val="21"/>
                <w:szCs w:val="22"/>
                <w:lang w:eastAsia="zh-CN"/>
              </w:rPr>
              <w:t>2</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403"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403"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《商务要求偏离表》编制指引：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1、商务要求偏离表的序号、目录、招标商务要求等栏目对应“用户需求书”中的“商务条款要求”章节相关内容。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2、“投标商务响应”一栏必须一一对照“招标商务要求”，详细填写自身响应情况，而不能不合理照搬照抄招标文件的商务要求，以体现具体响应情况。</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3、“偏离情况”一栏填写如实填写</w:t>
      </w:r>
      <w:r>
        <w:rPr>
          <w:rFonts w:eastAsia="宋体" w:hint="eastAsia"/>
          <w:b/>
          <w:kern w:val="2"/>
          <w:sz w:val="21"/>
          <w:lang w:eastAsia="zh-CN"/>
        </w:rPr>
        <w:t>“正偏离”、“负偏离”或“无偏离”，</w:t>
      </w:r>
      <w:r>
        <w:rPr>
          <w:rFonts w:eastAsia="宋体" w:hint="eastAsia"/>
          <w:kern w:val="2"/>
          <w:sz w:val="21"/>
          <w:lang w:eastAsia="zh-CN"/>
        </w:rPr>
        <w:t>其中：“正偏离”表示“投标响应优于招标商务要求”，“负偏离”表示“投标响应不满足招标商务要求”，“无偏离”表示“投标响应与招标商务要求一致”。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“投标商务响应”对比“招标商务要求”存在响应不全（包括未响应整项招标商务要求或者未响应一项招标商务要求的部分内容），均视为“负偏离”。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4、带★号条款为不可偏离条款，如未响应或出现负偏离的，将作投标无效处理。</w:t>
      </w:r>
    </w:p>
    <w:p>
      <w:pPr>
        <w:widowControl w:val="0"/>
        <w:ind w:firstLine="420" w:firstLineChars="200"/>
        <w:jc w:val="both"/>
        <w:rPr>
          <w:rFonts w:ascii="Calibri" w:eastAsia="宋体" w:hAnsi="Calibri"/>
          <w:bCs/>
          <w:kern w:val="2"/>
          <w:sz w:val="21"/>
          <w:szCs w:val="21"/>
          <w:lang w:eastAsia="zh-CN"/>
        </w:rPr>
      </w:pPr>
    </w:p>
    <w:p>
      <w:pPr>
        <w:keepNext/>
        <w:keepLines/>
        <w:widowControl w:val="0"/>
        <w:numPr>
          <w:ilvl w:val="0"/>
          <w:numId w:val="4"/>
        </w:numPr>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项目实施方案（格式自拟）</w:t>
      </w:r>
    </w:p>
    <w:p>
      <w:pPr>
        <w:keepNext/>
        <w:keepLines/>
        <w:widowControl w:val="0"/>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十二、售后服务方案（格式自拟）</w:t>
      </w:r>
    </w:p>
    <w:p>
      <w:pPr>
        <w:keepNext/>
        <w:keepLines/>
        <w:widowControl w:val="0"/>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十三、应急保障方案（格式自拟）</w:t>
      </w:r>
    </w:p>
    <w:p>
      <w:pPr>
        <w:keepNext/>
        <w:keepLines/>
        <w:widowControl w:val="0"/>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十四、违约承诺（格式自拟）</w:t>
      </w:r>
    </w:p>
    <w:p>
      <w:pPr>
        <w:keepNext/>
        <w:keepLines/>
        <w:widowControl w:val="0"/>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十五、网点服务响应时间配送时效（格式自拟）</w:t>
      </w:r>
    </w:p>
    <w:p>
      <w:pPr>
        <w:keepNext/>
        <w:keepLines/>
        <w:widowControl w:val="0"/>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十六、投标人资质证明（格式自拟）</w:t>
      </w:r>
    </w:p>
    <w:p>
      <w:pPr>
        <w:keepNext/>
        <w:keepLines/>
        <w:widowControl w:val="0"/>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十七、投标人同类项目业绩情况（格式自拟）</w:t>
      </w:r>
    </w:p>
    <w:p>
      <w:pPr>
        <w:keepNext/>
        <w:keepLines/>
        <w:widowControl w:val="0"/>
        <w:spacing w:before="260" w:after="260" w:line="240" w:lineRule="auto"/>
        <w:jc w:val="center"/>
        <w:outlineLvl w:val="2"/>
        <w:rPr>
          <w:rFonts w:ascii="黑体" w:eastAsia="黑体" w:hAnsi="宋体"/>
          <w:b/>
          <w:bCs/>
          <w:kern w:val="2"/>
          <w:sz w:val="30"/>
          <w:szCs w:val="30"/>
          <w:lang w:eastAsia="zh-CN"/>
        </w:rPr>
      </w:pPr>
      <w:r>
        <w:rPr>
          <w:rFonts w:ascii="黑体" w:eastAsia="黑体" w:hAnsi="宋体" w:cstheme="minorBidi" w:hint="eastAsia"/>
          <w:b/>
          <w:bCs/>
          <w:kern w:val="2"/>
          <w:sz w:val="30"/>
          <w:szCs w:val="30"/>
          <w:lang w:eastAsia="zh-CN"/>
        </w:rPr>
        <w:t>十八、配套能力保障（格式自拟）</w:t>
      </w:r>
    </w:p>
    <w:p>
      <w:pPr>
        <w:keepNext/>
        <w:keepLines/>
        <w:widowControl w:val="0"/>
        <w:spacing w:before="260" w:after="260" w:line="240" w:lineRule="auto"/>
        <w:jc w:val="center"/>
        <w:outlineLvl w:val="2"/>
        <w:rPr>
          <w:rFonts w:ascii="黑体" w:eastAsia="黑体" w:hAnsi="宋体"/>
          <w:b/>
          <w:bCs/>
          <w:kern w:val="2"/>
          <w:sz w:val="30"/>
          <w:szCs w:val="30"/>
          <w:lang w:eastAsia="zh-CN"/>
        </w:rPr>
      </w:pPr>
      <w:r>
        <w:rPr>
          <w:rFonts w:ascii="黑体" w:eastAsia="黑体" w:hAnsi="宋体" w:cstheme="minorBidi" w:hint="eastAsia"/>
          <w:b/>
          <w:bCs/>
          <w:kern w:val="2"/>
          <w:sz w:val="30"/>
          <w:szCs w:val="30"/>
          <w:lang w:eastAsia="zh-CN"/>
        </w:rPr>
        <w:t>十九、</w:t>
      </w:r>
      <w:bookmarkStart w:id="31" w:name="_Hlk72062872"/>
      <w:r>
        <w:rPr>
          <w:rFonts w:ascii="黑体" w:eastAsia="黑体" w:hAnsi="宋体" w:cstheme="minorBidi" w:hint="eastAsia"/>
          <w:b/>
          <w:bCs/>
          <w:kern w:val="2"/>
          <w:sz w:val="30"/>
          <w:szCs w:val="30"/>
          <w:lang w:eastAsia="zh-CN"/>
        </w:rPr>
        <w:t>投标人认为需要加以说明的其他内容</w:t>
      </w:r>
      <w:bookmarkEnd w:id="31"/>
    </w:p>
    <w:p>
      <w:pPr>
        <w:widowControl/>
        <w:jc w:val="center"/>
        <w:rPr>
          <w:rFonts w:ascii="黑体" w:eastAsia="黑体" w:hAnsi="宋体"/>
          <w:szCs w:val="20"/>
          <w:lang w:eastAsia="zh-CN"/>
        </w:rPr>
      </w:pPr>
      <w:r>
        <w:rPr>
          <w:rFonts w:ascii="黑体" w:eastAsia="黑体" w:hAnsi="宋体" w:cstheme="minorBidi" w:hint="eastAsia"/>
          <w:szCs w:val="20"/>
          <w:lang w:eastAsia="zh-CN"/>
        </w:rPr>
        <w:t>（一）政府采购违法行为风险知悉确认书</w:t>
      </w:r>
    </w:p>
    <w:p>
      <w:pPr>
        <w:widowControl/>
        <w:jc w:val="center"/>
        <w:rPr>
          <w:rFonts w:ascii="黑体" w:eastAsia="黑体" w:hAnsi="宋体"/>
          <w:szCs w:val="20"/>
          <w:lang w:eastAsia="zh-CN"/>
        </w:rPr>
      </w:pPr>
    </w:p>
    <w:p>
      <w:pPr>
        <w:widowControl w:val="0"/>
        <w:spacing w:line="360" w:lineRule="auto"/>
        <w:ind w:firstLine="420" w:firstLineChars="200"/>
        <w:jc w:val="both"/>
        <w:rPr>
          <w:rFonts w:ascii="宋体" w:eastAsia="宋体" w:hAnsi="宋体" w:cs="宋体" w:hint="eastAsia"/>
          <w:sz w:val="21"/>
          <w:szCs w:val="21"/>
          <w:lang w:eastAsia="zh-CN"/>
        </w:rPr>
      </w:pPr>
      <w:r>
        <w:rPr>
          <w:rFonts w:ascii="宋体" w:eastAsia="宋体" w:hAnsi="宋体" w:cs="宋体" w:hint="eastAsia"/>
          <w:kern w:val="2"/>
          <w:sz w:val="21"/>
          <w:szCs w:val="21"/>
          <w:lang w:eastAsia="zh-CN"/>
        </w:rPr>
        <w:t>本公司在投标前已充分知悉以下情形为参与政府采购活动时的重大风险事项，并承诺已对下述风险提示事项重点排查，做到严谨、诚信、依法依规参与政府采购活动。</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b/>
          <w:bCs/>
          <w:kern w:val="2"/>
          <w:sz w:val="21"/>
          <w:szCs w:val="21"/>
          <w:lang w:eastAsia="zh-CN"/>
        </w:rPr>
        <w:t>一、本公司已充分知悉“隐瞒真实情况，提供虚假资料”的法定情形，相关情形包括但不限于</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（一）通过转让或者租借等方式从其他单位获取资格或者资质证书投标的。</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（二）由其他单位或者其他单位负责人在投标供应商编制的投标文件上加盖印章或者签字的。</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（三）项目负责人或者主要技术人员不是本单位人员的。</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（四）投标保证金不是从投标供应商基本账户转出的。</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（五）其他隐瞒真实情况、提供虚假资料的行为。</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b/>
          <w:bCs/>
          <w:kern w:val="2"/>
          <w:sz w:val="21"/>
          <w:szCs w:val="21"/>
          <w:lang w:eastAsia="zh-CN"/>
        </w:rPr>
        <w:t>二、本公司已充分知悉“与其他采购参加人串通投标”的法定情形，相关情形包括但不限于：</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（一）投标供应商之间相互约定给予未中标的供应商利益补偿。</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（二）不同投标供应商的法定代表人、主要经营负责人、项目投标授权代表人、项目负责人、主要技术人员为同一人、属同一单位或者在同一单位缴纳社会保险。</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（三）不同投标供应商的投标文件由同一单位或者同一人编制，或者由同一人分阶段参与编制的。</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（四）不同投标供应商的投标文件或部分投标文件相互混装。</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（五）不同投标供应商的投标文件内容存在非正常一致。</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（六）由同一单位工作人员为两家以上（含两家）供应商进行同一项投标活动的。</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（七）不同投标人的投标报价呈规律性差异。</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（八）不同投标人的投标保证金从同一单位或者个人的账户转出。</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（九）主管部门依照法律、法规认定的其他情形。</w:t>
      </w:r>
    </w:p>
    <w:p>
      <w:pPr>
        <w:widowControl w:val="0"/>
        <w:spacing w:line="360" w:lineRule="auto"/>
        <w:ind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三、本公司已充分知悉下列情形所对应的法律风险，并在投标前已对相关风险事项进行排查。</w:t>
      </w:r>
    </w:p>
    <w:p>
      <w:pPr>
        <w:widowControl w:val="0"/>
        <w:spacing w:line="360" w:lineRule="auto"/>
        <w:ind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kern w:val="2"/>
          <w:sz w:val="21"/>
          <w:szCs w:val="21"/>
          <w:lang w:eastAsia="zh-CN"/>
        </w:rPr>
        <w:t>（一）对于从其他主体获取的投标资料，供应商应审慎核查，确保投标资料的真实性。</w:t>
      </w:r>
      <w:r>
        <w:rPr>
          <w:rFonts w:ascii="宋体" w:eastAsia="宋体" w:hAnsi="宋体" w:cs="宋体" w:hint="eastAsia"/>
          <w:b/>
          <w:bCs/>
          <w:kern w:val="2"/>
          <w:sz w:val="21"/>
          <w:szCs w:val="21"/>
          <w:lang w:eastAsia="zh-CN"/>
        </w:rPr>
        <w:t>如主管部门查实投标文件中存在虚假资料的，无论相关资料是否由第三方或本公司员工提供，均不影响主管部门对供应商存在“隐瞒真实情况，提供虚假资料”违法行为的认定。</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（三）对于涉及安全生产、特种作业、抢险救灾、防疫等政府采购项目，供应商实施提供虚假资料、串通投标等违法行为的，主管部门将依法从严处理。</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widowControl w:val="0"/>
        <w:spacing w:line="360" w:lineRule="auto"/>
        <w:ind w:firstLine="420" w:firstLineChars="20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（六）单位负责人为同一人或者存在直接控股、管理关系的不同供应商，不得参加同一合同项下的政府采购活动。相关情形如查实，依法作投标无效处理；涉嫌串通投标等违法行为的，主管部门将依法调查处理。</w:t>
      </w:r>
    </w:p>
    <w:p>
      <w:pPr>
        <w:widowControl w:val="0"/>
        <w:spacing w:line="360" w:lineRule="auto"/>
        <w:ind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四、本公司已充分知悉政府采购违法、违规行为的法律后果。</w:t>
      </w:r>
      <w:r>
        <w:rPr>
          <w:rFonts w:ascii="宋体" w:eastAsia="宋体" w:hAnsi="宋体" w:cs="宋体" w:hint="eastAsia"/>
          <w:kern w:val="2"/>
          <w:sz w:val="21"/>
          <w:szCs w:val="21"/>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widowControl w:val="0"/>
        <w:spacing w:line="360" w:lineRule="auto"/>
        <w:ind w:firstLine="420" w:firstLineChars="200"/>
        <w:jc w:val="both"/>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我司已阅读并确认：“本公司已仔细阅读《政府采购违法行为风险知悉确认书》，充分知悉违法行为的法律后果，并承诺将严谨、诚信、依法依规参与政府采购活动”。</w:t>
      </w:r>
    </w:p>
    <w:p>
      <w:pPr>
        <w:widowControl w:val="0"/>
        <w:spacing w:line="360" w:lineRule="auto"/>
        <w:jc w:val="both"/>
        <w:rPr>
          <w:rFonts w:ascii="宋体" w:eastAsia="宋体" w:hAnsi="宋体" w:cs="宋体" w:hint="eastAsia"/>
          <w:kern w:val="2"/>
          <w:sz w:val="21"/>
          <w:szCs w:val="21"/>
          <w:u w:val="single"/>
          <w:lang w:eastAsia="zh-CN"/>
        </w:rPr>
      </w:pPr>
    </w:p>
    <w:p>
      <w:pPr>
        <w:widowControl w:val="0"/>
        <w:spacing w:line="360" w:lineRule="auto"/>
        <w:jc w:val="both"/>
        <w:rPr>
          <w:rFonts w:ascii="宋体" w:eastAsia="宋体" w:hAnsi="宋体" w:cs="宋体" w:hint="eastAsia"/>
          <w:kern w:val="2"/>
          <w:sz w:val="21"/>
          <w:szCs w:val="21"/>
          <w:lang w:eastAsia="zh-CN"/>
        </w:rPr>
      </w:pPr>
    </w:p>
    <w:p>
      <w:pPr>
        <w:widowControl w:val="0"/>
        <w:spacing w:before="60" w:beforeLines="25" w:after="60" w:afterLines="25" w:line="360" w:lineRule="auto"/>
        <w:jc w:val="righ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w:t>
      </w:r>
      <w:r>
        <w:rPr>
          <w:rFonts w:ascii="宋体" w:eastAsia="宋体" w:hAnsi="宋体" w:cs="宋体" w:hint="eastAsia"/>
          <w:kern w:val="2"/>
          <w:sz w:val="21"/>
          <w:szCs w:val="21"/>
          <w:u w:val="single"/>
          <w:lang w:eastAsia="zh-CN"/>
        </w:rPr>
        <w:t xml:space="preserve">                </w:t>
      </w:r>
      <w:r>
        <w:rPr>
          <w:rFonts w:ascii="宋体" w:eastAsia="宋体" w:hAnsi="宋体" w:cs="宋体" w:hint="eastAsia"/>
          <w:color w:val="FFFFFF"/>
          <w:kern w:val="2"/>
          <w:sz w:val="21"/>
          <w:szCs w:val="21"/>
          <w:u w:val="single"/>
          <w:lang w:eastAsia="zh-CN"/>
        </w:rPr>
        <w:t>.</w:t>
      </w:r>
    </w:p>
    <w:p>
      <w:pPr>
        <w:widowControl w:val="0"/>
        <w:spacing w:line="360" w:lineRule="auto"/>
        <w:ind w:firstLine="645"/>
        <w:jc w:val="righ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日期：</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年</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月</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日</w:t>
      </w:r>
    </w:p>
    <w:p>
      <w:pPr>
        <w:widowControl/>
        <w:autoSpaceDE w:val="0"/>
        <w:autoSpaceDN w:val="0"/>
        <w:spacing w:line="360" w:lineRule="auto"/>
        <w:ind w:firstLine="420" w:firstLineChars="20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注：根据《深圳市财政局关于采购文件增加风险告知有关事项的通知》（深财购〔2022〕22号），该风险知悉确认书用于对供应商违法行为的警示，不作为供应商资格性审查及符合性审查条件。</w:t>
      </w:r>
    </w:p>
    <w:p>
      <w:pPr>
        <w:widowControl/>
        <w:autoSpaceDE w:val="0"/>
        <w:autoSpaceDN w:val="0"/>
        <w:spacing w:line="400" w:lineRule="exact"/>
        <w:ind w:firstLine="420" w:firstLineChars="200"/>
        <w:jc w:val="left"/>
        <w:rPr>
          <w:rFonts w:ascii="宋体" w:eastAsia="宋体" w:hAnsi="宋体" w:cs="宋体" w:hint="eastAsia"/>
          <w:kern w:val="2"/>
          <w:sz w:val="21"/>
          <w:szCs w:val="21"/>
          <w:lang w:eastAsia="zh-CN"/>
        </w:rPr>
      </w:pPr>
    </w:p>
    <w:p>
      <w:pPr>
        <w:widowControl/>
        <w:jc w:val="center"/>
        <w:rPr>
          <w:rFonts w:ascii="黑体" w:eastAsia="黑体" w:hAnsi="宋体"/>
          <w:szCs w:val="20"/>
          <w:lang w:eastAsia="zh-CN"/>
        </w:rPr>
      </w:pPr>
      <w:r>
        <w:rPr>
          <w:rFonts w:ascii="黑体" w:eastAsia="黑体" w:hAnsi="宋体" w:cstheme="minorBidi" w:hint="eastAsia"/>
          <w:szCs w:val="20"/>
          <w:lang w:eastAsia="zh-CN"/>
        </w:rPr>
        <w:t>（二）投标人认为需要加以说明的其他内容（格式自定）</w:t>
      </w:r>
    </w:p>
    <w:p>
      <w:pPr>
        <w:widowControl w:val="0"/>
        <w:spacing w:after="60" w:afterLines="25" w:line="300" w:lineRule="auto"/>
        <w:jc w:val="both"/>
        <w:rPr>
          <w:rFonts w:ascii="Arial" w:eastAsia="宋体" w:hAnsi="Arial"/>
          <w:kern w:val="2"/>
          <w:lang w:eastAsia="zh-CN"/>
        </w:rPr>
      </w:pP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第五章  合同条款及格式</w:t>
      </w:r>
    </w:p>
    <w:p>
      <w:pPr>
        <w:widowControl w:val="0"/>
        <w:jc w:val="center"/>
        <w:rPr>
          <w:rFonts w:ascii="宋体" w:eastAsia="宋体" w:hAnsi="宋体"/>
          <w:b/>
          <w:kern w:val="2"/>
          <w:sz w:val="21"/>
          <w:szCs w:val="21"/>
          <w:lang w:eastAsia="zh-CN"/>
        </w:rPr>
      </w:pPr>
      <w:r>
        <w:rPr>
          <w:rFonts w:ascii="宋体" w:eastAsia="宋体" w:hAnsi="宋体" w:hint="eastAsia"/>
          <w:b/>
          <w:kern w:val="2"/>
          <w:sz w:val="21"/>
          <w:szCs w:val="21"/>
          <w:lang w:eastAsia="zh-CN"/>
        </w:rPr>
        <w:t>有专业类别的格式合同范本请选择相应的合同</w:t>
      </w:r>
    </w:p>
    <w:p>
      <w:pPr>
        <w:widowControl w:val="0"/>
        <w:jc w:val="center"/>
        <w:rPr>
          <w:rFonts w:ascii="宋体" w:eastAsia="宋体" w:hAnsi="宋体"/>
          <w:b/>
          <w:kern w:val="2"/>
          <w:sz w:val="21"/>
          <w:szCs w:val="21"/>
          <w:lang w:eastAsia="zh-CN"/>
        </w:rPr>
      </w:pPr>
      <w:r>
        <w:rPr>
          <w:rFonts w:ascii="宋体" w:eastAsia="宋体" w:hAnsi="宋体" w:hint="eastAsia"/>
          <w:b/>
          <w:kern w:val="2"/>
          <w:sz w:val="21"/>
          <w:szCs w:val="21"/>
          <w:lang w:eastAsia="zh-CN"/>
        </w:rPr>
        <w:t>（仅供参考，采购单位需填写项目关键信息和违约责任条款）</w:t>
      </w:r>
    </w:p>
    <w:p>
      <w:pPr>
        <w:widowControl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采购人：</w:t>
      </w:r>
    </w:p>
    <w:p>
      <w:pPr>
        <w:widowControl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w:t>
      </w:r>
    </w:p>
    <w:p>
      <w:pPr>
        <w:widowControl w:val="0"/>
        <w:jc w:val="left"/>
        <w:rPr>
          <w:rFonts w:ascii="宋体" w:eastAsia="宋体" w:hAnsi="宋体"/>
          <w:kern w:val="2"/>
          <w:sz w:val="21"/>
          <w:szCs w:val="21"/>
          <w:lang w:eastAsia="zh-CN"/>
        </w:rPr>
      </w:pP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根据深圳市</w:t>
      </w:r>
      <w:r>
        <w:rPr>
          <w:rFonts w:ascii="宋体" w:eastAsia="宋体" w:hAnsi="宋体" w:cs="宋体" w:hint="eastAsia"/>
          <w:kern w:val="2"/>
          <w:sz w:val="21"/>
          <w:szCs w:val="21"/>
          <w:lang w:eastAsia="zh-CN"/>
        </w:rPr>
        <w:t>****</w:t>
      </w:r>
      <w:r>
        <w:rPr>
          <w:rFonts w:ascii="宋体" w:eastAsia="宋体" w:hAnsi="宋体" w:hint="eastAsia"/>
          <w:kern w:val="2"/>
          <w:sz w:val="21"/>
          <w:szCs w:val="21"/>
          <w:lang w:eastAsia="zh-CN"/>
        </w:rPr>
        <w:t>号采购项目的投标结果，由单位为中标方。按照有关规定，经深圳市（以下简称甲方）和单位（以下简称乙方）协商，达成以下合同条款：</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第一条合同标的</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乙方根据甲方需求提供下列货物：</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货物名称、规格及数量详见。</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第二条合同价款</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本合同项下总价款为（大写）人民币，分项价款详见。本合同总价款已包括乙方为履行本合同义务所发生的一切费用，系固定不变价格，且不随通货膨胀的影响而波动。</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第三条权利保证</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乙方保证甲方在使用本合同项下货物或货物的任何一部分时，不会产生因第三方提出的包括但不限于侵犯其专利权、商标权、工业设计权等知识产权和侵犯其所有权、抵押权等物权及其他权利而引发的纠纷。如有纠纷，乙方应承担全部责任。</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第四条质量保证</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1、乙方所提供的货物的技术规格符合采购文件规定的技术规格，货物符合中华人民共和国的设计和制造生产标准或行业标准。</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2、乙方应保证货物是全新、未使用过的原装合格正品（包括零部件），并完全符合甲方要求的质量、规格和性能的要求。如货物安装或配置了软件的，乙方保证相关软件均为正版软件。</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3、乙方保证交货时一并提供货物的质量合格凭证或文件。</w:t>
      </w:r>
    </w:p>
    <w:p>
      <w:pPr>
        <w:widowControl w:val="0"/>
        <w:spacing w:line="360" w:lineRule="auto"/>
        <w:jc w:val="left"/>
        <w:rPr>
          <w:rFonts w:ascii="宋体" w:eastAsia="宋体" w:hAnsi="宋体"/>
          <w:kern w:val="2"/>
          <w:sz w:val="21"/>
          <w:szCs w:val="21"/>
          <w:lang w:eastAsia="zh-CN"/>
        </w:rPr>
      </w:pP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第五条交货和验收</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1、乙方应按照本合同或招投标文件规定的时间和方式向甲方交付货物，交货地点由甲方指定。因交货产生的费用由乙方自行承担。</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2、乙方交付的货物应当完全符合招投标文件所规定的货物、数量、质量和规格要求。乙方提供的货物不符合招投标文件和合同规定的，甲方有权拒收货物，由此引起的风险，由乙方承担。</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3、乙方应将所提供货物的使用说明书、原厂保修卡等附随资料和附随配件、工具等交付给甲方；乙方不能完整交付货物及本款规定的单证和工具的，视为未按合同约定交货，乙方负责补齐，因此导致逾期交付的，由乙方承担相关的违约责任。</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4、甲方应当在到货后的个工作日内对货物进行验收；需要乙方对货物或系统进行安装调试的，甲方应在货物安装调试完毕后的个工作日内进行质量验收。</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第六条保修及其他服务</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1、乙方应按照国家有关法律法规规章和“三包”规定和采购文件的要求及乙方在投标文件的相关承诺提供保修及其他服务。</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w:t>
      </w:r>
      <w:r>
        <w:rPr>
          <w:rFonts w:ascii="宋体" w:eastAsia="宋体" w:hAnsi="宋体"/>
          <w:kern w:val="2"/>
          <w:sz w:val="21"/>
          <w:szCs w:val="21"/>
          <w:lang w:eastAsia="zh-CN"/>
        </w:rPr>
        <w:t>保修期内，乙方负责对其提供的货物进行维修和系统维护，不再收取任何费用。</w:t>
      </w:r>
      <w:r>
        <w:rPr>
          <w:rFonts w:ascii="宋体" w:eastAsia="宋体" w:hAnsi="宋体" w:hint="eastAsia"/>
          <w:kern w:val="2"/>
          <w:sz w:val="21"/>
          <w:szCs w:val="21"/>
          <w:lang w:eastAsia="zh-CN"/>
        </w:rPr>
        <w:t>所有货物保修服务方式均为乙方上门保修，即由乙方派员到货物使用现场维修，由此产生的一切费用均由乙方承担。保修期后的货物维护另行协商。</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第七条履约保证金</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1、乙方应在签订本合同之日，向甲方或甲方指定的机构提交履约保证金_________元。</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2、如乙方未能履行合同规定的义务，甲方有权从履约保证金中取得补偿。</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3、甲方在乙方履行完毕本合同项下全部义务后______天内无息退还乙方。</w:t>
      </w:r>
    </w:p>
    <w:p>
      <w:pPr>
        <w:widowControl w:val="0"/>
        <w:spacing w:line="360" w:lineRule="auto"/>
        <w:ind w:firstLine="560"/>
        <w:jc w:val="left"/>
        <w:rPr>
          <w:rFonts w:ascii="宋体" w:eastAsia="宋体" w:hAnsi="宋体"/>
          <w:kern w:val="2"/>
          <w:sz w:val="21"/>
          <w:szCs w:val="21"/>
          <w:lang w:eastAsia="zh-CN"/>
        </w:rPr>
      </w:pP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第八条付款方式</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按照招标文件规定的付款方式进行支付。</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第九条违约责任</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１、甲方无正当理由拒收货物、拒付货物款的，由甲方向乙方偿付合同总价的【】%违约金。</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２、甲方未按合同规定的期限向乙方支付货款的，每逾期1天甲方向乙方偿付欠款总额的【】‰滞纳金，但累计滞纳金总额不超过欠款总额的【】%。</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３、</w:t>
      </w:r>
      <w:r>
        <w:rPr>
          <w:rFonts w:ascii="宋体" w:eastAsia="宋体" w:hAnsi="宋体"/>
          <w:kern w:val="2"/>
          <w:sz w:val="21"/>
          <w:szCs w:val="21"/>
          <w:lang w:eastAsia="zh-CN"/>
        </w:rPr>
        <w:t>乙方逾期交付货物的，每逾期1天，乙方向甲方偿付逾期交货部分货款总额的</w:t>
      </w:r>
      <w:r>
        <w:rPr>
          <w:rFonts w:ascii="宋体" w:eastAsia="宋体" w:hAnsi="宋体" w:hint="eastAsia"/>
          <w:kern w:val="2"/>
          <w:sz w:val="21"/>
          <w:szCs w:val="21"/>
          <w:lang w:eastAsia="zh-CN"/>
        </w:rPr>
        <w:t>【】</w:t>
      </w:r>
      <w:r>
        <w:rPr>
          <w:rFonts w:ascii="宋体" w:eastAsia="宋体" w:hAnsi="宋体"/>
          <w:kern w:val="2"/>
          <w:sz w:val="21"/>
          <w:szCs w:val="21"/>
          <w:lang w:eastAsia="zh-CN"/>
        </w:rPr>
        <w:t>‰的滞纳金</w:t>
      </w:r>
      <w:r>
        <w:rPr>
          <w:rFonts w:ascii="宋体" w:eastAsia="宋体" w:hAnsi="宋体" w:hint="eastAsia"/>
          <w:kern w:val="2"/>
          <w:sz w:val="21"/>
          <w:szCs w:val="21"/>
          <w:lang w:eastAsia="zh-CN"/>
        </w:rPr>
        <w:t>。如乙方逾期交货达天，甲方有权解除合同，履约保证金不予退回，同时乙方应向甲方支付合同总价【】％的违约金。</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4、乙方所交付的货物品种、型号、规格不符合合同规定的，甲方有权拒收。甲方拒收的，乙方应向甲方支付货款总额【】%的违约金。</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5、在乙方承诺的或国家规定的质量保证期内（取两者中最长的期限），</w:t>
      </w:r>
      <w:r>
        <w:rPr>
          <w:rFonts w:ascii="宋体" w:eastAsia="宋体" w:hAnsi="宋体"/>
          <w:kern w:val="2"/>
          <w:sz w:val="21"/>
          <w:szCs w:val="21"/>
          <w:lang w:eastAsia="zh-CN"/>
        </w:rPr>
        <w:t>如经乙方两次维修</w:t>
      </w:r>
      <w:r>
        <w:rPr>
          <w:rFonts w:ascii="宋体" w:eastAsia="宋体" w:hAnsi="宋体" w:hint="eastAsia"/>
          <w:kern w:val="2"/>
          <w:sz w:val="21"/>
          <w:szCs w:val="21"/>
          <w:lang w:eastAsia="zh-CN"/>
        </w:rPr>
        <w:t>或更换</w:t>
      </w:r>
      <w:r>
        <w:rPr>
          <w:rFonts w:ascii="宋体" w:eastAsia="宋体" w:hAnsi="宋体"/>
          <w:kern w:val="2"/>
          <w:sz w:val="21"/>
          <w:szCs w:val="21"/>
          <w:lang w:eastAsia="zh-CN"/>
        </w:rPr>
        <w:t>，货物仍不能达到合同约定</w:t>
      </w:r>
      <w:r>
        <w:rPr>
          <w:rFonts w:ascii="宋体" w:eastAsia="宋体" w:hAnsi="宋体" w:hint="eastAsia"/>
          <w:kern w:val="2"/>
          <w:sz w:val="21"/>
          <w:szCs w:val="21"/>
          <w:lang w:eastAsia="zh-CN"/>
        </w:rPr>
        <w:t>的</w:t>
      </w:r>
      <w:r>
        <w:rPr>
          <w:rFonts w:ascii="宋体" w:eastAsia="宋体" w:hAnsi="宋体"/>
          <w:kern w:val="2"/>
          <w:sz w:val="21"/>
          <w:szCs w:val="21"/>
          <w:lang w:eastAsia="zh-CN"/>
        </w:rPr>
        <w:t>质量标准，甲方有权退货，乙方</w:t>
      </w:r>
      <w:r>
        <w:rPr>
          <w:rFonts w:ascii="宋体" w:eastAsia="宋体" w:hAnsi="宋体" w:hint="eastAsia"/>
          <w:kern w:val="2"/>
          <w:sz w:val="21"/>
          <w:szCs w:val="21"/>
          <w:lang w:eastAsia="zh-CN"/>
        </w:rPr>
        <w:t>应</w:t>
      </w:r>
      <w:r>
        <w:rPr>
          <w:rFonts w:ascii="宋体" w:eastAsia="宋体" w:hAnsi="宋体"/>
          <w:kern w:val="2"/>
          <w:sz w:val="21"/>
          <w:szCs w:val="21"/>
          <w:lang w:eastAsia="zh-CN"/>
        </w:rPr>
        <w:t>退回全部货款</w:t>
      </w:r>
      <w:r>
        <w:rPr>
          <w:rFonts w:ascii="宋体" w:eastAsia="宋体" w:hAnsi="宋体" w:hint="eastAsia"/>
          <w:kern w:val="2"/>
          <w:sz w:val="21"/>
          <w:szCs w:val="21"/>
          <w:lang w:eastAsia="zh-CN"/>
        </w:rPr>
        <w:t>并</w:t>
      </w:r>
      <w:r>
        <w:rPr>
          <w:rFonts w:ascii="宋体" w:eastAsia="宋体" w:hAnsi="宋体"/>
          <w:kern w:val="2"/>
          <w:sz w:val="21"/>
          <w:szCs w:val="21"/>
          <w:lang w:eastAsia="zh-CN"/>
        </w:rPr>
        <w:t>赔偿甲方因此遭受的损失。</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6、乙方未履行本合同项下的其他义务或违反其在投标文件中的相关承诺的，应按合同总价款的【】%向甲方承担违约责任。</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7、乙方在承担上述一项或多项违约责任后，仍应继续履行合同规定的义务（甲方解除合同的除外）。甲方未能及时追究乙方的任何一项违约责任并不表明甲方放弃追究乙方该项或其他违约责任。</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第十条合同的变更和终止</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除《中华人民共和国政府采购法》第４９条、第５０条第二款规定的情形外，本合同一经签订，甲乙双方不得擅自变更、中止或终止合同。</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第十一条争议的解决</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1、因货物的质量问题发生争议的，应当邀请国家认可的质量检测机构对货物质量进行鉴定。货物符合标准的，鉴定费由甲方承担；货物不符合质量标准的，鉴定费由乙方承担。</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2、因履行本合同引起的或与本合同有关的争议，甲、乙双方应首先通过友好协商解决，如果协商不能解决争议，则向甲方所在地有管辖权的人民法院提起诉讼；</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第十二条合同生效及其他</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1、下列文件均为本合同的重要组成部分：</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（1）本项目的采购文件、答疑及补充通知；</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（2）本项目中标的投标文件；</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（3）本合同执行中共同签署的补充与修正文件。</w:t>
      </w:r>
    </w:p>
    <w:p>
      <w:pPr>
        <w:widowControl w:val="0"/>
        <w:spacing w:line="360" w:lineRule="auto"/>
        <w:jc w:val="both"/>
        <w:rPr>
          <w:rFonts w:ascii="宋体" w:eastAsia="宋体" w:hAnsi="宋体"/>
          <w:b/>
          <w:bCs/>
          <w:kern w:val="2"/>
          <w:sz w:val="21"/>
          <w:szCs w:val="21"/>
          <w:lang w:eastAsia="zh-CN"/>
        </w:rPr>
      </w:pPr>
      <w:r>
        <w:rPr>
          <w:rFonts w:ascii="宋体" w:eastAsia="宋体" w:hAnsi="宋体" w:hint="eastAsia"/>
          <w:bCs/>
          <w:kern w:val="2"/>
          <w:sz w:val="21"/>
          <w:szCs w:val="21"/>
          <w:lang w:eastAsia="zh-CN"/>
        </w:rPr>
        <w:t>以上文件互为补充，如果出现内容冲突的情况，为准的优先顺序为（2）、（1）、（3）。</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2、本合同一式___份，甲、乙方双方各执份，具有同等法律效力。本合同自双方法人代表签字（盖章）认可之日起生效。</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3、本合同未尽事宜，双方友好协商，达成解决方案，经双方签字后，可作为本合同的有效附件。</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本合同未尽事宜，双方友好协商，达成解决方案，经双方签字后，可作为本合同的有效附件。</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甲方（采购人）：（盖章）               乙方（供应商）：（盖章）</w:t>
      </w:r>
    </w:p>
    <w:p>
      <w:pPr>
        <w:widowControl w:val="0"/>
        <w:spacing w:line="360" w:lineRule="auto"/>
        <w:ind w:firstLine="56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法定代表人：                           法定代表人：</w:t>
      </w:r>
    </w:p>
    <w:p>
      <w:pPr>
        <w:widowControl w:val="0"/>
        <w:spacing w:line="360" w:lineRule="auto"/>
        <w:ind w:firstLine="56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委托代理人：                           委托代理人：</w:t>
      </w:r>
    </w:p>
    <w:p>
      <w:pPr>
        <w:widowControl w:val="0"/>
        <w:spacing w:line="360" w:lineRule="auto"/>
        <w:ind w:firstLine="560"/>
        <w:jc w:val="left"/>
        <w:rPr>
          <w:rFonts w:ascii="宋体" w:eastAsia="宋体" w:hAnsi="宋体" w:cs="宋体"/>
          <w:kern w:val="2"/>
          <w:sz w:val="21"/>
          <w:szCs w:val="21"/>
          <w:lang w:eastAsia="zh-CN"/>
        </w:rPr>
      </w:pPr>
      <w:r>
        <w:rPr>
          <w:rFonts w:ascii="宋体" w:eastAsia="宋体" w:hAnsi="宋体" w:hint="eastAsia"/>
          <w:kern w:val="2"/>
          <w:sz w:val="21"/>
          <w:szCs w:val="21"/>
          <w:lang w:eastAsia="zh-CN"/>
        </w:rPr>
        <w:t>日期：</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年</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月</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日               日期：</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年</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月</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日</w:t>
      </w:r>
    </w:p>
    <w:p>
      <w:pPr>
        <w:widowControl w:val="0"/>
        <w:spacing w:line="360" w:lineRule="auto"/>
        <w:jc w:val="both"/>
        <w:rPr>
          <w:rFonts w:ascii="宋体" w:eastAsia="宋体" w:hAnsi="宋体"/>
          <w:kern w:val="2"/>
          <w:sz w:val="21"/>
          <w:szCs w:val="21"/>
          <w:lang w:eastAsia="zh-CN"/>
        </w:rPr>
      </w:pPr>
    </w:p>
    <w:p>
      <w:pPr>
        <w:widowControl/>
        <w:jc w:val="center"/>
        <w:rPr>
          <w:rFonts w:ascii="仿宋" w:eastAsia="仿宋" w:hAnsi="仿宋"/>
          <w:kern w:val="2"/>
          <w:sz w:val="28"/>
          <w:szCs w:val="28"/>
          <w:lang w:eastAsia="zh-CN"/>
        </w:rPr>
      </w:pPr>
      <w:r>
        <w:rPr>
          <w:rFonts w:ascii="宋体" w:eastAsia="宋体" w:hAnsi="宋体" w:hint="eastAsia"/>
          <w:b/>
          <w:kern w:val="2"/>
          <w:sz w:val="21"/>
          <w:szCs w:val="21"/>
          <w:lang w:eastAsia="zh-CN"/>
        </w:rPr>
        <w:t>注：本合同样本仅供参考，具体条款内容由采购单位和中标单位协商确定。</w:t>
      </w: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第二册  通用条款（公开招标）</w:t>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2" w:name="_Toc1312"/>
      <w:r>
        <w:rPr>
          <w:rFonts w:ascii="Arial" w:eastAsia="宋体" w:hAnsi="Arial" w:hint="eastAsia"/>
          <w:b/>
          <w:kern w:val="2"/>
          <w:sz w:val="32"/>
          <w:lang w:eastAsia="zh-CN"/>
        </w:rPr>
        <w:t>第一章  总则</w:t>
      </w:r>
      <w:bookmarkEnd w:id="32"/>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1.通用条款说明</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1.1采购代理机构发出招标文件通用条款版本，列出深圳市政府采购项目进行招标采购所适用的通用条款内容。如有需要，采购代理机构可以对通用条款的内容进行补充。</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1.2招标文件分为第一册“专用条款”和第二册“通用条款”。</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1.3“专用条款”是对本次采购项目的具体要求，包含招标公告、对通用条款的补充内容及其他关键信息、用户需求书、投标文件格式及附件、合同条款及格式等内容。</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1.4“通用条款”是适用于政府采购公开招标项目的基础性条款，具有普遍性和通用性。</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1.5“专用条款”和“通用条款”表述不一致或有冲突时，以“专用条款”为准。</w:t>
      </w:r>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2．招标说明</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本项目按照《深圳经济特区政府采购条例》、《深圳经济特区政府采购条例实施细则》及政府采购其他法律法规，通过公开招标方式确定中标供应商。</w:t>
      </w:r>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3．定义</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招标文件中下列术语应解释为：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3.1“采购人”：指利用财政性资金依法进行政府采购的国家机关、事业单位、团体组织；</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3.2“采购代理机构”是</w:t>
      </w:r>
      <w:r>
        <w:rPr>
          <w:rFonts w:eastAsia="宋体" w:hint="eastAsia"/>
          <w:kern w:val="2"/>
          <w:lang w:eastAsia="zh-CN"/>
        </w:rPr>
        <w:t>指根据采购人的委托，代理采购事宜的机构</w:t>
      </w:r>
      <w:r>
        <w:rPr>
          <w:rFonts w:eastAsia="宋体"/>
          <w:kern w:val="2"/>
          <w:lang w:eastAsia="zh-CN"/>
        </w:rPr>
        <w:t>；本文件所述的“采购代理机构”指</w:t>
      </w:r>
      <w:r>
        <w:rPr>
          <w:rFonts w:eastAsia="宋体" w:hint="eastAsia"/>
          <w:kern w:val="2"/>
          <w:lang w:eastAsia="zh-CN"/>
        </w:rPr>
        <w:t>深圳市千里招标代理有限公司</w:t>
      </w:r>
      <w:r>
        <w:rPr>
          <w:rFonts w:eastAsia="宋体"/>
          <w:kern w:val="2"/>
          <w:lang w:eastAsia="zh-CN"/>
        </w:rPr>
        <w:t>；</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3.3“投标人”，即供应商，指参加投标竞争并愿意按照招标文件要求向采购人提供货物、工程或者服务的依法成立的法人、其他组织或者自然人；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3.4“评审委员会”是依据《深圳经济特区政府采购条例》、《深圳经济特区政府采购条例实施细则》等有关规定组建的专门负责本次招标其评审工作的临时性机构；</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3.5“日期”指公历日；</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3.6“合同”指由本次招标所产生的合同或合约文件；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3.7“电子投标文件”指利用深圳政府采购自行采购系统投标文件制作专用软件（以下简称：投标文件制作软件）制作的投标文件,适用于网上投标；（投标文件制作软件可从“下载地址：https://zxcg.szggzy.com/home/index.html深圳市自行采购系统投标文件编制工具”下载）</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3.8“网上投标”指通过深圳市自行采购系统网站上传电子投标文件；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3.9招标文件中的标题或题名仅起引导作用，而不应视为对招标文件内容的理解和解释。</w:t>
      </w:r>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4.政府采购供应商责任</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4.1欢迎诚信、有实力和有社会责任心的供应商参与政府采购事业。</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4.2投标人应当遵循公平竞争的原则，不得恶意串通，不得妨碍其他投标人的竞争行为，不得损害采购人或者其他投标人的合法权益。如违反上述要求，经核实后，供应商的投标无效。</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5．投标人参加政府采购的条件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5.1投标人应在投标前在深圳交易集团有限公司政府采购业务分公司进行注册并办理电子密钥。《供应商注册及信息变更指引》详见www.szggzy.com网站“交易服务指南-政府采购”。</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5.2投标人资格要求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参加本项目的投标人应具备的资格条件详见本项目招标公告中“投标人资格要求”（即申请人的资格要求）的内容。</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5.3联合体投标</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5.3.1以下有关联合体投标的条款仅适用于允许投标人组成联合体投标的项目。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5.3.2由两个或两个以上的自然人、法人或者其他组织可以组成一个联合体，以一个供应商的身份共同投标时，应符合以下原则：</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（1）投标联合体各方参加政府采购活动应当具备下列条件：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1、具有独立承担民事责任的能力；</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2、有良好的商业信誉和健全的财务会计制度；</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3、具有履行合同所必需的设备和专业技术能力；</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4、有依法缴纳税收和社会保障资金的良好记录；</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5、参加政府采购活动前三年内，在经营活动中没有重大违法记录；</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6、法律、行政法规规定的其他条件。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（2）在投标截止前，投标联合体各方均应注册成采购代理机构供应商；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（3）联合体中有同类资质的供应商按照联合体分工承担相同工作的，应当按照资质等级较低的供应商确定资质等级；</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（4）是否允许联合体参加投标，应当由采购人和采购代理机构根据项目的实际情况和潜在供应商的数量自主决定，如果决定接受联合体投标则应当在招标公告中明示；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（5）投标人的投标文件及中标后签署的合同协议对联合体各方均具有法律约束力；</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（6）联合体各方应当签订联合体投标协议，明确约定各方拟承担的工作和责任，并将该协议随投标文件一并递交给采购代理机构；</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（7）联合体中标后，联合体各方应当共同与采购人签订合同，就中标项目向采购人承担连带责任；</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（9）本通用条款中“投标人”一词亦指联合体各方，专用条款另有规定或说明的除外。</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6．政策导向</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6.1政府采购支持本国产品、支持中小企业、监狱企业和残疾人福利性单位发展，支持乡村产业振兴，支持创新、节能减排、绿色环保等。</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6.2本项目落实深圳市政府采购供应商诚信管理政策要求。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6.3本项目支持投标人性别平等的相关政策。</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7.本项目若涉及采购货物，则合格的货物及相应服务应满足以下要求：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7.1必须是全新、未使用过的原装合格正品（包括零部件），如安装或配置了软件的，须为正版软件。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7.2国产的货物及其有关服务必须符合中华人民共和国的设计、制造生产标准及行业标准。招标公告有其他要求的，亦应符合其要求。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7.3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7.4投标人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7.5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7.6工期要求：投标人在投标时对其所投项目应提交交货进度、交货计划等，在合同规定的时间内完成项目实施工作。</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7.7投标人必须承担的设备运输、安装调试、验收检测和提供设备操作说明书、图纸等其他相关及类似的义务。</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8．投标费用</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不论投标结果如何，投标人应承担其编制投标文件与递交投标文件所涉及的一切费用。</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9．踏勘现场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9.1如有需要（详见专用条款），采购人或采购代理机构将组织投标人对项目现场及周围环境进行踏勘，以便投标人获取有关编制投标文件和签署合同所需的资料。踏勘现场所发生的费用由投标人自行承担。投标人应按招标文件所约定的时间、地点踏勘现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9.2投标人及其人员经过采购人的允许，可以进入采购人的项目现场踏勘。若招标文件要求投标人于统一时间地点踏勘现场的，投标人应当按时前往。</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9.3采购人应当通过采购代理机构向投标人提供有关现场的书面资料和数据。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9.4任何人或任何组织在踏勘现场时向投标人提供的任何书面资料或口头承诺，未经采购代理机构在网上发布或书面通知，均作无效处理。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9.5未参与踏勘现场不作为否定投标人资格的理由。</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10．标前会议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10.1如采购人或采购代理机构认为有必要组织标前会议，投标人应按照招标文件规定的时间或采购代理机构另行书面通知（包括采购代理机构网站发布方式，如更正公告等）的时间和地点，参与标前会议。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10.2任何人或任何组织在标前会议时向投标人提供的任何书面资料或口头承诺，未经采购代理机构在网上发布或书面通知，均作无效处理。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10.3未参与标前会议不作为否定投标人资格的理由。</w:t>
      </w:r>
      <w:r>
        <w:rPr>
          <w:rFonts w:eastAsia="宋体" w:hint="eastAsia"/>
          <w:kern w:val="2"/>
          <w:lang w:eastAsia="zh-CN"/>
        </w:rPr>
        <w:br w:type="page"/>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3" w:name="_Toc696"/>
      <w:r>
        <w:rPr>
          <w:rFonts w:ascii="Arial" w:eastAsia="宋体" w:hAnsi="Arial" w:hint="eastAsia"/>
          <w:b/>
          <w:kern w:val="2"/>
          <w:sz w:val="32"/>
          <w:lang w:eastAsia="zh-CN"/>
        </w:rPr>
        <w:t>第二章</w:t>
      </w:r>
      <w:bookmarkStart w:id="34" w:name="_Toc25500"/>
      <w:bookmarkStart w:id="35" w:name="_Toc4237"/>
      <w:bookmarkStart w:id="36" w:name="_Toc16272"/>
      <w:r>
        <w:rPr>
          <w:rFonts w:ascii="Arial" w:eastAsia="宋体" w:hAnsi="Arial" w:hint="eastAsia"/>
          <w:b/>
          <w:kern w:val="2"/>
          <w:sz w:val="32"/>
          <w:lang w:eastAsia="zh-CN"/>
        </w:rPr>
        <w:t xml:space="preserve">  招标文件</w:t>
      </w:r>
      <w:bookmarkEnd w:id="33"/>
      <w:bookmarkEnd w:id="34"/>
      <w:bookmarkEnd w:id="35"/>
      <w:bookmarkEnd w:id="36"/>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w:t>
      </w:r>
      <w:bookmarkStart w:id="37" w:name="_Hlk72399819"/>
      <w:r>
        <w:rPr>
          <w:rFonts w:eastAsia="宋体" w:hint="eastAsia"/>
          <w:kern w:val="2"/>
          <w:sz w:val="21"/>
          <w:lang w:eastAsia="zh-CN"/>
        </w:rPr>
        <w:t>招标文件的编制与组成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.1招标文件除以下内容外，采购代理机构在招标期间发出的澄清或修改等相关公告或通知内容，均是招标文件的组成部分，对投标人起约束作用；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招标文件包括下列内容：</w:t>
      </w:r>
    </w:p>
    <w:p>
      <w:pPr>
        <w:widowControl w:val="0"/>
        <w:ind w:left="480" w:firstLine="412" w:leftChars="200" w:firstLineChars="196"/>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第一册  专用条款</w:t>
      </w:r>
    </w:p>
    <w:p>
      <w:pPr>
        <w:widowControl w:val="0"/>
        <w:ind w:left="1234" w:leftChars="514"/>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  招标公告</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  对通用条款的补充内容及其他关键信息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  用户需求书</w:t>
      </w:r>
    </w:p>
    <w:p>
      <w:pPr>
        <w:widowControl w:val="0"/>
        <w:ind w:left="720" w:firstLine="412" w:leftChars="300" w:firstLineChars="196"/>
        <w:jc w:val="both"/>
        <w:rPr>
          <w:rFonts w:ascii="宋体" w:eastAsia="宋体" w:hAnsi="宋体"/>
          <w:kern w:val="2"/>
          <w:sz w:val="21"/>
          <w:szCs w:val="21"/>
          <w:lang w:eastAsia="zh-CN"/>
        </w:rPr>
      </w:pPr>
      <w:r>
        <w:rPr>
          <w:rFonts w:ascii="Calibri" w:eastAsia="宋体" w:hAnsi="Calibri" w:cstheme="minorBidi" w:hint="eastAsia"/>
          <w:kern w:val="2"/>
          <w:sz w:val="21"/>
          <w:szCs w:val="22"/>
          <w:lang w:eastAsia="zh-CN"/>
        </w:rPr>
        <w:t xml:space="preserve">第四章 </w:t>
      </w:r>
      <w:r>
        <w:rPr>
          <w:rFonts w:ascii="Calibri" w:eastAsia="宋体" w:hAnsi="Calibri" w:cstheme="minorBidi"/>
          <w:kern w:val="2"/>
          <w:sz w:val="21"/>
          <w:szCs w:val="22"/>
          <w:lang w:eastAsia="zh-CN"/>
        </w:rPr>
        <w:t xml:space="preserve"> </w:t>
      </w:r>
      <w:r>
        <w:rPr>
          <w:rFonts w:ascii="Calibri" w:eastAsia="宋体" w:hAnsi="Calibri" w:cstheme="minorBidi" w:hint="eastAsia"/>
          <w:kern w:val="2"/>
          <w:sz w:val="21"/>
          <w:szCs w:val="22"/>
          <w:lang w:eastAsia="zh-CN"/>
        </w:rPr>
        <w:t>投标文件格式及附件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  合同条款及格式</w:t>
      </w:r>
    </w:p>
    <w:p>
      <w:pPr>
        <w:widowControl w:val="0"/>
        <w:ind w:left="480" w:firstLine="412" w:leftChars="200" w:firstLineChars="196"/>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第二册  通用条款</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  总则</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  招标文件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  投标文件的编制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第四章  投标文件的递交</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  开标</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第六章  评审要求</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第七章  评审程序及评审方法</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第八章  定标及公示</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第九章  公开采购失败的后续处理</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第十章  合同的授予与备案</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第十一章  质疑处理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2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1</w:t>
      </w:r>
      <w:r>
        <w:rPr>
          <w:rFonts w:eastAsia="宋体"/>
          <w:kern w:val="2"/>
          <w:sz w:val="21"/>
          <w:szCs w:val="21"/>
          <w:lang w:eastAsia="zh-CN"/>
        </w:rPr>
        <w:t>1</w:t>
      </w:r>
      <w:r>
        <w:rPr>
          <w:rFonts w:eastAsia="宋体" w:hint="eastAsia"/>
          <w:kern w:val="2"/>
          <w:sz w:val="21"/>
          <w:szCs w:val="21"/>
          <w:lang w:eastAsia="zh-CN"/>
        </w:rPr>
        <w:t>.3</w:t>
      </w:r>
      <w:r>
        <w:rPr>
          <w:rFonts w:eastAsia="宋体" w:hint="eastAsia"/>
          <w:kern w:val="2"/>
          <w:sz w:val="21"/>
          <w:lang w:eastAsia="zh-CN"/>
        </w:rPr>
        <w:t>任何人或任何组织向投标人提交的任何书面或口头资料，未经采购代理机构在网上发布或书面通知，均作无效处理，不得作为招标文件的组成部分。采购代理机构对投标人由此而做出的推论、理解和结论概不负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．招标文件的澄清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.1招标文件澄清的目的是澄清、解答投标人在查阅招标文件后或现场踏勘中可能提出的与投标有关的疑问或询问。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.2投标人如对招标文件内容有疑问，应当在招标公告规定的澄清（提问）截止时间前以网上提问的形式通过网上政府采购系统提交采购代理机构。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3不论是采购代理机构根据需要主动对招标文件进行必要的澄清或是根据投标人的要求对招标文件做出澄清，采购代理机构都将在投标截止日期前以书面形式（包括采购代理机构网站发布方式）答复或发送给所有投标人。答复内容是招标文件的组成部分，对投标人起约束作用，其有效性按照本通用条款第1</w:t>
      </w:r>
      <w:r>
        <w:rPr>
          <w:rFonts w:eastAsia="宋体"/>
          <w:kern w:val="2"/>
          <w:sz w:val="21"/>
          <w:lang w:eastAsia="zh-CN"/>
        </w:rPr>
        <w:t>3.3</w:t>
      </w:r>
      <w:r>
        <w:rPr>
          <w:rFonts w:eastAsia="宋体" w:hint="eastAsia"/>
          <w:kern w:val="2"/>
          <w:sz w:val="21"/>
          <w:lang w:eastAsia="zh-CN"/>
        </w:rPr>
        <w:t>、1</w:t>
      </w:r>
      <w:r>
        <w:rPr>
          <w:rFonts w:eastAsia="宋体"/>
          <w:kern w:val="2"/>
          <w:sz w:val="21"/>
          <w:lang w:eastAsia="zh-CN"/>
        </w:rPr>
        <w:t>3.4</w:t>
      </w:r>
      <w:r>
        <w:rPr>
          <w:rFonts w:eastAsia="宋体" w:hint="eastAsia"/>
          <w:kern w:val="2"/>
          <w:sz w:val="21"/>
          <w:lang w:eastAsia="zh-CN"/>
        </w:rPr>
        <w:t>款规定执行。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3．招标文件的修改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3.1招标文件发出后，在投标截止日期前任何时候，确需要变更招标文件内容的，采购代理机构可主动或在解答投标人提出的澄清问题时对招标文件进行修改。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3.2招标文件的修改以书面形式（包括采购代理机构网站发布方式，如更正公告等）发送给所有投标人，招标文件的修改内容作为招标文件的组成部分，并具有约束力。</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3.3招标文件、招标文件澄清答复内容、招标文件修改补充内容均以书面形式（包括采购代理机构网站公开发布方式，如更正公告等）明确的内容为准。当招标文件、修改补充通知、招标文件澄清答复内容相互矛盾时，以最后发出的内容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3.4采购代理机构保证招标文件澄清答复内容和招标文件修改补充内容在投标截止时间前以书面形式（包括采购代理机构网站发布方式，如更正公告等）发送给所有投标人。为使投标人在编制投标文件时有充分时间对招标文件的修改部分进行研究，采购代理机构可以酌情延长递交投标文件的截止日期。</w:t>
      </w:r>
      <w:bookmarkEnd w:id="37"/>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8" w:name="_Toc13741"/>
      <w:bookmarkStart w:id="39" w:name="_Toc18814"/>
      <w:bookmarkStart w:id="40" w:name="_Toc17279"/>
      <w:bookmarkStart w:id="41" w:name="_Toc31413"/>
      <w:r>
        <w:rPr>
          <w:rFonts w:ascii="Arial" w:eastAsia="宋体" w:hAnsi="Arial" w:hint="eastAsia"/>
          <w:b/>
          <w:kern w:val="2"/>
          <w:sz w:val="32"/>
          <w:lang w:eastAsia="zh-CN"/>
        </w:rPr>
        <w:t>第三章  投标文件的编制</w:t>
      </w:r>
      <w:bookmarkEnd w:id="38"/>
      <w:bookmarkEnd w:id="39"/>
      <w:bookmarkEnd w:id="40"/>
      <w:bookmarkEnd w:id="41"/>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w:t>
      </w:r>
      <w:bookmarkStart w:id="42" w:name="_Hlk72400236"/>
      <w:r>
        <w:rPr>
          <w:rFonts w:eastAsia="宋体" w:hint="eastAsia"/>
          <w:kern w:val="2"/>
          <w:sz w:val="21"/>
          <w:lang w:eastAsia="zh-CN"/>
        </w:rPr>
        <w:t>投标文件的语言及度量单位</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14.1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14.2除技术规范另有规定外，投标文件使用的度量单位，均采用中华人民共和国法定计量单位。</w:t>
      </w:r>
    </w:p>
    <w:bookmarkEnd w:id="42"/>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15．</w:t>
      </w:r>
      <w:bookmarkStart w:id="43" w:name="_Hlk72401567"/>
      <w:r>
        <w:rPr>
          <w:rFonts w:eastAsia="宋体" w:hint="eastAsia"/>
          <w:kern w:val="2"/>
          <w:sz w:val="21"/>
          <w:lang w:eastAsia="zh-CN"/>
        </w:rPr>
        <w:t>投标文件的组成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具体内容在招标文件专用条款中进行规定。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16．投标文件格式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投标文件包括本通用条款第</w:t>
      </w:r>
      <w:r>
        <w:rPr>
          <w:rFonts w:eastAsia="宋体"/>
          <w:kern w:val="2"/>
          <w:sz w:val="21"/>
          <w:lang w:eastAsia="zh-CN"/>
        </w:rPr>
        <w:t>15条中规定的内容。如招标文件提供了投标文件格式，则</w:t>
      </w:r>
      <w:r>
        <w:rPr>
          <w:rFonts w:eastAsia="宋体" w:hint="eastAsia"/>
          <w:b/>
          <w:bCs/>
          <w:kern w:val="2"/>
          <w:sz w:val="21"/>
          <w:lang w:eastAsia="zh-CN"/>
        </w:rPr>
        <w:t>投标人提交的投标文件应毫无例外地使用招标文件所提供的相应格式</w:t>
      </w:r>
      <w:r>
        <w:rPr>
          <w:rFonts w:eastAsia="宋体" w:hint="eastAsia"/>
          <w:kern w:val="2"/>
          <w:sz w:val="21"/>
          <w:lang w:eastAsia="zh-CN"/>
        </w:rPr>
        <w:t>（表格均可按同样格式扩展）。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17．投标货币</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本项目的投标报价应以人民币计。</w:t>
      </w:r>
    </w:p>
    <w:bookmarkEnd w:id="43"/>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bookmarkStart w:id="44" w:name="_Hlk72401735"/>
      <w:r>
        <w:rPr>
          <w:rFonts w:eastAsia="宋体" w:hint="eastAsia"/>
          <w:kern w:val="2"/>
          <w:sz w:val="21"/>
          <w:lang w:eastAsia="zh-CN"/>
        </w:rPr>
        <w:t>证明投标文件投标技术方案的合格性和符合招标文件规定的文件要求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r>
        <w:rPr>
          <w:rFonts w:eastAsia="宋体"/>
          <w:kern w:val="2"/>
          <w:sz w:val="21"/>
          <w:lang w:eastAsia="zh-CN"/>
        </w:rPr>
        <w:t>.1</w:t>
      </w:r>
      <w:r>
        <w:rPr>
          <w:rFonts w:eastAsia="宋体" w:hint="eastAsia"/>
          <w:kern w:val="2"/>
          <w:sz w:val="21"/>
          <w:lang w:eastAsia="zh-CN"/>
        </w:rPr>
        <w:t>投标人应提交证明文件，证明其投标技术方案项下的货物和服务的合格性符合招标文件规定。该投标技术方案及其证明文件均作为投标文件组成部分。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.2</w:t>
      </w:r>
      <w:r>
        <w:rPr>
          <w:rFonts w:eastAsia="宋体" w:hint="eastAsia"/>
          <w:kern w:val="2"/>
          <w:sz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18.2.1主要技术指标和性能的详细说明。</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2</w:t>
      </w:r>
      <w:r>
        <w:rPr>
          <w:rFonts w:eastAsia="宋体" w:hint="eastAsia"/>
          <w:kern w:val="2"/>
          <w:sz w:val="21"/>
          <w:lang w:eastAsia="zh-CN"/>
        </w:rPr>
        <w:t>投标产品从采购人开始使用至招标文件中规定的周期内正常、连续地使用所必须的备件和专用工具清单，包括备件和专用工具的货源及现行价格。</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3</w:t>
      </w:r>
      <w:r>
        <w:rPr>
          <w:rFonts w:eastAsia="宋体" w:hint="eastAsia"/>
          <w:kern w:val="2"/>
          <w:sz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要求能够使用电脑阅读、识别和判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18.3相关资料不符合18.2款要求的，评审委员会有权认定为投标技术方案不合格响应，其相关分数予以扣减或作投标无效处理。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满足要求，由评审委员会来评判。</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18.5除非另有规定或说明，投标人对同一项目投标时，不得同时提供两套或两套以上的投标方案。</w:t>
      </w:r>
    </w:p>
    <w:bookmarkEnd w:id="44"/>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w:t>
      </w:r>
      <w:bookmarkStart w:id="45" w:name="_Hlk72402034"/>
      <w:r>
        <w:rPr>
          <w:rFonts w:eastAsia="宋体" w:hint="eastAsia"/>
          <w:kern w:val="2"/>
          <w:sz w:val="21"/>
          <w:lang w:eastAsia="zh-CN"/>
        </w:rPr>
        <w:t>投标文件其他证明文件的要求</w:t>
      </w:r>
    </w:p>
    <w:p>
      <w:pPr>
        <w:widowControl/>
        <w:wordWrap w:val="0"/>
        <w:autoSpaceDE w:val="0"/>
        <w:autoSpaceDN w:val="0"/>
        <w:spacing w:line="400" w:lineRule="exact"/>
        <w:ind w:right="808" w:firstLine="420" w:firstLineChars="200"/>
        <w:jc w:val="both"/>
        <w:rPr>
          <w:rFonts w:eastAsia="宋体"/>
          <w:color w:val="FF0000"/>
          <w:kern w:val="2"/>
          <w:sz w:val="21"/>
          <w:lang w:eastAsia="zh-CN"/>
        </w:rPr>
      </w:pPr>
      <w:r>
        <w:rPr>
          <w:rFonts w:eastAsia="宋体" w:hint="eastAsia"/>
          <w:kern w:val="2"/>
          <w:sz w:val="21"/>
          <w:lang w:eastAsia="zh-CN"/>
        </w:rPr>
        <w:t>19.1</w:t>
      </w:r>
      <w:bookmarkStart w:id="46" w:name="_Hlk71407299"/>
      <w:r>
        <w:rPr>
          <w:rFonts w:eastAsia="宋体" w:hint="eastAsia"/>
          <w:kern w:val="2"/>
          <w:sz w:val="21"/>
          <w:lang w:eastAsia="zh-CN"/>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46"/>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20．投标有效期</w:t>
      </w:r>
    </w:p>
    <w:bookmarkEnd w:id="45"/>
    <w:p>
      <w:pPr>
        <w:widowControl/>
        <w:wordWrap w:val="0"/>
        <w:autoSpaceDE w:val="0"/>
        <w:autoSpaceDN w:val="0"/>
        <w:spacing w:line="400" w:lineRule="exact"/>
        <w:ind w:right="808" w:firstLine="420" w:firstLineChars="200"/>
        <w:jc w:val="both"/>
        <w:rPr>
          <w:rFonts w:eastAsia="宋体"/>
          <w:kern w:val="2"/>
          <w:sz w:val="21"/>
          <w:lang w:eastAsia="zh-CN"/>
        </w:rPr>
      </w:pPr>
      <w:bookmarkStart w:id="47" w:name="_Hlk72402214"/>
      <w:r>
        <w:rPr>
          <w:rFonts w:eastAsia="宋体" w:hint="eastAsia"/>
          <w:kern w:val="2"/>
          <w:sz w:val="21"/>
          <w:lang w:eastAsia="zh-CN"/>
        </w:rPr>
        <w:t>20.1投标有效期为</w:t>
      </w:r>
      <w:r>
        <w:rPr>
          <w:rFonts w:ascii="Arial" w:eastAsia="宋体" w:hAnsi="Arial" w:cs="Arial" w:hint="eastAsia"/>
          <w:kern w:val="2"/>
          <w:sz w:val="21"/>
          <w:lang w:eastAsia="zh-CN"/>
        </w:rPr>
        <w:t>从投标截止之日算起的日历天数。</w:t>
      </w:r>
      <w:r>
        <w:rPr>
          <w:rFonts w:eastAsia="宋体" w:hint="eastAsia"/>
          <w:kern w:val="2"/>
          <w:sz w:val="21"/>
          <w:lang w:eastAsia="zh-CN"/>
        </w:rPr>
        <w:t>在此期限内，所有投标文件均保持有效。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20.2在特殊情况下，采购代理机构在原定的投标有效期满之前，采购代理机构可以根据需要以书面形式（包括采购代理机构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w:t>
      </w:r>
      <w:r>
        <w:rPr>
          <w:rFonts w:eastAsia="宋体"/>
          <w:kern w:val="2"/>
          <w:sz w:val="21"/>
          <w:lang w:eastAsia="zh-CN"/>
        </w:rPr>
        <w:t>.3</w:t>
      </w:r>
      <w:r>
        <w:rPr>
          <w:rFonts w:eastAsia="宋体" w:hint="eastAsia"/>
          <w:kern w:val="2"/>
          <w:sz w:val="21"/>
          <w:lang w:eastAsia="zh-CN"/>
        </w:rPr>
        <w:t>中标供应商的投标文件有效期，截止于完成本招标文件规定的全部项目内容，并通过竣工验收及保修期结束。</w:t>
      </w:r>
    </w:p>
    <w:bookmarkEnd w:id="47"/>
    <w:p>
      <w:pPr>
        <w:widowControl/>
        <w:wordWrap w:val="0"/>
        <w:autoSpaceDE w:val="0"/>
        <w:autoSpaceDN w:val="0"/>
        <w:spacing w:line="400" w:lineRule="exact"/>
        <w:ind w:right="808" w:firstLine="420" w:firstLineChars="200"/>
        <w:jc w:val="both"/>
        <w:rPr>
          <w:rFonts w:eastAsia="宋体" w:hint="eastAsia"/>
          <w:kern w:val="2"/>
          <w:sz w:val="21"/>
          <w:lang w:eastAsia="zh-CN"/>
        </w:rPr>
      </w:pPr>
      <w:r>
        <w:rPr>
          <w:rFonts w:eastAsia="宋体" w:hint="eastAsia"/>
          <w:kern w:val="2"/>
          <w:sz w:val="21"/>
          <w:lang w:eastAsia="zh-CN"/>
        </w:rPr>
        <w:t>21．</w:t>
      </w:r>
      <w:bookmarkStart w:id="48" w:name="_Hlk72402325"/>
      <w:r>
        <w:rPr>
          <w:rFonts w:eastAsia="宋体" w:hint="eastAsia"/>
          <w:kern w:val="2"/>
          <w:sz w:val="21"/>
          <w:lang w:eastAsia="zh-CN"/>
        </w:rPr>
        <w:t>关于投标保证金</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21.1</w:t>
      </w:r>
      <w:r>
        <w:rPr>
          <w:rFonts w:eastAsia="宋体" w:hint="eastAsia"/>
          <w:kern w:val="2"/>
          <w:sz w:val="21"/>
          <w:lang w:eastAsia="zh-CN"/>
        </w:rPr>
        <w:t>根据《深圳市财政局关于调整政府采购投标（响应）保证金管理政策的通知》（深财购〔2021〕51号）文的规定，本项目不收取投标保证金。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22．投标人的替代方案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22.2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48"/>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w:t>
      </w:r>
      <w:bookmarkStart w:id="49" w:name="_Hlk72402860"/>
      <w:r>
        <w:rPr>
          <w:rFonts w:eastAsia="宋体"/>
          <w:kern w:val="2"/>
          <w:sz w:val="21"/>
          <w:lang w:eastAsia="zh-CN"/>
        </w:rPr>
        <w:t>投标文件的</w:t>
      </w:r>
      <w:r>
        <w:rPr>
          <w:rFonts w:eastAsia="宋体" w:hint="eastAsia"/>
          <w:kern w:val="2"/>
          <w:sz w:val="21"/>
          <w:lang w:eastAsia="zh-CN"/>
        </w:rPr>
        <w:t>制作</w:t>
      </w:r>
      <w:r>
        <w:rPr>
          <w:rFonts w:eastAsia="宋体"/>
          <w:kern w:val="2"/>
          <w:sz w:val="21"/>
          <w:lang w:eastAsia="zh-CN"/>
        </w:rPr>
        <w:t>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23.1投标人应准备所投项目的电子投标文件一份。</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23.2投标人在使用《投标书编制软件》编制投标书时须注意：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23.2.1导入《投标书编制软件》的招标文件项目编号、包号应与以此制作的投标文件项目编号、包号一致。例如，不能将甲项目A包的招标书导入《投标书编制软件》，制作乙项目B包的投标书。</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23.2.2不能用非本公司的电子密钥加密本公司的投标文件，或者用其它公司的登录用户上传本公司的投标文件。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23.2.3要求用《投标书编制软件》编制投标书的包，不能用其它方式编制投标书。编制投标文件时，电脑须连通互联网。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23.2.4投标文件不能带病毒。采购代理机构将用专业杀毒软件对投标文件进行病毒检测，如果这两种软件均报告发现病毒，则采购代理机构认为该投标文件带病毒。</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23.2.6投标人在编辑投标文件时，在投标文件目录中属于本节点内容的必须在本节点中填写，填写到其他节点或附件，一切后果由供应商自行承担。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23.2.7投标文件编写完成后，必须用属于投标人的电子密钥或电子营业执照进行加密，否则视同未盖公章，将导致投标文件无效。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23.2.8采购代理机构不接受投标截止时间后递交的纸质、电子、传真等所有形式的投标文件。由于对网上政府采购系统操作不熟悉或自身电脑、网络等原因导致不能在投标截止时间之前上传投标文件，采购代理机构概不负责。建议于开标前一个工作日完成投标文件的制作与上传，如上传确有困难，请及时咨询。</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23.2.9如果开标时出现网络故障、技术故障，影响了政府采购活动，采购代理机构有权采取措施如延期、接受无法从网上上传的投标书等，以保障政府采购活动的公开、公平和公正。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23.3电报、电话、传真形式的投标概不接受。</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23.4经投标人电子密钥或电子营业执照加密的投标文件无须盖章或签字，专用条款另有要求的除外。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b/>
          <w:kern w:val="2"/>
          <w:sz w:val="21"/>
          <w:lang w:eastAsia="zh-CN"/>
        </w:rPr>
        <w:t>23.5</w:t>
      </w:r>
      <w:r>
        <w:rPr>
          <w:rFonts w:eastAsia="宋体" w:hint="eastAsia"/>
          <w:kern w:val="2"/>
          <w:sz w:val="21"/>
          <w:lang w:eastAsia="zh-CN"/>
        </w:rPr>
        <w:t>各类资格（资质）文件提供扫描件，专用条款另有要求的除外。</w:t>
      </w:r>
      <w:bookmarkEnd w:id="49"/>
    </w:p>
    <w:p>
      <w:pPr>
        <w:widowControl/>
        <w:wordWrap w:val="0"/>
        <w:autoSpaceDE w:val="0"/>
        <w:autoSpaceDN w:val="0"/>
        <w:spacing w:line="360" w:lineRule="auto"/>
        <w:ind w:right="808" w:firstLine="480" w:firstLineChars="200"/>
        <w:jc w:val="both"/>
        <w:rPr>
          <w:rFonts w:eastAsia="宋体"/>
          <w:b/>
          <w:kern w:val="2"/>
          <w:lang w:eastAsia="zh-CN"/>
        </w:rPr>
      </w:pPr>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0" w:name="_Toc18062"/>
      <w:bookmarkStart w:id="51" w:name="_Toc21427"/>
      <w:bookmarkStart w:id="52" w:name="_Toc28552"/>
      <w:bookmarkStart w:id="53" w:name="_Toc26761"/>
      <w:r>
        <w:rPr>
          <w:rFonts w:ascii="Arial" w:eastAsia="宋体" w:hAnsi="Arial" w:hint="eastAsia"/>
          <w:b/>
          <w:kern w:val="2"/>
          <w:sz w:val="32"/>
          <w:lang w:eastAsia="zh-CN"/>
        </w:rPr>
        <w:t>第四章</w:t>
      </w:r>
      <w:bookmarkStart w:id="54" w:name="_Toc30105"/>
      <w:r>
        <w:rPr>
          <w:rFonts w:ascii="Arial" w:eastAsia="宋体" w:hAnsi="Arial" w:hint="eastAsia"/>
          <w:b/>
          <w:kern w:val="2"/>
          <w:sz w:val="32"/>
          <w:lang w:eastAsia="zh-CN"/>
        </w:rPr>
        <w:t xml:space="preserve">  投标文件的</w:t>
      </w:r>
      <w:bookmarkEnd w:id="50"/>
      <w:r>
        <w:rPr>
          <w:rFonts w:ascii="Arial" w:eastAsia="宋体" w:hAnsi="Arial" w:hint="eastAsia"/>
          <w:b/>
          <w:kern w:val="2"/>
          <w:sz w:val="32"/>
          <w:lang w:eastAsia="zh-CN"/>
        </w:rPr>
        <w:t>递交</w:t>
      </w:r>
      <w:bookmarkEnd w:id="51"/>
      <w:bookmarkEnd w:id="52"/>
      <w:bookmarkEnd w:id="53"/>
      <w:bookmarkEnd w:id="54"/>
    </w:p>
    <w:p>
      <w:pPr>
        <w:widowControl/>
        <w:wordWrap w:val="0"/>
        <w:autoSpaceDE w:val="0"/>
        <w:autoSpaceDN w:val="0"/>
        <w:spacing w:line="400" w:lineRule="exact"/>
        <w:ind w:right="808" w:firstLine="420" w:firstLineChars="200"/>
        <w:jc w:val="both"/>
        <w:rPr>
          <w:rFonts w:eastAsia="宋体"/>
          <w:kern w:val="2"/>
          <w:sz w:val="21"/>
          <w:lang w:eastAsia="zh-CN"/>
        </w:rPr>
      </w:pPr>
      <w:bookmarkStart w:id="55" w:name="_Hlk72405459"/>
      <w:r>
        <w:rPr>
          <w:rFonts w:eastAsia="宋体" w:hint="eastAsia"/>
          <w:kern w:val="2"/>
          <w:sz w:val="21"/>
          <w:lang w:eastAsia="zh-CN"/>
        </w:rPr>
        <w:t>24．投标文件的保密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w:t>
      </w:r>
      <w:r>
        <w:rPr>
          <w:rFonts w:eastAsia="宋体" w:hint="eastAsia"/>
          <w:kern w:val="2"/>
          <w:sz w:val="21"/>
          <w:highlight w:val="yellow"/>
          <w:lang w:eastAsia="zh-CN"/>
        </w:rPr>
        <w:t>(注意：加密的投标文件开标时须使用加密文件时使用的锁在项目规定时间内解密！)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24.2若采购项目出现延期情况：</w:t>
      </w:r>
    </w:p>
    <w:p>
      <w:pPr>
        <w:widowControl/>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如果供下载的招标文件有更新，投标人必须重新下载招标文件、重新制作投标文件、重新加密投标文件、重新上传投标文件。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25．上传投标文件及投标截止日期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1实行网上投标，</w:t>
      </w:r>
      <w:r>
        <w:rPr>
          <w:rFonts w:eastAsia="宋体"/>
          <w:kern w:val="2"/>
          <w:sz w:val="21"/>
          <w:lang w:eastAsia="zh-CN"/>
        </w:rPr>
        <w:t>投标人必须</w:t>
      </w:r>
      <w:r>
        <w:rPr>
          <w:rFonts w:eastAsia="宋体" w:hint="eastAsia"/>
          <w:kern w:val="2"/>
          <w:sz w:val="21"/>
          <w:lang w:eastAsia="zh-CN"/>
        </w:rPr>
        <w:t>在招标</w:t>
      </w:r>
      <w:r>
        <w:rPr>
          <w:rFonts w:eastAsia="宋体"/>
          <w:kern w:val="2"/>
          <w:sz w:val="21"/>
          <w:lang w:eastAsia="zh-CN"/>
        </w:rPr>
        <w:t>文件规定的投标截止时间前</w:t>
      </w:r>
      <w:r>
        <w:rPr>
          <w:rFonts w:eastAsia="宋体" w:hint="eastAsia"/>
          <w:kern w:val="2"/>
          <w:sz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ascii="宋体" w:eastAsia="宋体" w:hAnsi="宋体" w:cstheme="minorBidi" w:hint="eastAsia"/>
          <w:b/>
          <w:bCs/>
          <w:kern w:val="2"/>
          <w:sz w:val="21"/>
          <w:szCs w:val="21"/>
          <w:lang w:eastAsia="zh-CN"/>
        </w:rPr>
        <w:t>深圳公共资源交易中心（深圳交易集团有限公司政府采购业务分公司）</w:t>
      </w:r>
      <w:r>
        <w:rPr>
          <w:rFonts w:ascii="宋体" w:eastAsia="宋体" w:hAnsi="宋体" w:cstheme="minorBidi" w:hint="eastAsia"/>
          <w:b/>
          <w:bCs/>
          <w:kern w:val="2"/>
          <w:sz w:val="21"/>
          <w:szCs w:val="22"/>
          <w:lang w:eastAsia="zh-CN"/>
        </w:rPr>
        <w:t>（地址：深圳市南山区沙河西路3185号南山智谷A座（深圳交易集团总部大楼）3楼）</w:t>
      </w:r>
      <w:r>
        <w:rPr>
          <w:rFonts w:eastAsia="宋体" w:hint="eastAsia"/>
          <w:b/>
          <w:bCs/>
          <w:kern w:val="2"/>
          <w:sz w:val="21"/>
          <w:szCs w:val="21"/>
          <w:lang w:eastAsia="zh-CN"/>
        </w:rPr>
        <w:t>协助上传，但上传过程中投标截止时间到达仍无法上传成功的，由投标人自行负责。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25.2采购代理机构可以按本通用条款第13条规定，通过修改招标文件自行决定酌情延长投标截止期。在此情况下，采购代理机构、采购人和投标人受投标截止期制约的所有权利和义务均应延长至新的截止期。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3投标截止时间以后不得上传投标文件。</w:t>
      </w:r>
    </w:p>
    <w:bookmarkEnd w:id="55"/>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26.样品、现场演示、方案讲解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26.1样品、现场演示、方案讲解等事项在招标文件专用条款中进行规定。</w:t>
      </w:r>
    </w:p>
    <w:p>
      <w:pPr>
        <w:widowControl/>
        <w:wordWrap w:val="0"/>
        <w:autoSpaceDE w:val="0"/>
        <w:autoSpaceDN w:val="0"/>
        <w:spacing w:line="400" w:lineRule="exact"/>
        <w:ind w:right="808" w:firstLine="420" w:firstLineChars="200"/>
        <w:jc w:val="both"/>
        <w:rPr>
          <w:rFonts w:eastAsia="宋体"/>
          <w:kern w:val="2"/>
          <w:sz w:val="21"/>
          <w:lang w:eastAsia="zh-CN"/>
        </w:rPr>
      </w:pPr>
      <w:bookmarkStart w:id="56" w:name="_Hlk72428346"/>
      <w:r>
        <w:rPr>
          <w:rFonts w:eastAsia="宋体"/>
          <w:kern w:val="2"/>
          <w:sz w:val="21"/>
          <w:lang w:eastAsia="zh-CN"/>
        </w:rPr>
        <w:t>2</w:t>
      </w:r>
      <w:r>
        <w:rPr>
          <w:rFonts w:eastAsia="宋体" w:hint="eastAsia"/>
          <w:kern w:val="2"/>
          <w:sz w:val="21"/>
          <w:lang w:eastAsia="zh-CN"/>
        </w:rPr>
        <w:t>7．</w:t>
      </w:r>
      <w:r>
        <w:rPr>
          <w:rFonts w:eastAsia="宋体"/>
          <w:kern w:val="2"/>
          <w:sz w:val="21"/>
          <w:lang w:eastAsia="zh-CN"/>
        </w:rPr>
        <w:t>投标文件的修改和撤销</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1</w:t>
      </w:r>
      <w:r>
        <w:rPr>
          <w:rFonts w:eastAsia="宋体"/>
          <w:kern w:val="2"/>
          <w:sz w:val="21"/>
          <w:lang w:eastAsia="zh-CN"/>
        </w:rPr>
        <w:t>投标方在提交投标文件后可对其投标文件进行修改</w:t>
      </w:r>
      <w:r>
        <w:rPr>
          <w:rFonts w:eastAsia="宋体" w:hint="eastAsia"/>
          <w:kern w:val="2"/>
          <w:sz w:val="21"/>
          <w:lang w:eastAsia="zh-CN"/>
        </w:rPr>
        <w:t>并重新上传投标文件</w:t>
      </w:r>
      <w:r>
        <w:rPr>
          <w:rFonts w:eastAsia="宋体"/>
          <w:kern w:val="2"/>
          <w:sz w:val="21"/>
          <w:lang w:eastAsia="zh-CN"/>
        </w:rPr>
        <w:t>或</w:t>
      </w:r>
      <w:r>
        <w:rPr>
          <w:rFonts w:eastAsia="宋体" w:hint="eastAsia"/>
          <w:kern w:val="2"/>
          <w:sz w:val="21"/>
          <w:lang w:eastAsia="zh-CN"/>
        </w:rPr>
        <w:t>在网上进行</w:t>
      </w:r>
      <w:r>
        <w:rPr>
          <w:rFonts w:eastAsia="宋体"/>
          <w:kern w:val="2"/>
          <w:sz w:val="21"/>
          <w:lang w:eastAsia="zh-CN"/>
        </w:rPr>
        <w:t>撤销</w:t>
      </w:r>
      <w:r>
        <w:rPr>
          <w:rFonts w:eastAsia="宋体" w:hint="eastAsia"/>
          <w:kern w:val="2"/>
          <w:sz w:val="21"/>
          <w:lang w:eastAsia="zh-CN"/>
        </w:rPr>
        <w:t>投标的操作</w:t>
      </w:r>
      <w:r>
        <w:rPr>
          <w:rFonts w:eastAsia="宋体"/>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2</w:t>
      </w:r>
      <w:r>
        <w:rPr>
          <w:rFonts w:eastAsia="宋体"/>
          <w:kern w:val="2"/>
          <w:sz w:val="21"/>
          <w:lang w:eastAsia="zh-CN"/>
        </w:rPr>
        <w:t>投标截止时间以后不得修改投标文件。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3从投标截止期至投标人在投标文件中确定的投标有效期之间的这段时间内，投标人不得撤回其投标。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27.4采购代理机构不退还投标文件，专用条款另有规定的除外。</w:t>
      </w:r>
    </w:p>
    <w:bookmarkEnd w:id="56"/>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7" w:name="第五章1"/>
      <w:bookmarkEnd w:id="57"/>
      <w:bookmarkStart w:id="58" w:name="_Toc100052391"/>
      <w:bookmarkStart w:id="59" w:name="_Toc73518144"/>
      <w:bookmarkStart w:id="60" w:name="_Toc101074881"/>
      <w:bookmarkStart w:id="61" w:name="_Toc13806"/>
      <w:bookmarkStart w:id="62" w:name="_Toc1658"/>
      <w:bookmarkStart w:id="63" w:name="_Toc73517666"/>
      <w:bookmarkStart w:id="64" w:name="_Toc14713"/>
      <w:bookmarkStart w:id="65" w:name="_Toc2041"/>
      <w:r>
        <w:rPr>
          <w:rFonts w:ascii="Arial" w:eastAsia="宋体" w:hAnsi="Arial" w:hint="eastAsia"/>
          <w:b/>
          <w:kern w:val="2"/>
          <w:sz w:val="32"/>
          <w:lang w:eastAsia="zh-CN"/>
        </w:rPr>
        <w:t>第五章</w:t>
      </w:r>
      <w:bookmarkStart w:id="66" w:name="_Toc4434"/>
      <w:r>
        <w:rPr>
          <w:rFonts w:ascii="Arial" w:eastAsia="宋体" w:hAnsi="Arial" w:hint="eastAsia"/>
          <w:b/>
          <w:kern w:val="2"/>
          <w:sz w:val="32"/>
          <w:lang w:eastAsia="zh-CN"/>
        </w:rPr>
        <w:t xml:space="preserve">  开标</w:t>
      </w:r>
      <w:bookmarkEnd w:id="58"/>
      <w:bookmarkEnd w:id="59"/>
      <w:bookmarkEnd w:id="60"/>
      <w:bookmarkEnd w:id="61"/>
      <w:bookmarkEnd w:id="62"/>
      <w:bookmarkEnd w:id="63"/>
      <w:bookmarkEnd w:id="64"/>
      <w:bookmarkEnd w:id="65"/>
      <w:bookmarkEnd w:id="66"/>
    </w:p>
    <w:p>
      <w:pPr>
        <w:widowControl/>
        <w:wordWrap w:val="0"/>
        <w:autoSpaceDE w:val="0"/>
        <w:autoSpaceDN w:val="0"/>
        <w:spacing w:line="400" w:lineRule="exact"/>
        <w:ind w:right="808" w:firstLine="420" w:firstLineChars="200"/>
        <w:jc w:val="both"/>
        <w:rPr>
          <w:rFonts w:eastAsia="宋体"/>
          <w:kern w:val="2"/>
          <w:sz w:val="21"/>
          <w:lang w:eastAsia="zh-CN"/>
        </w:rPr>
      </w:pPr>
      <w:bookmarkStart w:id="67" w:name="_Toc73518146"/>
      <w:bookmarkStart w:id="68" w:name="_Toc73517668"/>
      <w:bookmarkStart w:id="69" w:name="_Toc101074882"/>
      <w:bookmarkStart w:id="70" w:name="_Toc100052393"/>
      <w:r>
        <w:rPr>
          <w:rFonts w:eastAsia="宋体" w:hint="eastAsia"/>
          <w:kern w:val="2"/>
          <w:sz w:val="21"/>
          <w:lang w:eastAsia="zh-CN"/>
        </w:rPr>
        <w:t>28．开标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28.2采购代理机构将在满足开标条件（①解密时间结束，解密后的投标供应商数量满足开标要求或②解密时间结束前所有投标供应商均完成投标文件解密）后，对投标文件进行开标，并在网上公布开标结果。</w:t>
      </w:r>
    </w:p>
    <w:p>
      <w:pPr>
        <w:widowControl/>
        <w:wordWrap w:val="0"/>
        <w:autoSpaceDE w:val="0"/>
        <w:autoSpaceDN w:val="0"/>
        <w:spacing w:line="360" w:lineRule="auto"/>
        <w:ind w:right="808" w:firstLine="480" w:firstLineChars="200"/>
        <w:jc w:val="both"/>
        <w:rPr>
          <w:rFonts w:eastAsia="宋体"/>
          <w:b/>
          <w:kern w:val="2"/>
          <w:lang w:eastAsia="zh-CN"/>
        </w:rPr>
      </w:pPr>
    </w:p>
    <w:bookmarkEnd w:id="67"/>
    <w:bookmarkEnd w:id="68"/>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71" w:name="第六章1"/>
      <w:bookmarkEnd w:id="71"/>
      <w:bookmarkStart w:id="72" w:name="_Toc7319"/>
      <w:bookmarkStart w:id="73" w:name="_Toc27869"/>
      <w:bookmarkStart w:id="74" w:name="_Toc20179"/>
      <w:bookmarkStart w:id="75" w:name="_Toc29197"/>
      <w:r>
        <w:rPr>
          <w:rFonts w:ascii="Arial" w:eastAsia="宋体" w:hAnsi="Arial" w:hint="eastAsia"/>
          <w:b/>
          <w:kern w:val="2"/>
          <w:sz w:val="32"/>
          <w:lang w:eastAsia="zh-CN"/>
        </w:rPr>
        <w:t>第六章</w:t>
      </w:r>
      <w:bookmarkStart w:id="76" w:name="_Toc29225"/>
      <w:r>
        <w:rPr>
          <w:rFonts w:ascii="Arial" w:eastAsia="宋体" w:hAnsi="Arial" w:hint="eastAsia"/>
          <w:b/>
          <w:kern w:val="2"/>
          <w:sz w:val="32"/>
          <w:lang w:eastAsia="zh-CN"/>
        </w:rPr>
        <w:t xml:space="preserve">  评审要求</w:t>
      </w:r>
      <w:bookmarkEnd w:id="69"/>
      <w:bookmarkEnd w:id="70"/>
      <w:bookmarkEnd w:id="72"/>
      <w:bookmarkEnd w:id="73"/>
      <w:bookmarkEnd w:id="74"/>
      <w:bookmarkEnd w:id="75"/>
      <w:bookmarkEnd w:id="76"/>
    </w:p>
    <w:p>
      <w:pPr>
        <w:widowControl/>
        <w:wordWrap w:val="0"/>
        <w:autoSpaceDE w:val="0"/>
        <w:autoSpaceDN w:val="0"/>
        <w:spacing w:line="400" w:lineRule="exact"/>
        <w:ind w:right="808" w:firstLine="420" w:firstLineChars="200"/>
        <w:jc w:val="both"/>
        <w:rPr>
          <w:rFonts w:eastAsia="宋体"/>
          <w:kern w:val="2"/>
          <w:sz w:val="21"/>
          <w:lang w:eastAsia="zh-CN"/>
        </w:rPr>
      </w:pPr>
      <w:bookmarkStart w:id="77" w:name="第七章1"/>
      <w:bookmarkEnd w:id="77"/>
      <w:bookmarkStart w:id="78" w:name="_Toc101074883"/>
      <w:bookmarkStart w:id="79" w:name="_Toc20125"/>
      <w:bookmarkStart w:id="80" w:name="_Toc19125"/>
      <w:bookmarkStart w:id="81" w:name="_Toc100052397"/>
      <w:bookmarkStart w:id="82" w:name="_Toc1296"/>
      <w:r>
        <w:rPr>
          <w:rFonts w:eastAsia="宋体" w:hint="eastAsia"/>
          <w:kern w:val="2"/>
          <w:sz w:val="21"/>
          <w:lang w:eastAsia="zh-CN"/>
        </w:rPr>
        <w:t>29．评审委员会组成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29.1网上开标结束后召开评审会议，</w:t>
      </w:r>
      <w:r>
        <w:rPr>
          <w:rFonts w:eastAsia="宋体" w:hint="eastAsia"/>
          <w:kern w:val="2"/>
          <w:sz w:val="21"/>
          <w:szCs w:val="21"/>
          <w:lang w:eastAsia="zh-CN"/>
        </w:rPr>
        <w:t>评审委员会</w:t>
      </w:r>
      <w:r>
        <w:rPr>
          <w:rFonts w:eastAsia="宋体" w:hint="eastAsia"/>
          <w:kern w:val="2"/>
          <w:sz w:val="21"/>
          <w:lang w:eastAsia="zh-CN"/>
        </w:rPr>
        <w:t>由采购代理机构依法组建，负责评审活动。</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3" w:name="_Hlk72436580"/>
      <w:r>
        <w:rPr>
          <w:rFonts w:eastAsia="宋体" w:hint="eastAsia"/>
          <w:kern w:val="2"/>
          <w:sz w:val="21"/>
          <w:lang w:eastAsia="zh-CN"/>
        </w:rPr>
        <w:t>评审委员会由采购人代表和评审专家组成，成员人数应当为5人以上单数（部分条件下为7人以上单数），其中评审专家不得少于成员总数的三分之二。</w:t>
      </w:r>
      <w:bookmarkEnd w:id="83"/>
      <w:r>
        <w:rPr>
          <w:rFonts w:eastAsia="宋体" w:hint="eastAsia"/>
          <w:kern w:val="2"/>
          <w:sz w:val="21"/>
          <w:lang w:eastAsia="zh-CN"/>
        </w:rPr>
        <w:t>评定分离项目</w:t>
      </w:r>
      <w:r>
        <w:rPr>
          <w:rFonts w:eastAsia="宋体"/>
          <w:kern w:val="2"/>
          <w:sz w:val="21"/>
          <w:lang w:eastAsia="zh-CN"/>
        </w:rPr>
        <w:t>评审专家</w:t>
      </w:r>
      <w:r>
        <w:rPr>
          <w:rFonts w:eastAsia="宋体" w:hint="eastAsia"/>
          <w:kern w:val="2"/>
          <w:sz w:val="21"/>
          <w:lang w:eastAsia="zh-CN"/>
        </w:rPr>
        <w:t>均</w:t>
      </w:r>
      <w:r>
        <w:rPr>
          <w:rFonts w:eastAsia="宋体"/>
          <w:kern w:val="2"/>
          <w:sz w:val="21"/>
          <w:lang w:eastAsia="zh-CN"/>
        </w:rPr>
        <w:t>由</w:t>
      </w:r>
      <w:r>
        <w:rPr>
          <w:rFonts w:eastAsia="宋体" w:hint="eastAsia"/>
          <w:kern w:val="2"/>
          <w:sz w:val="21"/>
          <w:lang w:eastAsia="zh-CN"/>
        </w:rPr>
        <w:t>评审专家组成。</w:t>
      </w:r>
      <w:r>
        <w:rPr>
          <w:rFonts w:eastAsia="宋体" w:hint="eastAsia"/>
          <w:kern w:val="2"/>
          <w:sz w:val="21"/>
          <w:szCs w:val="21"/>
          <w:lang w:eastAsia="zh-CN"/>
        </w:rPr>
        <w:t>评审专家一般是</w:t>
      </w:r>
      <w:r>
        <w:rPr>
          <w:rFonts w:eastAsia="宋体" w:hint="eastAsia"/>
          <w:kern w:val="2"/>
          <w:sz w:val="21"/>
          <w:lang w:eastAsia="zh-CN"/>
        </w:rPr>
        <w:t>从深圳市政府采购评审专家库中随机抽取。采购人代表须持本单位签发的《评审授权书》参加评审。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29.2评审定标应当遵循公平、公正、科学、择优的原则。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29.3评审活动依法进行，任何单位和个人不得非法干预评标过程和结果。</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29.4评审过程中不允许违背评标程序或采用招标文件未载明的评标方法或评标因素进行评标。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29.5开标后，直到签订合同为止，凡属于对投标文件的审查、澄清、评价和比较的有关资料以及中标候选人的推荐情况、与评审有关的其他任何情况均严格保密（信息公开的内容除外）。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30．向评审委员会提供的资料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30.1公开发布的招标文件，包括图纸、服务清单、答疑文件等；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30.2其他评标必须的资料。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30.3</w:t>
      </w:r>
      <w:r>
        <w:rPr>
          <w:rFonts w:eastAsia="宋体" w:hint="eastAsia"/>
          <w:kern w:val="2"/>
          <w:sz w:val="21"/>
          <w:szCs w:val="21"/>
          <w:lang w:eastAsia="zh-CN"/>
        </w:rPr>
        <w:t>评审委员会</w:t>
      </w:r>
      <w:r>
        <w:rPr>
          <w:rFonts w:eastAsia="宋体" w:hint="eastAsia"/>
          <w:kern w:val="2"/>
          <w:sz w:val="21"/>
          <w:lang w:eastAsia="zh-CN"/>
        </w:rPr>
        <w:t>应当认真研究招标文件，至少应了解熟悉以下内容：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（1）招标的目的；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（2）招标项目需求的范围和性质；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（3）招标文件规定的投标人的资格、财政预算限额、商务条款；</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（4）招标文件规定的评标程序、评标方法和评标因素；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（5）招标文件所列示的资格性审查表及符合性审查表。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31．独立评审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w:t>
      </w:r>
      <w:r>
        <w:rPr>
          <w:rFonts w:eastAsia="宋体"/>
          <w:kern w:val="2"/>
          <w:sz w:val="21"/>
          <w:lang w:eastAsia="zh-CN"/>
        </w:rPr>
        <w:t>1</w:t>
      </w:r>
      <w:r>
        <w:rPr>
          <w:rFonts w:eastAsia="宋体" w:hint="eastAsia"/>
          <w:kern w:val="2"/>
          <w:sz w:val="21"/>
          <w:lang w:eastAsia="zh-CN"/>
        </w:rPr>
        <w:t>.1</w:t>
      </w:r>
      <w:r>
        <w:rPr>
          <w:rFonts w:eastAsia="宋体" w:hint="eastAsia"/>
          <w:kern w:val="2"/>
          <w:sz w:val="21"/>
          <w:szCs w:val="21"/>
          <w:lang w:eastAsia="zh-CN"/>
        </w:rPr>
        <w:t>评审委员会</w:t>
      </w:r>
      <w:r>
        <w:rPr>
          <w:rFonts w:eastAsia="宋体" w:hint="eastAsia"/>
          <w:kern w:val="2"/>
          <w:sz w:val="21"/>
          <w:lang w:eastAsia="zh-CN"/>
        </w:rPr>
        <w:t>成员的评标活动应当独立进行，并应遵循投标文件初审、澄清有关问题、比较与评价、确定中标供应商、编写评审报告的工作程序。</w:t>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84" w:name="_Toc18761"/>
      <w:r>
        <w:rPr>
          <w:rFonts w:ascii="Arial" w:eastAsia="宋体" w:hAnsi="Arial" w:hint="eastAsia"/>
          <w:b/>
          <w:kern w:val="2"/>
          <w:sz w:val="32"/>
          <w:lang w:eastAsia="zh-CN"/>
        </w:rPr>
        <w:t>第七章</w:t>
      </w:r>
      <w:bookmarkStart w:id="85" w:name="_Toc26636"/>
      <w:r>
        <w:rPr>
          <w:rFonts w:ascii="Arial" w:eastAsia="宋体" w:hAnsi="Arial" w:hint="eastAsia"/>
          <w:b/>
          <w:kern w:val="2"/>
          <w:sz w:val="32"/>
          <w:lang w:eastAsia="zh-CN"/>
        </w:rPr>
        <w:t xml:space="preserve">  评审程序</w:t>
      </w:r>
      <w:bookmarkStart w:id="86" w:name="_Toc73518149"/>
      <w:bookmarkStart w:id="87" w:name="_Toc73517671"/>
      <w:r>
        <w:rPr>
          <w:rFonts w:ascii="Arial" w:eastAsia="宋体" w:hAnsi="Arial" w:hint="eastAsia"/>
          <w:b/>
          <w:kern w:val="2"/>
          <w:sz w:val="32"/>
          <w:lang w:eastAsia="zh-CN"/>
        </w:rPr>
        <w:t>及评审方法</w:t>
      </w:r>
      <w:bookmarkEnd w:id="78"/>
      <w:bookmarkEnd w:id="79"/>
      <w:bookmarkEnd w:id="80"/>
      <w:bookmarkEnd w:id="81"/>
      <w:bookmarkEnd w:id="82"/>
      <w:bookmarkEnd w:id="84"/>
      <w:bookmarkEnd w:id="85"/>
    </w:p>
    <w:bookmarkEnd w:id="86"/>
    <w:bookmarkEnd w:id="87"/>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32．投标文件初审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32.1投标文件初审包括资格性审查和符合性审查。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资格性审查：依据法律法规和招标文件的规定，对投标文件中的资格证明等进行审查，以确定投标供应商是否具备投标资格。</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符合性审查：依据招标文件的规定，对投标文件的有效性、完整性和对招标文件的响应程度进行审查，以确定是否满足符合性审查的要求。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32.2投标文件初审内容请详见《资格性审查表》和《符合性审查表》部分。投标人若有一条审查不通过则按投标无效处理。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32.3投标文件初审中关于供应商家数的计算：</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eastAsia="宋体" w:hint="eastAsia"/>
          <w:kern w:val="2"/>
          <w:sz w:val="21"/>
          <w:szCs w:val="21"/>
          <w:lang w:eastAsia="zh-CN"/>
        </w:rPr>
        <w:t>评审委员会</w:t>
      </w:r>
      <w:r>
        <w:rPr>
          <w:rFonts w:eastAsia="宋体" w:hint="eastAsia"/>
          <w:kern w:val="2"/>
          <w:sz w:val="21"/>
          <w:lang w:eastAsia="zh-CN"/>
        </w:rPr>
        <w:t>按照招标文件规定的方式确定一个投标人获得中标人推荐资格，招标文件未规定的采取随机抽取方式确定，其他同品牌投标人不作为中标候选人。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32.3.3非单一产品采购项目，采购人应当根据采购项目技术构成、产品价格比重等合理确定核心产品，并在招标文件中载明。多家投标人提供的核心产品品牌相同的，按前两款规定处理。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32.4投标人投标文件作无效处理的情形，具体包括但不限于以下：</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hint="eastAsia"/>
          <w:kern w:val="2"/>
          <w:sz w:val="21"/>
          <w:lang w:eastAsia="zh-CN"/>
        </w:rPr>
        <w:t>32.4.1</w:t>
      </w:r>
      <w:r>
        <w:rPr>
          <w:rFonts w:eastAsia="宋体" w:hint="eastAsia"/>
          <w:kern w:val="2"/>
          <w:sz w:val="21"/>
          <w:lang w:eastAsia="zh-CN"/>
        </w:rPr>
        <w:t>不同投标人的投标文件由同一单位或者同一个人编制，或者由同一个人分阶段参与编制；</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lang w:eastAsia="zh-CN"/>
        </w:rPr>
        <w:t>32.4.</w:t>
      </w:r>
      <w:r>
        <w:rPr>
          <w:rFonts w:ascii="宋体" w:eastAsia="宋体" w:hAnsi="宋体" w:hint="eastAsia"/>
          <w:kern w:val="2"/>
          <w:sz w:val="21"/>
          <w:lang w:eastAsia="zh-CN"/>
        </w:rPr>
        <w:t>2</w:t>
      </w:r>
      <w:r>
        <w:rPr>
          <w:rFonts w:eastAsia="宋体" w:hint="eastAsia"/>
          <w:kern w:val="2"/>
          <w:sz w:val="21"/>
          <w:lang w:eastAsia="zh-CN"/>
        </w:rPr>
        <w:t>不同投标人委托同一单位或者个人办理投标事宜；</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32.4.3不同投标人的投标文件载明的项目管理成员或者联系人员为同一人；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32.4.4不同投标人的投标文件异常一致或者投标报价呈规律性差异；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32.4.5</w:t>
      </w:r>
      <w:r>
        <w:rPr>
          <w:rFonts w:eastAsia="宋体"/>
          <w:kern w:val="2"/>
          <w:sz w:val="21"/>
          <w:lang w:eastAsia="zh-CN"/>
        </w:rPr>
        <w:t>不同投标供应商的投标文件或部分投标文件相互混装</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32.4.6投标供应商之间相互约定给予未中标的供应商利益补偿；</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32.4.7不同投标供应商的法定代表人、主要经营负责人、项目投标授权代表人、项目负责人、主要技术人员为同一人、属同一单位或者同一单位缴纳社会保险；</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32.4.8不同投标供应商的投标文件内容存在非正常一致；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32.4.9在同一单位工作人员为两家以上（含两家）供应商进行同一项投标活动；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32.4.10主管部门依照法律、法规认定的其他情形。</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32.5对不属于《资格性审查表》和《符合性审查表》所列的其他情形，除专用条款另有规定和32.4条款所列情形外，不得作为投标无效的理由。</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33．澄清有关问题</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8" w:name="_Hlk71407321"/>
      <w:r>
        <w:rPr>
          <w:rFonts w:eastAsia="宋体" w:hint="eastAsia"/>
          <w:kern w:val="2"/>
          <w:sz w:val="21"/>
          <w:lang w:eastAsia="zh-CN"/>
        </w:rPr>
        <w:t>3</w:t>
      </w:r>
      <w:r>
        <w:rPr>
          <w:rFonts w:eastAsia="宋体"/>
          <w:kern w:val="2"/>
          <w:sz w:val="21"/>
          <w:lang w:eastAsia="zh-CN"/>
        </w:rPr>
        <w:t>3.1</w:t>
      </w:r>
      <w:r>
        <w:rPr>
          <w:rFonts w:eastAsia="宋体" w:hint="eastAsia"/>
          <w:kern w:val="2"/>
          <w:sz w:val="21"/>
          <w:lang w:eastAsia="zh-CN"/>
        </w:rPr>
        <w:t>对招标文件中描述有歧义或前后不一致的地方（不含</w:t>
      </w:r>
      <w:r>
        <w:rPr>
          <w:rFonts w:eastAsia="宋体"/>
          <w:kern w:val="2"/>
          <w:sz w:val="21"/>
          <w:szCs w:val="21"/>
          <w:lang w:eastAsia="zh-CN"/>
        </w:rPr>
        <w:t>招标文件存在歧义、重大缺陷导致评</w:t>
      </w:r>
      <w:r>
        <w:rPr>
          <w:rFonts w:eastAsia="宋体" w:hint="eastAsia"/>
          <w:kern w:val="2"/>
          <w:sz w:val="21"/>
          <w:szCs w:val="21"/>
          <w:lang w:eastAsia="zh-CN"/>
        </w:rPr>
        <w:t>审</w:t>
      </w:r>
      <w:r>
        <w:rPr>
          <w:rFonts w:eastAsia="宋体"/>
          <w:kern w:val="2"/>
          <w:sz w:val="21"/>
          <w:szCs w:val="21"/>
          <w:lang w:eastAsia="zh-CN"/>
        </w:rPr>
        <w:t>工作无法进行</w:t>
      </w:r>
      <w:r>
        <w:rPr>
          <w:rFonts w:eastAsia="宋体" w:hint="eastAsia"/>
          <w:kern w:val="2"/>
          <w:sz w:val="21"/>
          <w:szCs w:val="21"/>
          <w:lang w:eastAsia="zh-CN"/>
        </w:rPr>
        <w:t>的情况）</w:t>
      </w:r>
      <w:r>
        <w:rPr>
          <w:rFonts w:eastAsia="宋体" w:hint="eastAsia"/>
          <w:kern w:val="2"/>
          <w:sz w:val="21"/>
          <w:lang w:eastAsia="zh-CN"/>
        </w:rPr>
        <w:t>，评审委员会有权进行评判，但对同一条款的评判应适用于每个投标人。</w:t>
      </w:r>
      <w:bookmarkEnd w:id="88"/>
    </w:p>
    <w:p>
      <w:pPr>
        <w:widowControl/>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3.2</w:t>
      </w:r>
      <w:r>
        <w:rPr>
          <w:rFonts w:eastAsia="宋体"/>
          <w:kern w:val="2"/>
          <w:sz w:val="21"/>
          <w:lang w:eastAsia="zh-CN"/>
        </w:rPr>
        <w:t>评</w:t>
      </w:r>
      <w:r>
        <w:rPr>
          <w:rFonts w:eastAsia="宋体" w:hint="eastAsia"/>
          <w:kern w:val="2"/>
          <w:sz w:val="21"/>
          <w:lang w:eastAsia="zh-CN"/>
        </w:rPr>
        <w:t>审</w:t>
      </w:r>
      <w:r>
        <w:rPr>
          <w:rFonts w:eastAsia="宋体"/>
          <w:kern w:val="2"/>
          <w:sz w:val="21"/>
          <w:lang w:eastAsia="zh-CN"/>
        </w:rPr>
        <w:t>委员会发现招标文件存在歧义、重大缺陷导致评</w:t>
      </w:r>
      <w:r>
        <w:rPr>
          <w:rFonts w:eastAsia="宋体" w:hint="eastAsia"/>
          <w:kern w:val="2"/>
          <w:sz w:val="21"/>
          <w:lang w:eastAsia="zh-CN"/>
        </w:rPr>
        <w:t>审</w:t>
      </w:r>
      <w:r>
        <w:rPr>
          <w:rFonts w:eastAsia="宋体"/>
          <w:kern w:val="2"/>
          <w:sz w:val="21"/>
          <w:lang w:eastAsia="zh-CN"/>
        </w:rPr>
        <w:t>工作无法进行，或者招标文件内容违反国家有关强制性规定的，应当停止评</w:t>
      </w:r>
      <w:r>
        <w:rPr>
          <w:rFonts w:eastAsia="宋体" w:hint="eastAsia"/>
          <w:kern w:val="2"/>
          <w:sz w:val="21"/>
          <w:lang w:eastAsia="zh-CN"/>
        </w:rPr>
        <w:t>审</w:t>
      </w:r>
      <w:r>
        <w:rPr>
          <w:rFonts w:eastAsia="宋体"/>
          <w:kern w:val="2"/>
          <w:sz w:val="21"/>
          <w:lang w:eastAsia="zh-CN"/>
        </w:rPr>
        <w:t>工作，与</w:t>
      </w:r>
      <w:r>
        <w:rPr>
          <w:rFonts w:eastAsia="宋体" w:hint="eastAsia"/>
          <w:kern w:val="2"/>
          <w:sz w:val="21"/>
          <w:lang w:eastAsia="zh-CN"/>
        </w:rPr>
        <w:t>采购代理机构</w:t>
      </w:r>
      <w:r>
        <w:rPr>
          <w:rFonts w:eastAsia="宋体"/>
          <w:kern w:val="2"/>
          <w:sz w:val="21"/>
          <w:lang w:eastAsia="zh-CN"/>
        </w:rPr>
        <w:t>沟通并作书面记录。</w:t>
      </w:r>
      <w:r>
        <w:rPr>
          <w:rFonts w:eastAsia="宋体" w:hint="eastAsia"/>
          <w:kern w:val="2"/>
          <w:sz w:val="21"/>
          <w:lang w:eastAsia="zh-CN"/>
        </w:rPr>
        <w:t>经</w:t>
      </w:r>
      <w:r>
        <w:rPr>
          <w:rFonts w:eastAsia="宋体"/>
          <w:kern w:val="2"/>
          <w:sz w:val="21"/>
          <w:lang w:eastAsia="zh-CN"/>
        </w:rPr>
        <w:t>确认后，</w:t>
      </w:r>
      <w:r>
        <w:rPr>
          <w:rFonts w:eastAsia="宋体" w:hint="eastAsia"/>
          <w:kern w:val="2"/>
          <w:sz w:val="21"/>
          <w:lang w:eastAsia="zh-CN"/>
        </w:rPr>
        <w:t>项目</w:t>
      </w:r>
      <w:r>
        <w:rPr>
          <w:rFonts w:eastAsia="宋体"/>
          <w:kern w:val="2"/>
          <w:sz w:val="21"/>
          <w:lang w:eastAsia="zh-CN"/>
        </w:rPr>
        <w:t>应当修改招标文件，重新组织采购活动。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33.3</w:t>
      </w:r>
      <w:r>
        <w:rPr>
          <w:rFonts w:eastAsia="宋体" w:hint="eastAsia"/>
          <w:kern w:val="2"/>
          <w:sz w:val="21"/>
          <w:lang w:eastAsia="zh-CN"/>
        </w:rPr>
        <w:t>对于投标文件中含义不明确、同类问题表述不一致或者有明显文字和计算错误的内容，评审委员会应当以书面形式要求投标人作出必要的澄清、说明或者补正。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根据本通用条款第34条，凡属于评审委员会在评审中发现的算术错误进行核实的修改不在此列。</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9" w:name="_Toc100052400"/>
      <w:bookmarkStart w:id="90" w:name="_Toc73517673"/>
      <w:bookmarkStart w:id="91" w:name="_Toc73518151"/>
      <w:bookmarkStart w:id="92" w:name="_Toc73521581"/>
      <w:bookmarkStart w:id="93" w:name="_Toc73521669"/>
      <w:r>
        <w:rPr>
          <w:rFonts w:eastAsia="宋体" w:hint="eastAsia"/>
          <w:kern w:val="2"/>
          <w:sz w:val="21"/>
          <w:lang w:eastAsia="zh-CN"/>
        </w:rPr>
        <w:t>34．错误的修正</w:t>
      </w:r>
      <w:bookmarkEnd w:id="89"/>
      <w:bookmarkEnd w:id="90"/>
      <w:bookmarkEnd w:id="91"/>
      <w:bookmarkEnd w:id="92"/>
      <w:bookmarkEnd w:id="93"/>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投标文件报价出现前后不一致的，除专用条款另有规定外，按照下列规定修正：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34.1投标文件中开标一览表投标报价内容与投标文件中投标报价相应内容不一致的，以开标一览表为准；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34.2大写金额和小写金额不一致的，以大写金额为准；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34.3单价金额小数点或者百分比有明显错位，以开标一览表的总价为准，并修改单价；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34.4总价金额与按单价汇总金额不一致的，以单价金额计算结果为准。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34.5同时出现两种以上不一致的，按照前款规定的顺序修正。修正后的报价按照本通用条款33条的规定，经投标人确认后产生约束力，投标人不确认的，其投标无效。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35．投标文件的比较与评价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评审委员会成员对需要共同认定的事项存在争议的，应当按照少数服从多数的原则作出结论。持不同意见的评审委员会成员应当书面作出说明，否则视为无异议。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36.实地考察或资料查验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36.1在评审过程中，评审委员会有权决定是否对本项目投标人进行实地考察或资料查验（原件）。投标人应随时做好接受实地考察或资料查验的准备。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37．评审方法</w:t>
      </w:r>
    </w:p>
    <w:p>
      <w:pPr>
        <w:widowControl/>
        <w:wordWrap w:val="0"/>
        <w:autoSpaceDE w:val="0"/>
        <w:autoSpaceDN w:val="0"/>
        <w:spacing w:line="400" w:lineRule="exact"/>
        <w:ind w:right="808" w:firstLine="420" w:firstLineChars="200"/>
        <w:jc w:val="both"/>
        <w:rPr>
          <w:rFonts w:eastAsia="宋体"/>
          <w:kern w:val="2"/>
          <w:sz w:val="21"/>
          <w:lang w:eastAsia="zh-CN"/>
        </w:rPr>
      </w:pPr>
      <w:bookmarkStart w:id="94" w:name="_Hlk72438142"/>
      <w:r>
        <w:rPr>
          <w:rFonts w:eastAsia="宋体" w:hint="eastAsia"/>
          <w:kern w:val="2"/>
          <w:sz w:val="21"/>
          <w:lang w:eastAsia="zh-CN"/>
        </w:rPr>
        <w:t>37.1.1最低价法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最低价法，是指完全满足招标文件实质性要求，按照报价由低到高的顺序，依据招标文件中规定的数量或者比例推荐候选中标供应商。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37.1.2综合评分法</w:t>
      </w:r>
    </w:p>
    <w:bookmarkEnd w:id="94"/>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综合评分法，是指在满足招标文件全部实质性要求的前提下，按照招标文件中规定的各项因素进行综合评审，评审总得分排名前列的投标人，作为推荐的候选中标供应商。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37.2本项目采用的评审方法见本项目招标文件第一册“专用条款”的相关内容。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37.3重新评审的情形</w:t>
      </w:r>
    </w:p>
    <w:p>
      <w:pPr>
        <w:widowControl/>
        <w:wordWrap w:val="0"/>
        <w:autoSpaceDE w:val="0"/>
        <w:autoSpaceDN w:val="0"/>
        <w:spacing w:line="400" w:lineRule="exact"/>
        <w:ind w:right="808" w:firstLine="420" w:firstLineChars="200"/>
        <w:jc w:val="both"/>
        <w:rPr>
          <w:rFonts w:eastAsia="宋体"/>
          <w:b/>
          <w:bCs/>
          <w:kern w:val="2"/>
          <w:sz w:val="21"/>
          <w:lang w:eastAsia="zh-CN"/>
        </w:rPr>
      </w:pPr>
      <w:r>
        <w:rPr>
          <w:rFonts w:eastAsia="宋体" w:hint="eastAsia"/>
          <w:sz w:val="21"/>
          <w:lang w:eastAsia="zh-CN"/>
        </w:rPr>
        <w:t>评审结果汇总完成后，除下列情形外，任何人不得修改评审结果：</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37.3.1分值汇总计算错误的；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37.3.2分项评分超出评分标准范围的；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37.3.3评审委员会成员对客观评审因素评分不一致的；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37.3.4经评审委员会认定评分畸高、畸低的。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投标人对本条第一款情形提出质疑的，采购人或者采购代理机构可以组织原评审委员会进行重新评审，重新评审改变评审结果的，应当书面报告本级财政部门。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37.4重新组建评审委员会的情形</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评审委员会或者其成员存在下列情形导致评审结果无效的，重新组建评审委员会进行评标，并书面报告本级财政部门：</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37.4.1评审委员会组成不符合《政府采购货物和服务招标投标管理办法》规定的；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37.4.2有《政府采购货物和服务招标投标管理办法》第六十二条第一至五项情形的；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37.4.3评审委员会及其成员独立评标受到非法干预的；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37.4.4有政府采购法实施条例第七十五条规定的违法行为的。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有违法违规行为的原评审委员会成员不得参加重新组建的评审委员会。</w:t>
      </w:r>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95" w:name="第八章1"/>
      <w:bookmarkEnd w:id="95"/>
      <w:bookmarkStart w:id="96" w:name="_Toc26094"/>
      <w:bookmarkStart w:id="97" w:name="_Toc30568"/>
      <w:bookmarkStart w:id="98" w:name="_Toc1513"/>
      <w:bookmarkStart w:id="99" w:name="_Toc13341"/>
      <w:r>
        <w:rPr>
          <w:rFonts w:ascii="Arial" w:eastAsia="宋体" w:hAnsi="Arial" w:hint="eastAsia"/>
          <w:b/>
          <w:kern w:val="2"/>
          <w:sz w:val="32"/>
          <w:lang w:eastAsia="zh-CN"/>
        </w:rPr>
        <w:t>第八章</w:t>
      </w:r>
      <w:bookmarkStart w:id="100" w:name="_Toc24537"/>
      <w:r>
        <w:rPr>
          <w:rFonts w:ascii="Arial" w:eastAsia="宋体" w:hAnsi="Arial" w:hint="eastAsia"/>
          <w:b/>
          <w:kern w:val="2"/>
          <w:sz w:val="32"/>
          <w:lang w:eastAsia="zh-CN"/>
        </w:rPr>
        <w:t xml:space="preserve">  定标及公示</w:t>
      </w:r>
      <w:bookmarkEnd w:id="96"/>
      <w:bookmarkEnd w:id="97"/>
      <w:bookmarkEnd w:id="98"/>
      <w:bookmarkEnd w:id="99"/>
      <w:bookmarkEnd w:id="100"/>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38．定标方法</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01" w:name="_Hlk73782795"/>
      <w:r>
        <w:rPr>
          <w:rFonts w:eastAsia="宋体" w:hint="eastAsia"/>
          <w:kern w:val="2"/>
          <w:sz w:val="21"/>
          <w:lang w:eastAsia="zh-CN"/>
        </w:rPr>
        <w:t>38.1非评定分离项目定标方法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w:t>
      </w:r>
      <w:r>
        <w:rPr>
          <w:rFonts w:eastAsia="宋体"/>
          <w:kern w:val="2"/>
          <w:sz w:val="21"/>
          <w:lang w:eastAsia="zh-CN"/>
        </w:rPr>
        <w:t>.</w:t>
      </w:r>
      <w:r>
        <w:rPr>
          <w:rFonts w:eastAsia="宋体" w:hint="eastAsia"/>
          <w:kern w:val="2"/>
          <w:sz w:val="21"/>
          <w:lang w:eastAsia="zh-CN"/>
        </w:rPr>
        <w:t>1.1评审委员会依据本项目招标文件所约定的评审方法进行评审和比较，向采购代理机构提交书面评审报告，并根据评审方法比较评价结果从优到劣进行排序，确定候选中标供应商。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38.1.2采用最低价法的，评审结果按投标报价由低到高顺序排列。投标报价相同的并列。投标文件满足招标文件全部实质性要求且投标报价最低的投标人为唯一候选中标供应商。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唯一候选中标供应商。出现得分且投标报价相同的并列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38.2评定分离项目定标方法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szCs w:val="21"/>
          <w:lang w:eastAsia="zh-CN"/>
        </w:rPr>
        <w:t>38.2.2</w:t>
      </w:r>
      <w:bookmarkStart w:id="102" w:name="_Hlk71469733"/>
      <w:r>
        <w:rPr>
          <w:rFonts w:eastAsia="宋体"/>
          <w:kern w:val="2"/>
          <w:sz w:val="21"/>
          <w:lang w:eastAsia="zh-CN"/>
        </w:rPr>
        <w:t>适用评定分离的政府采购项目，采用综合评分法评</w:t>
      </w:r>
      <w:r>
        <w:rPr>
          <w:rFonts w:eastAsia="宋体" w:hint="eastAsia"/>
          <w:kern w:val="2"/>
          <w:sz w:val="21"/>
          <w:lang w:eastAsia="zh-CN"/>
        </w:rPr>
        <w:t>审。</w:t>
      </w:r>
      <w:r>
        <w:rPr>
          <w:rFonts w:ascii="宋体" w:eastAsia="宋体" w:hAnsi="宋体" w:hint="eastAsia"/>
          <w:kern w:val="2"/>
          <w:sz w:val="21"/>
          <w:szCs w:val="21"/>
          <w:lang w:eastAsia="zh-CN"/>
        </w:rPr>
        <w:t>评审委员会按照评审结果，推荐</w:t>
      </w:r>
      <w:r>
        <w:rPr>
          <w:rFonts w:eastAsia="宋体"/>
          <w:kern w:val="2"/>
          <w:sz w:val="21"/>
          <w:lang w:eastAsia="zh-CN"/>
        </w:rPr>
        <w:t>三个合格的候选中标供应商。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38.2.3</w:t>
      </w:r>
      <w:bookmarkStart w:id="103" w:name="_Hlk71469688"/>
      <w:r>
        <w:rPr>
          <w:rFonts w:eastAsia="宋体"/>
          <w:kern w:val="2"/>
          <w:sz w:val="21"/>
          <w:lang w:eastAsia="zh-CN"/>
        </w:rPr>
        <w:t>适用评定分离的政府采购项目，</w:t>
      </w:r>
      <w:r>
        <w:rPr>
          <w:rFonts w:eastAsia="宋体" w:hint="eastAsia"/>
          <w:kern w:val="2"/>
          <w:sz w:val="21"/>
          <w:lang w:eastAsia="zh-CN"/>
        </w:rPr>
        <w:t>按照自定法确定中标供应商：自定法是指采购人组织定标委员会，由定标委员会在三家候选中标供应商中确定中标供应商。</w:t>
      </w:r>
      <w:bookmarkEnd w:id="102"/>
      <w:bookmarkEnd w:id="103"/>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38.2.4</w:t>
      </w:r>
      <w:r>
        <w:rPr>
          <w:rFonts w:ascii="宋体" w:eastAsia="宋体" w:hAnsi="宋体" w:hint="eastAsia"/>
          <w:kern w:val="2"/>
          <w:sz w:val="21"/>
          <w:szCs w:val="21"/>
          <w:lang w:eastAsia="zh-CN"/>
        </w:rPr>
        <w:t>采购代理机构</w:t>
      </w:r>
      <w:r>
        <w:rPr>
          <w:rFonts w:eastAsia="宋体"/>
          <w:kern w:val="2"/>
          <w:sz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eastAsia="宋体"/>
          <w:kern w:val="2"/>
          <w:sz w:val="21"/>
          <w:lang w:eastAsia="zh-CN"/>
        </w:rPr>
        <w:t>采购人应当安排专人对定标过程进行书面记录，形成定标报告，作为采购文件的组成部分存档，并及时将定标结果反馈</w:t>
      </w:r>
      <w:r>
        <w:rPr>
          <w:rFonts w:eastAsia="宋体" w:hint="eastAsia"/>
          <w:kern w:val="2"/>
          <w:sz w:val="21"/>
          <w:lang w:eastAsia="zh-CN"/>
        </w:rPr>
        <w:t>采购代理机构。具体定标程序及相关要求以按照《</w:t>
      </w:r>
      <w:r>
        <w:rPr>
          <w:rFonts w:eastAsia="宋体"/>
          <w:kern w:val="2"/>
          <w:sz w:val="21"/>
          <w:lang w:eastAsia="zh-CN"/>
        </w:rPr>
        <w:t>深圳市财政局关于印发</w:t>
      </w:r>
      <w:r>
        <w:rPr>
          <w:rFonts w:ascii="宋体" w:eastAsia="宋体" w:hAnsi="宋体" w:hint="eastAsia"/>
          <w:kern w:val="2"/>
          <w:sz w:val="21"/>
          <w:lang w:eastAsia="zh-CN"/>
        </w:rPr>
        <w:t>〈</w:t>
      </w:r>
      <w:r>
        <w:rPr>
          <w:rFonts w:eastAsia="宋体"/>
          <w:kern w:val="2"/>
          <w:sz w:val="21"/>
          <w:lang w:eastAsia="zh-CN"/>
        </w:rPr>
        <w:t>深圳市政府采购评标定标分离管理办法</w:t>
      </w:r>
      <w:r>
        <w:rPr>
          <w:rFonts w:ascii="宋体" w:eastAsia="宋体" w:hAnsi="宋体" w:hint="eastAsia"/>
          <w:kern w:val="2"/>
          <w:sz w:val="21"/>
          <w:lang w:eastAsia="zh-CN"/>
        </w:rPr>
        <w:t>〉</w:t>
      </w:r>
      <w:r>
        <w:rPr>
          <w:rFonts w:eastAsia="宋体"/>
          <w:kern w:val="2"/>
          <w:sz w:val="21"/>
          <w:lang w:eastAsia="zh-CN"/>
        </w:rPr>
        <w:t>的通知</w:t>
      </w:r>
      <w:r>
        <w:rPr>
          <w:rFonts w:eastAsia="宋体" w:hint="eastAsia"/>
          <w:kern w:val="2"/>
          <w:sz w:val="21"/>
          <w:lang w:eastAsia="zh-CN"/>
        </w:rPr>
        <w:t>》（深财规【2</w:t>
      </w:r>
      <w:r>
        <w:rPr>
          <w:rFonts w:eastAsia="宋体"/>
          <w:kern w:val="2"/>
          <w:sz w:val="21"/>
          <w:lang w:eastAsia="zh-CN"/>
        </w:rPr>
        <w:t>020</w:t>
      </w:r>
      <w:r>
        <w:rPr>
          <w:rFonts w:eastAsia="宋体" w:hint="eastAsia"/>
          <w:kern w:val="2"/>
          <w:sz w:val="21"/>
          <w:lang w:eastAsia="zh-CN"/>
        </w:rPr>
        <w:t>】1号）执行。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说明：采购人及投标供应商应按照上述方法提前做好相关准备。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38.3专用条款另有规定的，按专用条款相关要求定标。</w:t>
      </w:r>
      <w:bookmarkEnd w:id="101"/>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39．编写评审报告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40．中标公告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40.1</w:t>
      </w:r>
      <w:bookmarkStart w:id="104" w:name="_Hlk72438709"/>
      <w:r>
        <w:rPr>
          <w:rFonts w:eastAsia="宋体" w:hint="eastAsia"/>
          <w:kern w:val="2"/>
          <w:sz w:val="21"/>
          <w:lang w:eastAsia="zh-CN"/>
        </w:rPr>
        <w:t>为体现“公开、公平、公正”的原则，评审结束后经采购人确认（确定）评审结果，采购代理机构将在</w:t>
      </w:r>
      <w:r>
        <w:rPr>
          <w:rFonts w:eastAsia="宋体" w:hint="eastAsia"/>
          <w:b/>
          <w:bCs/>
          <w:kern w:val="2"/>
          <w:sz w:val="21"/>
          <w:lang w:eastAsia="zh-CN"/>
        </w:rPr>
        <w:t>深圳政府采购自行采购系统（https://zxcg.szggzy.com/home/index.html）</w:t>
      </w:r>
      <w:r>
        <w:rPr>
          <w:rFonts w:eastAsia="宋体" w:hint="eastAsia"/>
          <w:kern w:val="2"/>
          <w:sz w:val="21"/>
          <w:lang w:eastAsia="zh-CN"/>
        </w:rPr>
        <w:t>上发布中标结果公告。</w:t>
      </w:r>
      <w:bookmarkEnd w:id="104"/>
      <w:bookmarkStart w:id="105" w:name="_Hlk72438751"/>
      <w:r>
        <w:rPr>
          <w:rFonts w:eastAsia="宋体" w:hint="eastAsia"/>
          <w:kern w:val="2"/>
          <w:sz w:val="21"/>
          <w:lang w:eastAsia="zh-CN"/>
        </w:rPr>
        <w:t>供应商如对评审结果有异议，</w:t>
      </w:r>
      <w:r>
        <w:rPr>
          <w:rFonts w:eastAsia="宋体"/>
          <w:kern w:val="2"/>
          <w:sz w:val="21"/>
          <w:lang w:eastAsia="zh-CN"/>
        </w:rPr>
        <w:t>可在发布公示日期起</w:t>
      </w:r>
      <w:r>
        <w:rPr>
          <w:rFonts w:eastAsia="宋体" w:hint="eastAsia"/>
          <w:kern w:val="2"/>
          <w:sz w:val="21"/>
          <w:lang w:eastAsia="zh-CN"/>
        </w:rPr>
        <w:t>七</w:t>
      </w:r>
      <w:r>
        <w:rPr>
          <w:rFonts w:eastAsia="宋体"/>
          <w:kern w:val="2"/>
          <w:sz w:val="21"/>
          <w:lang w:eastAsia="zh-CN"/>
        </w:rPr>
        <w:t>个工作日内向</w:t>
      </w:r>
      <w:r>
        <w:rPr>
          <w:rFonts w:eastAsia="宋体" w:hint="eastAsia"/>
          <w:kern w:val="2"/>
          <w:sz w:val="21"/>
          <w:lang w:eastAsia="zh-CN"/>
        </w:rPr>
        <w:t>采购代理机构</w:t>
      </w:r>
      <w:r>
        <w:rPr>
          <w:rFonts w:eastAsia="宋体"/>
          <w:kern w:val="2"/>
          <w:sz w:val="21"/>
          <w:lang w:eastAsia="zh-CN"/>
        </w:rPr>
        <w:t>提出。监督电话：0755-21070507。</w:t>
      </w:r>
      <w:r>
        <w:rPr>
          <w:rFonts w:eastAsia="宋体" w:hint="eastAsia"/>
          <w:kern w:val="2"/>
          <w:sz w:val="21"/>
          <w:lang w:eastAsia="zh-CN"/>
        </w:rPr>
        <w:t>若在公示期内未提出质疑，则视为认同该评审结果。</w:t>
      </w:r>
    </w:p>
    <w:bookmarkEnd w:id="105"/>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40.2质疑、投诉供应商应保证质疑、投诉内容的真实性和可靠性，并承担相应的法律责任。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41．中标通知书</w:t>
      </w:r>
    </w:p>
    <w:p>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41</w:t>
      </w:r>
      <w:r>
        <w:rPr>
          <w:rFonts w:eastAsia="宋体"/>
          <w:kern w:val="2"/>
          <w:sz w:val="21"/>
          <w:szCs w:val="21"/>
          <w:lang w:eastAsia="zh-CN"/>
        </w:rPr>
        <w:t>.</w:t>
      </w:r>
      <w:r>
        <w:rPr>
          <w:rFonts w:eastAsia="宋体" w:hint="eastAsia"/>
          <w:kern w:val="2"/>
          <w:sz w:val="21"/>
          <w:szCs w:val="21"/>
          <w:lang w:eastAsia="zh-CN"/>
        </w:rPr>
        <w:t>1</w:t>
      </w:r>
      <w:bookmarkStart w:id="106" w:name="_Hlk72438863"/>
      <w:r>
        <w:rPr>
          <w:rFonts w:eastAsia="宋体" w:hint="eastAsia"/>
          <w:kern w:val="2"/>
          <w:sz w:val="21"/>
          <w:szCs w:val="21"/>
          <w:lang w:eastAsia="zh-CN"/>
        </w:rPr>
        <w:t>中标公告公布以后无异常的情况下，中标供应商和采购人可自行登录</w:t>
      </w:r>
      <w:r>
        <w:rPr>
          <w:rFonts w:eastAsia="宋体" w:hint="eastAsia"/>
          <w:b/>
          <w:bCs/>
          <w:kern w:val="2"/>
          <w:sz w:val="21"/>
          <w:szCs w:val="21"/>
          <w:lang w:eastAsia="zh-CN"/>
        </w:rPr>
        <w:t>“</w:t>
      </w:r>
      <w:r>
        <w:rPr>
          <w:rFonts w:eastAsia="宋体" w:hint="eastAsia"/>
          <w:kern w:val="2"/>
          <w:sz w:val="21"/>
          <w:lang w:eastAsia="zh-CN"/>
        </w:rPr>
        <w:t>深圳政府采购自行采购系统（https://trade.szggzy.com/ggzy/center/#/login）</w:t>
      </w:r>
      <w:r>
        <w:rPr>
          <w:rFonts w:eastAsia="宋体" w:hint="eastAsia"/>
          <w:b/>
          <w:bCs/>
          <w:kern w:val="2"/>
          <w:sz w:val="21"/>
          <w:szCs w:val="21"/>
          <w:lang w:eastAsia="zh-CN"/>
        </w:rPr>
        <w:t>”</w:t>
      </w:r>
      <w:r>
        <w:rPr>
          <w:rFonts w:eastAsia="宋体" w:hint="eastAsia"/>
          <w:kern w:val="2"/>
          <w:sz w:val="21"/>
          <w:szCs w:val="21"/>
          <w:lang w:eastAsia="zh-CN"/>
        </w:rPr>
        <w:t>上打印</w:t>
      </w:r>
      <w:r>
        <w:rPr>
          <w:rFonts w:eastAsia="宋体" w:hint="eastAsia"/>
          <w:b/>
          <w:kern w:val="2"/>
          <w:sz w:val="21"/>
          <w:szCs w:val="21"/>
          <w:lang w:eastAsia="zh-CN"/>
        </w:rPr>
        <w:t>《数字中标通知书》</w:t>
      </w:r>
      <w:r>
        <w:rPr>
          <w:rFonts w:eastAsia="宋体" w:hint="eastAsia"/>
          <w:kern w:val="2"/>
          <w:sz w:val="21"/>
          <w:szCs w:val="21"/>
          <w:lang w:eastAsia="zh-CN"/>
        </w:rPr>
        <w:t>。</w:t>
      </w:r>
      <w:bookmarkEnd w:id="106"/>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w:t>
      </w:r>
      <w:r>
        <w:rPr>
          <w:rFonts w:eastAsia="宋体"/>
          <w:kern w:val="2"/>
          <w:sz w:val="21"/>
          <w:lang w:eastAsia="zh-CN"/>
        </w:rPr>
        <w:t>.2</w:t>
      </w:r>
      <w:r>
        <w:rPr>
          <w:rFonts w:eastAsia="宋体" w:hint="eastAsia"/>
          <w:kern w:val="2"/>
          <w:sz w:val="21"/>
          <w:lang w:eastAsia="zh-CN"/>
        </w:rPr>
        <w:t>中标通知书是合同的重要组成部分。</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07" w:name="_Hlk71407340"/>
      <w:r>
        <w:rPr>
          <w:rFonts w:eastAsia="宋体" w:hint="eastAsia"/>
          <w:kern w:val="2"/>
          <w:sz w:val="21"/>
          <w:lang w:eastAsia="zh-CN"/>
        </w:rPr>
        <w:t>41.3因质疑投诉或其它原因导致项目结果变更或采购终止的，采购代理机构有权吊销中标通知书。</w:t>
      </w:r>
    </w:p>
    <w:bookmarkEnd w:id="107"/>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08" w:name="第九章1"/>
      <w:bookmarkEnd w:id="108"/>
      <w:bookmarkStart w:id="109" w:name="_Toc11736"/>
      <w:bookmarkStart w:id="110" w:name="_Toc24474"/>
      <w:bookmarkStart w:id="111" w:name="_Toc25733"/>
      <w:bookmarkStart w:id="112" w:name="_Toc20277"/>
      <w:bookmarkStart w:id="113" w:name="_Toc17412"/>
      <w:bookmarkStart w:id="114" w:name="_Toc101074884"/>
      <w:bookmarkStart w:id="115" w:name="_Toc100052407"/>
      <w:bookmarkStart w:id="116" w:name="_Toc73517678"/>
      <w:r>
        <w:rPr>
          <w:rFonts w:ascii="Arial" w:eastAsia="宋体" w:hAnsi="Arial" w:hint="eastAsia"/>
          <w:b/>
          <w:kern w:val="2"/>
          <w:sz w:val="32"/>
          <w:lang w:eastAsia="zh-CN"/>
        </w:rPr>
        <w:t>第九章  公开采购失败的后续处理</w:t>
      </w:r>
      <w:bookmarkEnd w:id="109"/>
      <w:bookmarkEnd w:id="110"/>
      <w:bookmarkEnd w:id="111"/>
      <w:bookmarkEnd w:id="112"/>
      <w:bookmarkEnd w:id="113"/>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42．公开招标失败的处理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szCs w:val="21"/>
          <w:lang w:eastAsia="zh-CN"/>
        </w:rPr>
        <w:t>42.1本项目公开招标过程中若由于投标截止后</w:t>
      </w:r>
      <w:r>
        <w:rPr>
          <w:rFonts w:eastAsia="宋体" w:hint="eastAsia"/>
          <w:kern w:val="2"/>
          <w:sz w:val="21"/>
          <w:lang w:eastAsia="zh-CN"/>
        </w:rPr>
        <w:t>实际递交</w:t>
      </w:r>
      <w:r>
        <w:rPr>
          <w:rFonts w:eastAsia="宋体"/>
          <w:kern w:val="2"/>
          <w:sz w:val="21"/>
          <w:lang w:eastAsia="zh-CN"/>
        </w:rPr>
        <w:t>投标</w:t>
      </w:r>
      <w:r>
        <w:rPr>
          <w:rFonts w:eastAsia="宋体" w:hint="eastAsia"/>
          <w:kern w:val="2"/>
          <w:sz w:val="21"/>
          <w:lang w:eastAsia="zh-CN"/>
        </w:rPr>
        <w:t>文件的供应商数量不足、经</w:t>
      </w:r>
      <w:r>
        <w:rPr>
          <w:rFonts w:eastAsia="宋体" w:hint="eastAsia"/>
          <w:kern w:val="2"/>
          <w:sz w:val="21"/>
          <w:szCs w:val="21"/>
          <w:lang w:eastAsia="zh-CN"/>
        </w:rPr>
        <w:t>评审委员会</w:t>
      </w:r>
      <w:r>
        <w:rPr>
          <w:rFonts w:eastAsia="宋体" w:hint="eastAsia"/>
          <w:kern w:val="2"/>
          <w:sz w:val="21"/>
          <w:lang w:eastAsia="zh-CN"/>
        </w:rPr>
        <w:t>评审对招标文件作实质响应的供应商不足等原因造成公开招标失败，可由</w:t>
      </w:r>
      <w:r>
        <w:rPr>
          <w:rFonts w:eastAsia="宋体" w:cs="宋体" w:hint="eastAsia"/>
          <w:kern w:val="2"/>
          <w:sz w:val="21"/>
          <w:lang w:eastAsia="zh-CN"/>
        </w:rPr>
        <w:t>采购代理机构</w:t>
      </w:r>
      <w:r>
        <w:rPr>
          <w:rFonts w:eastAsia="宋体" w:hint="eastAsia"/>
          <w:kern w:val="2"/>
          <w:sz w:val="21"/>
          <w:lang w:eastAsia="zh-CN"/>
        </w:rPr>
        <w:t>重新组织采购。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42.2对公开招标失败的项目，评审委员会在出具该项目招标失败结论的同时，可以提出重新采购组织形式的建议，以及进一步完善招标文件的资格、技术、商务要求的修改建议。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42.3重新组织采购有以下两种组织形式：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（1）由采购代理机构重新组织公开招标；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（2）根据实际情况需要向同级财政部门提出非公开招标方式申请，经同级财政部门批准，公开招标失败采购项目可转为竞争性谈判或单一来源谈判方式采购。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42.4公开招标失败的采购项目重新组织公开招标，由采购代理机构重新按公开招标流程组织采购活动。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42.5公开招标失败的采购项目经同级财政部门批准转为竞争性谈判或单一来源谈判方式采购的，按规定要求组织政府采购工作。</w:t>
      </w:r>
    </w:p>
    <w:p>
      <w:pPr>
        <w:widowControl/>
        <w:wordWrap w:val="0"/>
        <w:autoSpaceDE w:val="0"/>
        <w:autoSpaceDN w:val="0"/>
        <w:spacing w:line="360" w:lineRule="auto"/>
        <w:ind w:right="808" w:firstLine="480" w:firstLineChars="200"/>
        <w:jc w:val="both"/>
        <w:rPr>
          <w:rFonts w:eastAsia="宋体"/>
          <w:b/>
          <w:kern w:val="2"/>
          <w:lang w:eastAsia="zh-CN"/>
        </w:rPr>
      </w:pPr>
    </w:p>
    <w:bookmarkEnd w:id="114"/>
    <w:bookmarkEnd w:id="115"/>
    <w:bookmarkEnd w:id="116"/>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17" w:name="第十章1"/>
      <w:bookmarkEnd w:id="117"/>
      <w:bookmarkStart w:id="118" w:name="_Toc9122"/>
      <w:bookmarkStart w:id="119" w:name="_Toc26814"/>
      <w:bookmarkStart w:id="120" w:name="_Toc13677"/>
      <w:bookmarkStart w:id="121" w:name="_Toc26432"/>
      <w:bookmarkStart w:id="122" w:name="_Toc27904"/>
      <w:r>
        <w:rPr>
          <w:rFonts w:ascii="Arial" w:eastAsia="宋体" w:hAnsi="Arial" w:hint="eastAsia"/>
          <w:b/>
          <w:kern w:val="2"/>
          <w:sz w:val="32"/>
          <w:lang w:eastAsia="zh-CN"/>
        </w:rPr>
        <w:t>第十章  合同的授予与备案</w:t>
      </w:r>
      <w:bookmarkEnd w:id="118"/>
      <w:bookmarkEnd w:id="119"/>
      <w:bookmarkEnd w:id="120"/>
      <w:bookmarkEnd w:id="121"/>
      <w:bookmarkEnd w:id="122"/>
    </w:p>
    <w:p>
      <w:pPr>
        <w:widowControl/>
        <w:wordWrap w:val="0"/>
        <w:autoSpaceDE w:val="0"/>
        <w:autoSpaceDN w:val="0"/>
        <w:spacing w:line="400" w:lineRule="exact"/>
        <w:ind w:right="808" w:firstLine="420" w:firstLineChars="200"/>
        <w:jc w:val="both"/>
        <w:rPr>
          <w:rFonts w:eastAsia="宋体"/>
          <w:kern w:val="2"/>
          <w:sz w:val="21"/>
          <w:lang w:eastAsia="zh-CN"/>
        </w:rPr>
      </w:pPr>
      <w:bookmarkStart w:id="123" w:name="_33._合同授予标准"/>
      <w:bookmarkEnd w:id="123"/>
      <w:bookmarkStart w:id="124" w:name="_Toc73518157"/>
      <w:bookmarkStart w:id="125" w:name="_Toc73521674"/>
      <w:bookmarkStart w:id="126" w:name="_Toc73517679"/>
      <w:bookmarkStart w:id="127" w:name="_Toc100052408"/>
      <w:bookmarkStart w:id="128" w:name="_Toc73521586"/>
      <w:bookmarkStart w:id="129" w:name="_Hlk72439088"/>
      <w:r>
        <w:rPr>
          <w:rFonts w:eastAsia="宋体" w:hint="eastAsia"/>
          <w:kern w:val="2"/>
          <w:sz w:val="21"/>
          <w:lang w:eastAsia="zh-CN"/>
        </w:rPr>
        <w:t>43．合同授予标准</w:t>
      </w:r>
      <w:bookmarkEnd w:id="124"/>
      <w:bookmarkEnd w:id="125"/>
      <w:bookmarkEnd w:id="126"/>
      <w:bookmarkEnd w:id="127"/>
      <w:bookmarkEnd w:id="128"/>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本项目的合同将授予经本招标文件规定评审确定的中标供应商。</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30" w:name="_Toc73521587"/>
      <w:bookmarkStart w:id="131" w:name="_Toc73521675"/>
      <w:bookmarkStart w:id="132" w:name="_Toc73517680"/>
      <w:bookmarkStart w:id="133" w:name="_Toc100052409"/>
      <w:bookmarkStart w:id="134" w:name="_Toc73518158"/>
      <w:r>
        <w:rPr>
          <w:rFonts w:eastAsia="宋体" w:hint="eastAsia"/>
          <w:kern w:val="2"/>
          <w:sz w:val="21"/>
          <w:lang w:eastAsia="zh-CN"/>
        </w:rPr>
        <w:t>44．</w:t>
      </w:r>
      <w:bookmarkEnd w:id="130"/>
      <w:bookmarkEnd w:id="131"/>
      <w:bookmarkEnd w:id="132"/>
      <w:bookmarkEnd w:id="133"/>
      <w:bookmarkEnd w:id="134"/>
      <w:r>
        <w:rPr>
          <w:rFonts w:eastAsia="宋体" w:hint="eastAsia"/>
          <w:kern w:val="2"/>
          <w:sz w:val="21"/>
          <w:lang w:eastAsia="zh-CN"/>
        </w:rPr>
        <w:t>接受和拒绝任何或所有投标的权力</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采购代理机构和采购人保留在投标之前任何时候接受或拒绝任何投标或所有投标，以及宣布招标无效的权力，对受影响的投标人不承担任何责任，也无义务向受影响的投标人解释采取这一行动的理由。</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35" w:name="_Toc73517682"/>
      <w:bookmarkStart w:id="136" w:name="_Toc73518160"/>
      <w:bookmarkStart w:id="137" w:name="_Toc73521589"/>
      <w:bookmarkStart w:id="138" w:name="_Toc100052410"/>
      <w:bookmarkStart w:id="139" w:name="_Toc73521677"/>
      <w:r>
        <w:rPr>
          <w:rFonts w:eastAsia="宋体" w:hint="eastAsia"/>
          <w:kern w:val="2"/>
          <w:sz w:val="21"/>
          <w:lang w:eastAsia="zh-CN"/>
        </w:rPr>
        <w:t>45．合同的签订</w:t>
      </w:r>
      <w:bookmarkEnd w:id="135"/>
      <w:bookmarkEnd w:id="136"/>
      <w:bookmarkEnd w:id="137"/>
      <w:bookmarkEnd w:id="138"/>
      <w:bookmarkEnd w:id="139"/>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45.1中标人将于中标通知书发出之日起十个工作日内，按照采购文件（招标文件和投标文件等）内容与采购人签订政府采购合同；合同的实质性内容应当符合招标文件的规定；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45.2中标人如不按本通用条款第45</w:t>
      </w:r>
      <w:r>
        <w:rPr>
          <w:rFonts w:eastAsia="宋体"/>
          <w:kern w:val="2"/>
          <w:sz w:val="21"/>
          <w:lang w:eastAsia="zh-CN"/>
        </w:rPr>
        <w:t>.1</w:t>
      </w:r>
      <w:r>
        <w:rPr>
          <w:rFonts w:eastAsia="宋体" w:hint="eastAsia"/>
          <w:kern w:val="2"/>
          <w:sz w:val="21"/>
          <w:lang w:eastAsia="zh-CN"/>
        </w:rPr>
        <w:t>款的规定与采购人签订合同，</w:t>
      </w:r>
      <w:r>
        <w:rPr>
          <w:rFonts w:eastAsia="宋体" w:cs="宋体"/>
          <w:sz w:val="21"/>
          <w:lang w:eastAsia="zh-CN"/>
        </w:rPr>
        <w:t>情节严重的，由</w:t>
      </w:r>
      <w:r>
        <w:rPr>
          <w:rFonts w:eastAsia="宋体" w:cs="宋体" w:hint="eastAsia"/>
          <w:sz w:val="21"/>
          <w:lang w:eastAsia="zh-CN"/>
        </w:rPr>
        <w:t>同级财政</w:t>
      </w:r>
      <w:r>
        <w:rPr>
          <w:rFonts w:eastAsia="宋体" w:cs="宋体"/>
          <w:sz w:val="21"/>
          <w:lang w:eastAsia="zh-CN"/>
        </w:rPr>
        <w:t>部门记入供应商诚信档案，予以通报</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45.3中标人应当按照合同约定履行义务，完成中标项目，不得将中标项目转让（转包）给他人。</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40" w:name="_Toc100052411"/>
      <w:bookmarkStart w:id="141" w:name="_Toc73521678"/>
      <w:bookmarkStart w:id="142" w:name="_Toc73521590"/>
      <w:bookmarkStart w:id="143" w:name="_Toc73518161"/>
      <w:bookmarkStart w:id="144" w:name="_Toc73517683"/>
      <w:r>
        <w:rPr>
          <w:rFonts w:eastAsia="宋体" w:hint="eastAsia"/>
          <w:kern w:val="2"/>
          <w:sz w:val="21"/>
          <w:lang w:eastAsia="zh-CN"/>
        </w:rPr>
        <w:t>46．履约担保</w:t>
      </w:r>
      <w:bookmarkEnd w:id="140"/>
      <w:bookmarkEnd w:id="141"/>
      <w:bookmarkEnd w:id="142"/>
      <w:bookmarkEnd w:id="143"/>
      <w:bookmarkEnd w:id="144"/>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46.1在签订项目合同的同时，中标人应按“对通用条款的补充内容”中规定的金额向采购人提交履约担保；</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eastAsia="宋体"/>
          <w:kern w:val="2"/>
          <w:sz w:val="21"/>
          <w:lang w:eastAsia="zh-CN"/>
        </w:rPr>
        <w:t>中标</w:t>
      </w:r>
      <w:r>
        <w:rPr>
          <w:rFonts w:eastAsia="宋体" w:hint="eastAsia"/>
          <w:kern w:val="2"/>
          <w:sz w:val="21"/>
          <w:lang w:eastAsia="zh-CN"/>
        </w:rPr>
        <w:t>人</w:t>
      </w:r>
      <w:r>
        <w:rPr>
          <w:rFonts w:eastAsia="宋体"/>
          <w:kern w:val="2"/>
          <w:sz w:val="21"/>
          <w:lang w:eastAsia="zh-CN"/>
        </w:rPr>
        <w:t>提交履约</w:t>
      </w:r>
      <w:r>
        <w:rPr>
          <w:rFonts w:eastAsia="宋体" w:hint="eastAsia"/>
          <w:kern w:val="2"/>
          <w:sz w:val="21"/>
          <w:lang w:eastAsia="zh-CN"/>
        </w:rPr>
        <w:t>担保不是</w:t>
      </w:r>
      <w:r>
        <w:rPr>
          <w:rFonts w:eastAsia="宋体"/>
          <w:kern w:val="2"/>
          <w:sz w:val="21"/>
          <w:lang w:eastAsia="zh-CN"/>
        </w:rPr>
        <w:t>合同签订的</w:t>
      </w:r>
      <w:r>
        <w:rPr>
          <w:rFonts w:eastAsia="宋体" w:hint="eastAsia"/>
          <w:kern w:val="2"/>
          <w:sz w:val="21"/>
          <w:lang w:eastAsia="zh-CN"/>
        </w:rPr>
        <w:t>前提</w:t>
      </w:r>
      <w:r>
        <w:rPr>
          <w:rFonts w:eastAsia="宋体"/>
          <w:kern w:val="2"/>
          <w:sz w:val="21"/>
          <w:lang w:eastAsia="zh-CN"/>
        </w:rPr>
        <w:t>条件，不要求中标</w:t>
      </w:r>
      <w:r>
        <w:rPr>
          <w:rFonts w:eastAsia="宋体" w:hint="eastAsia"/>
          <w:kern w:val="2"/>
          <w:sz w:val="21"/>
          <w:lang w:eastAsia="zh-CN"/>
        </w:rPr>
        <w:t>人</w:t>
      </w:r>
      <w:r>
        <w:rPr>
          <w:rFonts w:eastAsia="宋体"/>
          <w:kern w:val="2"/>
          <w:sz w:val="21"/>
          <w:lang w:eastAsia="zh-CN"/>
        </w:rPr>
        <w:t>提供除法律、法规明确规定外的其他担保</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47.合同备案</w:t>
      </w:r>
    </w:p>
    <w:p>
      <w:pPr>
        <w:widowControl/>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采购人与中标供应商自中标通知书发出之日起10个工作日内签订政府采购合同，并按财政部门规定提交备案。</w:t>
      </w:r>
      <w:r>
        <w:rPr>
          <w:rFonts w:ascii="黑体" w:eastAsia="黑体" w:hint="eastAsia"/>
          <w:kern w:val="2"/>
          <w:lang w:eastAsia="zh-CN"/>
        </w:rPr>
        <w:t>48.合同变更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合同变更事宜按《深圳市财政局关于优化政府采购合同备案的通知》（深财发保〔2022〕2号）相关规定执行。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49.项目验收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49.1采购人应当按照招标文件和合同规定的标准和方法，及时组织验收。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50.宣传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凡与政府采购活动有关的宣传或广告，若当中提及政府采购，</w:t>
      </w:r>
      <w:r>
        <w:rPr>
          <w:rFonts w:eastAsia="宋体"/>
          <w:kern w:val="2"/>
          <w:sz w:val="21"/>
          <w:lang w:eastAsia="zh-CN"/>
        </w:rPr>
        <w:t>必须事先将具体对外宣传方案报</w:t>
      </w:r>
      <w:r>
        <w:rPr>
          <w:rFonts w:eastAsia="宋体" w:hint="eastAsia"/>
          <w:kern w:val="2"/>
          <w:sz w:val="21"/>
          <w:lang w:eastAsia="zh-CN"/>
        </w:rPr>
        <w:t>同级财政部门</w:t>
      </w:r>
      <w:r>
        <w:rPr>
          <w:rFonts w:eastAsia="宋体"/>
          <w:kern w:val="2"/>
          <w:sz w:val="21"/>
          <w:lang w:eastAsia="zh-CN"/>
        </w:rPr>
        <w:t>和</w:t>
      </w:r>
      <w:r>
        <w:rPr>
          <w:rFonts w:eastAsia="宋体" w:hint="eastAsia"/>
          <w:kern w:val="2"/>
          <w:sz w:val="21"/>
          <w:lang w:eastAsia="zh-CN"/>
        </w:rPr>
        <w:t>采购代理机构</w:t>
      </w:r>
      <w:r>
        <w:rPr>
          <w:rFonts w:eastAsia="宋体"/>
          <w:kern w:val="2"/>
          <w:sz w:val="21"/>
          <w:lang w:eastAsia="zh-CN"/>
        </w:rPr>
        <w:t>，并征得其同意。对外市场宣传包括但不限于以下形式：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a.名片、宣传册、广告标语等；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b.案例介绍、推广等；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c.工作</w:t>
      </w:r>
      <w:r>
        <w:rPr>
          <w:rFonts w:eastAsia="宋体"/>
          <w:kern w:val="2"/>
          <w:sz w:val="21"/>
          <w:lang w:eastAsia="zh-CN"/>
        </w:rPr>
        <w:t>人员向其他消费群体宣传。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51.供应商违法责任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1.1</w:t>
      </w:r>
      <w:r>
        <w:rPr>
          <w:rFonts w:eastAsia="宋体" w:hint="eastAsia"/>
          <w:kern w:val="2"/>
          <w:sz w:val="21"/>
          <w:lang w:eastAsia="zh-CN"/>
        </w:rPr>
        <w:t>《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（1）在采购活动中应当回避而未回避的；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（2）未按本条例规定签订、履行采购合同，造成严重后果的；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（3）隐瞒真实情况，提供虚假资料的；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（4）以非法手段排斥其他供应商参与竞争的；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（5）与其他采购参加人串通投标的；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（6）恶意投诉的；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（7）向采购项目相关人行贿或者提供其他不当利益的；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（8）阻碍、抗拒主管部门监督检查的；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（9）其他违反本条例规定的行为。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1.2</w:t>
      </w:r>
      <w:r>
        <w:rPr>
          <w:rFonts w:eastAsia="宋体" w:hint="eastAsia"/>
          <w:kern w:val="2"/>
          <w:sz w:val="21"/>
          <w:lang w:eastAsia="zh-CN"/>
        </w:rPr>
        <w:t>根据《深圳市财政局关于调整政府采购投标（响应）保证金管理政策的通知》（深财购〔2021〕51号）的要求，供应商在政府采购活动中出现《深圳经济特区政府采购条例实施细则》第八十条所列情形的，</w:t>
      </w:r>
      <w:bookmarkStart w:id="145" w:name="_Hlk72440769"/>
      <w:r>
        <w:rPr>
          <w:rFonts w:eastAsia="宋体" w:hint="eastAsia"/>
          <w:kern w:val="2"/>
          <w:sz w:val="21"/>
          <w:lang w:eastAsia="zh-CN"/>
        </w:rPr>
        <w:t>采购代理机构或采购人不予退还其交纳的谈判保证金，情节严重的，并由主管部门</w:t>
      </w:r>
      <w:bookmarkEnd w:id="145"/>
      <w:r>
        <w:rPr>
          <w:rFonts w:eastAsia="宋体" w:hint="eastAsia"/>
          <w:kern w:val="2"/>
          <w:sz w:val="21"/>
          <w:lang w:eastAsia="zh-CN"/>
        </w:rPr>
        <w:t>记入供应商诚信档案，予以通报：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）投标截止后，撤销投标的；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2</w:t>
      </w:r>
      <w:r>
        <w:rPr>
          <w:rFonts w:eastAsia="宋体"/>
          <w:kern w:val="2"/>
          <w:sz w:val="21"/>
          <w:lang w:eastAsia="zh-CN"/>
        </w:rPr>
        <w:t>）中标后无正当理由未在规定期限内签订合同的；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3</w:t>
      </w:r>
      <w:r>
        <w:rPr>
          <w:rFonts w:eastAsia="宋体"/>
          <w:kern w:val="2"/>
          <w:sz w:val="21"/>
          <w:lang w:eastAsia="zh-CN"/>
        </w:rPr>
        <w:t>）将中标项目转让给他人、或者在投标文件中未说明且未经采购人、采购招标机构同意，将中标项目分包给他人的；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4</w:t>
      </w:r>
      <w:r>
        <w:rPr>
          <w:rFonts w:eastAsia="宋体"/>
          <w:kern w:val="2"/>
          <w:sz w:val="21"/>
          <w:lang w:eastAsia="zh-CN"/>
        </w:rPr>
        <w:t>）拒绝履行合同义务的</w:t>
      </w:r>
      <w:r>
        <w:rPr>
          <w:rFonts w:eastAsia="宋体" w:hint="eastAsia"/>
          <w:kern w:val="2"/>
          <w:sz w:val="21"/>
          <w:lang w:eastAsia="zh-CN"/>
        </w:rPr>
        <w:t>。</w:t>
      </w:r>
    </w:p>
    <w:bookmarkEnd w:id="129"/>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46" w:name="_Toc19433"/>
      <w:r>
        <w:rPr>
          <w:rFonts w:ascii="Arial" w:eastAsia="宋体" w:hAnsi="Arial" w:hint="eastAsia"/>
          <w:b/>
          <w:kern w:val="2"/>
          <w:sz w:val="32"/>
          <w:lang w:eastAsia="zh-CN"/>
        </w:rPr>
        <w:t>第十一章  质疑处理</w:t>
      </w:r>
      <w:bookmarkEnd w:id="146"/>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52.质疑提出与答复</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52.1提出质疑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参与政府采购活动的供应商认为自己的权益在采购活动中受到损害的，应当自知道或者应当知道其权益受到损害之日起七个工作日内向采购人、采购代理机构以书面形式提出质疑。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52.2</w:t>
      </w:r>
      <w:r>
        <w:rPr>
          <w:rFonts w:eastAsia="宋体"/>
          <w:kern w:val="2"/>
          <w:sz w:val="21"/>
          <w:lang w:eastAsia="zh-CN"/>
        </w:rPr>
        <w:t>法律依据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《中华人民共和国政府采购法》、《中华人民共和国政府采购法实施条例》、</w:t>
      </w:r>
      <w:r>
        <w:rPr>
          <w:rFonts w:eastAsia="宋体"/>
          <w:kern w:val="2"/>
          <w:sz w:val="21"/>
          <w:lang w:eastAsia="zh-CN"/>
        </w:rPr>
        <w:t>《</w:t>
      </w:r>
      <w:r>
        <w:rPr>
          <w:rFonts w:eastAsia="宋体" w:hint="eastAsia"/>
          <w:kern w:val="2"/>
          <w:sz w:val="21"/>
          <w:lang w:eastAsia="zh-CN"/>
        </w:rPr>
        <w:t>深圳经济特区政府采购</w:t>
      </w:r>
      <w:r>
        <w:rPr>
          <w:rFonts w:eastAsia="宋体"/>
          <w:kern w:val="2"/>
          <w:sz w:val="21"/>
          <w:lang w:eastAsia="zh-CN"/>
        </w:rPr>
        <w:t>条例</w:t>
      </w:r>
      <w:r>
        <w:rPr>
          <w:rFonts w:eastAsia="宋体" w:hint="eastAsia"/>
          <w:kern w:val="2"/>
          <w:sz w:val="21"/>
          <w:lang w:eastAsia="zh-CN"/>
        </w:rPr>
        <w:t>》、《深圳经济特区政府采购条例实施细则》、《政府采购质疑和投诉办法》（财政部令第94号）和其他有关法律法规规定。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52.3质疑条件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52.3.1提出质疑的供应商应当是参与所质疑项目采购活动的供应商；</w:t>
      </w:r>
      <w:bookmarkStart w:id="147" w:name="_Hlk75374941"/>
      <w:r>
        <w:rPr>
          <w:rFonts w:eastAsia="宋体" w:hint="eastAsia"/>
          <w:kern w:val="2"/>
          <w:sz w:val="21"/>
          <w:lang w:eastAsia="zh-CN"/>
        </w:rPr>
        <w:t>以联合体形式参与的，质疑应当由组成联合体的所有成员共同提出</w:t>
      </w:r>
      <w:bookmarkEnd w:id="147"/>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52.3.3应提交书面质疑函，质疑函应当包括以下内容：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（1）供应商的名称（或者姓名）、地址、邮编、邮箱、联系人及联系电话；</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（2）质疑项目的名称、编号；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（3）具体、明确的质疑对象、质疑事项和质疑请求；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（4）因质疑事项而受损害的权益；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（5）事实依据；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（6）必要的法律依据；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（7）提出质疑的日期。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供应商为自然人的，应当由本人签字；供应商为法人或者其他组织的，应当由法定代表人（负责人），或者其授权代理人签字或者盖章，并加盖公章。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52.4提交</w:t>
      </w:r>
      <w:r>
        <w:rPr>
          <w:rFonts w:eastAsia="宋体"/>
          <w:kern w:val="2"/>
          <w:sz w:val="21"/>
          <w:lang w:eastAsia="zh-CN"/>
        </w:rPr>
        <w:t>材料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供应商可以委托代理人进行质疑。</w:t>
      </w:r>
      <w:r>
        <w:rPr>
          <w:rFonts w:eastAsia="宋体"/>
          <w:kern w:val="2"/>
          <w:sz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52.5收文地点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地址：深圳市千里招标代理有限公司（地址：深圳市龙华区民治街道民强社区梅龙路和民旺路相交处民治商贸广场B2102）。</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52.6收文办理</w:t>
      </w:r>
      <w:r>
        <w:rPr>
          <w:rFonts w:eastAsia="宋体"/>
          <w:kern w:val="2"/>
          <w:sz w:val="21"/>
          <w:lang w:eastAsia="zh-CN"/>
        </w:rPr>
        <w:t>程序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52.6.1供应商提交的质疑符合受理条件的，采购代理机构自收到质疑材料之日起即为受理，应当向供应商出具质疑函收文回执并可以要求其递交质疑的法定代表人（负责人）或者授权代理人签署质疑文书送达地址确认书。</w:t>
      </w:r>
    </w:p>
    <w:p>
      <w:pPr>
        <w:widowControl/>
        <w:wordWrap w:val="0"/>
        <w:autoSpaceDE w:val="0"/>
        <w:autoSpaceDN w:val="0"/>
        <w:spacing w:line="400" w:lineRule="exact"/>
        <w:ind w:right="808" w:firstLine="420" w:firstLineChars="200"/>
        <w:jc w:val="both"/>
        <w:rPr>
          <w:rFonts w:ascii="仿宋" w:eastAsia="仿宋" w:hAnsi="仿宋"/>
          <w:kern w:val="2"/>
          <w:sz w:val="28"/>
          <w:szCs w:val="28"/>
          <w:lang w:eastAsia="zh-CN"/>
        </w:rPr>
      </w:pPr>
      <w:r>
        <w:rPr>
          <w:rFonts w:eastAsia="宋体" w:hint="eastAsia"/>
          <w:kern w:val="2"/>
          <w:sz w:val="21"/>
          <w:lang w:eastAsia="zh-CN"/>
        </w:rPr>
        <w:t>52.6.2供应商提交的质疑材料不符合质疑条件的，视情况处理：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供应商提交的质疑材料不全或者未按要求签字或者盖章的，采购代理机构应当一次性告知供应商需补正的内容和补正期限。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供应商提交的质疑存在下列情形之一的，不予受理：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（1）质疑主体不满足要求的；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（2）供应商自身权益未受到损害的；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（3）供应商未在法定质疑期限内提出质疑的；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（4）质疑材料不全或者未按要求签字或者盖章的情况下，要求补正后，逾期未补正或者补正后仍不符合规定的；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（5）其他不符合受理条件情形的。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质疑事项不予受理的，采购代理机构应当向供应商出具不符合质疑条件告知书。</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52.7质疑答复时限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自收文之日起七个工作日内。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52.8投诉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对质疑答复不满意或者未在规定时间内答复的，提出质疑的供应商可以在答复期满后15个工作日内向本项目预算主管单位投诉。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53.质疑后续处理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53.1供应商质疑不成立，或者成立但未对中标、成交结果构成影响的，继续开展采购活动。</w:t>
      </w:r>
    </w:p>
    <w:p>
      <w:pPr>
        <w:widowControl/>
        <w:wordWrap w:val="0"/>
        <w:autoSpaceDE w:val="0"/>
        <w:autoSpaceDN w:val="0"/>
        <w:spacing w:line="400" w:lineRule="exact"/>
        <w:ind w:right="808" w:firstLine="420" w:firstLineChars="200"/>
        <w:jc w:val="both"/>
        <w:rPr>
          <w:rFonts w:ascii="微软雅黑" w:eastAsia="微软雅黑" w:hAnsi="微软雅黑" w:cs="微软雅黑"/>
          <w:color w:val="333333"/>
          <w:lang w:val="en" w:eastAsia="en"/>
        </w:rPr>
        <w:sectPr>
          <w:headerReference w:type="default" r:id="rId9"/>
          <w:footerReference w:type="default" r:id="rId10"/>
          <w:pgMar w:top="1440" w:right="1800" w:bottom="1440" w:left="1800" w:header="708" w:footer="708" w:gutter="0"/>
          <w:pgBorders>
            <w:top w:val="none" w:sz="0" w:space="0" w:color="auto"/>
            <w:left w:val="none" w:sz="0" w:space="0" w:color="auto"/>
            <w:bottom w:val="none" w:sz="0" w:space="0" w:color="auto"/>
            <w:right w:val="none" w:sz="0" w:space="0" w:color="auto"/>
          </w:pgBorders>
          <w:cols w:num="1" w:space="708"/>
        </w:sectPr>
      </w:pPr>
      <w:r>
        <w:rPr>
          <w:rFonts w:eastAsia="宋体" w:hint="eastAsia"/>
          <w:kern w:val="2"/>
          <w:sz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深圳市龙华区中心医院热敏纸采购项目-A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政府采购投标及履约承诺函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分项报价清单</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股东构成审查表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项目实施方案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售后服务方案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应急保障方案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违约承诺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网点服务响应时间配送时效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投标人资质证明</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投标人同类项目业绩情况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配套能力保障</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LHAZXDL-2024-00182-001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深圳市龙华区中心医院热敏纸采购项目-A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具有独立法人资格或是具有独立承担民事责任能力的其他组织（提供营业执照或事业单位法人证书等证明资料扫描件，原件备查）；：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具有独立法人资格或是具有独立承担民事责任能力的其他组织（提供营业执照或事业单位法人证书等证明资料扫描件，原件备查）；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本项目不接受联合体投标（由供应商在《政府采购投标及履约承诺函》中作出声明），是否接受投标人选用进口产品参与投标详见招标文件货物需求明细”表；：</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本项目不接受联合体投标（由供应商在《政府采购投标及履约承诺函》中作出声明），是否接受投标人选用进口产品参与投标详见招标文件货物需求明细”表；</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未被列入失信被执行人、重大税收违法案件当事人名单、政府采购严重违法失信行为记录名单（由供应商在《政府采购投标及履约承诺函》中作出声明）；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代理机构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未被列入失信被执行人、重大税收违法案件当事人名单、政府采购严重违法失信行为记录名单（由供应商在《政府采购投标及履约承诺函》中作出声明）；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代理机构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不存在《深圳市财政局政府采购供应商信用信息管理办法》（深财规〔2023〕3号）列明的严重违法失信行为（由供应商在《政府采购投标及履约承诺函》中作出声明）；：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不存在《深圳市财政局政府采购供应商信用信息管理办法》（深财规〔2023〕3号）列明的严重违法失信行为（由供应商在《政府采购投标及履约承诺函》中作出声明）；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本项目不属于专门面向中小微企业采购项目。：</w:t>
            </w:r>
            <w:r>
              <w:rPr>
                <w:rFonts w:ascii="FangSong" w:eastAsia="FangSong" w:hAnsi="FangSong" w:cs="FangSong"/>
                <w:color w:val="666666"/>
                <w:lang w:val="en" w:eastAsia="en"/>
              </w:rPr>
              <w:br/>
            </w:r>
            <w:r>
              <w:rPr>
                <w:rFonts w:ascii="FangSong" w:eastAsia="FangSong" w:hAnsi="FangSong" w:cs="FangSong"/>
                <w:color w:val="666666"/>
                <w:lang w:val="en" w:eastAsia="en"/>
              </w:rPr>
              <w:t>本项目不属于专门面向中小微企业采购项目。</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符合性审查</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未按招标文件所提供的样式填写《投标函》、《股东构成审查表》；未按招标文件所提供的《政府采购投标及履约承诺函》进行承诺；未按招标文件对投标文件组成的要求提供投标文件；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未按招标文件所提供的样式填写《投标函》、《股东构成审查表》；未按招标文件所提供的《政府采购投标及履约承诺函》进行承诺；未按招标文件对投标文件组成的要求提供投标文件；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项目实施方案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投标人根据本项目提供项目实施方案，内容包括： 1）供货服务方案； 2）供货配送计划； 3）货物质量保障措施。 （二）评分依据： 每提供以上1项内容得10分，最高得30分。在此基础上，专家根据各供应商的具体响应内容进一步评审： （1）内容针对性强，全面具体，科学合理，可操作性强，评审为优，得70分； （2）内容针对性较强，较全面具体，较科学合理，可操作性较强，评审为良，得40分； （3）内容针对性一般，基本全面，合理性及可操作性一般，评审为中，得10分； （4）内容针对性差，不全面不具体，合理性及可操作性差，评审为差，不得分； （5）未提供项目实施方案，不得分。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售后服务方案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投标人根据本项目提供售后服务方案，内容包括： 1）所有产品均支持七天无理由退换； 2）退换货流程； 3）投诉事件分级及处理细则； 4）对账管理方案。 （二）评分依据： 每提供以上1项内容得10分，最高得40分。在此基础上，专家根据各供应商的具体响应内容进一步评审： （1）内容针对性强，全面具体，科学合理，可操作性强，评审为优，得60分； （2）内容针对性较强，较全面具体，较科学合理，可操作性较强，评审为良，得20分； （3）内容针对性一般，基本全面，合理性及可操作性一般，评审为中，得10分； （4）内容针对性差，不全面不具体，合理性及可操作性差，评审为差，不得分； （5）未提供售后服务方案，不得分。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应急保障方案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投标人根据本项目提供应急保障方案，内容包括： 1）临时紧急配送方案； 2）恶劣天气配送方案； 3）周末及节假日供货方案； 4）质量不符合要求的货物更换方案。 （二）评分依据： 每提供以上1项内容得10分，最高得40分。在此基础上，专家根据各供应商的具体响应内容进一步评审： （1）内容针对性强，全面具体，科学合理，可操作性强，评审为优，得60分； （2）内容针对性较强，较全面具体，较科学合理，可操作性较强，评审为良，得20分； （3）内容针对性一般，基本全面，合理性及可操作性一般，评审为中，得10分； （4）内容针对性差，不全面不具体，合理性及可操作性差，评审为差，不得分； （5）未提供应急保障方案，不得分。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违约承诺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1.承诺提供的热敏纸货物按最新执行标准GBT 28210-2024执行； 2.如提供的货物质量不符合要求或存在问题，免费退换并承担赔偿责任。 （二）评分依据： 投标人承诺以上全部2项得100分，要求提供违约承诺函（格式自定）作为得分依据，未提供承诺函或承诺内容不满足要求的不得分。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样板质量</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评审委员会对投标人提供的样品进行综合评审打分： 1、投标人提供符合要求的样品得10分，不提供样品不得分，样品不合格不得分。 ①样品名称：热敏纸1；数量要求1卷； ②样品名称：热敏纸不干胶1，数量要求1卷。 2、在此基础上，评标委员会对各供应商提供的样品按以下标准进行评分： （1）优评分标准：样品材质和工艺质量好的，加90分； （2）良评分标准：样品材质和工艺质量较好的，加50分； （3）中评分标准：样品材质和工艺质量一般的，加10分； （4）差评分标准：样品材质和工艺质量差的，不加分。 以上累计最高得100分。 注意事项：（提交时间：开标当日140000—143000，联系方式：许工 0755-21075754，提交地点：深圳市龙华区和平路21号振华时代广场8层802）；递交人需提交法定法定代表人授权委托书（盖公章）和授权委托人身份证原件，样品上应当标注项目名称及项目编号、样品编号、样品名称”等信息。</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网点服务响应时间配送时效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根据采购方物品清单日常下单采购需求，承诺产品配送时效： 1、接到采购通知24小时内提供配送服务的，得100分； 2、接到通知48小时内提供配送服务的，得60分； 3、接到通知72小时内提供服务的，得20分。 （二）评分依据： 投标人承诺产品配送时效，要求提供产品配送承诺函（格式自定）作为得分依据，未提供承诺函或承诺内容不满足要求的不得分。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技术规格偏离情况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评审委员会根据《技术要求偏离表》（以下简称偏离表”）响应情况进行打分，全部满足的得100分，一般参数每负偏离一项扣1分，重点技术参数▲项每负偏离一项扣10分，扣完为止。 证明文件： 偏离表应如实对应填写所投产品的具体参数。如要求提供厂家网站截图说明书厂家出具的参数文件检验报告”等证明资料的，需按要求提供相关证明资料；提供的证明资料与所填写内容不一致的，以证明资料为准，原件备查。证明材料不能满足招标要求的，该项按负偏离处理。未按上述要求提供相关材料或无法凭所提供资料判断是否得分的或证明材料不清晰导致无法识别的，均不得相应分数。</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17</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投标人资质证明</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1、投标人须提供相关部门颁发的印刷经营许可证，得100分。 （二）评分依据： 要求提供有效的证书扫描件，原件备查，评分中出现无证明资料或证书过期或专家无法凭所提供资料判断是否得分的情况，一律作不得分处理。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投标人同类项目业绩情况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投标人自2022年1月1日至本项目投标截止之日止所签订的同类业绩项目合同（以合同签订日期为准），每提供1个同类业绩得20分，最高得100分。 备注：同一个采购人（合同甲方）只计为一份业绩。 （二）评分依据： 要求提供合同关键信息（包括但不限于合同标的、签订时间、双方签章页）作为得分依据，通过合同关键信息无法判断是否得分的，还须同时提供能证明得分的其它证明资料，如合同甲方出具的证明文件或项目报告。 备注：以上资料均要求提供扫描件，原件备查，评分中出现无证明资料或证书过期或专家无法凭所提供资料判断是否得分的情况，一律作不得分处理。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配套能力保障</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1、投标人有固定的库存仓库能力保障情况： ①仓库面积≧200 平方米，得 40分； ②100 平方米≤仓库面积＜200 平方米，得20分； ③仓库面积＜100 平方米，得 10分； 2、投标人为此项目拟投入专用车辆数量情况： ①专用运输车辆≧3辆，得60分； ②2 辆≤专用运输车辆＜3 辆，得 40分； ③专用运输车辆＜2 辆，得 20 分； 没有或者其他情况不得分。 （二）评分依据： 1、要求提供租赁合同或自有产权证明，如为租赁性质需再提供近三个月的每个月转账凭证以及对应的租金发票扫描件，提供不齐全的不得分。 2、要求提供的车辆需适用于载货物，若提供自有车辆的，车辆需登记在投标人名下的，需提供有效的行驶证扫描件、车辆全身照（包括车辆内部照）等作为证明材料，提供法人或股东名下车辆不得分。若提供车辆租赁合同的，其租赁合同采购方为投标人，提供有效的车辆行驶证、车辆实拍全身图片（包括车辆内部照）、租赁合同、近三个月的每个月租赁转账凭证及对应的租金发票扫描件，车辆行驶证上所有人需与出租方名称一致，提供不齐全的不得分。 3、如投标人为新成立且成立时间不足三个月的，需提供成立月的次月至开标日期间的上述1和2要求的相关证明文件。 4、以上证明文件均提供扫描件，未提供完整证明材料或提供不清晰导致评委无法识别的，均不得分。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诚信评价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供应商存在《深圳市财政局政府采购供应商信用信息管理办法》（深财规〔2023〕3号）列明的一般行政处罚信息、一般违法失信记录信息的，本项不得分，不存在上述情形的本项得100分。供应商无需提供任何证明材料，评标过程中由工作人员向评审委员会提供有关供应商诚信查询结果。 （二）评分依据： 查询渠道：通过信用中国”、中国政府采购网”（www.ccgp.gov.cn）以及深圳市政府采购监管网”（httpzfcg.sz.gov.cn）查询供应商信用信息，信用信息以代理机构开标当日的查询结果为准。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投标报价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30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0%；失信供应商价格上浮比例：10%。</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jc w:val="center"/>
    </w:pPr>
  </w:p>
  <w:p>
    <w:pPr>
      <w:pStyle w:val="Footer"/>
      <w:spacing w:after="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spacing w:after="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609221C"/>
    <w:multiLevelType w:val="singleLevel"/>
    <w:tmpl w:val="B609221C"/>
    <w:lvl w:ilvl="0">
      <w:start w:val="1"/>
      <w:numFmt w:val="decimal"/>
      <w:suff w:val="nothing"/>
      <w:lvlText w:val="%1、"/>
      <w:lvlJc w:val="left"/>
    </w:lvl>
  </w:abstractNum>
  <w:abstractNum w:abstractNumId="1">
    <w:nsid w:val="B9358C2E"/>
    <w:multiLevelType w:val="singleLevel"/>
    <w:tmpl w:val="B9358C2E"/>
    <w:lvl w:ilvl="0">
      <w:start w:val="2"/>
      <w:numFmt w:val="decimal"/>
      <w:suff w:val="nothing"/>
      <w:lvlText w:val="%1、"/>
      <w:lvlJc w:val="left"/>
    </w:lvl>
  </w:abstractNum>
  <w:abstractNum w:abstractNumId="2">
    <w:nsid w:val="C586F70F"/>
    <w:multiLevelType w:val="singleLevel"/>
    <w:tmpl w:val="C586F70F"/>
    <w:lvl w:ilvl="0">
      <w:start w:val="11"/>
      <w:numFmt w:val="chineseCounting"/>
      <w:suff w:val="nothing"/>
      <w:lvlText w:val="%1、"/>
      <w:lvlJc w:val="left"/>
      <w:rPr>
        <w:rFonts w:hint="eastAsia"/>
      </w:rPr>
    </w:lvl>
  </w:abstractNum>
  <w:abstractNum w:abstractNumId="3">
    <w:nsid w:val="721CBBE0"/>
    <w:multiLevelType w:val="singleLevel"/>
    <w:tmpl w:val="721CBBE0"/>
    <w:lvl w:ilvl="0">
      <w:start w:val="1"/>
      <w:numFmt w:val="decimal"/>
      <w:suff w:val="nothing"/>
      <w:lvlText w:val="%1、"/>
      <w:lvlJc w:val="left"/>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DefaultParagraphFont"/>
    <w:link w:val="Header"/>
    <w:uiPriority w:val="99"/>
    <w:qFormat/>
    <w:rPr>
      <w:rFonts w:eastAsia="宋体"/>
      <w:sz w:val="18"/>
      <w:szCs w:val="18"/>
    </w:rPr>
  </w:style>
  <w:style w:type="paragraph" w:styleId="Footer">
    <w:name w:val="footer"/>
    <w:basedOn w:val="Normal"/>
    <w:link w:val="Char0"/>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DefaultParagraphFont"/>
    <w:link w:val="Footer"/>
    <w:uiPriority w:val="99"/>
    <w:qFormat/>
    <w:rPr>
      <w:rFonts w:eastAsia="宋体"/>
      <w:sz w:val="18"/>
      <w:szCs w:val="18"/>
    </w:rPr>
  </w:style>
  <w:style w:type="table" w:styleId="TableGrid">
    <w:name w:val="Table Grid"/>
    <w:basedOn w:val="TableNormal"/>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mr.sz.gov.cn/outer/entSelect/gs.html" TargetMode="Externa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yperlink" Target="https://www.gsxt.gov.cn/corp-query-homepage.html" TargetMode="External" /><Relationship Id="rId8" Type="http://schemas.openxmlformats.org/officeDocument/2006/relationships/image" Target="media/image3.png" /><Relationship Id="rId9" Type="http://schemas.openxmlformats.org/officeDocument/2006/relationships/header" Target="head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