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line="360" w:lineRule="auto"/>
        <w:jc w:val="both"/>
        <w:rPr>
          <w:rFonts w:ascii="宋体" w:eastAsia="宋体" w:hAnsi="宋体"/>
          <w:b/>
          <w:bCs/>
          <w:kern w:val="2"/>
          <w:sz w:val="30"/>
          <w:szCs w:val="30"/>
          <w:lang w:eastAsia="zh-CN"/>
        </w:rPr>
      </w:pPr>
    </w:p>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98"/>
        <w:gridCol w:w="792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spacing w:before="0" w:beforeAutospacing="1" w:after="0"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2873"/>
        <w:gridCol w:w="5506"/>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项目编号：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kern w:val="2"/>
                <w:sz w:val="30"/>
                <w:szCs w:val="30"/>
                <w:lang w:eastAsia="zh-CN"/>
              </w:rPr>
            </w:pPr>
            <w:r>
              <w:rPr>
                <w:rFonts w:ascii="宋体" w:eastAsia="宋体" w:hAnsi="宋体" w:cs="宋体"/>
                <w:kern w:val="2"/>
                <w:sz w:val="30"/>
                <w:szCs w:val="30"/>
                <w:lang w:eastAsia="zh-CN"/>
              </w:rPr>
              <w:t>LHAZXDL-2025-00621-001</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项目名称：</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深圳市龙华高级中学教育集团（大浪校区）学生食堂运营管理服务</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包    号：</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项目类型：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服务类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采购方式：</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公开招标</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货币类型：</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kinsoku/>
              <w:overflowPunct/>
              <w:topLinePunct w:val="0"/>
              <w:bidi w:val="0"/>
              <w:spacing w:beforeAutospacing="0" w:afterAutospacing="0" w:line="360" w:lineRule="auto"/>
              <w:ind w:left="0" w:right="0" w:firstLine="0" w:leftChars="0" w:firstLineChars="0"/>
              <w:jc w:val="right"/>
              <w:rPr>
                <w:rFonts w:ascii="宋体" w:eastAsia="宋体" w:hAnsi="宋体" w:cs="宋体" w:hint="eastAsia"/>
                <w:kern w:val="2"/>
                <w:sz w:val="30"/>
                <w:szCs w:val="30"/>
                <w:lang w:eastAsia="zh-CN"/>
              </w:rPr>
            </w:pPr>
            <w:r>
              <w:rPr>
                <w:rFonts w:ascii="宋体" w:eastAsia="宋体" w:hAnsi="宋体" w:cs="宋体" w:hint="eastAsia"/>
                <w:kern w:val="2"/>
                <w:sz w:val="30"/>
                <w:szCs w:val="30"/>
                <w:lang w:eastAsia="zh-CN"/>
              </w:rPr>
              <w:t>评标方法：</w:t>
            </w:r>
          </w:p>
        </w:tc>
        <w:tc>
          <w:tcPr>
            <w:tcW w:w="5216" w:type="dxa"/>
            <w:vAlign w:val="center"/>
          </w:tcPr>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30"/>
                <w:szCs w:val="30"/>
                <w:lang w:eastAsia="zh-CN"/>
              </w:rPr>
            </w:pPr>
            <w:r>
              <w:rPr>
                <w:rFonts w:ascii="宋体" w:eastAsia="宋体" w:hAnsi="宋体" w:cs="宋体" w:hint="eastAsia"/>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spacing w:line="360" w:lineRule="auto"/>
        <w:jc w:val="both"/>
        <w:rPr>
          <w:rFonts w:ascii="宋体" w:eastAsia="宋体" w:hAnsi="宋体"/>
          <w:b/>
          <w:bCs/>
          <w:kern w:val="2"/>
          <w:sz w:val="30"/>
          <w:szCs w:val="3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6"/>
        <w:gridCol w:w="778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19"/>
        <w:gridCol w:w="780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780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trHeight w:val="822"/>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投标报价有缺漏项目,或者对招标文件规定的项目需求内容或者需求数量进行修改，评审委员会判定投标响应不满足采购需求；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trHeight w:val="213"/>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19"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780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397"/>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投标报价得分=(评标基准价／投标报价)×100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评标总得分＝F1×A1＋F2×A2＋……＋Fn×An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F1、F2……Fn分别为各项评审因素的得分； </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 xml:space="preserve">A1、A2、……An 分别为各项评审因素所占的权重(A1＋A2＋……＋An＝1)。 </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horzAnchor="page" w:tblpX="1534" w:tblpY="245"/>
        <w:tblOverlap w:val="never"/>
        <w:tblW w:w="5000" w:type="pct"/>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49"/>
        <w:gridCol w:w="649"/>
        <w:gridCol w:w="2654"/>
        <w:gridCol w:w="650"/>
        <w:gridCol w:w="3921"/>
      </w:tblGrid>
      <w:tr>
        <w:tblPrEx>
          <w:tblW w:w="5000" w:type="pct"/>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c>
          <w:tcPr>
            <w:tcW w:w="680"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序号</w:t>
            </w:r>
          </w:p>
        </w:tc>
        <w:tc>
          <w:tcPr>
            <w:tcW w:w="4196"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评分项</w:t>
            </w:r>
          </w:p>
        </w:tc>
        <w:tc>
          <w:tcPr>
            <w:tcW w:w="4196"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权重(%)</w:t>
            </w:r>
          </w:p>
        </w:tc>
      </w:tr>
      <w:tr>
        <w:tblPrEx>
          <w:tblW w:w="5000" w:type="pct"/>
          <w:tblInd w:w="0" w:type="dxa"/>
          <w:tblLayout w:type="fixed"/>
          <w:tblCellMar>
            <w:top w:w="20" w:type="dxa"/>
            <w:left w:w="108" w:type="dxa"/>
            <w:bottom w:w="20" w:type="dxa"/>
            <w:right w:w="108" w:type="dxa"/>
          </w:tblCellMar>
        </w:tblPrEx>
        <w:tc>
          <w:tcPr>
            <w:tcW w:w="680" w:type="dxa"/>
            <w:vMerge w:val="restart"/>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1</w:t>
            </w:r>
          </w:p>
        </w:tc>
        <w:tc>
          <w:tcPr>
            <w:tcW w:w="4196" w:type="dxa"/>
            <w:gridSpan w:val="3"/>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价格</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rPr>
              <w:t>10</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8392" w:type="dxa"/>
            <w:gridSpan w:val="4"/>
            <w:tcBorders>
              <w:top w:val="single" w:sz="8" w:space="0" w:color="000000"/>
              <w:left w:val="single" w:sz="8" w:space="0" w:color="000000"/>
              <w:bottom w:val="single" w:sz="8" w:space="0" w:color="000000"/>
              <w:right w:val="single" w:sz="8" w:space="0" w:color="000000"/>
            </w:tcBorders>
            <w:noWrap w:val="0"/>
            <w:vAlign w:val="top"/>
          </w:tcPr>
          <w:p>
            <w:pPr>
              <w:wordWrap w:val="0"/>
              <w:rPr>
                <w:rFonts w:ascii="宋体" w:eastAsia="宋体" w:hAnsi="宋体" w:cs="宋体" w:hint="eastAsia"/>
                <w:color w:val="000000"/>
                <w:sz w:val="21"/>
                <w:szCs w:val="21"/>
              </w:rPr>
            </w:pPr>
          </w:p>
        </w:tc>
      </w:tr>
      <w:tr>
        <w:tblPrEx>
          <w:tblW w:w="5000" w:type="pct"/>
          <w:tblInd w:w="0" w:type="dxa"/>
          <w:tblLayout w:type="fixed"/>
          <w:tblCellMar>
            <w:top w:w="20" w:type="dxa"/>
            <w:left w:w="108" w:type="dxa"/>
            <w:bottom w:w="20" w:type="dxa"/>
            <w:right w:w="108" w:type="dxa"/>
          </w:tblCellMar>
        </w:tblPrEx>
        <w:tc>
          <w:tcPr>
            <w:tcW w:w="680" w:type="dxa"/>
            <w:vMerge w:val="restart"/>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2</w:t>
            </w:r>
          </w:p>
        </w:tc>
        <w:tc>
          <w:tcPr>
            <w:tcW w:w="4196" w:type="dxa"/>
            <w:gridSpan w:val="3"/>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技术部分</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60</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8392" w:type="dxa"/>
            <w:gridSpan w:val="4"/>
            <w:tcBorders>
              <w:top w:val="single" w:sz="8" w:space="0" w:color="000000"/>
              <w:left w:val="single" w:sz="8" w:space="0" w:color="000000"/>
              <w:bottom w:val="single" w:sz="8" w:space="0" w:color="000000"/>
              <w:right w:val="single" w:sz="8" w:space="0" w:color="000000"/>
            </w:tcBorders>
            <w:noWrap w:val="0"/>
            <w:vAlign w:val="top"/>
          </w:tcPr>
          <w:p>
            <w:pPr>
              <w:wordWrap w:val="0"/>
              <w:rPr>
                <w:rFonts w:ascii="宋体" w:eastAsia="宋体" w:hAnsi="宋体" w:cs="宋体" w:hint="eastAsia"/>
                <w:color w:val="000000"/>
                <w:sz w:val="21"/>
                <w:szCs w:val="21"/>
              </w:rPr>
            </w:pP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rPr>
                <w:rFonts w:ascii="宋体" w:eastAsia="宋体" w:hAnsi="宋体" w:cs="宋体" w:hint="eastAsia"/>
                <w:b/>
                <w:bCs/>
                <w:color w:val="000000"/>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权重(%)</w:t>
            </w:r>
          </w:p>
        </w:tc>
        <w:tc>
          <w:tcPr>
            <w:tcW w:w="419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评分准则</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lang w:bidi="ar"/>
              </w:rPr>
              <w:t>服务方案和安全管理方案</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12</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（一）评分内容：</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评审委员会根据投标单位的方案进行评审，包括但不限于以下方案：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1. 服务方案。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2.</w:t>
            </w:r>
            <w:r>
              <w:rPr>
                <w:rFonts w:ascii="宋体" w:eastAsia="宋体" w:hAnsi="宋体" w:cs="宋体" w:hint="eastAsia"/>
                <w:color w:val="000000"/>
                <w:sz w:val="21"/>
                <w:szCs w:val="21"/>
                <w:lang w:bidi="ar"/>
              </w:rPr>
              <w:t xml:space="preserve"> 食品卫生安全管理制度</w:t>
            </w:r>
            <w:r>
              <w:rPr>
                <w:rFonts w:ascii="宋体" w:eastAsia="宋体" w:hAnsi="宋体" w:cs="宋体" w:hint="eastAsia"/>
                <w:color w:val="000000"/>
                <w:sz w:val="21"/>
                <w:szCs w:val="21"/>
              </w:rPr>
              <w:t>。</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3.</w:t>
            </w:r>
            <w:r>
              <w:rPr>
                <w:rFonts w:ascii="宋体" w:eastAsia="宋体" w:hAnsi="宋体" w:cs="宋体" w:hint="eastAsia"/>
                <w:color w:val="000000"/>
                <w:sz w:val="21"/>
                <w:szCs w:val="21"/>
                <w:lang w:bidi="ar"/>
              </w:rPr>
              <w:t xml:space="preserve"> 员工培训制度</w:t>
            </w:r>
            <w:r>
              <w:rPr>
                <w:rFonts w:ascii="宋体" w:eastAsia="宋体" w:hAnsi="宋体" w:cs="宋体" w:hint="eastAsia"/>
                <w:color w:val="000000"/>
                <w:sz w:val="21"/>
                <w:szCs w:val="21"/>
              </w:rPr>
              <w:t>。</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4.</w:t>
            </w:r>
            <w:r>
              <w:rPr>
                <w:rFonts w:ascii="宋体" w:eastAsia="宋体" w:hAnsi="宋体" w:cs="宋体" w:hint="eastAsia"/>
                <w:color w:val="000000"/>
                <w:sz w:val="21"/>
                <w:szCs w:val="21"/>
                <w:lang w:bidi="ar"/>
              </w:rPr>
              <w:t xml:space="preserve"> 消防安全管理制度</w:t>
            </w:r>
            <w:r>
              <w:rPr>
                <w:rFonts w:ascii="宋体" w:eastAsia="宋体" w:hAnsi="宋体" w:cs="宋体" w:hint="eastAsia"/>
                <w:color w:val="000000"/>
                <w:sz w:val="21"/>
                <w:szCs w:val="21"/>
              </w:rPr>
              <w:t>。</w:t>
            </w:r>
          </w:p>
          <w:p>
            <w:pPr>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5.</w:t>
            </w:r>
            <w:r>
              <w:rPr>
                <w:rFonts w:ascii="宋体" w:eastAsia="宋体" w:hAnsi="宋体" w:cs="宋体" w:hint="eastAsia"/>
                <w:color w:val="000000"/>
                <w:sz w:val="21"/>
                <w:szCs w:val="21"/>
                <w:lang w:bidi="ar"/>
              </w:rPr>
              <w:t xml:space="preserve"> 劳动安全管理制</w:t>
            </w:r>
            <w:r>
              <w:rPr>
                <w:rFonts w:ascii="宋体" w:eastAsia="宋体" w:hAnsi="宋体" w:cs="宋体" w:hint="eastAsia"/>
                <w:color w:val="000000"/>
                <w:sz w:val="21"/>
                <w:szCs w:val="21"/>
                <w:lang w:eastAsia="zh-CN" w:bidi="ar"/>
              </w:rPr>
              <w:t>。</w:t>
            </w:r>
          </w:p>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（二）评分依据：</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提供以上5点内容得</w:t>
            </w:r>
            <w:r>
              <w:rPr>
                <w:rFonts w:ascii="宋体" w:eastAsia="宋体" w:hAnsi="宋体" w:cs="宋体" w:hint="eastAsia"/>
                <w:color w:val="000000"/>
                <w:sz w:val="21"/>
                <w:szCs w:val="21"/>
                <w:lang w:eastAsia="zh-CN"/>
              </w:rPr>
              <w:t>50%</w:t>
            </w:r>
            <w:r>
              <w:rPr>
                <w:rFonts w:ascii="宋体" w:eastAsia="宋体" w:hAnsi="宋体" w:cs="宋体" w:hint="eastAsia"/>
                <w:color w:val="000000"/>
                <w:sz w:val="21"/>
                <w:szCs w:val="21"/>
              </w:rPr>
              <w:t>分，缺项不得分。 在此基础上，专家根据内容的合理性进行评分: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优评分标准:方案符合实际、完整、规范、思路清晰，内容合理性强，得</w:t>
            </w:r>
            <w:r>
              <w:rPr>
                <w:rFonts w:ascii="宋体" w:eastAsia="宋体" w:hAnsi="宋体" w:cs="宋体" w:hint="eastAsia"/>
                <w:color w:val="000000"/>
                <w:sz w:val="21"/>
                <w:szCs w:val="21"/>
                <w:lang w:eastAsia="zh-CN"/>
              </w:rPr>
              <w:t>50%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良评分标准:方案较符合实际、较完整规范、思路较清晰，内容合理性较强，得</w:t>
            </w:r>
            <w:r>
              <w:rPr>
                <w:rFonts w:ascii="宋体" w:eastAsia="宋体" w:hAnsi="宋体" w:cs="宋体" w:hint="eastAsia"/>
                <w:color w:val="000000"/>
                <w:sz w:val="21"/>
                <w:szCs w:val="21"/>
                <w:lang w:eastAsia="zh-CN"/>
              </w:rPr>
              <w:t>30%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中评分标准:方案较普通、完整性规范性一般，思路不够清晰，内容合理性一般，得</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差评分标准：方案不完整、不规范，思路不清晰，内容合理性较差或未提供，不得分。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2</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lang w:bidi="ar"/>
              </w:rPr>
              <w:t>质量保证措施</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12</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（一）评分内容：</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评审委员会根据投标单位的质量保证措施进行评审。</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（二）评分依据：</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提供保障措施内容得</w:t>
            </w:r>
            <w:r>
              <w:rPr>
                <w:rFonts w:ascii="宋体" w:eastAsia="宋体" w:hAnsi="宋体" w:cs="宋体" w:hint="eastAsia"/>
                <w:color w:val="000000"/>
                <w:sz w:val="21"/>
                <w:szCs w:val="21"/>
                <w:lang w:eastAsia="zh-CN"/>
              </w:rPr>
              <w:t>30%</w:t>
            </w:r>
            <w:r>
              <w:rPr>
                <w:rFonts w:ascii="宋体" w:eastAsia="宋体" w:hAnsi="宋体" w:cs="宋体" w:hint="eastAsia"/>
                <w:color w:val="000000"/>
                <w:sz w:val="21"/>
                <w:szCs w:val="21"/>
              </w:rPr>
              <w:t>分，缺项不得分。 在此基础上，专家根据内容的合理性进行评分: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优评分标准:措施符合实际、完整、规范、思路清晰，内容合理性强，得</w:t>
            </w:r>
            <w:r>
              <w:rPr>
                <w:rFonts w:ascii="宋体" w:eastAsia="宋体" w:hAnsi="宋体" w:cs="宋体" w:hint="eastAsia"/>
                <w:color w:val="000000"/>
                <w:sz w:val="21"/>
                <w:szCs w:val="21"/>
                <w:lang w:eastAsia="zh-CN"/>
              </w:rPr>
              <w:t>70%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良评分标准:措施较符合实际、较完整规范、思路较清晰，内容合理性较强，得</w:t>
            </w:r>
            <w:r>
              <w:rPr>
                <w:rFonts w:ascii="宋体" w:eastAsia="宋体" w:hAnsi="宋体" w:cs="宋体" w:hint="eastAsia"/>
                <w:color w:val="000000"/>
                <w:sz w:val="21"/>
                <w:szCs w:val="21"/>
                <w:lang w:eastAsia="zh-CN"/>
              </w:rPr>
              <w:t>30%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中评分标准:措施较普通、完整性规范性一般，思路不够清晰，内容合理性一般，得</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rPr>
              <w:t>分;</w:t>
            </w:r>
          </w:p>
          <w:p>
            <w:pPr>
              <w:jc w:val="left"/>
              <w:rPr>
                <w:rFonts w:ascii="宋体" w:eastAsia="宋体" w:hAnsi="宋体" w:cs="宋体" w:hint="eastAsia"/>
                <w:color w:val="000000"/>
                <w:kern w:val="2"/>
                <w:sz w:val="21"/>
                <w:szCs w:val="21"/>
              </w:rPr>
            </w:pPr>
            <w:r>
              <w:rPr>
                <w:rFonts w:ascii="宋体" w:eastAsia="宋体" w:hAnsi="宋体" w:cs="宋体" w:hint="eastAsia"/>
                <w:color w:val="000000"/>
                <w:sz w:val="21"/>
                <w:szCs w:val="21"/>
              </w:rPr>
              <w:t>差评分标准：措施不完整、不规范，思路不清晰，内容合理性较差或未提供，不得分。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3</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突发状况应急方案</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12</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（一）评分内容：</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评审委员会根据投标单位的突发状况应急方案进行评审。</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1. 食物中毒应急预案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2. 消防应急预案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3. 暴雨、台风应急预案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4. 反恐应急预案。</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（二）评分依据：</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提供以上4点内容得</w:t>
            </w:r>
            <w:r>
              <w:rPr>
                <w:rFonts w:ascii="宋体" w:eastAsia="宋体" w:hAnsi="宋体" w:cs="宋体" w:hint="eastAsia"/>
                <w:color w:val="000000"/>
                <w:sz w:val="21"/>
                <w:szCs w:val="21"/>
                <w:lang w:eastAsia="zh-CN"/>
              </w:rPr>
              <w:t>40%</w:t>
            </w:r>
            <w:r>
              <w:rPr>
                <w:rFonts w:ascii="宋体" w:eastAsia="宋体" w:hAnsi="宋体" w:cs="宋体" w:hint="eastAsia"/>
                <w:color w:val="000000"/>
                <w:sz w:val="21"/>
                <w:szCs w:val="21"/>
              </w:rPr>
              <w:t>分，缺项不得分。 在此基础上，专家根据内容的合理性进行评分: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优评分标准:方案符合实际、完整、规范、思路清晰，内容合理性强，得</w:t>
            </w:r>
            <w:r>
              <w:rPr>
                <w:rFonts w:ascii="宋体" w:eastAsia="宋体" w:hAnsi="宋体" w:cs="宋体" w:hint="eastAsia"/>
                <w:color w:val="000000"/>
                <w:sz w:val="21"/>
                <w:szCs w:val="21"/>
                <w:lang w:eastAsia="zh-CN"/>
              </w:rPr>
              <w:t>60%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良评分标准:方案较符合实际、较完整规范、思路较清晰，内容合理性较强，得</w:t>
            </w:r>
            <w:r>
              <w:rPr>
                <w:rFonts w:ascii="宋体" w:eastAsia="宋体" w:hAnsi="宋体" w:cs="宋体" w:hint="eastAsia"/>
                <w:color w:val="000000"/>
                <w:sz w:val="21"/>
                <w:szCs w:val="21"/>
                <w:lang w:eastAsia="zh-CN"/>
              </w:rPr>
              <w:t>30%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中评分标准:方案较普通、完整性规范性一般，思路不够清晰，内容合理性一般，得</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差评分标准：方案不完整、不规范，思路不清晰，内容合理性较差或未提供，不得分。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4</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卫生管理和保障制度</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12</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（一）评分内容：</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评审委员会根据投标单位的卫生管理和保障制度进行评审。</w:t>
            </w:r>
          </w:p>
          <w:p>
            <w:pPr>
              <w:jc w:val="left"/>
              <w:rPr>
                <w:rFonts w:ascii="宋体" w:eastAsia="宋体" w:hAnsi="宋体" w:cs="宋体" w:hint="eastAsia"/>
                <w:color w:val="000000"/>
                <w:sz w:val="21"/>
                <w:szCs w:val="21"/>
                <w:lang w:bidi="ar"/>
              </w:rPr>
            </w:pPr>
            <w:r>
              <w:rPr>
                <w:rFonts w:ascii="宋体" w:eastAsia="宋体" w:hAnsi="宋体" w:cs="宋体" w:hint="eastAsia"/>
                <w:color w:val="000000"/>
                <w:sz w:val="21"/>
                <w:szCs w:val="21"/>
              </w:rPr>
              <w:t xml:space="preserve">1. </w:t>
            </w:r>
            <w:r>
              <w:rPr>
                <w:rFonts w:ascii="宋体" w:eastAsia="宋体" w:hAnsi="宋体" w:cs="宋体" w:hint="eastAsia"/>
                <w:color w:val="000000"/>
                <w:sz w:val="21"/>
                <w:szCs w:val="21"/>
                <w:lang w:bidi="ar"/>
              </w:rPr>
              <w:t>卫生管理制度</w:t>
            </w:r>
          </w:p>
          <w:p>
            <w:pPr>
              <w:jc w:val="left"/>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2. 卫生保障制度</w:t>
            </w:r>
          </w:p>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（二）评分依据：</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提供以上2点内容得</w:t>
            </w:r>
            <w:r>
              <w:rPr>
                <w:rFonts w:ascii="宋体" w:eastAsia="宋体" w:hAnsi="宋体" w:cs="宋体" w:hint="eastAsia"/>
                <w:color w:val="000000"/>
                <w:sz w:val="21"/>
                <w:szCs w:val="21"/>
                <w:lang w:eastAsia="zh-CN"/>
              </w:rPr>
              <w:t>20%</w:t>
            </w:r>
            <w:r>
              <w:rPr>
                <w:rFonts w:ascii="宋体" w:eastAsia="宋体" w:hAnsi="宋体" w:cs="宋体" w:hint="eastAsia"/>
                <w:color w:val="000000"/>
                <w:sz w:val="21"/>
                <w:szCs w:val="21"/>
              </w:rPr>
              <w:t>分，缺项不得分。 在此基础上，专家根据内容的合理性进行评分: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优评分标准:方案符合实际、完整、规范、思路清晰，内容合理性强，得</w:t>
            </w:r>
            <w:r>
              <w:rPr>
                <w:rFonts w:ascii="宋体" w:eastAsia="宋体" w:hAnsi="宋体" w:cs="宋体" w:hint="eastAsia"/>
                <w:color w:val="000000"/>
                <w:sz w:val="21"/>
                <w:szCs w:val="21"/>
                <w:lang w:eastAsia="zh-CN"/>
              </w:rPr>
              <w:t>80%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良评分标准:方案较符合实际、较完整规范、思路较清晰，内容合理性较强，得</w:t>
            </w:r>
            <w:r>
              <w:rPr>
                <w:rFonts w:ascii="宋体" w:eastAsia="宋体" w:hAnsi="宋体" w:cs="宋体" w:hint="eastAsia"/>
                <w:color w:val="000000"/>
                <w:sz w:val="21"/>
                <w:szCs w:val="21"/>
                <w:lang w:eastAsia="zh-CN"/>
              </w:rPr>
              <w:t>50%</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中评分标准:方案较普通、完整性规范性一般，思路不够清晰，内容合理性一般，得</w:t>
            </w:r>
            <w:r>
              <w:rPr>
                <w:rFonts w:ascii="宋体" w:eastAsia="宋体" w:hAnsi="宋体" w:cs="宋体" w:hint="eastAsia"/>
                <w:color w:val="000000"/>
                <w:sz w:val="21"/>
                <w:szCs w:val="21"/>
                <w:lang w:eastAsia="zh-CN"/>
              </w:rPr>
              <w:t>20%</w:t>
            </w:r>
            <w:r>
              <w:rPr>
                <w:rFonts w:ascii="宋体" w:eastAsia="宋体" w:hAnsi="宋体" w:cs="宋体" w:hint="eastAsia"/>
                <w:color w:val="000000"/>
                <w:sz w:val="21"/>
                <w:szCs w:val="21"/>
              </w:rPr>
              <w:t>分;</w:t>
            </w:r>
          </w:p>
          <w:p>
            <w:pPr>
              <w:jc w:val="left"/>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差评分标准：方案不完整、不规范，思路不清晰，内容合理性较差或未提供，不得分。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拟安排的项目负责人情况（仅限一人）</w:t>
            </w:r>
          </w:p>
          <w:p>
            <w:pPr>
              <w:wordWrap w:val="0"/>
              <w:jc w:val="center"/>
              <w:rPr>
                <w:rFonts w:ascii="宋体" w:eastAsia="宋体" w:hAnsi="宋体" w:cs="宋体" w:hint="eastAsia"/>
                <w:color w:val="000000"/>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6</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color w:val="000000"/>
                <w:sz w:val="21"/>
                <w:szCs w:val="21"/>
              </w:rPr>
            </w:pPr>
            <w:r>
              <w:rPr>
                <w:rFonts w:ascii="宋体" w:eastAsia="宋体" w:hAnsi="宋体" w:cs="宋体" w:hint="eastAsia"/>
                <w:b/>
                <w:bCs/>
                <w:color w:val="000000"/>
                <w:sz w:val="21"/>
                <w:szCs w:val="21"/>
              </w:rPr>
              <w:t>（一）评分内容：</w:t>
            </w:r>
            <w:r>
              <w:rPr>
                <w:rFonts w:ascii="宋体" w:eastAsia="宋体" w:hAnsi="宋体" w:cs="宋体" w:hint="eastAsia"/>
                <w:color w:val="000000"/>
                <w:sz w:val="21"/>
                <w:szCs w:val="21"/>
              </w:rPr>
              <w:t>拟安排的项目负责人须为投标人自有员工：</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1、具有</w:t>
            </w:r>
            <w:r>
              <w:rPr>
                <w:rFonts w:ascii="宋体" w:eastAsia="宋体" w:hAnsi="宋体" w:cs="宋体" w:hint="eastAsia"/>
                <w:color w:val="000000"/>
                <w:sz w:val="21"/>
                <w:szCs w:val="21"/>
                <w:lang w:eastAsia="zh-CN"/>
              </w:rPr>
              <w:t>专</w:t>
            </w:r>
            <w:r>
              <w:rPr>
                <w:rFonts w:ascii="宋体" w:eastAsia="宋体" w:hAnsi="宋体" w:cs="宋体" w:hint="eastAsia"/>
                <w:color w:val="000000"/>
                <w:sz w:val="21"/>
                <w:szCs w:val="21"/>
              </w:rPr>
              <w:t>科或以上的学历，得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2、具有高级食品检验</w:t>
            </w:r>
            <w:r>
              <w:rPr>
                <w:rFonts w:ascii="宋体" w:eastAsia="宋体" w:hAnsi="宋体" w:cs="宋体" w:hint="eastAsia"/>
                <w:color w:val="000000"/>
                <w:sz w:val="21"/>
                <w:szCs w:val="21"/>
                <w:lang w:eastAsia="zh-CN"/>
              </w:rPr>
              <w:t>师证书，得34%分；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3</w:t>
            </w:r>
            <w:r>
              <w:rPr>
                <w:rFonts w:ascii="宋体" w:eastAsia="宋体" w:hAnsi="宋体" w:cs="宋体" w:hint="eastAsia"/>
                <w:color w:val="000000"/>
                <w:sz w:val="21"/>
                <w:szCs w:val="21"/>
              </w:rPr>
              <w:t>、具有高级食品安全管理（人）员证书（或高级食品安全管理（人）员考试合格证明证书），得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以上</w:t>
            </w:r>
            <w:r>
              <w:rPr>
                <w:rFonts w:ascii="宋体" w:eastAsia="宋体" w:hAnsi="宋体" w:cs="宋体" w:hint="eastAsia"/>
                <w:color w:val="000000"/>
                <w:sz w:val="21"/>
                <w:szCs w:val="21"/>
                <w:lang w:eastAsia="zh-CN"/>
              </w:rPr>
              <w:t>3</w:t>
            </w:r>
            <w:r>
              <w:rPr>
                <w:rFonts w:ascii="宋体" w:eastAsia="宋体" w:hAnsi="宋体" w:cs="宋体" w:hint="eastAsia"/>
                <w:color w:val="000000"/>
                <w:sz w:val="21"/>
                <w:szCs w:val="21"/>
              </w:rPr>
              <w:t>项累计加分，最高得</w:t>
            </w:r>
            <w:r>
              <w:rPr>
                <w:rFonts w:ascii="宋体" w:eastAsia="宋体" w:hAnsi="宋体" w:cs="宋体" w:hint="eastAsia"/>
                <w:color w:val="000000"/>
                <w:sz w:val="21"/>
                <w:szCs w:val="21"/>
                <w:lang w:eastAsia="zh-CN"/>
              </w:rPr>
              <w:t>100%</w:t>
            </w:r>
            <w:r>
              <w:rPr>
                <w:rFonts w:ascii="宋体" w:eastAsia="宋体" w:hAnsi="宋体" w:cs="宋体" w:hint="eastAsia"/>
                <w:color w:val="000000"/>
                <w:sz w:val="21"/>
                <w:szCs w:val="21"/>
              </w:rPr>
              <w:t>分。</w:t>
            </w:r>
          </w:p>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（二）评分依据：</w:t>
            </w:r>
          </w:p>
          <w:p>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 </w:t>
            </w:r>
            <w:r>
              <w:rPr>
                <w:rFonts w:ascii="宋体" w:eastAsia="宋体" w:hAnsi="宋体" w:cs="宋体" w:hint="eastAsia"/>
                <w:bCs/>
                <w:color w:val="000000"/>
                <w:kern w:val="2"/>
                <w:sz w:val="21"/>
                <w:szCs w:val="21"/>
                <w:lang w:eastAsia="zh-CN"/>
              </w:rPr>
              <w:t>提供投标单位缴纳的</w:t>
            </w:r>
            <w:r>
              <w:rPr>
                <w:rFonts w:ascii="宋体" w:eastAsia="宋体" w:hAnsi="宋体" w:cs="宋体" w:hint="eastAsia"/>
                <w:bCs/>
                <w:color w:val="000000"/>
                <w:kern w:val="2"/>
                <w:sz w:val="21"/>
                <w:szCs w:val="21"/>
                <w:lang w:eastAsia="zh-CN"/>
              </w:rPr>
              <w:t>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w:t>
            </w:r>
            <w:r>
              <w:rPr>
                <w:rFonts w:ascii="宋体" w:eastAsia="宋体" w:hAnsi="宋体" w:cs="宋体" w:hint="eastAsia"/>
                <w:color w:val="000000"/>
                <w:kern w:val="2"/>
                <w:sz w:val="21"/>
                <w:szCs w:val="21"/>
                <w:lang w:eastAsia="zh-CN"/>
              </w:rPr>
              <w:t>原件备查。</w:t>
            </w:r>
            <w:r>
              <w:rPr>
                <w:rFonts w:ascii="宋体" w:eastAsia="宋体" w:hAnsi="宋体" w:cs="宋体" w:hint="eastAsia"/>
                <w:color w:val="000000"/>
                <w:kern w:val="2"/>
                <w:sz w:val="21"/>
                <w:szCs w:val="21"/>
                <w:lang w:eastAsia="zh-CN"/>
              </w:rPr>
              <w:t>未按以上要求提供相关材料或不清晰导致无法识别的不计得分。</w:t>
            </w:r>
          </w:p>
          <w:p>
            <w:pPr>
              <w:rPr>
                <w:rFonts w:ascii="宋体" w:eastAsia="宋体" w:hAnsi="宋体" w:cs="宋体" w:hint="eastAsia"/>
                <w:color w:val="000000"/>
                <w:sz w:val="21"/>
                <w:szCs w:val="21"/>
              </w:rPr>
            </w:pPr>
            <w:r>
              <w:rPr>
                <w:rFonts w:ascii="宋体" w:eastAsia="宋体" w:hAnsi="宋体" w:cs="宋体" w:hint="eastAsia"/>
                <w:color w:val="000000"/>
                <w:sz w:val="21"/>
                <w:szCs w:val="21"/>
              </w:rPr>
              <w:t>2.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3.第2要求投标人提供证明扫描件以及相关证明材料作为得分依据，原件备查。若由行业协会</w:t>
            </w:r>
            <w:r>
              <w:rPr>
                <w:rFonts w:ascii="宋体" w:eastAsia="宋体" w:hAnsi="宋体" w:cs="宋体" w:hint="eastAsia"/>
                <w:bCs/>
                <w:color w:val="000000"/>
                <w:sz w:val="21"/>
                <w:szCs w:val="21"/>
              </w:rPr>
              <w:t>/社会组织</w:t>
            </w:r>
            <w:r>
              <w:rPr>
                <w:rFonts w:ascii="宋体" w:eastAsia="宋体" w:hAnsi="宋体" w:cs="宋体" w:hint="eastAsia"/>
                <w:color w:val="000000"/>
                <w:sz w:val="21"/>
                <w:szCs w:val="21"/>
              </w:rPr>
              <w:t>发证的，还需提供该行业协会</w:t>
            </w:r>
            <w:r>
              <w:rPr>
                <w:rFonts w:ascii="宋体" w:eastAsia="宋体" w:hAnsi="宋体" w:cs="宋体" w:hint="eastAsia"/>
                <w:bCs/>
                <w:color w:val="000000"/>
                <w:sz w:val="21"/>
                <w:szCs w:val="21"/>
              </w:rPr>
              <w:t>/社会组织</w:t>
            </w:r>
            <w:r>
              <w:rPr>
                <w:rFonts w:ascii="宋体" w:eastAsia="宋体" w:hAnsi="宋体" w:cs="宋体" w:hint="eastAsia"/>
                <w:color w:val="000000"/>
                <w:sz w:val="21"/>
                <w:szCs w:val="21"/>
              </w:rPr>
              <w:t>在中国社会组织政务服务平台查询正常截图（https://chinanpo.mca.gov.cn），原件备查。相关证书在公开渠道无法查询的，需提供颁发部门或者监管机构的证明材料，证明证书真实有效且为合法机构颁发。</w:t>
            </w:r>
          </w:p>
          <w:p>
            <w:pPr>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4.第3</w:t>
            </w:r>
            <w:r>
              <w:rPr>
                <w:rFonts w:ascii="宋体" w:eastAsia="宋体" w:hAnsi="宋体" w:cs="宋体" w:hint="eastAsia"/>
                <w:color w:val="000000"/>
                <w:sz w:val="21"/>
                <w:szCs w:val="21"/>
              </w:rPr>
              <w:t>提供高级食品安全管理（人）员证书（或高级食品安全管理（人）员考试合格证明证书）及证书在官方网站查询截图或粤省事查询截图（“粤省事”-“办事”-“食品安全”-“食安员查证及考核”-“我的食安员证”），原件备查；</w:t>
            </w:r>
          </w:p>
          <w:p>
            <w:pPr>
              <w:wordWrap w:val="0"/>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备注：评分中出现无证明资料或证书过期或专家无法凭所提供资料判断是否得分的情况。</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拟安排的团队成员情况</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项目负责人除外</w:t>
            </w:r>
            <w:r>
              <w:rPr>
                <w:rFonts w:ascii="宋体" w:eastAsia="宋体" w:hAnsi="宋体" w:cs="宋体" w:hint="eastAsia"/>
                <w:color w:val="000000"/>
                <w:sz w:val="21"/>
                <w:szCs w:val="21"/>
                <w:lang w:eastAsia="zh-CN"/>
              </w:rPr>
              <w:t>）</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6</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color w:val="000000"/>
                <w:sz w:val="21"/>
                <w:szCs w:val="21"/>
              </w:rPr>
            </w:pPr>
            <w:r>
              <w:rPr>
                <w:rFonts w:ascii="宋体" w:eastAsia="宋体" w:hAnsi="宋体" w:cs="宋体" w:hint="eastAsia"/>
                <w:b/>
                <w:bCs/>
                <w:color w:val="000000"/>
                <w:sz w:val="21"/>
                <w:szCs w:val="21"/>
              </w:rPr>
              <w:t>（一）评分内容：</w:t>
            </w:r>
            <w:r>
              <w:rPr>
                <w:rFonts w:ascii="宋体" w:eastAsia="宋体" w:hAnsi="宋体" w:cs="宋体" w:hint="eastAsia"/>
                <w:color w:val="000000"/>
                <w:sz w:val="21"/>
                <w:szCs w:val="21"/>
              </w:rPr>
              <w:t>拟安排的团队成员</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项目负责人除外</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须为投标人自有员工：</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1、具有中式烹调师证，每提供一个得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分，最高得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2、具有公共营养师，每提供一个得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分，最高得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3、具有具有高级食品安全管理（人）员证书（或高级食品安全管理（人）员考试合格证明证书），每提供一个得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分，最高得</w:t>
            </w:r>
            <w:r>
              <w:rPr>
                <w:rFonts w:ascii="宋体" w:eastAsia="宋体" w:hAnsi="宋体" w:cs="宋体" w:hint="eastAsia"/>
                <w:color w:val="000000"/>
                <w:sz w:val="21"/>
                <w:szCs w:val="21"/>
                <w:lang w:eastAsia="zh-CN"/>
              </w:rPr>
              <w:t>34%</w:t>
            </w:r>
            <w:r>
              <w:rPr>
                <w:rFonts w:ascii="宋体" w:eastAsia="宋体" w:hAnsi="宋体" w:cs="宋体" w:hint="eastAsia"/>
                <w:color w:val="000000"/>
                <w:sz w:val="21"/>
                <w:szCs w:val="21"/>
              </w:rPr>
              <w:t>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以上3项累计加分，同一人或同时获得多个证书的按照最高得分计分，不重复得分。最高得</w:t>
            </w:r>
            <w:r>
              <w:rPr>
                <w:rFonts w:ascii="宋体" w:eastAsia="宋体" w:hAnsi="宋体" w:cs="宋体" w:hint="eastAsia"/>
                <w:color w:val="000000"/>
                <w:sz w:val="21"/>
                <w:szCs w:val="21"/>
                <w:lang w:eastAsia="zh-CN"/>
              </w:rPr>
              <w:t>100%</w:t>
            </w:r>
            <w:r>
              <w:rPr>
                <w:rFonts w:ascii="宋体" w:eastAsia="宋体" w:hAnsi="宋体" w:cs="宋体" w:hint="eastAsia"/>
                <w:color w:val="000000"/>
                <w:sz w:val="21"/>
                <w:szCs w:val="21"/>
              </w:rPr>
              <w:t>分。</w:t>
            </w:r>
          </w:p>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（二）评分依据：</w:t>
            </w:r>
          </w:p>
          <w:p>
            <w:pP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 </w:t>
            </w:r>
            <w:r>
              <w:rPr>
                <w:rFonts w:ascii="宋体" w:eastAsia="宋体" w:hAnsi="宋体" w:cs="宋体" w:hint="eastAsia"/>
                <w:bCs/>
                <w:color w:val="000000"/>
                <w:kern w:val="2"/>
                <w:sz w:val="21"/>
                <w:szCs w:val="21"/>
                <w:lang w:eastAsia="zh-CN"/>
              </w:rPr>
              <w:t>提供投标单位缴纳的</w:t>
            </w:r>
            <w:r>
              <w:rPr>
                <w:rFonts w:ascii="宋体" w:eastAsia="宋体" w:hAnsi="宋体" w:cs="宋体" w:hint="eastAsia"/>
                <w:bCs/>
                <w:color w:val="000000"/>
                <w:kern w:val="2"/>
                <w:sz w:val="21"/>
                <w:szCs w:val="21"/>
                <w:lang w:eastAsia="zh-CN"/>
              </w:rPr>
              <w:t>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w:t>
            </w:r>
            <w:r>
              <w:rPr>
                <w:rFonts w:ascii="宋体" w:eastAsia="宋体" w:hAnsi="宋体" w:cs="宋体" w:hint="eastAsia"/>
                <w:color w:val="000000"/>
                <w:kern w:val="2"/>
                <w:sz w:val="21"/>
                <w:szCs w:val="21"/>
                <w:lang w:eastAsia="zh-CN"/>
              </w:rPr>
              <w:t>原件备查。</w:t>
            </w:r>
            <w:r>
              <w:rPr>
                <w:rFonts w:ascii="宋体" w:eastAsia="宋体" w:hAnsi="宋体" w:cs="宋体" w:hint="eastAsia"/>
                <w:color w:val="000000"/>
                <w:kern w:val="2"/>
                <w:sz w:val="21"/>
                <w:szCs w:val="21"/>
                <w:lang w:eastAsia="zh-CN"/>
              </w:rPr>
              <w:t>未按以上要求提供相关材料或不清晰导致无法识别的不计得分</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2.第1-</w:t>
            </w: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项要求投标人提供证书扫描件作为得分依据，原件备查。涉及</w:t>
            </w:r>
            <w:r>
              <w:rPr>
                <w:rFonts w:ascii="宋体" w:eastAsia="宋体" w:hAnsi="宋体" w:cs="宋体" w:hint="eastAsia"/>
                <w:color w:val="000000"/>
                <w:sz w:val="21"/>
                <w:szCs w:val="21"/>
                <w:lang w:eastAsia="zh-CN"/>
              </w:rPr>
              <w:t>人员</w:t>
            </w:r>
            <w:r>
              <w:rPr>
                <w:rFonts w:ascii="宋体" w:eastAsia="宋体" w:hAnsi="宋体" w:cs="宋体" w:hint="eastAsia"/>
                <w:color w:val="000000"/>
                <w:sz w:val="21"/>
                <w:szCs w:val="21"/>
              </w:rPr>
              <w:t>证书的，还需同时提供技能人才评价证书全国联网查询（网址http://zscx.osta.org.cn/）的查询截图，如证书无法提供查询截图，则需提供人社部门（或发证部门或职称管理部门）出具的证明文件（或网站公示查询）</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若由行业协会</w:t>
            </w:r>
            <w:r>
              <w:rPr>
                <w:rFonts w:ascii="宋体" w:eastAsia="宋体" w:hAnsi="宋体" w:cs="宋体" w:hint="eastAsia"/>
                <w:bCs/>
                <w:color w:val="000000"/>
                <w:sz w:val="21"/>
                <w:szCs w:val="21"/>
              </w:rPr>
              <w:t>/社会组织</w:t>
            </w:r>
            <w:r>
              <w:rPr>
                <w:rFonts w:ascii="宋体" w:eastAsia="宋体" w:hAnsi="宋体" w:cs="宋体" w:hint="eastAsia"/>
                <w:color w:val="000000"/>
                <w:sz w:val="21"/>
                <w:szCs w:val="21"/>
              </w:rPr>
              <w:t>发证的，还需提供该行业协会</w:t>
            </w:r>
            <w:r>
              <w:rPr>
                <w:rFonts w:ascii="宋体" w:eastAsia="宋体" w:hAnsi="宋体" w:cs="宋体" w:hint="eastAsia"/>
                <w:bCs/>
                <w:color w:val="000000"/>
                <w:sz w:val="21"/>
                <w:szCs w:val="21"/>
              </w:rPr>
              <w:t>/社会组织</w:t>
            </w:r>
            <w:r>
              <w:rPr>
                <w:rFonts w:ascii="宋体" w:eastAsia="宋体" w:hAnsi="宋体" w:cs="宋体" w:hint="eastAsia"/>
                <w:color w:val="000000"/>
                <w:sz w:val="21"/>
                <w:szCs w:val="21"/>
              </w:rPr>
              <w:t>在中国社会组织政务服务平台查询正常截图（https://chinanpo.mca.gov.cn），原件备查。相关证书在公开渠道无法查询的，需提供颁发部门或者监管机构的证明材料，证明证书真实有效且为合法机构颁发。</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3.第3项</w:t>
            </w:r>
            <w:r>
              <w:rPr>
                <w:rFonts w:ascii="宋体" w:eastAsia="宋体" w:hAnsi="宋体" w:cs="宋体" w:hint="eastAsia"/>
                <w:color w:val="000000"/>
                <w:sz w:val="21"/>
                <w:szCs w:val="21"/>
              </w:rPr>
              <w:t>提供高级食品安全管理（人）员证书（或高级食品安全管理（人）员考试合格证明证书）及证书在官方网站查询截图或粤省事查询截图（“粤省事”-“办事”-“食品安全”-“食安员查证及考核”-“我的食安员证”），原件备查；</w:t>
            </w:r>
          </w:p>
          <w:p>
            <w:pPr>
              <w:widowControl/>
              <w:jc w:val="left"/>
              <w:rPr>
                <w:rFonts w:ascii="宋体" w:eastAsia="宋体" w:hAnsi="宋体" w:cs="宋体" w:hint="eastAsia"/>
                <w:color w:val="000000"/>
                <w:sz w:val="21"/>
                <w:szCs w:val="21"/>
              </w:rPr>
            </w:pPr>
            <w:r>
              <w:rPr>
                <w:rFonts w:ascii="宋体" w:eastAsia="宋体" w:hAnsi="宋体" w:cs="宋体" w:hint="eastAsia"/>
                <w:color w:val="000000"/>
                <w:sz w:val="21"/>
                <w:szCs w:val="21"/>
              </w:rPr>
              <w:t>备注：评分中出现无证明资料或证书过期或专家无法凭所提供资料判断是否得分的情况。</w:t>
            </w:r>
          </w:p>
        </w:tc>
      </w:tr>
      <w:tr>
        <w:tblPrEx>
          <w:tblW w:w="5000" w:type="pct"/>
          <w:tblInd w:w="0" w:type="dxa"/>
          <w:tblLayout w:type="fixed"/>
          <w:tblCellMar>
            <w:top w:w="20" w:type="dxa"/>
            <w:left w:w="108" w:type="dxa"/>
            <w:bottom w:w="20" w:type="dxa"/>
            <w:right w:w="108" w:type="dxa"/>
          </w:tblCellMar>
        </w:tblPrEx>
        <w:tc>
          <w:tcPr>
            <w:tcW w:w="680" w:type="dxa"/>
            <w:vMerge w:val="restart"/>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3</w:t>
            </w:r>
          </w:p>
        </w:tc>
        <w:tc>
          <w:tcPr>
            <w:tcW w:w="4196" w:type="dxa"/>
            <w:gridSpan w:val="3"/>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综合实力</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wordWrap w:val="0"/>
              <w:jc w:val="center"/>
              <w:rPr>
                <w:rFonts w:ascii="宋体" w:eastAsia="宋体" w:hAnsi="宋体" w:cs="宋体"/>
                <w:b/>
                <w:bCs/>
                <w:color w:val="000000"/>
                <w:sz w:val="21"/>
                <w:szCs w:val="21"/>
                <w:lang w:eastAsia="zh-CN"/>
              </w:rPr>
            </w:pPr>
            <w:r>
              <w:rPr>
                <w:rFonts w:ascii="宋体" w:eastAsia="宋体" w:hAnsi="宋体" w:cs="宋体" w:hint="eastAsia"/>
                <w:b/>
                <w:bCs/>
                <w:color w:val="000000"/>
                <w:sz w:val="21"/>
                <w:szCs w:val="21"/>
                <w:lang w:eastAsia="zh-CN"/>
              </w:rPr>
              <w:t>30</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8392" w:type="dxa"/>
            <w:gridSpan w:val="4"/>
            <w:tcBorders>
              <w:top w:val="single" w:sz="8" w:space="0" w:color="000000"/>
              <w:left w:val="single" w:sz="8" w:space="0" w:color="000000"/>
              <w:bottom w:val="single" w:sz="8" w:space="0" w:color="000000"/>
              <w:right w:val="single" w:sz="8" w:space="0" w:color="000000"/>
            </w:tcBorders>
            <w:noWrap w:val="0"/>
            <w:vAlign w:val="top"/>
          </w:tcPr>
          <w:p>
            <w:pPr>
              <w:wordWrap w:val="0"/>
              <w:rPr>
                <w:rFonts w:ascii="宋体" w:eastAsia="宋体" w:hAnsi="宋体" w:cs="宋体" w:hint="eastAsia"/>
                <w:color w:val="000000"/>
                <w:sz w:val="21"/>
                <w:szCs w:val="21"/>
              </w:rPr>
            </w:pP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rPr>
                <w:rFonts w:ascii="宋体" w:eastAsia="宋体" w:hAnsi="宋体" w:cs="宋体" w:hint="eastAsia"/>
                <w:b/>
                <w:bCs/>
                <w:color w:val="000000"/>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权重(%)</w:t>
            </w:r>
          </w:p>
        </w:tc>
        <w:tc>
          <w:tcPr>
            <w:tcW w:w="419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评分准则</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1</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投标人同类项目业绩情况</w:t>
            </w:r>
          </w:p>
          <w:p>
            <w:pPr>
              <w:wordWrap w:val="0"/>
              <w:jc w:val="center"/>
              <w:rPr>
                <w:rFonts w:ascii="宋体" w:eastAsia="宋体" w:hAnsi="宋体" w:cs="宋体" w:hint="eastAsia"/>
                <w:color w:val="000000"/>
                <w:sz w:val="21"/>
                <w:szCs w:val="21"/>
              </w:rPr>
            </w:pPr>
          </w:p>
          <w:p>
            <w:pPr>
              <w:widowControl/>
              <w:jc w:val="center"/>
              <w:rPr>
                <w:rFonts w:ascii="宋体" w:eastAsia="宋体" w:hAnsi="宋体" w:cs="宋体" w:hint="eastAsia"/>
                <w:color w:val="000000"/>
                <w:sz w:val="21"/>
                <w:szCs w:val="21"/>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10</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（一）评分内容：</w:t>
            </w:r>
          </w:p>
          <w:p>
            <w:pPr>
              <w:jc w:val="left"/>
              <w:rPr>
                <w:rFonts w:ascii="宋体" w:eastAsia="宋体" w:hAnsi="宋体" w:cs="宋体" w:hint="eastAsia"/>
                <w:color w:val="000000"/>
                <w:sz w:val="21"/>
                <w:szCs w:val="21"/>
              </w:rPr>
            </w:pPr>
            <w:r>
              <w:rPr>
                <w:rFonts w:ascii="宋体" w:eastAsia="宋体" w:hAnsi="宋体" w:cs="宋体" w:hint="eastAsia"/>
                <w:color w:val="000000"/>
                <w:sz w:val="21"/>
                <w:szCs w:val="21"/>
              </w:rPr>
              <w:t>202</w:t>
            </w: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rPr>
              <w:t>年1月1日至本项目截标之日内所签订的</w:t>
            </w:r>
            <w:r>
              <w:rPr>
                <w:rFonts w:ascii="宋体" w:eastAsia="宋体" w:hAnsi="宋体" w:cs="宋体" w:hint="eastAsia"/>
                <w:color w:val="000000"/>
                <w:kern w:val="2"/>
                <w:sz w:val="21"/>
                <w:szCs w:val="21"/>
                <w:lang w:eastAsia="zh-CN"/>
              </w:rPr>
              <w:t>具有本项目同类型业绩经验的（以合同签订日期为准）</w:t>
            </w:r>
            <w:r>
              <w:rPr>
                <w:rFonts w:ascii="宋体" w:eastAsia="宋体" w:hAnsi="宋体" w:cs="宋体" w:hint="eastAsia"/>
                <w:color w:val="000000"/>
                <w:sz w:val="21"/>
                <w:szCs w:val="21"/>
              </w:rPr>
              <w:t>，每提供1个同类业绩得</w:t>
            </w:r>
            <w:r>
              <w:rPr>
                <w:rFonts w:ascii="宋体" w:eastAsia="宋体" w:hAnsi="宋体" w:cs="宋体" w:hint="eastAsia"/>
                <w:color w:val="000000"/>
                <w:sz w:val="21"/>
                <w:szCs w:val="21"/>
                <w:lang w:eastAsia="zh-CN"/>
              </w:rPr>
              <w:t>50%</w:t>
            </w:r>
            <w:r>
              <w:rPr>
                <w:rFonts w:ascii="宋体" w:eastAsia="宋体" w:hAnsi="宋体" w:cs="宋体" w:hint="eastAsia"/>
                <w:color w:val="000000"/>
                <w:sz w:val="21"/>
                <w:szCs w:val="21"/>
              </w:rPr>
              <w:t>分，最高得</w:t>
            </w:r>
            <w:r>
              <w:rPr>
                <w:rFonts w:ascii="宋体" w:eastAsia="宋体" w:hAnsi="宋体" w:cs="宋体" w:hint="eastAsia"/>
                <w:color w:val="000000"/>
                <w:sz w:val="21"/>
                <w:szCs w:val="21"/>
                <w:lang w:eastAsia="zh-CN"/>
              </w:rPr>
              <w:t>100%</w:t>
            </w:r>
            <w:r>
              <w:rPr>
                <w:rFonts w:ascii="宋体" w:eastAsia="宋体" w:hAnsi="宋体" w:cs="宋体" w:hint="eastAsia"/>
                <w:color w:val="000000"/>
                <w:sz w:val="21"/>
                <w:szCs w:val="21"/>
              </w:rPr>
              <w:t>分。</w:t>
            </w:r>
            <w:r>
              <w:rPr>
                <w:rFonts w:ascii="宋体" w:eastAsia="宋体" w:hAnsi="宋体" w:cs="宋体" w:hint="eastAsia"/>
                <w:b/>
                <w:color w:val="000000"/>
                <w:kern w:val="2"/>
                <w:sz w:val="21"/>
                <w:szCs w:val="21"/>
                <w:lang w:eastAsia="zh-CN"/>
              </w:rPr>
              <w:t>同一项目的续签合同（或补充合同）不重复计分。</w:t>
            </w:r>
          </w:p>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（二）评分依据：</w:t>
            </w:r>
          </w:p>
          <w:p>
            <w:pPr>
              <w:rPr>
                <w:rFonts w:ascii="宋体" w:eastAsia="宋体" w:hAnsi="宋体" w:cs="宋体" w:hint="eastAsia"/>
                <w:color w:val="000000"/>
                <w:sz w:val="21"/>
                <w:szCs w:val="21"/>
              </w:rPr>
            </w:pPr>
            <w:r>
              <w:rPr>
                <w:rFonts w:ascii="宋体" w:eastAsia="宋体" w:hAnsi="宋体" w:cs="宋体" w:hint="eastAsia"/>
                <w:color w:val="000000"/>
                <w:sz w:val="21"/>
                <w:szCs w:val="21"/>
              </w:rPr>
              <w:t>1.要求提供合同关键信息（含签订合同双方的单位名称、签订合同双方的落款盖章、签订日期、等内容）作为得分依据，通过合同关键信息无法判断是否得分的，还须同时提供能证明得分的其它证明资料，如项目报告或合同甲方出具的证明文件等。</w:t>
            </w:r>
          </w:p>
          <w:p>
            <w:pPr>
              <w:rPr>
                <w:rFonts w:ascii="宋体" w:eastAsia="宋体" w:hAnsi="宋体" w:cs="宋体" w:hint="eastAsia"/>
                <w:color w:val="000000"/>
                <w:sz w:val="21"/>
                <w:szCs w:val="21"/>
              </w:rPr>
            </w:pPr>
            <w:r>
              <w:rPr>
                <w:rFonts w:ascii="宋体" w:eastAsia="宋体" w:hAnsi="宋体" w:cs="宋体" w:hint="eastAsia"/>
                <w:color w:val="000000"/>
                <w:sz w:val="21"/>
                <w:szCs w:val="21"/>
              </w:rPr>
              <w:t>2.以上资料均要求提供扫描件，原件备查。备注：评分中出现无证明资料或证书过期或专家无法凭所提供资料判断是否得分的情况，一律作不得分处理。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2</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履约评价</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5</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（一）评分内容：</w:t>
            </w:r>
          </w:p>
          <w:p>
            <w:pPr>
              <w:rPr>
                <w:rFonts w:ascii="宋体" w:eastAsia="宋体" w:hAnsi="宋体" w:cs="宋体" w:hint="eastAsia"/>
                <w:color w:val="000000"/>
                <w:sz w:val="21"/>
                <w:szCs w:val="21"/>
              </w:rPr>
            </w:pPr>
            <w:r>
              <w:rPr>
                <w:rFonts w:ascii="宋体" w:eastAsia="宋体" w:hAnsi="宋体" w:cs="宋体" w:hint="eastAsia"/>
                <w:color w:val="000000"/>
                <w:sz w:val="21"/>
                <w:szCs w:val="21"/>
              </w:rPr>
              <w:t>投标人提供符合“1.投标人同类项目业绩情况”合同甲方出具评价为优/优秀/满意或最高评价的</w:t>
            </w:r>
            <w:r>
              <w:rPr>
                <w:rFonts w:ascii="宋体" w:eastAsia="宋体" w:hAnsi="宋体" w:cs="宋体" w:hint="eastAsia"/>
                <w:color w:val="000000"/>
                <w:sz w:val="21"/>
                <w:szCs w:val="21"/>
              </w:rPr>
              <w:t>履约评价或验收合格证明文件</w:t>
            </w:r>
            <w:r>
              <w:rPr>
                <w:rFonts w:ascii="宋体" w:eastAsia="宋体" w:hAnsi="宋体" w:cs="宋体" w:hint="eastAsia"/>
                <w:color w:val="000000"/>
                <w:sz w:val="21"/>
                <w:szCs w:val="21"/>
              </w:rPr>
              <w:t>，每提供一份得</w:t>
            </w:r>
            <w:r>
              <w:rPr>
                <w:rFonts w:ascii="宋体" w:eastAsia="宋体" w:hAnsi="宋体" w:cs="宋体" w:hint="eastAsia"/>
                <w:color w:val="000000"/>
                <w:sz w:val="21"/>
                <w:szCs w:val="21"/>
                <w:lang w:eastAsia="zh-CN" w:bidi="ar"/>
              </w:rPr>
              <w:t>50</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bidi="ar"/>
              </w:rPr>
              <w:t>分</w:t>
            </w:r>
            <w:r>
              <w:rPr>
                <w:rFonts w:ascii="宋体" w:eastAsia="宋体" w:hAnsi="宋体" w:cs="宋体" w:hint="eastAsia"/>
                <w:color w:val="000000"/>
                <w:sz w:val="21"/>
                <w:szCs w:val="21"/>
              </w:rPr>
              <w:t>，最高得</w:t>
            </w:r>
            <w:r>
              <w:rPr>
                <w:rFonts w:ascii="宋体" w:eastAsia="宋体" w:hAnsi="宋体" w:cs="宋体" w:hint="eastAsia"/>
                <w:color w:val="000000"/>
                <w:sz w:val="21"/>
                <w:szCs w:val="21"/>
                <w:lang w:eastAsia="zh-CN"/>
              </w:rPr>
              <w:t>100%</w:t>
            </w:r>
            <w:r>
              <w:rPr>
                <w:rFonts w:ascii="宋体" w:eastAsia="宋体" w:hAnsi="宋体" w:cs="宋体" w:hint="eastAsia"/>
                <w:color w:val="000000"/>
                <w:sz w:val="21"/>
                <w:szCs w:val="21"/>
              </w:rPr>
              <w:t>分。</w:t>
            </w:r>
          </w:p>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（二）评分依据：</w:t>
            </w:r>
          </w:p>
          <w:p>
            <w:pPr>
              <w:rPr>
                <w:rFonts w:ascii="宋体" w:eastAsia="宋体" w:hAnsi="宋体" w:cs="宋体" w:hint="eastAsia"/>
                <w:color w:val="000000"/>
                <w:sz w:val="21"/>
                <w:szCs w:val="21"/>
              </w:rPr>
            </w:pPr>
            <w:r>
              <w:rPr>
                <w:rFonts w:ascii="宋体" w:eastAsia="宋体" w:hAnsi="宋体" w:cs="宋体" w:hint="eastAsia"/>
                <w:color w:val="000000"/>
                <w:sz w:val="21"/>
                <w:szCs w:val="21"/>
              </w:rPr>
              <w:t>提供加盖合同甲方公章（或甲方业务章）项目履约评价或验收合格证明文件清晰扫描件。</w:t>
            </w:r>
          </w:p>
          <w:p>
            <w:pPr>
              <w:rPr>
                <w:rFonts w:ascii="宋体" w:eastAsia="宋体" w:hAnsi="宋体" w:cs="宋体" w:hint="eastAsia"/>
                <w:color w:val="000000"/>
                <w:sz w:val="21"/>
                <w:szCs w:val="21"/>
              </w:rPr>
            </w:pPr>
            <w:r>
              <w:rPr>
                <w:rFonts w:ascii="宋体" w:eastAsia="宋体" w:hAnsi="宋体" w:cs="宋体" w:hint="eastAsia"/>
                <w:color w:val="000000"/>
                <w:sz w:val="21"/>
                <w:szCs w:val="21"/>
              </w:rPr>
              <w:t>备注：以上资料均要求提供扫描件，原件备查，评分中出现无证明资料或证书过期或专家无法凭所提供资料判断是否得分的情况，一律作不得分处理。</w:t>
            </w:r>
          </w:p>
        </w:tc>
      </w:tr>
      <w:tr>
        <w:tblPrEx>
          <w:tblW w:w="5000" w:type="pct"/>
          <w:tblInd w:w="0" w:type="dxa"/>
          <w:tblLayout w:type="fixed"/>
          <w:tblCellMar>
            <w:top w:w="20" w:type="dxa"/>
            <w:left w:w="108" w:type="dxa"/>
            <w:bottom w:w="20" w:type="dxa"/>
            <w:right w:w="108" w:type="dxa"/>
          </w:tblCellMar>
        </w:tblPrEx>
        <w:tc>
          <w:tcPr>
            <w:tcW w:w="680" w:type="dxa"/>
            <w:vMerge/>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3</w:t>
            </w: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体系认证情况</w:t>
            </w:r>
          </w:p>
          <w:p>
            <w:pPr>
              <w:wordWrap w:val="0"/>
              <w:jc w:val="center"/>
              <w:rPr>
                <w:rFonts w:ascii="宋体" w:eastAsia="宋体" w:hAnsi="宋体" w:cs="宋体" w:hint="eastAsia"/>
                <w:color w:val="000000"/>
                <w:sz w:val="21"/>
                <w:szCs w:val="21"/>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10</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（一）评分内容：</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1、通过质量管理体系认证得20</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eastAsia="zh-CN"/>
              </w:rPr>
              <w:t>分；</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2、通过环境管理体系认证得20</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eastAsia="zh-CN"/>
              </w:rPr>
              <w:t>分；</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3、通过职业健康安全管理体系认证得20</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eastAsia="zh-CN"/>
              </w:rPr>
              <w:t>分；</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4、通过食品安全管理体系认证证书得20</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eastAsia="zh-CN"/>
              </w:rPr>
              <w:t>分；</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color w:val="000000"/>
                <w:sz w:val="21"/>
                <w:szCs w:val="21"/>
                <w:lang w:eastAsia="zh-CN"/>
              </w:rPr>
            </w:pPr>
            <w:r>
              <w:rPr>
                <w:rFonts w:ascii="宋体" w:eastAsia="宋体" w:hAnsi="宋体" w:cs="宋体" w:hint="eastAsia"/>
                <w:color w:val="000000"/>
                <w:kern w:val="2"/>
                <w:sz w:val="21"/>
                <w:szCs w:val="21"/>
                <w:lang w:eastAsia="zh-CN"/>
              </w:rPr>
              <w:t>5、通过HACCP危害分析与关健控制点认证证书得20</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eastAsia="zh-CN"/>
              </w:rPr>
              <w:t>分；</w:t>
            </w:r>
          </w:p>
          <w:p>
            <w:pPr>
              <w:pageBreakBefore w:val="0"/>
              <w:widowControl w:val="0"/>
              <w:shd w:val="clear" w:color="auto" w:fill="auto"/>
              <w:kinsoku/>
              <w:wordWrap w:val="0"/>
              <w:overflowPunct/>
              <w:topLinePunct w:val="0"/>
              <w:autoSpaceDE/>
              <w:autoSpaceDN/>
              <w:bidi w:val="0"/>
              <w:adjustRightInd/>
              <w:snapToGrid/>
              <w:spacing w:afterLines="0" w:line="360" w:lineRule="auto"/>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以上累计得分，最高得100</w:t>
            </w:r>
            <w:r>
              <w:rPr>
                <w:rFonts w:ascii="宋体" w:eastAsia="宋体" w:hAnsi="宋体" w:cs="宋体" w:hint="eastAsia"/>
                <w:color w:val="000000"/>
                <w:sz w:val="21"/>
                <w:szCs w:val="21"/>
                <w:lang w:eastAsia="zh-CN"/>
              </w:rPr>
              <w:t>%</w:t>
            </w:r>
            <w:r>
              <w:rPr>
                <w:rFonts w:ascii="宋体" w:eastAsia="宋体" w:hAnsi="宋体" w:cs="宋体" w:hint="eastAsia"/>
                <w:b/>
                <w:color w:val="000000"/>
                <w:kern w:val="2"/>
                <w:sz w:val="21"/>
                <w:szCs w:val="21"/>
                <w:lang w:eastAsia="zh-CN"/>
              </w:rPr>
              <w:t>分。</w:t>
            </w:r>
          </w:p>
          <w:p>
            <w:pPr>
              <w:rPr>
                <w:rFonts w:ascii="宋体" w:eastAsia="宋体" w:hAnsi="宋体" w:cs="宋体" w:hint="eastAsia"/>
                <w:color w:val="000000"/>
                <w:sz w:val="21"/>
                <w:szCs w:val="21"/>
              </w:rPr>
            </w:pPr>
            <w:r>
              <w:rPr>
                <w:rFonts w:ascii="宋体" w:eastAsia="宋体" w:hAnsi="宋体" w:cs="宋体" w:hint="eastAsia"/>
                <w:b/>
                <w:color w:val="000000"/>
                <w:kern w:val="2"/>
                <w:sz w:val="21"/>
                <w:szCs w:val="21"/>
                <w:lang w:eastAsia="zh-CN"/>
              </w:rPr>
              <w:t>证明文件：</w:t>
            </w:r>
            <w:r>
              <w:rPr>
                <w:rFonts w:ascii="宋体" w:eastAsia="宋体" w:hAnsi="宋体" w:cs="宋体" w:hint="eastAsia"/>
                <w:color w:val="000000"/>
                <w:sz w:val="21"/>
                <w:szCs w:val="21"/>
                <w:lang w:eastAsia="zh-CN"/>
              </w:rPr>
              <w:t>提供有效的认证证书作为得分依据；认证证书需同时提供在全国认证认可信息公共服务平台（认e云）查询有效的截图（http://cx.cnca.cn）且编号一致，资料不完整的不得该项分。</w:t>
            </w:r>
            <w:r>
              <w:rPr>
                <w:rFonts w:ascii="宋体" w:eastAsia="宋体" w:hAnsi="宋体" w:cs="宋体" w:hint="eastAsia"/>
                <w:color w:val="000000"/>
                <w:sz w:val="21"/>
                <w:szCs w:val="21"/>
                <w:lang w:eastAsia="zh-CN"/>
              </w:rPr>
              <w:t>”</w:t>
            </w:r>
          </w:p>
        </w:tc>
      </w:tr>
      <w:tr>
        <w:tblPrEx>
          <w:tblW w:w="5000" w:type="pct"/>
          <w:tblInd w:w="0" w:type="dxa"/>
          <w:tblLayout w:type="fixed"/>
          <w:tblCellMar>
            <w:top w:w="20" w:type="dxa"/>
            <w:left w:w="108" w:type="dxa"/>
            <w:bottom w:w="20" w:type="dxa"/>
            <w:right w:w="108" w:type="dxa"/>
          </w:tblCellMar>
        </w:tblPrEx>
        <w:tc>
          <w:tcPr>
            <w:tcW w:w="680" w:type="dxa"/>
            <w:tcBorders>
              <w:top w:val="single" w:sz="8" w:space="0" w:color="000000"/>
              <w:left w:val="single" w:sz="8" w:space="0" w:color="000000"/>
              <w:bottom w:val="single" w:sz="8" w:space="0" w:color="000000"/>
              <w:right w:val="single" w:sz="8" w:space="0" w:color="000000"/>
            </w:tcBorders>
            <w:noWrap w:val="0"/>
            <w:vAlign w:val="center"/>
          </w:tcPr>
          <w:p>
            <w:pPr>
              <w:rPr>
                <w:rFonts w:ascii="宋体" w:eastAsia="宋体" w:hAnsi="宋体" w:cs="宋体" w:hint="eastAsia"/>
                <w:b/>
                <w:bCs/>
                <w:color w:val="000000"/>
                <w:sz w:val="21"/>
                <w:szCs w:val="21"/>
              </w:rPr>
            </w:pPr>
          </w:p>
        </w:tc>
        <w:tc>
          <w:tcPr>
            <w:tcW w:w="680"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p>
        </w:tc>
        <w:tc>
          <w:tcPr>
            <w:tcW w:w="2835" w:type="dxa"/>
            <w:tcBorders>
              <w:top w:val="single" w:sz="8" w:space="0" w:color="000000"/>
              <w:left w:val="single" w:sz="8" w:space="0" w:color="000000"/>
              <w:bottom w:val="single" w:sz="8" w:space="0" w:color="000000"/>
              <w:right w:val="single" w:sz="8" w:space="0" w:color="000000"/>
            </w:tcBorders>
            <w:noWrap w:val="0"/>
            <w:vAlign w:val="center"/>
          </w:tcPr>
          <w:p>
            <w:pPr>
              <w:wordWrap w:val="0"/>
              <w:jc w:val="center"/>
              <w:rPr>
                <w:rFonts w:ascii="宋体" w:eastAsia="宋体" w:hAnsi="宋体" w:cs="宋体" w:hint="eastAsia"/>
                <w:color w:val="000000"/>
                <w:sz w:val="21"/>
                <w:szCs w:val="21"/>
              </w:rPr>
            </w:pPr>
            <w:r>
              <w:rPr>
                <w:rFonts w:ascii="宋体" w:eastAsia="宋体" w:hAnsi="宋体" w:cs="宋体" w:hint="eastAsia"/>
                <w:color w:val="000000"/>
                <w:sz w:val="21"/>
                <w:szCs w:val="21"/>
              </w:rPr>
              <w:t>诚信体系</w:t>
            </w: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jc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w:t>
            </w:r>
          </w:p>
        </w:tc>
        <w:tc>
          <w:tcPr>
            <w:tcW w:w="4196"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spacing w:line="240" w:lineRule="auto"/>
              <w:jc w:val="both"/>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（一）评分内容：</w:t>
            </w:r>
          </w:p>
          <w:p>
            <w:pPr>
              <w:widowControl w:val="0"/>
              <w:wordWrap w:val="0"/>
              <w:spacing w:line="240" w:lineRule="auto"/>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投标人承诺在参与自行采购活动中未出现诚信或安全相关问题且不在相关主管部门处理措施实施期限内的本项得100%分，否则不得分。</w:t>
            </w:r>
          </w:p>
          <w:p>
            <w:pPr>
              <w:widowControl w:val="0"/>
              <w:wordWrap w:val="0"/>
              <w:spacing w:line="240" w:lineRule="auto"/>
              <w:jc w:val="both"/>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（二）评审依据：</w:t>
            </w:r>
          </w:p>
          <w:p>
            <w:pPr>
              <w:rPr>
                <w:rFonts w:ascii="宋体" w:eastAsia="宋体" w:hAnsi="宋体" w:cs="宋体" w:hint="eastAsia"/>
                <w:b/>
                <w:color w:val="000000"/>
                <w:kern w:val="2"/>
                <w:sz w:val="21"/>
                <w:szCs w:val="21"/>
                <w:lang w:eastAsia="zh-CN"/>
              </w:rPr>
            </w:pPr>
            <w:r>
              <w:rPr>
                <w:rFonts w:ascii="宋体" w:eastAsia="宋体" w:hAnsi="宋体" w:cs="宋体" w:hint="eastAsia"/>
                <w:color w:val="000000"/>
                <w:sz w:val="21"/>
                <w:szCs w:val="21"/>
                <w:lang w:eastAsia="zh-CN"/>
              </w:rPr>
              <w:t>投标人须提供《诚信承诺函》，按采购文件格式要求提供，不提供或提供的不符合要求或提供不清晰导致专家无法判断的均不得分。如被认定提供的陈述与事实不符受到行政处罚的，依法追究其责任。</w:t>
            </w: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spacing w:line="360" w:lineRule="auto"/>
        <w:jc w:val="both"/>
        <w:rPr>
          <w:rFonts w:ascii="Calibri" w:eastAsia="宋体" w:hAnsi="Calibri"/>
          <w:b/>
          <w:bCs/>
          <w:kern w:val="2"/>
          <w:sz w:val="84"/>
          <w:szCs w:val="84"/>
          <w:lang w:eastAsia="zh-CN"/>
        </w:rPr>
      </w:pPr>
    </w:p>
    <w:p>
      <w:pPr>
        <w:widowControl w:val="0"/>
        <w:spacing w:line="360" w:lineRule="auto"/>
        <w:jc w:val="both"/>
        <w:rPr>
          <w:rFonts w:ascii="Calibri" w:eastAsia="宋体" w:hAnsi="Calibri"/>
          <w:b/>
          <w:bCs/>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注：该风险知悉确认书用于对供应商违法行为的警示，不作为供应商资格性审查及符合性审查条件。</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0"/>
        <w:rPr>
          <w:rFonts w:ascii="宋体" w:eastAsia="宋体" w:hAnsi="宋体" w:cs="宋体" w:hint="eastAsia"/>
          <w:b/>
          <w:bCs/>
          <w:kern w:val="44"/>
          <w:sz w:val="32"/>
          <w:szCs w:val="32"/>
          <w:lang w:eastAsia="zh-CN"/>
        </w:rPr>
      </w:pPr>
      <w:r>
        <w:rPr>
          <w:rFonts w:ascii="Calibri" w:eastAsia="宋体" w:hAnsi="Calibri" w:cstheme="minorBidi"/>
          <w:kern w:val="2"/>
          <w:sz w:val="21"/>
          <w:szCs w:val="22"/>
          <w:lang w:eastAsia="zh-CN"/>
        </w:rPr>
        <w:br w:type="page"/>
      </w:r>
      <w:r>
        <w:rPr>
          <w:rFonts w:ascii="宋体" w:eastAsia="宋体" w:hAnsi="宋体" w:cs="宋体" w:hint="eastAsia"/>
          <w:b/>
          <w:bCs/>
          <w:kern w:val="44"/>
          <w:sz w:val="32"/>
          <w:szCs w:val="32"/>
          <w:lang w:eastAsia="zh-CN"/>
        </w:rPr>
        <w:t>目   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投标文件组成要求及格式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第十一章  质疑处理</w:t>
      </w: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、具有独立法人资格或具有独立承担民事责任的能力的其它组织（提供营业执照或事业单位法人证等法人证明扫描件，原件备查）。</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2、参与本项目投标前三年内，在经营活动中没有重大违法记录（由供应商在《龙华区教育局自行采购投标及履约承诺函》中作出声明）。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3、参与本项目政府采购活动时不存在被有关部门禁止参与政府采购活动且在有效期内的情况（由供应商在《龙华区教育局自行采购投标及履约承诺函》中作出声明）。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4、具备《中华人民共和国政府采购法》第二十二条第一款的条件（由供应商在《龙华区教育局自行采购投标及履约承诺函》中作出声明）。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color w:val="000000"/>
          <w:sz w:val="21"/>
          <w:szCs w:val="21"/>
          <w:lang w:eastAsia="zh-CN"/>
        </w:rPr>
        <w:t>《龙华区教育局自行采购投标及履约承诺函》</w:t>
      </w:r>
      <w:r>
        <w:rPr>
          <w:rFonts w:ascii="宋体" w:eastAsia="宋体" w:hAnsi="宋体" w:cs="宋体" w:hint="eastAsia"/>
          <w:color w:val="000000"/>
          <w:sz w:val="21"/>
          <w:szCs w:val="21"/>
          <w:lang w:eastAsia="zh-CN"/>
        </w:rPr>
        <w:t>中作出声明）。</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8、单位负责人为同一人或者存在直接控股、管理关系的不同供应商，不得参加同一合同项下的政府采购活动。（由供应商在《龙华区教育局自行采购投标及履约承诺函》中作出承</w:t>
      </w:r>
      <w:r>
        <w:rPr>
          <w:rFonts w:ascii="宋体" w:eastAsia="宋体" w:hAnsi="宋体" w:cs="宋体" w:hint="eastAsia"/>
          <w:color w:val="000000"/>
          <w:sz w:val="21"/>
          <w:szCs w:val="21"/>
          <w:lang w:eastAsia="zh-CN"/>
        </w:rPr>
        <w:t>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9、本项目不属于专门面向中小微企业采购项目。</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10、本项目不接受联合体投标，不接受进口产品参与投标，不允许转包、分包。（由供应商在《龙华区教育局自行采购投标及履约承诺函》中作出承诺）。</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pPr>
        <w:spacing w:after="60" w:afterLines="25"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12、投标人须具有食品药品监督管理部门（或市场监督管理部门）颁发的有效《食品经营许可证》。</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widowControl w:val="0"/>
        <w:spacing w:line="360" w:lineRule="auto"/>
        <w:jc w:val="both"/>
        <w:rPr>
          <w:rFonts w:ascii="Arial" w:eastAsia="宋体" w:hAnsi="Arial"/>
          <w:b/>
          <w:bCs/>
          <w:color w:val="FF0000"/>
          <w:kern w:val="2"/>
          <w:sz w:val="30"/>
          <w:szCs w:val="30"/>
          <w:lang w:eastAsia="zh-CN"/>
        </w:rPr>
      </w:pP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 w:name="_Hlk71926094"/>
      <w:r>
        <w:rPr>
          <w:rFonts w:ascii="宋体" w:eastAsia="宋体" w:hAnsi="宋体" w:hint="eastAsia"/>
          <w:b/>
          <w:bCs/>
          <w:sz w:val="28"/>
          <w:szCs w:val="28"/>
          <w:lang w:eastAsia="zh-CN"/>
        </w:rPr>
        <w:t>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18117"/>
      <w:bookmarkStart w:id="4" w:name="_Toc60631620"/>
      <w:bookmarkStart w:id="5" w:name="_Toc73517639"/>
      <w:bookmarkStart w:id="6" w:name="_Toc100052364"/>
      <w:bookmarkStart w:id="7" w:name="_Toc101074876"/>
      <w:bookmarkStart w:id="8" w:name="_Toc73521547"/>
      <w:bookmarkStart w:id="9" w:name="_Toc73521635"/>
      <w:bookmarkStart w:id="10" w:name="_Toc60560625"/>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893"/>
        <w:gridCol w:w="1582"/>
        <w:gridCol w:w="6048"/>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深圳市龙华高级中学教育集团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不晚于投标截止日三日前，投标人有义务在招标期间在深圳政府采购自行采购系统网站浏览与本项目有关的澄清和修改信息。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（一）与“对通用条款的补充内容”章节相关的事项</w:t>
      </w: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18"/>
        <w:gridCol w:w="480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bCs/>
          <w:kern w:val="2"/>
          <w:sz w:val="21"/>
          <w:szCs w:val="21"/>
          <w:lang w:eastAsia="zh-CN"/>
        </w:rPr>
      </w:pPr>
    </w:p>
    <w:p>
      <w:pPr>
        <w:widowControl w:val="0"/>
        <w:tabs>
          <w:tab w:val="left" w:pos="720"/>
        </w:tabs>
        <w:spacing w:line="360" w:lineRule="auto"/>
        <w:jc w:val="both"/>
        <w:rPr>
          <w:rFonts w:ascii="宋体" w:eastAsia="宋体" w:hAnsi="宋体" w:cs="宋体" w:hint="eastAsia"/>
          <w:b/>
          <w:bCs/>
          <w:kern w:val="2"/>
          <w:szCs w:val="22"/>
          <w:lang w:eastAsia="zh-CN"/>
        </w:rPr>
      </w:pPr>
      <w:r>
        <w:rPr>
          <w:rFonts w:ascii="宋体" w:eastAsia="宋体" w:hAnsi="宋体" w:cs="宋体" w:hint="eastAsia"/>
          <w:b/>
          <w:bCs/>
          <w:kern w:val="2"/>
          <w:szCs w:val="22"/>
          <w:lang w:eastAsia="zh-CN"/>
        </w:rPr>
        <w:t>（二）其他事项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专门面向中小企业采购的项目，不再执行价格扣除比例。</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2</w:t>
      </w:r>
      <w:r>
        <w:rPr>
          <w:rFonts w:ascii="宋体" w:eastAsia="宋体" w:hAnsi="宋体" w:cs="宋体" w:hint="eastAsia"/>
          <w:sz w:val="21"/>
          <w:szCs w:val="21"/>
        </w:rPr>
        <w:t>）</w:t>
      </w:r>
      <w:r>
        <w:rPr>
          <w:rFonts w:ascii="宋体" w:eastAsia="宋体" w:hAnsi="宋体" w:cs="宋体" w:hint="eastAsia"/>
          <w:sz w:val="21"/>
          <w:szCs w:val="21"/>
          <w:lang w:eastAsia="zh-CN"/>
        </w:rPr>
        <w:t>非专门面向中小企业采购的项目，应执行价格扣除比例：供应商</w:t>
      </w:r>
      <w:r>
        <w:rPr>
          <w:rFonts w:ascii="宋体" w:eastAsia="宋体" w:hAnsi="宋体" w:cs="宋体" w:hint="eastAsia"/>
          <w:sz w:val="21"/>
          <w:szCs w:val="21"/>
        </w:rPr>
        <w:t>提供的服务全部由优惠主体承接，则对其投标总价给予</w:t>
      </w:r>
      <w:r>
        <w:rPr>
          <w:rFonts w:ascii="宋体" w:eastAsia="宋体" w:hAnsi="宋体" w:cs="宋体" w:hint="eastAsia"/>
          <w:color w:val="FF0000"/>
          <w:sz w:val="21"/>
          <w:szCs w:val="21"/>
          <w:u w:val="single"/>
        </w:rPr>
        <w:t xml:space="preserve"> </w:t>
      </w:r>
      <w:r>
        <w:rPr>
          <w:rFonts w:ascii="宋体" w:eastAsia="宋体" w:hAnsi="宋体" w:cs="宋体" w:hint="eastAsia"/>
          <w:color w:val="FF0000"/>
          <w:sz w:val="21"/>
          <w:szCs w:val="21"/>
          <w:u w:val="single"/>
          <w:lang w:eastAsia="zh-CN"/>
        </w:rPr>
        <w:t>10</w:t>
      </w:r>
      <w:r>
        <w:rPr>
          <w:rFonts w:ascii="宋体" w:eastAsia="宋体" w:hAnsi="宋体" w:cs="宋体" w:hint="eastAsia"/>
          <w:color w:val="FF0000"/>
          <w:sz w:val="21"/>
          <w:szCs w:val="21"/>
          <w:u w:val="single"/>
        </w:rPr>
        <w:t xml:space="preserve"> %</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的扣除，用扣除后的价格参与评审。满足多项优惠政策的企业，不重复享受多项价格扣除政策。</w:t>
      </w:r>
    </w:p>
    <w:p>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w:t>
      </w:r>
      <w:r>
        <w:rPr>
          <w:rFonts w:ascii="宋体" w:eastAsia="宋体" w:hAnsi="宋体" w:cs="宋体" w:hint="eastAsia"/>
          <w:sz w:val="21"/>
          <w:szCs w:val="21"/>
          <w:lang w:eastAsia="zh-CN"/>
        </w:rPr>
        <w:t>服务需求</w:t>
      </w:r>
      <w:r>
        <w:rPr>
          <w:rFonts w:ascii="宋体" w:eastAsia="宋体" w:hAnsi="宋体" w:cs="宋体" w:hint="eastAsia"/>
          <w:sz w:val="21"/>
          <w:szCs w:val="21"/>
        </w:rPr>
        <w:t>）对应的中小企业划分标准所属行业为</w:t>
      </w:r>
      <w:r>
        <w:rPr>
          <w:rFonts w:ascii="宋体" w:eastAsia="宋体" w:hAnsi="宋体" w:cs="宋体" w:hint="eastAsia"/>
          <w:b/>
          <w:bCs/>
          <w:color w:val="FF0000"/>
          <w:sz w:val="21"/>
          <w:szCs w:val="21"/>
          <w:u w:val="single"/>
          <w:lang w:eastAsia="zh-CN"/>
        </w:rPr>
        <w:t>餐饮业</w:t>
      </w:r>
      <w:r>
        <w:rPr>
          <w:rFonts w:ascii="宋体" w:eastAsia="宋体" w:hAnsi="宋体" w:cs="宋体" w:hint="eastAsia"/>
          <w:b/>
          <w:bCs/>
          <w:color w:val="FF0000"/>
          <w:sz w:val="21"/>
          <w:szCs w:val="21"/>
          <w:u w:val="single"/>
        </w:rPr>
        <w:t>。</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w:t>
      </w:r>
      <w:r>
        <w:rPr>
          <w:rFonts w:ascii="宋体" w:eastAsia="宋体" w:hAnsi="宋体" w:cs="宋体" w:hint="eastAsia"/>
          <w:sz w:val="21"/>
          <w:szCs w:val="21"/>
          <w:lang w:eastAsia="zh-CN"/>
        </w:rPr>
        <w:t>四</w:t>
      </w:r>
      <w:r>
        <w:rPr>
          <w:rFonts w:ascii="宋体" w:eastAsia="宋体" w:hAnsi="宋体" w:cs="宋体" w:hint="eastAsia"/>
          <w:sz w:val="21"/>
          <w:szCs w:val="21"/>
        </w:rPr>
        <w:t>章“投标文件组成要求及格式”中“</w:t>
      </w:r>
      <w:r>
        <w:rPr>
          <w:rFonts w:ascii="宋体" w:eastAsia="宋体" w:hAnsi="宋体" w:cs="宋体" w:hint="eastAsia"/>
          <w:sz w:val="21"/>
          <w:szCs w:val="21"/>
          <w:lang w:eastAsia="zh-CN"/>
        </w:rPr>
        <w:t>四、投标人情况及资格证明文件</w:t>
      </w:r>
      <w:r>
        <w:rPr>
          <w:rFonts w:ascii="宋体" w:eastAsia="宋体" w:hAnsi="宋体" w:cs="宋体" w:hint="eastAsia"/>
          <w:sz w:val="21"/>
          <w:szCs w:val="21"/>
        </w:rPr>
        <w:t>”章节提供的格式）。</w:t>
      </w:r>
    </w:p>
    <w:p>
      <w:pPr>
        <w:keepNext w:val="0"/>
        <w:keepLines w:val="0"/>
        <w:pageBreakBefore w:val="0"/>
        <w:widowControl/>
        <w:numPr>
          <w:ilvl w:val="0"/>
          <w:numId w:val="1"/>
        </w:numPr>
        <w:kinsoku/>
        <w:wordWrap/>
        <w:overflowPunct/>
        <w:topLinePunct w:val="0"/>
        <w:autoSpaceDE/>
        <w:autoSpaceDN/>
        <w:bidi w:val="0"/>
        <w:adjustRightInd/>
        <w:snapToGrid/>
        <w:spacing w:line="300" w:lineRule="auto"/>
        <w:ind w:firstLine="420" w:firstLineChars="200"/>
        <w:textAlignment w:val="auto"/>
        <w:rPr>
          <w:rFonts w:ascii="宋体" w:eastAsia="宋体" w:hAnsi="宋体" w:cs="宋体" w:hint="eastAsia"/>
          <w:sz w:val="21"/>
          <w:szCs w:val="21"/>
          <w:lang w:eastAsia="zh-CN"/>
        </w:rPr>
      </w:pPr>
      <w:r>
        <w:rPr>
          <w:rFonts w:ascii="宋体" w:eastAsia="宋体" w:hAnsi="宋体" w:cs="宋体" w:hint="eastAsia"/>
          <w:sz w:val="21"/>
          <w:szCs w:val="21"/>
        </w:rPr>
        <w:t>享受价格扣除获得政府采购合同的，小微企业不得将合同分包给大中型企业。</w:t>
      </w: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黑体" w:eastAsia="黑体" w:hAnsi="宋体"/>
          <w:kern w:val="2"/>
          <w:szCs w:val="22"/>
          <w:lang w:eastAsia="zh-CN"/>
        </w:rPr>
      </w:pPr>
      <w:r>
        <w:rPr>
          <w:rFonts w:ascii="宋体" w:eastAsia="宋体" w:hAnsi="宋体" w:cs="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宋体" w:hint="eastAsia"/>
          <w:b/>
          <w:bCs/>
          <w:color w:val="FF0000"/>
          <w:kern w:val="2"/>
          <w:sz w:val="21"/>
          <w:szCs w:val="21"/>
          <w:highlight w:val="yellow"/>
          <w:u w:val="single"/>
          <w:lang w:eastAsia="zh-CN"/>
        </w:rPr>
        <w:t>服务采购</w:t>
      </w:r>
      <w:r>
        <w:rPr>
          <w:rFonts w:ascii="宋体" w:eastAsia="宋体" w:hAnsi="宋体" w:cs="宋体" w:hint="eastAsia"/>
          <w:kern w:val="2"/>
          <w:sz w:val="21"/>
          <w:szCs w:val="21"/>
          <w:lang w:eastAsia="zh-CN"/>
        </w:rPr>
        <w:t>：</w:t>
      </w:r>
    </w:p>
    <w:p>
      <w:pPr>
        <w:widowControl/>
        <w:spacing w:line="360" w:lineRule="auto"/>
        <w:ind w:firstLine="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widowControl w:val="0"/>
        <w:spacing w:line="300" w:lineRule="auto"/>
        <w:ind w:firstLine="420" w:firstLineChars="200"/>
        <w:jc w:val="both"/>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具体计取费率标准如下表所示：</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747"/>
        <w:gridCol w:w="1925"/>
        <w:gridCol w:w="1926"/>
        <w:gridCol w:w="1925"/>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服务类型中标金额(万元)</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货物招标</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服务招标</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100以下</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1.8%</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1.8%</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1.2%</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100-500</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1.32%</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0.96%</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0.84%</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500-1000</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0.96%</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0.54%</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0.66%</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1000-5000</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0.6%</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0.3%</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0.42%</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5000-10000</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0.3%</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0.12%</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0.24%</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10000-100000</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0.06%</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0.06%</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0.06%</w:t>
            </w:r>
          </w:p>
        </w:tc>
      </w:tr>
      <w:tr>
        <w:tblPrEx>
          <w:tblW w:w="5000" w:type="pct"/>
          <w:tblInd w:w="-34" w:type="dxa"/>
          <w:tblLayout w:type="fixed"/>
          <w:tblCellMar>
            <w:top w:w="0" w:type="dxa"/>
            <w:left w:w="108" w:type="dxa"/>
            <w:bottom w:w="0" w:type="dxa"/>
            <w:right w:w="108" w:type="dxa"/>
          </w:tblCellMar>
        </w:tblPrEx>
        <w:trPr>
          <w:trHeight w:val="402"/>
        </w:trPr>
        <w:tc>
          <w:tcPr>
            <w:tcW w:w="2836"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1000000以上</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0.012%</w:t>
            </w:r>
          </w:p>
        </w:tc>
        <w:tc>
          <w:tcPr>
            <w:tcW w:w="1985"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0.012%</w:t>
            </w:r>
          </w:p>
        </w:tc>
        <w:tc>
          <w:tcPr>
            <w:tcW w:w="1984" w:type="dxa"/>
            <w:noWrap/>
            <w:vAlign w:val="center"/>
          </w:tcPr>
          <w:p>
            <w:pPr>
              <w:widowControl w:val="0"/>
              <w:snapToGrid w:val="0"/>
              <w:spacing w:after="60" w:afterLines="25" w:line="360" w:lineRule="auto"/>
              <w:ind w:firstLine="412" w:firstLineChars="196"/>
              <w:jc w:val="both"/>
              <w:rPr>
                <w:rFonts w:ascii="宋体" w:eastAsia="宋体" w:hAnsi="宋体" w:cs="宋体" w:hint="eastAsia"/>
                <w:kern w:val="2"/>
                <w:sz w:val="21"/>
                <w:szCs w:val="21"/>
              </w:rPr>
            </w:pPr>
            <w:r>
              <w:rPr>
                <w:rFonts w:ascii="宋体" w:eastAsia="宋体" w:hAnsi="宋体" w:cs="宋体" w:hint="eastAsia"/>
                <w:kern w:val="2"/>
                <w:sz w:val="21"/>
                <w:szCs w:val="21"/>
              </w:rPr>
              <w:t>0.012%</w:t>
            </w:r>
          </w:p>
        </w:tc>
      </w:tr>
    </w:tbl>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注：</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（1）按本表费率计算的收费为招标代理服务的收费基准价格。</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（2）招标代理服务收费按差额定率累进法计算。</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例如：某服务招标代理业务中标金额为600万元，计算招标代理服务收费额如下：</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100万元×1.8%=1.8万元</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（500-100）万元×0.96%=3.84万元</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（600-500）万元×0.54%=0.54万元</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合计收费=1.8+3.84+0.54=6.18万元</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备注：最低收费不低于人民币7000元。代理服务费用超过7000元，则按国家计费规定收取代理服务费。</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收款单位：深圳市千里招标代理有限公司</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开户银行：中国平安银行深圳创业路支行</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帐号：（人民币）15000094959311（用于支付标书费和中标服务费）</w:t>
      </w:r>
    </w:p>
    <w:p>
      <w:pPr>
        <w:widowControl w:val="0"/>
        <w:spacing w:line="300" w:lineRule="auto"/>
        <w:jc w:val="both"/>
        <w:rPr>
          <w:rFonts w:ascii="宋体" w:eastAsia="宋体" w:hAnsi="宋体" w:cs="宋体" w:hint="eastAsia"/>
          <w:sz w:val="21"/>
          <w:szCs w:val="21"/>
        </w:rPr>
      </w:pPr>
      <w:r>
        <w:rPr>
          <w:rFonts w:ascii="宋体" w:eastAsia="宋体" w:hAnsi="宋体" w:cs="宋体" w:hint="eastAsia"/>
          <w:sz w:val="21"/>
          <w:szCs w:val="21"/>
        </w:rPr>
        <w:t>中标人须在中标公告公示期结束后，领取《中标通知书》前，向招标（采购）代理机构缴纳招标代理服务费。</w:t>
      </w:r>
    </w:p>
    <w:p>
      <w:pPr>
        <w:widowControl/>
        <w:spacing w:line="360" w:lineRule="auto"/>
        <w:ind w:firstLine="420"/>
        <w:jc w:val="left"/>
        <w:rPr>
          <w:rFonts w:ascii="宋体" w:eastAsia="宋体" w:hAnsi="宋体" w:cs="宋体" w:hint="eastAsia"/>
          <w:sz w:val="21"/>
          <w:szCs w:val="21"/>
          <w:lang w:eastAsia="zh-CN"/>
        </w:rPr>
      </w:pPr>
      <w:r>
        <w:rPr>
          <w:rFonts w:ascii="宋体" w:eastAsia="宋体" w:hAnsi="宋体" w:cs="宋体" w:hint="eastAsia"/>
          <w:sz w:val="21"/>
          <w:szCs w:val="21"/>
        </w:rPr>
        <w:t>招标代理服务费以转账、银行汇票形式交付。</w:t>
      </w: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ind w:firstLine="420"/>
        <w:jc w:val="left"/>
        <w:rPr>
          <w:rFonts w:ascii="宋体" w:eastAsia="宋体" w:hAnsi="宋体" w:cs="宋体" w:hint="eastAsia"/>
          <w:sz w:val="21"/>
          <w:szCs w:val="21"/>
          <w:lang w:eastAsia="zh-CN"/>
        </w:rPr>
      </w:pPr>
    </w:p>
    <w:p>
      <w:pPr>
        <w:widowControl/>
        <w:spacing w:line="360" w:lineRule="auto"/>
        <w:jc w:val="left"/>
        <w:rPr>
          <w:rFonts w:ascii="宋体" w:eastAsia="宋体" w:hAnsi="宋体" w:cs="宋体" w:hint="eastAsia"/>
          <w:sz w:val="21"/>
          <w:szCs w:val="21"/>
          <w:lang w:eastAsia="zh-CN"/>
        </w:rPr>
      </w:pPr>
    </w:p>
    <w:p>
      <w:pPr>
        <w:keepNext/>
        <w:keepLines/>
        <w:widowControl w:val="0"/>
        <w:kinsoku/>
        <w:overflowPunct/>
        <w:topLinePunct w:val="0"/>
        <w:bidi w:val="0"/>
        <w:adjustRightInd w:val="0"/>
        <w:spacing w:beforeAutospacing="0" w:afterAutospacing="0" w:line="360" w:lineRule="auto"/>
        <w:ind w:left="0" w:right="0" w:firstLine="0" w:leftChars="0" w:firstLineChars="0"/>
        <w:jc w:val="center"/>
        <w:textAlignment w:val="baseline"/>
        <w:outlineLvl w:val="1"/>
        <w:rPr>
          <w:rFonts w:ascii="宋体" w:eastAsia="宋体" w:hAnsi="宋体" w:cs="宋体" w:hint="eastAsia"/>
          <w:b/>
          <w:bCs/>
          <w:color w:val="FF0000"/>
          <w:sz w:val="28"/>
          <w:szCs w:val="28"/>
          <w:lang w:eastAsia="zh-CN"/>
        </w:rPr>
      </w:pPr>
      <w:r>
        <w:rPr>
          <w:rFonts w:ascii="宋体" w:eastAsia="宋体" w:hAnsi="宋体" w:cs="宋体" w:hint="eastAsia"/>
          <w:b/>
          <w:color w:val="FF0000"/>
          <w:kern w:val="2"/>
          <w:sz w:val="32"/>
          <w:szCs w:val="32"/>
          <w:lang w:eastAsia="zh-CN"/>
        </w:rPr>
        <w:t>★</w:t>
      </w:r>
      <w:r>
        <w:rPr>
          <w:rFonts w:ascii="宋体" w:eastAsia="宋体" w:hAnsi="宋体" w:cs="宋体" w:hint="eastAsia"/>
          <w:b/>
          <w:bCs/>
          <w:color w:val="FF0000"/>
          <w:sz w:val="28"/>
          <w:szCs w:val="28"/>
          <w:lang w:eastAsia="zh-CN"/>
        </w:rPr>
        <w:t>第三章 用户需求书</w:t>
      </w:r>
    </w:p>
    <w:p>
      <w:pPr>
        <w:keepNext/>
        <w:keepLines/>
        <w:numPr>
          <w:ilvl w:val="0"/>
          <w:numId w:val="2"/>
        </w:numPr>
        <w:spacing w:before="340" w:after="330" w:line="240" w:lineRule="auto"/>
        <w:ind w:left="0" w:firstLine="420" w:leftChars="0" w:firstLineChars="0"/>
        <w:outlineLvl w:val="0"/>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项目概况</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为保证学校食堂的食品安全和卫生，解决校园就餐问题，选择优秀的供应商进驻进驻本校负责食堂膳食管理，食堂环境卫生清洁、食堂器具设施的日常维护及保养、供应一日三餐等后勤管理辅助工作。</w:t>
      </w:r>
    </w:p>
    <w:p>
      <w:pPr>
        <w:keepNext/>
        <w:keepLines/>
        <w:numPr>
          <w:ilvl w:val="0"/>
          <w:numId w:val="2"/>
        </w:numPr>
        <w:spacing w:before="340" w:after="330" w:line="240" w:lineRule="auto"/>
        <w:ind w:left="0" w:firstLine="420" w:leftChars="0" w:firstLineChars="0"/>
        <w:outlineLvl w:val="0"/>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项目清单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7"/>
        <w:gridCol w:w="2654"/>
        <w:gridCol w:w="1131"/>
        <w:gridCol w:w="1131"/>
        <w:gridCol w:w="2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jc w:val="center"/>
        </w:trPr>
        <w:tc>
          <w:tcPr>
            <w:tcW w:w="902" w:type="dxa"/>
            <w:noWrap w:val="0"/>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3057" w:type="dxa"/>
            <w:noWrap w:val="0"/>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服务分项名称</w:t>
            </w:r>
          </w:p>
        </w:tc>
        <w:tc>
          <w:tcPr>
            <w:tcW w:w="1280" w:type="dxa"/>
            <w:noWrap w:val="0"/>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数量</w:t>
            </w:r>
          </w:p>
        </w:tc>
        <w:tc>
          <w:tcPr>
            <w:tcW w:w="1280" w:type="dxa"/>
            <w:noWrap w:val="0"/>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单位</w:t>
            </w:r>
          </w:p>
        </w:tc>
        <w:tc>
          <w:tcPr>
            <w:tcW w:w="3227" w:type="dxa"/>
            <w:noWrap w:val="0"/>
            <w:vAlign w:val="center"/>
          </w:tcPr>
          <w:p>
            <w:pPr>
              <w:pageBreakBefore w:val="0"/>
              <w:kinsoku/>
              <w:overflowPunct/>
              <w:topLinePunct w:val="0"/>
              <w:autoSpaceDE/>
              <w:autoSpaceDN/>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rPr>
            </w:pPr>
            <w:r>
              <w:rPr>
                <w:rFonts w:ascii="宋体" w:eastAsia="宋体" w:hAnsi="宋体" w:cs="宋体" w:hint="eastAsia"/>
                <w:b/>
                <w:color w:val="FF0000"/>
                <w:sz w:val="21"/>
                <w:szCs w:val="21"/>
              </w:rPr>
              <w:t>预算金额（元）</w:t>
            </w:r>
          </w:p>
        </w:tc>
      </w:tr>
      <w:tr>
        <w:tblPrEx>
          <w:tblW w:w="5000" w:type="pct"/>
          <w:jc w:val="center"/>
          <w:tblLayout w:type="fixed"/>
          <w:tblCellMar>
            <w:top w:w="0" w:type="dxa"/>
            <w:left w:w="108" w:type="dxa"/>
            <w:bottom w:w="0" w:type="dxa"/>
            <w:right w:w="108" w:type="dxa"/>
          </w:tblCellMar>
        </w:tblPrEx>
        <w:trPr>
          <w:trHeight w:val="990"/>
          <w:jc w:val="center"/>
        </w:trPr>
        <w:tc>
          <w:tcPr>
            <w:tcW w:w="902" w:type="dxa"/>
            <w:noWrap w:val="0"/>
            <w:vAlign w:val="center"/>
          </w:tcPr>
          <w:p>
            <w:pPr>
              <w:pageBreakBefore w:val="0"/>
              <w:kinsoku/>
              <w:overflowPunct/>
              <w:topLinePunct w:val="0"/>
              <w:autoSpaceDE/>
              <w:autoSpaceDN/>
              <w:bidi w:val="0"/>
              <w:spacing w:beforeAutospacing="0" w:afterAutospacing="0" w:line="240" w:lineRule="auto"/>
              <w:ind w:left="0" w:right="0" w:firstLine="0" w:leftChars="0" w:firstLineChars="0"/>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3057" w:type="dxa"/>
            <w:noWrap w:val="0"/>
            <w:vAlign w:val="center"/>
          </w:tcPr>
          <w:p>
            <w:pPr>
              <w:spacing w:line="24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深圳市龙华高级中学教育集团（大浪校区）学生食堂运营管理服务</w:t>
            </w:r>
          </w:p>
        </w:tc>
        <w:tc>
          <w:tcPr>
            <w:tcW w:w="1280" w:type="dxa"/>
            <w:noWrap w:val="0"/>
            <w:vAlign w:val="center"/>
          </w:tcPr>
          <w:p>
            <w:pPr>
              <w:spacing w:line="24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p>
        </w:tc>
        <w:tc>
          <w:tcPr>
            <w:tcW w:w="1280" w:type="dxa"/>
            <w:noWrap w:val="0"/>
            <w:vAlign w:val="center"/>
          </w:tcPr>
          <w:p>
            <w:pPr>
              <w:spacing w:line="240" w:lineRule="auto"/>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项</w:t>
            </w:r>
          </w:p>
        </w:tc>
        <w:tc>
          <w:tcPr>
            <w:tcW w:w="3227" w:type="dxa"/>
            <w:noWrap w:val="0"/>
            <w:vAlign w:val="center"/>
          </w:tcPr>
          <w:p>
            <w:pPr>
              <w:spacing w:line="240" w:lineRule="auto"/>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3,009,600.00</w:t>
            </w:r>
          </w:p>
        </w:tc>
      </w:tr>
    </w:tbl>
    <w:p>
      <w:pPr>
        <w:pageBreakBefore w:val="0"/>
        <w:numPr>
          <w:ilvl w:val="0"/>
          <w:numId w:val="0"/>
        </w:numPr>
        <w:kinsoku/>
        <w:overflowPunct/>
        <w:topLinePunct w:val="0"/>
        <w:autoSpaceDE/>
        <w:autoSpaceDN/>
        <w:bidi w:val="0"/>
        <w:adjustRightInd/>
        <w:spacing w:beforeAutospacing="0" w:afterAutospacing="0" w:line="240" w:lineRule="auto"/>
        <w:ind w:left="0" w:right="0" w:firstLine="0" w:leftChars="0" w:rightChars="0" w:firstLineChars="0"/>
        <w:jc w:val="left"/>
        <w:rPr>
          <w:rFonts w:ascii="宋体" w:eastAsia="宋体" w:hAnsi="宋体" w:cs="宋体" w:hint="eastAsia"/>
          <w:b/>
          <w:sz w:val="21"/>
          <w:szCs w:val="21"/>
          <w:lang w:eastAsia="zh-CN"/>
        </w:rPr>
      </w:pPr>
    </w:p>
    <w:p>
      <w:pPr>
        <w:keepNext/>
        <w:keepLines/>
        <w:numPr>
          <w:ilvl w:val="0"/>
          <w:numId w:val="2"/>
        </w:numPr>
        <w:spacing w:before="340" w:after="330" w:line="240" w:lineRule="auto"/>
        <w:ind w:left="0" w:firstLine="420" w:leftChars="0" w:firstLineChars="0"/>
        <w:outlineLvl w:val="0"/>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项目服务内容及服务要求</w:t>
      </w:r>
    </w:p>
    <w:p>
      <w:pPr>
        <w:numPr>
          <w:ilvl w:val="0"/>
          <w:numId w:val="0"/>
        </w:numPr>
        <w:ind w:left="0" w:firstLine="0"/>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rPr>
        <w:t>（一）</w:t>
      </w:r>
      <w:r>
        <w:rPr>
          <w:rFonts w:ascii="宋体" w:eastAsia="宋体" w:hAnsi="宋体" w:cs="宋体" w:hint="eastAsia"/>
          <w:b/>
          <w:bCs/>
          <w:color w:val="000000"/>
          <w:sz w:val="21"/>
          <w:szCs w:val="21"/>
        </w:rPr>
        <w:t>服务内容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对采购方的食堂日常事务管理，中标方应严格执行国家、广东省、深圳市的食品卫生安全法规的规范要求；食堂工作人员必须持有效健康证上岗；做好个人卫生、环境卫生和餐厨用具用品的消毒工作，保障食堂出品的食品卫生安全；严防食物中毒和食源性疾病；严格执行安全生产制度，做好防火防盗的预防工作，杜绝重大事故的发生。</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饭菜质量：食堂供应的食品，必须符合食品卫生安全规范的质量要求，注重食品营养结构和风味搭配，确保热饭热菜供应服务，努力提高烹调服务水平。</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环境卫生：食堂环境卫生清洁要达到国家有关规定及行业规范的标准。食堂工作场所及周边中标方应做到每天及时清洁，每周彻底打扫一次。</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工作团队人员管理：所有人员的薪酬、福利、加班费、休假、健康管理及社会保障事务都由中标企业负责。对不适合在本项目团队中工作的人员，双方商议后可以调换，有离职时需立即补上合适的人员。接替人员应该具有被调换或主动离职人员相同的职业资格。所有人员都需持有既定的、有效的健康及卫生培训证明，该类证书在到期前由中标企业负责监督续办，不得延误。</w:t>
      </w:r>
    </w:p>
    <w:p>
      <w:pP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rPr>
        <w:t>（二）</w:t>
      </w:r>
      <w:r>
        <w:rPr>
          <w:rFonts w:ascii="宋体" w:eastAsia="宋体" w:hAnsi="宋体" w:cs="宋体" w:hint="eastAsia"/>
          <w:b/>
          <w:bCs/>
          <w:color w:val="000000"/>
          <w:sz w:val="21"/>
          <w:szCs w:val="21"/>
        </w:rPr>
        <w:t>服务要求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1.质量考核验收标准</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1、早餐供应：</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品种：早餐提供8种菜品以上，如小菜、粥品、汤粉面、广式茶点、蛋类、豆浆、粗粮、青菜等供教职工选择。</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2、午、晚餐供应：</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午餐不少于6种以上菜品、老火靓汤、米饭、粗粮等，配备甜点及水果。晚餐视情况而定。</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3、就餐时间： </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早餐：6:30-8:00</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中餐：12:00-13:00</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晚餐：17:30-19:00</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如遇特殊情况需进行特别保障的（如节假日供餐、提前或延后开饭等有关情形），中标方需无条件执行保障任务。</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中标方应按规定时间准时开餐，每餐所供应食品在开餐前15分钟布置完毕，如变更或其他情况，不能准时开餐，中标方应提前通知招标方，并留有充分时间做出补救。</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 xml:space="preserve">合理安排就餐人数，做好用餐人员分流工作，保持供餐器血内食品在一半以上，不可出现用餐人员等候拥挤混乱现象。 </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分餐服务人员及时准确进行分餐，保证菜量。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当招标方增加或减少餐费标准时，中标方应在招标方指定的时间内对饭菜做出调整，调整前必须提前制定出方案，经招标方审核、确认、批准后方可实施。</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2.违约处置事项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为加强对食堂的规范管理,切实做好学校饮食服务工作,保障全校教职工有一个安全卫生的饮食环境，特制定以下违约处置条款:</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2.1、食堂工作人员必须持健康证才能上岗操作，违者承担违约责任，每发生一次，采购方将根据情节扣除本项目合同款一百至二百元整并清离工作场所。</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2.2餐饮工作人员工作时必须穿标配工作服和工作帽，违者承担违约责任，每发生一次，采购方将扣除本项目合同款五十元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2.3窗口服务时应文明服务，语言不文明、出言不逊、开口骂人者(不管什么理由)承担违约责任，每发生一次，采购方将扣除本项目合同款五十元。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2.4动手打人者（不管什么理由）承担违约责任，扣款一百元至两百元;情节严重的,当事人除承担对方医疗费及其他相关费用外,在编职工停职检查、责任人停业整顿、临时工予以辞退，必要时汇报司法机关，追究当事人法律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2.5食堂员工在工作场所不准留长发、留长指甲、长胡子、化妆、赤脚、穿拖鞋、背心和佩戴首饰等饰品，不准吸烟喝酒，违者承担违约责任，每发生一次，采购方将扣除本项目合同款五十元;售卖窗口服务时姿势不端正,如趴台、蹬桌子、吸烟、趴窗等，违者承担违约责任，每发生一次，采购方将扣除本项目合同款三十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2.6不准用手直接售馒头,包子,油条等食点，违者承担违约责任，每发生一次，采购方将扣除本项目合同款五十元。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2.7员工必须掌握用电、用气、防火和使用机械常识,如发生此类错误造成损失或人员伤亡的,经营责任人应负全面责任，并依经营协议进行处罚。</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2.8食堂内部操作间内不允许住宿，违者承担违约责任，每发生一次，采购方将扣除本项目合同款二百元。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2.9食堂公共场所每天应及时进行整理打扫,操作场所必须做到“落手清”，并于下班前进行彻底打扫;消毒池内不得洗菜,每周一次大扫除,做到包干到人,责任到人,如检查不合格承担违约责任，每发生一次，采购方将根据情节扣除本项目合同款十元至一百元。</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2.10食堂仓库内严禁存入易燃、有毒物品,禁止存入其他杂物和私人物品,库存食品按类别上架存放,粮食存放应隔墙 10 公分,查检不合格，承担违约责任，每发生一次，采购方将根据情节扣除本项目合同款五十至五百元整。</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2.11保洁柜中不得乱放杂物，违者承担违约责任，每发生一次，采购方将扣除本项目合同款一百元整。</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3.3项目人员要求</w:t>
      </w:r>
    </w:p>
    <w:tbl>
      <w:tblPr>
        <w:tblStyle w:val="TableNorma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696"/>
        <w:gridCol w:w="2111"/>
        <w:gridCol w:w="851"/>
        <w:gridCol w:w="486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1040"/>
        </w:trPr>
        <w:tc>
          <w:tcPr>
            <w:tcW w:w="408"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序号</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岗位名称</w:t>
            </w:r>
          </w:p>
        </w:tc>
        <w:tc>
          <w:tcPr>
            <w:tcW w:w="499"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lang w:eastAsia="zh-CN" w:bidi="ar"/>
              </w:rPr>
            </w:pPr>
            <w:r>
              <w:rPr>
                <w:rFonts w:ascii="宋体" w:eastAsia="宋体" w:hAnsi="宋体" w:cs="宋体" w:hint="eastAsia"/>
                <w:b/>
                <w:bCs/>
                <w:color w:val="000000"/>
                <w:sz w:val="21"/>
                <w:szCs w:val="21"/>
                <w:lang w:eastAsia="zh-CN" w:bidi="ar"/>
              </w:rPr>
              <w:t>人数</w:t>
            </w:r>
          </w:p>
        </w:tc>
        <w:tc>
          <w:tcPr>
            <w:tcW w:w="2853"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lang w:eastAsia="zh-CN" w:bidi="ar"/>
              </w:rPr>
              <w:t>岗位职责</w:t>
            </w:r>
          </w:p>
        </w:tc>
      </w:tr>
      <w:tr>
        <w:tblPrEx>
          <w:tblW w:w="5000" w:type="pct"/>
          <w:tblInd w:w="0" w:type="dxa"/>
          <w:tblLayout w:type="fixed"/>
          <w:tblCellMar>
            <w:top w:w="0" w:type="dxa"/>
            <w:left w:w="108" w:type="dxa"/>
            <w:bottom w:w="0" w:type="dxa"/>
            <w:right w:w="108" w:type="dxa"/>
          </w:tblCellMar>
        </w:tblPrEx>
        <w:trPr>
          <w:trHeight w:val="1348"/>
        </w:trPr>
        <w:tc>
          <w:tcPr>
            <w:tcW w:w="40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1</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主管兼高级食品安全管理员</w:t>
            </w:r>
          </w:p>
        </w:tc>
        <w:tc>
          <w:tcPr>
            <w:tcW w:w="499"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p>
        </w:tc>
        <w:tc>
          <w:tcPr>
            <w:tcW w:w="2853"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val="zh-CN" w:eastAsia="zh-CN" w:bidi="ar"/>
              </w:rPr>
            </w:pPr>
            <w:r>
              <w:rPr>
                <w:rFonts w:ascii="宋体" w:eastAsia="宋体" w:hAnsi="宋体" w:cs="宋体" w:hint="eastAsia"/>
                <w:color w:val="000000"/>
                <w:sz w:val="21"/>
                <w:szCs w:val="21"/>
                <w:lang w:val="zh-CN" w:eastAsia="zh-CN" w:bidi="ar"/>
              </w:rPr>
              <w:t>负责</w:t>
            </w:r>
            <w:r>
              <w:rPr>
                <w:rFonts w:ascii="宋体" w:eastAsia="宋体" w:hAnsi="宋体" w:cs="宋体" w:hint="eastAsia"/>
                <w:color w:val="000000"/>
                <w:sz w:val="21"/>
                <w:szCs w:val="21"/>
                <w:lang w:eastAsia="zh-CN" w:bidi="ar"/>
              </w:rPr>
              <w:t>本校区的</w:t>
            </w:r>
            <w:r>
              <w:rPr>
                <w:rFonts w:ascii="宋体" w:eastAsia="宋体" w:hAnsi="宋体" w:cs="宋体" w:hint="eastAsia"/>
                <w:color w:val="000000"/>
                <w:sz w:val="21"/>
                <w:szCs w:val="21"/>
                <w:lang w:val="zh-CN" w:eastAsia="zh-CN" w:bidi="ar"/>
              </w:rPr>
              <w:t>售饭区域及就餐区域的全部</w:t>
            </w:r>
            <w:r>
              <w:rPr>
                <w:rFonts w:ascii="宋体" w:eastAsia="宋体" w:hAnsi="宋体" w:cs="宋体" w:hint="eastAsia"/>
                <w:color w:val="000000"/>
                <w:sz w:val="21"/>
                <w:szCs w:val="21"/>
                <w:lang w:eastAsia="zh-CN" w:bidi="ar"/>
              </w:rPr>
              <w:t>管理</w:t>
            </w:r>
            <w:r>
              <w:rPr>
                <w:rFonts w:ascii="宋体" w:eastAsia="宋体" w:hAnsi="宋体" w:cs="宋体" w:hint="eastAsia"/>
                <w:color w:val="000000"/>
                <w:sz w:val="21"/>
                <w:szCs w:val="21"/>
                <w:lang w:val="zh-CN" w:eastAsia="zh-CN" w:bidi="ar"/>
              </w:rPr>
              <w:t>工作，尤其在就餐高峰期间处理师生投诉，确保食堂服务质量和</w:t>
            </w:r>
            <w:r>
              <w:rPr>
                <w:rFonts w:ascii="宋体" w:eastAsia="宋体" w:hAnsi="宋体" w:cs="宋体" w:hint="eastAsia"/>
                <w:color w:val="000000"/>
                <w:sz w:val="21"/>
                <w:szCs w:val="21"/>
                <w:lang w:eastAsia="zh-CN" w:bidi="ar"/>
              </w:rPr>
              <w:t>饮食</w:t>
            </w:r>
            <w:r>
              <w:rPr>
                <w:rFonts w:ascii="宋体" w:eastAsia="宋体" w:hAnsi="宋体" w:cs="宋体" w:hint="eastAsia"/>
                <w:color w:val="000000"/>
                <w:sz w:val="21"/>
                <w:szCs w:val="21"/>
                <w:lang w:val="zh-CN" w:eastAsia="zh-CN" w:bidi="ar"/>
              </w:rPr>
              <w:t>安全</w:t>
            </w:r>
            <w:r>
              <w:rPr>
                <w:rFonts w:ascii="宋体" w:eastAsia="宋体" w:hAnsi="宋体" w:cs="宋体" w:hint="eastAsia"/>
                <w:color w:val="000000"/>
                <w:sz w:val="21"/>
                <w:szCs w:val="21"/>
                <w:lang w:eastAsia="zh-CN" w:bidi="ar"/>
              </w:rPr>
              <w:t>等</w:t>
            </w:r>
            <w:r>
              <w:rPr>
                <w:rFonts w:ascii="宋体" w:eastAsia="宋体" w:hAnsi="宋体" w:cs="宋体" w:hint="eastAsia"/>
                <w:color w:val="000000"/>
                <w:sz w:val="21"/>
                <w:szCs w:val="21"/>
                <w:lang w:val="zh-CN" w:eastAsia="zh-CN" w:bidi="ar"/>
              </w:rPr>
              <w:t>。</w:t>
            </w:r>
          </w:p>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val="zh-CN" w:eastAsia="zh-CN" w:bidi="ar"/>
              </w:rPr>
              <w:t>具有</w:t>
            </w:r>
            <w:r>
              <w:rPr>
                <w:rFonts w:ascii="宋体" w:eastAsia="宋体" w:hAnsi="宋体" w:cs="宋体" w:hint="eastAsia"/>
                <w:color w:val="000000"/>
                <w:sz w:val="21"/>
                <w:szCs w:val="21"/>
                <w:lang w:eastAsia="zh-CN" w:bidi="ar"/>
              </w:rPr>
              <w:t xml:space="preserve"> </w:t>
            </w:r>
            <w:r>
              <w:rPr>
                <w:rFonts w:ascii="宋体" w:eastAsia="宋体" w:hAnsi="宋体" w:cs="宋体" w:hint="eastAsia"/>
                <w:color w:val="000000"/>
                <w:sz w:val="21"/>
                <w:szCs w:val="21"/>
                <w:lang w:val="zh-CN" w:eastAsia="zh-CN" w:bidi="ar"/>
              </w:rPr>
              <w:t>公共营养师证书、</w:t>
            </w:r>
            <w:r>
              <w:rPr>
                <w:rFonts w:ascii="宋体" w:eastAsia="宋体" w:hAnsi="宋体" w:cs="宋体" w:hint="eastAsia"/>
                <w:color w:val="000000"/>
                <w:sz w:val="21"/>
                <w:szCs w:val="21"/>
                <w:lang w:eastAsia="zh-CN" w:bidi="ar"/>
              </w:rPr>
              <w:t>高级</w:t>
            </w:r>
            <w:r>
              <w:rPr>
                <w:rFonts w:ascii="宋体" w:eastAsia="宋体" w:hAnsi="宋体" w:cs="宋体" w:hint="eastAsia"/>
                <w:color w:val="000000"/>
                <w:sz w:val="21"/>
                <w:szCs w:val="21"/>
                <w:lang w:val="zh-CN" w:eastAsia="zh-CN" w:bidi="ar"/>
              </w:rPr>
              <w:t>营养配餐师、</w:t>
            </w:r>
            <w:r>
              <w:rPr>
                <w:rFonts w:ascii="宋体" w:eastAsia="宋体" w:hAnsi="宋体" w:cs="宋体" w:hint="eastAsia"/>
                <w:color w:val="000000"/>
                <w:sz w:val="21"/>
                <w:szCs w:val="21"/>
                <w:lang w:eastAsia="zh-CN" w:bidi="ar"/>
              </w:rPr>
              <w:t>三级中式烹调师、</w:t>
            </w:r>
            <w:r>
              <w:rPr>
                <w:rFonts w:ascii="宋体" w:eastAsia="宋体" w:hAnsi="宋体" w:cs="宋体" w:hint="eastAsia"/>
                <w:color w:val="000000"/>
                <w:sz w:val="21"/>
                <w:szCs w:val="21"/>
                <w:lang w:val="zh-CN" w:eastAsia="zh-CN" w:bidi="ar"/>
              </w:rPr>
              <w:t>食品安全管理员（师）证书。</w:t>
            </w:r>
          </w:p>
        </w:tc>
      </w:tr>
      <w:tr>
        <w:tblPrEx>
          <w:tblW w:w="5000" w:type="pct"/>
          <w:tblInd w:w="0" w:type="dxa"/>
          <w:tblLayout w:type="fixed"/>
          <w:tblCellMar>
            <w:top w:w="0" w:type="dxa"/>
            <w:left w:w="108" w:type="dxa"/>
            <w:bottom w:w="0" w:type="dxa"/>
            <w:right w:w="108" w:type="dxa"/>
          </w:tblCellMar>
        </w:tblPrEx>
        <w:trPr>
          <w:trHeight w:val="816"/>
        </w:trPr>
        <w:tc>
          <w:tcPr>
            <w:tcW w:w="40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2</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厨师长</w:t>
            </w:r>
          </w:p>
        </w:tc>
        <w:tc>
          <w:tcPr>
            <w:tcW w:w="499"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p>
        </w:tc>
        <w:tc>
          <w:tcPr>
            <w:tcW w:w="2853"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统筹厨师、厨工的出品及日常工作安排，制定菜单，保证饮食安全及卫生，及成本核算，具有食品安全管理员（师）证书、（三级或以上）中式烹调师证。</w:t>
            </w:r>
          </w:p>
        </w:tc>
      </w:tr>
      <w:tr>
        <w:tblPrEx>
          <w:tblW w:w="5000" w:type="pct"/>
          <w:tblInd w:w="0" w:type="dxa"/>
          <w:tblLayout w:type="fixed"/>
          <w:tblCellMar>
            <w:top w:w="0" w:type="dxa"/>
            <w:left w:w="108" w:type="dxa"/>
            <w:bottom w:w="0" w:type="dxa"/>
            <w:right w:w="108" w:type="dxa"/>
          </w:tblCellMar>
        </w:tblPrEx>
        <w:trPr>
          <w:trHeight w:val="874"/>
        </w:trPr>
        <w:tc>
          <w:tcPr>
            <w:tcW w:w="40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3</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食堂财务兼资料管理员兼仓管</w:t>
            </w:r>
          </w:p>
        </w:tc>
        <w:tc>
          <w:tcPr>
            <w:tcW w:w="499"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p>
        </w:tc>
        <w:tc>
          <w:tcPr>
            <w:tcW w:w="2853"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val="zh-CN" w:eastAsia="zh-CN" w:bidi="ar"/>
              </w:rPr>
              <w:t>负责原材料采购，调查原料价格，向服务商索证索票</w:t>
            </w:r>
            <w:r>
              <w:rPr>
                <w:rFonts w:ascii="宋体" w:eastAsia="宋体" w:hAnsi="宋体" w:cs="宋体" w:hint="eastAsia"/>
                <w:color w:val="000000"/>
                <w:sz w:val="21"/>
                <w:szCs w:val="21"/>
                <w:lang w:eastAsia="zh-CN" w:bidi="ar"/>
              </w:rPr>
              <w:t>以及台账资料管理。负责本校区食堂食品仓库进出库管理登记。</w:t>
            </w:r>
          </w:p>
        </w:tc>
      </w:tr>
      <w:tr>
        <w:tblPrEx>
          <w:tblW w:w="5000" w:type="pct"/>
          <w:tblInd w:w="0" w:type="dxa"/>
          <w:tblLayout w:type="fixed"/>
          <w:tblCellMar>
            <w:top w:w="0" w:type="dxa"/>
            <w:left w:w="108" w:type="dxa"/>
            <w:bottom w:w="0" w:type="dxa"/>
            <w:right w:w="108" w:type="dxa"/>
          </w:tblCellMar>
        </w:tblPrEx>
        <w:trPr>
          <w:trHeight w:val="1196"/>
        </w:trPr>
        <w:tc>
          <w:tcPr>
            <w:tcW w:w="40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4</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厨师</w:t>
            </w:r>
          </w:p>
        </w:tc>
        <w:tc>
          <w:tcPr>
            <w:tcW w:w="499"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853"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负责日常餐食制作，主要包括拟定菜谱、菜肴制作、卫生、配餐 服务等工作。具有中级或以上（四级或以上）中式烹调师证（或中式/西式面点师证）的优先安排至本项目。</w:t>
            </w:r>
          </w:p>
        </w:tc>
      </w:tr>
      <w:tr>
        <w:tblPrEx>
          <w:tblW w:w="5000" w:type="pct"/>
          <w:tblInd w:w="0" w:type="dxa"/>
          <w:tblLayout w:type="fixed"/>
          <w:tblCellMar>
            <w:top w:w="0" w:type="dxa"/>
            <w:left w:w="108" w:type="dxa"/>
            <w:bottom w:w="0" w:type="dxa"/>
            <w:right w:w="108" w:type="dxa"/>
          </w:tblCellMar>
        </w:tblPrEx>
        <w:trPr>
          <w:trHeight w:val="1120"/>
        </w:trPr>
        <w:tc>
          <w:tcPr>
            <w:tcW w:w="40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5</w:t>
            </w:r>
          </w:p>
        </w:tc>
        <w:tc>
          <w:tcPr>
            <w:tcW w:w="1238" w:type="pct"/>
            <w:tcBorders>
              <w:top w:val="single" w:sz="4" w:space="0" w:color="000000"/>
              <w:left w:val="single" w:sz="4" w:space="0" w:color="000000"/>
              <w:bottom w:val="single" w:sz="4" w:space="0" w:color="000000"/>
              <w:right w:val="single" w:sz="4" w:space="0" w:color="000000"/>
            </w:tcBorders>
            <w:noWrap w:val="0"/>
            <w:vAlign w:val="center"/>
          </w:tcPr>
          <w:p>
            <w:pPr>
              <w:keepNext w:val="0"/>
              <w:keepLines w:val="0"/>
              <w:widowControl/>
              <w:suppressLineNumbers w:val="0"/>
              <w:jc w:val="center"/>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bidi="ar"/>
              </w:rPr>
              <w:t>厨工兼配餐</w:t>
            </w:r>
          </w:p>
        </w:tc>
        <w:tc>
          <w:tcPr>
            <w:tcW w:w="499"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p>
        </w:tc>
        <w:tc>
          <w:tcPr>
            <w:tcW w:w="2853" w:type="pct"/>
            <w:tcBorders>
              <w:top w:val="single" w:sz="4" w:space="0" w:color="000000"/>
              <w:left w:val="single" w:sz="4" w:space="0" w:color="000000"/>
              <w:bottom w:val="single" w:sz="4" w:space="0" w:color="000000"/>
              <w:right w:val="single" w:sz="4" w:space="0" w:color="000000"/>
            </w:tcBorders>
            <w:noWrap w:val="0"/>
            <w:vAlign w:val="top"/>
          </w:tcPr>
          <w:p>
            <w:pPr>
              <w:keepNext w:val="0"/>
              <w:keepLines w:val="0"/>
              <w:widowControl/>
              <w:suppressLineNumbers w:val="0"/>
              <w:jc w:val="left"/>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负责</w:t>
            </w:r>
            <w:r>
              <w:rPr>
                <w:rFonts w:ascii="宋体" w:eastAsia="宋体" w:hAnsi="宋体" w:cs="宋体" w:hint="eastAsia"/>
                <w:color w:val="000000"/>
                <w:sz w:val="21"/>
                <w:szCs w:val="21"/>
                <w:lang w:val="zh-CN" w:eastAsia="zh-CN" w:bidi="ar"/>
              </w:rPr>
              <w:t>食材切配 按照厨师制定的菜谱进行领料、备货、涨发干货，淘米 蒸米 认真细致地加工准备好的各种原料，合理分档取料使物尽其用以及打餐配餐</w:t>
            </w:r>
            <w:r>
              <w:rPr>
                <w:rFonts w:ascii="宋体" w:eastAsia="宋体" w:hAnsi="宋体" w:cs="宋体" w:hint="eastAsia"/>
                <w:color w:val="000000"/>
                <w:sz w:val="21"/>
                <w:szCs w:val="21"/>
                <w:lang w:eastAsia="zh-CN" w:bidi="ar"/>
              </w:rPr>
              <w:t>及1-9年级的学生配送午餐至教室</w:t>
            </w:r>
            <w:r>
              <w:rPr>
                <w:rFonts w:ascii="宋体" w:eastAsia="宋体" w:hAnsi="宋体" w:cs="宋体" w:hint="eastAsia"/>
                <w:color w:val="000000"/>
                <w:sz w:val="21"/>
                <w:szCs w:val="21"/>
                <w:lang w:val="zh-CN" w:eastAsia="zh-CN" w:bidi="ar"/>
              </w:rPr>
              <w:t>工作。</w:t>
            </w:r>
          </w:p>
        </w:tc>
      </w:tr>
    </w:tbl>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3.4项目成果</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1、项目成果内容。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2、项目成果归属权。</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3.5其他服务内容及要求</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1、厨师必须持有健康证、厨师等级证书；其他人员必须持有健康证。</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2、严格执行国家《中华人民共和国食品安全法》，遵守卫生法规，严格做好厨房食品卫生及食品卫生安全工作，有专业的食品安全高级食品安全员定期为相关从业人员培训相关食品安全操作及制度。</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工作人员严格按安全生产规定、要求、服务工作程序做好食堂早、中、晚餐饮服务工作，按计划公布每周就餐计划及菜式菜款，制定完善有效的食堂就餐及服务计划，服务规范，程序完善。根据气候条件和需求，定期煲煮凉茶、糖水、御寒姜汤。</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4、加工烹饪食品菜肴要精心制作，保证口味和质量做到饭热菜香。食材卫生：所有入仓食材均需安排专人检验，并按5S标准标识摆放，杜绝三无产品入库。</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5、厨房作业区分区明确，标注明晰，物品归类有序；生食物和熟食物的盛用容器、刀具等严格区分，不得混用。</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6、厨房每餐后台面地面要及时擦扫干净，刀具、机械用具、盛用器皿等用后热水洗净，擦干保存。</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7、厨房排水保持畅通，污水及时倒入污水池，不积存脏水污物，厨房地面、墙壁无污物。</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8、按照节能指标考核要求，落实水、电、煤气等能耗管理，并制定和落实相关节能措施；坚持每月物资清点登记制度，做好设备财产和物资管理，无财产及物资外流、人为损坏和偷盗等现象发生。</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9、人员卫生：所有人员都必须经过卫生食品常识培训,考核、彻底去除个人不良卫生习惯，确保食品在加工过程中因个人卫生不洁，间接污染食品，工作人员进入厨房作业区必须穿着统一的工作服装，工作服保持整洁干净，禁止穿工作服离开厨房、食堂或做与制作饭菜无关的工作；工作人员做好个人卫生，不留长指甲、涂指甲油、接触直接入口食品前双手应进行消毒，工作前或工作中接触脏物后必须洗手，不得对着食物咳嗽、打喷嚏，不能用工作服擦鼻涕、擦汗、擦手或厨具等，不能随地吐痰；工作人员穿着工作服，工作服保持整洁干净；工作人员搬送菜肴和餐具前必须洗手，成品分膳时必须配戴工帽、口罩、一次性手套。</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sz w:val="21"/>
          <w:szCs w:val="21"/>
          <w:lang w:eastAsia="zh-CN"/>
        </w:rPr>
        <w:t>0、食品加工制作：食品加工流程做到生进熟出一条龙，确保“四过关”（一洗、二刷、三冲、四消毒）；加工食品做到生与熟、成品与半成品、食品与杂物和药物、食品与天然冰隔离存放；生熟工用具、容器、冰箱要分开使用；食品原料新鲜，存放分类分架，离墙隔地，防尘防蝇；配菜与出菜盘专用，标志明显；刀具无锈，盖布洁净，正反标志清晰；使用公用餐、茶具及盛放直接入口食品的容器，采用物理或化学方法洗净、消毒，达到光、洁、涩、干，密闭存放；工用具保持清洁、定位存放，菜墩立式存放药品、苍蝇拍按规定位置存放；废弃物、垃圾及时清运、日产日清，盛放垃圾容器清洁、美观，定期消毒；操作间地面、墙壁、门窗、桌椅清洁无油污，无灰尘，无杂物，干净整齐个人物品集中摆放；每周定期对厨房所有厨具、设施进行大扫除及消毒，加工食品烧熟煮透隔夜隔顿或外购熟食品须重新加热，（公众餐厅一般杜绝使用隔顿食品）米饭温度保证在50℃以上，食用菜式的中心温度不低于60℃（使用专用食品温度计测量）。</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11、菜肴质量：全程控制菜肴主、辅料及制作过程安全卫生，无食物中毒或因食物引起的其他不良反应；所有当餐食用材料进行48小时留样制度。菜肴新鲜，色泽良好，无过期及腐烂变质的食物；菜肴口味好，咸淡适中，并保证饭菜热度，使用专业保温台进行保温工作；更新度：菜肴花色更新及时，一周内不出现2次以上完全相同品种菜肴，根据季节及工作需要调整就餐菜式，保证每月推出3款时令菜；控制油及其他调味品用量，菜肴品种齐全，营养搭配合理；根据就餐情况，及时更新添加菜肴，合理控制上菜节奏，杜绝浪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12、就餐区环境：餐厅餐桌椅摆放整齐、桌上物品摆放有序；餐厅地面、墙壁无污物；餐具整洁干净，摆放有序，每餐洗净后及时进行消毒，消毒、监测报告和消杀记录齐全。</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13、就餐要求：教职工和学生就餐期间，厨房工作人员要做好巡查，及时发现问题，及时清扫餐桌，及时补充就餐区各种饭菜、餐桌牙签、餐巾纸等，就餐介绍后及时清洁餐厅各项卫生，保持餐厅洁净；工作人员坚守岗位，按照分工做好本职工作，文明礼貌，不粗言粗语和高声叫喊。积极主动，热情周到，细致入微。职工就餐过程中，坚持三勤服务，即“嘴勤、手勤、眼勤”，及时提供服务。</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14、采购方不提供中标方服务人员住宿。</w:t>
      </w:r>
    </w:p>
    <w:p>
      <w:pPr>
        <w:keepNext/>
        <w:keepLines/>
        <w:numPr>
          <w:ilvl w:val="0"/>
          <w:numId w:val="2"/>
        </w:numPr>
        <w:spacing w:before="340" w:after="330" w:line="240" w:lineRule="auto"/>
        <w:ind w:left="0" w:firstLine="420" w:leftChars="0" w:firstLineChars="0"/>
        <w:outlineLvl w:val="0"/>
        <w:rPr>
          <w:rFonts w:ascii="宋体" w:eastAsia="宋体" w:hAnsi="宋体" w:cs="宋体" w:hint="eastAsia"/>
          <w:b/>
          <w:bCs/>
          <w:kern w:val="44"/>
          <w:sz w:val="21"/>
          <w:szCs w:val="21"/>
          <w:lang w:eastAsia="zh-CN"/>
        </w:rPr>
      </w:pPr>
      <w:r>
        <w:rPr>
          <w:rFonts w:ascii="宋体" w:eastAsia="宋体" w:hAnsi="宋体" w:cs="宋体" w:hint="eastAsia"/>
          <w:b/>
          <w:bCs/>
          <w:kern w:val="44"/>
          <w:sz w:val="21"/>
          <w:szCs w:val="21"/>
          <w:lang w:eastAsia="zh-CN"/>
        </w:rPr>
        <w:t>商务要求</w:t>
      </w:r>
    </w:p>
    <w:p>
      <w:pPr>
        <w:numPr>
          <w:ilvl w:val="0"/>
          <w:numId w:val="0"/>
        </w:numPr>
        <w:ind w:left="0" w:firstLine="0"/>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（一）项目服务期限</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本项目服务期限为自本项目合同签订之日起一年（12个月）。</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履约评价等级为优或满意的合同可续签不超过2次，每次不超过12个月，续期的合同实质性内容不得改变，年度合同期结束后，采购方有权根据项目执行情况及项目实际情况等，自行决定是否续签本项目第二年或第三年的服务合同，本项目合同执行期限最长不超过36个月，合同续签等事宜按照主管部门的相关规定执行。</w:t>
      </w:r>
    </w:p>
    <w:p>
      <w:pPr>
        <w:numPr>
          <w:ilvl w:val="0"/>
          <w:numId w:val="0"/>
        </w:numPr>
        <w:ind w:left="0" w:firstLine="0"/>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（二）付款方式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分期支付，具体约定如下：</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 xml:space="preserve">（1）合同签订后 20 个工作日内，甲方向中标供应商支付合同总价【40】%的款项； </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（2）项目实行到合同服务期限中期阶段（即 2025 年 9 月 25 日前），如乙方未出现严重失误、违反合同约定情形，甲方对乙方的服务验收合格，甲方向乙方支付合同总价【40】%的款项；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（3）项目实行到合同服务期限终期阶段（即 2025年 12 月 15 日），待全部服务经甲方验收合格后 10 个工作日内，甲方向乙方支付合同总价【20】%的款项；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因资金拨款未到位而导致甲方未在约定期限内支付合同费用的，中标供应商不得要求采购人承担逾期付款的违约责任。每次付款前，中标供应商应需先提供相应额度的正规发票给采购人，以便办理支付手续。</w:t>
      </w:r>
    </w:p>
    <w:p>
      <w:pPr>
        <w:numPr>
          <w:ilvl w:val="0"/>
          <w:numId w:val="0"/>
        </w:numPr>
        <w:ind w:left="0" w:firstLine="0"/>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（三）投标报价要求</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3、投标人的投标报价不得超过预算限额，如设投标最高限价的，报价不得超过最高限价；</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4、投标人的投标报价，应是本项目采购范围和采购文件及合同条款上所列的各项内容中所述的全部，不得以任何理由予以重复，并以投标人在中提出的综合单价或总价为依据；</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6、投标人应先到项目地点踏勘以充分了解项目的位置、情况、道路及任何其它足以影响投标报价的情况，任何因忽视或误解项目情况而导致的索赔或服务期限延长申请将不获批准；</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numPr>
          <w:ilvl w:val="0"/>
          <w:numId w:val="0"/>
        </w:numPr>
        <w:ind w:left="0" w:firstLine="0"/>
        <w:rPr>
          <w:rFonts w:ascii="宋体" w:eastAsia="宋体" w:hAnsi="宋体" w:cs="宋体" w:hint="eastAsia"/>
          <w:b/>
          <w:bCs/>
          <w:color w:val="000000"/>
          <w:sz w:val="21"/>
          <w:szCs w:val="21"/>
          <w:lang w:eastAsia="zh-CN"/>
        </w:rPr>
      </w:pPr>
      <w:r>
        <w:rPr>
          <w:rFonts w:ascii="宋体" w:eastAsia="宋体" w:hAnsi="宋体" w:cs="宋体" w:hint="eastAsia"/>
          <w:b/>
          <w:bCs/>
          <w:color w:val="000000"/>
          <w:sz w:val="21"/>
          <w:szCs w:val="21"/>
          <w:lang w:eastAsia="zh-CN"/>
        </w:rPr>
        <w:t>（四）注意事项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1、中标人不得将项目非法分包或转包给任何单位和个人。否则，采购单位有权即刻终止合同，并要求中标人赔偿相应损失。</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2、投标人使用的标准必须是国际公认或国家、或地方政府颁布的同等或更高的标准，如投标人使用的标准低于上述标准,评标小组将有权不予接受，投标人必须列表将明显的差异详细说明。</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3、投标人须在质疑期内一次性提出针对同一采购程序环节的质疑。</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4、本项目按照深圳市龙华区教育局的相关采购规定执行，招标文件未明确的事项，参照政府采购有关法律法规执行。</w:t>
      </w:r>
    </w:p>
    <w:p>
      <w:pPr>
        <w:rPr>
          <w:rFonts w:hint="eastAsia"/>
          <w:lang w:eastAsia="zh-CN"/>
        </w:rPr>
      </w:pPr>
    </w:p>
    <w:p>
      <w:pPr>
        <w:rPr>
          <w:rFonts w:hint="eastAsia"/>
          <w:lang w:eastAsia="zh-CN"/>
        </w:rPr>
        <w:sectPr>
          <w:headerReference w:type="default" r:id="rId4"/>
          <w:footerReference w:type="default" r:id="rId5"/>
          <w:headerReference w:type="first" r:id="rId6"/>
          <w:pgSz w:w="11907" w:h="16840"/>
          <w:pgMar w:top="1440" w:right="1800" w:bottom="1440" w:left="1800" w:header="851" w:footer="992"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widowControl w:val="0"/>
        <w:jc w:val="both"/>
        <w:rPr>
          <w:rFonts w:ascii="宋体" w:eastAsia="宋体" w:hAnsi="宋体" w:cs="宋体" w:hint="eastAsia"/>
          <w:bCs/>
          <w:kern w:val="2"/>
          <w:sz w:val="21"/>
          <w:szCs w:val="21"/>
          <w:lang w:eastAsia="zh-CN"/>
        </w:rPr>
      </w:pPr>
    </w:p>
    <w:p>
      <w:pPr>
        <w:widowControl w:val="0"/>
        <w:jc w:val="both"/>
        <w:rPr>
          <w:rFonts w:ascii="宋体" w:eastAsia="宋体" w:hAnsi="宋体"/>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2" w:name="_Hlk72257167"/>
    </w:p>
    <w:bookmarkEnd w:id="12"/>
    <w:p>
      <w:pPr>
        <w:widowControl/>
        <w:spacing w:line="320" w:lineRule="atLeast"/>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bookmarkStart w:id="13" w:name="_Hlk72257771"/>
      <w:r>
        <w:rPr>
          <w:rFonts w:hint="eastAsia"/>
        </w:rPr>
        <w:t>（1）投标函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（2）龙华区教育局自行采购投标及履约承诺函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eastAsia="宋体" w:hint="eastAsia"/>
          <w:lang w:eastAsia="zh-CN"/>
        </w:rPr>
      </w:pPr>
      <w:r>
        <w:rPr>
          <w:rFonts w:eastAsia="宋体" w:hint="eastAsia"/>
          <w:lang w:eastAsia="zh-CN"/>
        </w:rPr>
        <w:t>（4）供应商基本情况表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5</w:t>
      </w:r>
      <w:r>
        <w:rPr>
          <w:rFonts w:hint="eastAsia"/>
        </w:rPr>
        <w:t>）分项报价清单</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6</w:t>
      </w:r>
      <w:r>
        <w:rPr>
          <w:rFonts w:hint="eastAsia"/>
        </w:rPr>
        <w:t>）股东构成审查表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7</w:t>
      </w:r>
      <w:r>
        <w:rPr>
          <w:rFonts w:hint="eastAsia"/>
        </w:rPr>
        <w:t>）法定代表人（负责人）证明书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8</w:t>
      </w:r>
      <w:r>
        <w:rPr>
          <w:rFonts w:hint="eastAsia"/>
        </w:rPr>
        <w:t>）投标文件签署授权委托书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9</w:t>
      </w:r>
      <w:r>
        <w:rPr>
          <w:rFonts w:hint="eastAsia"/>
        </w:rPr>
        <w:t>）实质性条款响应情况表</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10</w:t>
      </w:r>
      <w:r>
        <w:rPr>
          <w:rFonts w:hint="eastAsia"/>
        </w:rPr>
        <w:t>）服务方案和安全管理方案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11</w:t>
      </w:r>
      <w:r>
        <w:rPr>
          <w:rFonts w:hint="eastAsia"/>
        </w:rPr>
        <w:t>）质量保证措施</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12</w:t>
      </w:r>
      <w:r>
        <w:rPr>
          <w:rFonts w:hint="eastAsia"/>
        </w:rPr>
        <w:t>）突发状况应急方案</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13</w:t>
      </w:r>
      <w:r>
        <w:rPr>
          <w:rFonts w:hint="eastAsia"/>
        </w:rPr>
        <w:t>）卫生管理和保障制度</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14</w:t>
      </w:r>
      <w:r>
        <w:rPr>
          <w:rFonts w:hint="eastAsia"/>
        </w:rPr>
        <w:t>）拟安排的项目负责人情况（仅限一人）</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15</w:t>
      </w:r>
      <w:r>
        <w:rPr>
          <w:rFonts w:hint="eastAsia"/>
        </w:rPr>
        <w:t>）拟安排的团队成员情况（项目负责人除外）</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16</w:t>
      </w:r>
      <w:r>
        <w:rPr>
          <w:rFonts w:hint="eastAsia"/>
        </w:rPr>
        <w:t>）</w:t>
      </w:r>
      <w:r>
        <w:rPr>
          <w:rFonts w:ascii="宋体" w:hAnsi="宋体" w:hint="eastAsia"/>
          <w:color w:val="000000"/>
          <w:szCs w:val="21"/>
        </w:rPr>
        <w:t>投标人同类项目业绩情况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17</w:t>
      </w:r>
      <w:r>
        <w:rPr>
          <w:rFonts w:hint="eastAsia"/>
        </w:rPr>
        <w:t>）</w:t>
      </w:r>
      <w:r>
        <w:rPr>
          <w:rFonts w:ascii="宋体" w:eastAsia="宋体" w:hAnsi="宋体" w:cs="宋体" w:hint="eastAsia"/>
          <w:color w:val="000000"/>
          <w:szCs w:val="21"/>
        </w:rPr>
        <w:t>履约评价</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hint="eastAsia"/>
        </w:rPr>
      </w:pPr>
      <w:r>
        <w:rPr>
          <w:rFonts w:hint="eastAsia"/>
        </w:rPr>
        <w:t>（</w:t>
      </w:r>
      <w:r>
        <w:rPr>
          <w:rFonts w:eastAsia="宋体" w:hint="eastAsia"/>
          <w:lang w:eastAsia="zh-CN"/>
        </w:rPr>
        <w:t>18</w:t>
      </w:r>
      <w:r>
        <w:rPr>
          <w:rFonts w:hint="eastAsia"/>
        </w:rPr>
        <w:t>）体系认证情况</w:t>
      </w:r>
    </w:p>
    <w:p>
      <w:pPr>
        <w:keepNext w:val="0"/>
        <w:keepLines w:val="0"/>
        <w:pageBreakBefore w:val="0"/>
        <w:widowControl/>
        <w:kinsoku/>
        <w:wordWrap/>
        <w:overflowPunct/>
        <w:topLinePunct w:val="0"/>
        <w:autoSpaceDE/>
        <w:autoSpaceDN/>
        <w:bidi w:val="0"/>
        <w:adjustRightInd/>
        <w:snapToGrid/>
        <w:ind w:firstLine="1440" w:firstLineChars="600"/>
        <w:textAlignment w:val="auto"/>
        <w:rPr>
          <w:rFonts w:eastAsia="宋体" w:hint="eastAsia"/>
          <w:lang w:eastAsia="zh-CN"/>
        </w:rPr>
      </w:pPr>
      <w:r>
        <w:rPr>
          <w:rFonts w:eastAsia="宋体" w:hint="eastAsia"/>
          <w:lang w:eastAsia="zh-CN"/>
        </w:rPr>
        <w:t>（</w:t>
      </w:r>
      <w:r>
        <w:rPr>
          <w:rFonts w:eastAsia="宋体" w:hint="eastAsia"/>
          <w:lang w:eastAsia="zh-CN"/>
        </w:rPr>
        <w:t>19</w:t>
      </w:r>
      <w:r>
        <w:rPr>
          <w:rFonts w:eastAsia="宋体" w:hint="eastAsia"/>
          <w:lang w:eastAsia="zh-CN"/>
        </w:rPr>
        <w:t>）诚信承诺函</w:t>
      </w:r>
    </w:p>
    <w:p>
      <w:pPr>
        <w:keepNext w:val="0"/>
        <w:keepLines w:val="0"/>
        <w:pageBreakBefore w:val="0"/>
        <w:widowControl/>
        <w:kinsoku/>
        <w:wordWrap/>
        <w:overflowPunct/>
        <w:topLinePunct w:val="0"/>
        <w:autoSpaceDE/>
        <w:autoSpaceDN/>
        <w:bidi w:val="0"/>
        <w:adjustRightInd/>
        <w:snapToGrid/>
        <w:ind w:firstLine="1440" w:firstLineChars="600"/>
        <w:textAlignment w:val="auto"/>
      </w:pPr>
      <w:r>
        <w:rPr>
          <w:rFonts w:hint="eastAsia"/>
        </w:rPr>
        <w:t>（</w:t>
      </w:r>
      <w:r>
        <w:rPr>
          <w:rFonts w:eastAsia="宋体" w:hint="eastAsia"/>
          <w:lang w:eastAsia="zh-CN"/>
        </w:rPr>
        <w:t>20</w:t>
      </w:r>
      <w:r>
        <w:rPr>
          <w:rFonts w:hint="eastAsia"/>
        </w:rPr>
        <w:t>）投标人认为需要加以说明的其他内容</w:t>
      </w:r>
    </w:p>
    <w:p>
      <w:pPr>
        <w:widowControl w:val="0"/>
        <w:ind w:left="821" w:firstLine="1470" w:leftChars="342" w:firstLineChars="700"/>
        <w:jc w:val="both"/>
        <w:rPr>
          <w:rFonts w:ascii="Calibri" w:eastAsia="宋体" w:hAnsi="Calibri" w:hint="eastAsia"/>
          <w:kern w:val="2"/>
          <w:sz w:val="21"/>
          <w:szCs w:val="22"/>
          <w:lang w:eastAsia="zh-CN"/>
        </w:rPr>
      </w:pPr>
    </w:p>
    <w:p>
      <w:pPr>
        <w:widowControl w:val="0"/>
        <w:ind w:left="821" w:leftChars="342"/>
        <w:jc w:val="both"/>
        <w:rPr>
          <w:rFonts w:ascii="Calibri" w:eastAsia="宋体" w:hAnsi="Calibri" w:hint="eastAsia"/>
          <w:kern w:val="2"/>
          <w:sz w:val="21"/>
          <w:szCs w:val="21"/>
          <w:highlight w:val="yellow"/>
          <w:lang w:eastAsia="zh-CN"/>
        </w:rPr>
      </w:pPr>
    </w:p>
    <w:p>
      <w:pPr>
        <w:widowControl w:val="0"/>
        <w:spacing w:line="320" w:lineRule="atLeast"/>
        <w:jc w:val="both"/>
        <w:rPr>
          <w:rFonts w:ascii="宋体" w:eastAsia="宋体" w:hAnsi="宋体"/>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4" w:name="_Hlk72263559"/>
      <w:r>
        <w:rPr>
          <w:rFonts w:ascii="宋体" w:eastAsia="宋体" w:hAnsi="宋体" w:cstheme="minorBidi" w:hint="eastAsia"/>
          <w:b/>
          <w:kern w:val="2"/>
          <w:lang w:eastAsia="zh-CN"/>
        </w:rPr>
        <w:t>2.关于填写“开标一览表”的说明：“开标一览表”中除“投标总价”外，其他信息不作评审依据。</w:t>
      </w:r>
      <w:bookmarkEnd w:id="13"/>
      <w:bookmarkEnd w:id="14"/>
      <w:r>
        <w:rPr>
          <w:rFonts w:ascii="宋体" w:eastAsia="黑体" w:hAnsi="宋体"/>
          <w:bCs/>
          <w:kern w:val="44"/>
          <w:sz w:val="32"/>
          <w:szCs w:val="32"/>
          <w:lang w:eastAsia="zh-CN"/>
        </w:rPr>
        <w:br w:type="page"/>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15"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bookmarkStart w:id="16" w:name="_Hlk73818812"/>
      <w:r>
        <w:rPr>
          <w:rFonts w:ascii="宋体" w:eastAsia="宋体" w:hAnsi="宋体" w:cs="宋体" w:hint="eastAsia"/>
          <w:kern w:val="2"/>
          <w:sz w:val="21"/>
          <w:szCs w:val="21"/>
          <w:lang w:eastAsia="zh-CN"/>
        </w:rPr>
        <w:t>1、根据已收到贵单位的项目编号为LHAZXDL-2025-00621-001</w:t>
      </w:r>
      <w:bookmarkStart w:id="17" w:name="_GoBack"/>
      <w:bookmarkEnd w:id="17"/>
      <w:r>
        <w:rPr>
          <w:rFonts w:ascii="宋体" w:eastAsia="宋体" w:hAnsi="宋体" w:cs="宋体" w:hint="eastAsia"/>
          <w:kern w:val="2"/>
          <w:sz w:val="21"/>
          <w:szCs w:val="21"/>
          <w:lang w:eastAsia="zh-CN"/>
        </w:rPr>
        <w:t>的深圳市龙华高级中学教育集团（大浪校区）学生食堂运营管理服务项目的招标文件，遵照《深圳经济特区政府采购条例》和《深圳网上政府采购管理暂行办法》等有关规定，我单位经研究上述招标文件的专用条款及通用条款后，</w:t>
      </w:r>
      <w:bookmarkStart w:id="18" w:name="_Hlk72263588"/>
      <w:r>
        <w:rPr>
          <w:rFonts w:ascii="宋体" w:eastAsia="宋体" w:hAnsi="宋体" w:cs="宋体" w:hint="eastAsia"/>
          <w:kern w:val="2"/>
          <w:sz w:val="21"/>
          <w:szCs w:val="21"/>
          <w:lang w:eastAsia="zh-CN"/>
        </w:rPr>
        <w:t>愿意按照招标文件要求承包上述项目并修补其任何缺陷。</w:t>
      </w:r>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bookmarkStart w:id="19" w:name="_Hlk73819847"/>
      <w:r>
        <w:rPr>
          <w:rFonts w:ascii="宋体" w:eastAsia="宋体" w:hAnsi="宋体" w:cs="宋体" w:hint="eastAsia"/>
          <w:kern w:val="2"/>
          <w:sz w:val="21"/>
          <w:szCs w:val="21"/>
          <w:lang w:eastAsia="zh-CN"/>
        </w:rPr>
        <w:t>投标价格见投标书编制软件中《开标一览表》中填写的投标总价。</w:t>
      </w:r>
      <w:bookmarkEnd w:id="1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bookmarkEnd w:id="16"/>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7、如我单位提交样品，且未在规定时间内取回样品的，视同放弃取回，同意深圳市千里招标代理有限公司对我单位提交的样品进行清理。</w:t>
      </w:r>
    </w:p>
    <w:p>
      <w:pPr>
        <w:widowControl w:val="0"/>
        <w:ind w:left="480" w:firstLine="210" w:leftChars="200" w:firstLineChars="100"/>
        <w:jc w:val="both"/>
        <w:rPr>
          <w:rFonts w:ascii="Calibri" w:eastAsia="宋体" w:hAnsi="Calibri"/>
          <w:kern w:val="2"/>
          <w:sz w:val="21"/>
          <w:szCs w:val="21"/>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  </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单位地址：</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法定代表人（负责人）或其授权委托代理人：</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开户银行账号：</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邮政编码：</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电话：</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传真：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 xml:space="preserve">；     </w:t>
      </w:r>
    </w:p>
    <w:p>
      <w:pPr>
        <w:widowControl w:val="0"/>
        <w:jc w:val="both"/>
        <w:rPr>
          <w:rFonts w:ascii="黑体" w:eastAsia="黑体" w:hAnsi="宋体"/>
          <w:kern w:val="2"/>
          <w:sz w:val="21"/>
          <w:szCs w:val="22"/>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thick"/>
          <w:lang w:eastAsia="zh-CN"/>
        </w:rPr>
        <w:t xml:space="preserve">    </w:t>
      </w:r>
      <w:r>
        <w:rPr>
          <w:rFonts w:ascii="宋体" w:eastAsia="宋体" w:hAnsi="宋体" w:cs="宋体" w:hint="eastAsia"/>
          <w:kern w:val="2"/>
          <w:sz w:val="21"/>
          <w:szCs w:val="21"/>
          <w:lang w:eastAsia="zh-CN"/>
        </w:rPr>
        <w:t>日</w:t>
      </w:r>
      <w:r>
        <w:rPr>
          <w:rFonts w:ascii="宋体" w:eastAsia="宋体" w:hAnsi="宋体" w:cs="宋体"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5"/>
    <w:p>
      <w:pPr>
        <w:keepNext/>
        <w:keepLines/>
        <w:widowControl w:val="0"/>
        <w:spacing w:line="360" w:lineRule="auto"/>
        <w:jc w:val="center"/>
        <w:outlineLvl w:val="2"/>
        <w:rPr>
          <w:rFonts w:ascii="宋体" w:eastAsia="宋体" w:hAnsi="宋体" w:cs="宋体"/>
          <w:b/>
          <w:kern w:val="2"/>
          <w:sz w:val="28"/>
          <w:lang w:eastAsia="zh-CN"/>
        </w:rPr>
      </w:pPr>
      <w:r>
        <w:rPr>
          <w:rFonts w:ascii="宋体" w:eastAsia="宋体" w:hAnsi="宋体" w:cs="宋体" w:hint="eastAsia"/>
          <w:b/>
          <w:kern w:val="2"/>
          <w:sz w:val="28"/>
          <w:lang w:eastAsia="zh-CN"/>
        </w:rPr>
        <w:t>二、龙华区教育局自行采购投标及履约承诺函</w:t>
      </w:r>
    </w:p>
    <w:p>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1.我单位本招标项目所提供的货物或服务未侵犯知识产权。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2.我单位参与本项目投标前三年内，在经营活动中没有重大违法记录。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3.我单位参与本项目政府采购活动时不存在被有关部门禁止参与政府采购活动且在有效期内的情况。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4.我单位具备《中华人民共和国政府采购法》第二十二条第一款规定的六项条件。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5.我单位未被列入失信被执行人、重大税收违法案件当事人名单（税收违法黑名单）、政府采购严重违法失信行为记录名单。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 xml:space="preserve"> 我单位承诺参与本项目非联合体投标，不选用进口产品参与投标，中标后项目不转包，未经采购人同意不进行分包。</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13.我单位承诺，符合《中华人民共和国政府采购法实施条例》第十八条第一款规定，不存在我单位与其他供应商的负责人为同一人或者存在直接控股、管理关系的情况。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14.所投标（响应）的货物、工程或服务，不存在侵犯知识产权的情况；已知悉并同意中标（成交）结果信息公示（公开）的内容。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15.本单位（公司）不存在《深圳市财政局政府采购供应商信用信息管理办法》（深财规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 </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spacing w:line="360" w:lineRule="auto"/>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360" w:lineRule="auto"/>
        <w:jc w:val="both"/>
        <w:rPr>
          <w:rFonts w:ascii="宋体" w:eastAsia="宋体" w:hAnsi="宋体" w:cs="宋体"/>
          <w:kern w:val="2"/>
          <w:sz w:val="18"/>
          <w:szCs w:val="18"/>
          <w:lang w:eastAsia="zh-CN"/>
        </w:rPr>
      </w:pPr>
    </w:p>
    <w:p>
      <w:pPr>
        <w:widowControl w:val="0"/>
        <w:spacing w:line="360" w:lineRule="auto"/>
        <w:ind w:firstLine="645"/>
        <w:jc w:val="right"/>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pPr>
        <w:widowControl w:val="0"/>
        <w:wordWrap w:val="0"/>
        <w:spacing w:line="360" w:lineRule="auto"/>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日期：年月日</w:t>
      </w:r>
    </w:p>
    <w:p>
      <w:pPr>
        <w:widowControl w:val="0"/>
        <w:spacing w:line="360" w:lineRule="auto"/>
        <w:jc w:val="both"/>
        <w:rPr>
          <w:rFonts w:ascii="宋体" w:eastAsia="宋体" w:hAnsi="宋体" w:cs="宋体"/>
          <w:b/>
          <w:bCs/>
          <w:color w:val="FF0000"/>
          <w:kern w:val="2"/>
          <w:sz w:val="21"/>
          <w:szCs w:val="21"/>
          <w:lang w:eastAsia="zh-CN"/>
        </w:rPr>
      </w:pPr>
    </w:p>
    <w:p>
      <w:pPr>
        <w:widowControl w:val="0"/>
        <w:spacing w:line="360" w:lineRule="auto"/>
        <w:jc w:val="both"/>
        <w:rPr>
          <w:rFonts w:ascii="宋体" w:eastAsia="宋体" w:hAnsi="宋体"/>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三、投标人情况及资格证明文件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0" w:name="_Hlk72257590"/>
      <w:r>
        <w:rPr>
          <w:rFonts w:ascii="宋体" w:eastAsia="宋体" w:hAnsi="宋体" w:cs="宋体" w:hint="eastAsia"/>
          <w:bCs/>
          <w:szCs w:val="32"/>
          <w:lang w:eastAsia="zh-CN"/>
        </w:rPr>
        <w:t>（一）投标人资格证明文件</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lang w:eastAsia="zh-CN"/>
        </w:rPr>
      </w:pPr>
      <w:r>
        <w:rPr>
          <w:rFonts w:ascii="宋体" w:eastAsia="宋体" w:hAnsi="宋体" w:cs="宋体"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outlineLvl w:val="3"/>
        <w:rPr>
          <w:rFonts w:ascii="宋体" w:eastAsia="宋体" w:hAnsi="宋体" w:cs="宋体" w:hint="eastAsia"/>
          <w:bCs/>
          <w:szCs w:val="32"/>
          <w:lang w:eastAsia="zh-CN"/>
        </w:rPr>
      </w:pPr>
      <w:bookmarkStart w:id="21" w:name="_Hlk72257908"/>
      <w:r>
        <w:rPr>
          <w:rFonts w:ascii="宋体" w:eastAsia="宋体" w:hAnsi="宋体" w:cs="宋体" w:hint="eastAsia"/>
          <w:bCs/>
          <w:szCs w:val="32"/>
          <w:lang w:eastAsia="zh-CN"/>
        </w:rPr>
        <w:t>（二）中小企业声明函、残疾人福利性单位声明函及监狱企业声明函</w:t>
      </w:r>
      <w:bookmarkEnd w:id="20"/>
    </w:p>
    <w:p>
      <w:pPr>
        <w:rPr>
          <w:rFonts w:hint="eastAsia"/>
          <w:lang w:eastAsia="zh-CN"/>
        </w:rPr>
      </w:pPr>
      <w:r>
        <w:rPr>
          <w:rFonts w:hint="eastAsia"/>
          <w:lang w:eastAsia="zh-CN"/>
        </w:rPr>
        <w:t>填写指引：</w:t>
      </w:r>
    </w:p>
    <w:p>
      <w:pPr>
        <w:rPr>
          <w:rFonts w:hint="eastAsia"/>
          <w:lang w:eastAsia="zh-CN"/>
        </w:rPr>
      </w:pPr>
      <w:r>
        <w:rPr>
          <w:rFonts w:hint="eastAsia"/>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rPr>
          <w:rFonts w:hint="eastAsia"/>
          <w:lang w:eastAsia="zh-CN"/>
        </w:rPr>
      </w:pPr>
      <w:r>
        <w:rPr>
          <w:rFonts w:hint="eastAsia"/>
          <w:lang w:eastAsia="zh-CN"/>
        </w:rPr>
        <w:t>2、该部分内容填写需要参考的相关文件：</w:t>
      </w:r>
    </w:p>
    <w:p>
      <w:pPr>
        <w:rPr>
          <w:rFonts w:hint="eastAsia"/>
          <w:lang w:eastAsia="zh-CN"/>
        </w:rPr>
      </w:pPr>
      <w:r>
        <w:rPr>
          <w:rFonts w:hint="eastAsia"/>
          <w:lang w:eastAsia="zh-CN"/>
        </w:rPr>
        <w:t>(1)财政部《政府采购促进中小企业发展管理办法》（财库〔2020〕46号）；</w:t>
      </w:r>
    </w:p>
    <w:p>
      <w:pPr>
        <w:rPr>
          <w:rFonts w:hint="eastAsia"/>
          <w:lang w:eastAsia="zh-CN"/>
        </w:rPr>
      </w:pPr>
      <w:r>
        <w:rPr>
          <w:rFonts w:hint="eastAsia"/>
          <w:lang w:eastAsia="zh-CN"/>
        </w:rPr>
        <w:t>(2)《工业和信息化部、国家统计局、国家发展和改革委员会、财政部关于印发中小企业划型标准规定的通知》（工信部联企业〔2011〕300 号，以下简称300号文）；</w:t>
      </w:r>
    </w:p>
    <w:p>
      <w:pPr>
        <w:rPr>
          <w:rFonts w:hint="eastAsia"/>
          <w:lang w:eastAsia="zh-CN"/>
        </w:rPr>
      </w:pPr>
      <w:r>
        <w:rPr>
          <w:rFonts w:hint="eastAsia"/>
          <w:lang w:eastAsia="zh-CN"/>
        </w:rPr>
        <w:t>(3)《统计上大中小微型企业划分办法(2017)》（国统字〔2017〕213 号）；</w:t>
      </w:r>
    </w:p>
    <w:p>
      <w:pPr>
        <w:rPr>
          <w:rFonts w:hint="eastAsia"/>
          <w:lang w:eastAsia="zh-CN"/>
        </w:rPr>
      </w:pPr>
      <w:r>
        <w:rPr>
          <w:rFonts w:hint="eastAsia"/>
          <w:lang w:eastAsia="zh-CN"/>
        </w:rPr>
        <w:t>(4)《关于促进残疾人就业政府采购政策的通知》（财库〔2017〕141号）；</w:t>
      </w:r>
    </w:p>
    <w:p>
      <w:pPr>
        <w:rPr>
          <w:rFonts w:hint="eastAsia"/>
          <w:lang w:eastAsia="zh-CN"/>
        </w:rPr>
      </w:pPr>
      <w:r>
        <w:rPr>
          <w:rFonts w:hint="eastAsia"/>
          <w:lang w:eastAsia="zh-CN"/>
        </w:rPr>
        <w:t>(5)《关于政府采购支持监狱企业发展有关问题的通知》（财库〔2014〕68号）</w:t>
      </w:r>
    </w:p>
    <w:p>
      <w:pPr>
        <w:rPr>
          <w:rFonts w:hint="eastAsia"/>
          <w:lang w:eastAsia="zh-CN"/>
        </w:rPr>
      </w:pPr>
      <w:r>
        <w:rPr>
          <w:rFonts w:hint="eastAsia"/>
          <w:lang w:eastAsia="zh-CN"/>
        </w:rPr>
        <w:t>3、请依照提供的格式和内容填写声明函，不要随意变更格式；声明函不需要盖章或签字；满足多项优惠政策的投标人，不重复享受多项价格扣除政策。</w:t>
      </w:r>
    </w:p>
    <w:p>
      <w:pPr>
        <w:rPr>
          <w:rFonts w:hint="eastAsia"/>
          <w:lang w:eastAsia="zh-CN"/>
        </w:rPr>
      </w:pPr>
      <w:r>
        <w:rPr>
          <w:rFonts w:hint="eastAsia"/>
          <w:lang w:eastAsia="zh-CN"/>
        </w:rPr>
        <w:t>4、声明函具体填写要求：</w:t>
      </w:r>
    </w:p>
    <w:p>
      <w:pPr>
        <w:rPr>
          <w:rFonts w:hint="eastAsia"/>
          <w:lang w:eastAsia="zh-CN"/>
        </w:rPr>
      </w:pPr>
      <w:r>
        <w:rPr>
          <w:rFonts w:hint="eastAsia"/>
          <w:lang w:eastAsia="zh-CN"/>
        </w:rPr>
        <w:t>（1）声明是中小企业须填写《中小企业声明函》的以下内容：</w:t>
      </w:r>
    </w:p>
    <w:p>
      <w:pPr>
        <w:rPr>
          <w:rFonts w:hint="eastAsia"/>
          <w:lang w:eastAsia="zh-CN"/>
        </w:rPr>
      </w:pPr>
      <w:r>
        <w:rPr>
          <w:rFonts w:hint="eastAsia"/>
          <w:lang w:eastAsia="zh-CN"/>
        </w:rPr>
        <w:t>第一处，在“单位名称”下划线处如实填写采购人名称（深圳公共资源交易中心不是本项目的采购人，而是组织实施机构）；</w:t>
      </w:r>
    </w:p>
    <w:p>
      <w:pPr>
        <w:rPr>
          <w:rFonts w:hint="eastAsia"/>
          <w:lang w:eastAsia="zh-CN"/>
        </w:rPr>
      </w:pPr>
      <w:r>
        <w:rPr>
          <w:rFonts w:hint="eastAsia"/>
          <w:lang w:eastAsia="zh-CN"/>
        </w:rPr>
        <w:t>第二处，在“项目名称”下划线处如实填写采购项目名称；</w:t>
      </w:r>
    </w:p>
    <w:p>
      <w:pPr>
        <w:rPr>
          <w:rFonts w:hint="eastAsia"/>
          <w:lang w:eastAsia="zh-CN"/>
        </w:rPr>
      </w:pPr>
      <w:r>
        <w:rPr>
          <w:rFonts w:hint="eastAsia"/>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如为服务类项目直接填写项目名称即可。</w:t>
      </w:r>
    </w:p>
    <w:p>
      <w:pPr>
        <w:rPr>
          <w:rFonts w:hint="eastAsia"/>
          <w:lang w:eastAsia="zh-CN"/>
        </w:rPr>
      </w:pPr>
      <w:r>
        <w:rPr>
          <w:rFonts w:hint="eastAsia"/>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rPr>
          <w:rFonts w:hint="eastAsia"/>
          <w:lang w:eastAsia="zh-CN"/>
        </w:rPr>
      </w:pPr>
      <w:r>
        <w:rPr>
          <w:rFonts w:hint="eastAsia"/>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rPr>
          <w:rFonts w:hint="eastAsia"/>
          <w:lang w:eastAsia="zh-CN"/>
        </w:rPr>
      </w:pPr>
      <w:r>
        <w:rPr>
          <w:rFonts w:hint="eastAsia"/>
          <w:lang w:eastAsia="zh-CN"/>
        </w:rPr>
        <w:t>（2）声明是残疾人福利性单位须填写《残疾人福利性单位声明函》的相关内容，具体参照以上《中小企业声明函》填写要求执行。</w:t>
      </w:r>
    </w:p>
    <w:p>
      <w:pPr>
        <w:rPr>
          <w:rFonts w:hint="eastAsia"/>
          <w:lang w:eastAsia="zh-CN"/>
        </w:rPr>
      </w:pPr>
      <w:r>
        <w:rPr>
          <w:rFonts w:hint="eastAsia"/>
          <w:lang w:eastAsia="zh-CN"/>
        </w:rPr>
        <w:t>（3）声明是监狱企业须填写《监狱企业声明函》的三项内容（填写位置的字体已加粗），具体参照以上《中小企业声明函》填写要求执行。</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color w:val="FF0000"/>
          <w:sz w:val="21"/>
          <w:szCs w:val="21"/>
          <w:lang w:eastAsia="zh-CN"/>
        </w:rPr>
      </w:pPr>
      <w:r>
        <w:rPr>
          <w:rFonts w:ascii="宋体" w:eastAsia="宋体" w:hAnsi="宋体" w:cs="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宋体" w:eastAsia="宋体" w:hAnsi="宋体" w:cs="宋体" w:hint="eastAsia"/>
          <w:b/>
          <w:bCs/>
          <w:color w:val="FF0000"/>
          <w:kern w:val="2"/>
          <w:szCs w:val="21"/>
          <w:lang w:eastAsia="zh-CN"/>
        </w:rPr>
      </w:pPr>
    </w:p>
    <w:p>
      <w:pPr>
        <w:widowControl w:val="0"/>
        <w:spacing w:line="360" w:lineRule="auto"/>
        <w:ind w:firstLine="240" w:firstLineChars="100"/>
        <w:jc w:val="both"/>
        <w:rPr>
          <w:rFonts w:ascii="宋体" w:eastAsia="宋体" w:hAnsi="宋体" w:cs="宋体" w:hint="eastAsia"/>
          <w:b/>
          <w:bCs/>
          <w:color w:val="FF0000"/>
          <w:kern w:val="2"/>
          <w:szCs w:val="21"/>
          <w:lang w:eastAsia="zh-CN"/>
        </w:rPr>
      </w:pPr>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kern w:val="2"/>
          <w:sz w:val="21"/>
          <w:szCs w:val="22"/>
          <w:lang w:eastAsia="zh-CN"/>
        </w:rPr>
      </w:pPr>
    </w:p>
    <w:bookmarkEnd w:id="21"/>
    <w:p>
      <w:pPr>
        <w:jc w:val="center"/>
        <w:rPr>
          <w:lang w:eastAsia="zh-CN"/>
        </w:rPr>
      </w:pPr>
      <w:r>
        <w:rPr>
          <w:lang w:eastAsia="zh-CN"/>
        </w:rPr>
        <w:t>中小企业声明函（</w:t>
      </w:r>
      <w:r>
        <w:rPr>
          <w:rFonts w:hint="eastAsia"/>
          <w:lang w:eastAsia="zh-CN"/>
        </w:rPr>
        <w:t>服务</w:t>
      </w:r>
      <w:r>
        <w:rPr>
          <w:lang w:eastAsia="zh-CN"/>
        </w:rPr>
        <w:t>）</w:t>
      </w:r>
    </w:p>
    <w:p>
      <w:pPr>
        <w:widowControl w:val="0"/>
        <w:numPr>
          <w:ilvl w:val="0"/>
          <w:numId w:val="0"/>
        </w:numPr>
        <w:spacing w:line="360" w:lineRule="auto"/>
        <w:ind w:left="0" w:firstLine="0"/>
        <w:jc w:val="both"/>
        <w:rPr>
          <w:rFonts w:ascii="Calibri" w:eastAsia="宋体" w:hAnsi="Calibri"/>
          <w:b/>
          <w:bCs/>
          <w:kern w:val="2"/>
          <w:szCs w:val="22"/>
          <w:lang w:eastAsia="zh-CN"/>
        </w:rPr>
      </w:pP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本公司郑重声明，根据《政府采购促进中小企业发展管理办法》（财库﹝2020﹞46号）的规定，本公司参加</w:t>
      </w:r>
      <w:r>
        <w:rPr>
          <w:rFonts w:ascii="宋体" w:eastAsia="宋体" w:hAnsi="宋体" w:cs="宋体" w:hint="eastAsia"/>
          <w:b/>
          <w:b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行业；承接企业为</w:t>
      </w:r>
      <w:r>
        <w:rPr>
          <w:rFonts w:ascii="宋体" w:eastAsia="宋体" w:hAnsi="宋体" w:cs="宋体" w:hint="eastAsia"/>
          <w:b/>
          <w:bCs/>
          <w:kern w:val="2"/>
          <w:sz w:val="21"/>
          <w:szCs w:val="21"/>
          <w:u w:val="single"/>
          <w:lang w:eastAsia="zh-CN"/>
        </w:rPr>
        <w:t xml:space="preserve">    （企业名称）    </w:t>
      </w:r>
      <w:r>
        <w:rPr>
          <w:rFonts w:ascii="宋体" w:eastAsia="宋体" w:hAnsi="宋体" w:cs="宋体" w:hint="eastAsia"/>
          <w:kern w:val="2"/>
          <w:sz w:val="21"/>
          <w:szCs w:val="21"/>
          <w:lang w:eastAsia="zh-CN"/>
        </w:rPr>
        <w:t>，从业人员</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rPr>
          <w:rFonts w:hint="eastAsia"/>
          <w:lang w:eastAsia="zh-CN"/>
        </w:rPr>
      </w:pPr>
      <w:r>
        <w:rPr>
          <w:rFonts w:hint="eastAsia"/>
          <w:lang w:eastAsia="zh-CN"/>
        </w:rPr>
        <w:t>……</w:t>
      </w:r>
    </w:p>
    <w:p>
      <w:pPr>
        <w:rPr>
          <w:rFonts w:hint="eastAsia"/>
          <w:lang w:eastAsia="zh-CN"/>
        </w:rPr>
      </w:pPr>
      <w:r>
        <w:rPr>
          <w:rFonts w:hint="eastAsia"/>
          <w:lang w:eastAsia="zh-CN"/>
        </w:rPr>
        <w:t>以上企业，不属于大企业的分支机构，不存在控股股东为大企业的情形，也不存在与大企业的负责人为同一人的情形。</w:t>
      </w:r>
    </w:p>
    <w:p>
      <w:pPr>
        <w:rPr>
          <w:rFonts w:hint="eastAsia"/>
          <w:lang w:eastAsia="zh-CN"/>
        </w:rPr>
      </w:pPr>
      <w:r>
        <w:rPr>
          <w:rFonts w:hint="eastAsia"/>
          <w:lang w:eastAsia="zh-CN"/>
        </w:rPr>
        <w:t>本企业对上述声明内容的真实性负责。如有虚假，将依法承担相应责任。</w:t>
      </w:r>
    </w:p>
    <w:p>
      <w:pPr>
        <w:rPr>
          <w:rFonts w:hint="eastAsia"/>
          <w:lang w:eastAsia="zh-CN"/>
        </w:rPr>
      </w:pPr>
      <w:bookmarkStart w:id="22" w:name="_Hlk73562275"/>
      <w:r>
        <w:rPr>
          <w:rFonts w:hint="eastAsia"/>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2"/>
    </w:p>
    <w:p>
      <w:pPr>
        <w:widowControl w:val="0"/>
        <w:ind w:firstLine="420" w:firstLineChars="200"/>
        <w:jc w:val="both"/>
        <w:rPr>
          <w:rFonts w:ascii="Calibri" w:eastAsia="宋体" w:hAnsi="Calibri"/>
          <w:kern w:val="2"/>
          <w:sz w:val="21"/>
          <w:szCs w:val="22"/>
          <w:lang w:eastAsia="zh-CN"/>
        </w:rPr>
      </w:pPr>
    </w:p>
    <w:p>
      <w:pPr>
        <w:rPr>
          <w:rFonts w:hint="eastAsia"/>
          <w:lang w:eastAsia="zh-CN"/>
        </w:rPr>
      </w:pPr>
      <w:r>
        <w:rPr>
          <w:rFonts w:hint="eastAsia"/>
          <w:lang w:eastAsia="zh-CN"/>
        </w:rPr>
        <w:t>2、残疾人福利性单位声明函（服务类）</w:t>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spacing w:line="360" w:lineRule="auto"/>
        <w:jc w:val="both"/>
        <w:rPr>
          <w:rFonts w:ascii="Calibri" w:eastAsia="宋体" w:hAnsi="Calibri" w:hint="eastAsia"/>
          <w:b/>
          <w:bCs/>
          <w:kern w:val="2"/>
          <w:szCs w:val="22"/>
          <w:lang w:eastAsia="zh-CN"/>
        </w:rPr>
      </w:pPr>
    </w:p>
    <w:p>
      <w:pPr>
        <w:rPr>
          <w:lang w:eastAsia="zh-CN"/>
        </w:rPr>
      </w:pPr>
      <w:r>
        <w:rPr>
          <w:rFonts w:hint="eastAsia"/>
          <w:lang w:eastAsia="zh-CN"/>
        </w:rPr>
        <w:t>3、监狱企业声明函【服务类，监狱企业如需享受优惠政策，还须另行提供省级以上监狱管理局、戒毒管理局（含新疆生产建设兵团）出具的监狱企业证明文件】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w:t>
      </w:r>
      <w:r>
        <w:rPr>
          <w:rFonts w:ascii="宋体" w:eastAsia="宋体" w:hAnsi="宋体" w:cstheme="minorBidi" w:hint="eastAsia"/>
          <w:kern w:val="2"/>
          <w:sz w:val="21"/>
          <w:szCs w:val="21"/>
          <w:lang w:eastAsia="zh-CN"/>
        </w:rPr>
        <w:t>服务</w:t>
      </w:r>
      <w:r>
        <w:rPr>
          <w:rFonts w:ascii="宋体" w:eastAsia="宋体" w:hAnsi="宋体" w:cstheme="minorBidi"/>
          <w:kern w:val="2"/>
          <w:sz w:val="21"/>
          <w:szCs w:val="21"/>
          <w:lang w:eastAsia="zh-CN"/>
        </w:rPr>
        <w:t>全部由符合政策要求的</w:t>
      </w:r>
      <w:r>
        <w:rPr>
          <w:rFonts w:ascii="宋体" w:eastAsia="宋体" w:hAnsi="宋体" w:cstheme="minorBidi" w:hint="eastAsia"/>
          <w:kern w:val="2"/>
          <w:sz w:val="21"/>
          <w:szCs w:val="21"/>
          <w:lang w:eastAsia="zh-CN"/>
        </w:rPr>
        <w:t>监狱企业承接</w:t>
      </w:r>
      <w:r>
        <w:rPr>
          <w:rFonts w:ascii="宋体" w:eastAsia="宋体" w:hAnsi="宋体" w:cstheme="minorBidi"/>
          <w:kern w:val="2"/>
          <w:sz w:val="21"/>
          <w:szCs w:val="21"/>
          <w:lang w:eastAsia="zh-CN"/>
        </w:rPr>
        <w:t>。相关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b/>
          <w:bCs/>
          <w:kern w:val="2"/>
          <w:sz w:val="21"/>
          <w:szCs w:val="21"/>
          <w:u w:val="single"/>
          <w:lang w:eastAsia="zh-CN"/>
        </w:rPr>
        <w:t>）</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，承接单位</w:t>
      </w:r>
      <w:r>
        <w:rPr>
          <w:rFonts w:ascii="宋体" w:eastAsia="宋体" w:hAnsi="宋体" w:cstheme="minorBidi"/>
          <w:kern w:val="2"/>
          <w:sz w:val="21"/>
          <w:szCs w:val="21"/>
          <w:lang w:eastAsia="zh-CN"/>
        </w:rPr>
        <w:t>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i/>
          <w:iCs/>
          <w:kern w:val="2"/>
          <w:sz w:val="21"/>
          <w:szCs w:val="21"/>
          <w:u w:val="single"/>
          <w:lang w:eastAsia="zh-CN"/>
        </w:rPr>
        <w:t>监狱企业</w:t>
      </w:r>
      <w:r>
        <w:rPr>
          <w:rFonts w:ascii="宋体" w:eastAsia="宋体" w:hAnsi="宋体" w:cstheme="minorBidi"/>
          <w:kern w:val="2"/>
          <w:sz w:val="21"/>
          <w:szCs w:val="21"/>
          <w:lang w:eastAsia="zh-CN"/>
        </w:rPr>
        <w:t>；</w:t>
      </w:r>
    </w:p>
    <w:p>
      <w:pPr>
        <w:rPr>
          <w:lang w:eastAsia="zh-CN"/>
        </w:rPr>
      </w:pPr>
      <w:r>
        <w:rPr>
          <w:lang w:eastAsia="zh-CN"/>
        </w:rPr>
        <w:t xml:space="preserve">…… </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四</w:t>
      </w:r>
      <w:r>
        <w:rPr>
          <w:rFonts w:ascii="黑体" w:eastAsia="黑体" w:hAnsi="宋体" w:hint="eastAsia"/>
          <w:bCs/>
          <w:kern w:val="2"/>
          <w:szCs w:val="32"/>
        </w:rPr>
        <w:t>、供应商基本情况表</w:t>
      </w:r>
    </w:p>
    <w:p>
      <w:pPr>
        <w:widowControl w:val="0"/>
        <w:spacing w:line="360" w:lineRule="auto"/>
        <w:ind w:firstLine="420" w:firstLineChars="200"/>
        <w:jc w:val="both"/>
        <w:rPr>
          <w:rFonts w:ascii="宋体" w:eastAsia="宋体" w:hAnsi="宋体"/>
          <w:b/>
          <w:bCs/>
          <w:color w:val="000000"/>
          <w:kern w:val="2"/>
          <w:sz w:val="21"/>
          <w:szCs w:val="21"/>
          <w:lang w:eastAsia="zh-CN"/>
        </w:rPr>
      </w:pPr>
      <w:r>
        <w:rPr>
          <w:rFonts w:ascii="宋体" w:eastAsia="宋体" w:hAnsi="宋体" w:hint="eastAsia"/>
          <w:b/>
          <w:bCs/>
          <w:color w:val="000000"/>
          <w:kern w:val="2"/>
          <w:sz w:val="21"/>
          <w:szCs w:val="21"/>
          <w:lang w:eastAsia="zh-CN"/>
        </w:rPr>
        <w:t xml:space="preserve">填表单位： </w:t>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ab/>
      </w:r>
      <w:r>
        <w:rPr>
          <w:rFonts w:ascii="宋体" w:eastAsia="宋体" w:hAnsi="宋体" w:hint="eastAsia"/>
          <w:b/>
          <w:bCs/>
          <w:color w:val="000000"/>
          <w:kern w:val="2"/>
          <w:sz w:val="21"/>
          <w:szCs w:val="21"/>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项目名称</w:t>
            </w:r>
          </w:p>
        </w:tc>
        <w:tc>
          <w:tcPr>
            <w:tcW w:w="2985"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供应商统一社会信用代码</w:t>
            </w:r>
          </w:p>
        </w:tc>
        <w:tc>
          <w:tcPr>
            <w:tcW w:w="2985"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职务</w:t>
            </w:r>
          </w:p>
        </w:tc>
        <w:tc>
          <w:tcPr>
            <w:tcW w:w="947"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姓名</w:t>
            </w: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身份证号码</w:t>
            </w: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劳动合同</w:t>
            </w:r>
          </w:p>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关系单位</w:t>
            </w: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缴纳社会保险单位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项目投标授权代表人</w:t>
            </w:r>
          </w:p>
        </w:tc>
        <w:tc>
          <w:tcPr>
            <w:tcW w:w="947"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3</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项目负责人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4</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主要技术人员</w:t>
            </w:r>
          </w:p>
        </w:tc>
        <w:tc>
          <w:tcPr>
            <w:tcW w:w="947"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5</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投标文件编制人员</w:t>
            </w:r>
          </w:p>
        </w:tc>
        <w:tc>
          <w:tcPr>
            <w:tcW w:w="947"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b/>
                <w:bCs/>
                <w:color w:val="000000"/>
                <w:sz w:val="21"/>
                <w:szCs w:val="21"/>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b/>
                <w:bCs/>
                <w:color w:val="000000"/>
                <w:sz w:val="21"/>
                <w:szCs w:val="21"/>
                <w:lang w:eastAsia="zh-CN"/>
              </w:rPr>
            </w:pPr>
            <w:r>
              <w:rPr>
                <w:rFonts w:ascii="宋体" w:hAnsi="宋体" w:hint="eastAsia"/>
                <w:b/>
                <w:bCs/>
                <w:color w:val="000000"/>
                <w:sz w:val="21"/>
                <w:szCs w:val="21"/>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序号</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关联关系类型</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spacing w:line="360" w:lineRule="auto"/>
              <w:rPr>
                <w:rFonts w:ascii="宋体" w:hAnsi="宋体"/>
                <w:color w:val="000000"/>
                <w:sz w:val="21"/>
                <w:szCs w:val="21"/>
                <w:lang w:eastAsia="zh-CN"/>
              </w:rPr>
            </w:pPr>
            <w:r>
              <w:rPr>
                <w:rFonts w:ascii="宋体" w:hAnsi="宋体" w:hint="eastAsia"/>
                <w:color w:val="000000"/>
                <w:sz w:val="21"/>
                <w:szCs w:val="21"/>
                <w:lang w:eastAsia="zh-CN"/>
              </w:rPr>
              <w:t>关联主体名称</w:t>
            </w: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1</w:t>
            </w:r>
          </w:p>
        </w:tc>
        <w:tc>
          <w:tcPr>
            <w:tcW w:w="2282"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控股股东</w:t>
            </w:r>
          </w:p>
        </w:tc>
        <w:tc>
          <w:tcPr>
            <w:tcW w:w="1738"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2</w:t>
            </w:r>
          </w:p>
        </w:tc>
        <w:tc>
          <w:tcPr>
            <w:tcW w:w="2282"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管理关系</w:t>
            </w:r>
          </w:p>
        </w:tc>
        <w:tc>
          <w:tcPr>
            <w:tcW w:w="1738" w:type="dxa"/>
            <w:gridSpan w:val="2"/>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p>
        </w:tc>
        <w:tc>
          <w:tcPr>
            <w:tcW w:w="4185" w:type="dxa"/>
            <w:gridSpan w:val="3"/>
            <w:tcBorders>
              <w:top w:val="single" w:sz="4" w:space="0" w:color="auto"/>
              <w:left w:val="nil"/>
              <w:bottom w:val="single" w:sz="4" w:space="0" w:color="auto"/>
              <w:right w:val="single" w:sz="4" w:space="0" w:color="auto"/>
            </w:tcBorders>
            <w:noWrap w:val="0"/>
            <w:vAlign w:val="center"/>
          </w:tcPr>
          <w:p>
            <w:pPr>
              <w:spacing w:line="360" w:lineRule="auto"/>
              <w:ind w:firstLine="420" w:firstLineChars="200"/>
              <w:rPr>
                <w:rFonts w:ascii="宋体" w:hAnsi="宋体"/>
                <w:color w:val="000000"/>
                <w:sz w:val="21"/>
                <w:szCs w:val="21"/>
                <w:lang w:eastAsia="zh-CN"/>
              </w:rPr>
            </w:pPr>
            <w:r>
              <w:rPr>
                <w:rFonts w:ascii="宋体" w:hAnsi="宋体" w:hint="eastAsia"/>
                <w:color w:val="000000"/>
                <w:sz w:val="21"/>
                <w:szCs w:val="21"/>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spacing w:line="360" w:lineRule="auto"/>
              <w:ind w:firstLine="420" w:firstLineChars="200"/>
              <w:rPr>
                <w:rFonts w:ascii="宋体" w:hAnsi="宋体"/>
                <w:color w:val="FF0000"/>
                <w:sz w:val="21"/>
                <w:szCs w:val="21"/>
                <w:lang w:eastAsia="zh-CN"/>
              </w:rPr>
            </w:pPr>
            <w:r>
              <w:rPr>
                <w:rFonts w:ascii="宋体" w:hAnsi="宋体" w:hint="eastAsia"/>
                <w:b/>
                <w:bCs/>
                <w:color w:val="000000"/>
                <w:sz w:val="21"/>
                <w:szCs w:val="21"/>
                <w:lang w:eastAsia="zh-CN"/>
              </w:rPr>
              <w:t>说明：同一关联关系类型有多个主体的，应分行填写。</w:t>
            </w:r>
          </w:p>
        </w:tc>
      </w:tr>
    </w:tbl>
    <w:p>
      <w:pPr>
        <w:rPr>
          <w:rFonts w:ascii="黑体" w:eastAsia="黑体" w:hAnsi="黑体"/>
          <w:sz w:val="28"/>
          <w:szCs w:val="28"/>
        </w:rPr>
      </w:pPr>
      <w:r>
        <w:rPr>
          <w:rFonts w:ascii="宋体" w:eastAsia="宋体" w:hAnsi="宋体" w:hint="eastAsia"/>
          <w:b/>
          <w:bCs/>
          <w:color w:val="FF0000"/>
          <w:kern w:val="2"/>
          <w:sz w:val="21"/>
          <w:szCs w:val="21"/>
          <w:lang w:eastAsia="zh-CN"/>
        </w:rPr>
        <w:t xml:space="preserve">  注：需附上相关人员社保 （近3个月内的任意一个月社保缴交凭证证明，若为退休人员，提供退休证明（退休证/承诺函等））</w:t>
      </w:r>
    </w:p>
    <w:p>
      <w:pPr>
        <w:widowControl w:val="0"/>
        <w:spacing w:line="360" w:lineRule="auto"/>
        <w:ind w:firstLine="210" w:firstLineChars="100"/>
        <w:jc w:val="both"/>
        <w:rPr>
          <w:rFonts w:ascii="Calibri" w:eastAsia="宋体" w:hAnsi="Calibri"/>
          <w:b/>
          <w:bCs/>
          <w:color w:val="FF0000"/>
          <w:kern w:val="2"/>
          <w:sz w:val="21"/>
          <w:szCs w:val="21"/>
          <w:lang w:eastAsia="zh-CN"/>
        </w:rPr>
      </w:pPr>
      <w:r>
        <w:rPr>
          <w:rFonts w:ascii="宋体" w:eastAsia="宋体" w:hAnsi="宋体" w:hint="eastAsia"/>
          <w:b/>
          <w:bCs/>
          <w:color w:val="FF0000"/>
          <w:kern w:val="2"/>
          <w:sz w:val="21"/>
          <w:szCs w:val="21"/>
          <w:lang w:eastAsia="zh-CN"/>
        </w:rPr>
        <w:t>注：非本单位缴纳社保亦需附上；</w:t>
      </w:r>
    </w:p>
    <w:p>
      <w:pPr>
        <w:keepNext/>
        <w:keepLines/>
        <w:spacing w:before="120" w:after="12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五、分项报价清单</w:t>
      </w:r>
    </w:p>
    <w:p>
      <w:pPr>
        <w:tabs>
          <w:tab w:val="left" w:pos="720"/>
        </w:tabs>
        <w:ind w:firstLine="3120" w:firstLineChars="1300"/>
        <w:rPr>
          <w:b/>
        </w:rPr>
      </w:pPr>
      <w:r>
        <w:rPr>
          <w:rFonts w:hint="eastAsia"/>
          <w:b/>
        </w:rPr>
        <w:t>（一）分项报价表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810"/>
        <w:gridCol w:w="3200"/>
        <w:gridCol w:w="1390"/>
        <w:gridCol w:w="1446"/>
        <w:gridCol w:w="2002"/>
        <w:gridCol w:w="8"/>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458"/>
          <w:jc w:val="center"/>
        </w:trPr>
        <w:tc>
          <w:tcPr>
            <w:tcW w:w="822" w:type="dxa"/>
            <w:noWrap/>
            <w:vAlign w:val="center"/>
          </w:tcPr>
          <w:p>
            <w:pPr>
              <w:snapToGrid w:val="0"/>
              <w:spacing w:after="60" w:afterLines="25"/>
              <w:jc w:val="center"/>
              <w:rPr>
                <w:rFonts w:ascii="宋体" w:hAnsi="宋体" w:cs="Arial"/>
                <w:kern w:val="2"/>
              </w:rPr>
            </w:pPr>
            <w:r>
              <w:rPr>
                <w:rFonts w:ascii="宋体" w:hAnsi="宋体" w:cs="Arial" w:hint="eastAsia"/>
                <w:kern w:val="2"/>
              </w:rPr>
              <w:t>序号</w:t>
            </w:r>
          </w:p>
        </w:tc>
        <w:tc>
          <w:tcPr>
            <w:tcW w:w="3260" w:type="dxa"/>
            <w:noWrap/>
            <w:vAlign w:val="center"/>
          </w:tcPr>
          <w:p>
            <w:pPr>
              <w:snapToGrid w:val="0"/>
              <w:spacing w:after="60" w:afterLines="25"/>
              <w:jc w:val="center"/>
              <w:rPr>
                <w:rFonts w:ascii="宋体" w:hAnsi="宋体" w:cs="Arial"/>
                <w:kern w:val="2"/>
              </w:rPr>
            </w:pPr>
            <w:r>
              <w:rPr>
                <w:rFonts w:ascii="宋体" w:hAnsi="宋体" w:cs="Arial" w:hint="eastAsia"/>
                <w:kern w:val="2"/>
              </w:rPr>
              <w:t>支出项名称</w:t>
            </w:r>
          </w:p>
        </w:tc>
        <w:tc>
          <w:tcPr>
            <w:tcW w:w="1413" w:type="dxa"/>
            <w:noWrap/>
            <w:vAlign w:val="center"/>
          </w:tcPr>
          <w:p>
            <w:pPr>
              <w:snapToGrid w:val="0"/>
              <w:spacing w:after="60" w:afterLines="25"/>
              <w:jc w:val="center"/>
              <w:rPr>
                <w:rFonts w:ascii="宋体" w:hAnsi="宋体" w:cs="Arial"/>
                <w:kern w:val="2"/>
              </w:rPr>
            </w:pPr>
            <w:r>
              <w:rPr>
                <w:rFonts w:ascii="宋体" w:hAnsi="宋体" w:cs="Arial" w:hint="eastAsia"/>
                <w:kern w:val="2"/>
              </w:rPr>
              <w:t>数量</w:t>
            </w:r>
          </w:p>
        </w:tc>
        <w:tc>
          <w:tcPr>
            <w:tcW w:w="1470" w:type="dxa"/>
            <w:noWrap/>
            <w:vAlign w:val="center"/>
          </w:tcPr>
          <w:p>
            <w:pPr>
              <w:snapToGrid w:val="0"/>
              <w:spacing w:after="60" w:afterLines="25"/>
              <w:jc w:val="center"/>
              <w:rPr>
                <w:rFonts w:ascii="宋体" w:hAnsi="宋体" w:cs="Arial"/>
                <w:kern w:val="2"/>
              </w:rPr>
            </w:pPr>
            <w:r>
              <w:rPr>
                <w:rFonts w:ascii="宋体" w:hAnsi="宋体" w:cs="Arial" w:hint="eastAsia"/>
                <w:kern w:val="2"/>
              </w:rPr>
              <w:t>单价（元）</w:t>
            </w:r>
          </w:p>
        </w:tc>
        <w:tc>
          <w:tcPr>
            <w:tcW w:w="2046" w:type="dxa"/>
            <w:gridSpan w:val="2"/>
            <w:noWrap/>
            <w:vAlign w:val="center"/>
          </w:tcPr>
          <w:p>
            <w:pPr>
              <w:snapToGrid w:val="0"/>
              <w:spacing w:after="60" w:afterLines="25"/>
              <w:jc w:val="center"/>
              <w:rPr>
                <w:rFonts w:ascii="宋体" w:hAnsi="宋体" w:cs="Arial"/>
                <w:kern w:val="2"/>
              </w:rPr>
            </w:pPr>
            <w:r>
              <w:rPr>
                <w:rFonts w:ascii="宋体" w:hAnsi="宋体" w:cs="Arial" w:hint="eastAsia"/>
                <w:kern w:val="2"/>
              </w:rPr>
              <w:t>总价（元）</w:t>
            </w:r>
          </w:p>
        </w:tc>
      </w:tr>
      <w:tr>
        <w:tblPrEx>
          <w:tblW w:w="5000" w:type="pct"/>
          <w:jc w:val="center"/>
          <w:tblLayout w:type="fixed"/>
          <w:tblCellMar>
            <w:top w:w="0" w:type="dxa"/>
            <w:left w:w="108" w:type="dxa"/>
            <w:bottom w:w="0" w:type="dxa"/>
            <w:right w:w="108" w:type="dxa"/>
          </w:tblCellMar>
        </w:tblPrEx>
        <w:trPr>
          <w:trHeight w:val="458"/>
          <w:jc w:val="center"/>
        </w:trPr>
        <w:tc>
          <w:tcPr>
            <w:tcW w:w="822" w:type="dxa"/>
            <w:noWrap/>
            <w:vAlign w:val="center"/>
          </w:tcPr>
          <w:p>
            <w:pPr>
              <w:snapToGrid w:val="0"/>
              <w:spacing w:after="60" w:afterLines="25"/>
              <w:jc w:val="center"/>
              <w:rPr>
                <w:rFonts w:ascii="宋体" w:hAnsi="宋体" w:cs="Arial"/>
                <w:kern w:val="2"/>
              </w:rPr>
            </w:pPr>
            <w:r>
              <w:rPr>
                <w:rFonts w:ascii="宋体" w:hAnsi="宋体" w:cs="Arial" w:hint="eastAsia"/>
                <w:kern w:val="2"/>
              </w:rPr>
              <w:t>1</w:t>
            </w:r>
          </w:p>
        </w:tc>
        <w:tc>
          <w:tcPr>
            <w:tcW w:w="3260" w:type="dxa"/>
            <w:noWrap/>
            <w:vAlign w:val="center"/>
          </w:tcPr>
          <w:p>
            <w:pPr>
              <w:snapToGrid w:val="0"/>
              <w:spacing w:after="60" w:afterLines="25"/>
              <w:jc w:val="center"/>
              <w:rPr>
                <w:rFonts w:ascii="宋体" w:eastAsia="黑体" w:hAnsi="宋体"/>
                <w:b/>
                <w:bCs/>
                <w:kern w:val="44"/>
              </w:rPr>
            </w:pPr>
          </w:p>
        </w:tc>
        <w:tc>
          <w:tcPr>
            <w:tcW w:w="1413" w:type="dxa"/>
            <w:noWrap/>
            <w:vAlign w:val="center"/>
          </w:tcPr>
          <w:p>
            <w:pPr>
              <w:snapToGrid w:val="0"/>
              <w:spacing w:after="60" w:afterLines="25"/>
              <w:jc w:val="center"/>
              <w:rPr>
                <w:rFonts w:ascii="宋体" w:eastAsia="黑体" w:hAnsi="宋体" w:cs="Arial"/>
                <w:b/>
                <w:bCs/>
                <w:kern w:val="44"/>
              </w:rPr>
            </w:pPr>
          </w:p>
        </w:tc>
        <w:tc>
          <w:tcPr>
            <w:tcW w:w="1470" w:type="dxa"/>
            <w:noWrap/>
            <w:vAlign w:val="center"/>
          </w:tcPr>
          <w:p>
            <w:pPr>
              <w:snapToGrid w:val="0"/>
              <w:spacing w:after="60" w:afterLines="25"/>
              <w:jc w:val="center"/>
              <w:rPr>
                <w:rFonts w:ascii="宋体" w:eastAsia="黑体" w:hAnsi="宋体" w:cs="Arial"/>
                <w:b/>
                <w:bCs/>
                <w:kern w:val="44"/>
              </w:rPr>
            </w:pPr>
          </w:p>
        </w:tc>
        <w:tc>
          <w:tcPr>
            <w:tcW w:w="2046" w:type="dxa"/>
            <w:gridSpan w:val="2"/>
            <w:noWrap/>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noWrap/>
            <w:vAlign w:val="center"/>
          </w:tcPr>
          <w:p>
            <w:pPr>
              <w:snapToGrid w:val="0"/>
              <w:spacing w:after="60" w:afterLines="25"/>
              <w:jc w:val="center"/>
              <w:rPr>
                <w:rFonts w:ascii="宋体" w:hAnsi="宋体" w:cs="Arial"/>
                <w:kern w:val="2"/>
              </w:rPr>
            </w:pPr>
            <w:r>
              <w:rPr>
                <w:rFonts w:ascii="宋体" w:hAnsi="宋体" w:cs="Arial" w:hint="eastAsia"/>
                <w:kern w:val="2"/>
              </w:rPr>
              <w:t>2</w:t>
            </w:r>
          </w:p>
        </w:tc>
        <w:tc>
          <w:tcPr>
            <w:tcW w:w="3260" w:type="dxa"/>
            <w:noWrap/>
            <w:vAlign w:val="center"/>
          </w:tcPr>
          <w:p>
            <w:pPr>
              <w:snapToGrid w:val="0"/>
              <w:spacing w:after="60" w:afterLines="25"/>
              <w:jc w:val="center"/>
              <w:rPr>
                <w:rFonts w:ascii="宋体" w:eastAsia="黑体" w:hAnsi="宋体"/>
                <w:b/>
                <w:bCs/>
                <w:kern w:val="44"/>
              </w:rPr>
            </w:pPr>
          </w:p>
        </w:tc>
        <w:tc>
          <w:tcPr>
            <w:tcW w:w="1413" w:type="dxa"/>
            <w:noWrap/>
            <w:vAlign w:val="center"/>
          </w:tcPr>
          <w:p>
            <w:pPr>
              <w:snapToGrid w:val="0"/>
              <w:spacing w:after="60" w:afterLines="25"/>
              <w:jc w:val="center"/>
              <w:rPr>
                <w:rFonts w:ascii="宋体" w:eastAsia="黑体" w:hAnsi="宋体" w:cs="Arial"/>
                <w:b/>
                <w:bCs/>
                <w:kern w:val="44"/>
              </w:rPr>
            </w:pPr>
          </w:p>
        </w:tc>
        <w:tc>
          <w:tcPr>
            <w:tcW w:w="1470" w:type="dxa"/>
            <w:noWrap/>
            <w:vAlign w:val="center"/>
          </w:tcPr>
          <w:p>
            <w:pPr>
              <w:snapToGrid w:val="0"/>
              <w:spacing w:after="60" w:afterLines="25"/>
              <w:jc w:val="center"/>
              <w:rPr>
                <w:rFonts w:ascii="宋体" w:eastAsia="黑体" w:hAnsi="宋体" w:cs="Arial"/>
                <w:b/>
                <w:bCs/>
                <w:kern w:val="44"/>
              </w:rPr>
            </w:pPr>
          </w:p>
        </w:tc>
        <w:tc>
          <w:tcPr>
            <w:tcW w:w="2046" w:type="dxa"/>
            <w:gridSpan w:val="2"/>
            <w:noWrap/>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noWrap/>
            <w:vAlign w:val="center"/>
          </w:tcPr>
          <w:p>
            <w:pPr>
              <w:snapToGrid w:val="0"/>
              <w:spacing w:after="60" w:afterLines="25"/>
              <w:jc w:val="center"/>
              <w:rPr>
                <w:rFonts w:ascii="宋体" w:hAnsi="宋体" w:cs="Arial"/>
                <w:kern w:val="2"/>
              </w:rPr>
            </w:pPr>
            <w:r>
              <w:rPr>
                <w:rFonts w:ascii="宋体" w:hAnsi="宋体" w:cs="Arial" w:hint="eastAsia"/>
                <w:kern w:val="2"/>
              </w:rPr>
              <w:t>3</w:t>
            </w:r>
          </w:p>
        </w:tc>
        <w:tc>
          <w:tcPr>
            <w:tcW w:w="3260" w:type="dxa"/>
            <w:noWrap/>
            <w:vAlign w:val="center"/>
          </w:tcPr>
          <w:p>
            <w:pPr>
              <w:snapToGrid w:val="0"/>
              <w:spacing w:after="60" w:afterLines="25"/>
              <w:jc w:val="center"/>
              <w:rPr>
                <w:rFonts w:ascii="宋体" w:eastAsia="黑体" w:hAnsi="宋体"/>
                <w:b/>
                <w:bCs/>
                <w:kern w:val="44"/>
              </w:rPr>
            </w:pPr>
          </w:p>
        </w:tc>
        <w:tc>
          <w:tcPr>
            <w:tcW w:w="1413" w:type="dxa"/>
            <w:noWrap/>
            <w:vAlign w:val="center"/>
          </w:tcPr>
          <w:p>
            <w:pPr>
              <w:snapToGrid w:val="0"/>
              <w:spacing w:after="60" w:afterLines="25"/>
              <w:jc w:val="center"/>
              <w:rPr>
                <w:rFonts w:ascii="宋体" w:eastAsia="黑体" w:hAnsi="宋体" w:cs="Arial"/>
                <w:b/>
                <w:bCs/>
                <w:kern w:val="44"/>
              </w:rPr>
            </w:pPr>
          </w:p>
        </w:tc>
        <w:tc>
          <w:tcPr>
            <w:tcW w:w="1470" w:type="dxa"/>
            <w:noWrap/>
            <w:vAlign w:val="center"/>
          </w:tcPr>
          <w:p>
            <w:pPr>
              <w:snapToGrid w:val="0"/>
              <w:spacing w:after="60" w:afterLines="25"/>
              <w:jc w:val="center"/>
              <w:rPr>
                <w:rFonts w:ascii="宋体" w:eastAsia="黑体" w:hAnsi="宋体" w:cs="Arial"/>
                <w:b/>
                <w:bCs/>
                <w:kern w:val="44"/>
              </w:rPr>
            </w:pPr>
          </w:p>
        </w:tc>
        <w:tc>
          <w:tcPr>
            <w:tcW w:w="2046" w:type="dxa"/>
            <w:gridSpan w:val="2"/>
            <w:noWrap/>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trHeight w:val="458"/>
          <w:jc w:val="center"/>
        </w:trPr>
        <w:tc>
          <w:tcPr>
            <w:tcW w:w="822" w:type="dxa"/>
            <w:noWrap/>
            <w:vAlign w:val="center"/>
          </w:tcPr>
          <w:p>
            <w:pPr>
              <w:snapToGrid w:val="0"/>
              <w:spacing w:after="60" w:afterLines="25"/>
              <w:jc w:val="center"/>
              <w:rPr>
                <w:rFonts w:ascii="宋体" w:hAnsi="宋体" w:cs="Arial"/>
                <w:kern w:val="2"/>
              </w:rPr>
            </w:pPr>
            <w:r>
              <w:rPr>
                <w:rFonts w:ascii="宋体" w:hAnsi="宋体" w:cs="Arial" w:hint="eastAsia"/>
                <w:kern w:val="2"/>
              </w:rPr>
              <w:t>……</w:t>
            </w:r>
          </w:p>
        </w:tc>
        <w:tc>
          <w:tcPr>
            <w:tcW w:w="3260" w:type="dxa"/>
            <w:noWrap/>
            <w:vAlign w:val="center"/>
          </w:tcPr>
          <w:p>
            <w:pPr>
              <w:snapToGrid w:val="0"/>
              <w:spacing w:after="60" w:afterLines="25"/>
              <w:jc w:val="center"/>
              <w:rPr>
                <w:rFonts w:ascii="宋体" w:eastAsia="黑体" w:hAnsi="宋体" w:cs="Arial"/>
                <w:b/>
                <w:bCs/>
                <w:kern w:val="44"/>
              </w:rPr>
            </w:pPr>
          </w:p>
        </w:tc>
        <w:tc>
          <w:tcPr>
            <w:tcW w:w="1413" w:type="dxa"/>
            <w:noWrap/>
            <w:vAlign w:val="center"/>
          </w:tcPr>
          <w:p>
            <w:pPr>
              <w:snapToGrid w:val="0"/>
              <w:spacing w:after="60" w:afterLines="25"/>
              <w:jc w:val="center"/>
              <w:rPr>
                <w:rFonts w:ascii="宋体" w:eastAsia="黑体" w:hAnsi="宋体" w:cs="Arial"/>
                <w:b/>
                <w:bCs/>
                <w:kern w:val="44"/>
              </w:rPr>
            </w:pPr>
          </w:p>
        </w:tc>
        <w:tc>
          <w:tcPr>
            <w:tcW w:w="1470" w:type="dxa"/>
            <w:noWrap/>
            <w:vAlign w:val="center"/>
          </w:tcPr>
          <w:p>
            <w:pPr>
              <w:snapToGrid w:val="0"/>
              <w:spacing w:after="60" w:afterLines="25"/>
              <w:jc w:val="center"/>
              <w:rPr>
                <w:rFonts w:ascii="宋体" w:eastAsia="黑体" w:hAnsi="宋体" w:cs="Arial"/>
                <w:b/>
                <w:bCs/>
                <w:kern w:val="44"/>
              </w:rPr>
            </w:pPr>
          </w:p>
        </w:tc>
        <w:tc>
          <w:tcPr>
            <w:tcW w:w="2046" w:type="dxa"/>
            <w:gridSpan w:val="2"/>
            <w:noWrap/>
            <w:vAlign w:val="center"/>
          </w:tcPr>
          <w:p>
            <w:pPr>
              <w:snapToGrid w:val="0"/>
              <w:spacing w:after="60" w:afterLines="25"/>
              <w:jc w:val="center"/>
              <w:rPr>
                <w:rFonts w:ascii="宋体" w:eastAsia="黑体" w:hAnsi="宋体" w:cs="Arial"/>
                <w:b/>
                <w:bCs/>
                <w:kern w:val="44"/>
              </w:rPr>
            </w:pPr>
          </w:p>
        </w:tc>
      </w:tr>
      <w:tr>
        <w:tblPrEx>
          <w:tblW w:w="5000" w:type="pct"/>
          <w:jc w:val="center"/>
          <w:tblLayout w:type="fixed"/>
          <w:tblCellMar>
            <w:top w:w="0" w:type="dxa"/>
            <w:left w:w="108" w:type="dxa"/>
            <w:bottom w:w="0" w:type="dxa"/>
            <w:right w:w="108" w:type="dxa"/>
          </w:tblCellMar>
        </w:tblPrEx>
        <w:trPr>
          <w:gridAfter w:val="1"/>
          <w:wAfter w:w="8" w:type="dxa"/>
          <w:cantSplit/>
          <w:trHeight w:val="646"/>
          <w:jc w:val="center"/>
        </w:trPr>
        <w:tc>
          <w:tcPr>
            <w:tcW w:w="6965" w:type="dxa"/>
            <w:gridSpan w:val="4"/>
            <w:noWrap/>
            <w:vAlign w:val="center"/>
          </w:tcPr>
          <w:p>
            <w:pPr>
              <w:snapToGrid w:val="0"/>
              <w:spacing w:after="60" w:afterLines="25"/>
              <w:jc w:val="center"/>
              <w:rPr>
                <w:rFonts w:ascii="宋体" w:hAnsi="宋体" w:cs="Arial"/>
                <w:b/>
                <w:kern w:val="2"/>
              </w:rPr>
            </w:pPr>
            <w:r>
              <w:rPr>
                <w:rFonts w:ascii="宋体" w:hAnsi="宋体" w:cs="Arial" w:hint="eastAsia"/>
                <w:b/>
                <w:kern w:val="2"/>
              </w:rPr>
              <w:t>投标总价</w:t>
            </w:r>
            <w:r>
              <w:rPr>
                <w:rFonts w:ascii="宋体" w:hAnsi="宋体" w:hint="eastAsia"/>
                <w:kern w:val="2"/>
              </w:rPr>
              <w:t>（币种：人民币；单位：元）</w:t>
            </w:r>
          </w:p>
        </w:tc>
        <w:tc>
          <w:tcPr>
            <w:tcW w:w="2038" w:type="dxa"/>
            <w:noWrap/>
            <w:vAlign w:val="center"/>
          </w:tcPr>
          <w:p>
            <w:pPr>
              <w:snapToGrid w:val="0"/>
              <w:spacing w:after="60" w:afterLines="25"/>
              <w:jc w:val="center"/>
              <w:rPr>
                <w:rFonts w:ascii="宋体" w:eastAsia="黑体" w:hAnsi="宋体" w:cs="Arial"/>
                <w:b/>
                <w:bCs/>
                <w:kern w:val="44"/>
              </w:rPr>
            </w:pPr>
          </w:p>
        </w:tc>
      </w:tr>
    </w:tbl>
    <w:p>
      <w:pPr>
        <w:rPr>
          <w:sz w:val="18"/>
          <w:szCs w:val="18"/>
        </w:rPr>
      </w:pPr>
    </w:p>
    <w:p>
      <w:pPr>
        <w:tabs>
          <w:tab w:val="left" w:pos="720"/>
        </w:tabs>
        <w:jc w:val="center"/>
        <w:rPr>
          <w:b/>
        </w:rPr>
      </w:pPr>
      <w:r>
        <w:rPr>
          <w:rFonts w:hint="eastAsia"/>
          <w:b/>
        </w:rPr>
        <w:t>（二）</w:t>
      </w:r>
      <w:bookmarkStart w:id="23" w:name="_Hlk72073235"/>
      <w:r>
        <w:rPr>
          <w:rFonts w:hint="eastAsia"/>
          <w:b/>
        </w:rPr>
        <w:t>投标人认为需要涉及的其他内容报价清单</w:t>
      </w:r>
      <w:bookmarkEnd w:id="23"/>
    </w:p>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kinsoku/>
        <w:overflowPunct/>
        <w:topLinePunct w:val="0"/>
        <w:bidi w:val="0"/>
        <w:spacing w:beforeAutospacing="0" w:afterAutospacing="0" w:line="360" w:lineRule="auto"/>
        <w:ind w:left="0" w:right="0" w:firstLine="0" w:leftChars="0" w:firstLineChars="0"/>
        <w:jc w:val="center"/>
        <w:outlineLvl w:val="2"/>
        <w:rPr>
          <w:rFonts w:ascii="宋体" w:eastAsia="宋体" w:hAnsi="宋体" w:cs="宋体" w:hint="eastAsia"/>
          <w:b/>
          <w:bCs/>
          <w:kern w:val="2"/>
          <w:sz w:val="21"/>
          <w:szCs w:val="22"/>
          <w:lang w:eastAsia="zh-CN"/>
        </w:rPr>
      </w:pPr>
      <w:r>
        <w:rPr>
          <w:rFonts w:ascii="宋体" w:eastAsia="宋体" w:hAnsi="宋体" w:cs="宋体" w:hint="eastAsia"/>
          <w:b/>
          <w:bCs/>
          <w:kern w:val="2"/>
          <w:lang w:eastAsia="zh-CN"/>
        </w:rPr>
        <w:t>六、股东构成审查表</w:t>
      </w:r>
    </w:p>
    <w:p>
      <w:pPr>
        <w:rPr>
          <w:rFonts w:hint="eastAsia"/>
          <w:lang w:eastAsia="zh-CN"/>
        </w:rPr>
      </w:pPr>
      <w:r>
        <w:rPr>
          <w:rFonts w:hint="eastAsia"/>
          <w:lang w:eastAsia="zh-CN"/>
        </w:rPr>
        <w:t>1、提供投标人所在地的市场监督管理部门“商事登记簿查询（商事主体登记及备案信息查询）”查询截图或提供国家企业信用信息公示系统截图；</w:t>
      </w:r>
    </w:p>
    <w:p>
      <w:pPr>
        <w:rPr>
          <w:rFonts w:ascii="宋体" w:eastAsia="宋体" w:hAnsi="宋体" w:cs="宋体" w:hint="eastAsia"/>
          <w:kern w:val="2"/>
          <w:sz w:val="21"/>
          <w:lang w:eastAsia="zh-CN"/>
        </w:rPr>
      </w:pPr>
      <w:r>
        <w:rPr>
          <w:rFonts w:ascii="宋体" w:eastAsia="宋体" w:hAnsi="宋体" w:cs="宋体" w:hint="eastAsia"/>
          <w:b/>
          <w:bCs/>
          <w:kern w:val="2"/>
          <w:sz w:val="21"/>
          <w:lang w:eastAsia="zh-CN"/>
        </w:rPr>
        <w:t>参考示例1：</w:t>
      </w:r>
      <w:r>
        <w:rPr>
          <w:rFonts w:ascii="宋体" w:eastAsia="宋体" w:hAnsi="宋体" w:cs="宋体" w:hint="eastAsia"/>
          <w:kern w:val="2"/>
          <w:sz w:val="21"/>
          <w:lang w:eastAsia="zh-CN"/>
        </w:rPr>
        <w:t>“深圳市市场监督管理局——商事登记簿查询（商事主体登记及备案信息查询）：</w:t>
      </w:r>
      <w:hyperlink r:id="rId7" w:history="1">
        <w:r>
          <w:rPr>
            <w:rFonts w:ascii="宋体" w:eastAsia="宋体" w:hAnsi="宋体" w:cs="宋体" w:hint="eastAsia"/>
            <w:color w:val="0000FF"/>
            <w:kern w:val="2"/>
            <w:sz w:val="21"/>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8"/>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eastAsia="宋体"/>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9"/>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w:t>
      </w:r>
      <w:r>
        <w:rPr>
          <w:rFonts w:ascii="宋体" w:eastAsia="宋体" w:hAnsi="宋体" w:cs="宋体" w:hint="eastAsia"/>
          <w:b/>
          <w:bCs/>
          <w:color w:val="FF0000"/>
          <w:kern w:val="2"/>
          <w:sz w:val="21"/>
          <w:szCs w:val="21"/>
          <w:lang w:eastAsia="zh-CN"/>
        </w:rPr>
        <w:t>（需体现股东及出资信息）</w:t>
      </w:r>
      <w:r>
        <w:rPr>
          <w:rFonts w:ascii="宋体" w:eastAsia="宋体" w:hAnsi="宋体" w:cs="宋体" w:hint="eastAsia"/>
          <w:kern w:val="2"/>
          <w:sz w:val="21"/>
          <w:szCs w:val="21"/>
          <w:lang w:eastAsia="zh-CN"/>
        </w:rPr>
        <w:t>。网址：</w:t>
      </w:r>
      <w:hyperlink r:id="rId10"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11"/>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Cs w:val="22"/>
          <w:lang w:eastAsia="zh-CN"/>
        </w:rPr>
      </w:pPr>
      <w:r>
        <w:rPr>
          <w:rFonts w:ascii="宋体" w:eastAsia="宋体" w:hAnsi="宋体" w:cstheme="minorBidi" w:hint="eastAsia"/>
          <w:b/>
          <w:color w:val="FF0000"/>
          <w:kern w:val="2"/>
          <w:szCs w:val="22"/>
          <w:lang w:eastAsia="zh-CN"/>
        </w:rPr>
        <w:t xml:space="preserve">注： </w:t>
      </w:r>
      <w:r>
        <w:rPr>
          <w:rFonts w:ascii="宋体" w:eastAsia="宋体" w:hAnsi="宋体" w:cstheme="minorBidi" w:hint="eastAsia"/>
          <w:b/>
          <w:color w:val="FF0000"/>
          <w:kern w:val="2"/>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rPr>
          <w:rFonts w:hint="eastAsia"/>
          <w:lang w:eastAsia="zh-CN"/>
        </w:rPr>
      </w:pPr>
      <w:r>
        <w:rPr>
          <w:rFonts w:hint="eastAsia"/>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□是，其控股股东为：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其他主要股东及其股份占比：</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□是，该单位为：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u w:val="single"/>
                <w:lang w:eastAsia="zh-CN"/>
              </w:rPr>
            </w:pPr>
            <w:r>
              <w:rPr>
                <w:rFonts w:ascii="宋体" w:eastAsia="宋体" w:hAnsi="宋体" w:cs="宋体" w:hint="eastAsia"/>
                <w:color w:val="000000"/>
                <w:sz w:val="21"/>
                <w:szCs w:val="21"/>
                <w:lang w:eastAsia="zh-CN"/>
              </w:rPr>
              <w:t>□是，与招标人的关系为：</w:t>
            </w:r>
            <w:r>
              <w:rPr>
                <w:rFonts w:ascii="宋体" w:eastAsia="宋体" w:hAnsi="宋体" w:cs="宋体" w:hint="eastAsia"/>
                <w:color w:val="000000"/>
                <w:sz w:val="21"/>
                <w:szCs w:val="21"/>
                <w:u w:val="single"/>
                <w:lang w:eastAsia="zh-CN"/>
              </w:rPr>
              <w:t xml:space="preserve">                       </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u w:val="single"/>
                <w:lang w:eastAsia="zh-CN"/>
              </w:rPr>
              <w:t xml:space="preserve">                                   </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sz w:val="21"/>
          <w:szCs w:val="21"/>
          <w:lang w:eastAsia="zh-CN"/>
        </w:rPr>
      </w:pPr>
    </w:p>
    <w:p>
      <w:pPr>
        <w:widowControl w:val="0"/>
        <w:spacing w:after="60" w:afterLines="25" w:line="300" w:lineRule="auto"/>
        <w:jc w:val="center"/>
        <w:rPr>
          <w:rFonts w:ascii="Arial" w:eastAsia="宋体" w:hAnsi="Arial"/>
          <w:b/>
          <w:kern w:val="2"/>
          <w:lang w:eastAsia="zh-CN"/>
        </w:rPr>
      </w:pPr>
    </w:p>
    <w:p>
      <w:pPr>
        <w:widowControl/>
        <w:jc w:val="center"/>
        <w:rPr>
          <w:rFonts w:ascii="Arial" w:eastAsia="宋体" w:hAnsi="Arial"/>
          <w:kern w:val="2"/>
          <w:sz w:val="21"/>
          <w:lang w:eastAsia="zh-CN"/>
        </w:rPr>
      </w:pPr>
      <w:r>
        <w:rPr>
          <w:rFonts w:ascii="Arial" w:eastAsia="宋体" w:hAnsi="Arial"/>
          <w:kern w:val="2"/>
          <w:sz w:val="21"/>
          <w:lang w:eastAsia="zh-CN"/>
        </w:rPr>
        <w:br w:type="page"/>
      </w: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七、</w:t>
      </w:r>
      <w:bookmarkStart w:id="24" w:name="_Hlk72092499"/>
      <w:r>
        <w:rPr>
          <w:rFonts w:ascii="宋体" w:eastAsia="宋体" w:hAnsi="宋体" w:hint="eastAsia"/>
          <w:b/>
          <w:bCs/>
          <w:szCs w:val="20"/>
          <w:lang w:eastAsia="zh-CN"/>
        </w:rPr>
        <w:t>法定代表人（负责人）证明书</w:t>
      </w:r>
      <w:bookmarkEnd w:id="24"/>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ind w:firstLine="420" w:firstLineChars="200"/>
        <w:jc w:val="both"/>
        <w:rPr>
          <w:rFonts w:ascii="Calibri" w:eastAsia="宋体" w:hAnsi="Calibri"/>
          <w:b/>
          <w:bCs/>
          <w:kern w:val="2"/>
          <w:szCs w:val="22"/>
          <w:lang w:eastAsia="zh-CN"/>
        </w:rPr>
      </w:pPr>
      <w:r>
        <w:rPr>
          <w:rFonts w:ascii="Calibri" w:eastAsia="宋体" w:hAnsi="Calibri" w:cstheme="minorBidi" w:hint="eastAsia"/>
          <w:b/>
          <w:bCs/>
          <w:kern w:val="2"/>
          <w:sz w:val="21"/>
          <w:szCs w:val="21"/>
          <w:lang w:eastAsia="zh-CN"/>
        </w:rPr>
        <w:t>5、若为退休人员，提供退休证明（退休证/承诺函等）。</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宋体" w:eastAsia="宋体" w:hAnsi="宋体" w:hint="eastAsia"/>
          <w:b/>
          <w:bCs/>
          <w:szCs w:val="20"/>
          <w:lang w:eastAsia="zh-CN"/>
        </w:rPr>
      </w:pPr>
      <w:r>
        <w:rPr>
          <w:rFonts w:ascii="宋体" w:eastAsia="宋体" w:hAnsi="宋体" w:hint="eastAsia"/>
          <w:b/>
          <w:bCs/>
          <w:szCs w:val="20"/>
          <w:lang w:eastAsia="zh-CN"/>
        </w:rPr>
        <w:t>八、投标文件签署授权委托书</w:t>
      </w:r>
    </w:p>
    <w:p>
      <w:pPr>
        <w:widowControl w:val="0"/>
        <w:numPr>
          <w:ilvl w:val="0"/>
          <w:numId w:val="0"/>
        </w:numPr>
        <w:ind w:left="0" w:firstLine="0"/>
        <w:jc w:val="both"/>
        <w:rPr>
          <w:rFonts w:ascii="Calibri" w:eastAsia="宋体" w:hAnsi="Calibri"/>
          <w:kern w:val="2"/>
          <w:sz w:val="21"/>
          <w:szCs w:val="22"/>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若为退休人员，提供退休证明（退休证/承诺函等）。</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rPr>
          <w:rFonts w:ascii="宋体" w:eastAsia="宋体" w:hAnsi="宋体" w:cs="宋体" w:hint="eastAsia"/>
          <w:lang w:eastAsia="zh-CN"/>
        </w:rPr>
      </w:pPr>
    </w:p>
    <w:p>
      <w:pPr>
        <w:widowControl w:val="0"/>
        <w:tabs>
          <w:tab w:val="left" w:pos="651"/>
        </w:tabs>
        <w:snapToGrid w:val="0"/>
        <w:jc w:val="center"/>
        <w:rPr>
          <w:rFonts w:ascii="黑体" w:eastAsia="黑体" w:hAnsi="Calibri"/>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lang w:eastAsia="zh-CN"/>
        </w:rPr>
      </w:pP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九、</w:t>
      </w:r>
      <w:bookmarkStart w:id="25" w:name="_Hlk72092634"/>
      <w:r>
        <w:rPr>
          <w:rFonts w:ascii="宋体" w:eastAsia="宋体" w:hAnsi="宋体" w:cs="宋体" w:hint="eastAsia"/>
          <w:b/>
          <w:bCs/>
          <w:lang w:eastAsia="zh-CN"/>
        </w:rPr>
        <w:t>实质性条款响应情况表</w:t>
      </w:r>
      <w:bookmarkEnd w:id="25"/>
    </w:p>
    <w:p>
      <w:pPr>
        <w:widowControl w:val="0"/>
        <w:spacing w:line="360" w:lineRule="auto"/>
        <w:jc w:val="both"/>
        <w:rPr>
          <w:rFonts w:ascii="Calibri" w:eastAsia="宋体" w:hAnsi="Calibri" w:hint="eastAsia"/>
          <w:b/>
          <w:bCs/>
          <w:kern w:val="2"/>
          <w:szCs w:val="22"/>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投标单位（投标人）名称：</w:t>
      </w:r>
      <w:r>
        <w:rPr>
          <w:rFonts w:ascii="宋体" w:eastAsia="宋体" w:hAnsi="宋体" w:cs="宋体" w:hint="eastAsia"/>
          <w:color w:val="000000"/>
          <w:kern w:val="2"/>
          <w:sz w:val="21"/>
          <w:szCs w:val="21"/>
          <w:u w:val="single"/>
          <w:lang w:eastAsia="zh-CN"/>
        </w:rPr>
        <w:t xml:space="preserve">                         </w:t>
      </w: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实质性条款具体内容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投标文件响应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偏离情况</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1</w:t>
            </w:r>
          </w:p>
        </w:tc>
        <w:tc>
          <w:tcPr>
            <w:tcW w:w="3901"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r>
              <w:rPr>
                <w:rFonts w:ascii="宋体" w:eastAsia="宋体" w:hAnsi="宋体" w:cs="宋体" w:hint="eastAsia"/>
                <w:b/>
                <w:color w:val="FF0000"/>
                <w:sz w:val="21"/>
                <w:szCs w:val="21"/>
                <w:lang w:eastAsia="zh-CN"/>
              </w:rPr>
              <w:t>本项目★第三章用户需求书全部内容</w:t>
            </w:r>
          </w:p>
        </w:tc>
        <w:tc>
          <w:tcPr>
            <w:tcW w:w="2176"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完全响应</w:t>
            </w:r>
          </w:p>
        </w:tc>
        <w:tc>
          <w:tcPr>
            <w:tcW w:w="173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无偏离</w:t>
            </w:r>
          </w:p>
        </w:tc>
        <w:tc>
          <w:tcPr>
            <w:tcW w:w="992" w:type="dxa"/>
            <w:vAlign w:val="center"/>
          </w:tcPr>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color w:val="FF0000"/>
                <w:sz w:val="21"/>
                <w:szCs w:val="21"/>
                <w:lang w:eastAsia="zh-CN"/>
              </w:rPr>
            </w:pPr>
          </w:p>
        </w:tc>
      </w:tr>
    </w:tbl>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p>
    <w:p>
      <w:pPr>
        <w:widowControl w:val="0"/>
        <w:kinsoku/>
        <w:overflowPunct/>
        <w:topLinePunct w:val="0"/>
        <w:bidi w:val="0"/>
        <w:snapToGrid w:val="0"/>
        <w:spacing w:beforeAutospacing="0" w:afterAutospacing="0" w:line="360" w:lineRule="auto"/>
        <w:ind w:left="0" w:right="0" w:firstLine="0" w:leftChars="0" w:firstLineChars="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填写说明：</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2、“投标文件响应”一栏应当根据投标人自身实际情况响应，</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szCs w:val="20"/>
          <w:lang w:eastAsia="zh-CN"/>
        </w:rPr>
      </w:pPr>
      <w:r>
        <w:rPr>
          <w:rFonts w:ascii="宋体" w:eastAsia="宋体" w:hAnsi="宋体" w:cs="宋体" w:hint="eastAsia"/>
          <w:b/>
          <w:bCs/>
          <w:szCs w:val="20"/>
          <w:lang w:eastAsia="zh-CN"/>
        </w:rPr>
        <w:br w:type="page"/>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十、服务方案和安全管理方案</w:t>
      </w:r>
    </w:p>
    <w:p>
      <w:pPr>
        <w:keepNext w:val="0"/>
        <w:keepLines w:val="0"/>
        <w:pageBreakBefore w:val="0"/>
        <w:widowControl/>
        <w:kinsoku/>
        <w:wordWrap/>
        <w:overflowPunct/>
        <w:topLinePunct w:val="0"/>
        <w:autoSpaceDE/>
        <w:autoSpaceDN/>
        <w:bidi w:val="0"/>
        <w:adjustRightInd/>
        <w:snapToGrid/>
        <w:ind w:firstLine="3600" w:firstLineChars="15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十一、质量保证措施</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十二、突发状况应急方案</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十三、卫生管理和保障制度</w:t>
      </w:r>
    </w:p>
    <w:p>
      <w:pPr>
        <w:keepNext w:val="0"/>
        <w:keepLines w:val="0"/>
        <w:pageBreakBefore w:val="0"/>
        <w:widowControl/>
        <w:kinsoku/>
        <w:wordWrap/>
        <w:overflowPunct/>
        <w:topLinePunct w:val="0"/>
        <w:autoSpaceDE/>
        <w:autoSpaceDN/>
        <w:bidi w:val="0"/>
        <w:adjustRightInd/>
        <w:snapToGrid/>
        <w:ind w:firstLine="3600" w:firstLineChars="15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十四、拟安排的项目负责人情况（仅限一人）</w:t>
      </w:r>
    </w:p>
    <w:p>
      <w:pPr>
        <w:keepNext w:val="0"/>
        <w:keepLines w:val="0"/>
        <w:pageBreakBefore w:val="0"/>
        <w:widowControl/>
        <w:kinsoku/>
        <w:wordWrap/>
        <w:overflowPunct/>
        <w:topLinePunct w:val="0"/>
        <w:autoSpaceDE/>
        <w:autoSpaceDN/>
        <w:bidi w:val="0"/>
        <w:adjustRightInd/>
        <w:snapToGrid/>
        <w:ind w:firstLine="3600" w:firstLineChars="15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十五、拟安排的团队成员情况（项目负责人除外）</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十六、投标人同类项目业绩情况</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十七、履约评价</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widowControl w:val="0"/>
        <w:tabs>
          <w:tab w:val="left" w:pos="651"/>
        </w:tabs>
        <w:kinsoku/>
        <w:overflowPunct/>
        <w:topLinePunct w:val="0"/>
        <w:bidi w:val="0"/>
        <w:snapToGrid w:val="0"/>
        <w:spacing w:beforeAutospacing="0" w:afterAutospacing="0" w:line="360" w:lineRule="auto"/>
        <w:ind w:left="0" w:right="0" w:firstLine="0" w:leftChars="0" w:firstLineChars="0"/>
        <w:jc w:val="center"/>
        <w:outlineLvl w:val="2"/>
        <w:rPr>
          <w:rFonts w:ascii="宋体" w:eastAsia="宋体" w:hAnsi="宋体" w:cs="宋体" w:hint="eastAsia"/>
          <w:b/>
          <w:bCs/>
          <w:lang w:eastAsia="zh-CN"/>
        </w:rPr>
      </w:pPr>
      <w:r>
        <w:rPr>
          <w:rFonts w:ascii="宋体" w:eastAsia="宋体" w:hAnsi="宋体" w:cs="宋体" w:hint="eastAsia"/>
          <w:b/>
          <w:bCs/>
          <w:lang w:eastAsia="zh-CN"/>
        </w:rPr>
        <w:t>十八、体系认证情况</w:t>
      </w:r>
    </w:p>
    <w:p>
      <w:pPr>
        <w:keepNext w:val="0"/>
        <w:keepLines w:val="0"/>
        <w:pageBreakBefore w:val="0"/>
        <w:widowControl/>
        <w:kinsoku/>
        <w:wordWrap/>
        <w:overflowPunct/>
        <w:topLinePunct w:val="0"/>
        <w:autoSpaceDE/>
        <w:autoSpaceDN/>
        <w:bidi w:val="0"/>
        <w:adjustRightInd/>
        <w:snapToGrid/>
        <w:ind w:firstLine="3840" w:firstLineChars="1600"/>
        <w:textAlignment w:val="auto"/>
        <w:rPr>
          <w:rFonts w:eastAsia="宋体" w:hint="eastAsia"/>
          <w:lang w:eastAsia="zh-CN"/>
        </w:rPr>
      </w:pPr>
      <w:r>
        <w:rPr>
          <w:rFonts w:eastAsia="宋体" w:hint="eastAsia"/>
          <w:lang w:eastAsia="zh-CN"/>
        </w:rPr>
        <w:t>（格式自拟）</w:t>
      </w:r>
    </w:p>
    <w:p>
      <w:pPr>
        <w:keepNext w:val="0"/>
        <w:keepLines w:val="0"/>
        <w:pageBreakBefore w:val="0"/>
        <w:widowControl/>
        <w:kinsoku/>
        <w:wordWrap/>
        <w:overflowPunct/>
        <w:topLinePunct w:val="0"/>
        <w:autoSpaceDE/>
        <w:autoSpaceDN/>
        <w:bidi w:val="0"/>
        <w:adjustRightInd/>
        <w:snapToGrid/>
        <w:ind w:firstLine="3600" w:firstLineChars="1500"/>
        <w:textAlignment w:val="auto"/>
        <w:rPr>
          <w:rFonts w:eastAsia="宋体" w:hint="eastAsia"/>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b/>
          <w:bCs/>
          <w:kern w:val="2"/>
          <w:szCs w:val="22"/>
          <w:lang w:eastAsia="zh-CN"/>
        </w:rPr>
      </w:pPr>
    </w:p>
    <w:p>
      <w:pPr>
        <w:keepNext/>
        <w:keepLines/>
        <w:spacing w:before="120" w:after="120" w:line="240" w:lineRule="auto"/>
        <w:jc w:val="center"/>
        <w:outlineLvl w:val="2"/>
        <w:rPr>
          <w:rFonts w:ascii="宋体" w:eastAsia="宋体" w:hAnsi="宋体"/>
          <w:b/>
          <w:color w:val="000000"/>
          <w:sz w:val="21"/>
          <w:szCs w:val="21"/>
        </w:rPr>
      </w:pPr>
      <w:bookmarkStart w:id="26" w:name="_Toc18553"/>
      <w:bookmarkStart w:id="27" w:name="_Toc12084"/>
      <w:r>
        <w:rPr>
          <w:rFonts w:ascii="宋体" w:eastAsia="宋体" w:hAnsi="宋体" w:cs="宋体" w:hint="eastAsia"/>
          <w:b/>
          <w:color w:val="000000"/>
          <w:sz w:val="28"/>
          <w:szCs w:val="28"/>
          <w:lang w:eastAsia="zh-CN"/>
        </w:rPr>
        <w:t>十九、</w:t>
      </w:r>
      <w:r>
        <w:rPr>
          <w:rFonts w:ascii="宋体" w:eastAsia="宋体" w:hAnsi="宋体" w:cs="宋体" w:hint="eastAsia"/>
          <w:b/>
          <w:color w:val="000000"/>
          <w:sz w:val="28"/>
          <w:szCs w:val="28"/>
        </w:rPr>
        <w:t>诚信承诺函</w:t>
      </w:r>
      <w:bookmarkEnd w:id="26"/>
      <w:bookmarkEnd w:id="27"/>
    </w:p>
    <w:p>
      <w:pPr>
        <w:spacing w:line="360" w:lineRule="auto"/>
        <w:jc w:val="left"/>
        <w:rPr>
          <w:rFonts w:ascii="宋体" w:eastAsia="宋体" w:hAnsi="宋体"/>
          <w:b/>
          <w:color w:val="000000"/>
          <w:szCs w:val="21"/>
        </w:rPr>
      </w:pPr>
      <w:r>
        <w:rPr>
          <w:rFonts w:ascii="宋体" w:eastAsia="宋体" w:hAnsi="宋体" w:hint="eastAsia"/>
          <w:b/>
          <w:color w:val="000000"/>
          <w:szCs w:val="21"/>
        </w:rPr>
        <w:t>致：深圳市千里招标代理有限公司</w:t>
      </w:r>
    </w:p>
    <w:p>
      <w:pPr>
        <w:spacing w:line="360" w:lineRule="auto"/>
        <w:ind w:firstLine="480" w:firstLineChars="200"/>
        <w:jc w:val="left"/>
        <w:rPr>
          <w:rFonts w:ascii="宋体" w:eastAsia="宋体" w:hAnsi="宋体"/>
          <w:color w:val="000000"/>
          <w:szCs w:val="21"/>
        </w:rPr>
      </w:pPr>
      <w:r>
        <w:rPr>
          <w:rFonts w:ascii="宋体" w:eastAsia="宋体" w:hAnsi="宋体" w:hint="eastAsia"/>
          <w:color w:val="000000"/>
          <w:szCs w:val="21"/>
        </w:rPr>
        <w:t>我公司承诺近三年内在政府采购招标投标活动中，不存在以下情形：</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（一）被纪检监察部门立案调查，违法违规事实成立的；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（二）未按本条例规定签订、履行采购合同，造成严重后果的；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（三）隐瞒真实情况，提供虚假资料的；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（四）以非法手段排斥其他供应商参与竞争的；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（五）与其他采购参加人串通投标的；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 xml:space="preserve">（六）在采购活动中应当回避而未回避的； </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 xml:space="preserve">（七）恶意投诉的； </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 xml:space="preserve">（八）向采购项目相关人行贿或者提供其他不当利益的； </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（九）阻碍、抗拒主管部门监督检查的；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（十）履约检查不合格或者评价为差的；</w:t>
      </w:r>
    </w:p>
    <w:p>
      <w:pPr>
        <w:tabs>
          <w:tab w:val="left" w:pos="567"/>
        </w:tabs>
        <w:spacing w:line="360" w:lineRule="auto"/>
        <w:ind w:left="420"/>
        <w:jc w:val="left"/>
        <w:rPr>
          <w:rFonts w:ascii="宋体" w:eastAsia="宋体" w:hAnsi="宋体"/>
          <w:color w:val="000000"/>
          <w:sz w:val="21"/>
          <w:szCs w:val="21"/>
        </w:rPr>
      </w:pPr>
      <w:r>
        <w:rPr>
          <w:rFonts w:ascii="宋体" w:eastAsia="宋体" w:hAnsi="宋体" w:hint="eastAsia"/>
          <w:color w:val="000000"/>
          <w:sz w:val="21"/>
          <w:szCs w:val="21"/>
        </w:rPr>
        <w:t>（十一）重大违法犯罪记录和被财政等政府主管部门处以禁止参与政府采购活动的情况；</w:t>
      </w:r>
    </w:p>
    <w:p>
      <w:pPr>
        <w:spacing w:line="360" w:lineRule="auto"/>
        <w:ind w:firstLine="480" w:firstLineChars="200"/>
        <w:jc w:val="left"/>
        <w:rPr>
          <w:rFonts w:ascii="宋体" w:eastAsia="宋体" w:hAnsi="宋体"/>
          <w:color w:val="000000"/>
          <w:szCs w:val="21"/>
        </w:rPr>
      </w:pPr>
      <w:r>
        <w:rPr>
          <w:rFonts w:ascii="宋体" w:eastAsia="宋体" w:hAnsi="宋体" w:hint="eastAsia"/>
          <w:color w:val="000000"/>
          <w:szCs w:val="21"/>
        </w:rPr>
        <w:t>（十二）主管部门认定的其他情形。</w:t>
      </w:r>
    </w:p>
    <w:p>
      <w:pPr>
        <w:spacing w:line="360" w:lineRule="auto"/>
        <w:ind w:firstLine="480" w:firstLineChars="200"/>
        <w:jc w:val="left"/>
        <w:rPr>
          <w:rFonts w:ascii="宋体" w:eastAsia="宋体" w:hAnsi="宋体"/>
          <w:color w:val="000000"/>
          <w:szCs w:val="21"/>
        </w:rPr>
      </w:pPr>
      <w:r>
        <w:rPr>
          <w:rFonts w:ascii="宋体" w:eastAsia="宋体" w:hAnsi="宋体" w:hint="eastAsia"/>
          <w:color w:val="000000"/>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eastAsia="宋体" w:hAnsi="宋体"/>
          <w:color w:val="000000"/>
          <w:szCs w:val="21"/>
        </w:rPr>
      </w:pPr>
      <w:r>
        <w:rPr>
          <w:rFonts w:ascii="宋体" w:eastAsia="宋体" w:hAnsi="宋体" w:hint="eastAsia"/>
          <w:color w:val="000000"/>
          <w:szCs w:val="21"/>
        </w:rPr>
        <w:t>特此承诺。</w:t>
      </w:r>
    </w:p>
    <w:p>
      <w:pPr>
        <w:spacing w:line="360" w:lineRule="auto"/>
        <w:jc w:val="right"/>
        <w:rPr>
          <w:rFonts w:ascii="宋体" w:eastAsia="宋体" w:hAnsi="宋体"/>
          <w:color w:val="000000"/>
          <w:szCs w:val="21"/>
        </w:rPr>
      </w:pPr>
    </w:p>
    <w:p>
      <w:pPr>
        <w:spacing w:line="360" w:lineRule="auto"/>
        <w:jc w:val="right"/>
        <w:rPr>
          <w:rFonts w:ascii="宋体" w:eastAsia="宋体" w:hAnsi="宋体"/>
          <w:color w:val="000000"/>
          <w:szCs w:val="21"/>
        </w:rPr>
      </w:pPr>
    </w:p>
    <w:p>
      <w:pPr>
        <w:spacing w:line="360" w:lineRule="auto"/>
        <w:ind w:firstLine="3600" w:firstLineChars="1500"/>
        <w:jc w:val="left"/>
        <w:rPr>
          <w:rFonts w:ascii="宋体" w:eastAsia="宋体" w:hAnsi="宋体"/>
          <w:color w:val="000000"/>
          <w:szCs w:val="21"/>
        </w:rPr>
      </w:pPr>
      <w:r>
        <w:rPr>
          <w:rFonts w:ascii="宋体" w:eastAsia="宋体" w:hAnsi="宋体" w:hint="eastAsia"/>
          <w:color w:val="000000"/>
          <w:szCs w:val="21"/>
        </w:rPr>
        <w:t>法定代表人或投标人授权代表</w:t>
      </w:r>
      <w:r>
        <w:rPr>
          <w:rFonts w:ascii="宋体" w:eastAsia="宋体" w:hAnsi="宋体" w:cs="Arial" w:hint="eastAsia"/>
          <w:bCs/>
          <w:color w:val="000000"/>
          <w:szCs w:val="21"/>
        </w:rPr>
        <w:t>（签名/签章）</w:t>
      </w:r>
      <w:r>
        <w:rPr>
          <w:rFonts w:ascii="宋体" w:eastAsia="宋体" w:hAnsi="宋体" w:hint="eastAsia"/>
          <w:color w:val="000000"/>
          <w:szCs w:val="21"/>
        </w:rPr>
        <w:t>：</w:t>
      </w:r>
    </w:p>
    <w:p>
      <w:pPr>
        <w:spacing w:line="360" w:lineRule="auto"/>
        <w:jc w:val="left"/>
        <w:rPr>
          <w:rFonts w:ascii="宋体" w:eastAsia="宋体" w:hAnsi="宋体"/>
          <w:color w:val="000000"/>
          <w:szCs w:val="21"/>
        </w:rPr>
      </w:pPr>
    </w:p>
    <w:p>
      <w:pPr>
        <w:spacing w:line="360" w:lineRule="auto"/>
        <w:ind w:firstLine="3600" w:firstLineChars="1500"/>
        <w:jc w:val="left"/>
        <w:rPr>
          <w:rFonts w:ascii="宋体" w:eastAsia="宋体" w:hAnsi="宋体"/>
          <w:color w:val="000000"/>
          <w:szCs w:val="21"/>
        </w:rPr>
      </w:pPr>
      <w:r>
        <w:rPr>
          <w:rFonts w:ascii="宋体" w:eastAsia="宋体" w:hAnsi="宋体" w:hint="eastAsia"/>
          <w:color w:val="000000"/>
          <w:szCs w:val="21"/>
        </w:rPr>
        <w:t>投标单位（</w:t>
      </w:r>
      <w:r>
        <w:rPr>
          <w:rFonts w:ascii="宋体" w:eastAsia="宋体" w:hAnsi="宋体" w:hint="eastAsia"/>
          <w:b/>
          <w:color w:val="000000"/>
          <w:szCs w:val="21"/>
        </w:rPr>
        <w:t>盖公章</w:t>
      </w:r>
      <w:r>
        <w:rPr>
          <w:rFonts w:ascii="宋体" w:eastAsia="宋体" w:hAnsi="宋体" w:hint="eastAsia"/>
          <w:color w:val="000000"/>
          <w:szCs w:val="21"/>
        </w:rPr>
        <w:t>）：</w:t>
      </w:r>
    </w:p>
    <w:p>
      <w:pPr>
        <w:spacing w:line="360" w:lineRule="auto"/>
        <w:jc w:val="left"/>
        <w:rPr>
          <w:rFonts w:ascii="宋体" w:eastAsia="宋体" w:hAnsi="宋体"/>
          <w:color w:val="000000"/>
          <w:szCs w:val="21"/>
        </w:rPr>
      </w:pPr>
    </w:p>
    <w:p>
      <w:pPr>
        <w:widowControl w:val="0"/>
        <w:spacing w:line="360" w:lineRule="auto"/>
        <w:ind w:firstLine="3840" w:firstLineChars="1600"/>
        <w:jc w:val="both"/>
        <w:rPr>
          <w:rFonts w:ascii="Calibri" w:eastAsia="宋体" w:hAnsi="Calibri" w:hint="eastAsia"/>
          <w:kern w:val="2"/>
          <w:szCs w:val="22"/>
          <w:lang w:eastAsia="zh-CN"/>
        </w:rPr>
      </w:pPr>
      <w:r>
        <w:rPr>
          <w:rFonts w:ascii="宋体" w:eastAsia="宋体" w:hAnsi="宋体" w:hint="eastAsia"/>
          <w:color w:val="000000"/>
          <w:szCs w:val="21"/>
        </w:rPr>
        <w:t>日期：    年  月  日</w:t>
      </w: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kinsoku/>
        <w:overflowPunct/>
        <w:topLinePunct w:val="0"/>
        <w:bidi w:val="0"/>
        <w:spacing w:beforeAutospacing="0" w:afterAutospacing="0" w:line="480" w:lineRule="auto"/>
        <w:ind w:left="0" w:right="0" w:firstLine="0" w:leftChars="0" w:firstLineChars="0"/>
        <w:jc w:val="center"/>
        <w:rPr>
          <w:rFonts w:ascii="宋体" w:eastAsia="宋体" w:hAnsi="宋体" w:cs="宋体" w:hint="eastAsia"/>
          <w:b/>
          <w:bCs/>
          <w:lang w:eastAsia="zh-CN"/>
        </w:rPr>
      </w:pPr>
      <w:r>
        <w:rPr>
          <w:rFonts w:ascii="宋体" w:eastAsia="宋体" w:hAnsi="宋体" w:cs="宋体" w:hint="eastAsia"/>
          <w:b/>
          <w:bCs/>
          <w:lang w:eastAsia="zh-CN"/>
        </w:rPr>
        <w:t>二十、投标人认为需要加以说明的其他内容</w:t>
      </w:r>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numPr>
          <w:ilvl w:val="0"/>
          <w:numId w:val="4"/>
        </w:numPr>
        <w:jc w:val="center"/>
        <w:rPr>
          <w:rFonts w:ascii="黑体" w:eastAsia="黑体" w:hAnsi="宋体" w:hint="eastAsia"/>
          <w:szCs w:val="20"/>
          <w:lang w:eastAsia="zh-CN"/>
        </w:rPr>
      </w:pPr>
      <w:r>
        <w:rPr>
          <w:rFonts w:ascii="黑体" w:eastAsia="黑体" w:hAnsi="宋体" w:cstheme="minorBidi" w:hint="eastAsia"/>
          <w:szCs w:val="20"/>
          <w:lang w:eastAsia="zh-CN"/>
        </w:rPr>
        <w:t>投标人认为需要加以说明的其他内容（格式自定）</w:t>
      </w: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numPr>
          <w:ilvl w:val="0"/>
          <w:numId w:val="0"/>
        </w:numPr>
        <w:ind w:left="0" w:firstLine="0"/>
        <w:jc w:val="center"/>
        <w:rPr>
          <w:rFonts w:ascii="黑体" w:eastAsia="黑体" w:hAnsi="宋体" w:hint="eastAsia"/>
          <w:szCs w:val="20"/>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kinsoku/>
        <w:overflowPunct/>
        <w:topLinePunct w:val="0"/>
        <w:bidi w:val="0"/>
        <w:spacing w:beforeAutospacing="0" w:afterAutospacing="0" w:line="360" w:lineRule="auto"/>
        <w:ind w:left="0" w:right="0" w:firstLine="0" w:leftChars="0" w:firstLineChars="0"/>
        <w:jc w:val="center"/>
        <w:rPr>
          <w:rFonts w:ascii="宋体" w:eastAsia="宋体" w:hAnsi="宋体" w:cs="宋体" w:hint="eastAsia"/>
          <w:b/>
          <w:kern w:val="2"/>
          <w:szCs w:val="22"/>
          <w:lang w:eastAsia="zh-CN"/>
        </w:rPr>
      </w:pPr>
      <w:r>
        <w:rPr>
          <w:rFonts w:ascii="宋体" w:eastAsia="宋体" w:hAnsi="宋体" w:cs="宋体" w:hint="eastAsia"/>
          <w:b/>
          <w:kern w:val="2"/>
          <w:szCs w:val="22"/>
          <w:lang w:eastAsia="zh-CN"/>
        </w:rPr>
        <w:t>合同条款</w:t>
      </w:r>
    </w:p>
    <w:p>
      <w:pPr>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有专业类别的格式合同范本请选择相应的合同</w:t>
      </w:r>
    </w:p>
    <w:p>
      <w:pPr>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（仅供参考，采购单位需填写项目关键信息和违约责任条款）</w:t>
      </w:r>
    </w:p>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（仅供参考）</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甲方（采购单位）：</w:t>
      </w:r>
    </w:p>
    <w:p>
      <w:pPr>
        <w:spacing w:line="360" w:lineRule="auto"/>
        <w:rPr>
          <w:rFonts w:ascii="宋体" w:eastAsia="宋体" w:hAnsi="宋体" w:cs="宋体" w:hint="eastAsia"/>
          <w:color w:val="000000"/>
          <w:sz w:val="21"/>
          <w:szCs w:val="21"/>
        </w:rPr>
      </w:pPr>
      <w:r>
        <w:rPr>
          <w:rFonts w:ascii="宋体" w:eastAsia="宋体" w:hAnsi="宋体" w:cs="宋体" w:hint="eastAsia"/>
          <w:color w:val="000000"/>
          <w:sz w:val="21"/>
          <w:szCs w:val="21"/>
        </w:rPr>
        <w:t>乙方（服务单位）：</w:t>
      </w:r>
    </w:p>
    <w:p>
      <w:pPr>
        <w:spacing w:line="360" w:lineRule="auto"/>
        <w:rPr>
          <w:rFonts w:ascii="宋体" w:eastAsia="宋体" w:hAnsi="宋体" w:cs="宋体" w:hint="eastAsia"/>
          <w:color w:val="000000"/>
          <w:sz w:val="21"/>
          <w:szCs w:val="21"/>
        </w:rPr>
      </w:pP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根据深圳市千里招标代理有限公司（项目编号__________________）招标项目的投标结果，由_______________________单位为中标方。按照《中华人民共和国民法典》，经深圳市_______________________（以下简称甲方）和_______________________单位（以下简称乙方）协商，就_______________________</w:t>
      </w:r>
      <w:r>
        <w:rPr>
          <w:rFonts w:ascii="宋体" w:eastAsia="宋体" w:hAnsi="宋体" w:cs="宋体" w:hint="eastAsia"/>
          <w:bCs/>
          <w:snapToGrid w:val="0"/>
          <w:color w:val="000000"/>
          <w:sz w:val="21"/>
          <w:szCs w:val="21"/>
          <w:lang w:val="zh-CN"/>
        </w:rPr>
        <w:t>服务项目</w:t>
      </w:r>
      <w:r>
        <w:rPr>
          <w:rFonts w:ascii="宋体" w:eastAsia="宋体" w:hAnsi="宋体" w:cs="宋体" w:hint="eastAsia"/>
          <w:color w:val="000000"/>
          <w:sz w:val="21"/>
          <w:szCs w:val="21"/>
        </w:rPr>
        <w:t>，达成以下合同条款：</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一、服务内容</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二、合同金额</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本合同金额为（大写）：____________________________________元（￥_______________元）人民币。</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三、技术资料</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1、乙方应按招标文件规定的时间向甲方提供有关技术资料。</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3、合同履行完毕，未经甲方的书面同意，乙方不得保存在履行合同过程中所获得或接触到的任何内部数据资料。</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四、知识产权</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color w:val="000000"/>
          <w:sz w:val="21"/>
          <w:szCs w:val="21"/>
        </w:rPr>
        <w:t>乙方应保证提供服务过程中不会侵犯任何第三方的知识产权</w:t>
      </w:r>
      <w:r>
        <w:rPr>
          <w:rFonts w:ascii="宋体" w:eastAsia="宋体" w:hAnsi="宋体" w:cs="宋体" w:hint="eastAsia"/>
          <w:bCs/>
          <w:color w:val="000000"/>
          <w:sz w:val="21"/>
          <w:szCs w:val="21"/>
        </w:rPr>
        <w:t>。</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五、履约保证金</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乙方交纳人民币_______________________作为本合同的履约保证金。</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六、甲方的权利与义务</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（一）甲方的权利</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1、有权向乙方询问工作进展情况及相关的内容。</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2、有权阐述对具体问题的意见和建议。</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3、当甲方认定乙方人员不按合同履行其职责，或与第三人串通给甲方造成经济损失的，甲方有权要求更换人员，直至终止合同并要求乙方承担相应的赔偿责任。</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（二）甲方的义务</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1、负责与本服务项目有关的第三方的协调，提供开展服务工作的外部条件。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2、向乙方提供与本项目服务工作有关的资料。</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3、负责组织有关专家对项目试验成果评估报告的评审。</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七、乙方的权利与义务</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（一）乙方的权利</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1、乙方在本项目服务过程中，如甲方提供的资料不明确时可向甲方提出书面报告。</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2、乙方在本项目服务过程中，有权对第三方提出与本服务业务有关的问题进行核对或查问。</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3、乙方在本项目服务过程中，有到活动执行现场勘察的权利。</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（二）乙方的义务</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1、应按照招标文件、乙方投标文件要求按期完成本项目服务工作。</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2、负责组织项目的实施，保证项目执行进度，并满足交甲方验收相关标准。</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3、向甲方提交完整大赛资料，一套电子版文件。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4、在履行合同期间或合同规定期限内，不得泄露与本合同规定业务活动有关的保密资料。</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八、合同履行时间、履行方式及履行地点</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1. </w:t>
      </w:r>
      <w:r>
        <w:rPr>
          <w:rFonts w:ascii="宋体" w:eastAsia="宋体" w:hAnsi="宋体" w:cs="宋体" w:hint="eastAsia"/>
          <w:color w:val="000000"/>
          <w:sz w:val="21"/>
          <w:szCs w:val="21"/>
        </w:rPr>
        <w:t>履行时间</w:t>
      </w:r>
      <w:r>
        <w:rPr>
          <w:rFonts w:ascii="宋体" w:eastAsia="宋体" w:hAnsi="宋体" w:cs="宋体" w:hint="eastAsia"/>
          <w:bCs/>
          <w:color w:val="000000"/>
          <w:sz w:val="21"/>
          <w:szCs w:val="21"/>
        </w:rPr>
        <w:t>：</w:t>
      </w:r>
      <w:r>
        <w:rPr>
          <w:rFonts w:ascii="宋体" w:eastAsia="宋体" w:hAnsi="宋体" w:cs="宋体" w:hint="eastAsia"/>
          <w:color w:val="000000"/>
          <w:sz w:val="21"/>
          <w:szCs w:val="21"/>
        </w:rPr>
        <w:t>_______________________</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bCs/>
          <w:color w:val="000000"/>
          <w:sz w:val="21"/>
          <w:szCs w:val="21"/>
        </w:rPr>
        <w:t xml:space="preserve">2. </w:t>
      </w:r>
      <w:r>
        <w:rPr>
          <w:rFonts w:ascii="宋体" w:eastAsia="宋体" w:hAnsi="宋体" w:cs="宋体" w:hint="eastAsia"/>
          <w:color w:val="000000"/>
          <w:sz w:val="21"/>
          <w:szCs w:val="21"/>
        </w:rPr>
        <w:t>履行方式</w:t>
      </w:r>
      <w:r>
        <w:rPr>
          <w:rFonts w:ascii="宋体" w:eastAsia="宋体" w:hAnsi="宋体" w:cs="宋体" w:hint="eastAsia"/>
          <w:bCs/>
          <w:color w:val="000000"/>
          <w:sz w:val="21"/>
          <w:szCs w:val="21"/>
        </w:rPr>
        <w:t>：</w:t>
      </w:r>
      <w:r>
        <w:rPr>
          <w:rFonts w:ascii="宋体" w:eastAsia="宋体" w:hAnsi="宋体" w:cs="宋体" w:hint="eastAsia"/>
          <w:color w:val="000000"/>
          <w:sz w:val="21"/>
          <w:szCs w:val="21"/>
        </w:rPr>
        <w:t>_______________________</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bCs/>
          <w:color w:val="000000"/>
          <w:sz w:val="21"/>
          <w:szCs w:val="21"/>
        </w:rPr>
        <w:t xml:space="preserve">3. </w:t>
      </w:r>
      <w:r>
        <w:rPr>
          <w:rFonts w:ascii="宋体" w:eastAsia="宋体" w:hAnsi="宋体" w:cs="宋体" w:hint="eastAsia"/>
          <w:color w:val="000000"/>
          <w:sz w:val="21"/>
          <w:szCs w:val="21"/>
        </w:rPr>
        <w:t>履行地点</w:t>
      </w:r>
      <w:r>
        <w:rPr>
          <w:rFonts w:ascii="宋体" w:eastAsia="宋体" w:hAnsi="宋体" w:cs="宋体" w:hint="eastAsia"/>
          <w:bCs/>
          <w:color w:val="000000"/>
          <w:sz w:val="21"/>
          <w:szCs w:val="21"/>
        </w:rPr>
        <w:t>：</w:t>
      </w:r>
      <w:r>
        <w:rPr>
          <w:rFonts w:ascii="宋体" w:eastAsia="宋体" w:hAnsi="宋体" w:cs="宋体" w:hint="eastAsia"/>
          <w:color w:val="000000"/>
          <w:sz w:val="21"/>
          <w:szCs w:val="21"/>
        </w:rPr>
        <w:t>_______________________</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九、验收     </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1、下列文件的验收分为______个阶段:</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2、其余文件和工作由用户组织有关技术人员根据国家和行业有关规范、规程、标准和用户需求直接验收。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3、验收依据为_____________号招标文件、乙方投标文件，国家和行业有关规范、规程和标准。</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十、付款方式和税费</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bCs/>
          <w:color w:val="000000"/>
          <w:sz w:val="21"/>
          <w:szCs w:val="21"/>
        </w:rPr>
        <w:t>1、合同签订后_____天内，甲方向乙方支付合同总价_____%的款项。</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bCs/>
          <w:color w:val="000000"/>
          <w:sz w:val="21"/>
          <w:szCs w:val="21"/>
        </w:rPr>
        <w:t>2、检测完成并提交评估报告后，甲方向乙方支付合同总价_____%的款项。</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bCs/>
          <w:color w:val="000000"/>
          <w:sz w:val="21"/>
          <w:szCs w:val="21"/>
        </w:rPr>
        <w:t>3、报告通过专家评审后，甲方向乙方支付合同总价_____%的款项。</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本合同执行中相关的一切税费均由乙方负担。</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color w:val="000000"/>
          <w:sz w:val="21"/>
          <w:szCs w:val="21"/>
        </w:rPr>
        <w:t>十一、</w:t>
      </w:r>
      <w:r>
        <w:rPr>
          <w:rFonts w:ascii="宋体" w:eastAsia="宋体" w:hAnsi="宋体" w:cs="宋体" w:hint="eastAsia"/>
          <w:bCs/>
          <w:color w:val="000000"/>
          <w:sz w:val="21"/>
          <w:szCs w:val="21"/>
        </w:rPr>
        <w:t>争议解决办法</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执行本合同发生的争议，由甲乙双方协商解决。</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十二、违约责任</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1、因乙方原因，未能按规定时间完成有关工作的，每延误一天，甲方可在支付合同余款中扣除合同价款千分之一。</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2、由于乙方原因造成试验成果质量低劣，不能满足大纲要求时，应继续完善试验工作，其费用由乙方承担。</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3、如乙方提供的服务文件不符合质量要求，必须在甲方提出要求后7天内无条件修改，其费用由乙方承担。</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4、__________方违反本合同__________约定，应当__________。</w:t>
      </w:r>
    </w:p>
    <w:p>
      <w:pPr>
        <w:snapToGrid w:val="0"/>
        <w:ind w:firstLine="420" w:firstLineChars="200"/>
        <w:rPr>
          <w:rFonts w:ascii="宋体" w:eastAsia="宋体" w:hAnsi="宋体" w:cs="宋体" w:hint="eastAsia"/>
          <w:bCs/>
          <w:color w:val="000000"/>
          <w:sz w:val="21"/>
          <w:szCs w:val="21"/>
        </w:rPr>
      </w:pPr>
      <w:r>
        <w:rPr>
          <w:rFonts w:ascii="宋体" w:eastAsia="宋体" w:hAnsi="宋体" w:cs="宋体" w:hint="eastAsia"/>
          <w:color w:val="000000"/>
          <w:sz w:val="21"/>
          <w:szCs w:val="21"/>
        </w:rPr>
        <w:t>十三、</w:t>
      </w:r>
      <w:r>
        <w:rPr>
          <w:rFonts w:ascii="宋体" w:eastAsia="宋体" w:hAnsi="宋体" w:cs="宋体" w:hint="eastAsia"/>
          <w:bCs/>
          <w:color w:val="000000"/>
          <w:sz w:val="21"/>
          <w:szCs w:val="21"/>
        </w:rPr>
        <w:t>其他</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1、本合同与__________号招标文件、乙方投标文件如有抵触之处，以本合同条款为准。</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2、下列文件均为本合同的组成部分：</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（1）__________号招标文件、答疑及补充通知；</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（2）投标文件；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（3）本合同执行中共同签署的补充与修正文件。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本合同一式_____份，甲、乙方双方各执_____份，具有同等法律效力。本合同自双方法人代表签字（盖章）认可之日起生效。</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本合同未尽事宜，双方友好协商，达成解决方案，经双方签字后，可作为本合同的有效附件。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附件：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1、《中标/成交通知书》；</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2、《投标文件》；</w:t>
      </w:r>
    </w:p>
    <w:p>
      <w:pPr>
        <w:snapToGrid w:val="0"/>
        <w:ind w:firstLine="420" w:firstLineChars="200"/>
        <w:rPr>
          <w:rFonts w:ascii="宋体" w:eastAsia="宋体" w:hAnsi="宋体" w:cs="宋体" w:hint="eastAsia"/>
          <w:color w:val="000000"/>
          <w:sz w:val="21"/>
          <w:szCs w:val="21"/>
        </w:rPr>
      </w:pPr>
      <w:r>
        <w:rPr>
          <w:rFonts w:ascii="宋体" w:eastAsia="宋体" w:hAnsi="宋体" w:cs="宋体" w:hint="eastAsia"/>
          <w:color w:val="000000"/>
          <w:sz w:val="21"/>
          <w:szCs w:val="21"/>
        </w:rPr>
        <w:t>3、《招标文件》。</w:t>
      </w:r>
    </w:p>
    <w:p>
      <w:pPr>
        <w:snapToGrid w:val="0"/>
        <w:ind w:firstLine="420" w:firstLineChars="200"/>
        <w:rPr>
          <w:rFonts w:ascii="宋体" w:eastAsia="宋体" w:hAnsi="宋体" w:cs="宋体" w:hint="eastAsia"/>
          <w:color w:val="000000"/>
          <w:sz w:val="21"/>
          <w:szCs w:val="21"/>
        </w:rPr>
      </w:pP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甲方：                                    乙方：</w:t>
      </w: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地址：                                    地址：</w:t>
      </w: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法定代表人：                              法定代表人：</w:t>
      </w: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委托代理人：                              委托代理人：</w:t>
      </w: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电话：                                    电话：</w:t>
      </w:r>
    </w:p>
    <w:p>
      <w:pPr>
        <w:snapToGrid w:val="0"/>
        <w:ind w:firstLine="200"/>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    开户银行：                                开户银行：</w:t>
      </w:r>
    </w:p>
    <w:p>
      <w:pPr>
        <w:snapToGrid w:val="0"/>
        <w:ind w:firstLine="620" w:firstLineChars="295"/>
        <w:rPr>
          <w:rFonts w:ascii="宋体" w:eastAsia="宋体" w:hAnsi="宋体" w:cs="宋体" w:hint="eastAsia"/>
          <w:color w:val="000000"/>
          <w:sz w:val="21"/>
          <w:szCs w:val="21"/>
        </w:rPr>
      </w:pPr>
      <w:r>
        <w:rPr>
          <w:rFonts w:ascii="宋体" w:eastAsia="宋体" w:hAnsi="宋体" w:cs="宋体" w:hint="eastAsia"/>
          <w:color w:val="000000"/>
          <w:sz w:val="21"/>
          <w:szCs w:val="21"/>
        </w:rPr>
        <w:t>帐号：                                    帐号：</w:t>
      </w:r>
    </w:p>
    <w:p>
      <w:pPr>
        <w:spacing w:line="360" w:lineRule="auto"/>
        <w:ind w:firstLine="630" w:firstLineChars="300"/>
        <w:rPr>
          <w:rFonts w:ascii="宋体" w:eastAsia="宋体" w:hAnsi="宋体" w:cs="宋体" w:hint="eastAsia"/>
          <w:color w:val="000000"/>
          <w:sz w:val="21"/>
          <w:szCs w:val="21"/>
        </w:rPr>
      </w:pPr>
      <w:r>
        <w:rPr>
          <w:rFonts w:ascii="宋体" w:eastAsia="宋体" w:hAnsi="宋体" w:cs="宋体" w:hint="eastAsia"/>
          <w:color w:val="000000"/>
          <w:sz w:val="21"/>
          <w:szCs w:val="21"/>
        </w:rPr>
        <w:t>签约地址：                                签约时间：     年   月   日</w:t>
      </w:r>
    </w:p>
    <w:p>
      <w:pPr>
        <w:spacing w:line="360" w:lineRule="auto"/>
        <w:ind w:left="410" w:firstLine="420" w:leftChars="171" w:firstLineChars="200"/>
        <w:rPr>
          <w:rFonts w:ascii="宋体" w:eastAsia="宋体" w:hAnsi="宋体" w:cs="宋体" w:hint="eastAsia"/>
          <w:color w:val="000000"/>
          <w:sz w:val="21"/>
          <w:szCs w:val="21"/>
        </w:rPr>
      </w:pPr>
    </w:p>
    <w:p>
      <w:pPr>
        <w:widowControl w:val="0"/>
        <w:spacing w:line="360" w:lineRule="auto"/>
        <w:jc w:val="both"/>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注：本合同样本仅供参考，具体条款内容由采购单位和中标单位协商确定。</w:t>
      </w:r>
    </w:p>
    <w:p>
      <w:pPr>
        <w:widowControl/>
        <w:kinsoku/>
        <w:overflowPunct/>
        <w:topLinePunct w:val="0"/>
        <w:bidi w:val="0"/>
        <w:spacing w:beforeAutospacing="0" w:afterAutospacing="0" w:line="360" w:lineRule="auto"/>
        <w:ind w:left="0" w:right="0" w:firstLine="0" w:leftChars="0" w:firstLineChars="0"/>
        <w:jc w:val="left"/>
        <w:rPr>
          <w:rFonts w:ascii="宋体" w:eastAsia="宋体" w:hAnsi="宋体" w:cs="宋体" w:hint="eastAsia"/>
          <w:b/>
          <w:bCs/>
          <w:color w:val="0000FF"/>
          <w:kern w:val="44"/>
          <w:sz w:val="21"/>
          <w:szCs w:val="21"/>
          <w:lang w:eastAsia="zh-CN"/>
        </w:rPr>
      </w:pPr>
    </w:p>
    <w:p>
      <w:pPr>
        <w:widowControl w:val="0"/>
        <w:spacing w:line="360" w:lineRule="auto"/>
        <w:jc w:val="both"/>
        <w:rPr>
          <w:rFonts w:ascii="宋体" w:eastAsia="宋体" w:hAnsi="宋体"/>
          <w:kern w:val="2"/>
          <w:sz w:val="21"/>
          <w:szCs w:val="21"/>
          <w:lang w:eastAsia="zh-CN"/>
        </w:rPr>
      </w:pPr>
    </w:p>
    <w:p>
      <w:pPr>
        <w:widowControl/>
        <w:jc w:val="center"/>
        <w:rPr>
          <w:rFonts w:ascii="宋体" w:eastAsia="黑体" w:hAnsi="宋体"/>
          <w:bCs/>
          <w:kern w:val="44"/>
          <w:sz w:val="28"/>
          <w:szCs w:val="44"/>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widowControl w:val="0"/>
        <w:snapToGrid w:val="0"/>
        <w:spacing w:line="300" w:lineRule="auto"/>
        <w:jc w:val="center"/>
        <w:rPr>
          <w:rFonts w:ascii="仿宋" w:eastAsia="仿宋" w:hAnsi="仿宋"/>
          <w:kern w:val="2"/>
          <w:sz w:val="28"/>
          <w:szCs w:val="28"/>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8" w:name="_Toc1312"/>
      <w:r>
        <w:rPr>
          <w:rFonts w:ascii="Arial" w:eastAsia="宋体" w:hAnsi="Arial" w:hint="eastAsia"/>
          <w:b/>
          <w:kern w:val="2"/>
          <w:sz w:val="32"/>
          <w:lang w:eastAsia="zh-CN"/>
        </w:rPr>
        <w:t>第一章 总则</w:t>
      </w:r>
      <w:bookmarkEnd w:id="28"/>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 通用条款说明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 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 招标文件分为第一册“专用条款”和第二册“通用条款”。</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 ”是对本次采购项目的具体要求，包含招标公告、对通用条款的补充内容及其他 关键信息、用户需求书、投标文件格式及附件、合同条款及格式等内容。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2．招标说明</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本项目参照《深圳经济特区政府采购条例》、《深圳经济特区政府采购条例实施细则》及政府采购其他法律法规，通过公开招标方式确定中标供应商。</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3．定义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招标文件中下列术语应解释为：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3.1“采购人”：指利用财政性资金依法进行政府采购的国家机关、事业单位、团体组织；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 ”是指</w:t>
      </w:r>
      <w:r>
        <w:rPr>
          <w:rFonts w:ascii="Calibri" w:eastAsia="宋体" w:hAnsi="Calibri" w:cstheme="minorBidi"/>
          <w:spacing w:val="8"/>
          <w:kern w:val="2"/>
          <w:sz w:val="21"/>
          <w:szCs w:val="22"/>
          <w:lang w:eastAsia="zh-CN"/>
        </w:rPr>
        <w:t>根据采购人的委托，代理采购事宜的机构</w:t>
      </w:r>
      <w:r>
        <w:rPr>
          <w:rFonts w:ascii="宋体" w:eastAsia="宋体" w:hAnsi="宋体" w:cs="宋体" w:hint="eastAsia"/>
          <w:kern w:val="2"/>
          <w:sz w:val="21"/>
          <w:szCs w:val="21"/>
          <w:lang w:eastAsia="zh-CN"/>
        </w:rPr>
        <w:t>；本文件所述的“采购代理机构”指深圳市千里招标代理有限公司；</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 ”，即供应商，指参加投标竞争并愿意按照招标文件要求向采购人提供货物、工程 或者服务的依法成立的法人、其他组织或者自然人；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 ”是依据《深圳经济特区政府采购条例》、《深圳经济特区政府采购条例实施 细则》等有关规定组建的专门负责本次招标其评审工作的临时性机构；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3.5“日期”指公历日；</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 ”指利用深圳市自行采购系统网站提供的深圳市自行采购系统投标文件制作专用软件（以下简称：投标文件制作软件）制作并加密的 投 标 文 件 , 适 用 于 网 上 投 标 ； （投 标 文 件 制 作 软 件 可 从 “ 下 载 地 址 ： https://zxcg.szggzy.com/home/index.html 深圳市自行采购系统投标文件编制工具”下载）</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 ”指通过深圳政府采购自行采购系统网站上传电子投标文件；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 招标文件中的标题或题名仅起引导作用，而不应视为对招标文件内容的理解和解释。</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 政府采购供应商责任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 欢迎诚信、有实力和有社会责任心的供应商参与政府采购事业。</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 投标人应当遵循公平竞争的原则，不得恶意串通，不得妨碍其他投标人的竞争行为，不得 损害采购人或者其他投标人的合法权益。如违反上述要求，经核实后，供应商的投标无效。</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5．投标人参加政府采购的条件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 投标人应在投标前到深圳交易集团有限公司政府采购业务分公司进行注册并办理电子密钥。《供应商注册及信息变更指引》详见 www.szggzy.com 网站“交易服务指南-政府采购”。</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 投标人资格要求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 ”（即申请人的资格要求）的内容。</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 联合体投标</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 身份共同投标时，应符合以下原则：</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（1）投标联合体各方参加政府采购活动应当具备下列条件：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1、具有独立承担民事责任的能力；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2、有良好的商业信誉和健全的财务会计制度；</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3、具有履行合同所必需的设备和专业技术能力；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4、有依法缴纳税收和社会保障资金的良好记录；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5、参加政府采购活动前三年内，在经营活动中没有重大违法记录；</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6、法律、行政法规规定的其他条件。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（2）在投标截止前，投标联合体各方均应注册成采购代理机构供应商；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（3）联合体中有同类资质的供应商按照联合体分工承担相同工作的，应当按照资质等级较低的 供应商确定资质等级；</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（4）是否允许联合体参加投标，应当由采购人和采购代理机构根据项目的实际情况和潜在供应 商的数量自主决定，如果决定接受联合体投标则应当在招标公告中明示；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（5）投标人的投标文件及中标后签署的合同协议对联合体各方均具有法律约束力；</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（6）联合体各方应当签订联合体投标协议，明确约定各方拟承担的工作和责任，并将该协议随 投标文件一并递交给采购代理机构；</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（7）联合体中标后，联合体各方应当共同与采购人签订合同，就中标项目向采购人承担连带责 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（9）本通用条款中“投标人”一词亦指联合体各方，专用条款另有规定或说明的除外。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6．政策导向</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6.1  政府采购支持本国产品、支持中小企业、监狱企业和残疾人福利性单位发展， 支持乡村产业振兴，支持创新、节能减排、绿色环保等。</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6.2  本项目落实深圳市政府采购供应商诚信管理政策要求。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6.3  本项目支持投标人性别平等的相关政策。</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7. 本项目若涉及采购货物，则合格的货物及相应服务应满足以下要求：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7.1  必须是全新、未使用过的原装合格正品（包括零部件），如安装或配置了软件的，须为正版软件。</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7.2  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7.4  投标人应保证，其所提供的货物通过合法正规渠道供货，在提供给采购人前具有完全的所有权，采购人在中华人民共和国使用该货物或货物的任何一部分时，不会产生因第三方提出的包括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7.5  投标人应保证，其所提供的货物符合国家强制性标准要求；符合相关行业标准（如具备行 政主管部门颁发的资质证书或国家质量监督部门的产品《检验报告》等）。设备到货验收时，还必 须提供设备的产品合格证、质量保证文件。若中标后，除非另有约定，投标人必须按合同规定完成 设备的安装，并达到验收标准。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7.6  工期要求：投标人在投标时对其所投项目应提交交货进度、交货计划等，在合同规定的时 间内完成项目实施工作。</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7.7  投标人必须承担的设备运输、安装调试、验收检测和提供设备操作说明书、图纸等其他相关及类似的义务。</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8．投标费用</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9．踏勘现场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 如有需要（详见专用条款），采购人或采购代理机构将组织投标人对项目现场及周围环境 进行踏勘，以便投标人获取有关编制投标文件和签署合同所需的资料。踏勘现场所发生的费用由投 标人自行承担。投标人应按招标文件所约定的时间、地点踏勘现场。</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9.2 投标人及其人员经过采购人的允许，可以进入采购人的项目现场踏勘。若招标文件要求投 标人于统一时间地点踏勘现场的，投标人应当按时前往。</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9.3 采购人应当通过采购代理机构向投标人提供有关现场的书面资料和数据。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9.4 任何人或任何组织在踏勘现场时向投标人提供的任何书面资料或口头承诺，未经采购代理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9.5 未参与踏勘现场不作为否定投标人资格的理由。</w:t>
      </w:r>
    </w:p>
    <w:p>
      <w:pPr>
        <w:widowControl/>
        <w:wordWrap w:val="0"/>
        <w:autoSpaceDE w:val="0"/>
        <w:autoSpaceDN w:val="0"/>
        <w:spacing w:line="400" w:lineRule="exact"/>
        <w:ind w:right="808"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10．标前会议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10.1 如采购人或采购代理机构认为有必要组织标前会议，投标人应按照招标文件规定的时间或 采购代理机构另行书面通知（包括采购代理机构网站发布方式，如更正公告等）的时间和地点，参与标前会议。</w:t>
      </w:r>
    </w:p>
    <w:p>
      <w:pPr>
        <w:widowControl/>
        <w:wordWrap w:val="0"/>
        <w:autoSpaceDE w:val="0"/>
        <w:autoSpaceDN w:val="0"/>
        <w:spacing w:line="360" w:lineRule="auto"/>
        <w:ind w:right="808"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10.2 任何人或任何组织在标前会议时向投标人提供的任何书面资料或口头承诺，未经采购代理 机构在网上发布或书面通知，均作无效处理。</w:t>
      </w:r>
    </w:p>
    <w:p>
      <w:pPr>
        <w:widowControl/>
        <w:wordWrap w:val="0"/>
        <w:autoSpaceDE w:val="0"/>
        <w:autoSpaceDN w:val="0"/>
        <w:spacing w:line="360" w:lineRule="auto"/>
        <w:ind w:right="808" w:firstLine="420" w:firstLineChars="200"/>
        <w:jc w:val="both"/>
        <w:rPr>
          <w:rFonts w:eastAsia="宋体"/>
          <w:b/>
          <w:kern w:val="2"/>
          <w:lang w:eastAsia="zh-CN"/>
        </w:rPr>
      </w:pPr>
      <w:r>
        <w:rPr>
          <w:rFonts w:ascii="宋体" w:eastAsia="宋体" w:hAnsi="宋体" w:cs="宋体" w:hint="eastAsia"/>
          <w:kern w:val="2"/>
          <w:sz w:val="21"/>
          <w:szCs w:val="21"/>
          <w:lang w:eastAsia="zh-CN"/>
        </w:rPr>
        <w:t>10.3 未参与标前会议不作为否定投标人资格的理由。</w:t>
      </w:r>
      <w:r>
        <w:rPr>
          <w:rFonts w:eastAsia="宋体" w:hint="eastAsia"/>
          <w:b/>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29" w:name="_Toc696"/>
      <w:r>
        <w:rPr>
          <w:rFonts w:ascii="Arial" w:eastAsia="宋体" w:hAnsi="Arial" w:hint="eastAsia"/>
          <w:b/>
          <w:kern w:val="2"/>
          <w:sz w:val="32"/>
          <w:lang w:eastAsia="zh-CN"/>
        </w:rPr>
        <w:t xml:space="preserve">第二章 </w:t>
      </w:r>
      <w:bookmarkStart w:id="30" w:name="_Toc25500"/>
      <w:bookmarkStart w:id="31" w:name="_Toc16272"/>
      <w:bookmarkStart w:id="32" w:name="_Toc4237"/>
      <w:r>
        <w:rPr>
          <w:rFonts w:ascii="Arial" w:eastAsia="宋体" w:hAnsi="Arial" w:hint="eastAsia"/>
          <w:b/>
          <w:kern w:val="2"/>
          <w:sz w:val="32"/>
          <w:lang w:eastAsia="zh-CN"/>
        </w:rPr>
        <w:t>招标文件</w:t>
      </w:r>
      <w:bookmarkEnd w:id="29"/>
      <w:bookmarkEnd w:id="30"/>
      <w:bookmarkEnd w:id="31"/>
      <w:bookmarkEnd w:id="3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3"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第一册  专用条款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招标公告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对通用条款的补充内容及其他关键信息</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用户需求书</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第四章 投标文件格式及附件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合同条款及格式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第二册  通用条款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第一章  总则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第二章  招标文件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第三章  投标文件的编制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第四章  投标文件的递交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第五章  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第六章  评审要求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第七章  评审程序及评审方法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第八章  定标及公示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第九章  公开招标失败的后续处理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第十章  合同的授予与备案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17279"/>
      <w:bookmarkStart w:id="35" w:name="_Toc13741"/>
      <w:bookmarkStart w:id="36" w:name="_Toc18814"/>
      <w:bookmarkStart w:id="37" w:name="_Toc31413"/>
      <w:r>
        <w:rPr>
          <w:rFonts w:ascii="Arial" w:eastAsia="宋体" w:hAnsi="Arial" w:hint="eastAsia"/>
          <w:b/>
          <w:kern w:val="2"/>
          <w:sz w:val="32"/>
          <w:lang w:eastAsia="zh-CN"/>
        </w:rPr>
        <w:t>第三章 投标文件的编制</w:t>
      </w:r>
      <w:bookmarkEnd w:id="34"/>
      <w:bookmarkEnd w:id="35"/>
      <w:bookmarkEnd w:id="36"/>
      <w:bookmarkEnd w:id="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38"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 除技术规范另有规定外，投标文件使用的度量单位，均采用中华人民共和国法定计量单位。</w:t>
      </w:r>
    </w:p>
    <w:bookmarkEnd w:id="3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39"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3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0"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 xml:space="preserve">.1 </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 xml:space="preserve">.2 </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1"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2"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2"/>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1"/>
    <w:p>
      <w:pPr>
        <w:widowControl/>
        <w:wordWrap w:val="0"/>
        <w:autoSpaceDE w:val="0"/>
        <w:autoSpaceDN w:val="0"/>
        <w:spacing w:line="400" w:lineRule="exact"/>
        <w:ind w:right="808" w:firstLine="420" w:firstLineChars="200"/>
        <w:jc w:val="both"/>
        <w:rPr>
          <w:rFonts w:eastAsia="宋体"/>
          <w:kern w:val="2"/>
          <w:sz w:val="21"/>
          <w:lang w:eastAsia="zh-CN"/>
        </w:rPr>
      </w:pPr>
      <w:bookmarkStart w:id="43" w:name="_Hlk72402214"/>
      <w:r>
        <w:rPr>
          <w:rFonts w:eastAsia="宋体" w:hint="eastAsia"/>
          <w:kern w:val="2"/>
          <w:sz w:val="21"/>
          <w:lang w:eastAsia="zh-CN"/>
        </w:rPr>
        <w:t>20.1 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 xml:space="preserve"> 中标供应商的投标文件有效期，截止于完成本招标文件规定的全部项目内容，并通过竣工验收及保修期结束。</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4" w:name="_Hlk72402325"/>
      <w:r>
        <w:rPr>
          <w:rFonts w:eastAsia="宋体" w:hint="eastAsia"/>
          <w:kern w:val="2"/>
          <w:sz w:val="21"/>
          <w:lang w:eastAsia="zh-CN"/>
        </w:rPr>
        <w:t xml:space="preserve">关于投标保证金 </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eastAsia="宋体" w:hint="eastAsia"/>
          <w:kern w:val="2"/>
          <w:sz w:val="21"/>
          <w:lang w:eastAsia="zh-CN"/>
        </w:rPr>
        <w:t>21.1 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 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5"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 xml:space="preserve"> 各类资格（资质）文件提供扫描件，专用条款另有要求的除外。</w:t>
      </w:r>
      <w:bookmarkEnd w:id="45"/>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6" w:name="_Toc18062"/>
      <w:bookmarkStart w:id="47" w:name="_Toc26761"/>
      <w:bookmarkStart w:id="48" w:name="_Toc28552"/>
      <w:bookmarkStart w:id="49" w:name="_Toc21427"/>
      <w:r>
        <w:rPr>
          <w:rFonts w:ascii="Arial" w:eastAsia="宋体" w:hAnsi="Arial" w:hint="eastAsia"/>
          <w:b/>
          <w:kern w:val="2"/>
          <w:sz w:val="32"/>
          <w:lang w:eastAsia="zh-CN"/>
        </w:rPr>
        <w:t xml:space="preserve">第四章 </w:t>
      </w:r>
      <w:bookmarkStart w:id="50" w:name="_Toc30105"/>
      <w:r>
        <w:rPr>
          <w:rFonts w:ascii="Arial" w:eastAsia="宋体" w:hAnsi="Arial" w:hint="eastAsia"/>
          <w:b/>
          <w:kern w:val="2"/>
          <w:sz w:val="32"/>
          <w:lang w:eastAsia="zh-CN"/>
        </w:rPr>
        <w:t>投标文件的</w:t>
      </w:r>
      <w:bookmarkEnd w:id="46"/>
      <w:r>
        <w:rPr>
          <w:rFonts w:ascii="Arial" w:eastAsia="宋体" w:hAnsi="Arial" w:hint="eastAsia"/>
          <w:b/>
          <w:kern w:val="2"/>
          <w:sz w:val="32"/>
          <w:lang w:eastAsia="zh-CN"/>
        </w:rPr>
        <w:t>递交</w:t>
      </w:r>
      <w:bookmarkEnd w:id="47"/>
      <w:bookmarkEnd w:id="48"/>
      <w:bookmarkEnd w:id="49"/>
      <w:bookmarkEnd w:id="50"/>
    </w:p>
    <w:p>
      <w:pPr>
        <w:widowControl/>
        <w:wordWrap w:val="0"/>
        <w:autoSpaceDE w:val="0"/>
        <w:autoSpaceDN w:val="0"/>
        <w:spacing w:line="400" w:lineRule="exact"/>
        <w:ind w:right="808" w:firstLine="420" w:firstLineChars="200"/>
        <w:jc w:val="both"/>
        <w:rPr>
          <w:rFonts w:eastAsia="宋体"/>
          <w:kern w:val="2"/>
          <w:sz w:val="21"/>
          <w:lang w:eastAsia="zh-CN"/>
        </w:rPr>
      </w:pPr>
      <w:bookmarkStart w:id="51"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eastAsia="宋体" w:hint="eastAsia"/>
          <w:b/>
          <w:bCs/>
          <w:kern w:val="2"/>
          <w:sz w:val="21"/>
          <w:szCs w:val="21"/>
          <w:lang w:eastAsia="zh-CN"/>
        </w:rPr>
        <w:t>深圳市千里招标代理有限公司服务大厅协助上传，但上传过程中投标截止时间到达仍无法上传成功的，由投标人自行负责。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 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 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2"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2"/>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3" w:name="第五章1"/>
      <w:bookmarkEnd w:id="53"/>
      <w:bookmarkStart w:id="54" w:name="_Toc73518144"/>
      <w:bookmarkStart w:id="55" w:name="_Toc73517666"/>
      <w:bookmarkStart w:id="56" w:name="_Toc2041"/>
      <w:bookmarkStart w:id="57" w:name="_Toc100052391"/>
      <w:bookmarkStart w:id="58" w:name="_Toc13806"/>
      <w:bookmarkStart w:id="59" w:name="_Toc1658"/>
      <w:bookmarkStart w:id="60" w:name="_Toc101074881"/>
      <w:bookmarkStart w:id="61" w:name="_Toc14713"/>
      <w:r>
        <w:rPr>
          <w:rFonts w:ascii="Arial" w:eastAsia="宋体" w:hAnsi="Arial" w:hint="eastAsia"/>
          <w:b/>
          <w:kern w:val="2"/>
          <w:sz w:val="32"/>
          <w:lang w:eastAsia="zh-CN"/>
        </w:rPr>
        <w:t xml:space="preserve">第五章 </w:t>
      </w:r>
      <w:bookmarkStart w:id="62" w:name="_Toc4434"/>
      <w:r>
        <w:rPr>
          <w:rFonts w:ascii="Arial" w:eastAsia="宋体" w:hAnsi="Arial" w:hint="eastAsia"/>
          <w:b/>
          <w:kern w:val="2"/>
          <w:sz w:val="32"/>
          <w:lang w:eastAsia="zh-CN"/>
        </w:rPr>
        <w:t>开标</w:t>
      </w:r>
      <w:bookmarkEnd w:id="54"/>
      <w:bookmarkEnd w:id="55"/>
      <w:bookmarkEnd w:id="56"/>
      <w:bookmarkEnd w:id="57"/>
      <w:bookmarkEnd w:id="58"/>
      <w:bookmarkEnd w:id="59"/>
      <w:bookmarkEnd w:id="60"/>
      <w:bookmarkEnd w:id="61"/>
      <w:bookmarkEnd w:id="62"/>
    </w:p>
    <w:p>
      <w:pPr>
        <w:widowControl/>
        <w:wordWrap w:val="0"/>
        <w:autoSpaceDE w:val="0"/>
        <w:autoSpaceDN w:val="0"/>
        <w:spacing w:line="400" w:lineRule="exact"/>
        <w:ind w:right="808" w:firstLine="420" w:firstLineChars="200"/>
        <w:jc w:val="both"/>
        <w:rPr>
          <w:rFonts w:eastAsia="宋体"/>
          <w:kern w:val="2"/>
          <w:sz w:val="21"/>
          <w:lang w:eastAsia="zh-CN"/>
        </w:rPr>
      </w:pPr>
      <w:bookmarkStart w:id="63" w:name="_Toc73517668"/>
      <w:bookmarkStart w:id="64" w:name="_Toc73518146"/>
      <w:bookmarkStart w:id="65" w:name="_Toc101074882"/>
      <w:bookmarkStart w:id="66"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3"/>
    <w:bookmarkEnd w:id="64"/>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67" w:name="第六章1"/>
      <w:bookmarkEnd w:id="67"/>
      <w:bookmarkStart w:id="68" w:name="_Toc7319"/>
      <w:bookmarkStart w:id="69" w:name="_Toc29197"/>
      <w:bookmarkStart w:id="70" w:name="_Toc27869"/>
      <w:bookmarkStart w:id="71" w:name="_Toc20179"/>
      <w:r>
        <w:rPr>
          <w:rFonts w:ascii="Arial" w:eastAsia="宋体" w:hAnsi="Arial" w:hint="eastAsia"/>
          <w:b/>
          <w:kern w:val="2"/>
          <w:sz w:val="32"/>
          <w:lang w:eastAsia="zh-CN"/>
        </w:rPr>
        <w:t xml:space="preserve">第六章 </w:t>
      </w:r>
      <w:bookmarkStart w:id="72" w:name="_Toc29225"/>
      <w:r>
        <w:rPr>
          <w:rFonts w:ascii="Arial" w:eastAsia="宋体" w:hAnsi="Arial" w:hint="eastAsia"/>
          <w:b/>
          <w:kern w:val="2"/>
          <w:sz w:val="32"/>
          <w:lang w:eastAsia="zh-CN"/>
        </w:rPr>
        <w:t>评审要求</w:t>
      </w:r>
      <w:bookmarkEnd w:id="65"/>
      <w:bookmarkEnd w:id="66"/>
      <w:bookmarkEnd w:id="68"/>
      <w:bookmarkEnd w:id="69"/>
      <w:bookmarkEnd w:id="70"/>
      <w:bookmarkEnd w:id="71"/>
      <w:bookmarkEnd w:id="72"/>
    </w:p>
    <w:p>
      <w:pPr>
        <w:widowControl/>
        <w:wordWrap w:val="0"/>
        <w:autoSpaceDE w:val="0"/>
        <w:autoSpaceDN w:val="0"/>
        <w:spacing w:line="400" w:lineRule="exact"/>
        <w:ind w:right="808" w:firstLine="420" w:firstLineChars="200"/>
        <w:jc w:val="both"/>
        <w:rPr>
          <w:rFonts w:eastAsia="宋体"/>
          <w:kern w:val="2"/>
          <w:sz w:val="21"/>
          <w:lang w:eastAsia="zh-CN"/>
        </w:rPr>
      </w:pPr>
      <w:bookmarkStart w:id="73" w:name="第七章1"/>
      <w:bookmarkEnd w:id="73"/>
      <w:bookmarkStart w:id="74" w:name="_Toc101074883"/>
      <w:bookmarkStart w:id="75" w:name="_Toc1296"/>
      <w:bookmarkStart w:id="76" w:name="_Toc19125"/>
      <w:bookmarkStart w:id="77" w:name="_Toc20125"/>
      <w:bookmarkStart w:id="78" w:name="_Toc100052397"/>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79"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79"/>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 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0" w:name="_Toc18761"/>
      <w:r>
        <w:rPr>
          <w:rFonts w:ascii="Arial" w:eastAsia="宋体" w:hAnsi="Arial" w:hint="eastAsia"/>
          <w:b/>
          <w:kern w:val="2"/>
          <w:sz w:val="32"/>
          <w:lang w:eastAsia="zh-CN"/>
        </w:rPr>
        <w:t xml:space="preserve">第七章 </w:t>
      </w:r>
      <w:bookmarkStart w:id="81" w:name="_Toc26636"/>
      <w:r>
        <w:rPr>
          <w:rFonts w:ascii="Arial" w:eastAsia="宋体" w:hAnsi="Arial" w:hint="eastAsia"/>
          <w:b/>
          <w:kern w:val="2"/>
          <w:sz w:val="32"/>
          <w:lang w:eastAsia="zh-CN"/>
        </w:rPr>
        <w:t>评审程序</w:t>
      </w:r>
      <w:bookmarkStart w:id="82" w:name="_Toc73517671"/>
      <w:bookmarkStart w:id="83" w:name="_Toc73518149"/>
      <w:r>
        <w:rPr>
          <w:rFonts w:ascii="Arial" w:eastAsia="宋体" w:hAnsi="Arial" w:hint="eastAsia"/>
          <w:b/>
          <w:kern w:val="2"/>
          <w:sz w:val="32"/>
          <w:lang w:eastAsia="zh-CN"/>
        </w:rPr>
        <w:t>及评审方法</w:t>
      </w:r>
      <w:bookmarkEnd w:id="74"/>
      <w:bookmarkEnd w:id="75"/>
      <w:bookmarkEnd w:id="76"/>
      <w:bookmarkEnd w:id="77"/>
      <w:bookmarkEnd w:id="78"/>
      <w:bookmarkEnd w:id="80"/>
      <w:bookmarkEnd w:id="81"/>
    </w:p>
    <w:bookmarkEnd w:id="82"/>
    <w:bookmarkEnd w:id="8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 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 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4"/>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5" w:name="_Toc73521581"/>
      <w:bookmarkStart w:id="86" w:name="_Toc100052400"/>
      <w:bookmarkStart w:id="87" w:name="_Toc73521669"/>
      <w:bookmarkStart w:id="88" w:name="_Toc73517673"/>
      <w:bookmarkStart w:id="89" w:name="_Toc73518151"/>
      <w:r>
        <w:rPr>
          <w:rFonts w:eastAsia="宋体" w:hint="eastAsia"/>
          <w:kern w:val="2"/>
          <w:sz w:val="21"/>
          <w:lang w:eastAsia="zh-CN"/>
        </w:rPr>
        <w:t>34．错误的修正</w:t>
      </w:r>
      <w:bookmarkEnd w:id="85"/>
      <w:bookmarkEnd w:id="86"/>
      <w:bookmarkEnd w:id="87"/>
      <w:bookmarkEnd w:id="88"/>
      <w:bookmarkEnd w:id="8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 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0"/>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 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1" w:name="第八章1"/>
      <w:bookmarkEnd w:id="91"/>
      <w:bookmarkStart w:id="92" w:name="_Toc30568"/>
      <w:bookmarkStart w:id="93" w:name="_Toc13341"/>
      <w:bookmarkStart w:id="94" w:name="_Toc1513"/>
      <w:bookmarkStart w:id="95" w:name="_Toc26094"/>
      <w:r>
        <w:rPr>
          <w:rFonts w:ascii="Arial" w:eastAsia="宋体" w:hAnsi="Arial" w:hint="eastAsia"/>
          <w:b/>
          <w:kern w:val="2"/>
          <w:sz w:val="32"/>
          <w:lang w:eastAsia="zh-CN"/>
        </w:rPr>
        <w:t xml:space="preserve">第八章 </w:t>
      </w:r>
      <w:bookmarkStart w:id="96" w:name="_Toc24537"/>
      <w:r>
        <w:rPr>
          <w:rFonts w:ascii="Arial" w:eastAsia="宋体" w:hAnsi="Arial" w:hint="eastAsia"/>
          <w:b/>
          <w:kern w:val="2"/>
          <w:sz w:val="32"/>
          <w:lang w:eastAsia="zh-CN"/>
        </w:rPr>
        <w:t>定标及公示</w:t>
      </w:r>
      <w:bookmarkEnd w:id="92"/>
      <w:bookmarkEnd w:id="93"/>
      <w:bookmarkEnd w:id="94"/>
      <w:bookmarkEnd w:id="95"/>
      <w:bookmarkEnd w:id="96"/>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7"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 xml:space="preserve">38.2.2 </w:t>
      </w:r>
      <w:bookmarkStart w:id="98"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99"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98"/>
      <w:bookmarkEnd w:id="99"/>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9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0"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0"/>
      <w:bookmarkStart w:id="101"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 监督电话：0755-21070507。</w:t>
      </w:r>
      <w:r>
        <w:rPr>
          <w:rFonts w:eastAsia="宋体" w:hint="eastAsia"/>
          <w:kern w:val="2"/>
          <w:sz w:val="21"/>
          <w:lang w:eastAsia="zh-CN"/>
        </w:rPr>
        <w:t>若在公示期内未提出质疑，则视为认同该评审结果。</w:t>
      </w:r>
    </w:p>
    <w:bookmarkEnd w:id="101"/>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2"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3" w:name="_Hlk71407340"/>
      <w:r>
        <w:rPr>
          <w:rFonts w:eastAsia="宋体" w:hint="eastAsia"/>
          <w:kern w:val="2"/>
          <w:sz w:val="21"/>
          <w:lang w:eastAsia="zh-CN"/>
        </w:rPr>
        <w:t>41.3因质疑投诉或其它原因导致项目结果变更或采购终止的，采购代理机构有权吊销中标通知书。</w:t>
      </w:r>
    </w:p>
    <w:bookmarkEnd w:id="103"/>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4" w:name="第九章1"/>
      <w:bookmarkEnd w:id="104"/>
      <w:bookmarkStart w:id="105" w:name="_Toc17412"/>
      <w:bookmarkStart w:id="106" w:name="_Toc11736"/>
      <w:bookmarkStart w:id="107" w:name="_Toc25733"/>
      <w:bookmarkStart w:id="108" w:name="_Toc20277"/>
      <w:bookmarkStart w:id="109" w:name="_Toc24474"/>
      <w:bookmarkStart w:id="110" w:name="_Toc101074884"/>
      <w:bookmarkStart w:id="111" w:name="_Toc73517678"/>
      <w:bookmarkStart w:id="112" w:name="_Toc100052407"/>
      <w:r>
        <w:rPr>
          <w:rFonts w:ascii="Arial" w:eastAsia="宋体" w:hAnsi="Arial" w:hint="eastAsia"/>
          <w:b/>
          <w:kern w:val="2"/>
          <w:sz w:val="32"/>
          <w:lang w:eastAsia="zh-CN"/>
        </w:rPr>
        <w:t>第九章 公开采购失败的后续处理</w:t>
      </w:r>
      <w:bookmarkEnd w:id="105"/>
      <w:bookmarkEnd w:id="106"/>
      <w:bookmarkEnd w:id="107"/>
      <w:bookmarkEnd w:id="108"/>
      <w:bookmarkEnd w:id="10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0"/>
    <w:bookmarkEnd w:id="111"/>
    <w:bookmarkEnd w:id="112"/>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3" w:name="第十章1"/>
      <w:bookmarkEnd w:id="113"/>
      <w:bookmarkStart w:id="114" w:name="_Toc9122"/>
      <w:bookmarkStart w:id="115" w:name="_Toc13677"/>
      <w:bookmarkStart w:id="116" w:name="_Toc26432"/>
      <w:bookmarkStart w:id="117" w:name="_Toc26814"/>
      <w:bookmarkStart w:id="118" w:name="_Toc27904"/>
      <w:r>
        <w:rPr>
          <w:rFonts w:ascii="Arial" w:eastAsia="宋体" w:hAnsi="Arial" w:hint="eastAsia"/>
          <w:b/>
          <w:kern w:val="2"/>
          <w:sz w:val="32"/>
          <w:lang w:eastAsia="zh-CN"/>
        </w:rPr>
        <w:t>第十章 合同的授予与备案</w:t>
      </w:r>
      <w:bookmarkEnd w:id="114"/>
      <w:bookmarkEnd w:id="115"/>
      <w:bookmarkEnd w:id="116"/>
      <w:bookmarkEnd w:id="117"/>
      <w:bookmarkEnd w:id="118"/>
    </w:p>
    <w:p>
      <w:pPr>
        <w:widowControl/>
        <w:wordWrap w:val="0"/>
        <w:autoSpaceDE w:val="0"/>
        <w:autoSpaceDN w:val="0"/>
        <w:spacing w:line="400" w:lineRule="exact"/>
        <w:ind w:right="808" w:firstLine="420" w:firstLineChars="200"/>
        <w:jc w:val="both"/>
        <w:rPr>
          <w:rFonts w:eastAsia="宋体"/>
          <w:kern w:val="2"/>
          <w:sz w:val="21"/>
          <w:lang w:eastAsia="zh-CN"/>
        </w:rPr>
      </w:pPr>
      <w:bookmarkStart w:id="119" w:name="_33._合同授予标准"/>
      <w:bookmarkEnd w:id="119"/>
      <w:bookmarkStart w:id="120" w:name="_Toc73521674"/>
      <w:bookmarkStart w:id="121" w:name="_Toc73521586"/>
      <w:bookmarkStart w:id="122" w:name="_Toc73517679"/>
      <w:bookmarkStart w:id="123" w:name="_Toc100052408"/>
      <w:bookmarkStart w:id="124" w:name="_Toc73518157"/>
      <w:bookmarkStart w:id="125" w:name="_Hlk72439088"/>
      <w:r>
        <w:rPr>
          <w:rFonts w:eastAsia="宋体" w:hint="eastAsia"/>
          <w:kern w:val="2"/>
          <w:sz w:val="21"/>
          <w:lang w:eastAsia="zh-CN"/>
        </w:rPr>
        <w:t>43．合同授予标准</w:t>
      </w:r>
      <w:bookmarkEnd w:id="120"/>
      <w:bookmarkEnd w:id="121"/>
      <w:bookmarkEnd w:id="122"/>
      <w:bookmarkEnd w:id="123"/>
      <w:bookmarkEnd w:id="12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26" w:name="_Toc73517680"/>
      <w:bookmarkStart w:id="127" w:name="_Toc100052409"/>
      <w:bookmarkStart w:id="128" w:name="_Toc73521587"/>
      <w:bookmarkStart w:id="129" w:name="_Toc73518158"/>
      <w:bookmarkStart w:id="130" w:name="_Toc73521675"/>
      <w:r>
        <w:rPr>
          <w:rFonts w:eastAsia="宋体" w:hint="eastAsia"/>
          <w:kern w:val="2"/>
          <w:sz w:val="21"/>
          <w:lang w:eastAsia="zh-CN"/>
        </w:rPr>
        <w:t>44．</w:t>
      </w:r>
      <w:bookmarkEnd w:id="126"/>
      <w:bookmarkEnd w:id="127"/>
      <w:bookmarkEnd w:id="128"/>
      <w:bookmarkEnd w:id="129"/>
      <w:bookmarkEnd w:id="130"/>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21677"/>
      <w:bookmarkStart w:id="132" w:name="_Toc73518160"/>
      <w:bookmarkStart w:id="133" w:name="_Toc73517682"/>
      <w:bookmarkStart w:id="134" w:name="_Toc100052410"/>
      <w:bookmarkStart w:id="135" w:name="_Toc73521589"/>
      <w:r>
        <w:rPr>
          <w:rFonts w:eastAsia="宋体" w:hint="eastAsia"/>
          <w:kern w:val="2"/>
          <w:sz w:val="21"/>
          <w:lang w:eastAsia="zh-CN"/>
        </w:rPr>
        <w:t>45．合同的签订</w:t>
      </w:r>
      <w:bookmarkEnd w:id="131"/>
      <w:bookmarkEnd w:id="132"/>
      <w:bookmarkEnd w:id="133"/>
      <w:bookmarkEnd w:id="134"/>
      <w:bookmarkEnd w:id="13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100052411"/>
      <w:bookmarkStart w:id="137" w:name="_Toc73521678"/>
      <w:bookmarkStart w:id="138" w:name="_Toc73517683"/>
      <w:bookmarkStart w:id="139" w:name="_Toc73521590"/>
      <w:bookmarkStart w:id="140" w:name="_Toc73518161"/>
      <w:r>
        <w:rPr>
          <w:rFonts w:eastAsia="宋体" w:hint="eastAsia"/>
          <w:kern w:val="2"/>
          <w:sz w:val="21"/>
          <w:lang w:eastAsia="zh-CN"/>
        </w:rPr>
        <w:t>46．履约担保</w:t>
      </w:r>
      <w:bookmarkEnd w:id="136"/>
      <w:bookmarkEnd w:id="137"/>
      <w:bookmarkEnd w:id="138"/>
      <w:bookmarkEnd w:id="139"/>
      <w:bookmarkEnd w:id="14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 合同备案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采购人与中标供应商自中标通知书发出之日起10个工作日内签订政府采购合同，并按财政部门规定提交备案。</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48. 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 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 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 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 xml:space="preserve">1.2 </w:t>
      </w:r>
      <w:r>
        <w:rPr>
          <w:rFonts w:eastAsia="宋体" w:hint="eastAsia"/>
          <w:kern w:val="2"/>
          <w:sz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41" w:name="_Hlk72440769"/>
      <w:r>
        <w:rPr>
          <w:rFonts w:eastAsia="宋体" w:hint="eastAsia"/>
          <w:kern w:val="2"/>
          <w:sz w:val="21"/>
          <w:lang w:eastAsia="zh-CN"/>
        </w:rPr>
        <w:t>采购代理机构或采购人不予退还其交纳的谈判保证金，情节严重的，并由主管部门</w:t>
      </w:r>
      <w:bookmarkEnd w:id="141"/>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5"/>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2" w:name="_Toc19433"/>
      <w:r>
        <w:rPr>
          <w:rFonts w:ascii="Arial" w:eastAsia="宋体" w:hAnsi="Arial" w:hint="eastAsia"/>
          <w:b/>
          <w:kern w:val="2"/>
          <w:sz w:val="32"/>
          <w:lang w:eastAsia="zh-CN"/>
        </w:rPr>
        <w:t>第十一章 质疑处理</w:t>
      </w:r>
      <w:bookmarkEnd w:id="1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52.3.1提出质疑的供应商应当是参与所质疑项目采购活动的供应商；</w:t>
      </w:r>
      <w:bookmarkStart w:id="143" w:name="_Hlk75374941"/>
      <w:r>
        <w:rPr>
          <w:rFonts w:eastAsia="宋体" w:hint="eastAsia"/>
          <w:kern w:val="2"/>
          <w:sz w:val="21"/>
          <w:lang w:eastAsia="zh-CN"/>
        </w:rPr>
        <w:t>以联合体形式参与的，质疑应当由组成联合体的所有成员共同提出</w:t>
      </w:r>
      <w:bookmarkEnd w:id="143"/>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地址：深圳市千里招标代理有限公司（地址：深圳市龙华区和平路21号振华时代广场8层802）。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 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12"/>
          <w:footerReference w:type="default" r:id="rId13"/>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深圳市龙华高级中学教育集团（大浪校区）学生食堂运营管理服务-A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服务方案和安全管理方案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突发状况应急方案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卫生管理和保障制度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拟安排的团队成员情况（项目负责人除外）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LHAZXDL-2025-00621-001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深圳市龙华高级中学教育集团（大浪校区）学生食堂运营管理服务-A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12、投标人须具有食品药品监督管理部门（或市场监督管理部门）颁发的有效《食品经营许可证》。：</w:t>
            </w:r>
            <w:r>
              <w:rPr>
                <w:rFonts w:ascii="FangSong" w:eastAsia="FangSong" w:hAnsi="FangSong" w:cs="FangSong"/>
                <w:color w:val="666666"/>
                <w:lang w:val="en" w:eastAsia="en"/>
              </w:rPr>
              <w:br/>
            </w:r>
            <w:r>
              <w:rPr>
                <w:rFonts w:ascii="FangSong" w:eastAsia="FangSong" w:hAnsi="FangSong" w:cs="FangSong"/>
                <w:color w:val="666666"/>
                <w:lang w:val="en" w:eastAsia="en"/>
              </w:rPr>
              <w:t>12、投标人须具有食品药品监督管理部门（或市场监督管理部门）颁发的有效《食品经营许可证》。</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投标报价有缺漏项目,或者对招标文件规定的项目需求内容或者需求数量进行修改，评审委员会判定投标响应不满足采购需求；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投标报价有缺漏项目,或者对招标文件规定的项目需求内容或者需求数量进行修改，评审委员会判定投标响应不满足采购需求；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服务方案和安全管理方案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评审委员会根据投标单位的方案进行评审，包括但不限于以下方案： 1. 服务方案。 2. 食品卫生安全管理制度。 3. 员工培训制度。 4. 消防安全管理制度。 5. 劳动安全管理制。 （二）评分依据： 提供以上5点内容得50%分，缺项不得分。 在此基础上，专家根据内容的合理性进行评分 优评分标准方案符合实际、完整、规范、思路清晰，内容合理性强，得50%分; 良评分标准方案较符合实际、较完整规范、思路较清晰，内容合理性较强，得30%分; 中评分标准方案较普通、完整性规范性一般，思路不够清晰，内容合理性一般，得10%分; 差评分标准：方案不完整、不规范，思路不清晰，内容合理性较差或未提供，不得分。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质量保证措施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评审委员会根据投标单位的质量保证措施进行评审。 （二）评分依据： 提供保障措施内容得30%分，缺项不得分。 在此基础上，专家根据内容的合理性进行评分 优评分标准措施符合实际、完整、规范、思路清晰，内容合理性强，得70%分; 良评分标准措施较符合实际、较完整规范、思路较清晰，内容合理性较强，得30%分; 中评分标准措施较普通、完整性规范性一般，思路不够清晰，内容合理性一般，得10%分; 差评分标准：措施不完整、不规范，思路不清晰，内容合理性较差或未提供，不得分。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突发状况应急方案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评审委员会根据投标单位的突发状况应急方案进行评审。 1. 食物中毒应急预案 2. 消防应急预案 3. 暴雨、台风应急预案 4. 反恐应急预案。 （二）评分依据： 提供以上4点内容得40%分，缺项不得分。 在此基础上，专家根据内容的合理性进行评分 优评分标准方案符合实际、完整、规范、思路清晰，内容合理性强，得60%分; 良评分标准方案较符合实际、较完整规范、思路较清晰，内容合理性较强，得30%分; 中评分标准方案较普通、完整性规范性一般，思路不够清晰，内容合理性一般，得10%分; 差评分标准：方案不完整、不规范，思路不清晰，内容合理性较差或未提供，不得分。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卫生管理和保障制度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评审委员会根据投标单位的卫生管理和保障制度进行评审。 1. 卫生管理制度 2. 卫生保障制度 （二）评分依据： 提供以上2点内容得20%分，缺项不得分。 在此基础上，专家根据内容的合理性进行评分 优评分标准方案符合实际、完整、规范、思路清晰，内容合理性强，得80%分; 良评分标准方案较符合实际、较完整规范、思路较清晰，内容合理性较强，得50%分; 中评分标准方案较普通、完整性规范性一般，思路不够清晰，内容合理性一般，得20%分; 差评分标准：方案不完整、不规范，思路不清晰，内容合理性较差或未提供，不得分。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（一）评分内容：拟安排的项目负责人须为投标人自有员工： 1、具有专科或以上的学历，得34%分； 2、具有高级食品检验师证书，得34%分； 3、具有高级食品安全管理（人）员证书（或高级食品安全管理（人）员考试合格证明证书），得34%分； 以上3项累计加分，最高得100%分。 （二）评分依据： 1. 提供投标单位缴纳的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原件备查。未按以上要求提供相关材料或不清晰导致无法识别的不计得分。 2.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查询截图。若证明文件为其它语言，必须附中文译文，以中文译文为准。 3.第2要求投标人提供证明扫描件以及相关证明材料作为得分依据，原件备查。若由行业协会社会组织发证的，还需提供该行业协会社会组织在中国社会组织政务服务平台查询正常截图（httpschinanpo.mca.gov.cn），原件备查。相关证书在公开渠道无法查询的，需提供颁发部门或者监管机构的证明材料，证明证书真实有效且为合法机构颁发。 4.第3提供高级食品安全管理（人）员证书（或高级食品安全管理（人）员考试合格证明证书）及证书在官方网站查询截图或粤省事查询截图（“粤省事”-“办事”-“食品安全”-“食安员查证及考核”-“我的食安员证”），原件备查； 备注：评分中出现无证明资料或证书过期或专家无法凭所提供资料判断是否得分的情况。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拟安排的团队成员情况（项目负责人除外）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（一）评分内容：拟安排的团队成员（项目负责人除外）须为投标人自有员工： 1、具有中式烹调师证，每提供一个得34%分，最高得34%分； 2、具有公共营养师，每提供一个得34%分，最高得34%分； 3、具有具有高级食品安全管理（人）员证书（或高级食品安全管理（人）员考试合格证明证书），每提供一个得34%分，最高得34%分； 以上3项累计加分，同一人或同时获得多个证书的按照最高得分计分，不重复得分。最高得100%分。 （二）评分依据： 1. 提供投标单位缴纳的载有社保部门公章的近一个月社保缴交证明材料(如开标日上一个月的社保材料因社保部门原因暂时无法取得，则可以往前顺延一个月；如投标人为新成立企业且成立时间不足一个月可提供加盖公章的情况说明或证明材料)，原件备查。未按以上要求提供相关材料或不清晰导致无法识别的不计得分 2.第1-2项要求投标人提供证书扫描件作为得分依据，原件备查。涉及人员证书的，还需同时提供技能人才评价证书全国联网查询（网址httpzscx.osta.org.cn）的查询截图，如证书无法提供查询截图，则需提供人社部门（或发证部门或职称管理部门）出具的证明文件（或网站公示查询），若由行业协会社会组织发证的，还需提供该行业协会社会组织在中国社会组织政务服务平台查询正常截图（httpschinanpo.mca.gov.cn），原件备查。相关证书在公开渠道无法查询的，需提供颁发部门或者监管机构的证明材料，证明证书真实有效且为合法机构颁发。 3.第3项提供高级食品安全管理（人）员证书（或高级食品安全管理（人）员考试合格证明证书）及证书在官方网站查询截图或粤省事查询截图（“粤省事”-“办事”-“食品安全”-“食安员查证及考核”-“我的食安员证”），原件备查； 备注：评分中出现无证明资料或证书过期或专家无法凭所提供资料判断是否得分的情况。</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2022年1月1日至本项目截标之日内所签订的具有本项目同类型业绩经验的（以合同签订日期为准），每提供1个同类业绩得50%分，最高得100%分。同一项目的续签合同（或补充合同）不重复计分。 （二）评分依据： 1.要求提供合同关键信息（含签订合同双方的单位名称、签订合同双方的落款盖章、签订日期、等内容）作为得分依据，通过合同关键信息无法判断是否得分的，还须同时提供能证明得分的其它证明资料，如项目报告或合同甲方出具的证明文件等。 2.以上资料均要求提供扫描件，原件备查。备注：评分中出现无证明资料或证书过期或专家无法凭所提供资料判断是否得分的情况，一律作不得分处理。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投标人提供符合“1.投标人同类项目业绩情况”合同甲方出具评价为优优秀满意或最高评价的履约评价或验收合格证明文件，每提供一份得50%分，最高得100%分。 （二）评分依据： 提供加盖合同甲方公章（或甲方业务章）项目履约评价或验收合格证明文件清晰扫描件。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1、通过质量管理体系认证得20%分； 2、通过环境管理体系认证得20%分； 3、通过职业健康安全管理体系认证得20%分； 4、通过食品安全管理体系认证证书得20%分； 5、通过HACCP危害分析与关健控制点认证证书得20%分； 以上累计得分，最高得100%分。 证明文件：提供有效的认证证书作为得分依据；认证证书需同时提供在全国认证认可信息公共服务平台（认e云）查询有效的截图（httpcx.cnca.cn）且编号一致，资料不完整的不得该项分。”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投标人承诺在参与自行采购活动中未出现诚信或安全相关问题且不在相关主管部门处理措施实施期限内的本项得100%分，否则不得分。 （二）评审依据： 投标人须提供《诚信承诺函》，按采购文件格式要求提供，不提供或提供的不符合要求或提供不清晰导致专家无法判断的均不得分。如被认定提供的陈述与事实不符受到行政处罚的，依法追究其责任。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投标人承诺在参与自行采购活动中未出现诚信或安全相关问题且不在相关主管部门处理措施实施期限内的本项得100%分，否则不得分。 （二）评审依据： 投标人须提供《诚信承诺函》，按采购文件格式要求提供，不提供或提供的不符合要求或提供不清晰导致专家无法判断的均不得分。如被认定提供的陈述与事实不符受到行政处罚的，依法追究其责任。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87BC339"/>
    <w:multiLevelType w:val="singleLevel"/>
    <w:tmpl w:val="387BC339"/>
    <w:lvl w:ilvl="0">
      <w:start w:val="1"/>
      <w:numFmt w:val="chineseCounting"/>
      <w:suff w:val="nothing"/>
      <w:lvlText w:val="%1、"/>
      <w:lvlJc w:val="left"/>
      <w:pPr>
        <w:ind w:left="0" w:firstLine="420"/>
      </w:pPr>
      <w:rPr>
        <w:rFonts w:hint="eastAsia"/>
      </w:rPr>
    </w:lvl>
  </w:abstractNum>
  <w:abstractNum w:abstractNumId="3">
    <w:nsid w:val="481452E2"/>
    <w:multiLevelType w:val="singleLevel"/>
    <w:tmpl w:val="481452E2"/>
    <w:lvl w:ilvl="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har"/>
    <w:qFormat/>
    <w:pPr>
      <w:widowControl w:val="0"/>
      <w:spacing w:line="360" w:lineRule="auto"/>
      <w:jc w:val="both"/>
    </w:pPr>
    <w:rPr>
      <w:rFonts w:asciiTheme="minorHAnsi" w:eastAsiaTheme="minorEastAsia" w:hAnsiTheme="minorHAnsi" w:cstheme="minorBidi"/>
      <w:b/>
      <w:bCs/>
      <w:kern w:val="2"/>
      <w:szCs w:val="22"/>
      <w:lang w:eastAsia="zh-CN"/>
    </w:rPr>
  </w:style>
  <w:style w:type="character" w:customStyle="1" w:styleId="Char">
    <w:name w:val="正文文本 Char"/>
    <w:link w:val="BodyText"/>
    <w:qFormat/>
    <w:rPr>
      <w:rFonts w:asciiTheme="minorHAnsi" w:eastAsiaTheme="minorEastAsia" w:hAnsiTheme="minorHAnsi" w:cstheme="minorBidi"/>
      <w:b/>
      <w:bCs/>
      <w:kern w:val="2"/>
      <w:sz w:val="24"/>
      <w:szCs w:val="22"/>
    </w:rPr>
  </w:style>
  <w:style w:type="paragraph" w:styleId="Header">
    <w:name w:val="header"/>
    <w:basedOn w:val="Normal"/>
    <w:link w:val="Char0"/>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0">
    <w:name w:val="页眉 Char"/>
    <w:basedOn w:val="DefaultParagraphFont"/>
    <w:link w:val="Header"/>
    <w:uiPriority w:val="99"/>
    <w:qFormat/>
    <w:rPr>
      <w:rFonts w:eastAsia="宋体"/>
      <w:sz w:val="18"/>
      <w:szCs w:val="18"/>
    </w:rPr>
  </w:style>
  <w:style w:type="paragraph" w:styleId="Footer">
    <w:name w:val="footer"/>
    <w:basedOn w:val="Normal"/>
    <w:link w:val="Char1"/>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1">
    <w:name w:val="页脚 Char"/>
    <w:basedOn w:val="DefaultParagraphFont"/>
    <w:link w:val="Footer"/>
    <w:uiPriority w:val="99"/>
    <w:qFormat/>
    <w:rPr>
      <w:rFonts w:eastAsia="宋体"/>
      <w:sz w:val="18"/>
      <w:szCs w:val="18"/>
    </w:rPr>
  </w:style>
  <w:style w:type="paragraph" w:styleId="BalloonText">
    <w:name w:val="Balloon Text"/>
    <w:basedOn w:val="Normal"/>
    <w:qFormat/>
    <w:rPr>
      <w:sz w:val="18"/>
      <w:szCs w:val="18"/>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sxt.gov.cn/corp-query-homepage.html" TargetMode="External" /><Relationship Id="rId11" Type="http://schemas.openxmlformats.org/officeDocument/2006/relationships/image" Target="media/image3.png"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yperlink" Target="https://amr.sz.gov.cn/outer/entSelect/gs.html"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