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6A7F">
      <w:pPr>
        <w:widowControl w:val="0"/>
        <w:spacing w:before="0" w:after="0" w:line="360" w:lineRule="auto"/>
        <w:jc w:val="both"/>
        <w:rPr>
          <w:rFonts w:ascii="宋体" w:hAnsi="宋体" w:eastAsia="宋体"/>
          <w:b/>
          <w:bCs/>
          <w:kern w:val="2"/>
          <w:sz w:val="30"/>
          <w:szCs w:val="30"/>
          <w:lang w:eastAsia="zh-CN"/>
        </w:rPr>
      </w:pPr>
    </w:p>
    <w:p w14:paraId="3AF0A071">
      <w:pPr>
        <w:spacing w:before="0" w:after="0" w:line="360" w:lineRule="auto"/>
        <w:ind w:firstLine="320"/>
        <w:jc w:val="center"/>
        <w:rPr>
          <w:b/>
          <w:bCs/>
          <w:color w:val="FF0000"/>
          <w:kern w:val="2"/>
          <w:sz w:val="32"/>
          <w:szCs w:val="32"/>
          <w:lang w:eastAsia="zh-CN"/>
        </w:rPr>
      </w:pPr>
      <w:r>
        <w:rPr>
          <w:rFonts w:hint="eastAsia"/>
          <w:b/>
          <w:bCs/>
          <w:color w:val="FF0000"/>
          <w:kern w:val="2"/>
          <w:sz w:val="32"/>
          <w:szCs w:val="32"/>
          <w:lang w:eastAsia="zh-CN"/>
        </w:rPr>
        <w:t>特别警示条款</w:t>
      </w:r>
    </w:p>
    <w:p w14:paraId="6530A8BC">
      <w:pPr>
        <w:rPr>
          <w:lang w:eastAsia="zh-CN"/>
        </w:rPr>
      </w:pPr>
    </w:p>
    <w:p w14:paraId="4E708C83">
      <w:pPr>
        <w:spacing w:line="360" w:lineRule="auto"/>
        <w:rPr>
          <w:b/>
          <w:bCs/>
          <w:color w:val="FF0000"/>
          <w:kern w:val="2"/>
          <w:lang w:eastAsia="zh-CN"/>
        </w:rPr>
      </w:pPr>
      <w:r>
        <w:rPr>
          <w:rFonts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14:paraId="5CA9F171">
      <w:pPr>
        <w:spacing w:line="360" w:lineRule="auto"/>
        <w:rPr>
          <w:b/>
          <w:bCs/>
          <w:kern w:val="2"/>
          <w:lang w:eastAsia="zh-CN"/>
        </w:rPr>
      </w:pPr>
    </w:p>
    <w:tbl>
      <w:tblPr>
        <w:tblStyle w:val="12"/>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7928"/>
      </w:tblGrid>
      <w:tr w14:paraId="7988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61" w:type="dxa"/>
            <w:tcBorders>
              <w:top w:val="single" w:color="auto" w:sz="4" w:space="0"/>
              <w:left w:val="single" w:color="auto" w:sz="4" w:space="0"/>
              <w:bottom w:val="single" w:color="auto" w:sz="4" w:space="0"/>
              <w:right w:val="single" w:color="auto" w:sz="4" w:space="0"/>
            </w:tcBorders>
            <w:vAlign w:val="center"/>
          </w:tcPr>
          <w:p w14:paraId="05C1611A">
            <w:pPr>
              <w:widowControl/>
              <w:jc w:val="center"/>
              <w:rPr>
                <w:rFonts w:eastAsia="宋体"/>
                <w:color w:val="FF0000"/>
              </w:rPr>
            </w:pPr>
            <w:r>
              <w:rPr>
                <w:rFonts w:hint="eastAsia" w:eastAsia="宋体"/>
                <w:color w:val="FF0000"/>
              </w:rPr>
              <w:t>序号</w:t>
            </w:r>
          </w:p>
        </w:tc>
        <w:tc>
          <w:tcPr>
            <w:tcW w:w="7439" w:type="dxa"/>
            <w:tcBorders>
              <w:top w:val="single" w:color="auto" w:sz="4" w:space="0"/>
              <w:left w:val="single" w:color="auto" w:sz="4" w:space="0"/>
              <w:bottom w:val="single" w:color="auto" w:sz="4" w:space="0"/>
              <w:right w:val="single" w:color="auto" w:sz="4" w:space="0"/>
            </w:tcBorders>
            <w:vAlign w:val="center"/>
          </w:tcPr>
          <w:p w14:paraId="479DFF38">
            <w:pPr>
              <w:widowControl/>
              <w:jc w:val="center"/>
              <w:rPr>
                <w:rFonts w:eastAsia="宋体"/>
                <w:color w:val="FF0000"/>
                <w:lang w:eastAsia="zh-CN"/>
              </w:rPr>
            </w:pPr>
            <w:r>
              <w:rPr>
                <w:rFonts w:hint="eastAsia" w:eastAsia="宋体"/>
                <w:b/>
                <w:bCs/>
                <w:color w:val="FF0000"/>
                <w:lang w:eastAsia="zh-CN"/>
              </w:rPr>
              <w:t>供应商参与投标禁止情形</w:t>
            </w:r>
          </w:p>
        </w:tc>
      </w:tr>
      <w:tr w14:paraId="4285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vAlign w:val="center"/>
          </w:tcPr>
          <w:p w14:paraId="5EB1495D">
            <w:pPr>
              <w:widowControl/>
              <w:jc w:val="center"/>
              <w:rPr>
                <w:rFonts w:eastAsia="宋体"/>
                <w:color w:val="FF0000"/>
              </w:rPr>
            </w:pPr>
            <w:r>
              <w:rPr>
                <w:rFonts w:hint="eastAsia" w:eastAsia="宋体"/>
                <w:color w:val="FF0000"/>
              </w:rPr>
              <w:t>1</w:t>
            </w:r>
          </w:p>
        </w:tc>
        <w:tc>
          <w:tcPr>
            <w:tcW w:w="7439" w:type="dxa"/>
            <w:tcBorders>
              <w:top w:val="single" w:color="auto" w:sz="4" w:space="0"/>
              <w:left w:val="single" w:color="auto" w:sz="4" w:space="0"/>
              <w:bottom w:val="single" w:color="auto" w:sz="4" w:space="0"/>
              <w:right w:val="single" w:color="auto" w:sz="4" w:space="0"/>
            </w:tcBorders>
            <w:vAlign w:val="center"/>
          </w:tcPr>
          <w:p w14:paraId="4EC4E4AF">
            <w:pPr>
              <w:widowControl/>
              <w:jc w:val="both"/>
              <w:rPr>
                <w:rFonts w:eastAsia="宋体"/>
                <w:color w:val="FF0000"/>
                <w:lang w:eastAsia="zh-CN"/>
              </w:rPr>
            </w:pPr>
            <w:r>
              <w:rPr>
                <w:rFonts w:hint="eastAsia" w:eastAsia="宋体"/>
                <w:color w:val="FF0000"/>
                <w:lang w:eastAsia="zh-CN"/>
              </w:rPr>
              <w:t>与其他投标供应商的法定代表人、主要经营负责人、投标授权代表人、项目负责人、主要技术人员为</w:t>
            </w:r>
            <w:r>
              <w:rPr>
                <w:rFonts w:hint="eastAsia" w:eastAsia="宋体"/>
                <w:b/>
                <w:bCs/>
                <w:color w:val="FF0000"/>
                <w:lang w:eastAsia="zh-CN"/>
              </w:rPr>
              <w:t>同一人、属同一单位或者在同一单位缴纳社会保险</w:t>
            </w:r>
            <w:r>
              <w:rPr>
                <w:rFonts w:hint="eastAsia" w:eastAsia="宋体"/>
                <w:color w:val="FF0000"/>
                <w:lang w:eastAsia="zh-CN"/>
              </w:rPr>
              <w:t>。</w:t>
            </w:r>
          </w:p>
        </w:tc>
      </w:tr>
      <w:tr w14:paraId="44D3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5C6E16F">
            <w:pPr>
              <w:widowControl/>
              <w:jc w:val="center"/>
              <w:rPr>
                <w:rFonts w:eastAsia="宋体"/>
                <w:color w:val="FF0000"/>
              </w:rPr>
            </w:pPr>
            <w:r>
              <w:rPr>
                <w:rFonts w:hint="eastAsia" w:eastAsia="宋体"/>
                <w:color w:val="FF0000"/>
              </w:rPr>
              <w:t>2</w:t>
            </w:r>
          </w:p>
        </w:tc>
        <w:tc>
          <w:tcPr>
            <w:tcW w:w="7439" w:type="dxa"/>
            <w:tcBorders>
              <w:top w:val="single" w:color="auto" w:sz="4" w:space="0"/>
              <w:left w:val="single" w:color="auto" w:sz="4" w:space="0"/>
              <w:bottom w:val="single" w:color="auto" w:sz="4" w:space="0"/>
              <w:right w:val="single" w:color="auto" w:sz="4" w:space="0"/>
            </w:tcBorders>
            <w:vAlign w:val="center"/>
          </w:tcPr>
          <w:p w14:paraId="2C561A9B">
            <w:pPr>
              <w:widowControl/>
              <w:jc w:val="both"/>
              <w:rPr>
                <w:rFonts w:eastAsia="宋体"/>
                <w:color w:val="FF0000"/>
                <w:lang w:eastAsia="zh-CN"/>
              </w:rPr>
            </w:pPr>
            <w:r>
              <w:rPr>
                <w:rFonts w:hint="eastAsia" w:eastAsia="宋体"/>
                <w:color w:val="FF0000"/>
                <w:lang w:eastAsia="zh-CN"/>
              </w:rPr>
              <w:t>参与本项目政府采购活动时，与其他投标供应商存在单位负责人为</w:t>
            </w:r>
            <w:r>
              <w:rPr>
                <w:rFonts w:hint="eastAsia" w:eastAsia="宋体"/>
                <w:b/>
                <w:bCs/>
                <w:color w:val="FF0000"/>
                <w:lang w:eastAsia="zh-CN"/>
              </w:rPr>
              <w:t>同一人或直接控股、管理关系</w:t>
            </w:r>
            <w:r>
              <w:rPr>
                <w:rFonts w:hint="eastAsia" w:eastAsia="宋体"/>
                <w:color w:val="FF0000"/>
                <w:lang w:eastAsia="zh-CN"/>
              </w:rPr>
              <w:t>。</w:t>
            </w:r>
          </w:p>
        </w:tc>
      </w:tr>
      <w:tr w14:paraId="26D1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vAlign w:val="center"/>
          </w:tcPr>
          <w:p w14:paraId="454B0569">
            <w:pPr>
              <w:widowControl/>
              <w:jc w:val="center"/>
              <w:rPr>
                <w:rFonts w:eastAsia="宋体"/>
                <w:color w:val="FF0000"/>
              </w:rPr>
            </w:pPr>
            <w:r>
              <w:rPr>
                <w:rFonts w:hint="eastAsia" w:eastAsia="宋体"/>
                <w:color w:val="FF0000"/>
              </w:rPr>
              <w:t>3</w:t>
            </w:r>
          </w:p>
        </w:tc>
        <w:tc>
          <w:tcPr>
            <w:tcW w:w="7439" w:type="dxa"/>
            <w:tcBorders>
              <w:top w:val="single" w:color="auto" w:sz="4" w:space="0"/>
              <w:left w:val="single" w:color="auto" w:sz="4" w:space="0"/>
              <w:bottom w:val="single" w:color="auto" w:sz="4" w:space="0"/>
              <w:right w:val="single" w:color="auto" w:sz="4" w:space="0"/>
            </w:tcBorders>
            <w:vAlign w:val="center"/>
          </w:tcPr>
          <w:p w14:paraId="5186854C">
            <w:pPr>
              <w:widowControl/>
              <w:jc w:val="both"/>
              <w:rPr>
                <w:rFonts w:eastAsia="宋体"/>
                <w:color w:val="FF0000"/>
                <w:lang w:eastAsia="zh-CN"/>
              </w:rPr>
            </w:pPr>
            <w:r>
              <w:rPr>
                <w:rFonts w:hint="eastAsia" w:eastAsia="宋体"/>
                <w:color w:val="FF0000"/>
                <w:lang w:eastAsia="zh-CN"/>
              </w:rPr>
              <w:t>与其他投标供应商的投标文件或部分投标文件</w:t>
            </w:r>
            <w:r>
              <w:rPr>
                <w:rFonts w:hint="eastAsia" w:eastAsia="宋体"/>
                <w:b/>
                <w:bCs/>
                <w:color w:val="FF0000"/>
                <w:lang w:eastAsia="zh-CN"/>
              </w:rPr>
              <w:t>相互混装或存在非正常一致</w:t>
            </w:r>
            <w:r>
              <w:rPr>
                <w:rFonts w:hint="eastAsia" w:eastAsia="宋体"/>
                <w:color w:val="FF0000"/>
                <w:lang w:eastAsia="zh-CN"/>
              </w:rPr>
              <w:t>。</w:t>
            </w:r>
          </w:p>
        </w:tc>
      </w:tr>
      <w:tr w14:paraId="5B49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61" w:type="dxa"/>
            <w:tcBorders>
              <w:top w:val="single" w:color="auto" w:sz="4" w:space="0"/>
              <w:left w:val="single" w:color="auto" w:sz="4" w:space="0"/>
              <w:bottom w:val="single" w:color="auto" w:sz="4" w:space="0"/>
              <w:right w:val="single" w:color="auto" w:sz="4" w:space="0"/>
            </w:tcBorders>
            <w:vAlign w:val="center"/>
          </w:tcPr>
          <w:p w14:paraId="456225C5">
            <w:pPr>
              <w:widowControl/>
              <w:jc w:val="center"/>
              <w:rPr>
                <w:rFonts w:eastAsia="宋体"/>
                <w:color w:val="FF0000"/>
              </w:rPr>
            </w:pPr>
            <w:r>
              <w:rPr>
                <w:rFonts w:hint="eastAsia" w:eastAsia="宋体"/>
                <w:color w:val="FF0000"/>
              </w:rPr>
              <w:t>4</w:t>
            </w:r>
          </w:p>
        </w:tc>
        <w:tc>
          <w:tcPr>
            <w:tcW w:w="7439" w:type="dxa"/>
            <w:tcBorders>
              <w:top w:val="single" w:color="auto" w:sz="4" w:space="0"/>
              <w:left w:val="single" w:color="auto" w:sz="4" w:space="0"/>
              <w:bottom w:val="single" w:color="auto" w:sz="4" w:space="0"/>
              <w:right w:val="single" w:color="auto" w:sz="4" w:space="0"/>
            </w:tcBorders>
            <w:vAlign w:val="center"/>
          </w:tcPr>
          <w:p w14:paraId="1F8569DE">
            <w:pPr>
              <w:widowControl/>
              <w:jc w:val="both"/>
              <w:rPr>
                <w:rFonts w:eastAsia="宋体"/>
                <w:color w:val="FF0000"/>
                <w:lang w:eastAsia="zh-CN"/>
              </w:rPr>
            </w:pPr>
            <w:r>
              <w:rPr>
                <w:rFonts w:hint="eastAsia" w:eastAsia="宋体"/>
                <w:color w:val="FF0000"/>
                <w:lang w:eastAsia="zh-CN"/>
              </w:rPr>
              <w:t>与其他投标供应商的投标文件由</w:t>
            </w:r>
            <w:r>
              <w:rPr>
                <w:rFonts w:hint="eastAsia" w:eastAsia="宋体"/>
                <w:b/>
                <w:bCs/>
                <w:color w:val="FF0000"/>
                <w:lang w:eastAsia="zh-CN"/>
              </w:rPr>
              <w:t>同一单位或者同一人编制</w:t>
            </w:r>
            <w:r>
              <w:rPr>
                <w:rFonts w:hint="eastAsia" w:eastAsia="宋体"/>
                <w:color w:val="FF0000"/>
                <w:lang w:eastAsia="zh-CN"/>
              </w:rPr>
              <w:t>，或者使用</w:t>
            </w:r>
            <w:r>
              <w:rPr>
                <w:rFonts w:hint="eastAsia" w:eastAsia="宋体"/>
                <w:b/>
                <w:bCs/>
                <w:color w:val="FF0000"/>
                <w:lang w:eastAsia="zh-CN"/>
              </w:rPr>
              <w:t>同一设备编制</w:t>
            </w:r>
            <w:r>
              <w:rPr>
                <w:rFonts w:hint="eastAsia" w:eastAsia="宋体"/>
                <w:color w:val="FF0000"/>
                <w:lang w:eastAsia="zh-CN"/>
              </w:rPr>
              <w:t>（“文件制作机器码”“文件创建标识码”一致）。</w:t>
            </w:r>
          </w:p>
        </w:tc>
      </w:tr>
      <w:tr w14:paraId="6B1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61" w:type="dxa"/>
            <w:tcBorders>
              <w:top w:val="single" w:color="auto" w:sz="4" w:space="0"/>
              <w:left w:val="single" w:color="auto" w:sz="4" w:space="0"/>
              <w:bottom w:val="single" w:color="auto" w:sz="4" w:space="0"/>
              <w:right w:val="single" w:color="auto" w:sz="4" w:space="0"/>
            </w:tcBorders>
            <w:vAlign w:val="center"/>
          </w:tcPr>
          <w:p w14:paraId="62305DFA">
            <w:pPr>
              <w:widowControl/>
              <w:jc w:val="center"/>
              <w:rPr>
                <w:rFonts w:eastAsia="宋体"/>
                <w:color w:val="FF0000"/>
              </w:rPr>
            </w:pPr>
            <w:r>
              <w:rPr>
                <w:rFonts w:hint="eastAsia" w:eastAsia="宋体"/>
                <w:color w:val="FF0000"/>
              </w:rPr>
              <w:t>5</w:t>
            </w:r>
          </w:p>
        </w:tc>
        <w:tc>
          <w:tcPr>
            <w:tcW w:w="7439" w:type="dxa"/>
            <w:tcBorders>
              <w:top w:val="single" w:color="auto" w:sz="4" w:space="0"/>
              <w:left w:val="single" w:color="auto" w:sz="4" w:space="0"/>
              <w:bottom w:val="single" w:color="auto" w:sz="4" w:space="0"/>
              <w:right w:val="single" w:color="auto" w:sz="4" w:space="0"/>
            </w:tcBorders>
            <w:vAlign w:val="center"/>
          </w:tcPr>
          <w:p w14:paraId="5200CE14">
            <w:pPr>
              <w:widowControl/>
              <w:jc w:val="both"/>
              <w:rPr>
                <w:rFonts w:eastAsia="宋体"/>
                <w:color w:val="FF0000"/>
                <w:lang w:eastAsia="zh-CN"/>
              </w:rPr>
            </w:pPr>
            <w:r>
              <w:rPr>
                <w:rFonts w:hint="eastAsia" w:eastAsia="宋体"/>
                <w:color w:val="FF0000"/>
                <w:lang w:eastAsia="zh-CN"/>
              </w:rPr>
              <w:t>提供</w:t>
            </w:r>
            <w:r>
              <w:rPr>
                <w:rFonts w:hint="eastAsia" w:eastAsia="宋体"/>
                <w:b/>
                <w:bCs/>
                <w:color w:val="FF0000"/>
                <w:lang w:eastAsia="zh-CN"/>
              </w:rPr>
              <w:t>未经出具机构核实</w:t>
            </w:r>
            <w:r>
              <w:rPr>
                <w:rFonts w:hint="eastAsia" w:eastAsia="宋体"/>
                <w:color w:val="FF0000"/>
                <w:lang w:eastAsia="zh-CN"/>
              </w:rPr>
              <w:t>的虚假的检验检测报告、业绩材料、社保缴纳证明、学历学位证书、职称认证证书等材料。</w:t>
            </w:r>
          </w:p>
        </w:tc>
      </w:tr>
      <w:tr w14:paraId="7DA9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1" w:type="dxa"/>
            <w:tcBorders>
              <w:top w:val="single" w:color="auto" w:sz="4" w:space="0"/>
              <w:left w:val="single" w:color="auto" w:sz="4" w:space="0"/>
              <w:bottom w:val="single" w:color="auto" w:sz="4" w:space="0"/>
              <w:right w:val="single" w:color="auto" w:sz="4" w:space="0"/>
            </w:tcBorders>
            <w:vAlign w:val="center"/>
          </w:tcPr>
          <w:p w14:paraId="4EE3ED00">
            <w:pPr>
              <w:widowControl/>
              <w:jc w:val="both"/>
              <w:rPr>
                <w:rFonts w:eastAsia="宋体"/>
                <w:color w:val="FF0000"/>
              </w:rPr>
            </w:pPr>
            <w:r>
              <w:rPr>
                <w:rFonts w:hint="eastAsia" w:eastAsia="宋体"/>
                <w:color w:val="FF0000"/>
              </w:rPr>
              <w:t>6</w:t>
            </w:r>
          </w:p>
        </w:tc>
        <w:tc>
          <w:tcPr>
            <w:tcW w:w="7439" w:type="dxa"/>
            <w:tcBorders>
              <w:top w:val="single" w:color="auto" w:sz="4" w:space="0"/>
              <w:left w:val="single" w:color="auto" w:sz="4" w:space="0"/>
              <w:bottom w:val="single" w:color="auto" w:sz="4" w:space="0"/>
              <w:right w:val="single" w:color="auto" w:sz="4" w:space="0"/>
            </w:tcBorders>
            <w:vAlign w:val="center"/>
          </w:tcPr>
          <w:p w14:paraId="78104F62">
            <w:pPr>
              <w:widowControl/>
              <w:jc w:val="both"/>
              <w:rPr>
                <w:rFonts w:eastAsia="宋体"/>
                <w:color w:val="FF0000"/>
                <w:lang w:eastAsia="zh-CN"/>
              </w:rPr>
            </w:pPr>
            <w:r>
              <w:rPr>
                <w:rFonts w:hint="eastAsia" w:eastAsia="宋体"/>
                <w:color w:val="FF0000"/>
                <w:lang w:eastAsia="zh-CN"/>
              </w:rPr>
              <w:t>擅自将投标密钥或电子营业执照出借他人使用或未妥善保管。</w:t>
            </w:r>
          </w:p>
        </w:tc>
      </w:tr>
    </w:tbl>
    <w:p w14:paraId="1BEE294C">
      <w:pPr>
        <w:rPr>
          <w:lang w:eastAsia="zh-CN"/>
        </w:rPr>
      </w:pPr>
    </w:p>
    <w:p w14:paraId="533B8AA3">
      <w:pPr>
        <w:rPr>
          <w:lang w:eastAsia="zh-CN"/>
        </w:rPr>
      </w:pPr>
    </w:p>
    <w:p w14:paraId="469EFBC4">
      <w:pPr>
        <w:widowControl w:val="0"/>
        <w:spacing w:line="360" w:lineRule="auto"/>
        <w:jc w:val="both"/>
        <w:rPr>
          <w:rFonts w:ascii="宋体" w:hAnsi="宋体" w:eastAsia="宋体"/>
          <w:b/>
          <w:bCs/>
          <w:kern w:val="2"/>
          <w:sz w:val="30"/>
          <w:szCs w:val="30"/>
          <w:lang w:eastAsia="zh-CN"/>
        </w:rPr>
      </w:pPr>
    </w:p>
    <w:p w14:paraId="140089E5">
      <w:pPr>
        <w:widowControl w:val="0"/>
        <w:spacing w:line="360" w:lineRule="auto"/>
        <w:jc w:val="both"/>
        <w:rPr>
          <w:rFonts w:ascii="宋体" w:hAnsi="宋体" w:eastAsia="宋体"/>
          <w:b/>
          <w:bCs/>
          <w:kern w:val="2"/>
          <w:sz w:val="30"/>
          <w:szCs w:val="30"/>
          <w:lang w:eastAsia="zh-CN"/>
        </w:rPr>
      </w:pPr>
    </w:p>
    <w:p w14:paraId="385A517F">
      <w:pPr>
        <w:widowControl w:val="0"/>
        <w:spacing w:line="360" w:lineRule="auto"/>
        <w:jc w:val="both"/>
        <w:rPr>
          <w:rFonts w:ascii="宋体" w:hAnsi="宋体" w:eastAsia="宋体"/>
          <w:b/>
          <w:bCs/>
          <w:kern w:val="2"/>
          <w:sz w:val="30"/>
          <w:szCs w:val="30"/>
          <w:lang w:eastAsia="zh-CN"/>
        </w:rPr>
      </w:pPr>
    </w:p>
    <w:p w14:paraId="394B332A">
      <w:pPr>
        <w:widowControl w:val="0"/>
        <w:spacing w:line="360" w:lineRule="auto"/>
        <w:jc w:val="both"/>
        <w:rPr>
          <w:rFonts w:ascii="宋体" w:hAnsi="宋体" w:eastAsia="宋体"/>
          <w:b/>
          <w:bCs/>
          <w:kern w:val="2"/>
          <w:sz w:val="30"/>
          <w:szCs w:val="30"/>
          <w:lang w:eastAsia="zh-CN"/>
        </w:rPr>
      </w:pPr>
    </w:p>
    <w:p w14:paraId="4DF23AD4">
      <w:pPr>
        <w:widowControl w:val="0"/>
        <w:spacing w:line="360" w:lineRule="auto"/>
        <w:jc w:val="both"/>
        <w:rPr>
          <w:rFonts w:ascii="宋体" w:hAnsi="宋体" w:eastAsia="宋体"/>
          <w:b/>
          <w:bCs/>
          <w:kern w:val="2"/>
          <w:sz w:val="30"/>
          <w:szCs w:val="30"/>
          <w:lang w:eastAsia="zh-CN"/>
        </w:rPr>
      </w:pPr>
    </w:p>
    <w:p w14:paraId="4C8C3E99">
      <w:pPr>
        <w:widowControl w:val="0"/>
        <w:spacing w:line="360" w:lineRule="auto"/>
        <w:jc w:val="both"/>
        <w:rPr>
          <w:rFonts w:ascii="宋体" w:hAnsi="宋体" w:eastAsia="宋体"/>
          <w:b/>
          <w:bCs/>
          <w:kern w:val="2"/>
          <w:sz w:val="30"/>
          <w:szCs w:val="30"/>
          <w:lang w:eastAsia="zh-CN"/>
        </w:rPr>
      </w:pPr>
    </w:p>
    <w:p w14:paraId="10E67B3E">
      <w:pPr>
        <w:widowControl/>
        <w:spacing w:before="0" w:beforeAutospacing="1" w:after="0"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1"/>
        <w:tblW w:w="5000" w:type="pct"/>
        <w:jc w:val="center"/>
        <w:tblCellSpacing w:w="0" w:type="dxa"/>
        <w:tblLayout w:type="fixed"/>
        <w:tblCellMar>
          <w:top w:w="36" w:type="dxa"/>
          <w:left w:w="36" w:type="dxa"/>
          <w:bottom w:w="36" w:type="dxa"/>
          <w:right w:w="36" w:type="dxa"/>
        </w:tblCellMar>
      </w:tblPr>
      <w:tblGrid>
        <w:gridCol w:w="2874"/>
        <w:gridCol w:w="5508"/>
      </w:tblGrid>
      <w:tr w14:paraId="6743FAF1">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5BC2F262">
            <w:pPr>
              <w:widowControl w:val="0"/>
              <w:kinsoku/>
              <w:overflowPunct/>
              <w:topLinePunct w:val="0"/>
              <w:bidi w:val="0"/>
              <w:spacing w:beforeAutospacing="0" w:afterAutospacing="0" w:line="360" w:lineRule="auto"/>
              <w:ind w:left="0" w:leftChars="0" w:right="0" w:firstLine="0" w:firstLineChars="0"/>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项目编号：</w:t>
            </w:r>
          </w:p>
        </w:tc>
        <w:tc>
          <w:tcPr>
            <w:tcW w:w="5216" w:type="dxa"/>
            <w:vAlign w:val="center"/>
          </w:tcPr>
          <w:p w14:paraId="72D522DE">
            <w:pPr>
              <w:widowControl w:val="0"/>
              <w:kinsoku/>
              <w:overflowPunct/>
              <w:topLinePunct w:val="0"/>
              <w:bidi w:val="0"/>
              <w:spacing w:beforeAutospacing="0" w:afterAutospacing="0" w:line="360" w:lineRule="auto"/>
              <w:ind w:left="0" w:leftChars="0" w:right="0" w:firstLine="0" w:firstLineChars="0"/>
              <w:jc w:val="both"/>
              <w:rPr>
                <w:rFonts w:ascii="宋体" w:hAnsi="宋体" w:eastAsia="宋体" w:cs="宋体"/>
                <w:kern w:val="2"/>
                <w:sz w:val="30"/>
                <w:szCs w:val="30"/>
                <w:lang w:eastAsia="zh-CN"/>
              </w:rPr>
            </w:pPr>
            <w:r>
              <w:rPr>
                <w:rFonts w:ascii="宋体" w:hAnsi="宋体" w:eastAsia="宋体" w:cs="宋体"/>
                <w:kern w:val="2"/>
                <w:sz w:val="30"/>
                <w:szCs w:val="30"/>
                <w:lang w:eastAsia="zh-CN"/>
              </w:rPr>
              <w:t>LHAZXDL-2025-00564</w:t>
            </w:r>
          </w:p>
        </w:tc>
      </w:tr>
      <w:tr w14:paraId="79C4B4D8">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346D4CCC">
            <w:pPr>
              <w:widowControl w:val="0"/>
              <w:kinsoku/>
              <w:overflowPunct/>
              <w:topLinePunct w:val="0"/>
              <w:bidi w:val="0"/>
              <w:spacing w:beforeAutospacing="0" w:afterAutospacing="0" w:line="360" w:lineRule="auto"/>
              <w:ind w:left="0" w:leftChars="0" w:right="0" w:firstLine="0" w:firstLineChars="0"/>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项目名称：</w:t>
            </w:r>
          </w:p>
        </w:tc>
        <w:tc>
          <w:tcPr>
            <w:tcW w:w="5216" w:type="dxa"/>
            <w:vAlign w:val="center"/>
          </w:tcPr>
          <w:p w14:paraId="485D2E06">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深圳市龙华高级中学教育集团（大浪校区）学生食材配送服务</w:t>
            </w:r>
          </w:p>
        </w:tc>
      </w:tr>
      <w:tr w14:paraId="26505D17">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05436693">
            <w:pPr>
              <w:widowControl w:val="0"/>
              <w:kinsoku/>
              <w:overflowPunct/>
              <w:topLinePunct w:val="0"/>
              <w:bidi w:val="0"/>
              <w:spacing w:beforeAutospacing="0" w:afterAutospacing="0" w:line="360" w:lineRule="auto"/>
              <w:ind w:left="0" w:leftChars="0" w:right="0" w:firstLine="0" w:firstLineChars="0"/>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包    号：</w:t>
            </w:r>
          </w:p>
        </w:tc>
        <w:tc>
          <w:tcPr>
            <w:tcW w:w="5216" w:type="dxa"/>
            <w:vAlign w:val="center"/>
          </w:tcPr>
          <w:p w14:paraId="1A21CF9C">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A</w:t>
            </w:r>
          </w:p>
        </w:tc>
      </w:tr>
      <w:tr w14:paraId="186C3BA1">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262ACC43">
            <w:pPr>
              <w:widowControl w:val="0"/>
              <w:kinsoku/>
              <w:overflowPunct/>
              <w:topLinePunct w:val="0"/>
              <w:bidi w:val="0"/>
              <w:spacing w:beforeAutospacing="0" w:afterAutospacing="0" w:line="360" w:lineRule="auto"/>
              <w:ind w:left="0" w:leftChars="0" w:right="0" w:firstLine="0" w:firstLineChars="0"/>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项目类型：</w:t>
            </w:r>
          </w:p>
        </w:tc>
        <w:tc>
          <w:tcPr>
            <w:tcW w:w="5216" w:type="dxa"/>
            <w:vAlign w:val="center"/>
          </w:tcPr>
          <w:p w14:paraId="6297082B">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服务类</w:t>
            </w:r>
          </w:p>
        </w:tc>
      </w:tr>
      <w:tr w14:paraId="24357CE9">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56098415">
            <w:pPr>
              <w:widowControl w:val="0"/>
              <w:kinsoku/>
              <w:overflowPunct/>
              <w:topLinePunct w:val="0"/>
              <w:bidi w:val="0"/>
              <w:spacing w:beforeAutospacing="0" w:afterAutospacing="0" w:line="360" w:lineRule="auto"/>
              <w:ind w:left="0" w:leftChars="0" w:right="0" w:firstLine="0" w:firstLineChars="0"/>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采购方式：</w:t>
            </w:r>
          </w:p>
        </w:tc>
        <w:tc>
          <w:tcPr>
            <w:tcW w:w="5216" w:type="dxa"/>
            <w:vAlign w:val="center"/>
          </w:tcPr>
          <w:p w14:paraId="3C9A90E0">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公开招标</w:t>
            </w:r>
          </w:p>
        </w:tc>
      </w:tr>
      <w:tr w14:paraId="53DEA1CB">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71B14F72">
            <w:pPr>
              <w:widowControl w:val="0"/>
              <w:kinsoku/>
              <w:overflowPunct/>
              <w:topLinePunct w:val="0"/>
              <w:bidi w:val="0"/>
              <w:spacing w:beforeAutospacing="0" w:afterAutospacing="0" w:line="360" w:lineRule="auto"/>
              <w:ind w:left="0" w:leftChars="0" w:right="0" w:firstLine="0" w:firstLineChars="0"/>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货币类型：</w:t>
            </w:r>
          </w:p>
        </w:tc>
        <w:tc>
          <w:tcPr>
            <w:tcW w:w="5216" w:type="dxa"/>
            <w:vAlign w:val="center"/>
          </w:tcPr>
          <w:p w14:paraId="2B646DDE">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人民币</w:t>
            </w:r>
          </w:p>
        </w:tc>
      </w:tr>
      <w:tr w14:paraId="6E5CA4A1">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43C82D50">
            <w:pPr>
              <w:widowControl w:val="0"/>
              <w:kinsoku/>
              <w:overflowPunct/>
              <w:topLinePunct w:val="0"/>
              <w:bidi w:val="0"/>
              <w:spacing w:beforeAutospacing="0" w:afterAutospacing="0" w:line="360" w:lineRule="auto"/>
              <w:ind w:left="0" w:leftChars="0" w:right="0" w:firstLine="0" w:firstLineChars="0"/>
              <w:jc w:val="right"/>
              <w:rPr>
                <w:rFonts w:hint="eastAsia" w:ascii="宋体" w:hAnsi="宋体" w:eastAsia="宋体" w:cs="宋体"/>
                <w:kern w:val="2"/>
                <w:sz w:val="30"/>
                <w:szCs w:val="30"/>
                <w:lang w:eastAsia="zh-CN"/>
              </w:rPr>
            </w:pPr>
            <w:r>
              <w:rPr>
                <w:rFonts w:hint="eastAsia" w:ascii="宋体" w:hAnsi="宋体" w:eastAsia="宋体" w:cs="宋体"/>
                <w:kern w:val="2"/>
                <w:sz w:val="30"/>
                <w:szCs w:val="30"/>
                <w:lang w:eastAsia="zh-CN"/>
              </w:rPr>
              <w:t>评标方法：</w:t>
            </w:r>
          </w:p>
        </w:tc>
        <w:tc>
          <w:tcPr>
            <w:tcW w:w="5216" w:type="dxa"/>
            <w:vAlign w:val="center"/>
          </w:tcPr>
          <w:p w14:paraId="125174B6">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30"/>
                <w:szCs w:val="30"/>
                <w:lang w:eastAsia="zh-CN"/>
              </w:rPr>
            </w:pPr>
            <w:r>
              <w:rPr>
                <w:rFonts w:hint="eastAsia" w:ascii="宋体" w:hAnsi="宋体" w:eastAsia="宋体" w:cs="宋体"/>
                <w:sz w:val="30"/>
                <w:szCs w:val="30"/>
                <w:lang w:eastAsia="zh-CN" w:bidi="ar"/>
              </w:rPr>
              <w:t>综合评分法</w:t>
            </w:r>
          </w:p>
        </w:tc>
      </w:tr>
    </w:tbl>
    <w:p w14:paraId="2D0C6713">
      <w:pPr>
        <w:widowControl w:val="0"/>
        <w:tabs>
          <w:tab w:val="left" w:pos="2790"/>
        </w:tabs>
        <w:snapToGrid w:val="0"/>
        <w:spacing w:line="440" w:lineRule="exact"/>
        <w:jc w:val="left"/>
        <w:rPr>
          <w:rFonts w:ascii="宋体" w:hAnsi="宋体" w:eastAsia="宋体"/>
          <w:kern w:val="2"/>
          <w:sz w:val="30"/>
          <w:szCs w:val="30"/>
          <w:lang w:eastAsia="zh-CN"/>
        </w:rPr>
      </w:pPr>
    </w:p>
    <w:p w14:paraId="5B591214">
      <w:pPr>
        <w:widowControl w:val="0"/>
        <w:spacing w:line="360" w:lineRule="auto"/>
        <w:jc w:val="both"/>
        <w:rPr>
          <w:rFonts w:ascii="宋体" w:hAnsi="宋体" w:eastAsia="宋体"/>
          <w:b/>
          <w:bCs/>
          <w:kern w:val="2"/>
          <w:sz w:val="30"/>
          <w:szCs w:val="30"/>
          <w:lang w:eastAsia="zh-CN"/>
        </w:rPr>
      </w:pPr>
    </w:p>
    <w:p w14:paraId="3442D3A8">
      <w:pPr>
        <w:widowControl w:val="0"/>
        <w:spacing w:line="360" w:lineRule="auto"/>
        <w:jc w:val="both"/>
        <w:rPr>
          <w:rFonts w:ascii="宋体" w:hAnsi="宋体" w:eastAsia="宋体"/>
          <w:b/>
          <w:bCs/>
          <w:kern w:val="2"/>
          <w:sz w:val="30"/>
          <w:szCs w:val="30"/>
          <w:lang w:eastAsia="zh-CN"/>
        </w:rPr>
      </w:pPr>
    </w:p>
    <w:p w14:paraId="44366B94">
      <w:pPr>
        <w:widowControl w:val="0"/>
        <w:spacing w:line="360" w:lineRule="auto"/>
        <w:jc w:val="both"/>
        <w:rPr>
          <w:rFonts w:ascii="宋体" w:hAnsi="宋体" w:eastAsia="宋体"/>
          <w:b/>
          <w:bCs/>
          <w:kern w:val="2"/>
          <w:sz w:val="30"/>
          <w:szCs w:val="30"/>
          <w:lang w:eastAsia="zh-CN"/>
        </w:rPr>
      </w:pPr>
    </w:p>
    <w:p w14:paraId="2088780D">
      <w:pPr>
        <w:widowControl w:val="0"/>
        <w:spacing w:line="360" w:lineRule="auto"/>
        <w:jc w:val="both"/>
        <w:rPr>
          <w:rFonts w:ascii="宋体" w:hAnsi="宋体" w:eastAsia="宋体"/>
          <w:b/>
          <w:bCs/>
          <w:kern w:val="2"/>
          <w:sz w:val="30"/>
          <w:szCs w:val="30"/>
          <w:lang w:eastAsia="zh-CN"/>
        </w:rPr>
      </w:pPr>
    </w:p>
    <w:p w14:paraId="4C0A63EA">
      <w:pPr>
        <w:widowControl w:val="0"/>
        <w:spacing w:line="360" w:lineRule="auto"/>
        <w:jc w:val="both"/>
        <w:rPr>
          <w:rFonts w:ascii="宋体" w:hAnsi="宋体" w:eastAsia="宋体"/>
          <w:b/>
          <w:bCs/>
          <w:kern w:val="2"/>
          <w:sz w:val="30"/>
          <w:szCs w:val="30"/>
          <w:lang w:eastAsia="zh-CN"/>
        </w:rPr>
      </w:pPr>
    </w:p>
    <w:p w14:paraId="5FF8FC4D">
      <w:pPr>
        <w:widowControl w:val="0"/>
        <w:spacing w:line="360" w:lineRule="auto"/>
        <w:jc w:val="both"/>
        <w:rPr>
          <w:rFonts w:ascii="宋体" w:hAnsi="宋体" w:eastAsia="宋体"/>
          <w:b/>
          <w:bCs/>
          <w:kern w:val="2"/>
          <w:sz w:val="30"/>
          <w:szCs w:val="30"/>
          <w:lang w:eastAsia="zh-CN"/>
        </w:rPr>
      </w:pPr>
    </w:p>
    <w:p w14:paraId="3464660D">
      <w:pPr>
        <w:widowControl w:val="0"/>
        <w:spacing w:line="360" w:lineRule="auto"/>
        <w:jc w:val="both"/>
        <w:rPr>
          <w:rFonts w:ascii="宋体" w:hAnsi="宋体" w:eastAsia="宋体"/>
          <w:b/>
          <w:bCs/>
          <w:kern w:val="2"/>
          <w:sz w:val="30"/>
          <w:szCs w:val="30"/>
          <w:lang w:eastAsia="zh-CN"/>
        </w:rPr>
      </w:pPr>
    </w:p>
    <w:p w14:paraId="72DF42C9">
      <w:pPr>
        <w:widowControl w:val="0"/>
        <w:spacing w:line="360" w:lineRule="auto"/>
        <w:jc w:val="both"/>
        <w:rPr>
          <w:rFonts w:ascii="宋体" w:hAnsi="宋体" w:eastAsia="宋体"/>
          <w:b/>
          <w:bCs/>
          <w:kern w:val="2"/>
          <w:sz w:val="30"/>
          <w:szCs w:val="30"/>
          <w:lang w:eastAsia="zh-CN"/>
        </w:rPr>
      </w:pPr>
    </w:p>
    <w:p w14:paraId="54FD4A77">
      <w:pPr>
        <w:widowControl w:val="0"/>
        <w:spacing w:line="360" w:lineRule="auto"/>
        <w:jc w:val="both"/>
        <w:rPr>
          <w:rFonts w:ascii="宋体" w:hAnsi="宋体" w:eastAsia="宋体"/>
          <w:b/>
          <w:bCs/>
          <w:kern w:val="2"/>
          <w:sz w:val="30"/>
          <w:szCs w:val="30"/>
          <w:lang w:eastAsia="zh-CN"/>
        </w:rPr>
      </w:pPr>
    </w:p>
    <w:p w14:paraId="405A7D90">
      <w:pPr>
        <w:widowControl w:val="0"/>
        <w:spacing w:line="360" w:lineRule="auto"/>
        <w:jc w:val="both"/>
        <w:rPr>
          <w:rFonts w:ascii="宋体" w:hAnsi="宋体" w:eastAsia="宋体"/>
          <w:b/>
          <w:bCs/>
          <w:kern w:val="2"/>
          <w:sz w:val="30"/>
          <w:szCs w:val="30"/>
          <w:lang w:eastAsia="zh-CN"/>
        </w:rPr>
      </w:pPr>
    </w:p>
    <w:p w14:paraId="051552DC">
      <w:pPr>
        <w:widowControl w:val="0"/>
        <w:spacing w:line="360" w:lineRule="auto"/>
        <w:jc w:val="both"/>
        <w:rPr>
          <w:rFonts w:ascii="宋体" w:hAnsi="宋体" w:eastAsia="宋体"/>
          <w:b/>
          <w:bCs/>
          <w:kern w:val="2"/>
          <w:sz w:val="30"/>
          <w:szCs w:val="30"/>
          <w:lang w:eastAsia="zh-CN"/>
        </w:rPr>
      </w:pPr>
    </w:p>
    <w:p w14:paraId="68ACB513">
      <w:pPr>
        <w:widowControl w:val="0"/>
        <w:spacing w:line="360" w:lineRule="auto"/>
        <w:jc w:val="both"/>
        <w:rPr>
          <w:rFonts w:ascii="宋体" w:hAnsi="宋体" w:eastAsia="宋体"/>
          <w:b/>
          <w:bCs/>
          <w:kern w:val="2"/>
          <w:sz w:val="30"/>
          <w:szCs w:val="30"/>
          <w:lang w:eastAsia="zh-CN"/>
        </w:rPr>
      </w:pPr>
    </w:p>
    <w:p w14:paraId="4DDC5FE6">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36"/>
        <w:gridCol w:w="7790"/>
      </w:tblGrid>
      <w:tr w14:paraId="18627D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C6C786">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777CFEB">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0BDA1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B0EE6E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5E112614">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0F4FC062">
      <w:pPr>
        <w:widowControl w:val="0"/>
        <w:tabs>
          <w:tab w:val="left" w:pos="2790"/>
        </w:tabs>
        <w:snapToGrid w:val="0"/>
        <w:jc w:val="center"/>
        <w:rPr>
          <w:rFonts w:ascii="黑体" w:hAnsi="黑体" w:eastAsia="黑体"/>
          <w:kern w:val="2"/>
          <w:sz w:val="40"/>
          <w:szCs w:val="40"/>
          <w:lang w:eastAsia="zh-CN"/>
        </w:rPr>
      </w:pPr>
    </w:p>
    <w:p w14:paraId="2AACB390">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9"/>
        <w:gridCol w:w="7807"/>
      </w:tblGrid>
      <w:tr w14:paraId="7F63C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30D395">
            <w:pPr>
              <w:widowControl/>
              <w:jc w:val="center"/>
              <w:rPr>
                <w:rFonts w:ascii="宋体" w:hAnsi="宋体" w:eastAsia="宋体"/>
                <w:kern w:val="2"/>
                <w:sz w:val="21"/>
                <w:szCs w:val="21"/>
                <w:lang w:eastAsia="zh-CN"/>
              </w:rPr>
            </w:pPr>
            <w:r>
              <w:rPr>
                <w:rFonts w:ascii="宋体" w:hAnsi="宋体" w:eastAsia="宋体" w:cs="宋体"/>
                <w:sz w:val="21"/>
                <w:szCs w:val="21"/>
                <w:lang w:eastAsia="zh-CN"/>
              </w:rPr>
              <w:t>序号</w:t>
            </w:r>
          </w:p>
        </w:tc>
        <w:tc>
          <w:tcPr>
            <w:tcW w:w="780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15CA0B2">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6F148E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9A18D">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1</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7106B184">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不得将一个包的内容拆开投标；</w:t>
            </w:r>
          </w:p>
        </w:tc>
      </w:tr>
      <w:tr w14:paraId="135066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975DC">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2</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69B67D5D">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对同一项目投标时，不得提供两套以上的投标方案（招标文件另有规定的除外）；</w:t>
            </w:r>
          </w:p>
        </w:tc>
      </w:tr>
      <w:tr w14:paraId="0A1CF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AB045">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3</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39C06660">
            <w:pPr>
              <w:widowControl/>
              <w:jc w:val="left"/>
              <w:textAlignment w:val="top"/>
              <w:rPr>
                <w:rFonts w:ascii="宋体" w:hAnsi="宋体" w:eastAsia="宋体"/>
                <w:kern w:val="2"/>
                <w:sz w:val="21"/>
                <w:szCs w:val="21"/>
                <w:lang w:eastAsia="zh-CN"/>
              </w:rPr>
            </w:pPr>
            <w:r>
              <w:rPr>
                <w:rFonts w:hint="eastAsia" w:ascii="宋体" w:hAnsi="宋体" w:eastAsia="宋体"/>
                <w:b/>
                <w:bCs/>
                <w:kern w:val="2"/>
                <w:sz w:val="21"/>
                <w:szCs w:val="21"/>
                <w:lang w:eastAsia="zh-CN"/>
              </w:rPr>
              <w:t>本项目投标报价以折扣率方式进行报价，折扣率缺填、漏填的, 或填报2个（或以上）的折扣率，折扣率≤0%或折扣率＞100%的，投标人将作投标无效处理；</w:t>
            </w:r>
          </w:p>
        </w:tc>
      </w:tr>
      <w:tr w14:paraId="78529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BA8DE">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4</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3FA54FFF">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446AA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A00D2">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5</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44C537B0">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FA90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22" w:hRule="atLeast"/>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4B958">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6</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057C268E">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14:paraId="70D0E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1DD2C">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5B5C29BF">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投标报价有缺漏项目,或者对招标文件规定的项目需求内容或者需求数量进行修改，评审委员会判定投标响应不满足采购需求；</w:t>
            </w:r>
          </w:p>
        </w:tc>
      </w:tr>
      <w:tr w14:paraId="5EC14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F0677">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8</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7B1B97CC">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投标文件电子文档不得带病毒；</w:t>
            </w:r>
          </w:p>
        </w:tc>
      </w:tr>
      <w:tr w14:paraId="10F96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13" w:hRule="atLeast"/>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C25B9">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9</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604C8603">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投标文件用不属于本公司的电子密钥进行加密的；</w:t>
            </w:r>
          </w:p>
        </w:tc>
      </w:tr>
      <w:tr w14:paraId="254EA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FFC59">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10</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1569762E">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不同投标供应商投标文件“文件制作机器码”一致；</w:t>
            </w:r>
          </w:p>
        </w:tc>
      </w:tr>
      <w:tr w14:paraId="282BCB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468FB">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11</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35B33AA1">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不同投标供应商投标文件“文件创建标识码”一致；</w:t>
            </w:r>
          </w:p>
        </w:tc>
      </w:tr>
      <w:tr w14:paraId="6C466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9B086">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12</w:t>
            </w:r>
          </w:p>
        </w:tc>
        <w:tc>
          <w:tcPr>
            <w:tcW w:w="7807" w:type="dxa"/>
            <w:tcBorders>
              <w:top w:val="single" w:color="000000" w:sz="8" w:space="0"/>
              <w:left w:val="single" w:color="000000" w:sz="8" w:space="0"/>
              <w:bottom w:val="single" w:color="000000" w:sz="8" w:space="0"/>
              <w:right w:val="single" w:color="000000" w:sz="8" w:space="0"/>
            </w:tcBorders>
            <w:shd w:val="clear" w:color="auto" w:fill="auto"/>
          </w:tcPr>
          <w:p w14:paraId="34173ECC">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法律、法规、规章、规范性文件规定的其他情形。</w:t>
            </w:r>
          </w:p>
        </w:tc>
      </w:tr>
    </w:tbl>
    <w:p w14:paraId="5FE51621">
      <w:pPr>
        <w:widowControl w:val="0"/>
        <w:tabs>
          <w:tab w:val="left" w:pos="2790"/>
        </w:tabs>
        <w:snapToGrid w:val="0"/>
        <w:jc w:val="left"/>
        <w:rPr>
          <w:rFonts w:ascii="Calibri" w:hAnsi="Calibri" w:eastAsia="宋体"/>
          <w:kern w:val="2"/>
          <w:lang w:eastAsia="zh-CN"/>
        </w:rPr>
      </w:pPr>
    </w:p>
    <w:p w14:paraId="7D984545">
      <w:pPr>
        <w:widowControl w:val="0"/>
        <w:tabs>
          <w:tab w:val="left" w:pos="2790"/>
        </w:tabs>
        <w:snapToGrid w:val="0"/>
        <w:jc w:val="left"/>
        <w:rPr>
          <w:rFonts w:ascii="Calibri" w:hAnsi="Calibri" w:eastAsia="宋体"/>
          <w:kern w:val="2"/>
          <w:lang w:eastAsia="zh-CN"/>
        </w:rPr>
      </w:pPr>
    </w:p>
    <w:p w14:paraId="1782EFBF">
      <w:pPr>
        <w:widowControl w:val="0"/>
        <w:tabs>
          <w:tab w:val="left" w:pos="2790"/>
        </w:tabs>
        <w:snapToGrid w:val="0"/>
        <w:jc w:val="left"/>
        <w:rPr>
          <w:rFonts w:ascii="Calibri" w:hAnsi="Calibri" w:eastAsia="宋体"/>
          <w:kern w:val="2"/>
          <w:lang w:eastAsia="zh-CN"/>
        </w:rPr>
      </w:pPr>
    </w:p>
    <w:p w14:paraId="4B63381A">
      <w:pPr>
        <w:widowControl w:val="0"/>
        <w:tabs>
          <w:tab w:val="left" w:pos="2790"/>
        </w:tabs>
        <w:snapToGrid w:val="0"/>
        <w:jc w:val="left"/>
        <w:rPr>
          <w:rFonts w:ascii="Calibri" w:hAnsi="Calibri" w:eastAsia="宋体"/>
          <w:kern w:val="2"/>
          <w:lang w:eastAsia="zh-CN"/>
        </w:rPr>
      </w:pPr>
    </w:p>
    <w:p w14:paraId="1322D519">
      <w:pPr>
        <w:widowControl w:val="0"/>
        <w:tabs>
          <w:tab w:val="left" w:pos="2790"/>
        </w:tabs>
        <w:snapToGrid w:val="0"/>
        <w:jc w:val="left"/>
        <w:rPr>
          <w:rFonts w:ascii="Calibri" w:hAnsi="Calibri" w:eastAsia="宋体"/>
          <w:kern w:val="2"/>
          <w:lang w:eastAsia="zh-CN"/>
        </w:rPr>
      </w:pPr>
    </w:p>
    <w:p w14:paraId="50E4E8F5">
      <w:pPr>
        <w:widowControl w:val="0"/>
        <w:tabs>
          <w:tab w:val="left" w:pos="2790"/>
        </w:tabs>
        <w:snapToGrid w:val="0"/>
        <w:jc w:val="left"/>
        <w:rPr>
          <w:rFonts w:ascii="Calibri" w:hAnsi="Calibri" w:eastAsia="宋体"/>
          <w:kern w:val="2"/>
          <w:lang w:eastAsia="zh-CN"/>
        </w:rPr>
      </w:pPr>
    </w:p>
    <w:p w14:paraId="07588696">
      <w:pPr>
        <w:widowControl w:val="0"/>
        <w:tabs>
          <w:tab w:val="left" w:pos="2790"/>
        </w:tabs>
        <w:snapToGrid w:val="0"/>
        <w:jc w:val="left"/>
        <w:rPr>
          <w:rFonts w:ascii="Calibri" w:hAnsi="Calibri" w:eastAsia="宋体"/>
          <w:kern w:val="2"/>
          <w:lang w:eastAsia="zh-CN"/>
        </w:rPr>
      </w:pPr>
    </w:p>
    <w:p w14:paraId="7E1BDFEA">
      <w:pPr>
        <w:widowControl w:val="0"/>
        <w:tabs>
          <w:tab w:val="left" w:pos="2790"/>
        </w:tabs>
        <w:snapToGrid w:val="0"/>
        <w:jc w:val="left"/>
        <w:rPr>
          <w:rFonts w:ascii="Calibri" w:hAnsi="Calibri" w:eastAsia="宋体"/>
          <w:kern w:val="2"/>
          <w:lang w:eastAsia="zh-CN"/>
        </w:rPr>
      </w:pPr>
    </w:p>
    <w:p w14:paraId="174D1227">
      <w:pPr>
        <w:widowControl w:val="0"/>
        <w:tabs>
          <w:tab w:val="left" w:pos="2790"/>
        </w:tabs>
        <w:snapToGrid w:val="0"/>
        <w:jc w:val="left"/>
        <w:rPr>
          <w:rFonts w:ascii="Calibri" w:hAnsi="Calibri" w:eastAsia="宋体"/>
          <w:kern w:val="2"/>
          <w:lang w:eastAsia="zh-CN"/>
        </w:rPr>
      </w:pPr>
    </w:p>
    <w:p w14:paraId="0FA0421A">
      <w:pPr>
        <w:widowControl w:val="0"/>
        <w:tabs>
          <w:tab w:val="left" w:pos="2790"/>
        </w:tabs>
        <w:snapToGrid w:val="0"/>
        <w:jc w:val="left"/>
        <w:rPr>
          <w:rFonts w:ascii="Calibri" w:hAnsi="Calibri" w:eastAsia="宋体"/>
          <w:kern w:val="2"/>
          <w:lang w:eastAsia="zh-CN"/>
        </w:rPr>
      </w:pPr>
    </w:p>
    <w:p w14:paraId="6DA11D32">
      <w:pPr>
        <w:widowControl w:val="0"/>
        <w:tabs>
          <w:tab w:val="left" w:pos="2790"/>
        </w:tabs>
        <w:snapToGrid w:val="0"/>
        <w:jc w:val="left"/>
        <w:rPr>
          <w:rFonts w:ascii="Calibri" w:hAnsi="Calibri" w:eastAsia="宋体"/>
          <w:kern w:val="2"/>
          <w:lang w:eastAsia="zh-CN"/>
        </w:rPr>
      </w:pPr>
    </w:p>
    <w:p w14:paraId="47AB4478">
      <w:pPr>
        <w:widowControl/>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11"/>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8400"/>
      </w:tblGrid>
      <w:tr w14:paraId="4263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556E1725">
            <w:pPr>
              <w:widowControl w:val="0"/>
              <w:jc w:val="left"/>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44F2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248E428F">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p w14:paraId="25E83C53">
            <w:pPr>
              <w:widowControl w:val="0"/>
              <w:ind w:firstLine="420"/>
              <w:jc w:val="both"/>
              <w:rPr>
                <w:rFonts w:ascii="Calibri" w:hAnsi="Calibri" w:eastAsia="宋体"/>
                <w:kern w:val="2"/>
                <w:sz w:val="21"/>
                <w:szCs w:val="22"/>
                <w:lang w:eastAsia="zh-CN"/>
              </w:rPr>
            </w:pPr>
          </w:p>
          <w:p w14:paraId="44B2D6A2">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17CDE38C">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14:paraId="713AD68E">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 xml:space="preserve">投标报价得分=(评标基准价／投标报价)×100 </w:t>
            </w:r>
          </w:p>
          <w:p w14:paraId="18A7371B">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 xml:space="preserve">评标总得分＝F1×A1＋F2×A2＋……＋Fn×An </w:t>
            </w:r>
          </w:p>
          <w:p w14:paraId="51522D1A">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 xml:space="preserve">F1、F2……Fn分别为各项评审因素的得分； </w:t>
            </w:r>
          </w:p>
          <w:p w14:paraId="0C74A793">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 xml:space="preserve">A1、A2、……An 分别为各项评审因素所占的权重(A1＋A2＋……＋An＝1)。 </w:t>
            </w:r>
          </w:p>
          <w:p w14:paraId="22212697">
            <w:pPr>
              <w:widowControl/>
              <w:spacing w:before="100" w:beforeAutospacing="0" w:afterAutospacing="0"/>
              <w:ind w:left="420"/>
              <w:jc w:val="left"/>
              <w:rPr>
                <w:rFonts w:ascii="宋体" w:hAnsi="宋体" w:eastAsia="宋体"/>
                <w:kern w:val="2"/>
                <w:sz w:val="21"/>
                <w:szCs w:val="21"/>
                <w:lang w:eastAsia="zh-CN"/>
              </w:rPr>
            </w:pPr>
            <w:r>
              <w:rPr>
                <w:rFonts w:ascii="宋体" w:hAnsi="宋体" w:eastAsia="宋体" w:cstheme="minorBidi"/>
                <w:kern w:val="2"/>
                <w:sz w:val="21"/>
                <w:szCs w:val="21"/>
                <w:lang w:eastAsia="zh-CN"/>
              </w:rPr>
              <w:t>评标过程中，不得去掉报价中的最高报价和最低报价。</w:t>
            </w:r>
          </w:p>
          <w:p w14:paraId="5115525B">
            <w:pPr>
              <w:widowControl/>
              <w:spacing w:before="100" w:beforeAutospacing="0" w:afterAutospacing="0"/>
              <w:ind w:left="420"/>
              <w:jc w:val="left"/>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4F249FAF">
      <w:pPr>
        <w:widowControl w:val="0"/>
        <w:jc w:val="both"/>
        <w:rPr>
          <w:rFonts w:ascii="Calibri" w:hAnsi="Calibri" w:eastAsia="宋体"/>
          <w:kern w:val="2"/>
          <w:sz w:val="21"/>
          <w:szCs w:val="22"/>
          <w:lang w:eastAsia="zh-CN"/>
        </w:rPr>
      </w:pPr>
    </w:p>
    <w:tbl>
      <w:tblPr>
        <w:tblStyle w:val="11"/>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4"/>
        <w:gridCol w:w="1784"/>
        <w:gridCol w:w="841"/>
        <w:gridCol w:w="4406"/>
      </w:tblGrid>
      <w:tr w14:paraId="4388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shd w:val="clear" w:color="auto" w:fill="BEBEBE"/>
            <w:noWrap w:val="0"/>
            <w:vAlign w:val="center"/>
          </w:tcPr>
          <w:p w14:paraId="51735024">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99" w:type="pct"/>
            <w:gridSpan w:val="3"/>
            <w:shd w:val="clear" w:color="auto" w:fill="BEBEBE"/>
            <w:noWrap w:val="0"/>
            <w:vAlign w:val="center"/>
          </w:tcPr>
          <w:p w14:paraId="74638232">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2583" w:type="pct"/>
            <w:shd w:val="clear" w:color="auto" w:fill="BEBEBE"/>
            <w:noWrap w:val="0"/>
            <w:vAlign w:val="center"/>
          </w:tcPr>
          <w:p w14:paraId="4A65C9AF">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分值</w:t>
            </w:r>
          </w:p>
        </w:tc>
      </w:tr>
      <w:tr w14:paraId="6E56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noWrap w:val="0"/>
            <w:vAlign w:val="center"/>
          </w:tcPr>
          <w:p w14:paraId="414D4AC2">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w:t>
            </w:r>
          </w:p>
        </w:tc>
        <w:tc>
          <w:tcPr>
            <w:tcW w:w="1999" w:type="pct"/>
            <w:gridSpan w:val="3"/>
            <w:noWrap w:val="0"/>
            <w:vAlign w:val="center"/>
          </w:tcPr>
          <w:p w14:paraId="076B4AB2">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价格部分</w:t>
            </w:r>
          </w:p>
        </w:tc>
        <w:tc>
          <w:tcPr>
            <w:tcW w:w="2583" w:type="pct"/>
            <w:noWrap w:val="0"/>
            <w:vAlign w:val="center"/>
          </w:tcPr>
          <w:p w14:paraId="27E8013D">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10分</w:t>
            </w:r>
          </w:p>
        </w:tc>
      </w:tr>
      <w:tr w14:paraId="3BE6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noWrap w:val="0"/>
            <w:vAlign w:val="center"/>
          </w:tcPr>
          <w:p w14:paraId="5863E75A">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w:t>
            </w:r>
          </w:p>
        </w:tc>
        <w:tc>
          <w:tcPr>
            <w:tcW w:w="1999" w:type="pct"/>
            <w:gridSpan w:val="3"/>
            <w:noWrap w:val="0"/>
            <w:vAlign w:val="center"/>
          </w:tcPr>
          <w:p w14:paraId="0749CE37">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技术部分</w:t>
            </w:r>
          </w:p>
        </w:tc>
        <w:tc>
          <w:tcPr>
            <w:tcW w:w="2583" w:type="pct"/>
            <w:noWrap w:val="0"/>
            <w:vAlign w:val="center"/>
          </w:tcPr>
          <w:p w14:paraId="5F078B44">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44分</w:t>
            </w:r>
          </w:p>
        </w:tc>
      </w:tr>
      <w:tr w14:paraId="0F45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restart"/>
            <w:shd w:val="clear" w:color="auto" w:fill="auto"/>
            <w:noWrap w:val="0"/>
            <w:vAlign w:val="center"/>
          </w:tcPr>
          <w:p w14:paraId="4B5256B8">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rPr>
            </w:pPr>
          </w:p>
        </w:tc>
        <w:tc>
          <w:tcPr>
            <w:tcW w:w="460" w:type="pct"/>
            <w:shd w:val="clear" w:color="auto" w:fill="BEBEBE"/>
            <w:noWrap w:val="0"/>
            <w:vAlign w:val="center"/>
          </w:tcPr>
          <w:p w14:paraId="3498CBE2">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46" w:type="pct"/>
            <w:shd w:val="clear" w:color="auto" w:fill="BEBEBE"/>
            <w:noWrap w:val="0"/>
            <w:vAlign w:val="center"/>
          </w:tcPr>
          <w:p w14:paraId="2841643E">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评分因素</w:t>
            </w:r>
          </w:p>
        </w:tc>
        <w:tc>
          <w:tcPr>
            <w:tcW w:w="493" w:type="pct"/>
            <w:shd w:val="clear" w:color="auto" w:fill="BEBEBE"/>
            <w:noWrap w:val="0"/>
            <w:vAlign w:val="center"/>
          </w:tcPr>
          <w:p w14:paraId="32ECCAAA">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w:t>
            </w:r>
          </w:p>
        </w:tc>
        <w:tc>
          <w:tcPr>
            <w:tcW w:w="2583" w:type="pct"/>
            <w:shd w:val="clear" w:color="auto" w:fill="BEBEBE"/>
            <w:noWrap w:val="0"/>
            <w:vAlign w:val="center"/>
          </w:tcPr>
          <w:p w14:paraId="11B1104A">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评分准则</w:t>
            </w:r>
          </w:p>
        </w:tc>
      </w:tr>
      <w:tr w14:paraId="2C21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7CB3F1FF">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rPr>
            </w:pPr>
          </w:p>
        </w:tc>
        <w:tc>
          <w:tcPr>
            <w:tcW w:w="460" w:type="pct"/>
            <w:noWrap w:val="0"/>
            <w:vAlign w:val="center"/>
          </w:tcPr>
          <w:p w14:paraId="4909109E">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sz w:val="21"/>
                <w:szCs w:val="21"/>
              </w:rPr>
              <w:t>1</w:t>
            </w:r>
          </w:p>
        </w:tc>
        <w:tc>
          <w:tcPr>
            <w:tcW w:w="1046" w:type="pct"/>
            <w:noWrap w:val="0"/>
            <w:vAlign w:val="center"/>
          </w:tcPr>
          <w:p w14:paraId="19B6A681">
            <w:pPr>
              <w:jc w:val="center"/>
              <w:rPr>
                <w:rFonts w:hint="eastAsia" w:ascii="宋体" w:hAnsi="宋体" w:eastAsia="宋体" w:cs="宋体"/>
                <w:kern w:val="2"/>
                <w:sz w:val="21"/>
                <w:szCs w:val="21"/>
                <w:lang w:eastAsia="zh-CN"/>
              </w:rPr>
            </w:pPr>
            <w:r>
              <w:rPr>
                <w:rFonts w:hint="eastAsia" w:ascii="宋体" w:hAnsi="宋体" w:eastAsia="宋体" w:cs="宋体"/>
                <w:sz w:val="21"/>
                <w:szCs w:val="21"/>
              </w:rPr>
              <w:t>项目整体设想及规划方案</w:t>
            </w:r>
          </w:p>
        </w:tc>
        <w:tc>
          <w:tcPr>
            <w:tcW w:w="493" w:type="pct"/>
            <w:noWrap w:val="0"/>
            <w:vAlign w:val="center"/>
          </w:tcPr>
          <w:p w14:paraId="16019664">
            <w:pPr>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w:t>
            </w:r>
          </w:p>
        </w:tc>
        <w:tc>
          <w:tcPr>
            <w:tcW w:w="2583" w:type="pct"/>
            <w:noWrap w:val="0"/>
            <w:vAlign w:val="center"/>
          </w:tcPr>
          <w:p w14:paraId="157F4F79">
            <w:pPr>
              <w:rPr>
                <w:rFonts w:hint="eastAsia" w:ascii="宋体" w:hAnsi="宋体" w:eastAsia="宋体" w:cs="宋体"/>
                <w:b/>
                <w:bCs/>
                <w:sz w:val="21"/>
                <w:szCs w:val="21"/>
              </w:rPr>
            </w:pPr>
            <w:r>
              <w:rPr>
                <w:rFonts w:hint="eastAsia" w:ascii="宋体" w:hAnsi="宋体" w:eastAsia="宋体" w:cs="宋体"/>
                <w:b/>
                <w:bCs/>
                <w:sz w:val="21"/>
                <w:szCs w:val="21"/>
              </w:rPr>
              <w:t>（一）评分内容：</w:t>
            </w:r>
          </w:p>
          <w:p w14:paraId="2B99E761">
            <w:pPr>
              <w:rPr>
                <w:rFonts w:hint="eastAsia" w:ascii="宋体" w:hAnsi="宋体" w:eastAsia="宋体" w:cs="宋体"/>
                <w:sz w:val="21"/>
                <w:szCs w:val="21"/>
              </w:rPr>
            </w:pPr>
            <w:r>
              <w:rPr>
                <w:rFonts w:hint="eastAsia" w:ascii="宋体" w:hAnsi="宋体" w:eastAsia="宋体" w:cs="宋体"/>
                <w:sz w:val="21"/>
                <w:szCs w:val="21"/>
              </w:rPr>
              <w:t>考察针对本项目的项目整体设想及规划方案，方案内容包括以下内容：</w:t>
            </w:r>
          </w:p>
          <w:p w14:paraId="1425F866">
            <w:pPr>
              <w:rPr>
                <w:rFonts w:hint="eastAsia" w:ascii="宋体" w:hAnsi="宋体" w:eastAsia="宋体" w:cs="宋体"/>
                <w:sz w:val="21"/>
                <w:szCs w:val="21"/>
              </w:rPr>
            </w:pPr>
            <w:r>
              <w:rPr>
                <w:rFonts w:hint="eastAsia" w:ascii="宋体" w:hAnsi="宋体" w:eastAsia="宋体" w:cs="宋体"/>
                <w:sz w:val="21"/>
                <w:szCs w:val="21"/>
              </w:rPr>
              <w:t>1、专项服务小组人员配备（</w:t>
            </w:r>
            <w:r>
              <w:rPr>
                <w:rFonts w:hint="eastAsia" w:ascii="宋体" w:hAnsi="宋体" w:eastAsia="宋体" w:cs="宋体"/>
                <w:sz w:val="21"/>
                <w:szCs w:val="21"/>
                <w:lang w:eastAsia="zh-CN"/>
              </w:rPr>
              <w:t>至少</w:t>
            </w:r>
            <w:r>
              <w:rPr>
                <w:rFonts w:hint="eastAsia" w:ascii="宋体" w:hAnsi="宋体" w:eastAsia="宋体" w:cs="宋体"/>
                <w:sz w:val="21"/>
                <w:szCs w:val="21"/>
              </w:rPr>
              <w:t>包括人员配置、职责分工）；</w:t>
            </w:r>
          </w:p>
          <w:p w14:paraId="4FB98670">
            <w:pPr>
              <w:rPr>
                <w:rFonts w:hint="eastAsia" w:ascii="宋体" w:hAnsi="宋体" w:eastAsia="宋体" w:cs="宋体"/>
                <w:sz w:val="21"/>
                <w:szCs w:val="21"/>
              </w:rPr>
            </w:pPr>
            <w:r>
              <w:rPr>
                <w:rFonts w:hint="eastAsia" w:ascii="宋体" w:hAnsi="宋体" w:eastAsia="宋体" w:cs="宋体"/>
                <w:sz w:val="21"/>
                <w:szCs w:val="21"/>
              </w:rPr>
              <w:t>2、质量安全控制措施（</w:t>
            </w:r>
            <w:r>
              <w:rPr>
                <w:rFonts w:hint="eastAsia" w:ascii="宋体" w:hAnsi="宋体" w:eastAsia="宋体" w:cs="宋体"/>
                <w:sz w:val="21"/>
                <w:szCs w:val="21"/>
                <w:lang w:eastAsia="zh-CN"/>
              </w:rPr>
              <w:t>至少</w:t>
            </w:r>
            <w:r>
              <w:rPr>
                <w:rFonts w:hint="eastAsia" w:ascii="宋体" w:hAnsi="宋体" w:eastAsia="宋体" w:cs="宋体"/>
                <w:sz w:val="21"/>
                <w:szCs w:val="21"/>
              </w:rPr>
              <w:t>包括食品来源</w:t>
            </w:r>
            <w:r>
              <w:rPr>
                <w:rFonts w:hint="eastAsia" w:ascii="宋体" w:hAnsi="宋体" w:eastAsia="宋体" w:cs="宋体"/>
                <w:sz w:val="21"/>
                <w:szCs w:val="21"/>
                <w:lang w:eastAsia="zh-CN"/>
              </w:rPr>
              <w:t>、供应商管理制度</w:t>
            </w:r>
            <w:r>
              <w:rPr>
                <w:rFonts w:hint="eastAsia" w:ascii="宋体" w:hAnsi="宋体" w:eastAsia="宋体" w:cs="宋体"/>
                <w:sz w:val="21"/>
                <w:szCs w:val="21"/>
              </w:rPr>
              <w:t>、入库</w:t>
            </w:r>
            <w:r>
              <w:rPr>
                <w:rFonts w:hint="eastAsia" w:ascii="宋体" w:hAnsi="宋体" w:eastAsia="宋体" w:cs="宋体"/>
                <w:sz w:val="21"/>
                <w:szCs w:val="21"/>
                <w:lang w:eastAsia="zh-CN"/>
              </w:rPr>
              <w:t>及</w:t>
            </w:r>
            <w:r>
              <w:rPr>
                <w:rFonts w:hint="eastAsia" w:ascii="宋体" w:hAnsi="宋体" w:eastAsia="宋体" w:cs="宋体"/>
                <w:sz w:val="21"/>
                <w:szCs w:val="21"/>
              </w:rPr>
              <w:t>出库等全过程的检测与监管措施）；</w:t>
            </w:r>
          </w:p>
          <w:p w14:paraId="1FD9F5C3">
            <w:pPr>
              <w:rPr>
                <w:rFonts w:hint="eastAsia" w:ascii="宋体" w:hAnsi="宋体" w:eastAsia="宋体" w:cs="宋体"/>
                <w:sz w:val="21"/>
                <w:szCs w:val="21"/>
              </w:rPr>
            </w:pPr>
            <w:r>
              <w:rPr>
                <w:rFonts w:hint="eastAsia" w:ascii="宋体" w:hAnsi="宋体" w:eastAsia="宋体" w:cs="宋体"/>
                <w:sz w:val="21"/>
                <w:szCs w:val="21"/>
              </w:rPr>
              <w:t>3、配送服务计划（</w:t>
            </w:r>
            <w:r>
              <w:rPr>
                <w:rFonts w:hint="eastAsia" w:ascii="宋体" w:hAnsi="宋体" w:eastAsia="宋体" w:cs="宋体"/>
                <w:sz w:val="21"/>
                <w:szCs w:val="21"/>
                <w:lang w:eastAsia="zh-CN"/>
              </w:rPr>
              <w:t>至少</w:t>
            </w:r>
            <w:r>
              <w:rPr>
                <w:rFonts w:hint="eastAsia" w:ascii="宋体" w:hAnsi="宋体" w:eastAsia="宋体" w:cs="宋体"/>
                <w:sz w:val="21"/>
                <w:szCs w:val="21"/>
              </w:rPr>
              <w:t>包括配送流程、客户沟通</w:t>
            </w:r>
            <w:r>
              <w:rPr>
                <w:rFonts w:hint="eastAsia" w:ascii="宋体" w:hAnsi="宋体" w:eastAsia="宋体" w:cs="宋体"/>
                <w:sz w:val="21"/>
                <w:szCs w:val="21"/>
                <w:lang w:eastAsia="zh-CN"/>
              </w:rPr>
              <w:t>方案</w:t>
            </w:r>
            <w:r>
              <w:rPr>
                <w:rFonts w:hint="eastAsia" w:ascii="宋体" w:hAnsi="宋体" w:eastAsia="宋体" w:cs="宋体"/>
                <w:sz w:val="21"/>
                <w:szCs w:val="21"/>
              </w:rPr>
              <w:t>、项目重点难点分析、专业性意见及合理化建议）。</w:t>
            </w:r>
          </w:p>
          <w:p w14:paraId="757BA8A2">
            <w:pPr>
              <w:rPr>
                <w:rFonts w:hint="eastAsia" w:ascii="宋体" w:hAnsi="宋体" w:eastAsia="宋体" w:cs="宋体"/>
                <w:b/>
                <w:bCs/>
                <w:sz w:val="21"/>
                <w:szCs w:val="21"/>
              </w:rPr>
            </w:pPr>
            <w:r>
              <w:rPr>
                <w:rFonts w:hint="eastAsia" w:ascii="宋体" w:hAnsi="宋体" w:eastAsia="宋体" w:cs="宋体"/>
                <w:b/>
                <w:bCs/>
                <w:sz w:val="21"/>
                <w:szCs w:val="21"/>
              </w:rPr>
              <w:t>（二）评分依据：</w:t>
            </w:r>
          </w:p>
          <w:p w14:paraId="0B8FA2DD">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提供以上3点内容得30%分，缺项不得分</w:t>
            </w:r>
            <w:r>
              <w:rPr>
                <w:rFonts w:hint="eastAsia" w:ascii="宋体" w:hAnsi="宋体" w:eastAsia="宋体" w:cs="宋体"/>
                <w:sz w:val="21"/>
                <w:szCs w:val="21"/>
              </w:rPr>
              <w:t>。</w:t>
            </w:r>
          </w:p>
          <w:p w14:paraId="28622775">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2、在此基础上，专家根据各供应商的具体响应内容进一步评审：</w:t>
            </w:r>
          </w:p>
          <w:p w14:paraId="3A5F0B12">
            <w:pPr>
              <w:rPr>
                <w:rFonts w:hint="eastAsia" w:ascii="宋体" w:hAnsi="宋体" w:eastAsia="宋体" w:cs="宋体"/>
                <w:sz w:val="21"/>
                <w:szCs w:val="21"/>
                <w:lang w:eastAsia="zh-CN"/>
              </w:rPr>
            </w:pPr>
            <w:r>
              <w:rPr>
                <w:rFonts w:hint="eastAsia" w:ascii="宋体" w:hAnsi="宋体" w:eastAsia="宋体" w:cs="宋体"/>
                <w:sz w:val="21"/>
                <w:szCs w:val="21"/>
              </w:rPr>
              <w:t>（1）评审为优</w:t>
            </w:r>
            <w:r>
              <w:rPr>
                <w:rFonts w:hint="eastAsia" w:ascii="宋体" w:hAnsi="宋体" w:eastAsia="宋体" w:cs="宋体"/>
                <w:sz w:val="21"/>
                <w:szCs w:val="21"/>
                <w:lang w:eastAsia="zh-CN"/>
              </w:rPr>
              <w:t>（项目整体设想及规划方案符合实际情况且人员配备及质量安全控制措施完善，且配送服务计划的</w:t>
            </w:r>
            <w:r>
              <w:rPr>
                <w:rFonts w:hint="eastAsia" w:ascii="宋体" w:hAnsi="宋体" w:eastAsia="宋体" w:cs="宋体"/>
                <w:sz w:val="21"/>
                <w:szCs w:val="21"/>
              </w:rPr>
              <w:t>可操作性强</w:t>
            </w:r>
            <w:r>
              <w:rPr>
                <w:rFonts w:hint="eastAsia" w:ascii="宋体" w:hAnsi="宋体" w:eastAsia="宋体" w:cs="宋体"/>
                <w:sz w:val="21"/>
                <w:szCs w:val="21"/>
                <w:lang w:eastAsia="zh-CN"/>
              </w:rPr>
              <w:t>）</w:t>
            </w:r>
            <w:r>
              <w:rPr>
                <w:rFonts w:hint="eastAsia" w:ascii="宋体" w:hAnsi="宋体" w:eastAsia="宋体" w:cs="宋体"/>
                <w:sz w:val="21"/>
                <w:szCs w:val="21"/>
              </w:rPr>
              <w:t>的，</w:t>
            </w:r>
            <w:r>
              <w:rPr>
                <w:rFonts w:hint="eastAsia" w:ascii="宋体" w:hAnsi="宋体" w:eastAsia="宋体" w:cs="宋体"/>
                <w:sz w:val="21"/>
                <w:szCs w:val="21"/>
                <w:lang w:eastAsia="zh-CN"/>
              </w:rPr>
              <w:t>评价为优得70%分。</w:t>
            </w:r>
          </w:p>
          <w:p w14:paraId="452848A5">
            <w:pPr>
              <w:rPr>
                <w:rFonts w:hint="eastAsia" w:ascii="宋体" w:hAnsi="宋体" w:eastAsia="宋体" w:cs="宋体"/>
                <w:sz w:val="21"/>
                <w:szCs w:val="21"/>
              </w:rPr>
            </w:pPr>
            <w:r>
              <w:rPr>
                <w:rFonts w:hint="eastAsia" w:ascii="宋体" w:hAnsi="宋体" w:eastAsia="宋体" w:cs="宋体"/>
                <w:sz w:val="21"/>
                <w:szCs w:val="21"/>
              </w:rPr>
              <w:t>（2）评审为</w:t>
            </w:r>
            <w:r>
              <w:rPr>
                <w:rFonts w:hint="eastAsia" w:ascii="宋体" w:hAnsi="宋体" w:eastAsia="宋体" w:cs="宋体"/>
                <w:sz w:val="21"/>
                <w:szCs w:val="21"/>
                <w:lang w:eastAsia="zh-CN"/>
              </w:rPr>
              <w:t>良（项目整体设想及规划方案较符合实际情况且人员配备及质量安全控制措施较完善，且配送服务计划的</w:t>
            </w:r>
            <w:r>
              <w:rPr>
                <w:rFonts w:hint="eastAsia" w:ascii="宋体" w:hAnsi="宋体" w:eastAsia="宋体" w:cs="宋体"/>
                <w:sz w:val="21"/>
                <w:szCs w:val="21"/>
              </w:rPr>
              <w:t>可操作性</w:t>
            </w:r>
            <w:r>
              <w:rPr>
                <w:rFonts w:hint="eastAsia" w:ascii="宋体" w:hAnsi="宋体" w:eastAsia="宋体" w:cs="宋体"/>
                <w:sz w:val="21"/>
                <w:szCs w:val="21"/>
                <w:lang w:eastAsia="zh-CN"/>
              </w:rPr>
              <w:t>较</w:t>
            </w:r>
            <w:r>
              <w:rPr>
                <w:rFonts w:hint="eastAsia" w:ascii="宋体" w:hAnsi="宋体" w:eastAsia="宋体" w:cs="宋体"/>
                <w:sz w:val="21"/>
                <w:szCs w:val="21"/>
              </w:rPr>
              <w:t>强</w:t>
            </w:r>
            <w:r>
              <w:rPr>
                <w:rFonts w:hint="eastAsia" w:ascii="宋体" w:hAnsi="宋体" w:eastAsia="宋体" w:cs="宋体"/>
                <w:sz w:val="21"/>
                <w:szCs w:val="21"/>
                <w:lang w:eastAsia="zh-CN"/>
              </w:rPr>
              <w:t>）</w:t>
            </w:r>
            <w:r>
              <w:rPr>
                <w:rFonts w:hint="eastAsia" w:ascii="宋体" w:hAnsi="宋体" w:eastAsia="宋体" w:cs="宋体"/>
                <w:sz w:val="21"/>
                <w:szCs w:val="21"/>
              </w:rPr>
              <w:t>的，</w:t>
            </w:r>
            <w:r>
              <w:rPr>
                <w:rFonts w:hint="eastAsia" w:ascii="宋体" w:hAnsi="宋体" w:eastAsia="宋体" w:cs="宋体"/>
                <w:sz w:val="21"/>
                <w:szCs w:val="21"/>
                <w:lang w:eastAsia="zh-CN"/>
              </w:rPr>
              <w:t>评价为良得30%分。</w:t>
            </w:r>
          </w:p>
          <w:p w14:paraId="2F371146">
            <w:pPr>
              <w:rPr>
                <w:rFonts w:hint="eastAsia" w:ascii="宋体" w:hAnsi="宋体" w:eastAsia="宋体" w:cs="宋体"/>
                <w:sz w:val="21"/>
                <w:szCs w:val="21"/>
              </w:rPr>
            </w:pPr>
            <w:r>
              <w:rPr>
                <w:rFonts w:hint="eastAsia" w:ascii="宋体" w:hAnsi="宋体" w:eastAsia="宋体" w:cs="宋体"/>
                <w:sz w:val="21"/>
                <w:szCs w:val="21"/>
              </w:rPr>
              <w:t>（3）评审为</w:t>
            </w:r>
            <w:r>
              <w:rPr>
                <w:rFonts w:hint="eastAsia" w:ascii="宋体" w:hAnsi="宋体" w:eastAsia="宋体" w:cs="宋体"/>
                <w:sz w:val="21"/>
                <w:szCs w:val="21"/>
                <w:lang w:eastAsia="zh-CN"/>
              </w:rPr>
              <w:t>中（项目整体设想及规划方案不符合实际情况且人员配备及质量安全控制措施不完善，且配送服务计划的</w:t>
            </w:r>
            <w:r>
              <w:rPr>
                <w:rFonts w:hint="eastAsia" w:ascii="宋体" w:hAnsi="宋体" w:eastAsia="宋体" w:cs="宋体"/>
                <w:sz w:val="21"/>
                <w:szCs w:val="21"/>
              </w:rPr>
              <w:t>可操作性</w:t>
            </w:r>
            <w:r>
              <w:rPr>
                <w:rFonts w:hint="eastAsia" w:ascii="宋体" w:hAnsi="宋体" w:eastAsia="宋体" w:cs="宋体"/>
                <w:sz w:val="21"/>
                <w:szCs w:val="21"/>
                <w:lang w:eastAsia="zh-CN"/>
              </w:rPr>
              <w:t>一般）</w:t>
            </w:r>
            <w:r>
              <w:rPr>
                <w:rFonts w:hint="eastAsia" w:ascii="宋体" w:hAnsi="宋体" w:eastAsia="宋体" w:cs="宋体"/>
                <w:sz w:val="21"/>
                <w:szCs w:val="21"/>
              </w:rPr>
              <w:t>的，</w:t>
            </w:r>
            <w:r>
              <w:rPr>
                <w:rFonts w:hint="eastAsia" w:ascii="宋体" w:hAnsi="宋体" w:eastAsia="宋体" w:cs="宋体"/>
                <w:sz w:val="21"/>
                <w:szCs w:val="21"/>
                <w:lang w:eastAsia="zh-CN"/>
              </w:rPr>
              <w:t>评价为中得10%分。</w:t>
            </w:r>
          </w:p>
          <w:p w14:paraId="2A067C2F">
            <w:pPr>
              <w:pageBreakBefore w:val="0"/>
              <w:kinsoku/>
              <w:overflowPunct/>
              <w:topLinePunct w:val="0"/>
              <w:autoSpaceDE/>
              <w:autoSpaceDN/>
              <w:bidi w:val="0"/>
              <w:adjustRightInd/>
              <w:spacing w:afterLines="0" w:line="360" w:lineRule="auto"/>
              <w:textAlignment w:val="auto"/>
              <w:rPr>
                <w:rFonts w:hint="eastAsia" w:ascii="宋体" w:hAnsi="宋体" w:eastAsia="宋体" w:cs="宋体"/>
                <w:kern w:val="2"/>
                <w:sz w:val="21"/>
                <w:szCs w:val="21"/>
                <w:lang w:eastAsia="zh-CN"/>
              </w:rPr>
            </w:pPr>
            <w:r>
              <w:rPr>
                <w:rFonts w:hint="eastAsia" w:ascii="宋体" w:hAnsi="宋体" w:eastAsia="宋体" w:cs="宋体"/>
                <w:sz w:val="21"/>
                <w:szCs w:val="21"/>
              </w:rPr>
              <w:t>（4）评审为</w:t>
            </w:r>
            <w:r>
              <w:rPr>
                <w:rFonts w:hint="eastAsia" w:ascii="宋体" w:hAnsi="宋体" w:eastAsia="宋体" w:cs="宋体"/>
                <w:sz w:val="21"/>
                <w:szCs w:val="21"/>
                <w:lang w:eastAsia="zh-CN"/>
              </w:rPr>
              <w:t>差（项目整体设想及规划方案不符合实际情况且人员配备及质量安全控制措施不完善，且配送服务计划的</w:t>
            </w:r>
            <w:r>
              <w:rPr>
                <w:rFonts w:hint="eastAsia" w:ascii="宋体" w:hAnsi="宋体" w:eastAsia="宋体" w:cs="宋体"/>
                <w:sz w:val="21"/>
                <w:szCs w:val="21"/>
              </w:rPr>
              <w:t>可操作性</w:t>
            </w:r>
            <w:r>
              <w:rPr>
                <w:rFonts w:hint="eastAsia" w:ascii="宋体" w:hAnsi="宋体" w:eastAsia="宋体" w:cs="宋体"/>
                <w:sz w:val="21"/>
                <w:szCs w:val="21"/>
                <w:lang w:eastAsia="zh-CN"/>
              </w:rPr>
              <w:t>差）</w:t>
            </w:r>
            <w:r>
              <w:rPr>
                <w:rFonts w:hint="eastAsia" w:ascii="宋体" w:hAnsi="宋体" w:eastAsia="宋体" w:cs="宋体"/>
                <w:sz w:val="21"/>
                <w:szCs w:val="21"/>
              </w:rPr>
              <w:t>的，</w:t>
            </w:r>
            <w:r>
              <w:rPr>
                <w:rFonts w:hint="eastAsia" w:ascii="宋体" w:hAnsi="宋体" w:eastAsia="宋体" w:cs="宋体"/>
                <w:sz w:val="21"/>
                <w:szCs w:val="21"/>
                <w:lang w:eastAsia="zh-CN"/>
              </w:rPr>
              <w:t>评价为差不得分。</w:t>
            </w:r>
          </w:p>
        </w:tc>
      </w:tr>
      <w:tr w14:paraId="7B7A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5FBEFFBB">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rPr>
            </w:pPr>
          </w:p>
        </w:tc>
        <w:tc>
          <w:tcPr>
            <w:tcW w:w="460" w:type="pct"/>
            <w:noWrap w:val="0"/>
            <w:vAlign w:val="center"/>
          </w:tcPr>
          <w:p w14:paraId="5D83FD6A">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46" w:type="pct"/>
            <w:noWrap w:val="0"/>
            <w:vAlign w:val="center"/>
          </w:tcPr>
          <w:p w14:paraId="570E9F2A">
            <w:pPr>
              <w:jc w:val="center"/>
              <w:rPr>
                <w:rFonts w:hint="eastAsia" w:ascii="宋体" w:hAnsi="宋体" w:eastAsia="宋体" w:cs="宋体"/>
                <w:kern w:val="2"/>
                <w:sz w:val="21"/>
                <w:szCs w:val="21"/>
                <w:lang w:eastAsia="zh-CN"/>
              </w:rPr>
            </w:pPr>
            <w:r>
              <w:rPr>
                <w:rFonts w:hint="eastAsia" w:ascii="宋体" w:hAnsi="宋体" w:eastAsia="宋体" w:cs="宋体"/>
                <w:sz w:val="21"/>
                <w:szCs w:val="21"/>
              </w:rPr>
              <w:t>质量保障方案</w:t>
            </w:r>
          </w:p>
        </w:tc>
        <w:tc>
          <w:tcPr>
            <w:tcW w:w="493" w:type="pct"/>
            <w:noWrap w:val="0"/>
            <w:vAlign w:val="center"/>
          </w:tcPr>
          <w:p w14:paraId="1D889568">
            <w:pPr>
              <w:spacing w:line="32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w:t>
            </w:r>
          </w:p>
        </w:tc>
        <w:tc>
          <w:tcPr>
            <w:tcW w:w="2583" w:type="pct"/>
            <w:noWrap w:val="0"/>
            <w:vAlign w:val="top"/>
          </w:tcPr>
          <w:p w14:paraId="17A3C793">
            <w:pPr>
              <w:rPr>
                <w:rFonts w:hint="eastAsia" w:ascii="宋体" w:hAnsi="宋体" w:eastAsia="宋体" w:cs="宋体"/>
                <w:b/>
                <w:sz w:val="21"/>
                <w:szCs w:val="21"/>
              </w:rPr>
            </w:pPr>
            <w:r>
              <w:rPr>
                <w:rFonts w:hint="eastAsia" w:ascii="宋体" w:hAnsi="宋体" w:eastAsia="宋体" w:cs="宋体"/>
                <w:b/>
                <w:sz w:val="21"/>
                <w:szCs w:val="21"/>
              </w:rPr>
              <w:t>（一）评审内容：</w:t>
            </w:r>
          </w:p>
          <w:p w14:paraId="6ECBA4F6">
            <w:pPr>
              <w:spacing w:line="320" w:lineRule="exact"/>
              <w:rPr>
                <w:rFonts w:hint="eastAsia" w:ascii="宋体" w:hAnsi="宋体" w:eastAsia="宋体" w:cs="宋体"/>
                <w:sz w:val="21"/>
                <w:szCs w:val="21"/>
              </w:rPr>
            </w:pPr>
            <w:r>
              <w:rPr>
                <w:rFonts w:hint="eastAsia" w:ascii="宋体" w:hAnsi="宋体" w:eastAsia="宋体" w:cs="宋体"/>
                <w:sz w:val="21"/>
                <w:szCs w:val="21"/>
              </w:rPr>
              <w:t>考察投标人针对本项目提供的质量保障方案，包括以下内容:</w:t>
            </w:r>
          </w:p>
          <w:p w14:paraId="2AFA403F">
            <w:pPr>
              <w:spacing w:line="320" w:lineRule="exact"/>
              <w:rPr>
                <w:rFonts w:hint="eastAsia" w:ascii="宋体" w:hAnsi="宋体" w:eastAsia="宋体" w:cs="宋体"/>
                <w:sz w:val="21"/>
                <w:szCs w:val="21"/>
              </w:rPr>
            </w:pPr>
            <w:r>
              <w:rPr>
                <w:rFonts w:hint="eastAsia" w:ascii="宋体" w:hAnsi="宋体" w:eastAsia="宋体" w:cs="宋体"/>
                <w:sz w:val="21"/>
                <w:szCs w:val="21"/>
              </w:rPr>
              <w:t>1、食品安全控制方案（包括但不限于食品入库、出库的检测与监管措施、食品安全保障制度等）；</w:t>
            </w:r>
          </w:p>
          <w:p w14:paraId="29605BFC">
            <w:pPr>
              <w:spacing w:line="320" w:lineRule="exact"/>
              <w:rPr>
                <w:rFonts w:hint="eastAsia" w:ascii="宋体" w:hAnsi="宋体" w:eastAsia="宋体" w:cs="宋体"/>
                <w:sz w:val="21"/>
                <w:szCs w:val="21"/>
              </w:rPr>
            </w:pPr>
            <w:r>
              <w:rPr>
                <w:rFonts w:hint="eastAsia" w:ascii="宋体" w:hAnsi="宋体" w:eastAsia="宋体" w:cs="宋体"/>
                <w:sz w:val="21"/>
                <w:szCs w:val="21"/>
              </w:rPr>
              <w:t>2、品质监控方案（包括但不限于食材品质的监控和质量管控措施、食材采购索证验收管理制度、操作规程等）；</w:t>
            </w:r>
          </w:p>
          <w:p w14:paraId="1CD4204E">
            <w:pPr>
              <w:spacing w:line="320" w:lineRule="exact"/>
              <w:rPr>
                <w:rFonts w:hint="eastAsia" w:ascii="宋体" w:hAnsi="宋体" w:eastAsia="宋体" w:cs="宋体"/>
                <w:sz w:val="21"/>
                <w:szCs w:val="21"/>
              </w:rPr>
            </w:pPr>
            <w:r>
              <w:rPr>
                <w:rFonts w:hint="eastAsia" w:ascii="宋体" w:hAnsi="宋体" w:eastAsia="宋体" w:cs="宋体"/>
                <w:sz w:val="21"/>
                <w:szCs w:val="21"/>
              </w:rPr>
              <w:t>3、服务质量保障方案（包括但不限于服务标准与目标，服务稳定性保障措施，主要管理人员素质等)。</w:t>
            </w:r>
          </w:p>
          <w:p w14:paraId="5EAB9C0C">
            <w:pPr>
              <w:rPr>
                <w:rFonts w:hint="eastAsia" w:ascii="宋体" w:hAnsi="宋体" w:eastAsia="宋体" w:cs="宋体"/>
                <w:b/>
                <w:sz w:val="21"/>
                <w:szCs w:val="21"/>
              </w:rPr>
            </w:pPr>
            <w:r>
              <w:rPr>
                <w:rFonts w:hint="eastAsia" w:ascii="宋体" w:hAnsi="宋体" w:eastAsia="宋体" w:cs="宋体"/>
                <w:b/>
                <w:sz w:val="21"/>
                <w:szCs w:val="21"/>
              </w:rPr>
              <w:t>（二）评审标准：</w:t>
            </w:r>
          </w:p>
          <w:p w14:paraId="3B039345">
            <w:pPr>
              <w:spacing w:line="32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提供以上3点内容得30%分，缺项不得分</w:t>
            </w:r>
            <w:r>
              <w:rPr>
                <w:rFonts w:hint="eastAsia" w:ascii="宋体" w:hAnsi="宋体" w:eastAsia="宋体" w:cs="宋体"/>
                <w:sz w:val="21"/>
                <w:szCs w:val="21"/>
              </w:rPr>
              <w:t>。</w:t>
            </w:r>
          </w:p>
          <w:p w14:paraId="069126F1">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在此基础上，专家根据内容的合理性进行评分：</w:t>
            </w:r>
          </w:p>
          <w:p w14:paraId="7D34250A">
            <w:pPr>
              <w:rPr>
                <w:rFonts w:hint="eastAsia" w:ascii="宋体" w:hAnsi="宋体" w:eastAsia="宋体" w:cs="宋体"/>
                <w:sz w:val="21"/>
                <w:szCs w:val="21"/>
              </w:rPr>
            </w:pPr>
            <w:r>
              <w:rPr>
                <w:rFonts w:hint="eastAsia" w:ascii="宋体" w:hAnsi="宋体" w:eastAsia="宋体" w:cs="宋体"/>
                <w:sz w:val="21"/>
                <w:szCs w:val="21"/>
              </w:rPr>
              <w:t>评审为优方案符合实际、完整、详细、规范、思路清晰，内容合理性强，</w:t>
            </w:r>
            <w:r>
              <w:rPr>
                <w:rFonts w:hint="eastAsia" w:ascii="宋体" w:hAnsi="宋体" w:eastAsia="宋体" w:cs="宋体"/>
                <w:sz w:val="21"/>
                <w:szCs w:val="21"/>
                <w:lang w:eastAsia="zh-CN"/>
              </w:rPr>
              <w:t>评价为优得70%分。</w:t>
            </w:r>
          </w:p>
          <w:p w14:paraId="31388F65">
            <w:pPr>
              <w:spacing w:line="320" w:lineRule="exact"/>
              <w:rPr>
                <w:rFonts w:hint="eastAsia" w:ascii="宋体" w:hAnsi="宋体" w:eastAsia="宋体" w:cs="宋体"/>
                <w:sz w:val="21"/>
                <w:szCs w:val="21"/>
              </w:rPr>
            </w:pPr>
            <w:r>
              <w:rPr>
                <w:rFonts w:hint="eastAsia" w:ascii="宋体" w:hAnsi="宋体" w:eastAsia="宋体" w:cs="宋体"/>
                <w:sz w:val="21"/>
                <w:szCs w:val="21"/>
              </w:rPr>
              <w:t>评审为</w:t>
            </w:r>
            <w:r>
              <w:rPr>
                <w:rFonts w:hint="eastAsia" w:ascii="宋体" w:hAnsi="宋体" w:eastAsia="宋体" w:cs="宋体"/>
                <w:sz w:val="21"/>
                <w:szCs w:val="21"/>
                <w:lang w:eastAsia="zh-CN"/>
              </w:rPr>
              <w:t>良</w:t>
            </w:r>
            <w:r>
              <w:rPr>
                <w:rFonts w:hint="eastAsia" w:ascii="宋体" w:hAnsi="宋体" w:eastAsia="宋体" w:cs="宋体"/>
                <w:sz w:val="21"/>
                <w:szCs w:val="21"/>
              </w:rPr>
              <w:t>方案较符合实际、较完整规范、思路较清晰，内容合理性较强，</w:t>
            </w:r>
            <w:r>
              <w:rPr>
                <w:rFonts w:hint="eastAsia" w:ascii="宋体" w:hAnsi="宋体" w:eastAsia="宋体" w:cs="宋体"/>
                <w:sz w:val="21"/>
                <w:szCs w:val="21"/>
                <w:lang w:eastAsia="zh-CN"/>
              </w:rPr>
              <w:t>评价为良得30%分。</w:t>
            </w:r>
          </w:p>
          <w:p w14:paraId="0E5F7503">
            <w:pPr>
              <w:spacing w:line="320" w:lineRule="exact"/>
              <w:rPr>
                <w:rFonts w:hint="eastAsia" w:ascii="宋体" w:hAnsi="宋体" w:eastAsia="宋体" w:cs="宋体"/>
                <w:sz w:val="21"/>
                <w:szCs w:val="21"/>
              </w:rPr>
            </w:pPr>
            <w:r>
              <w:rPr>
                <w:rFonts w:hint="eastAsia" w:ascii="宋体" w:hAnsi="宋体" w:eastAsia="宋体" w:cs="宋体"/>
                <w:sz w:val="21"/>
                <w:szCs w:val="21"/>
              </w:rPr>
              <w:t>评审为</w:t>
            </w:r>
            <w:r>
              <w:rPr>
                <w:rFonts w:hint="eastAsia" w:ascii="宋体" w:hAnsi="宋体" w:eastAsia="宋体" w:cs="宋体"/>
                <w:sz w:val="21"/>
                <w:szCs w:val="21"/>
                <w:lang w:eastAsia="zh-CN"/>
              </w:rPr>
              <w:t>中</w:t>
            </w:r>
            <w:r>
              <w:rPr>
                <w:rFonts w:hint="eastAsia" w:ascii="宋体" w:hAnsi="宋体" w:eastAsia="宋体" w:cs="宋体"/>
                <w:sz w:val="21"/>
                <w:szCs w:val="21"/>
              </w:rPr>
              <w:t>方案较普通、完整性规范性一般，思路不够清晰，内容合理性一般</w:t>
            </w:r>
            <w:r>
              <w:rPr>
                <w:rFonts w:hint="eastAsia" w:ascii="宋体" w:hAnsi="宋体" w:eastAsia="宋体" w:cs="宋体"/>
                <w:sz w:val="21"/>
                <w:szCs w:val="21"/>
                <w:lang w:eastAsia="zh-CN"/>
              </w:rPr>
              <w:t>评价为中得10%分。</w:t>
            </w:r>
          </w:p>
          <w:p w14:paraId="7BD2BAB2">
            <w:pPr>
              <w:spacing w:line="320" w:lineRule="exact"/>
              <w:rPr>
                <w:rFonts w:hint="eastAsia" w:ascii="宋体" w:hAnsi="宋体" w:eastAsia="宋体" w:cs="宋体"/>
                <w:kern w:val="2"/>
                <w:sz w:val="21"/>
                <w:szCs w:val="21"/>
                <w:lang w:eastAsia="zh-CN"/>
              </w:rPr>
            </w:pPr>
            <w:r>
              <w:rPr>
                <w:rFonts w:hint="eastAsia" w:ascii="宋体" w:hAnsi="宋体" w:eastAsia="宋体" w:cs="宋体"/>
                <w:sz w:val="21"/>
                <w:szCs w:val="21"/>
              </w:rPr>
              <w:t>评审为</w:t>
            </w:r>
            <w:r>
              <w:rPr>
                <w:rFonts w:hint="eastAsia" w:ascii="宋体" w:hAnsi="宋体" w:eastAsia="宋体" w:cs="宋体"/>
                <w:sz w:val="21"/>
                <w:szCs w:val="21"/>
                <w:lang w:eastAsia="zh-CN"/>
              </w:rPr>
              <w:t>差</w:t>
            </w:r>
            <w:r>
              <w:rPr>
                <w:rFonts w:hint="eastAsia" w:ascii="宋体" w:hAnsi="宋体" w:eastAsia="宋体" w:cs="宋体"/>
                <w:sz w:val="21"/>
                <w:szCs w:val="21"/>
              </w:rPr>
              <w:t>：方案不完整、不规范，思路不清晰，内容合理性较差或未提供</w:t>
            </w:r>
            <w:r>
              <w:rPr>
                <w:rFonts w:hint="eastAsia" w:ascii="宋体" w:hAnsi="宋体" w:eastAsia="宋体" w:cs="宋体"/>
                <w:sz w:val="21"/>
                <w:szCs w:val="21"/>
                <w:lang w:eastAsia="zh-CN"/>
              </w:rPr>
              <w:t>评价为差不得分。</w:t>
            </w:r>
          </w:p>
        </w:tc>
      </w:tr>
      <w:tr w14:paraId="719F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13349614">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rPr>
            </w:pPr>
          </w:p>
        </w:tc>
        <w:tc>
          <w:tcPr>
            <w:tcW w:w="460" w:type="pct"/>
            <w:noWrap w:val="0"/>
            <w:vAlign w:val="center"/>
          </w:tcPr>
          <w:p w14:paraId="1DB2DC74">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046" w:type="pct"/>
            <w:noWrap w:val="0"/>
            <w:vAlign w:val="center"/>
          </w:tcPr>
          <w:p w14:paraId="660DE32A">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规章管理制度、工作流程等</w:t>
            </w:r>
          </w:p>
        </w:tc>
        <w:tc>
          <w:tcPr>
            <w:tcW w:w="493" w:type="pct"/>
            <w:noWrap w:val="0"/>
            <w:vAlign w:val="center"/>
          </w:tcPr>
          <w:p w14:paraId="1C20E243">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2583" w:type="pct"/>
            <w:noWrap w:val="0"/>
            <w:vAlign w:val="center"/>
          </w:tcPr>
          <w:p w14:paraId="6D868D29">
            <w:pPr>
              <w:pageBreakBefore w:val="0"/>
              <w:kinsoku/>
              <w:overflowPunct/>
              <w:topLinePunct w:val="0"/>
              <w:autoSpaceDE/>
              <w:autoSpaceDN/>
              <w:bidi w:val="0"/>
              <w:adjustRightInd/>
              <w:spacing w:afterLines="0" w:line="360" w:lineRule="auto"/>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（一）评审内容：</w:t>
            </w:r>
          </w:p>
          <w:p w14:paraId="588B3443">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考察针对本项目的项目规章管理制度、工作流程等，包括以下内容：</w:t>
            </w:r>
          </w:p>
          <w:p w14:paraId="47334F36">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1.食品安全保障制度；</w:t>
            </w:r>
          </w:p>
          <w:p w14:paraId="2FDA8E98">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2.人员岗位职责；</w:t>
            </w:r>
          </w:p>
          <w:p w14:paraId="0D5623D1">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3.操作规程；</w:t>
            </w:r>
          </w:p>
          <w:p w14:paraId="7A147D1A">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4.劳动纪律和奖惩办法；</w:t>
            </w:r>
          </w:p>
          <w:p w14:paraId="5322A870">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5.客户投诉反馈管理制度。</w:t>
            </w:r>
          </w:p>
          <w:p w14:paraId="480CC7B8">
            <w:pPr>
              <w:pageBreakBefore w:val="0"/>
              <w:kinsoku/>
              <w:overflowPunct/>
              <w:topLinePunct w:val="0"/>
              <w:autoSpaceDE/>
              <w:autoSpaceDN/>
              <w:bidi w:val="0"/>
              <w:adjustRightInd/>
              <w:spacing w:afterLines="0" w:line="360" w:lineRule="auto"/>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（二）评分依据：</w:t>
            </w:r>
          </w:p>
          <w:p w14:paraId="7F1A242A">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提供以上5点内容得50%分，缺项不得分。在此基础上，专家根据内容的合理性进行评分：</w:t>
            </w:r>
          </w:p>
          <w:p w14:paraId="0C8438FB">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优评分标准：规章管理制度、工作流程详细具体、针对性强、科学合理、可操作性强，评价为优得50%分。</w:t>
            </w:r>
          </w:p>
          <w:p w14:paraId="416B5F00">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良评分标准：规章管理制度、工作流程较为详细具体、针对性较强、较为科学合理、可操作性较强，评价为良得30%分。</w:t>
            </w:r>
          </w:p>
          <w:p w14:paraId="16F4A6F0">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中评分标准：规章管理制度、工作流程不够全面具体、针对性一般、科学合理性一般、可操作性一般，评价为中得10%分。</w:t>
            </w:r>
          </w:p>
          <w:p w14:paraId="1FC6D5F9">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差评分标准：规章管理制度、工作流程无针对性、不科学合理、可操作性差，评价为差不得分。</w:t>
            </w:r>
          </w:p>
          <w:p w14:paraId="47B09A93">
            <w:pPr>
              <w:spacing w:after="60" w:line="360" w:lineRule="auto"/>
              <w:ind w:right="-84" w:rightChars="-35"/>
              <w:jc w:val="left"/>
              <w:rPr>
                <w:rFonts w:hint="eastAsia" w:ascii="宋体" w:hAnsi="宋体" w:eastAsia="宋体" w:cs="宋体"/>
                <w:color w:val="FF0000"/>
                <w:sz w:val="21"/>
                <w:szCs w:val="21"/>
                <w:lang w:eastAsia="zh-CN"/>
              </w:rPr>
            </w:pPr>
            <w:r>
              <w:rPr>
                <w:rFonts w:hint="eastAsia" w:ascii="宋体" w:hAnsi="宋体" w:eastAsia="宋体" w:cs="宋体"/>
                <w:sz w:val="21"/>
                <w:szCs w:val="21"/>
                <w:lang w:eastAsia="zh-CN"/>
              </w:rPr>
              <w:t>未提供方案不得分。</w:t>
            </w:r>
          </w:p>
        </w:tc>
      </w:tr>
      <w:tr w14:paraId="596B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1A478917">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rPr>
            </w:pPr>
          </w:p>
        </w:tc>
        <w:tc>
          <w:tcPr>
            <w:tcW w:w="460" w:type="pct"/>
            <w:noWrap w:val="0"/>
            <w:vAlign w:val="center"/>
          </w:tcPr>
          <w:p w14:paraId="578EE63B">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1046" w:type="pct"/>
            <w:noWrap w:val="0"/>
            <w:vAlign w:val="center"/>
          </w:tcPr>
          <w:p w14:paraId="0A4CDBE2">
            <w:pPr>
              <w:jc w:val="center"/>
              <w:rPr>
                <w:rFonts w:hint="eastAsia" w:ascii="宋体" w:hAnsi="宋体" w:eastAsia="宋体" w:cs="宋体"/>
                <w:kern w:val="2"/>
                <w:sz w:val="21"/>
                <w:szCs w:val="21"/>
                <w:lang w:eastAsia="zh-CN"/>
              </w:rPr>
            </w:pPr>
            <w:r>
              <w:rPr>
                <w:rFonts w:hint="eastAsia" w:ascii="宋体" w:hAnsi="宋体" w:eastAsia="宋体" w:cs="宋体"/>
                <w:sz w:val="21"/>
                <w:szCs w:val="21"/>
                <w:lang w:val="zh-CN"/>
              </w:rPr>
              <w:t>应急方案</w:t>
            </w:r>
          </w:p>
        </w:tc>
        <w:tc>
          <w:tcPr>
            <w:tcW w:w="493" w:type="pct"/>
            <w:noWrap w:val="0"/>
            <w:vAlign w:val="center"/>
          </w:tcPr>
          <w:p w14:paraId="3C0AF75A">
            <w:pPr>
              <w:jc w:val="center"/>
              <w:rPr>
                <w:rFonts w:hint="eastAsia" w:ascii="宋体" w:hAnsi="宋体" w:eastAsia="宋体" w:cs="宋体"/>
                <w:kern w:val="2"/>
                <w:sz w:val="21"/>
                <w:szCs w:val="21"/>
                <w:lang w:eastAsia="zh-CN"/>
              </w:rPr>
            </w:pPr>
            <w:r>
              <w:rPr>
                <w:rFonts w:hint="eastAsia" w:ascii="宋体" w:hAnsi="宋体" w:eastAsia="宋体" w:cs="宋体"/>
                <w:sz w:val="21"/>
                <w:szCs w:val="21"/>
                <w:lang w:eastAsia="zh-CN"/>
              </w:rPr>
              <w:t>10</w:t>
            </w:r>
          </w:p>
        </w:tc>
        <w:tc>
          <w:tcPr>
            <w:tcW w:w="2583" w:type="pct"/>
            <w:noWrap w:val="0"/>
            <w:vAlign w:val="top"/>
          </w:tcPr>
          <w:p w14:paraId="59022FF9">
            <w:pPr>
              <w:rPr>
                <w:rFonts w:hint="eastAsia" w:ascii="宋体" w:hAnsi="宋体" w:eastAsia="宋体" w:cs="宋体"/>
                <w:b/>
                <w:bCs/>
                <w:sz w:val="21"/>
                <w:szCs w:val="21"/>
              </w:rPr>
            </w:pPr>
            <w:r>
              <w:rPr>
                <w:rFonts w:hint="eastAsia" w:ascii="宋体" w:hAnsi="宋体" w:eastAsia="宋体" w:cs="宋体"/>
                <w:b/>
                <w:bCs/>
                <w:sz w:val="21"/>
                <w:szCs w:val="21"/>
              </w:rPr>
              <w:t>（一）评分内容：</w:t>
            </w:r>
          </w:p>
          <w:p w14:paraId="66D195D1">
            <w:pPr>
              <w:rPr>
                <w:rFonts w:hint="eastAsia" w:ascii="宋体" w:hAnsi="宋体" w:eastAsia="宋体" w:cs="宋体"/>
                <w:sz w:val="21"/>
                <w:szCs w:val="21"/>
              </w:rPr>
            </w:pPr>
            <w:r>
              <w:rPr>
                <w:rFonts w:hint="eastAsia" w:ascii="宋体" w:hAnsi="宋体" w:eastAsia="宋体" w:cs="宋体"/>
                <w:sz w:val="21"/>
                <w:szCs w:val="21"/>
              </w:rPr>
              <w:t>考察针对本项目的应急方案，方案包括以下内容：</w:t>
            </w:r>
          </w:p>
          <w:p w14:paraId="2531DEDC">
            <w:pPr>
              <w:rPr>
                <w:rFonts w:hint="eastAsia" w:ascii="宋体" w:hAnsi="宋体" w:eastAsia="宋体" w:cs="宋体"/>
                <w:sz w:val="21"/>
                <w:szCs w:val="21"/>
              </w:rPr>
            </w:pPr>
            <w:r>
              <w:rPr>
                <w:rFonts w:hint="eastAsia" w:ascii="宋体" w:hAnsi="宋体" w:eastAsia="宋体" w:cs="宋体"/>
                <w:sz w:val="21"/>
                <w:szCs w:val="21"/>
              </w:rPr>
              <w:t>1、投标人应急服务能力介绍；</w:t>
            </w:r>
          </w:p>
          <w:p w14:paraId="64F2E417">
            <w:pPr>
              <w:rPr>
                <w:rFonts w:hint="eastAsia" w:ascii="宋体" w:hAnsi="宋体" w:eastAsia="宋体" w:cs="宋体"/>
                <w:sz w:val="21"/>
                <w:szCs w:val="21"/>
              </w:rPr>
            </w:pPr>
            <w:r>
              <w:rPr>
                <w:rFonts w:hint="eastAsia" w:ascii="宋体" w:hAnsi="宋体" w:eastAsia="宋体" w:cs="宋体"/>
                <w:sz w:val="21"/>
                <w:szCs w:val="21"/>
              </w:rPr>
              <w:t>2、应急服务队伍配置情况；</w:t>
            </w:r>
          </w:p>
          <w:p w14:paraId="6B596284">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应急情况分析</w:t>
            </w:r>
            <w:r>
              <w:rPr>
                <w:rFonts w:hint="eastAsia" w:ascii="宋体" w:hAnsi="宋体" w:eastAsia="宋体" w:cs="宋体"/>
                <w:sz w:val="21"/>
                <w:szCs w:val="21"/>
              </w:rPr>
              <w:t>；</w:t>
            </w:r>
          </w:p>
          <w:p w14:paraId="4DEC3BFB">
            <w:pPr>
              <w:rPr>
                <w:rFonts w:hint="eastAsia" w:ascii="宋体" w:hAnsi="宋体" w:eastAsia="宋体" w:cs="宋体"/>
                <w:sz w:val="21"/>
                <w:szCs w:val="21"/>
              </w:rPr>
            </w:pPr>
            <w:r>
              <w:rPr>
                <w:rFonts w:hint="eastAsia" w:ascii="宋体" w:hAnsi="宋体" w:eastAsia="宋体" w:cs="宋体"/>
                <w:sz w:val="21"/>
                <w:szCs w:val="21"/>
              </w:rPr>
              <w:t>4、项目</w:t>
            </w:r>
            <w:r>
              <w:rPr>
                <w:rFonts w:hint="eastAsia" w:ascii="宋体" w:hAnsi="宋体" w:eastAsia="宋体" w:cs="宋体"/>
                <w:sz w:val="21"/>
                <w:szCs w:val="21"/>
                <w:lang w:eastAsia="zh-CN"/>
              </w:rPr>
              <w:t>应急</w:t>
            </w:r>
            <w:r>
              <w:rPr>
                <w:rFonts w:hint="eastAsia" w:ascii="宋体" w:hAnsi="宋体" w:eastAsia="宋体" w:cs="宋体"/>
                <w:sz w:val="21"/>
                <w:szCs w:val="21"/>
              </w:rPr>
              <w:t>保障措施。</w:t>
            </w:r>
          </w:p>
          <w:p w14:paraId="3A875FBC">
            <w:pPr>
              <w:rPr>
                <w:rFonts w:hint="eastAsia" w:ascii="宋体" w:hAnsi="宋体" w:eastAsia="宋体" w:cs="宋体"/>
                <w:b/>
                <w:bCs/>
                <w:sz w:val="21"/>
                <w:szCs w:val="21"/>
              </w:rPr>
            </w:pPr>
            <w:r>
              <w:rPr>
                <w:rFonts w:hint="eastAsia" w:ascii="宋体" w:hAnsi="宋体" w:eastAsia="宋体" w:cs="宋体"/>
                <w:b/>
                <w:bCs/>
                <w:sz w:val="21"/>
                <w:szCs w:val="21"/>
              </w:rPr>
              <w:t>（二）评分依据：</w:t>
            </w:r>
          </w:p>
          <w:p w14:paraId="6FA542EB">
            <w:pP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提供以上4点内容得40%分，缺项不得分。</w:t>
            </w:r>
          </w:p>
          <w:p w14:paraId="544035D0">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2、在此基础上，专家根据各供应商的具体响应内容进一步评审：</w:t>
            </w:r>
          </w:p>
          <w:p w14:paraId="76398AA6">
            <w:pPr>
              <w:pageBreakBefore w:val="0"/>
              <w:kinsoku/>
              <w:overflowPunct/>
              <w:topLinePunct w:val="0"/>
              <w:autoSpaceDE/>
              <w:autoSpaceDN/>
              <w:bidi w:val="0"/>
              <w:adjustRightInd/>
              <w:spacing w:afterLines="0" w:line="360" w:lineRule="auto"/>
              <w:textAlignment w:val="auto"/>
              <w:rPr>
                <w:rFonts w:hint="eastAsia" w:ascii="宋体" w:hAnsi="宋体" w:eastAsia="宋体" w:cs="宋体"/>
                <w:sz w:val="21"/>
                <w:szCs w:val="21"/>
              </w:rPr>
            </w:pPr>
            <w:r>
              <w:rPr>
                <w:rFonts w:hint="eastAsia" w:ascii="宋体" w:hAnsi="宋体" w:eastAsia="宋体" w:cs="宋体"/>
                <w:sz w:val="21"/>
                <w:szCs w:val="21"/>
              </w:rPr>
              <w:t>（1）评审为优</w:t>
            </w:r>
            <w:r>
              <w:rPr>
                <w:rFonts w:hint="eastAsia" w:ascii="宋体" w:hAnsi="宋体" w:eastAsia="宋体" w:cs="宋体"/>
                <w:sz w:val="21"/>
                <w:szCs w:val="21"/>
                <w:lang w:eastAsia="zh-CN"/>
              </w:rPr>
              <w:t>（应急方案清晰，应急服务队伍配置完善，且项目应急保障措施的可操作性强）</w:t>
            </w:r>
            <w:r>
              <w:rPr>
                <w:rFonts w:hint="eastAsia" w:ascii="宋体" w:hAnsi="宋体" w:eastAsia="宋体" w:cs="宋体"/>
                <w:sz w:val="21"/>
                <w:szCs w:val="21"/>
              </w:rPr>
              <w:t>的，</w:t>
            </w:r>
            <w:r>
              <w:rPr>
                <w:rFonts w:hint="eastAsia" w:ascii="宋体" w:hAnsi="宋体" w:eastAsia="宋体" w:cs="宋体"/>
                <w:sz w:val="21"/>
                <w:szCs w:val="21"/>
                <w:lang w:eastAsia="zh-CN"/>
              </w:rPr>
              <w:t>评价为优得60%分。</w:t>
            </w:r>
          </w:p>
          <w:p w14:paraId="60E5DBAF">
            <w:pPr>
              <w:rPr>
                <w:rFonts w:hint="eastAsia" w:ascii="宋体" w:hAnsi="宋体" w:eastAsia="宋体" w:cs="宋体"/>
                <w:sz w:val="21"/>
                <w:szCs w:val="21"/>
              </w:rPr>
            </w:pPr>
            <w:r>
              <w:rPr>
                <w:rFonts w:hint="eastAsia" w:ascii="宋体" w:hAnsi="宋体" w:eastAsia="宋体" w:cs="宋体"/>
                <w:sz w:val="21"/>
                <w:szCs w:val="21"/>
              </w:rPr>
              <w:t>（2）评审为良</w:t>
            </w:r>
            <w:r>
              <w:rPr>
                <w:rFonts w:hint="eastAsia" w:ascii="宋体" w:hAnsi="宋体" w:eastAsia="宋体" w:cs="宋体"/>
                <w:sz w:val="21"/>
                <w:szCs w:val="21"/>
                <w:lang w:eastAsia="zh-CN"/>
              </w:rPr>
              <w:t>（应急方案较清晰，应急服务队伍配置较完善，且项目应急保障措施的可操作性较强）</w:t>
            </w:r>
            <w:r>
              <w:rPr>
                <w:rFonts w:hint="eastAsia" w:ascii="宋体" w:hAnsi="宋体" w:eastAsia="宋体" w:cs="宋体"/>
                <w:sz w:val="21"/>
                <w:szCs w:val="21"/>
              </w:rPr>
              <w:t>的，</w:t>
            </w:r>
            <w:r>
              <w:rPr>
                <w:rFonts w:hint="eastAsia" w:ascii="宋体" w:hAnsi="宋体" w:eastAsia="宋体" w:cs="宋体"/>
                <w:sz w:val="21"/>
                <w:szCs w:val="21"/>
                <w:lang w:eastAsia="zh-CN"/>
              </w:rPr>
              <w:t>评价为良得30%分。</w:t>
            </w:r>
          </w:p>
          <w:p w14:paraId="4FADC8F4">
            <w:pPr>
              <w:rPr>
                <w:rFonts w:hint="eastAsia" w:ascii="宋体" w:hAnsi="宋体" w:eastAsia="宋体" w:cs="宋体"/>
                <w:sz w:val="21"/>
                <w:szCs w:val="21"/>
              </w:rPr>
            </w:pPr>
            <w:r>
              <w:rPr>
                <w:rFonts w:hint="eastAsia" w:ascii="宋体" w:hAnsi="宋体" w:eastAsia="宋体" w:cs="宋体"/>
                <w:sz w:val="21"/>
                <w:szCs w:val="21"/>
              </w:rPr>
              <w:t>（3）评审为中</w:t>
            </w:r>
            <w:r>
              <w:rPr>
                <w:rFonts w:hint="eastAsia" w:ascii="宋体" w:hAnsi="宋体" w:eastAsia="宋体" w:cs="宋体"/>
                <w:sz w:val="21"/>
                <w:szCs w:val="21"/>
                <w:lang w:eastAsia="zh-CN"/>
              </w:rPr>
              <w:t>（应急方案一般清晰，应急服务队伍配置一般完善，且项目应急保障措施的可操作性一般）</w:t>
            </w:r>
            <w:r>
              <w:rPr>
                <w:rFonts w:hint="eastAsia" w:ascii="宋体" w:hAnsi="宋体" w:eastAsia="宋体" w:cs="宋体"/>
                <w:sz w:val="21"/>
                <w:szCs w:val="21"/>
              </w:rPr>
              <w:t>的，</w:t>
            </w:r>
            <w:r>
              <w:rPr>
                <w:rFonts w:hint="eastAsia" w:ascii="宋体" w:hAnsi="宋体" w:eastAsia="宋体" w:cs="宋体"/>
                <w:sz w:val="21"/>
                <w:szCs w:val="21"/>
                <w:lang w:eastAsia="zh-CN"/>
              </w:rPr>
              <w:t>评价为中得10%分。</w:t>
            </w:r>
          </w:p>
          <w:p w14:paraId="5510059E">
            <w:pPr>
              <w:pageBreakBefore w:val="0"/>
              <w:kinsoku/>
              <w:overflowPunct/>
              <w:topLinePunct w:val="0"/>
              <w:autoSpaceDE/>
              <w:autoSpaceDN/>
              <w:bidi w:val="0"/>
              <w:adjustRightInd/>
              <w:spacing w:afterLines="0" w:line="360" w:lineRule="auto"/>
              <w:textAlignment w:val="auto"/>
              <w:rPr>
                <w:rFonts w:hint="eastAsia" w:ascii="宋体" w:hAnsi="宋体" w:eastAsia="宋体" w:cs="宋体"/>
                <w:kern w:val="2"/>
                <w:sz w:val="21"/>
                <w:szCs w:val="21"/>
                <w:lang w:eastAsia="zh-CN"/>
              </w:rPr>
            </w:pPr>
            <w:r>
              <w:rPr>
                <w:rFonts w:hint="eastAsia" w:ascii="宋体" w:hAnsi="宋体" w:eastAsia="宋体" w:cs="宋体"/>
                <w:sz w:val="21"/>
                <w:szCs w:val="21"/>
              </w:rPr>
              <w:t>（4）评审为差</w:t>
            </w:r>
            <w:r>
              <w:rPr>
                <w:rFonts w:hint="eastAsia" w:ascii="宋体" w:hAnsi="宋体" w:eastAsia="宋体" w:cs="宋体"/>
                <w:sz w:val="21"/>
                <w:szCs w:val="21"/>
                <w:lang w:eastAsia="zh-CN"/>
              </w:rPr>
              <w:t>（应急方案不清晰，应急服务队伍配置不完善，且项目应急保障措施的可操作性差）</w:t>
            </w:r>
            <w:r>
              <w:rPr>
                <w:rFonts w:hint="eastAsia" w:ascii="宋体" w:hAnsi="宋体" w:eastAsia="宋体" w:cs="宋体"/>
                <w:sz w:val="21"/>
                <w:szCs w:val="21"/>
              </w:rPr>
              <w:t>的，</w:t>
            </w:r>
            <w:r>
              <w:rPr>
                <w:rFonts w:hint="eastAsia" w:ascii="宋体" w:hAnsi="宋体" w:eastAsia="宋体" w:cs="宋体"/>
                <w:sz w:val="21"/>
                <w:szCs w:val="21"/>
                <w:lang w:eastAsia="zh-CN"/>
              </w:rPr>
              <w:t>评价为差不得分。</w:t>
            </w:r>
          </w:p>
        </w:tc>
      </w:tr>
      <w:tr w14:paraId="7B1F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noWrap w:val="0"/>
            <w:vAlign w:val="center"/>
          </w:tcPr>
          <w:p w14:paraId="1598228C">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3</w:t>
            </w:r>
          </w:p>
        </w:tc>
        <w:tc>
          <w:tcPr>
            <w:tcW w:w="1999" w:type="pct"/>
            <w:gridSpan w:val="3"/>
            <w:noWrap w:val="0"/>
            <w:vAlign w:val="center"/>
          </w:tcPr>
          <w:p w14:paraId="08AB8128">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商务部分</w:t>
            </w:r>
          </w:p>
        </w:tc>
        <w:tc>
          <w:tcPr>
            <w:tcW w:w="2583" w:type="pct"/>
            <w:noWrap w:val="0"/>
            <w:vAlign w:val="center"/>
          </w:tcPr>
          <w:p w14:paraId="4F8ED4E6">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46分</w:t>
            </w:r>
          </w:p>
        </w:tc>
      </w:tr>
      <w:tr w14:paraId="6A03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restart"/>
            <w:shd w:val="clear" w:color="auto" w:fill="auto"/>
            <w:noWrap w:val="0"/>
            <w:vAlign w:val="center"/>
          </w:tcPr>
          <w:p w14:paraId="5BF8F0CA">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shd w:val="clear" w:color="auto" w:fill="BEBEBE"/>
            <w:noWrap w:val="0"/>
            <w:vAlign w:val="center"/>
          </w:tcPr>
          <w:p w14:paraId="7DE5910E">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46" w:type="pct"/>
            <w:shd w:val="clear" w:color="auto" w:fill="BEBEBE"/>
            <w:noWrap w:val="0"/>
            <w:vAlign w:val="center"/>
          </w:tcPr>
          <w:p w14:paraId="65B326DE">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评分因素</w:t>
            </w:r>
          </w:p>
        </w:tc>
        <w:tc>
          <w:tcPr>
            <w:tcW w:w="493" w:type="pct"/>
            <w:shd w:val="clear" w:color="auto" w:fill="BEBEBE"/>
            <w:noWrap w:val="0"/>
            <w:vAlign w:val="center"/>
          </w:tcPr>
          <w:p w14:paraId="227C913B">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w:t>
            </w:r>
          </w:p>
        </w:tc>
        <w:tc>
          <w:tcPr>
            <w:tcW w:w="2583" w:type="pct"/>
            <w:shd w:val="clear" w:color="auto" w:fill="BEBEBE"/>
            <w:noWrap w:val="0"/>
            <w:vAlign w:val="center"/>
          </w:tcPr>
          <w:p w14:paraId="11BAA58A">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评分准则</w:t>
            </w:r>
          </w:p>
        </w:tc>
      </w:tr>
      <w:tr w14:paraId="7D4B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3004B846">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64765B05">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46" w:type="pct"/>
            <w:noWrap w:val="0"/>
            <w:vAlign w:val="center"/>
          </w:tcPr>
          <w:p w14:paraId="746A0984">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体系认证情况</w:t>
            </w:r>
          </w:p>
        </w:tc>
        <w:tc>
          <w:tcPr>
            <w:tcW w:w="493" w:type="pct"/>
            <w:noWrap w:val="0"/>
            <w:vAlign w:val="center"/>
          </w:tcPr>
          <w:p w14:paraId="693914BC">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2583" w:type="pct"/>
            <w:noWrap w:val="0"/>
            <w:vAlign w:val="center"/>
          </w:tcPr>
          <w:p w14:paraId="65ACAC57">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（一）评分内容</w:t>
            </w:r>
            <w:r>
              <w:rPr>
                <w:rFonts w:hint="eastAsia" w:ascii="宋体" w:hAnsi="宋体" w:eastAsia="宋体" w:cs="宋体"/>
                <w:kern w:val="2"/>
                <w:sz w:val="21"/>
                <w:szCs w:val="21"/>
                <w:lang w:eastAsia="zh-CN"/>
              </w:rPr>
              <w:t>：投标人具有下述认证证书</w:t>
            </w:r>
          </w:p>
          <w:p w14:paraId="4E60DA62">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1、通过质量管理体系认证得20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677587B7">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2、通过环境管理体系认证得20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0F93B6D4">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3、通过职业健康安全管理体系认证得20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363C85B4">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4、通过食品安全管理体系认证证书得20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41C6C27E">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eastAsia="zh-CN"/>
              </w:rPr>
              <w:t>5、通过HACCP危害分析与关健控制点认证证书得20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752CFC5B">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以上累计得分，最高得100</w:t>
            </w:r>
            <w:r>
              <w:rPr>
                <w:rFonts w:hint="eastAsia" w:ascii="宋体" w:hAnsi="宋体" w:eastAsia="宋体" w:cs="宋体"/>
                <w:b/>
                <w:bCs/>
                <w:sz w:val="21"/>
                <w:szCs w:val="21"/>
                <w:lang w:eastAsia="zh-CN"/>
              </w:rPr>
              <w:t>%</w:t>
            </w:r>
            <w:r>
              <w:rPr>
                <w:rFonts w:hint="eastAsia" w:ascii="宋体" w:hAnsi="宋体" w:eastAsia="宋体" w:cs="宋体"/>
                <w:b/>
                <w:kern w:val="2"/>
                <w:sz w:val="21"/>
                <w:szCs w:val="21"/>
                <w:lang w:eastAsia="zh-CN"/>
              </w:rPr>
              <w:t>分。</w:t>
            </w:r>
          </w:p>
          <w:p w14:paraId="667298D0">
            <w:pPr>
              <w:jc w:val="left"/>
              <w:rPr>
                <w:rFonts w:hint="eastAsia" w:ascii="宋体" w:hAnsi="宋体" w:eastAsia="宋体" w:cs="宋体"/>
                <w:kern w:val="2"/>
                <w:sz w:val="21"/>
                <w:szCs w:val="21"/>
                <w:lang w:eastAsia="zh-CN"/>
              </w:rPr>
            </w:pPr>
            <w:r>
              <w:rPr>
                <w:rFonts w:hint="eastAsia" w:ascii="宋体" w:hAnsi="宋体" w:eastAsia="宋体" w:cs="宋体"/>
                <w:b/>
                <w:kern w:val="2"/>
                <w:sz w:val="21"/>
                <w:szCs w:val="21"/>
                <w:lang w:eastAsia="zh-CN"/>
              </w:rPr>
              <w:t>（二）证明文件：</w:t>
            </w:r>
            <w:r>
              <w:rPr>
                <w:rFonts w:hint="eastAsia" w:ascii="宋体" w:hAnsi="宋体" w:eastAsia="宋体" w:cs="宋体"/>
                <w:color w:val="000000"/>
                <w:sz w:val="21"/>
                <w:szCs w:val="21"/>
                <w:lang w:eastAsia="zh-CN"/>
              </w:rPr>
              <w:t>提供有效的认证证书作为得分依据；认证证书需同时提供在全国认证认可信息公共服务平台（认e云）查询有效的截图（http://cx.cnca.cn）且编号一致，资料不完整的不得该项分。</w:t>
            </w:r>
          </w:p>
        </w:tc>
      </w:tr>
      <w:tr w14:paraId="56A2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395B07F4">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39318880">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1046" w:type="pct"/>
            <w:noWrap w:val="0"/>
            <w:vAlign w:val="center"/>
          </w:tcPr>
          <w:p w14:paraId="467852EF">
            <w:pPr>
              <w:spacing w:line="360" w:lineRule="auto"/>
              <w:jc w:val="center"/>
              <w:rPr>
                <w:rFonts w:hint="eastAsia" w:ascii="宋体" w:hAnsi="宋体" w:eastAsia="宋体" w:cs="宋体"/>
                <w:kern w:val="2"/>
                <w:sz w:val="21"/>
                <w:szCs w:val="21"/>
                <w:lang w:eastAsia="zh-CN"/>
              </w:rPr>
            </w:pPr>
            <w:r>
              <w:rPr>
                <w:rFonts w:hint="eastAsia" w:ascii="宋体" w:hAnsi="宋体" w:eastAsia="宋体" w:cs="宋体"/>
                <w:color w:val="000000"/>
                <w:sz w:val="21"/>
                <w:szCs w:val="21"/>
              </w:rPr>
              <w:t>检验检测报告</w:t>
            </w:r>
          </w:p>
        </w:tc>
        <w:tc>
          <w:tcPr>
            <w:tcW w:w="493" w:type="pct"/>
            <w:noWrap w:val="0"/>
            <w:vAlign w:val="center"/>
          </w:tcPr>
          <w:p w14:paraId="427CB5BB">
            <w:pPr>
              <w:spacing w:line="360" w:lineRule="auto"/>
              <w:jc w:val="center"/>
              <w:rPr>
                <w:rFonts w:hint="eastAsia" w:ascii="宋体" w:hAnsi="宋体" w:eastAsia="宋体" w:cs="宋体"/>
                <w:kern w:val="2"/>
                <w:sz w:val="21"/>
                <w:szCs w:val="21"/>
                <w:lang w:eastAsia="zh-CN"/>
              </w:rPr>
            </w:pPr>
            <w:r>
              <w:rPr>
                <w:rFonts w:hint="eastAsia" w:ascii="宋体" w:hAnsi="宋体" w:eastAsia="宋体" w:cs="宋体"/>
                <w:sz w:val="21"/>
                <w:szCs w:val="21"/>
                <w:lang w:eastAsia="zh-CN"/>
              </w:rPr>
              <w:t>7</w:t>
            </w:r>
          </w:p>
        </w:tc>
        <w:tc>
          <w:tcPr>
            <w:tcW w:w="2583" w:type="pct"/>
            <w:noWrap w:val="0"/>
            <w:vAlign w:val="top"/>
          </w:tcPr>
          <w:p w14:paraId="67211BA7">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考察内容：</w:t>
            </w:r>
          </w:p>
          <w:p w14:paraId="4C51F52D">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投标人提供2024年1月1日至本项目投标截止之日前，具有CMA认证资质的检测机构出具的检测报告：</w:t>
            </w:r>
          </w:p>
          <w:p w14:paraId="72DCB82C">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①大米类检测项目至少需包含铬(以Cr计),加工精度),苯并[a]芘,不完善粒含量,六六六,滴滴涕,；②小麦粉或面粉类检测项目至少需包含赭曲霉毒素A,玉米赤霉烯酮,铅(以Pb计),镉(以Cd计),苯并[a]芘,毒死蜱；</w:t>
            </w:r>
          </w:p>
          <w:p w14:paraId="140F98FC">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③食用油类检测项目至少需包含庚烯磷,氯磺隆,甲磺隆,茚草酮,特乐酚,三氟硝草醚；</w:t>
            </w:r>
          </w:p>
          <w:p w14:paraId="522A1210">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④乳制品类检测项目至少需包含苯甲酸及其钠盐(以苯甲酸计),糖精钠(以糖精计),铅(以Pb计),蛋白质,脂肪,总汞(以Hg计)；</w:t>
            </w:r>
          </w:p>
          <w:p w14:paraId="20F8D92E">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⑤鲜蛋类检测项目至少需包含铅(以Pb计),总汞(以Hg计),镉(以Cd计),甲硝唑,六六六,滴滴涕；</w:t>
            </w:r>
          </w:p>
          <w:p w14:paraId="555F8E18">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⑥调味品类检测项目至少需包含脱氢乙酸及其钠盐(以脱氢乙酸计),铅(以Pb计),汞,镉,滑石粉,氨基酸态氮(以氮计)；</w:t>
            </w:r>
          </w:p>
          <w:p w14:paraId="4A9EAA0A">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⑦畜肉类检测项目至少需包含五氯酚酸钠(以五氯酚计),氯霉素,甲氧苄啶,克伦特罗,沙丁胺醇,莱克多巴胺；</w:t>
            </w:r>
          </w:p>
          <w:p w14:paraId="2CAC7D49">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⑧冻品类检测项目至少需包含镉(以Cd计),铬(以Cr计),甲硝唑,五氯酚酸钠(以五氯酚计),氯霉素,甲氧苄啶；</w:t>
            </w:r>
          </w:p>
          <w:p w14:paraId="538E5901">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⑨蔬菜类检测项目至少需包含敌敌畏,倍硫磷,敌百虫,水胺硫磷,灭多威,氟虫腈；</w:t>
            </w:r>
          </w:p>
          <w:p w14:paraId="7D8BF42E">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⑩干货类检测项目至少需包含总砷,山梨酸及其钾盐(以山梨酸计),苯甲酸及其钠盐(以苯甲酸计),糖精钠(以糖精计),脱氢乙酸及其钠盐(以脱氢乙酸计),蛋白质；</w:t>
            </w:r>
          </w:p>
          <w:p w14:paraId="03D4D43F">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⑪豆制品类检测项目至少需包含苯甲酸及其钠盐(以苯甲酸计),糖精钠(以糖精计),铅(以Pb计),水分,蛋白质,汞；</w:t>
            </w:r>
          </w:p>
          <w:p w14:paraId="1451CC5E">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⑫水果类检测项目至少需包含铅(以Pb计),镉(以Cd计),甲胺磷,毒死蜱,六六六,滴滴涕,；</w:t>
            </w:r>
          </w:p>
          <w:p w14:paraId="08A23A2E">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⑬水产类检测项目至少需包含氯霉素,地西泮,甲氧苄啶,诺氟沙星,氧氟沙星,呋喃唑酮代谢物(3-氨基-2-恶唑酮)；</w:t>
            </w:r>
          </w:p>
          <w:p w14:paraId="79417DEA">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⑭家禽类检测项目至少需包含呋喃它酮代谢物(5-甲基吗啉-3-氨基-2-恶唑烷基酮),呋喃西林代谢物(氨基脲),呋喃妥因代谢物(1-氨基-乙内酰脲),多西环素,恩诺沙星(恩诺沙星与环丙沙星之和),氟苯尼考；</w:t>
            </w:r>
          </w:p>
          <w:p w14:paraId="025C402F">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投标人提供的以上任意品类的每个检测报告均检测项数量10个或以上的：</w:t>
            </w:r>
          </w:p>
          <w:p w14:paraId="547BD431">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1、每提供一个种类连续三个月（每个月需提供一份）的检测报告的得7.5</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分，最高得100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5D60A715">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2、每提供一个种类连续两个月（每个月需提供一份）的检测报告的得5</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分，最高得70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6A54DDD7">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3、每提供一个种类任意一个月（提供一份）的得3.5</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分，最高得50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13C720BB">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同一种类不可重复得分。</w:t>
            </w:r>
          </w:p>
          <w:p w14:paraId="3A091CDE">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证明文件：</w:t>
            </w:r>
          </w:p>
          <w:p w14:paraId="6B4E43E9">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具有在检验检测机构资质认定证书规定的能力范围内出具合格或达标等同等意义表述的检验检测报告（带有CMA认证标志）；若检测报告注明检测事项不在实施该项检测的机构许可（认可）CMA资质范围内的，则该检测报告视为不满足招标文件要求，对于无法判断机构检测范围的，投标人需提供“检测报告载明的检测事项未超出本机构检测范围”的承诺函（格式自拟）。</w:t>
            </w:r>
          </w:p>
          <w:p w14:paraId="3C8388DB">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2、同时提供查询截图，检测报告应在检测机构官网或者全国认证认可信息公共服务平台（http://cx.cnca.cn/）上进行查询且编号一致；</w:t>
            </w:r>
          </w:p>
          <w:p w14:paraId="09652F57">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3、检验检测报告的委托单位需为投标人，如委托第三方检测的需提供对应月份（覆盖检测月份亦可）的检测费用发票或转账凭证；</w:t>
            </w:r>
          </w:p>
          <w:p w14:paraId="00415D8C">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4、截止投标日前，如果投标人为新成立的单位且成立时间不足三个月的，每任意一个品类提供连续二个月（每个月需提供一份）的检测报告可得7.5</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分，最高得100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 xml:space="preserve">分。 </w:t>
            </w:r>
          </w:p>
          <w:p w14:paraId="1460D96B">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如果投标人为新成立的单位且成立时间不足二个月的，每任意一个品类提供任意一个月的检测报告可得7.5</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分，最高得100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60068A70">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如果投标人为新成立的单位且成立时间不足一个月的，每任意一个品类提供成立之月或开标当月的检测报告可得7.5</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分，最高得100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3A668B39">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投标人成立时间以营业执照的成立日期为准。</w:t>
            </w:r>
          </w:p>
          <w:p w14:paraId="329637C3">
            <w:pPr>
              <w:keepNext w:val="0"/>
              <w:keepLines w:val="0"/>
              <w:pageBreakBefore w:val="0"/>
              <w:widowControl w:val="0"/>
              <w:kinsoku/>
              <w:wordWrap w:val="0"/>
              <w:overflowPunct/>
              <w:topLinePunct w:val="0"/>
              <w:autoSpaceDE/>
              <w:autoSpaceDN/>
              <w:bidi w:val="0"/>
              <w:adjustRightInd/>
              <w:spacing w:line="360" w:lineRule="exact"/>
              <w:textAlignment w:val="auto"/>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5、</w:t>
            </w:r>
            <w:r>
              <w:rPr>
                <w:rFonts w:hint="eastAsia" w:ascii="宋体" w:hAnsi="宋体" w:eastAsia="宋体" w:cs="宋体"/>
                <w:sz w:val="21"/>
                <w:szCs w:val="21"/>
                <w:lang w:eastAsia="zh-CN"/>
              </w:rPr>
              <w:t>未提供或未按要求提供或提供的不清晰导致专家无法判断的，不得分</w:t>
            </w:r>
            <w:r>
              <w:rPr>
                <w:rFonts w:hint="eastAsia" w:ascii="宋体" w:hAnsi="宋体" w:eastAsia="宋体" w:cs="宋体"/>
                <w:sz w:val="21"/>
                <w:szCs w:val="21"/>
              </w:rPr>
              <w:t>。</w:t>
            </w:r>
          </w:p>
        </w:tc>
      </w:tr>
      <w:tr w14:paraId="124A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2603B15F">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0973BB38">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046" w:type="pct"/>
            <w:noWrap w:val="0"/>
            <w:vAlign w:val="center"/>
          </w:tcPr>
          <w:p w14:paraId="21030F15">
            <w:pPr>
              <w:spacing w:line="360" w:lineRule="auto"/>
              <w:jc w:val="center"/>
              <w:rPr>
                <w:rFonts w:hint="eastAsia" w:ascii="宋体" w:hAnsi="宋体" w:eastAsia="宋体" w:cs="宋体"/>
                <w:kern w:val="2"/>
                <w:sz w:val="21"/>
                <w:szCs w:val="21"/>
                <w:lang w:eastAsia="zh-CN"/>
              </w:rPr>
            </w:pPr>
            <w:r>
              <w:rPr>
                <w:rFonts w:hint="eastAsia" w:ascii="宋体" w:hAnsi="宋体" w:eastAsia="宋体" w:cs="宋体"/>
                <w:sz w:val="21"/>
                <w:szCs w:val="21"/>
              </w:rPr>
              <w:t>投标人获奖情况</w:t>
            </w:r>
          </w:p>
        </w:tc>
        <w:tc>
          <w:tcPr>
            <w:tcW w:w="493" w:type="pct"/>
            <w:noWrap w:val="0"/>
            <w:vAlign w:val="center"/>
          </w:tcPr>
          <w:p w14:paraId="31AA3A9B">
            <w:pPr>
              <w:spacing w:line="360" w:lineRule="auto"/>
              <w:jc w:val="center"/>
              <w:rPr>
                <w:rFonts w:hint="eastAsia" w:ascii="宋体" w:hAnsi="宋体" w:eastAsia="宋体" w:cs="宋体"/>
                <w:b/>
                <w:kern w:val="2"/>
                <w:sz w:val="21"/>
                <w:szCs w:val="21"/>
                <w:lang w:eastAsia="zh-CN"/>
              </w:rPr>
            </w:pPr>
            <w:r>
              <w:rPr>
                <w:rFonts w:hint="eastAsia" w:ascii="宋体" w:hAnsi="宋体" w:eastAsia="宋体" w:cs="宋体"/>
                <w:sz w:val="21"/>
                <w:szCs w:val="21"/>
                <w:lang w:eastAsia="zh-CN"/>
              </w:rPr>
              <w:t>4</w:t>
            </w:r>
          </w:p>
        </w:tc>
        <w:tc>
          <w:tcPr>
            <w:tcW w:w="2583" w:type="pct"/>
            <w:noWrap w:val="0"/>
            <w:vAlign w:val="center"/>
          </w:tcPr>
          <w:p w14:paraId="6257C242">
            <w:pPr>
              <w:numPr>
                <w:ilvl w:val="0"/>
                <w:numId w:val="1"/>
              </w:numPr>
              <w:spacing w:line="360" w:lineRule="auto"/>
              <w:ind w:left="-89" w:leftChars="-37" w:right="-84" w:rightChars="-35"/>
              <w:jc w:val="left"/>
              <w:rPr>
                <w:rFonts w:hint="eastAsia" w:ascii="宋体" w:hAnsi="宋体" w:eastAsia="宋体" w:cs="宋体"/>
                <w:b/>
                <w:sz w:val="21"/>
                <w:szCs w:val="21"/>
              </w:rPr>
            </w:pPr>
            <w:r>
              <w:rPr>
                <w:rFonts w:hint="eastAsia" w:ascii="宋体" w:hAnsi="宋体" w:eastAsia="宋体" w:cs="宋体"/>
                <w:b/>
                <w:sz w:val="21"/>
                <w:szCs w:val="21"/>
                <w:lang w:eastAsia="zh-CN"/>
              </w:rPr>
              <w:t>评分内容</w:t>
            </w:r>
            <w:r>
              <w:rPr>
                <w:rFonts w:hint="eastAsia" w:ascii="宋体" w:hAnsi="宋体" w:eastAsia="宋体" w:cs="宋体"/>
                <w:b/>
                <w:sz w:val="21"/>
                <w:szCs w:val="21"/>
              </w:rPr>
              <w:t>：</w:t>
            </w:r>
          </w:p>
          <w:p w14:paraId="396C107A">
            <w:pPr>
              <w:numPr>
                <w:ilvl w:val="0"/>
                <w:numId w:val="0"/>
              </w:numPr>
              <w:spacing w:line="360" w:lineRule="auto"/>
              <w:ind w:left="0" w:right="-84" w:rightChars="-35" w:firstLine="0"/>
              <w:jc w:val="left"/>
              <w:rPr>
                <w:rFonts w:hint="eastAsia" w:ascii="宋体" w:hAnsi="宋体" w:eastAsia="宋体" w:cs="宋体"/>
                <w:sz w:val="21"/>
                <w:szCs w:val="21"/>
              </w:rPr>
            </w:pPr>
            <w:r>
              <w:rPr>
                <w:rFonts w:hint="eastAsia" w:ascii="宋体" w:hAnsi="宋体" w:eastAsia="宋体" w:cs="宋体"/>
                <w:kern w:val="2"/>
                <w:sz w:val="21"/>
                <w:szCs w:val="21"/>
                <w:lang w:eastAsia="zh-CN"/>
              </w:rPr>
              <w:t>投标人具有</w:t>
            </w:r>
            <w:r>
              <w:rPr>
                <w:rFonts w:hint="eastAsia" w:ascii="宋体" w:hAnsi="宋体" w:eastAsia="宋体" w:cs="宋体"/>
                <w:sz w:val="21"/>
                <w:szCs w:val="21"/>
              </w:rPr>
              <w:t>省级</w:t>
            </w:r>
            <w:r>
              <w:rPr>
                <w:rFonts w:hint="eastAsia" w:ascii="宋体" w:hAnsi="宋体" w:eastAsia="宋体" w:cs="宋体"/>
                <w:sz w:val="21"/>
                <w:szCs w:val="21"/>
                <w:lang w:eastAsia="zh-CN"/>
              </w:rPr>
              <w:t>或以上</w:t>
            </w:r>
            <w:r>
              <w:rPr>
                <w:rFonts w:hint="eastAsia" w:ascii="宋体" w:hAnsi="宋体" w:eastAsia="宋体" w:cs="宋体"/>
                <w:sz w:val="21"/>
                <w:szCs w:val="21"/>
              </w:rPr>
              <w:t>（含副省级城市）政府部门或事业单位或协会或机构颁发的餐饮服务类或供应链类或农业类荣誉的，每提供一个得</w:t>
            </w:r>
            <w:r>
              <w:rPr>
                <w:rFonts w:hint="eastAsia" w:ascii="宋体" w:hAnsi="宋体" w:eastAsia="宋体" w:cs="宋体"/>
                <w:sz w:val="21"/>
                <w:szCs w:val="21"/>
                <w:lang w:eastAsia="zh-CN"/>
              </w:rPr>
              <w:t>50%</w:t>
            </w:r>
            <w:r>
              <w:rPr>
                <w:rFonts w:hint="eastAsia" w:ascii="宋体" w:hAnsi="宋体" w:eastAsia="宋体" w:cs="宋体"/>
                <w:sz w:val="21"/>
                <w:szCs w:val="21"/>
              </w:rPr>
              <w:t>分，最高得</w:t>
            </w:r>
            <w:r>
              <w:rPr>
                <w:rFonts w:hint="eastAsia" w:ascii="宋体" w:hAnsi="宋体" w:eastAsia="宋体" w:cs="宋体"/>
                <w:sz w:val="21"/>
                <w:szCs w:val="21"/>
                <w:lang w:eastAsia="zh-CN"/>
              </w:rPr>
              <w:t>100%</w:t>
            </w:r>
            <w:r>
              <w:rPr>
                <w:rFonts w:hint="eastAsia" w:ascii="宋体" w:hAnsi="宋体" w:eastAsia="宋体" w:cs="宋体"/>
                <w:sz w:val="21"/>
                <w:szCs w:val="21"/>
              </w:rPr>
              <w:t>分；</w:t>
            </w:r>
          </w:p>
          <w:p w14:paraId="42CCF0FB">
            <w:pPr>
              <w:spacing w:line="360" w:lineRule="auto"/>
              <w:ind w:left="-89" w:leftChars="-37" w:right="-84" w:rightChars="-35"/>
              <w:jc w:val="left"/>
              <w:rPr>
                <w:rFonts w:hint="eastAsia" w:ascii="宋体" w:hAnsi="宋体" w:eastAsia="宋体" w:cs="宋体"/>
                <w:sz w:val="21"/>
                <w:szCs w:val="21"/>
              </w:rPr>
            </w:pPr>
            <w:r>
              <w:rPr>
                <w:rFonts w:hint="eastAsia" w:ascii="宋体" w:hAnsi="宋体" w:eastAsia="宋体" w:cs="宋体"/>
                <w:sz w:val="21"/>
                <w:szCs w:val="21"/>
              </w:rPr>
              <w:t>同一类证书不可重复得分，按得分高项计分。</w:t>
            </w:r>
          </w:p>
          <w:p w14:paraId="3DF2FA1C">
            <w:pPr>
              <w:widowControl w:val="0"/>
              <w:spacing w:line="360" w:lineRule="auto"/>
              <w:jc w:val="both"/>
              <w:rPr>
                <w:rFonts w:hint="eastAsia" w:ascii="宋体" w:hAnsi="宋体" w:eastAsia="宋体" w:cs="宋体"/>
                <w:b/>
                <w:bCs/>
                <w:kern w:val="2"/>
                <w:sz w:val="21"/>
                <w:szCs w:val="21"/>
                <w:lang w:eastAsia="zh-CN"/>
              </w:rPr>
            </w:pPr>
            <w:r>
              <w:rPr>
                <w:rFonts w:hint="eastAsia" w:ascii="宋体" w:hAnsi="宋体" w:eastAsia="宋体" w:cs="宋体"/>
                <w:b/>
                <w:kern w:val="2"/>
                <w:sz w:val="21"/>
                <w:szCs w:val="21"/>
                <w:lang w:eastAsia="zh-CN"/>
              </w:rPr>
              <w:t>（二）证明文件：</w:t>
            </w:r>
          </w:p>
          <w:p w14:paraId="632564F0">
            <w:pPr>
              <w:spacing w:line="360" w:lineRule="auto"/>
              <w:ind w:left="-89" w:leftChars="-37" w:right="-84" w:rightChars="-35"/>
              <w:jc w:val="left"/>
              <w:rPr>
                <w:rFonts w:hint="eastAsia" w:ascii="宋体" w:hAnsi="宋体" w:eastAsia="宋体" w:cs="宋体"/>
                <w:sz w:val="21"/>
                <w:szCs w:val="21"/>
              </w:rPr>
            </w:pPr>
            <w:r>
              <w:rPr>
                <w:rFonts w:hint="eastAsia" w:ascii="宋体" w:hAnsi="宋体" w:eastAsia="宋体" w:cs="宋体"/>
                <w:sz w:val="21"/>
                <w:szCs w:val="21"/>
              </w:rPr>
              <w:t>1.要求提供有效期内的获奖（荣誉）证书或红头文件或获奖信息的官网截图证明材料作为得分依据，若只提供牌匾形式的，须同时提供政府部门获奖信息的官网截图扫描件或提供颁发部门公章的证明材料，原件备查。</w:t>
            </w:r>
          </w:p>
          <w:p w14:paraId="1B8866D0">
            <w:pPr>
              <w:spacing w:line="360" w:lineRule="auto"/>
              <w:ind w:left="-89" w:leftChars="-37" w:right="-84" w:rightChars="-35"/>
              <w:jc w:val="left"/>
              <w:rPr>
                <w:rFonts w:hint="eastAsia" w:ascii="宋体" w:hAnsi="宋体" w:eastAsia="宋体" w:cs="宋体"/>
                <w:sz w:val="21"/>
                <w:szCs w:val="21"/>
              </w:rPr>
            </w:pPr>
            <w:r>
              <w:rPr>
                <w:rFonts w:hint="eastAsia" w:ascii="宋体" w:hAnsi="宋体" w:eastAsia="宋体" w:cs="宋体"/>
                <w:sz w:val="21"/>
                <w:szCs w:val="21"/>
              </w:rPr>
              <w:t>2.由协会或机构颁发的荣誉还需要同时提供该协会或机构在中国社会组织政务服务平台（网址https://chinanpo.mca.gov.cn)的查询“正常”页面截图。</w:t>
            </w:r>
          </w:p>
          <w:p w14:paraId="3A8E2145">
            <w:pPr>
              <w:spacing w:line="360" w:lineRule="auto"/>
              <w:ind w:left="-89" w:leftChars="-37" w:right="-84" w:rightChars="-35"/>
              <w:jc w:val="left"/>
              <w:rPr>
                <w:rFonts w:hint="eastAsia" w:ascii="宋体" w:hAnsi="宋体" w:eastAsia="宋体" w:cs="宋体"/>
                <w:sz w:val="21"/>
                <w:szCs w:val="21"/>
              </w:rPr>
            </w:pPr>
            <w:r>
              <w:rPr>
                <w:rFonts w:hint="eastAsia" w:ascii="宋体" w:hAnsi="宋体" w:eastAsia="宋体" w:cs="宋体"/>
                <w:sz w:val="21"/>
                <w:szCs w:val="21"/>
              </w:rPr>
              <w:t>3.以上资料均要求提供扫描件，原件备查。</w:t>
            </w:r>
          </w:p>
          <w:p w14:paraId="55737C7A">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b/>
                <w:kern w:val="2"/>
                <w:sz w:val="21"/>
                <w:szCs w:val="21"/>
                <w:lang w:eastAsia="zh-CN"/>
              </w:rPr>
            </w:pPr>
            <w:r>
              <w:rPr>
                <w:rFonts w:hint="eastAsia" w:ascii="宋体" w:hAnsi="宋体" w:eastAsia="宋体" w:cs="宋体"/>
                <w:sz w:val="21"/>
                <w:szCs w:val="21"/>
              </w:rPr>
              <w:t>备注：评分中出现无证明资料或专家无法凭所提供资料判断是否得分的情况，一律作不得分处理。</w:t>
            </w:r>
          </w:p>
        </w:tc>
      </w:tr>
      <w:tr w14:paraId="358B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0E9ABD6D">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5985883A">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1046" w:type="pct"/>
            <w:noWrap w:val="0"/>
            <w:vAlign w:val="center"/>
          </w:tcPr>
          <w:p w14:paraId="109447D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项目负责人情况评价</w:t>
            </w:r>
          </w:p>
        </w:tc>
        <w:tc>
          <w:tcPr>
            <w:tcW w:w="493" w:type="pct"/>
            <w:noWrap w:val="0"/>
            <w:vAlign w:val="center"/>
          </w:tcPr>
          <w:p w14:paraId="056BF20D">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2583" w:type="pct"/>
            <w:noWrap w:val="0"/>
            <w:vAlign w:val="center"/>
          </w:tcPr>
          <w:p w14:paraId="2F0BFC04">
            <w:pPr>
              <w:spacing w:line="360" w:lineRule="auto"/>
              <w:ind w:left="-89" w:leftChars="-37" w:right="-84" w:rightChars="-35"/>
              <w:jc w:val="left"/>
              <w:rPr>
                <w:rFonts w:hint="eastAsia" w:ascii="宋体" w:hAnsi="宋体" w:eastAsia="宋体" w:cs="宋体"/>
                <w:b/>
                <w:sz w:val="21"/>
                <w:szCs w:val="21"/>
              </w:rPr>
            </w:pPr>
            <w:r>
              <w:rPr>
                <w:rFonts w:hint="eastAsia" w:ascii="宋体" w:hAnsi="宋体" w:eastAsia="宋体" w:cs="宋体"/>
                <w:b/>
                <w:sz w:val="21"/>
                <w:szCs w:val="21"/>
                <w:lang w:eastAsia="zh-CN"/>
              </w:rPr>
              <w:t>（一）评分内容</w:t>
            </w:r>
            <w:r>
              <w:rPr>
                <w:rFonts w:hint="eastAsia" w:ascii="宋体" w:hAnsi="宋体" w:eastAsia="宋体" w:cs="宋体"/>
                <w:b/>
                <w:sz w:val="21"/>
                <w:szCs w:val="21"/>
              </w:rPr>
              <w:t>：</w:t>
            </w:r>
          </w:p>
          <w:p w14:paraId="4BD41E5B">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拟安排项目负责人（仅限一人）须为投标人自有员工： 具有高级食品安全管理员培训考核合格证明（或高级食品质量管理师证书）的得100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p>
          <w:p w14:paraId="498CCAFC">
            <w:pPr>
              <w:spacing w:after="60" w:line="360" w:lineRule="auto"/>
              <w:ind w:right="-84" w:rightChars="-35"/>
              <w:jc w:val="left"/>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证明文件：</w:t>
            </w:r>
          </w:p>
          <w:p w14:paraId="5A5F99C8">
            <w:pPr>
              <w:spacing w:after="60" w:line="360" w:lineRule="auto"/>
              <w:ind w:right="-84" w:rightChars="-35"/>
              <w:jc w:val="left"/>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1、提供相关证</w:t>
            </w:r>
            <w:r>
              <w:rPr>
                <w:rFonts w:hint="eastAsia" w:ascii="宋体" w:hAnsi="宋体" w:eastAsia="宋体" w:cs="宋体"/>
                <w:kern w:val="2"/>
                <w:sz w:val="21"/>
                <w:szCs w:val="21"/>
                <w:lang w:eastAsia="zh-CN"/>
              </w:rPr>
              <w:t>书或</w:t>
            </w:r>
            <w:r>
              <w:rPr>
                <w:rFonts w:hint="eastAsia" w:ascii="宋体" w:hAnsi="宋体" w:eastAsia="宋体" w:cs="宋体"/>
                <w:bCs/>
                <w:kern w:val="2"/>
                <w:sz w:val="21"/>
                <w:szCs w:val="21"/>
                <w:lang w:eastAsia="zh-CN"/>
              </w:rPr>
              <w:t>证书官网查询截图</w:t>
            </w:r>
            <w:r>
              <w:rPr>
                <w:rFonts w:hint="eastAsia" w:ascii="宋体" w:hAnsi="宋体" w:eastAsia="宋体" w:cs="宋体"/>
                <w:kern w:val="2"/>
                <w:sz w:val="21"/>
                <w:szCs w:val="21"/>
                <w:lang w:eastAsia="zh-CN"/>
              </w:rPr>
              <w:t>，原件备查。</w:t>
            </w:r>
            <w:r>
              <w:rPr>
                <w:rFonts w:hint="eastAsia" w:ascii="宋体" w:hAnsi="宋体" w:eastAsia="宋体" w:cs="宋体"/>
                <w:sz w:val="21"/>
                <w:szCs w:val="21"/>
              </w:rPr>
              <w:t>由协会或机构颁发的荣誉还需要同时提供该协会或机构在中国社会组织政务服务平台（网址https://chinanpo.mca.gov.cn)的查询“正常”页面截图。</w:t>
            </w:r>
          </w:p>
          <w:p w14:paraId="745FE189">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bCs/>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Cs/>
                <w:kern w:val="2"/>
                <w:sz w:val="21"/>
                <w:szCs w:val="21"/>
                <w:lang w:eastAsia="zh-CN"/>
              </w:rPr>
              <w:t>提供投标单位缴纳的载有社保部门公章的近一个月社保缴交证明材料(如开标日上一个月的社保材料因社保部门原因暂时无法取得，则可以往前顺延一个月；如投标人为新成立企业且成立时间不足一个月可提供加盖公章的情况说明或证明材料)，</w:t>
            </w:r>
            <w:r>
              <w:rPr>
                <w:rFonts w:hint="eastAsia" w:ascii="宋体" w:hAnsi="宋体" w:eastAsia="宋体" w:cs="宋体"/>
                <w:kern w:val="2"/>
                <w:sz w:val="21"/>
                <w:szCs w:val="21"/>
                <w:lang w:eastAsia="zh-CN"/>
              </w:rPr>
              <w:t>原件备查。未按以上要求提供相关材料或不清晰导致无法识别的不计得分。</w:t>
            </w:r>
          </w:p>
          <w:p w14:paraId="5D610E54">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sz w:val="21"/>
                <w:szCs w:val="21"/>
              </w:rPr>
            </w:pPr>
            <w:r>
              <w:rPr>
                <w:rFonts w:hint="eastAsia" w:ascii="宋体" w:hAnsi="宋体" w:eastAsia="宋体" w:cs="宋体"/>
                <w:kern w:val="2"/>
                <w:sz w:val="21"/>
                <w:szCs w:val="21"/>
                <w:lang w:eastAsia="zh-CN"/>
              </w:rPr>
              <w:t>未按以上要求提供相关材料或不清晰导致无法识别的不计得分。</w:t>
            </w:r>
          </w:p>
        </w:tc>
      </w:tr>
      <w:tr w14:paraId="1BBF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21D13DDB">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25241260">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1046" w:type="pct"/>
            <w:noWrap w:val="0"/>
            <w:vAlign w:val="center"/>
          </w:tcPr>
          <w:p w14:paraId="22FABDDD">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配送场所情况</w:t>
            </w:r>
          </w:p>
        </w:tc>
        <w:tc>
          <w:tcPr>
            <w:tcW w:w="493" w:type="pct"/>
            <w:noWrap w:val="0"/>
            <w:vAlign w:val="center"/>
          </w:tcPr>
          <w:p w14:paraId="2011708A">
            <w:pPr>
              <w:pageBreakBefore w:val="0"/>
              <w:widowControl w:val="0"/>
              <w:shd w:val="clear" w:color="auto" w:fill="auto"/>
              <w:kinsoku/>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583" w:type="pct"/>
            <w:noWrap w:val="0"/>
            <w:vAlign w:val="top"/>
          </w:tcPr>
          <w:p w14:paraId="07301911">
            <w:pPr>
              <w:spacing w:line="360" w:lineRule="auto"/>
              <w:ind w:left="-89" w:leftChars="-37" w:right="-84" w:rightChars="-35"/>
              <w:jc w:val="left"/>
              <w:rPr>
                <w:rFonts w:hint="eastAsia" w:ascii="宋体" w:hAnsi="宋体" w:eastAsia="宋体" w:cs="宋体"/>
                <w:b/>
                <w:sz w:val="21"/>
                <w:szCs w:val="21"/>
              </w:rPr>
            </w:pPr>
            <w:r>
              <w:rPr>
                <w:rFonts w:hint="eastAsia" w:ascii="宋体" w:hAnsi="宋体" w:eastAsia="宋体" w:cs="宋体"/>
                <w:b/>
                <w:sz w:val="21"/>
                <w:szCs w:val="21"/>
                <w:lang w:eastAsia="zh-CN"/>
              </w:rPr>
              <w:t>（一）评分内容</w:t>
            </w:r>
            <w:r>
              <w:rPr>
                <w:rFonts w:hint="eastAsia" w:ascii="宋体" w:hAnsi="宋体" w:eastAsia="宋体" w:cs="宋体"/>
                <w:b/>
                <w:sz w:val="21"/>
                <w:szCs w:val="21"/>
              </w:rPr>
              <w:t>：</w:t>
            </w:r>
          </w:p>
          <w:p w14:paraId="664531AD">
            <w:pPr>
              <w:rPr>
                <w:rFonts w:hint="eastAsia" w:ascii="宋体" w:hAnsi="宋体" w:eastAsia="宋体" w:cs="宋体"/>
                <w:sz w:val="21"/>
                <w:szCs w:val="21"/>
              </w:rPr>
            </w:pPr>
            <w:r>
              <w:rPr>
                <w:rFonts w:hint="eastAsia" w:ascii="宋体" w:hAnsi="宋体" w:eastAsia="宋体" w:cs="宋体"/>
                <w:sz w:val="21"/>
                <w:szCs w:val="21"/>
              </w:rPr>
              <w:t>投标人拟投入本项目的自有或租赁的的配送场所面积：</w:t>
            </w:r>
          </w:p>
          <w:p w14:paraId="7BCDC9E7">
            <w:pPr>
              <w:numPr>
                <w:ilvl w:val="0"/>
                <w:numId w:val="2"/>
              </w:numPr>
              <w:rPr>
                <w:rFonts w:hint="eastAsia" w:ascii="宋体" w:hAnsi="宋体" w:eastAsia="宋体" w:cs="宋体"/>
                <w:sz w:val="21"/>
                <w:szCs w:val="21"/>
              </w:rPr>
            </w:pPr>
            <w:r>
              <w:rPr>
                <w:rFonts w:hint="eastAsia" w:ascii="宋体" w:hAnsi="宋体" w:eastAsia="宋体" w:cs="宋体"/>
                <w:sz w:val="21"/>
                <w:szCs w:val="21"/>
              </w:rPr>
              <w:t>配送场所面积≥4000平方米的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100%</w:t>
            </w:r>
            <w:r>
              <w:rPr>
                <w:rFonts w:hint="eastAsia" w:ascii="宋体" w:hAnsi="宋体" w:eastAsia="宋体" w:cs="宋体"/>
                <w:sz w:val="21"/>
                <w:szCs w:val="21"/>
              </w:rPr>
              <w:t>分；</w:t>
            </w:r>
          </w:p>
          <w:p w14:paraId="44C2DDD3">
            <w:pPr>
              <w:widowControl w:val="0"/>
              <w:numPr>
                <w:ilvl w:val="0"/>
                <w:numId w:val="2"/>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3000平方米≤配送场所面积＜4000平方米的，得70%分；</w:t>
            </w:r>
          </w:p>
          <w:p w14:paraId="1F80A7BD">
            <w:pPr>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、2000平方米≤配送场所面积＜3000平方米的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50%</w:t>
            </w:r>
            <w:r>
              <w:rPr>
                <w:rFonts w:hint="eastAsia" w:ascii="宋体" w:hAnsi="宋体" w:eastAsia="宋体" w:cs="宋体"/>
                <w:sz w:val="21"/>
                <w:szCs w:val="21"/>
              </w:rPr>
              <w:t>分；</w:t>
            </w:r>
          </w:p>
          <w:p w14:paraId="3D805D45">
            <w:pPr>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、1000平方米≤配送场所面积＜2000平方米的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20%</w:t>
            </w:r>
            <w:r>
              <w:rPr>
                <w:rFonts w:hint="eastAsia" w:ascii="宋体" w:hAnsi="宋体" w:eastAsia="宋体" w:cs="宋体"/>
                <w:sz w:val="21"/>
                <w:szCs w:val="21"/>
              </w:rPr>
              <w:t>分；</w:t>
            </w:r>
          </w:p>
          <w:p w14:paraId="3C50982F">
            <w:pP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0</w:t>
            </w:r>
            <w:r>
              <w:rPr>
                <w:rFonts w:hint="eastAsia" w:ascii="宋体" w:hAnsi="宋体" w:eastAsia="宋体" w:cs="宋体"/>
                <w:sz w:val="21"/>
                <w:szCs w:val="21"/>
              </w:rPr>
              <w:t>平方米＜配送场所面积＜1000平方米的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0%</w:t>
            </w:r>
            <w:r>
              <w:rPr>
                <w:rFonts w:hint="eastAsia" w:ascii="宋体" w:hAnsi="宋体" w:eastAsia="宋体" w:cs="宋体"/>
                <w:sz w:val="21"/>
                <w:szCs w:val="21"/>
              </w:rPr>
              <w:t>分。</w:t>
            </w:r>
          </w:p>
          <w:p w14:paraId="0B2D1AF7">
            <w:pPr>
              <w:rPr>
                <w:rFonts w:hint="eastAsia" w:ascii="宋体" w:hAnsi="宋体" w:eastAsia="宋体" w:cs="宋体"/>
                <w:sz w:val="21"/>
                <w:szCs w:val="21"/>
              </w:rPr>
            </w:pPr>
            <w:r>
              <w:rPr>
                <w:rFonts w:hint="eastAsia" w:ascii="宋体" w:hAnsi="宋体" w:eastAsia="宋体" w:cs="宋体"/>
                <w:sz w:val="21"/>
                <w:szCs w:val="21"/>
              </w:rPr>
              <w:t>不具备或不提供的不得分，提供多个配送场所面积可累计。</w:t>
            </w:r>
          </w:p>
          <w:p w14:paraId="0E5A16E0">
            <w:pPr>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证明文件</w:t>
            </w:r>
            <w:r>
              <w:rPr>
                <w:rFonts w:hint="eastAsia" w:ascii="宋体" w:hAnsi="宋体" w:eastAsia="宋体" w:cs="宋体"/>
                <w:b/>
                <w:bCs/>
                <w:sz w:val="21"/>
                <w:szCs w:val="21"/>
              </w:rPr>
              <w:t>：</w:t>
            </w:r>
          </w:p>
          <w:p w14:paraId="64212F67">
            <w:pPr>
              <w:rPr>
                <w:rFonts w:hint="eastAsia" w:ascii="宋体" w:hAnsi="宋体" w:eastAsia="宋体" w:cs="宋体"/>
                <w:sz w:val="21"/>
                <w:szCs w:val="21"/>
              </w:rPr>
            </w:pPr>
            <w:r>
              <w:rPr>
                <w:rFonts w:hint="eastAsia" w:ascii="宋体" w:hAnsi="宋体" w:eastAsia="宋体" w:cs="宋体"/>
                <w:sz w:val="21"/>
                <w:szCs w:val="21"/>
              </w:rPr>
              <w:t>1、自有配送场所提供自有房产证明</w:t>
            </w:r>
            <w:r>
              <w:rPr>
                <w:rFonts w:hint="eastAsia" w:ascii="宋体" w:hAnsi="宋体" w:eastAsia="宋体" w:cs="宋体"/>
                <w:sz w:val="21"/>
                <w:szCs w:val="21"/>
                <w:lang w:eastAsia="zh-CN"/>
              </w:rPr>
              <w:t>，且至少需体现配送场所面积、投标人信息等评分内容关键性内容；若证明材料无法体现面积的，投标人须同时提供换算为面积（平方米）的证明材料或者其他能体现面积信息的合法有效证明材料；</w:t>
            </w:r>
          </w:p>
          <w:p w14:paraId="0F4A69CF">
            <w:pPr>
              <w:rPr>
                <w:rFonts w:hint="eastAsia" w:ascii="宋体" w:hAnsi="宋体" w:eastAsia="宋体" w:cs="宋体"/>
                <w:sz w:val="21"/>
                <w:szCs w:val="21"/>
              </w:rPr>
            </w:pPr>
            <w:r>
              <w:rPr>
                <w:rFonts w:hint="eastAsia" w:ascii="宋体" w:hAnsi="宋体" w:eastAsia="宋体" w:cs="宋体"/>
                <w:sz w:val="21"/>
                <w:szCs w:val="21"/>
              </w:rPr>
              <w:t>2、租赁的配送场所提供租赁合同关键页（包括但不限于：合同名称页、合同主要内容页、合同签订日期页、合同双方签字盖章页），租赁合同日期须涵盖本项目投标截止日期；同时须体现面积</w:t>
            </w:r>
            <w:r>
              <w:rPr>
                <w:rFonts w:hint="eastAsia" w:ascii="宋体" w:hAnsi="宋体" w:eastAsia="宋体" w:cs="宋体"/>
                <w:sz w:val="21"/>
                <w:szCs w:val="21"/>
                <w:lang w:eastAsia="zh-CN"/>
              </w:rPr>
              <w:t>。</w:t>
            </w:r>
            <w:r>
              <w:rPr>
                <w:rFonts w:hint="eastAsia" w:ascii="宋体" w:hAnsi="宋体" w:eastAsia="宋体" w:cs="宋体"/>
                <w:sz w:val="21"/>
                <w:szCs w:val="21"/>
              </w:rPr>
              <w:t>若证明材料无法体现面积的，投标人须同时提供换算为面积（平方米）的证明材料或者其他能体现面积信息的合法有效证明材料；</w:t>
            </w:r>
          </w:p>
          <w:p w14:paraId="7581B485">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val="zh-CN" w:eastAsia="zh-CN"/>
              </w:rPr>
            </w:pPr>
            <w:r>
              <w:rPr>
                <w:rFonts w:hint="eastAsia" w:ascii="宋体" w:hAnsi="宋体" w:eastAsia="宋体" w:cs="宋体"/>
                <w:sz w:val="21"/>
                <w:szCs w:val="21"/>
              </w:rPr>
              <w:t>3、以上资料</w:t>
            </w:r>
            <w:r>
              <w:rPr>
                <w:rFonts w:hint="eastAsia" w:ascii="宋体" w:hAnsi="宋体" w:eastAsia="宋体" w:cs="宋体"/>
                <w:sz w:val="21"/>
                <w:szCs w:val="21"/>
                <w:lang w:eastAsia="zh-CN"/>
              </w:rPr>
              <w:t>均提供扫描件，</w:t>
            </w:r>
            <w:r>
              <w:rPr>
                <w:rFonts w:hint="eastAsia" w:ascii="宋体" w:hAnsi="宋体" w:eastAsia="宋体" w:cs="宋体"/>
                <w:sz w:val="21"/>
                <w:szCs w:val="21"/>
              </w:rPr>
              <w:t>原件备查，评分中出现无证明资料或者专家无法凭所提供资料判断是否得分的情况，一律做不得分处理。</w:t>
            </w:r>
          </w:p>
        </w:tc>
      </w:tr>
      <w:tr w14:paraId="34FF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0EB43F5D">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7B867AB8">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w:t>
            </w:r>
          </w:p>
        </w:tc>
        <w:tc>
          <w:tcPr>
            <w:tcW w:w="1046" w:type="pct"/>
            <w:noWrap w:val="0"/>
            <w:vAlign w:val="center"/>
          </w:tcPr>
          <w:p w14:paraId="20C44488">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检测室以及检测仪器设备</w:t>
            </w:r>
          </w:p>
        </w:tc>
        <w:tc>
          <w:tcPr>
            <w:tcW w:w="493" w:type="pct"/>
            <w:noWrap w:val="0"/>
            <w:vAlign w:val="center"/>
          </w:tcPr>
          <w:p w14:paraId="79C7AD07">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583" w:type="pct"/>
            <w:noWrap w:val="0"/>
            <w:vAlign w:val="top"/>
          </w:tcPr>
          <w:p w14:paraId="60A1F6F8">
            <w:pPr>
              <w:spacing w:line="360" w:lineRule="auto"/>
              <w:ind w:left="-89" w:leftChars="-37" w:right="-84" w:rightChars="-35"/>
              <w:jc w:val="left"/>
              <w:rPr>
                <w:rFonts w:hint="eastAsia" w:ascii="宋体" w:hAnsi="宋体" w:eastAsia="宋体" w:cs="宋体"/>
                <w:b/>
                <w:sz w:val="21"/>
                <w:szCs w:val="21"/>
              </w:rPr>
            </w:pPr>
            <w:r>
              <w:rPr>
                <w:rFonts w:hint="eastAsia" w:ascii="宋体" w:hAnsi="宋体" w:eastAsia="宋体" w:cs="宋体"/>
                <w:b/>
                <w:sz w:val="21"/>
                <w:szCs w:val="21"/>
                <w:lang w:eastAsia="zh-CN"/>
              </w:rPr>
              <w:t>（一）评分内容</w:t>
            </w:r>
            <w:r>
              <w:rPr>
                <w:rFonts w:hint="eastAsia" w:ascii="宋体" w:hAnsi="宋体" w:eastAsia="宋体" w:cs="宋体"/>
                <w:b/>
                <w:sz w:val="21"/>
                <w:szCs w:val="21"/>
              </w:rPr>
              <w:t>：</w:t>
            </w:r>
          </w:p>
          <w:p w14:paraId="68323AD4">
            <w:pPr>
              <w:rPr>
                <w:rFonts w:hint="eastAsia" w:ascii="宋体" w:hAnsi="宋体" w:eastAsia="宋体" w:cs="宋体"/>
                <w:sz w:val="21"/>
                <w:szCs w:val="21"/>
              </w:rPr>
            </w:pPr>
            <w:r>
              <w:rPr>
                <w:rFonts w:hint="eastAsia" w:ascii="宋体" w:hAnsi="宋体" w:eastAsia="宋体" w:cs="宋体"/>
                <w:sz w:val="21"/>
                <w:szCs w:val="21"/>
              </w:rPr>
              <w:t>投标人具有（含自有或租赁）检测室，在此基础上，考察检测室具有（含自有或租赁）仪器（设备）的情况：</w:t>
            </w:r>
          </w:p>
          <w:p w14:paraId="633322F9">
            <w:pPr>
              <w:rPr>
                <w:rFonts w:hint="eastAsia" w:ascii="宋体" w:hAnsi="宋体" w:eastAsia="宋体" w:cs="宋体"/>
                <w:sz w:val="21"/>
                <w:szCs w:val="21"/>
              </w:rPr>
            </w:pPr>
            <w:r>
              <w:rPr>
                <w:rFonts w:hint="eastAsia" w:ascii="宋体" w:hAnsi="宋体" w:eastAsia="宋体" w:cs="宋体"/>
                <w:sz w:val="21"/>
                <w:szCs w:val="21"/>
              </w:rPr>
              <w:t>1、具有农药残留检测设备的，得</w:t>
            </w:r>
            <w:r>
              <w:rPr>
                <w:rFonts w:hint="eastAsia" w:ascii="宋体" w:hAnsi="宋体" w:eastAsia="宋体" w:cs="宋体"/>
                <w:sz w:val="21"/>
                <w:szCs w:val="21"/>
                <w:lang w:eastAsia="zh-CN"/>
              </w:rPr>
              <w:t>25%</w:t>
            </w:r>
            <w:r>
              <w:rPr>
                <w:rFonts w:hint="eastAsia" w:ascii="宋体" w:hAnsi="宋体" w:eastAsia="宋体" w:cs="宋体"/>
                <w:sz w:val="21"/>
                <w:szCs w:val="21"/>
              </w:rPr>
              <w:t>分；</w:t>
            </w:r>
          </w:p>
          <w:p w14:paraId="3EEE8D05">
            <w:pPr>
              <w:rPr>
                <w:rFonts w:hint="eastAsia" w:ascii="宋体" w:hAnsi="宋体" w:eastAsia="宋体" w:cs="宋体"/>
                <w:sz w:val="21"/>
                <w:szCs w:val="21"/>
              </w:rPr>
            </w:pPr>
            <w:r>
              <w:rPr>
                <w:rFonts w:hint="eastAsia" w:ascii="宋体" w:hAnsi="宋体" w:eastAsia="宋体" w:cs="宋体"/>
                <w:sz w:val="21"/>
                <w:szCs w:val="21"/>
              </w:rPr>
              <w:t>2、具有微生物检测设备的，</w:t>
            </w:r>
            <w:r>
              <w:rPr>
                <w:rFonts w:hint="eastAsia" w:ascii="宋体" w:hAnsi="宋体" w:eastAsia="宋体" w:cs="宋体"/>
                <w:sz w:val="21"/>
                <w:szCs w:val="21"/>
                <w:lang w:eastAsia="zh-CN"/>
              </w:rPr>
              <w:t>得25%</w:t>
            </w:r>
            <w:r>
              <w:rPr>
                <w:rFonts w:hint="eastAsia" w:ascii="宋体" w:hAnsi="宋体" w:eastAsia="宋体" w:cs="宋体"/>
                <w:sz w:val="21"/>
                <w:szCs w:val="21"/>
              </w:rPr>
              <w:t>分；</w:t>
            </w:r>
          </w:p>
          <w:p w14:paraId="64A49A36">
            <w:pPr>
              <w:rPr>
                <w:rFonts w:hint="eastAsia" w:ascii="宋体" w:hAnsi="宋体" w:eastAsia="宋体" w:cs="宋体"/>
                <w:sz w:val="21"/>
                <w:szCs w:val="21"/>
              </w:rPr>
            </w:pPr>
            <w:r>
              <w:rPr>
                <w:rFonts w:hint="eastAsia" w:ascii="宋体" w:hAnsi="宋体" w:eastAsia="宋体" w:cs="宋体"/>
                <w:sz w:val="21"/>
                <w:szCs w:val="21"/>
              </w:rPr>
              <w:t>3、具有食品添加剂检测设备的，得</w:t>
            </w:r>
            <w:r>
              <w:rPr>
                <w:rFonts w:hint="eastAsia" w:ascii="宋体" w:hAnsi="宋体" w:eastAsia="宋体" w:cs="宋体"/>
                <w:sz w:val="21"/>
                <w:szCs w:val="21"/>
                <w:lang w:eastAsia="zh-CN"/>
              </w:rPr>
              <w:t>25%</w:t>
            </w:r>
            <w:r>
              <w:rPr>
                <w:rFonts w:hint="eastAsia" w:ascii="宋体" w:hAnsi="宋体" w:eastAsia="宋体" w:cs="宋体"/>
                <w:sz w:val="21"/>
                <w:szCs w:val="21"/>
              </w:rPr>
              <w:t>分；</w:t>
            </w:r>
          </w:p>
          <w:p w14:paraId="70A7AC60">
            <w:pPr>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、具有多功能食品安全综合分析检测仪的，得</w:t>
            </w:r>
            <w:r>
              <w:rPr>
                <w:rFonts w:hint="eastAsia" w:ascii="宋体" w:hAnsi="宋体" w:eastAsia="宋体" w:cs="宋体"/>
                <w:sz w:val="21"/>
                <w:szCs w:val="21"/>
                <w:lang w:eastAsia="zh-CN"/>
              </w:rPr>
              <w:t>25%</w:t>
            </w:r>
            <w:r>
              <w:rPr>
                <w:rFonts w:hint="eastAsia" w:ascii="宋体" w:hAnsi="宋体" w:eastAsia="宋体" w:cs="宋体"/>
                <w:sz w:val="21"/>
                <w:szCs w:val="21"/>
              </w:rPr>
              <w:t>分；</w:t>
            </w:r>
          </w:p>
          <w:p w14:paraId="6E60D1D5">
            <w:pPr>
              <w:rPr>
                <w:rFonts w:hint="eastAsia" w:ascii="宋体" w:hAnsi="宋体" w:eastAsia="宋体" w:cs="宋体"/>
                <w:sz w:val="21"/>
                <w:szCs w:val="21"/>
              </w:rPr>
            </w:pPr>
            <w:r>
              <w:rPr>
                <w:rFonts w:hint="eastAsia" w:ascii="宋体" w:hAnsi="宋体" w:eastAsia="宋体" w:cs="宋体"/>
                <w:sz w:val="21"/>
                <w:szCs w:val="21"/>
              </w:rPr>
              <w:t>如一个仪器（设备）同时具备（满足）以上第1至</w:t>
            </w:r>
            <w:r>
              <w:rPr>
                <w:rFonts w:hint="eastAsia" w:ascii="宋体" w:hAnsi="宋体" w:eastAsia="宋体" w:cs="宋体"/>
                <w:sz w:val="21"/>
                <w:szCs w:val="21"/>
                <w:lang w:eastAsia="zh-CN"/>
              </w:rPr>
              <w:t>4</w:t>
            </w:r>
            <w:r>
              <w:rPr>
                <w:rFonts w:hint="eastAsia" w:ascii="宋体" w:hAnsi="宋体" w:eastAsia="宋体" w:cs="宋体"/>
                <w:sz w:val="21"/>
                <w:szCs w:val="21"/>
              </w:rPr>
              <w:t>项检测仪器（设备）中多个检测仪器（设备）的检测功能，可同时获得对应仪器（设备）的得分。</w:t>
            </w:r>
          </w:p>
          <w:p w14:paraId="484D6C26">
            <w:pPr>
              <w:rPr>
                <w:rFonts w:hint="eastAsia" w:ascii="宋体" w:hAnsi="宋体" w:eastAsia="宋体" w:cs="宋体"/>
                <w:sz w:val="21"/>
                <w:szCs w:val="21"/>
              </w:rPr>
            </w:pPr>
            <w:r>
              <w:rPr>
                <w:rFonts w:hint="eastAsia" w:ascii="宋体" w:hAnsi="宋体" w:eastAsia="宋体" w:cs="宋体"/>
                <w:sz w:val="21"/>
                <w:szCs w:val="21"/>
              </w:rPr>
              <w:t>同一类仪器（设备）只计一次分，不重复计分。</w:t>
            </w:r>
          </w:p>
          <w:p w14:paraId="513B9AF3">
            <w:pPr>
              <w:rPr>
                <w:rFonts w:hint="eastAsia" w:ascii="宋体" w:hAnsi="宋体" w:eastAsia="宋体" w:cs="宋体"/>
                <w:sz w:val="21"/>
                <w:szCs w:val="21"/>
              </w:rPr>
            </w:pPr>
            <w:r>
              <w:rPr>
                <w:rFonts w:hint="eastAsia" w:ascii="宋体" w:hAnsi="宋体" w:eastAsia="宋体" w:cs="宋体"/>
                <w:sz w:val="21"/>
                <w:szCs w:val="21"/>
              </w:rPr>
              <w:t>本小项累计最高得</w:t>
            </w:r>
            <w:r>
              <w:rPr>
                <w:rFonts w:hint="eastAsia" w:ascii="宋体" w:hAnsi="宋体" w:eastAsia="宋体" w:cs="宋体"/>
                <w:sz w:val="21"/>
                <w:szCs w:val="21"/>
                <w:lang w:eastAsia="zh-CN"/>
              </w:rPr>
              <w:t>4</w:t>
            </w:r>
            <w:r>
              <w:rPr>
                <w:rFonts w:hint="eastAsia" w:ascii="宋体" w:hAnsi="宋体" w:eastAsia="宋体" w:cs="宋体"/>
                <w:sz w:val="21"/>
                <w:szCs w:val="21"/>
              </w:rPr>
              <w:t>分（仪器（设备）名称如有出入，需提供说明书扫描件或相关功能性证明材料证明功能可以满足对应检测仪器（设备）的功能亦可得分）。</w:t>
            </w:r>
          </w:p>
          <w:p w14:paraId="5C30276A">
            <w:pPr>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证明文件</w:t>
            </w:r>
            <w:r>
              <w:rPr>
                <w:rFonts w:hint="eastAsia" w:ascii="宋体" w:hAnsi="宋体" w:eastAsia="宋体" w:cs="宋体"/>
                <w:b/>
                <w:bCs/>
                <w:sz w:val="21"/>
                <w:szCs w:val="21"/>
              </w:rPr>
              <w:t>：</w:t>
            </w:r>
          </w:p>
          <w:p w14:paraId="4C0B2221">
            <w:pPr>
              <w:rPr>
                <w:rFonts w:hint="eastAsia" w:ascii="宋体" w:hAnsi="宋体" w:eastAsia="宋体" w:cs="宋体"/>
                <w:sz w:val="21"/>
                <w:szCs w:val="21"/>
              </w:rPr>
            </w:pPr>
            <w:r>
              <w:rPr>
                <w:rFonts w:hint="eastAsia" w:ascii="宋体" w:hAnsi="宋体" w:eastAsia="宋体" w:cs="宋体"/>
                <w:sz w:val="21"/>
                <w:szCs w:val="21"/>
              </w:rPr>
              <w:t>1、检测室须同时提供：</w:t>
            </w:r>
          </w:p>
          <w:p w14:paraId="44C7FA08">
            <w:pPr>
              <w:rPr>
                <w:rFonts w:hint="eastAsia" w:ascii="宋体" w:hAnsi="宋体" w:eastAsia="宋体" w:cs="宋体"/>
                <w:sz w:val="21"/>
                <w:szCs w:val="21"/>
              </w:rPr>
            </w:pPr>
            <w:r>
              <w:rPr>
                <w:rFonts w:hint="eastAsia" w:ascii="宋体" w:hAnsi="宋体" w:eastAsia="宋体" w:cs="宋体"/>
                <w:sz w:val="21"/>
                <w:szCs w:val="21"/>
              </w:rPr>
              <w:t>（1）检测室建设合同或</w:t>
            </w:r>
            <w:r>
              <w:rPr>
                <w:rFonts w:hint="eastAsia" w:ascii="宋体" w:hAnsi="宋体" w:eastAsia="宋体" w:cs="宋体"/>
                <w:sz w:val="21"/>
                <w:szCs w:val="21"/>
                <w:lang w:eastAsia="zh-CN"/>
              </w:rPr>
              <w:t>有效的</w:t>
            </w:r>
            <w:r>
              <w:rPr>
                <w:rFonts w:hint="eastAsia" w:ascii="宋体" w:hAnsi="宋体" w:eastAsia="宋体" w:cs="宋体"/>
                <w:sz w:val="21"/>
                <w:szCs w:val="21"/>
              </w:rPr>
              <w:t>租赁合同关键页，且至少需体现投标人信息等评分内容关键性内容；</w:t>
            </w:r>
          </w:p>
          <w:p w14:paraId="43F7641E">
            <w:pPr>
              <w:rPr>
                <w:rFonts w:hint="eastAsia" w:ascii="宋体" w:hAnsi="宋体" w:eastAsia="宋体" w:cs="宋体"/>
                <w:sz w:val="21"/>
                <w:szCs w:val="21"/>
              </w:rPr>
            </w:pPr>
            <w:r>
              <w:rPr>
                <w:rFonts w:hint="eastAsia" w:ascii="宋体" w:hAnsi="宋体" w:eastAsia="宋体" w:cs="宋体"/>
                <w:sz w:val="21"/>
                <w:szCs w:val="21"/>
              </w:rPr>
              <w:t>（2）投标人须承诺检测室满足服务过程中食材入库、出库等过程检测便捷需要（如检测室与配送场所位于同一楼栋、同一工业园区等），提供承诺函，格式自拟；</w:t>
            </w:r>
          </w:p>
          <w:p w14:paraId="4A1828F2">
            <w:pPr>
              <w:rPr>
                <w:rFonts w:hint="eastAsia" w:ascii="宋体" w:hAnsi="宋体" w:eastAsia="宋体" w:cs="宋体"/>
                <w:sz w:val="21"/>
                <w:szCs w:val="21"/>
              </w:rPr>
            </w:pPr>
            <w:r>
              <w:rPr>
                <w:rFonts w:hint="eastAsia" w:ascii="宋体" w:hAnsi="宋体" w:eastAsia="宋体" w:cs="宋体"/>
                <w:sz w:val="21"/>
                <w:szCs w:val="21"/>
              </w:rPr>
              <w:t>（3）检测室内景照片。</w:t>
            </w:r>
          </w:p>
          <w:p w14:paraId="3917DEF5">
            <w:pPr>
              <w:rPr>
                <w:rFonts w:hint="eastAsia" w:ascii="宋体" w:hAnsi="宋体" w:eastAsia="宋体" w:cs="宋体"/>
                <w:sz w:val="21"/>
                <w:szCs w:val="21"/>
              </w:rPr>
            </w:pPr>
            <w:r>
              <w:rPr>
                <w:rFonts w:hint="eastAsia" w:ascii="宋体" w:hAnsi="宋体" w:eastAsia="宋体" w:cs="宋体"/>
                <w:sz w:val="21"/>
                <w:szCs w:val="21"/>
              </w:rPr>
              <w:t>2、检测仪器（设备）须同时提供：</w:t>
            </w:r>
          </w:p>
          <w:p w14:paraId="2621ABB1">
            <w:pPr>
              <w:rPr>
                <w:rFonts w:hint="eastAsia" w:ascii="宋体" w:hAnsi="宋体" w:eastAsia="宋体" w:cs="宋体"/>
                <w:sz w:val="21"/>
                <w:szCs w:val="21"/>
              </w:rPr>
            </w:pPr>
            <w:r>
              <w:rPr>
                <w:rFonts w:hint="eastAsia" w:ascii="宋体" w:hAnsi="宋体" w:eastAsia="宋体" w:cs="宋体"/>
                <w:sz w:val="21"/>
                <w:szCs w:val="21"/>
              </w:rPr>
              <w:t>（1）以投标人名称为抬头的仪器（设备）购置发票，或</w:t>
            </w:r>
            <w:r>
              <w:rPr>
                <w:rFonts w:hint="eastAsia" w:ascii="宋体" w:hAnsi="宋体" w:eastAsia="宋体" w:cs="宋体"/>
                <w:sz w:val="21"/>
                <w:szCs w:val="21"/>
                <w:lang w:eastAsia="zh-CN"/>
              </w:rPr>
              <w:t>有效的</w:t>
            </w:r>
            <w:r>
              <w:rPr>
                <w:rFonts w:hint="eastAsia" w:ascii="宋体" w:hAnsi="宋体" w:eastAsia="宋体" w:cs="宋体"/>
                <w:sz w:val="21"/>
                <w:szCs w:val="21"/>
              </w:rPr>
              <w:t>租赁合同（至少需体现投标人信息等评分内容关键性内容）；</w:t>
            </w:r>
          </w:p>
          <w:p w14:paraId="7E15D977">
            <w:pPr>
              <w:rPr>
                <w:rFonts w:hint="eastAsia" w:ascii="宋体" w:hAnsi="宋体" w:eastAsia="宋体" w:cs="宋体"/>
                <w:sz w:val="21"/>
                <w:szCs w:val="21"/>
              </w:rPr>
            </w:pPr>
            <w:r>
              <w:rPr>
                <w:rFonts w:hint="eastAsia" w:ascii="宋体" w:hAnsi="宋体" w:eastAsia="宋体" w:cs="宋体"/>
                <w:sz w:val="21"/>
                <w:szCs w:val="21"/>
              </w:rPr>
              <w:t>（2）仪器（设备）照片；</w:t>
            </w:r>
          </w:p>
          <w:p w14:paraId="4DC88BD6">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3</w:t>
            </w:r>
            <w:r>
              <w:rPr>
                <w:rFonts w:hint="eastAsia" w:ascii="宋体" w:hAnsi="宋体" w:eastAsia="宋体" w:cs="宋体"/>
                <w:sz w:val="21"/>
                <w:szCs w:val="21"/>
              </w:rPr>
              <w:t>）同时满足多项检测功能的设备（同一设备具备多种检测功能的仪器）</w:t>
            </w:r>
            <w:r>
              <w:rPr>
                <w:rFonts w:hint="eastAsia" w:ascii="宋体" w:hAnsi="宋体" w:eastAsia="宋体" w:cs="宋体"/>
                <w:sz w:val="21"/>
                <w:szCs w:val="21"/>
                <w:lang w:eastAsia="zh-CN"/>
              </w:rPr>
              <w:t>，</w:t>
            </w:r>
            <w:r>
              <w:rPr>
                <w:rFonts w:hint="eastAsia" w:ascii="宋体" w:hAnsi="宋体" w:eastAsia="宋体" w:cs="宋体"/>
                <w:sz w:val="21"/>
                <w:szCs w:val="21"/>
              </w:rPr>
              <w:t>以及第</w:t>
            </w:r>
            <w:r>
              <w:rPr>
                <w:rFonts w:hint="eastAsia" w:ascii="宋体" w:hAnsi="宋体" w:eastAsia="宋体" w:cs="宋体"/>
                <w:sz w:val="21"/>
                <w:szCs w:val="21"/>
                <w:lang w:eastAsia="zh-CN"/>
              </w:rPr>
              <w:t>4</w:t>
            </w:r>
            <w:r>
              <w:rPr>
                <w:rFonts w:hint="eastAsia" w:ascii="宋体" w:hAnsi="宋体" w:eastAsia="宋体" w:cs="宋体"/>
                <w:sz w:val="21"/>
                <w:szCs w:val="21"/>
              </w:rPr>
              <w:t>项仪器（多功能食品安全综合分析检测仪）需同时提供说明书扫描件或相关</w:t>
            </w:r>
            <w:r>
              <w:rPr>
                <w:rFonts w:hint="eastAsia" w:ascii="宋体" w:hAnsi="宋体" w:eastAsia="宋体" w:cs="宋体"/>
                <w:sz w:val="21"/>
                <w:szCs w:val="21"/>
                <w:lang w:eastAsia="zh-CN"/>
              </w:rPr>
              <w:t>功能性</w:t>
            </w:r>
            <w:r>
              <w:rPr>
                <w:rFonts w:hint="eastAsia" w:ascii="宋体" w:hAnsi="宋体" w:eastAsia="宋体" w:cs="宋体"/>
                <w:sz w:val="21"/>
                <w:szCs w:val="21"/>
              </w:rPr>
              <w:t>证明材料。</w:t>
            </w:r>
          </w:p>
          <w:p w14:paraId="77086E6E">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val="zh-CN" w:eastAsia="zh-CN"/>
              </w:rPr>
            </w:pPr>
            <w:r>
              <w:rPr>
                <w:rFonts w:hint="eastAsia" w:ascii="宋体" w:hAnsi="宋体" w:eastAsia="宋体" w:cs="宋体"/>
                <w:sz w:val="21"/>
                <w:szCs w:val="21"/>
              </w:rPr>
              <w:t>3、以上资料均提供扫描件，原件备查，评分中出现无证明资料或者专家无法凭所提供资料判断是否得分的情况，一律做不得分处理。</w:t>
            </w:r>
          </w:p>
        </w:tc>
      </w:tr>
      <w:tr w14:paraId="1AD7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48E56123">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28C9725C">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w:t>
            </w:r>
          </w:p>
        </w:tc>
        <w:tc>
          <w:tcPr>
            <w:tcW w:w="1046" w:type="pct"/>
            <w:noWrap w:val="0"/>
            <w:vAlign w:val="center"/>
          </w:tcPr>
          <w:p w14:paraId="79BAE02B">
            <w:pPr>
              <w:pageBreakBefore w:val="0"/>
              <w:widowControl w:val="0"/>
              <w:shd w:val="clear" w:color="auto" w:fill="auto"/>
              <w:kinsoku/>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冷库情况</w:t>
            </w:r>
          </w:p>
        </w:tc>
        <w:tc>
          <w:tcPr>
            <w:tcW w:w="493" w:type="pct"/>
            <w:noWrap w:val="0"/>
            <w:vAlign w:val="center"/>
          </w:tcPr>
          <w:p w14:paraId="791E34CA">
            <w:pPr>
              <w:pageBreakBefore w:val="0"/>
              <w:widowControl w:val="0"/>
              <w:shd w:val="clear" w:color="auto" w:fill="auto"/>
              <w:kinsoku/>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583" w:type="pct"/>
            <w:noWrap w:val="0"/>
            <w:vAlign w:val="center"/>
          </w:tcPr>
          <w:p w14:paraId="1B816F52">
            <w:pPr>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一）评分内容：</w:t>
            </w:r>
          </w:p>
          <w:p w14:paraId="108F2FFE">
            <w:pPr>
              <w:rPr>
                <w:rFonts w:hint="eastAsia" w:ascii="宋体" w:hAnsi="宋体" w:eastAsia="宋体" w:cs="宋体"/>
                <w:sz w:val="21"/>
                <w:szCs w:val="21"/>
              </w:rPr>
            </w:pPr>
            <w:r>
              <w:rPr>
                <w:rFonts w:hint="eastAsia" w:ascii="宋体" w:hAnsi="宋体" w:eastAsia="宋体" w:cs="宋体"/>
                <w:sz w:val="21"/>
                <w:szCs w:val="21"/>
                <w:lang w:eastAsia="zh-CN"/>
              </w:rPr>
              <w:t>根据</w:t>
            </w:r>
            <w:r>
              <w:rPr>
                <w:rFonts w:hint="eastAsia" w:ascii="宋体" w:hAnsi="宋体" w:eastAsia="宋体" w:cs="宋体"/>
                <w:sz w:val="21"/>
                <w:szCs w:val="21"/>
              </w:rPr>
              <w:t>投标人拟投入本项目的自有或租赁冷库（含冷冻和冷藏）面积进行评分：</w:t>
            </w:r>
          </w:p>
          <w:p w14:paraId="05F7B237">
            <w:pPr>
              <w:numPr>
                <w:ilvl w:val="0"/>
                <w:numId w:val="3"/>
              </w:numPr>
              <w:rPr>
                <w:rFonts w:hint="eastAsia" w:ascii="宋体" w:hAnsi="宋体" w:eastAsia="宋体" w:cs="宋体"/>
                <w:sz w:val="21"/>
                <w:szCs w:val="21"/>
              </w:rPr>
            </w:pPr>
            <w:r>
              <w:rPr>
                <w:rFonts w:hint="eastAsia" w:ascii="宋体" w:hAnsi="宋体" w:eastAsia="宋体" w:cs="宋体"/>
                <w:sz w:val="21"/>
                <w:szCs w:val="21"/>
              </w:rPr>
              <w:t>冷库面积≥1000平方米，得</w:t>
            </w:r>
            <w:r>
              <w:rPr>
                <w:rFonts w:hint="eastAsia" w:ascii="宋体" w:hAnsi="宋体" w:eastAsia="宋体" w:cs="宋体"/>
                <w:sz w:val="21"/>
                <w:szCs w:val="21"/>
                <w:lang w:eastAsia="zh-CN"/>
              </w:rPr>
              <w:t>100%</w:t>
            </w:r>
            <w:r>
              <w:rPr>
                <w:rFonts w:hint="eastAsia" w:ascii="宋体" w:hAnsi="宋体" w:eastAsia="宋体" w:cs="宋体"/>
                <w:sz w:val="21"/>
                <w:szCs w:val="21"/>
              </w:rPr>
              <w:t>分；</w:t>
            </w:r>
          </w:p>
          <w:p w14:paraId="0C53DD33">
            <w:pPr>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8</w:t>
            </w:r>
            <w:r>
              <w:rPr>
                <w:rFonts w:hint="eastAsia" w:ascii="宋体" w:hAnsi="宋体" w:eastAsia="宋体" w:cs="宋体"/>
                <w:sz w:val="21"/>
                <w:szCs w:val="21"/>
              </w:rPr>
              <w:t>00平方米≤冷库面积＜</w:t>
            </w:r>
            <w:r>
              <w:rPr>
                <w:rFonts w:hint="eastAsia" w:ascii="宋体" w:hAnsi="宋体" w:eastAsia="宋体" w:cs="宋体"/>
                <w:sz w:val="21"/>
                <w:szCs w:val="21"/>
                <w:lang w:eastAsia="zh-CN"/>
              </w:rPr>
              <w:t>10</w:t>
            </w:r>
            <w:r>
              <w:rPr>
                <w:rFonts w:hint="eastAsia" w:ascii="宋体" w:hAnsi="宋体" w:eastAsia="宋体" w:cs="宋体"/>
                <w:sz w:val="21"/>
                <w:szCs w:val="21"/>
              </w:rPr>
              <w:t>00平方米的，得</w:t>
            </w:r>
            <w:r>
              <w:rPr>
                <w:rFonts w:hint="eastAsia" w:ascii="宋体" w:hAnsi="宋体" w:eastAsia="宋体" w:cs="宋体"/>
                <w:sz w:val="21"/>
                <w:szCs w:val="21"/>
                <w:lang w:eastAsia="zh-CN"/>
              </w:rPr>
              <w:t>70%</w:t>
            </w:r>
            <w:r>
              <w:rPr>
                <w:rFonts w:hint="eastAsia" w:ascii="宋体" w:hAnsi="宋体" w:eastAsia="宋体" w:cs="宋体"/>
                <w:sz w:val="21"/>
                <w:szCs w:val="21"/>
              </w:rPr>
              <w:t>分；</w:t>
            </w:r>
          </w:p>
          <w:p w14:paraId="3D4C8268">
            <w:pPr>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、600平方米≤冷库面积＜800平方米的，得</w:t>
            </w:r>
            <w:r>
              <w:rPr>
                <w:rFonts w:hint="eastAsia" w:ascii="宋体" w:hAnsi="宋体" w:eastAsia="宋体" w:cs="宋体"/>
                <w:sz w:val="21"/>
                <w:szCs w:val="21"/>
                <w:lang w:eastAsia="zh-CN"/>
              </w:rPr>
              <w:t>30%</w:t>
            </w:r>
            <w:r>
              <w:rPr>
                <w:rFonts w:hint="eastAsia" w:ascii="宋体" w:hAnsi="宋体" w:eastAsia="宋体" w:cs="宋体"/>
                <w:sz w:val="21"/>
                <w:szCs w:val="21"/>
              </w:rPr>
              <w:t>分；</w:t>
            </w:r>
          </w:p>
          <w:p w14:paraId="0336A5E8">
            <w:pPr>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w:t>
            </w:r>
            <w:r>
              <w:rPr>
                <w:rFonts w:hint="eastAsia" w:ascii="宋体" w:hAnsi="宋体" w:eastAsia="宋体" w:cs="宋体"/>
                <w:sz w:val="21"/>
                <w:szCs w:val="21"/>
                <w:lang w:eastAsia="zh-CN"/>
              </w:rPr>
              <w:t>0</w:t>
            </w:r>
            <w:r>
              <w:rPr>
                <w:rFonts w:hint="eastAsia" w:ascii="宋体" w:hAnsi="宋体" w:eastAsia="宋体" w:cs="宋体"/>
                <w:sz w:val="21"/>
                <w:szCs w:val="21"/>
              </w:rPr>
              <w:t>平方米＜冷库面积＜200平方米的，得</w:t>
            </w:r>
            <w:r>
              <w:rPr>
                <w:rFonts w:hint="eastAsia" w:ascii="宋体" w:hAnsi="宋体" w:eastAsia="宋体" w:cs="宋体"/>
                <w:sz w:val="21"/>
                <w:szCs w:val="21"/>
                <w:lang w:eastAsia="zh-CN"/>
              </w:rPr>
              <w:t>0%</w:t>
            </w:r>
            <w:r>
              <w:rPr>
                <w:rFonts w:hint="eastAsia" w:ascii="宋体" w:hAnsi="宋体" w:eastAsia="宋体" w:cs="宋体"/>
                <w:sz w:val="21"/>
                <w:szCs w:val="21"/>
              </w:rPr>
              <w:t>分。</w:t>
            </w:r>
          </w:p>
          <w:p w14:paraId="0C15FB4D">
            <w:pPr>
              <w:rPr>
                <w:rFonts w:hint="eastAsia" w:ascii="宋体" w:hAnsi="宋体" w:eastAsia="宋体" w:cs="宋体"/>
                <w:sz w:val="21"/>
                <w:szCs w:val="21"/>
              </w:rPr>
            </w:pPr>
            <w:r>
              <w:rPr>
                <w:rFonts w:hint="eastAsia" w:ascii="宋体" w:hAnsi="宋体" w:eastAsia="宋体" w:cs="宋体"/>
                <w:sz w:val="21"/>
                <w:szCs w:val="21"/>
              </w:rPr>
              <w:t>不具备或不提供的不得分，提供多个冷库面积可累计。</w:t>
            </w:r>
          </w:p>
          <w:p w14:paraId="7E970BAB">
            <w:pPr>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证明文件</w:t>
            </w:r>
            <w:r>
              <w:rPr>
                <w:rFonts w:hint="eastAsia" w:ascii="宋体" w:hAnsi="宋体" w:eastAsia="宋体" w:cs="宋体"/>
                <w:b/>
                <w:bCs/>
                <w:sz w:val="21"/>
                <w:szCs w:val="21"/>
              </w:rPr>
              <w:t>：</w:t>
            </w:r>
          </w:p>
          <w:p w14:paraId="26772AA7">
            <w:pP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（1）</w:t>
            </w:r>
            <w:r>
              <w:rPr>
                <w:rFonts w:hint="eastAsia" w:ascii="宋体" w:hAnsi="宋体" w:eastAsia="宋体" w:cs="宋体"/>
                <w:sz w:val="21"/>
                <w:szCs w:val="21"/>
              </w:rPr>
              <w:t>自有冷库</w:t>
            </w:r>
            <w:r>
              <w:rPr>
                <w:rFonts w:hint="eastAsia" w:ascii="宋体" w:hAnsi="宋体" w:eastAsia="宋体" w:cs="宋体"/>
                <w:sz w:val="21"/>
                <w:szCs w:val="21"/>
                <w:lang w:eastAsia="zh-CN"/>
              </w:rPr>
              <w:t>同时</w:t>
            </w:r>
            <w:r>
              <w:rPr>
                <w:rFonts w:hint="eastAsia" w:ascii="宋体" w:hAnsi="宋体" w:eastAsia="宋体" w:cs="宋体"/>
                <w:sz w:val="21"/>
                <w:szCs w:val="21"/>
              </w:rPr>
              <w:t>提供冷库工程竣工验收报告或冷库</w:t>
            </w:r>
            <w:r>
              <w:rPr>
                <w:rFonts w:hint="eastAsia" w:ascii="宋体" w:hAnsi="宋体" w:eastAsia="宋体" w:cs="宋体"/>
                <w:sz w:val="21"/>
                <w:szCs w:val="21"/>
                <w:lang w:eastAsia="zh-CN"/>
              </w:rPr>
              <w:t>建设合同或</w:t>
            </w:r>
            <w:r>
              <w:rPr>
                <w:rFonts w:hint="eastAsia" w:ascii="宋体" w:hAnsi="宋体" w:eastAsia="宋体" w:cs="宋体"/>
                <w:sz w:val="21"/>
                <w:szCs w:val="21"/>
              </w:rPr>
              <w:t>冷库安装合同或冷库转让合同；</w:t>
            </w:r>
            <w:r>
              <w:rPr>
                <w:rFonts w:hint="eastAsia" w:ascii="宋体" w:hAnsi="宋体" w:eastAsia="宋体" w:cs="宋体"/>
                <w:sz w:val="21"/>
                <w:szCs w:val="21"/>
                <w:lang w:eastAsia="zh-CN"/>
              </w:rPr>
              <w:t>且至少需体现冷库面积、投标人信息等评分内容关键性内容；若证明材料无法体现面积的，投标人须同时提供换算为面积（平方米）的证明材料或者其他能体现面积信息的合法有效证明材料；（2）提供冷库正门全景照片和内景照片各一张；（3）</w:t>
            </w:r>
            <w:r>
              <w:rPr>
                <w:rFonts w:hint="eastAsia" w:ascii="宋体" w:hAnsi="宋体" w:eastAsia="宋体" w:cs="宋体"/>
                <w:sz w:val="21"/>
                <w:szCs w:val="21"/>
              </w:rPr>
              <w:t>提供202</w:t>
            </w:r>
            <w:r>
              <w:rPr>
                <w:rFonts w:hint="eastAsia" w:ascii="宋体" w:hAnsi="宋体" w:eastAsia="宋体" w:cs="宋体"/>
                <w:sz w:val="21"/>
                <w:szCs w:val="21"/>
                <w:lang w:eastAsia="zh-CN"/>
              </w:rPr>
              <w:t>5</w:t>
            </w:r>
            <w:r>
              <w:rPr>
                <w:rFonts w:hint="eastAsia" w:ascii="宋体" w:hAnsi="宋体" w:eastAsia="宋体" w:cs="宋体"/>
                <w:sz w:val="21"/>
                <w:szCs w:val="21"/>
              </w:rPr>
              <w:t>年</w:t>
            </w:r>
            <w:r>
              <w:rPr>
                <w:rFonts w:hint="eastAsia" w:ascii="宋体" w:hAnsi="宋体" w:eastAsia="宋体" w:cs="宋体"/>
                <w:sz w:val="21"/>
                <w:szCs w:val="21"/>
                <w:lang w:eastAsia="zh-CN"/>
              </w:rPr>
              <w:t>1</w:t>
            </w:r>
            <w:r>
              <w:rPr>
                <w:rFonts w:hint="eastAsia" w:ascii="宋体" w:hAnsi="宋体" w:eastAsia="宋体" w:cs="宋体"/>
                <w:sz w:val="21"/>
                <w:szCs w:val="21"/>
              </w:rPr>
              <w:t>月1日</w:t>
            </w:r>
            <w:r>
              <w:rPr>
                <w:rFonts w:hint="eastAsia" w:ascii="宋体" w:hAnsi="宋体" w:eastAsia="宋体" w:cs="宋体"/>
                <w:sz w:val="21"/>
                <w:szCs w:val="21"/>
                <w:lang w:eastAsia="zh-CN"/>
              </w:rPr>
              <w:t>（含当日）</w:t>
            </w:r>
            <w:r>
              <w:rPr>
                <w:rFonts w:hint="eastAsia" w:ascii="宋体" w:hAnsi="宋体" w:eastAsia="宋体" w:cs="宋体"/>
                <w:sz w:val="21"/>
                <w:szCs w:val="21"/>
              </w:rPr>
              <w:t>至本项目投标截止日</w:t>
            </w:r>
            <w:r>
              <w:rPr>
                <w:rFonts w:hint="eastAsia" w:ascii="宋体" w:hAnsi="宋体" w:eastAsia="宋体" w:cs="宋体"/>
                <w:sz w:val="21"/>
                <w:szCs w:val="21"/>
                <w:lang w:eastAsia="zh-CN"/>
              </w:rPr>
              <w:t>（含当日）期间</w:t>
            </w:r>
            <w:r>
              <w:rPr>
                <w:rFonts w:hint="eastAsia" w:ascii="宋体" w:hAnsi="宋体" w:eastAsia="宋体" w:cs="宋体"/>
                <w:sz w:val="21"/>
                <w:szCs w:val="21"/>
              </w:rPr>
              <w:t>第三方机构出具的冷库温度校准报告（须包括冷藏</w:t>
            </w:r>
            <w:r>
              <w:rPr>
                <w:rFonts w:hint="eastAsia" w:ascii="宋体" w:hAnsi="宋体" w:eastAsia="宋体" w:cs="宋体"/>
                <w:sz w:val="21"/>
                <w:szCs w:val="21"/>
                <w:lang w:eastAsia="zh-CN"/>
              </w:rPr>
              <w:t>库</w:t>
            </w:r>
            <w:r>
              <w:rPr>
                <w:rFonts w:hint="eastAsia" w:ascii="宋体" w:hAnsi="宋体" w:eastAsia="宋体" w:cs="宋体"/>
                <w:sz w:val="21"/>
                <w:szCs w:val="21"/>
              </w:rPr>
              <w:t>和冷冻</w:t>
            </w:r>
            <w:r>
              <w:rPr>
                <w:rFonts w:hint="eastAsia" w:ascii="宋体" w:hAnsi="宋体" w:eastAsia="宋体" w:cs="宋体"/>
                <w:sz w:val="21"/>
                <w:szCs w:val="21"/>
                <w:lang w:eastAsia="zh-CN"/>
              </w:rPr>
              <w:t>库</w:t>
            </w:r>
            <w:r>
              <w:rPr>
                <w:rFonts w:hint="eastAsia" w:ascii="宋体" w:hAnsi="宋体" w:eastAsia="宋体" w:cs="宋体"/>
                <w:sz w:val="21"/>
                <w:szCs w:val="21"/>
              </w:rPr>
              <w:t>）</w:t>
            </w:r>
            <w:r>
              <w:rPr>
                <w:rFonts w:hint="eastAsia" w:ascii="宋体" w:hAnsi="宋体" w:eastAsia="宋体" w:cs="宋体"/>
                <w:sz w:val="21"/>
                <w:szCs w:val="21"/>
                <w:lang w:eastAsia="zh-CN"/>
              </w:rPr>
              <w:t>，且温度检测结论为合格（或者同等意义表述）。</w:t>
            </w:r>
          </w:p>
          <w:p w14:paraId="1D0FA3F8">
            <w:pPr>
              <w:rPr>
                <w:rFonts w:hint="eastAsia" w:ascii="宋体" w:hAnsi="宋体" w:eastAsia="宋体" w:cs="宋体"/>
                <w:sz w:val="21"/>
                <w:szCs w:val="21"/>
              </w:rPr>
            </w:pPr>
            <w:r>
              <w:rPr>
                <w:rFonts w:hint="eastAsia" w:ascii="宋体" w:hAnsi="宋体" w:eastAsia="宋体" w:cs="宋体"/>
                <w:sz w:val="21"/>
                <w:szCs w:val="21"/>
              </w:rPr>
              <w:t>2、租赁冷库</w:t>
            </w:r>
            <w:r>
              <w:rPr>
                <w:rFonts w:hint="eastAsia" w:ascii="宋体" w:hAnsi="宋体" w:eastAsia="宋体" w:cs="宋体"/>
                <w:sz w:val="21"/>
                <w:szCs w:val="21"/>
                <w:lang w:eastAsia="zh-CN"/>
              </w:rPr>
              <w:t>同时</w:t>
            </w:r>
            <w:r>
              <w:rPr>
                <w:rFonts w:hint="eastAsia" w:ascii="宋体" w:hAnsi="宋体" w:eastAsia="宋体" w:cs="宋体"/>
                <w:sz w:val="21"/>
                <w:szCs w:val="21"/>
              </w:rPr>
              <w:t>提供冷库</w:t>
            </w:r>
            <w:r>
              <w:rPr>
                <w:rFonts w:hint="eastAsia" w:ascii="宋体" w:hAnsi="宋体" w:eastAsia="宋体" w:cs="宋体"/>
                <w:sz w:val="21"/>
                <w:szCs w:val="21"/>
                <w:lang w:eastAsia="zh-CN"/>
              </w:rPr>
              <w:t>有效的</w:t>
            </w:r>
            <w:r>
              <w:rPr>
                <w:rFonts w:hint="eastAsia" w:ascii="宋体" w:hAnsi="宋体" w:eastAsia="宋体" w:cs="宋体"/>
                <w:sz w:val="21"/>
                <w:szCs w:val="21"/>
              </w:rPr>
              <w:t>租赁合同，租赁合同日期应涵盖本项目投标截止日期</w:t>
            </w:r>
            <w:r>
              <w:rPr>
                <w:rFonts w:hint="eastAsia" w:ascii="宋体" w:hAnsi="宋体" w:eastAsia="宋体" w:cs="宋体"/>
                <w:sz w:val="21"/>
                <w:szCs w:val="21"/>
                <w:lang w:eastAsia="zh-CN"/>
              </w:rPr>
              <w:t>（含当日）</w:t>
            </w:r>
            <w:r>
              <w:rPr>
                <w:rFonts w:hint="eastAsia" w:ascii="宋体" w:hAnsi="宋体" w:eastAsia="宋体" w:cs="宋体"/>
                <w:sz w:val="21"/>
                <w:szCs w:val="21"/>
              </w:rPr>
              <w:t>；</w:t>
            </w:r>
            <w:r>
              <w:rPr>
                <w:rFonts w:hint="eastAsia" w:ascii="宋体" w:hAnsi="宋体" w:eastAsia="宋体" w:cs="宋体"/>
                <w:sz w:val="21"/>
                <w:szCs w:val="21"/>
                <w:lang w:eastAsia="zh-CN"/>
              </w:rPr>
              <w:t>且至少需体现冷库面积、投标人信息等评分内容关键性内容；若证明材料无法体现面积的，投标人须同时提供换算为面积（平方米）的证明材料或者其他能体现面积信息的合法有效证明材料（2）提供冷库正门全景照片和内景照片各一张；（3）</w:t>
            </w:r>
            <w:r>
              <w:rPr>
                <w:rFonts w:hint="eastAsia" w:ascii="宋体" w:hAnsi="宋体" w:eastAsia="宋体" w:cs="宋体"/>
                <w:sz w:val="21"/>
                <w:szCs w:val="21"/>
              </w:rPr>
              <w:t>提供202</w:t>
            </w:r>
            <w:r>
              <w:rPr>
                <w:rFonts w:hint="eastAsia" w:ascii="宋体" w:hAnsi="宋体" w:eastAsia="宋体" w:cs="宋体"/>
                <w:sz w:val="21"/>
                <w:szCs w:val="21"/>
                <w:lang w:eastAsia="zh-CN"/>
              </w:rPr>
              <w:t>5</w:t>
            </w:r>
            <w:r>
              <w:rPr>
                <w:rFonts w:hint="eastAsia" w:ascii="宋体" w:hAnsi="宋体" w:eastAsia="宋体" w:cs="宋体"/>
                <w:sz w:val="21"/>
                <w:szCs w:val="21"/>
              </w:rPr>
              <w:t>年</w:t>
            </w:r>
            <w:r>
              <w:rPr>
                <w:rFonts w:hint="eastAsia" w:ascii="宋体" w:hAnsi="宋体" w:eastAsia="宋体" w:cs="宋体"/>
                <w:sz w:val="21"/>
                <w:szCs w:val="21"/>
                <w:lang w:eastAsia="zh-CN"/>
              </w:rPr>
              <w:t>1</w:t>
            </w:r>
            <w:r>
              <w:rPr>
                <w:rFonts w:hint="eastAsia" w:ascii="宋体" w:hAnsi="宋体" w:eastAsia="宋体" w:cs="宋体"/>
                <w:sz w:val="21"/>
                <w:szCs w:val="21"/>
              </w:rPr>
              <w:t>月1日</w:t>
            </w:r>
            <w:r>
              <w:rPr>
                <w:rFonts w:hint="eastAsia" w:ascii="宋体" w:hAnsi="宋体" w:eastAsia="宋体" w:cs="宋体"/>
                <w:sz w:val="21"/>
                <w:szCs w:val="21"/>
                <w:lang w:eastAsia="zh-CN"/>
              </w:rPr>
              <w:t>（含当日）</w:t>
            </w:r>
            <w:r>
              <w:rPr>
                <w:rFonts w:hint="eastAsia" w:ascii="宋体" w:hAnsi="宋体" w:eastAsia="宋体" w:cs="宋体"/>
                <w:sz w:val="21"/>
                <w:szCs w:val="21"/>
              </w:rPr>
              <w:t>至本项目投标截止日</w:t>
            </w:r>
            <w:r>
              <w:rPr>
                <w:rFonts w:hint="eastAsia" w:ascii="宋体" w:hAnsi="宋体" w:eastAsia="宋体" w:cs="宋体"/>
                <w:sz w:val="21"/>
                <w:szCs w:val="21"/>
                <w:lang w:eastAsia="zh-CN"/>
              </w:rPr>
              <w:t>（含当日）期间</w:t>
            </w:r>
            <w:r>
              <w:rPr>
                <w:rFonts w:hint="eastAsia" w:ascii="宋体" w:hAnsi="宋体" w:eastAsia="宋体" w:cs="宋体"/>
                <w:sz w:val="21"/>
                <w:szCs w:val="21"/>
              </w:rPr>
              <w:t>第三方机构出具的冷库温度校准报告（须包括冷藏</w:t>
            </w:r>
            <w:r>
              <w:rPr>
                <w:rFonts w:hint="eastAsia" w:ascii="宋体" w:hAnsi="宋体" w:eastAsia="宋体" w:cs="宋体"/>
                <w:sz w:val="21"/>
                <w:szCs w:val="21"/>
                <w:lang w:eastAsia="zh-CN"/>
              </w:rPr>
              <w:t>库</w:t>
            </w:r>
            <w:r>
              <w:rPr>
                <w:rFonts w:hint="eastAsia" w:ascii="宋体" w:hAnsi="宋体" w:eastAsia="宋体" w:cs="宋体"/>
                <w:sz w:val="21"/>
                <w:szCs w:val="21"/>
              </w:rPr>
              <w:t>和冷冻</w:t>
            </w:r>
            <w:r>
              <w:rPr>
                <w:rFonts w:hint="eastAsia" w:ascii="宋体" w:hAnsi="宋体" w:eastAsia="宋体" w:cs="宋体"/>
                <w:sz w:val="21"/>
                <w:szCs w:val="21"/>
                <w:lang w:eastAsia="zh-CN"/>
              </w:rPr>
              <w:t>库</w:t>
            </w:r>
            <w:r>
              <w:rPr>
                <w:rFonts w:hint="eastAsia" w:ascii="宋体" w:hAnsi="宋体" w:eastAsia="宋体" w:cs="宋体"/>
                <w:sz w:val="21"/>
                <w:szCs w:val="21"/>
              </w:rPr>
              <w:t>）</w:t>
            </w:r>
            <w:r>
              <w:rPr>
                <w:rFonts w:hint="eastAsia" w:ascii="宋体" w:hAnsi="宋体" w:eastAsia="宋体" w:cs="宋体"/>
                <w:sz w:val="21"/>
                <w:szCs w:val="21"/>
                <w:lang w:eastAsia="zh-CN"/>
              </w:rPr>
              <w:t>，且温度检测结论为合格（或者同等意义表述）。</w:t>
            </w:r>
          </w:p>
          <w:p w14:paraId="430C9C2D">
            <w:pPr>
              <w:rPr>
                <w:rFonts w:hint="eastAsia" w:ascii="宋体" w:hAnsi="宋体" w:eastAsia="宋体" w:cs="宋体"/>
                <w:sz w:val="21"/>
                <w:szCs w:val="21"/>
                <w:lang w:eastAsia="zh-CN"/>
              </w:rPr>
            </w:pPr>
            <w:r>
              <w:rPr>
                <w:rFonts w:hint="eastAsia" w:ascii="宋体" w:hAnsi="宋体" w:eastAsia="宋体" w:cs="宋体"/>
                <w:sz w:val="21"/>
                <w:szCs w:val="21"/>
                <w:lang w:eastAsia="zh-CN"/>
              </w:rPr>
              <w:t>3、投标人提供多个冷库的，每个冷库均需按照以上评分依据1-2的要求提供证明材料；</w:t>
            </w:r>
          </w:p>
          <w:p w14:paraId="33602C1E">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4</w:t>
            </w:r>
            <w:r>
              <w:rPr>
                <w:rFonts w:hint="eastAsia" w:ascii="宋体" w:hAnsi="宋体" w:eastAsia="宋体" w:cs="宋体"/>
                <w:sz w:val="21"/>
                <w:szCs w:val="21"/>
              </w:rPr>
              <w:t>、以上资料</w:t>
            </w:r>
            <w:r>
              <w:rPr>
                <w:rFonts w:hint="eastAsia" w:ascii="宋体" w:hAnsi="宋体" w:eastAsia="宋体" w:cs="宋体"/>
                <w:sz w:val="21"/>
                <w:szCs w:val="21"/>
                <w:lang w:eastAsia="zh-CN"/>
              </w:rPr>
              <w:t>均提供扫描件，</w:t>
            </w:r>
            <w:r>
              <w:rPr>
                <w:rFonts w:hint="eastAsia" w:ascii="宋体" w:hAnsi="宋体" w:eastAsia="宋体" w:cs="宋体"/>
                <w:sz w:val="21"/>
                <w:szCs w:val="21"/>
              </w:rPr>
              <w:t>原件备查，评分中出现无证明资料或者专家无法凭所提供资料判断是否得分的情况，一律做不得分处理。</w:t>
            </w:r>
          </w:p>
        </w:tc>
      </w:tr>
      <w:tr w14:paraId="60DB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57D8CD83">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39F007DE">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8</w:t>
            </w:r>
          </w:p>
        </w:tc>
        <w:tc>
          <w:tcPr>
            <w:tcW w:w="1046" w:type="pct"/>
            <w:noWrap w:val="0"/>
            <w:vAlign w:val="center"/>
          </w:tcPr>
          <w:p w14:paraId="21883551">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投标人</w:t>
            </w:r>
            <w:r>
              <w:rPr>
                <w:rFonts w:hint="eastAsia" w:ascii="宋体" w:hAnsi="宋体" w:eastAsia="宋体" w:cs="宋体"/>
                <w:sz w:val="21"/>
                <w:szCs w:val="21"/>
              </w:rPr>
              <w:t>购买公共责任险</w:t>
            </w:r>
          </w:p>
        </w:tc>
        <w:tc>
          <w:tcPr>
            <w:tcW w:w="493" w:type="pct"/>
            <w:noWrap w:val="0"/>
            <w:vAlign w:val="center"/>
          </w:tcPr>
          <w:p w14:paraId="37FE1F0F">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583" w:type="pct"/>
            <w:noWrap w:val="0"/>
            <w:vAlign w:val="top"/>
          </w:tcPr>
          <w:p w14:paraId="34A8D62F">
            <w:pPr>
              <w:spacing w:line="360" w:lineRule="auto"/>
              <w:ind w:left="-89" w:leftChars="-37" w:right="-84" w:rightChars="-35"/>
              <w:jc w:val="left"/>
              <w:rPr>
                <w:rFonts w:hint="eastAsia" w:ascii="宋体" w:hAnsi="宋体" w:eastAsia="宋体" w:cs="宋体"/>
                <w:b/>
                <w:sz w:val="21"/>
                <w:szCs w:val="21"/>
              </w:rPr>
            </w:pPr>
            <w:r>
              <w:rPr>
                <w:rFonts w:hint="eastAsia" w:ascii="宋体" w:hAnsi="宋体" w:eastAsia="宋体" w:cs="宋体"/>
                <w:b/>
                <w:sz w:val="21"/>
                <w:szCs w:val="21"/>
                <w:lang w:eastAsia="zh-CN"/>
              </w:rPr>
              <w:t>（一）评分内容</w:t>
            </w:r>
            <w:r>
              <w:rPr>
                <w:rFonts w:hint="eastAsia" w:ascii="宋体" w:hAnsi="宋体" w:eastAsia="宋体" w:cs="宋体"/>
                <w:b/>
                <w:sz w:val="21"/>
                <w:szCs w:val="21"/>
              </w:rPr>
              <w:t>：</w:t>
            </w:r>
          </w:p>
          <w:p w14:paraId="7B527850">
            <w:pPr>
              <w:rPr>
                <w:rFonts w:hint="eastAsia" w:ascii="宋体" w:hAnsi="宋体" w:eastAsia="宋体" w:cs="宋体"/>
                <w:sz w:val="21"/>
                <w:szCs w:val="21"/>
                <w:lang w:eastAsia="zh-CN"/>
              </w:rPr>
            </w:pPr>
            <w:r>
              <w:rPr>
                <w:rFonts w:hint="eastAsia" w:ascii="宋体" w:hAnsi="宋体" w:eastAsia="宋体" w:cs="宋体"/>
                <w:sz w:val="21"/>
                <w:szCs w:val="21"/>
              </w:rPr>
              <w:t>投标人购买相关食品安全责任险</w:t>
            </w:r>
            <w:r>
              <w:rPr>
                <w:rFonts w:hint="eastAsia" w:ascii="宋体" w:hAnsi="宋体" w:eastAsia="宋体" w:cs="宋体"/>
                <w:sz w:val="21"/>
                <w:szCs w:val="21"/>
                <w:lang w:eastAsia="zh-CN"/>
              </w:rPr>
              <w:t>：</w:t>
            </w:r>
          </w:p>
          <w:p w14:paraId="726B7AC1">
            <w:pPr>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累计赔偿限额</w:t>
            </w:r>
            <w:r>
              <w:rPr>
                <w:rFonts w:hint="eastAsia" w:ascii="宋体" w:hAnsi="宋体" w:eastAsia="宋体" w:cs="宋体"/>
                <w:sz w:val="21"/>
                <w:szCs w:val="21"/>
                <w:lang w:eastAsia="zh-CN"/>
              </w:rPr>
              <w:t>≥2</w:t>
            </w:r>
            <w:r>
              <w:rPr>
                <w:rFonts w:hint="eastAsia" w:ascii="宋体" w:hAnsi="宋体" w:eastAsia="宋体" w:cs="宋体"/>
                <w:sz w:val="21"/>
                <w:szCs w:val="21"/>
              </w:rPr>
              <w:t>亿元的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100%</w:t>
            </w:r>
            <w:r>
              <w:rPr>
                <w:rFonts w:hint="eastAsia" w:ascii="宋体" w:hAnsi="宋体" w:eastAsia="宋体" w:cs="宋体"/>
                <w:sz w:val="21"/>
                <w:szCs w:val="21"/>
              </w:rPr>
              <w:t>分；</w:t>
            </w:r>
          </w:p>
          <w:p w14:paraId="58A860F6">
            <w:pPr>
              <w:rPr>
                <w:rFonts w:hint="eastAsia" w:ascii="宋体" w:hAnsi="宋体" w:eastAsia="宋体" w:cs="宋体"/>
                <w:sz w:val="21"/>
                <w:szCs w:val="21"/>
              </w:rPr>
            </w:pPr>
            <w:r>
              <w:rPr>
                <w:rFonts w:hint="eastAsia" w:ascii="宋体" w:hAnsi="宋体" w:eastAsia="宋体" w:cs="宋体"/>
                <w:sz w:val="21"/>
                <w:szCs w:val="21"/>
                <w:lang w:eastAsia="zh-CN"/>
              </w:rPr>
              <w:t>2、1亿元≤</w:t>
            </w:r>
            <w:r>
              <w:rPr>
                <w:rFonts w:hint="eastAsia" w:ascii="宋体" w:hAnsi="宋体" w:eastAsia="宋体" w:cs="宋体"/>
                <w:sz w:val="21"/>
                <w:szCs w:val="21"/>
              </w:rPr>
              <w:t>累计赔偿限额</w:t>
            </w:r>
            <w:r>
              <w:rPr>
                <w:rFonts w:hint="eastAsia" w:ascii="宋体" w:hAnsi="宋体" w:eastAsia="宋体" w:cs="宋体"/>
                <w:sz w:val="21"/>
                <w:szCs w:val="21"/>
                <w:lang w:eastAsia="zh-CN"/>
              </w:rPr>
              <w:t>＜2</w:t>
            </w:r>
            <w:r>
              <w:rPr>
                <w:rFonts w:hint="eastAsia" w:ascii="宋体" w:hAnsi="宋体" w:eastAsia="宋体" w:cs="宋体"/>
                <w:sz w:val="21"/>
                <w:szCs w:val="21"/>
              </w:rPr>
              <w:t>亿元的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70%</w:t>
            </w:r>
            <w:r>
              <w:rPr>
                <w:rFonts w:hint="eastAsia" w:ascii="宋体" w:hAnsi="宋体" w:eastAsia="宋体" w:cs="宋体"/>
                <w:sz w:val="21"/>
                <w:szCs w:val="21"/>
              </w:rPr>
              <w:t>分；</w:t>
            </w:r>
          </w:p>
          <w:p w14:paraId="59554B16">
            <w:pPr>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5000万元</w:t>
            </w:r>
            <w:r>
              <w:rPr>
                <w:rFonts w:hint="eastAsia" w:ascii="宋体" w:hAnsi="宋体" w:eastAsia="宋体" w:cs="宋体"/>
                <w:sz w:val="21"/>
                <w:szCs w:val="21"/>
                <w:lang w:eastAsia="zh-CN"/>
              </w:rPr>
              <w:t>≤</w:t>
            </w:r>
            <w:r>
              <w:rPr>
                <w:rFonts w:hint="eastAsia" w:ascii="宋体" w:hAnsi="宋体" w:eastAsia="宋体" w:cs="宋体"/>
                <w:sz w:val="21"/>
                <w:szCs w:val="21"/>
              </w:rPr>
              <w:t>累计赔偿限额</w:t>
            </w:r>
            <w:r>
              <w:rPr>
                <w:rFonts w:hint="eastAsia" w:ascii="宋体" w:hAnsi="宋体" w:eastAsia="宋体" w:cs="宋体"/>
                <w:sz w:val="21"/>
                <w:szCs w:val="21"/>
                <w:lang w:eastAsia="zh-CN"/>
              </w:rPr>
              <w:t>＜1亿元</w:t>
            </w:r>
            <w:r>
              <w:rPr>
                <w:rFonts w:hint="eastAsia" w:ascii="宋体" w:hAnsi="宋体" w:eastAsia="宋体" w:cs="宋体"/>
                <w:sz w:val="21"/>
                <w:szCs w:val="21"/>
              </w:rPr>
              <w:t>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40%</w:t>
            </w:r>
            <w:r>
              <w:rPr>
                <w:rFonts w:hint="eastAsia" w:ascii="宋体" w:hAnsi="宋体" w:eastAsia="宋体" w:cs="宋体"/>
                <w:sz w:val="21"/>
                <w:szCs w:val="21"/>
              </w:rPr>
              <w:t>分；</w:t>
            </w:r>
          </w:p>
          <w:p w14:paraId="57E4FDCB">
            <w:pPr>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3000万元</w:t>
            </w:r>
            <w:r>
              <w:rPr>
                <w:rFonts w:hint="eastAsia" w:ascii="宋体" w:hAnsi="宋体" w:eastAsia="宋体" w:cs="宋体"/>
                <w:sz w:val="21"/>
                <w:szCs w:val="21"/>
                <w:lang w:eastAsia="zh-CN"/>
              </w:rPr>
              <w:t>≤</w:t>
            </w:r>
            <w:r>
              <w:rPr>
                <w:rFonts w:hint="eastAsia" w:ascii="宋体" w:hAnsi="宋体" w:eastAsia="宋体" w:cs="宋体"/>
                <w:sz w:val="21"/>
                <w:szCs w:val="21"/>
              </w:rPr>
              <w:t>累计赔偿限额</w:t>
            </w:r>
            <w:r>
              <w:rPr>
                <w:rFonts w:hint="eastAsia" w:ascii="宋体" w:hAnsi="宋体" w:eastAsia="宋体" w:cs="宋体"/>
                <w:sz w:val="21"/>
                <w:szCs w:val="21"/>
                <w:lang w:eastAsia="zh-CN"/>
              </w:rPr>
              <w:t>＜</w:t>
            </w:r>
            <w:r>
              <w:rPr>
                <w:rFonts w:hint="eastAsia" w:ascii="宋体" w:hAnsi="宋体" w:eastAsia="宋体" w:cs="宋体"/>
                <w:sz w:val="21"/>
                <w:szCs w:val="21"/>
              </w:rPr>
              <w:t>5000万元的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10%</w:t>
            </w:r>
            <w:r>
              <w:rPr>
                <w:rFonts w:hint="eastAsia" w:ascii="宋体" w:hAnsi="宋体" w:eastAsia="宋体" w:cs="宋体"/>
                <w:sz w:val="21"/>
                <w:szCs w:val="21"/>
              </w:rPr>
              <w:t>分；</w:t>
            </w:r>
          </w:p>
          <w:p w14:paraId="798DBF13">
            <w:pPr>
              <w:rPr>
                <w:rFonts w:hint="eastAsia" w:ascii="宋体" w:hAnsi="宋体" w:eastAsia="宋体" w:cs="宋体"/>
                <w:sz w:val="21"/>
                <w:szCs w:val="21"/>
              </w:rPr>
            </w:pPr>
            <w:r>
              <w:rPr>
                <w:rFonts w:hint="eastAsia" w:ascii="宋体" w:hAnsi="宋体" w:eastAsia="宋体" w:cs="宋体"/>
                <w:sz w:val="21"/>
                <w:szCs w:val="21"/>
                <w:lang w:eastAsia="zh-CN"/>
              </w:rPr>
              <w:t>5、0</w:t>
            </w:r>
            <w:r>
              <w:rPr>
                <w:rFonts w:hint="eastAsia" w:ascii="宋体" w:hAnsi="宋体" w:eastAsia="宋体" w:cs="宋体"/>
                <w:sz w:val="21"/>
                <w:szCs w:val="21"/>
              </w:rPr>
              <w:t>万元＜累计赔偿限额</w:t>
            </w:r>
            <w:r>
              <w:rPr>
                <w:rFonts w:hint="eastAsia" w:ascii="宋体" w:hAnsi="宋体" w:eastAsia="宋体" w:cs="宋体"/>
                <w:sz w:val="21"/>
                <w:szCs w:val="21"/>
                <w:lang w:eastAsia="zh-CN"/>
              </w:rPr>
              <w:t>＜</w:t>
            </w:r>
            <w:r>
              <w:rPr>
                <w:rFonts w:hint="eastAsia" w:ascii="宋体" w:hAnsi="宋体" w:eastAsia="宋体" w:cs="宋体"/>
                <w:sz w:val="21"/>
                <w:szCs w:val="21"/>
              </w:rPr>
              <w:t>3000万元的</w:t>
            </w:r>
            <w:r>
              <w:rPr>
                <w:rFonts w:hint="eastAsia" w:ascii="宋体" w:hAnsi="宋体" w:eastAsia="宋体" w:cs="宋体"/>
                <w:sz w:val="21"/>
                <w:szCs w:val="21"/>
                <w:lang w:eastAsia="zh-CN"/>
              </w:rPr>
              <w:t>，</w:t>
            </w:r>
            <w:r>
              <w:rPr>
                <w:rFonts w:hint="eastAsia" w:ascii="宋体" w:hAnsi="宋体" w:eastAsia="宋体" w:cs="宋体"/>
                <w:sz w:val="21"/>
                <w:szCs w:val="21"/>
              </w:rPr>
              <w:t>不得分。</w:t>
            </w:r>
          </w:p>
          <w:p w14:paraId="53346533">
            <w:pPr>
              <w:rPr>
                <w:rFonts w:hint="eastAsia" w:ascii="宋体" w:hAnsi="宋体" w:eastAsia="宋体" w:cs="宋体"/>
                <w:sz w:val="21"/>
                <w:szCs w:val="21"/>
              </w:rPr>
            </w:pPr>
            <w:r>
              <w:rPr>
                <w:rFonts w:hint="eastAsia" w:ascii="宋体" w:hAnsi="宋体" w:eastAsia="宋体" w:cs="宋体"/>
                <w:sz w:val="21"/>
                <w:szCs w:val="21"/>
              </w:rPr>
              <w:t>提供多个保险</w:t>
            </w:r>
            <w:r>
              <w:rPr>
                <w:rFonts w:hint="eastAsia" w:ascii="宋体" w:hAnsi="宋体" w:eastAsia="宋体" w:cs="宋体"/>
                <w:sz w:val="21"/>
                <w:szCs w:val="21"/>
                <w:lang w:eastAsia="zh-CN"/>
              </w:rPr>
              <w:t>的</w:t>
            </w:r>
            <w:r>
              <w:rPr>
                <w:rFonts w:hint="eastAsia" w:ascii="宋体" w:hAnsi="宋体" w:eastAsia="宋体" w:cs="宋体"/>
                <w:sz w:val="21"/>
                <w:szCs w:val="21"/>
              </w:rPr>
              <w:t>累计赔偿限额不累计得分。</w:t>
            </w:r>
          </w:p>
          <w:p w14:paraId="6F5E2069">
            <w:pPr>
              <w:rPr>
                <w:rFonts w:hint="eastAsia" w:ascii="宋体" w:hAnsi="宋体" w:eastAsia="宋体" w:cs="宋体"/>
                <w:b/>
                <w:bCs/>
                <w:sz w:val="21"/>
                <w:szCs w:val="21"/>
              </w:rPr>
            </w:pPr>
            <w:r>
              <w:rPr>
                <w:rFonts w:hint="eastAsia" w:ascii="宋体" w:hAnsi="宋体" w:eastAsia="宋体" w:cs="宋体"/>
                <w:b/>
                <w:bCs/>
                <w:sz w:val="21"/>
                <w:szCs w:val="21"/>
              </w:rPr>
              <w:t>（二）评分依据：</w:t>
            </w:r>
          </w:p>
          <w:p w14:paraId="25CD10AE">
            <w:pPr>
              <w:rPr>
                <w:rFonts w:hint="eastAsia" w:ascii="宋体" w:hAnsi="宋体" w:eastAsia="宋体" w:cs="宋体"/>
                <w:sz w:val="21"/>
                <w:szCs w:val="21"/>
              </w:rPr>
            </w:pPr>
            <w:r>
              <w:rPr>
                <w:rFonts w:hint="eastAsia" w:ascii="宋体" w:hAnsi="宋体" w:eastAsia="宋体" w:cs="宋体"/>
                <w:sz w:val="21"/>
                <w:szCs w:val="21"/>
              </w:rPr>
              <w:t>1、同时提供保险</w:t>
            </w:r>
            <w:r>
              <w:rPr>
                <w:rFonts w:hint="eastAsia" w:ascii="宋体" w:hAnsi="宋体" w:eastAsia="宋体" w:cs="宋体"/>
                <w:sz w:val="21"/>
                <w:szCs w:val="21"/>
                <w:lang w:eastAsia="zh-CN"/>
              </w:rPr>
              <w:t>购置</w:t>
            </w:r>
            <w:r>
              <w:rPr>
                <w:rFonts w:hint="eastAsia" w:ascii="宋体" w:hAnsi="宋体" w:eastAsia="宋体" w:cs="宋体"/>
                <w:sz w:val="21"/>
                <w:szCs w:val="21"/>
              </w:rPr>
              <w:t>发票和保险保单</w:t>
            </w:r>
            <w:r>
              <w:rPr>
                <w:rFonts w:hint="eastAsia" w:ascii="宋体" w:hAnsi="宋体" w:eastAsia="宋体" w:cs="宋体"/>
                <w:sz w:val="21"/>
                <w:szCs w:val="21"/>
                <w:lang w:eastAsia="zh-CN"/>
              </w:rPr>
              <w:t>（或保险合同）</w:t>
            </w:r>
            <w:r>
              <w:rPr>
                <w:rFonts w:hint="eastAsia" w:ascii="宋体" w:hAnsi="宋体" w:eastAsia="宋体" w:cs="宋体"/>
                <w:sz w:val="21"/>
                <w:szCs w:val="21"/>
              </w:rPr>
              <w:t>，保单</w:t>
            </w:r>
            <w:r>
              <w:rPr>
                <w:rFonts w:hint="eastAsia" w:ascii="宋体" w:hAnsi="宋体" w:eastAsia="宋体" w:cs="宋体"/>
                <w:sz w:val="21"/>
                <w:szCs w:val="21"/>
                <w:lang w:eastAsia="zh-CN"/>
              </w:rPr>
              <w:t>（或保险合同）保险期限</w:t>
            </w:r>
            <w:r>
              <w:rPr>
                <w:rFonts w:hint="eastAsia" w:ascii="宋体" w:hAnsi="宋体" w:eastAsia="宋体" w:cs="宋体"/>
                <w:sz w:val="21"/>
                <w:szCs w:val="21"/>
              </w:rPr>
              <w:t>须涵盖本项目投标截止日期</w:t>
            </w:r>
            <w:r>
              <w:rPr>
                <w:rFonts w:hint="eastAsia" w:ascii="宋体" w:hAnsi="宋体" w:eastAsia="宋体" w:cs="宋体"/>
                <w:sz w:val="21"/>
                <w:szCs w:val="21"/>
                <w:lang w:eastAsia="zh-CN"/>
              </w:rPr>
              <w:t>当日</w:t>
            </w:r>
            <w:r>
              <w:rPr>
                <w:rFonts w:hint="eastAsia" w:ascii="宋体" w:hAnsi="宋体" w:eastAsia="宋体" w:cs="宋体"/>
                <w:sz w:val="21"/>
                <w:szCs w:val="21"/>
              </w:rPr>
              <w:t>。</w:t>
            </w:r>
          </w:p>
          <w:p w14:paraId="63C25891">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rPr>
              <w:t>2、以上资料</w:t>
            </w:r>
            <w:r>
              <w:rPr>
                <w:rFonts w:hint="eastAsia" w:ascii="宋体" w:hAnsi="宋体" w:eastAsia="宋体" w:cs="宋体"/>
                <w:sz w:val="21"/>
                <w:szCs w:val="21"/>
                <w:lang w:eastAsia="zh-CN"/>
              </w:rPr>
              <w:t>均提供扫描件，</w:t>
            </w:r>
            <w:r>
              <w:rPr>
                <w:rFonts w:hint="eastAsia" w:ascii="宋体" w:hAnsi="宋体" w:eastAsia="宋体" w:cs="宋体"/>
                <w:sz w:val="21"/>
                <w:szCs w:val="21"/>
              </w:rPr>
              <w:t>原件备查，评分中出现无证明资料或者专家无法凭所提供资料判断是否得分的情况，一律做不得分处理。</w:t>
            </w:r>
          </w:p>
        </w:tc>
      </w:tr>
      <w:tr w14:paraId="20F8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2A05F82D">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7C0F9608">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9</w:t>
            </w:r>
          </w:p>
        </w:tc>
        <w:tc>
          <w:tcPr>
            <w:tcW w:w="1046" w:type="pct"/>
            <w:noWrap w:val="0"/>
            <w:vAlign w:val="center"/>
          </w:tcPr>
          <w:p w14:paraId="38AF4407">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投标人购买</w:t>
            </w:r>
            <w:r>
              <w:rPr>
                <w:rFonts w:hint="eastAsia" w:ascii="宋体" w:hAnsi="宋体" w:eastAsia="宋体" w:cs="宋体"/>
                <w:sz w:val="21"/>
                <w:szCs w:val="21"/>
              </w:rPr>
              <w:t>食品安全保险</w:t>
            </w:r>
          </w:p>
        </w:tc>
        <w:tc>
          <w:tcPr>
            <w:tcW w:w="493" w:type="pct"/>
            <w:noWrap w:val="0"/>
            <w:vAlign w:val="center"/>
          </w:tcPr>
          <w:p w14:paraId="55984340">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583" w:type="pct"/>
            <w:noWrap w:val="0"/>
            <w:vAlign w:val="top"/>
          </w:tcPr>
          <w:p w14:paraId="03E12312">
            <w:pPr>
              <w:spacing w:line="360" w:lineRule="auto"/>
              <w:ind w:left="-89" w:leftChars="-37" w:right="-84" w:rightChars="-35"/>
              <w:jc w:val="left"/>
              <w:rPr>
                <w:rFonts w:hint="eastAsia" w:ascii="宋体" w:hAnsi="宋体" w:eastAsia="宋体" w:cs="宋体"/>
                <w:b/>
                <w:sz w:val="21"/>
                <w:szCs w:val="21"/>
              </w:rPr>
            </w:pPr>
            <w:r>
              <w:rPr>
                <w:rFonts w:hint="eastAsia" w:ascii="宋体" w:hAnsi="宋体" w:eastAsia="宋体" w:cs="宋体"/>
                <w:b/>
                <w:sz w:val="21"/>
                <w:szCs w:val="21"/>
                <w:lang w:eastAsia="zh-CN"/>
              </w:rPr>
              <w:t>（一）评分内容</w:t>
            </w:r>
            <w:r>
              <w:rPr>
                <w:rFonts w:hint="eastAsia" w:ascii="宋体" w:hAnsi="宋体" w:eastAsia="宋体" w:cs="宋体"/>
                <w:b/>
                <w:sz w:val="21"/>
                <w:szCs w:val="21"/>
              </w:rPr>
              <w:t>：</w:t>
            </w:r>
          </w:p>
          <w:p w14:paraId="15AAFFA2">
            <w:pPr>
              <w:rPr>
                <w:rFonts w:hint="eastAsia" w:ascii="宋体" w:hAnsi="宋体" w:eastAsia="宋体" w:cs="宋体"/>
                <w:sz w:val="21"/>
                <w:szCs w:val="21"/>
              </w:rPr>
            </w:pPr>
            <w:r>
              <w:rPr>
                <w:rFonts w:hint="eastAsia" w:ascii="宋体" w:hAnsi="宋体" w:eastAsia="宋体" w:cs="宋体"/>
                <w:sz w:val="21"/>
                <w:szCs w:val="21"/>
              </w:rPr>
              <w:t>投标人购买相关公众责任险：</w:t>
            </w:r>
          </w:p>
          <w:p w14:paraId="63A9DF78">
            <w:pPr>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累计赔偿限额</w:t>
            </w:r>
            <w:r>
              <w:rPr>
                <w:rFonts w:hint="eastAsia" w:ascii="宋体" w:hAnsi="宋体" w:eastAsia="宋体" w:cs="宋体"/>
                <w:sz w:val="21"/>
                <w:szCs w:val="21"/>
                <w:lang w:eastAsia="zh-CN"/>
              </w:rPr>
              <w:t>≥2</w:t>
            </w:r>
            <w:r>
              <w:rPr>
                <w:rFonts w:hint="eastAsia" w:ascii="宋体" w:hAnsi="宋体" w:eastAsia="宋体" w:cs="宋体"/>
                <w:sz w:val="21"/>
                <w:szCs w:val="21"/>
              </w:rPr>
              <w:t>亿元的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100%</w:t>
            </w:r>
            <w:r>
              <w:rPr>
                <w:rFonts w:hint="eastAsia" w:ascii="宋体" w:hAnsi="宋体" w:eastAsia="宋体" w:cs="宋体"/>
                <w:sz w:val="21"/>
                <w:szCs w:val="21"/>
              </w:rPr>
              <w:t>分；</w:t>
            </w:r>
          </w:p>
          <w:p w14:paraId="32BEDD59">
            <w:pPr>
              <w:rPr>
                <w:rFonts w:hint="eastAsia" w:ascii="宋体" w:hAnsi="宋体" w:eastAsia="宋体" w:cs="宋体"/>
                <w:sz w:val="21"/>
                <w:szCs w:val="21"/>
              </w:rPr>
            </w:pPr>
            <w:r>
              <w:rPr>
                <w:rFonts w:hint="eastAsia" w:ascii="宋体" w:hAnsi="宋体" w:eastAsia="宋体" w:cs="宋体"/>
                <w:sz w:val="21"/>
                <w:szCs w:val="21"/>
                <w:lang w:eastAsia="zh-CN"/>
              </w:rPr>
              <w:t>2、1亿元≤</w:t>
            </w:r>
            <w:r>
              <w:rPr>
                <w:rFonts w:hint="eastAsia" w:ascii="宋体" w:hAnsi="宋体" w:eastAsia="宋体" w:cs="宋体"/>
                <w:sz w:val="21"/>
                <w:szCs w:val="21"/>
              </w:rPr>
              <w:t>累计赔偿限额</w:t>
            </w:r>
            <w:r>
              <w:rPr>
                <w:rFonts w:hint="eastAsia" w:ascii="宋体" w:hAnsi="宋体" w:eastAsia="宋体" w:cs="宋体"/>
                <w:sz w:val="21"/>
                <w:szCs w:val="21"/>
                <w:lang w:eastAsia="zh-CN"/>
              </w:rPr>
              <w:t>＜2</w:t>
            </w:r>
            <w:r>
              <w:rPr>
                <w:rFonts w:hint="eastAsia" w:ascii="宋体" w:hAnsi="宋体" w:eastAsia="宋体" w:cs="宋体"/>
                <w:sz w:val="21"/>
                <w:szCs w:val="21"/>
              </w:rPr>
              <w:t>亿元的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70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3379B920">
            <w:pPr>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5000万元</w:t>
            </w:r>
            <w:r>
              <w:rPr>
                <w:rFonts w:hint="eastAsia" w:ascii="宋体" w:hAnsi="宋体" w:eastAsia="宋体" w:cs="宋体"/>
                <w:sz w:val="21"/>
                <w:szCs w:val="21"/>
                <w:lang w:eastAsia="zh-CN"/>
              </w:rPr>
              <w:t>≤</w:t>
            </w:r>
            <w:r>
              <w:rPr>
                <w:rFonts w:hint="eastAsia" w:ascii="宋体" w:hAnsi="宋体" w:eastAsia="宋体" w:cs="宋体"/>
                <w:sz w:val="21"/>
                <w:szCs w:val="21"/>
              </w:rPr>
              <w:t>累计赔偿限额</w:t>
            </w:r>
            <w:r>
              <w:rPr>
                <w:rFonts w:hint="eastAsia" w:ascii="宋体" w:hAnsi="宋体" w:eastAsia="宋体" w:cs="宋体"/>
                <w:sz w:val="21"/>
                <w:szCs w:val="21"/>
                <w:lang w:eastAsia="zh-CN"/>
              </w:rPr>
              <w:t>＜1亿元</w:t>
            </w:r>
            <w:r>
              <w:rPr>
                <w:rFonts w:hint="eastAsia" w:ascii="宋体" w:hAnsi="宋体" w:eastAsia="宋体" w:cs="宋体"/>
                <w:sz w:val="21"/>
                <w:szCs w:val="21"/>
              </w:rPr>
              <w:t>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40%</w:t>
            </w:r>
            <w:r>
              <w:rPr>
                <w:rFonts w:hint="eastAsia" w:ascii="宋体" w:hAnsi="宋体" w:eastAsia="宋体" w:cs="宋体"/>
                <w:sz w:val="21"/>
                <w:szCs w:val="21"/>
              </w:rPr>
              <w:t>分；</w:t>
            </w:r>
          </w:p>
          <w:p w14:paraId="4C61BAE8">
            <w:pPr>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3000万元</w:t>
            </w:r>
            <w:r>
              <w:rPr>
                <w:rFonts w:hint="eastAsia" w:ascii="宋体" w:hAnsi="宋体" w:eastAsia="宋体" w:cs="宋体"/>
                <w:sz w:val="21"/>
                <w:szCs w:val="21"/>
                <w:lang w:eastAsia="zh-CN"/>
              </w:rPr>
              <w:t>≤</w:t>
            </w:r>
            <w:r>
              <w:rPr>
                <w:rFonts w:hint="eastAsia" w:ascii="宋体" w:hAnsi="宋体" w:eastAsia="宋体" w:cs="宋体"/>
                <w:sz w:val="21"/>
                <w:szCs w:val="21"/>
              </w:rPr>
              <w:t>累计赔偿限额</w:t>
            </w:r>
            <w:r>
              <w:rPr>
                <w:rFonts w:hint="eastAsia" w:ascii="宋体" w:hAnsi="宋体" w:eastAsia="宋体" w:cs="宋体"/>
                <w:sz w:val="21"/>
                <w:szCs w:val="21"/>
                <w:lang w:eastAsia="zh-CN"/>
              </w:rPr>
              <w:t>＜</w:t>
            </w:r>
            <w:r>
              <w:rPr>
                <w:rFonts w:hint="eastAsia" w:ascii="宋体" w:hAnsi="宋体" w:eastAsia="宋体" w:cs="宋体"/>
                <w:sz w:val="21"/>
                <w:szCs w:val="21"/>
              </w:rPr>
              <w:t>5000万元的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eastAsia="zh-CN"/>
              </w:rPr>
              <w:t>10%</w:t>
            </w:r>
            <w:r>
              <w:rPr>
                <w:rFonts w:hint="eastAsia" w:ascii="宋体" w:hAnsi="宋体" w:eastAsia="宋体" w:cs="宋体"/>
                <w:sz w:val="21"/>
                <w:szCs w:val="21"/>
              </w:rPr>
              <w:t>分；</w:t>
            </w:r>
          </w:p>
          <w:p w14:paraId="3DC58492">
            <w:pPr>
              <w:rPr>
                <w:rFonts w:hint="eastAsia" w:ascii="宋体" w:hAnsi="宋体" w:eastAsia="宋体" w:cs="宋体"/>
                <w:sz w:val="21"/>
                <w:szCs w:val="21"/>
              </w:rPr>
            </w:pPr>
            <w:r>
              <w:rPr>
                <w:rFonts w:hint="eastAsia" w:ascii="宋体" w:hAnsi="宋体" w:eastAsia="宋体" w:cs="宋体"/>
                <w:sz w:val="21"/>
                <w:szCs w:val="21"/>
                <w:lang w:eastAsia="zh-CN"/>
              </w:rPr>
              <w:t>5、0</w:t>
            </w:r>
            <w:r>
              <w:rPr>
                <w:rFonts w:hint="eastAsia" w:ascii="宋体" w:hAnsi="宋体" w:eastAsia="宋体" w:cs="宋体"/>
                <w:sz w:val="21"/>
                <w:szCs w:val="21"/>
              </w:rPr>
              <w:t>万元＜累计赔偿限额</w:t>
            </w:r>
            <w:r>
              <w:rPr>
                <w:rFonts w:hint="eastAsia" w:ascii="宋体" w:hAnsi="宋体" w:eastAsia="宋体" w:cs="宋体"/>
                <w:sz w:val="21"/>
                <w:szCs w:val="21"/>
                <w:lang w:eastAsia="zh-CN"/>
              </w:rPr>
              <w:t>＜</w:t>
            </w:r>
            <w:r>
              <w:rPr>
                <w:rFonts w:hint="eastAsia" w:ascii="宋体" w:hAnsi="宋体" w:eastAsia="宋体" w:cs="宋体"/>
                <w:sz w:val="21"/>
                <w:szCs w:val="21"/>
              </w:rPr>
              <w:t>3000万元的</w:t>
            </w:r>
            <w:r>
              <w:rPr>
                <w:rFonts w:hint="eastAsia" w:ascii="宋体" w:hAnsi="宋体" w:eastAsia="宋体" w:cs="宋体"/>
                <w:sz w:val="21"/>
                <w:szCs w:val="21"/>
                <w:lang w:eastAsia="zh-CN"/>
              </w:rPr>
              <w:t>，</w:t>
            </w:r>
            <w:r>
              <w:rPr>
                <w:rFonts w:hint="eastAsia" w:ascii="宋体" w:hAnsi="宋体" w:eastAsia="宋体" w:cs="宋体"/>
                <w:sz w:val="21"/>
                <w:szCs w:val="21"/>
              </w:rPr>
              <w:t>不得分。</w:t>
            </w:r>
          </w:p>
          <w:p w14:paraId="2F295A13">
            <w:pPr>
              <w:rPr>
                <w:rFonts w:hint="eastAsia" w:ascii="宋体" w:hAnsi="宋体" w:eastAsia="宋体" w:cs="宋体"/>
                <w:sz w:val="21"/>
                <w:szCs w:val="21"/>
              </w:rPr>
            </w:pPr>
            <w:r>
              <w:rPr>
                <w:rFonts w:hint="eastAsia" w:ascii="宋体" w:hAnsi="宋体" w:eastAsia="宋体" w:cs="宋体"/>
                <w:sz w:val="21"/>
                <w:szCs w:val="21"/>
              </w:rPr>
              <w:t>提供多个保险</w:t>
            </w:r>
            <w:r>
              <w:rPr>
                <w:rFonts w:hint="eastAsia" w:ascii="宋体" w:hAnsi="宋体" w:eastAsia="宋体" w:cs="宋体"/>
                <w:sz w:val="21"/>
                <w:szCs w:val="21"/>
                <w:lang w:eastAsia="zh-CN"/>
              </w:rPr>
              <w:t>的</w:t>
            </w:r>
            <w:r>
              <w:rPr>
                <w:rFonts w:hint="eastAsia" w:ascii="宋体" w:hAnsi="宋体" w:eastAsia="宋体" w:cs="宋体"/>
                <w:sz w:val="21"/>
                <w:szCs w:val="21"/>
              </w:rPr>
              <w:t>累计赔偿限额不累计得分。</w:t>
            </w:r>
          </w:p>
          <w:p w14:paraId="2C321453">
            <w:pPr>
              <w:rPr>
                <w:rFonts w:hint="eastAsia" w:ascii="宋体" w:hAnsi="宋体" w:eastAsia="宋体" w:cs="宋体"/>
                <w:b/>
                <w:bCs/>
                <w:sz w:val="21"/>
                <w:szCs w:val="21"/>
              </w:rPr>
            </w:pPr>
            <w:r>
              <w:rPr>
                <w:rFonts w:hint="eastAsia" w:ascii="宋体" w:hAnsi="宋体" w:eastAsia="宋体" w:cs="宋体"/>
                <w:b/>
                <w:bCs/>
                <w:sz w:val="21"/>
                <w:szCs w:val="21"/>
              </w:rPr>
              <w:t>（二）评分依据：</w:t>
            </w:r>
          </w:p>
          <w:p w14:paraId="473F09BA">
            <w:pPr>
              <w:rPr>
                <w:rFonts w:hint="eastAsia" w:ascii="宋体" w:hAnsi="宋体" w:eastAsia="宋体" w:cs="宋体"/>
                <w:sz w:val="21"/>
                <w:szCs w:val="21"/>
              </w:rPr>
            </w:pPr>
            <w:r>
              <w:rPr>
                <w:rFonts w:hint="eastAsia" w:ascii="宋体" w:hAnsi="宋体" w:eastAsia="宋体" w:cs="宋体"/>
                <w:sz w:val="21"/>
                <w:szCs w:val="21"/>
              </w:rPr>
              <w:t>1、同时提供保险</w:t>
            </w:r>
            <w:r>
              <w:rPr>
                <w:rFonts w:hint="eastAsia" w:ascii="宋体" w:hAnsi="宋体" w:eastAsia="宋体" w:cs="宋体"/>
                <w:sz w:val="21"/>
                <w:szCs w:val="21"/>
                <w:lang w:eastAsia="zh-CN"/>
              </w:rPr>
              <w:t>购置</w:t>
            </w:r>
            <w:r>
              <w:rPr>
                <w:rFonts w:hint="eastAsia" w:ascii="宋体" w:hAnsi="宋体" w:eastAsia="宋体" w:cs="宋体"/>
                <w:sz w:val="21"/>
                <w:szCs w:val="21"/>
              </w:rPr>
              <w:t>发票和保险保单</w:t>
            </w:r>
            <w:r>
              <w:rPr>
                <w:rFonts w:hint="eastAsia" w:ascii="宋体" w:hAnsi="宋体" w:eastAsia="宋体" w:cs="宋体"/>
                <w:sz w:val="21"/>
                <w:szCs w:val="21"/>
                <w:lang w:eastAsia="zh-CN"/>
              </w:rPr>
              <w:t>（或保险合同）</w:t>
            </w:r>
            <w:r>
              <w:rPr>
                <w:rFonts w:hint="eastAsia" w:ascii="宋体" w:hAnsi="宋体" w:eastAsia="宋体" w:cs="宋体"/>
                <w:sz w:val="21"/>
                <w:szCs w:val="21"/>
              </w:rPr>
              <w:t>，保单</w:t>
            </w:r>
            <w:r>
              <w:rPr>
                <w:rFonts w:hint="eastAsia" w:ascii="宋体" w:hAnsi="宋体" w:eastAsia="宋体" w:cs="宋体"/>
                <w:sz w:val="21"/>
                <w:szCs w:val="21"/>
                <w:lang w:eastAsia="zh-CN"/>
              </w:rPr>
              <w:t>（或保险合同）保险期限</w:t>
            </w:r>
            <w:r>
              <w:rPr>
                <w:rFonts w:hint="eastAsia" w:ascii="宋体" w:hAnsi="宋体" w:eastAsia="宋体" w:cs="宋体"/>
                <w:sz w:val="21"/>
                <w:szCs w:val="21"/>
              </w:rPr>
              <w:t>须涵盖本项目投标截止日期</w:t>
            </w:r>
            <w:r>
              <w:rPr>
                <w:rFonts w:hint="eastAsia" w:ascii="宋体" w:hAnsi="宋体" w:eastAsia="宋体" w:cs="宋体"/>
                <w:sz w:val="21"/>
                <w:szCs w:val="21"/>
                <w:lang w:eastAsia="zh-CN"/>
              </w:rPr>
              <w:t>当日</w:t>
            </w:r>
            <w:r>
              <w:rPr>
                <w:rFonts w:hint="eastAsia" w:ascii="宋体" w:hAnsi="宋体" w:eastAsia="宋体" w:cs="宋体"/>
                <w:sz w:val="21"/>
                <w:szCs w:val="21"/>
              </w:rPr>
              <w:t>。</w:t>
            </w:r>
          </w:p>
          <w:p w14:paraId="0043F760">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rPr>
              <w:t>2、以上资料</w:t>
            </w:r>
            <w:r>
              <w:rPr>
                <w:rFonts w:hint="eastAsia" w:ascii="宋体" w:hAnsi="宋体" w:eastAsia="宋体" w:cs="宋体"/>
                <w:sz w:val="21"/>
                <w:szCs w:val="21"/>
                <w:lang w:eastAsia="zh-CN"/>
              </w:rPr>
              <w:t>均提供扫描件，</w:t>
            </w:r>
            <w:r>
              <w:rPr>
                <w:rFonts w:hint="eastAsia" w:ascii="宋体" w:hAnsi="宋体" w:eastAsia="宋体" w:cs="宋体"/>
                <w:sz w:val="21"/>
                <w:szCs w:val="21"/>
              </w:rPr>
              <w:t>原件备查，评分中出现无证明资料或者专家无法凭所提供资料判断是否得分的情况，一律做不得分处理。</w:t>
            </w:r>
          </w:p>
        </w:tc>
      </w:tr>
      <w:tr w14:paraId="0921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72C5329A">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0A276A82">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10</w:t>
            </w:r>
          </w:p>
        </w:tc>
        <w:tc>
          <w:tcPr>
            <w:tcW w:w="1046" w:type="pct"/>
            <w:noWrap w:val="0"/>
            <w:vAlign w:val="center"/>
          </w:tcPr>
          <w:p w14:paraId="3BE9CA0F">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项目经验满意度评价</w:t>
            </w:r>
          </w:p>
        </w:tc>
        <w:tc>
          <w:tcPr>
            <w:tcW w:w="493" w:type="pct"/>
            <w:noWrap w:val="0"/>
            <w:vAlign w:val="center"/>
          </w:tcPr>
          <w:p w14:paraId="2F6DB1A4">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583" w:type="pct"/>
            <w:noWrap w:val="0"/>
            <w:vAlign w:val="top"/>
          </w:tcPr>
          <w:p w14:paraId="468CE9C2">
            <w:pPr>
              <w:spacing w:line="360" w:lineRule="auto"/>
              <w:ind w:left="-89" w:leftChars="-37" w:right="-84" w:rightChars="-35"/>
              <w:jc w:val="left"/>
              <w:rPr>
                <w:rFonts w:hint="eastAsia" w:ascii="宋体" w:hAnsi="宋体" w:eastAsia="宋体" w:cs="宋体"/>
                <w:b/>
                <w:sz w:val="21"/>
                <w:szCs w:val="21"/>
              </w:rPr>
            </w:pPr>
            <w:r>
              <w:rPr>
                <w:rFonts w:hint="eastAsia" w:ascii="宋体" w:hAnsi="宋体" w:eastAsia="宋体" w:cs="宋体"/>
                <w:b/>
                <w:sz w:val="21"/>
                <w:szCs w:val="21"/>
                <w:lang w:eastAsia="zh-CN"/>
              </w:rPr>
              <w:t>（一）评分内容</w:t>
            </w:r>
            <w:r>
              <w:rPr>
                <w:rFonts w:hint="eastAsia" w:ascii="宋体" w:hAnsi="宋体" w:eastAsia="宋体" w:cs="宋体"/>
                <w:b/>
                <w:sz w:val="21"/>
                <w:szCs w:val="21"/>
              </w:rPr>
              <w:t>：</w:t>
            </w:r>
          </w:p>
          <w:p w14:paraId="678B4F66">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投标人2022年1月1日至本项目投标截止时间（以合同签订日期为准），具有本项目同类型业绩经验的，且经服务单位评价为满意或优秀或履约评价最高等级的，每提供一个得50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分，最高得100</w:t>
            </w:r>
            <w:r>
              <w:rPr>
                <w:rFonts w:hint="eastAsia" w:ascii="宋体" w:hAnsi="宋体" w:eastAsia="宋体" w:cs="宋体"/>
                <w:sz w:val="21"/>
                <w:szCs w:val="21"/>
                <w:lang w:eastAsia="zh-CN"/>
              </w:rPr>
              <w:t>%</w:t>
            </w:r>
            <w:r>
              <w:rPr>
                <w:rFonts w:hint="eastAsia" w:ascii="宋体" w:hAnsi="宋体" w:eastAsia="宋体" w:cs="宋体"/>
                <w:kern w:val="2"/>
                <w:sz w:val="21"/>
                <w:szCs w:val="21"/>
                <w:lang w:eastAsia="zh-CN"/>
              </w:rPr>
              <w:t>分。</w:t>
            </w:r>
            <w:r>
              <w:rPr>
                <w:rFonts w:hint="eastAsia" w:ascii="宋体" w:hAnsi="宋体" w:eastAsia="宋体" w:cs="宋体"/>
                <w:b/>
                <w:kern w:val="2"/>
                <w:sz w:val="21"/>
                <w:szCs w:val="21"/>
                <w:lang w:eastAsia="zh-CN"/>
              </w:rPr>
              <w:t>同一项目的续签合同（或补充合同）不重复计分。</w:t>
            </w:r>
          </w:p>
          <w:p w14:paraId="5A856E3B">
            <w:pPr>
              <w:pageBreakBefore w:val="0"/>
              <w:widowControl w:val="0"/>
              <w:numPr>
                <w:ilvl w:val="0"/>
                <w:numId w:val="4"/>
              </w:numPr>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证明文件：</w:t>
            </w:r>
          </w:p>
          <w:p w14:paraId="7BC36AA2">
            <w:pPr>
              <w:pageBreakBefore w:val="0"/>
              <w:widowControl w:val="0"/>
              <w:numPr>
                <w:ilvl w:val="0"/>
                <w:numId w:val="0"/>
              </w:numPr>
              <w:shd w:val="clear" w:color="auto" w:fill="auto"/>
              <w:kinsoku/>
              <w:wordWrap w:val="0"/>
              <w:overflowPunct/>
              <w:topLinePunct w:val="0"/>
              <w:autoSpaceDE/>
              <w:autoSpaceDN/>
              <w:bidi w:val="0"/>
              <w:adjustRightInd/>
              <w:snapToGrid/>
              <w:spacing w:afterLines="0" w:line="360" w:lineRule="auto"/>
              <w:ind w:left="0" w:firstLine="0"/>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rPr>
              <w:t>提供合同关键页（含签订合同双方的单位名称、签订合同双方的落款盖章、签订日期、等内容）</w:t>
            </w:r>
            <w:r>
              <w:rPr>
                <w:rFonts w:hint="eastAsia" w:ascii="宋体" w:hAnsi="宋体" w:eastAsia="宋体" w:cs="宋体"/>
                <w:sz w:val="21"/>
                <w:szCs w:val="21"/>
                <w:lang w:eastAsia="zh-CN"/>
              </w:rPr>
              <w:t>及加盖被服务单位公章（业务章）的履约评价表；</w:t>
            </w:r>
            <w:r>
              <w:rPr>
                <w:rFonts w:hint="eastAsia" w:ascii="宋体" w:hAnsi="宋体" w:eastAsia="宋体" w:cs="宋体"/>
                <w:kern w:val="2"/>
                <w:sz w:val="21"/>
                <w:szCs w:val="21"/>
                <w:lang w:eastAsia="zh-CN"/>
              </w:rPr>
              <w:t>未按以上要求提供相关材料或不清晰导致无法识别的不计得分。</w:t>
            </w:r>
          </w:p>
        </w:tc>
      </w:tr>
      <w:tr w14:paraId="7519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Merge w:val="continue"/>
            <w:noWrap w:val="0"/>
            <w:vAlign w:val="center"/>
          </w:tcPr>
          <w:p w14:paraId="1DEA7FD8">
            <w:pPr>
              <w:keepNext/>
              <w:keepLines/>
              <w:pageBreakBefore w:val="0"/>
              <w:widowControl w:val="0"/>
              <w:kinsoku/>
              <w:wordWrap/>
              <w:overflowPunct/>
              <w:topLinePunct w:val="0"/>
              <w:autoSpaceDE/>
              <w:autoSpaceDN/>
              <w:bidi w:val="0"/>
              <w:adjustRightInd/>
              <w:snapToGrid/>
              <w:spacing w:afterLines="0" w:line="360" w:lineRule="auto"/>
              <w:jc w:val="center"/>
              <w:textAlignment w:val="auto"/>
              <w:outlineLvl w:val="0"/>
              <w:rPr>
                <w:rFonts w:hint="eastAsia" w:ascii="宋体" w:hAnsi="宋体" w:eastAsia="宋体" w:cs="宋体"/>
                <w:sz w:val="21"/>
                <w:szCs w:val="21"/>
              </w:rPr>
            </w:pPr>
          </w:p>
        </w:tc>
        <w:tc>
          <w:tcPr>
            <w:tcW w:w="460" w:type="pct"/>
            <w:noWrap w:val="0"/>
            <w:vAlign w:val="center"/>
          </w:tcPr>
          <w:p w14:paraId="61AF2761">
            <w:pPr>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11</w:t>
            </w:r>
          </w:p>
        </w:tc>
        <w:tc>
          <w:tcPr>
            <w:tcW w:w="1046" w:type="pct"/>
            <w:noWrap w:val="0"/>
            <w:vAlign w:val="center"/>
          </w:tcPr>
          <w:p w14:paraId="130E7148">
            <w:pPr>
              <w:pageBreakBefore w:val="0"/>
              <w:widowControl w:val="0"/>
              <w:shd w:val="clear" w:color="auto" w:fill="auto"/>
              <w:kinsoku/>
              <w:wordWrap w:val="0"/>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诚信分</w:t>
            </w:r>
          </w:p>
        </w:tc>
        <w:tc>
          <w:tcPr>
            <w:tcW w:w="493" w:type="pct"/>
            <w:noWrap w:val="0"/>
            <w:vAlign w:val="center"/>
          </w:tcPr>
          <w:p w14:paraId="6195B521">
            <w:pPr>
              <w:pageBreakBefore w:val="0"/>
              <w:widowControl w:val="0"/>
              <w:shd w:val="clear" w:color="auto" w:fill="auto"/>
              <w:kinsoku/>
              <w:overflowPunct/>
              <w:topLinePunct w:val="0"/>
              <w:autoSpaceDE/>
              <w:autoSpaceDN/>
              <w:bidi w:val="0"/>
              <w:adjustRightInd/>
              <w:snapToGrid/>
              <w:spacing w:afterLines="0" w:line="36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2583" w:type="pct"/>
            <w:noWrap w:val="0"/>
            <w:vAlign w:val="top"/>
          </w:tcPr>
          <w:p w14:paraId="276EAF46">
            <w:pPr>
              <w:wordWrap w:val="0"/>
              <w:spacing w:line="360" w:lineRule="auto"/>
              <w:rPr>
                <w:rFonts w:hint="eastAsia" w:ascii="宋体" w:hAnsi="宋体" w:eastAsia="宋体" w:cs="宋体"/>
                <w:b/>
                <w:sz w:val="21"/>
                <w:szCs w:val="21"/>
              </w:rPr>
            </w:pPr>
            <w:r>
              <w:rPr>
                <w:rFonts w:hint="eastAsia" w:ascii="宋体" w:hAnsi="宋体" w:eastAsia="宋体" w:cs="宋体"/>
                <w:b/>
                <w:sz w:val="21"/>
                <w:szCs w:val="21"/>
                <w:lang w:eastAsia="zh-CN"/>
              </w:rPr>
              <w:t>（一）</w:t>
            </w:r>
            <w:r>
              <w:rPr>
                <w:rFonts w:hint="eastAsia" w:ascii="宋体" w:hAnsi="宋体" w:eastAsia="宋体" w:cs="宋体"/>
                <w:b/>
                <w:sz w:val="21"/>
                <w:szCs w:val="21"/>
              </w:rPr>
              <w:t>评分内容：</w:t>
            </w:r>
          </w:p>
          <w:p w14:paraId="4FE8E6C2">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投标人承诺在参与自行采购活动中未出现诚信或安全相关问题且不在相关主管部门处理措施实施期限内的本项得</w:t>
            </w:r>
            <w:r>
              <w:rPr>
                <w:rFonts w:hint="eastAsia" w:ascii="宋体" w:hAnsi="宋体" w:eastAsia="宋体" w:cs="宋体"/>
                <w:sz w:val="21"/>
                <w:szCs w:val="21"/>
                <w:lang w:eastAsia="zh-CN"/>
              </w:rPr>
              <w:t>100%</w:t>
            </w:r>
            <w:r>
              <w:rPr>
                <w:rFonts w:hint="eastAsia" w:ascii="宋体" w:hAnsi="宋体" w:eastAsia="宋体" w:cs="宋体"/>
                <w:sz w:val="21"/>
                <w:szCs w:val="21"/>
              </w:rPr>
              <w:t>分，否则不得分。</w:t>
            </w:r>
          </w:p>
          <w:p w14:paraId="63426DD4">
            <w:pPr>
              <w:wordWrap w:val="0"/>
              <w:spacing w:line="360" w:lineRule="auto"/>
              <w:textAlignment w:val="top"/>
              <w:rPr>
                <w:rFonts w:hint="eastAsia" w:ascii="宋体" w:hAnsi="宋体" w:eastAsia="宋体" w:cs="宋体"/>
                <w:b/>
                <w:bCs/>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评审依据：</w:t>
            </w:r>
          </w:p>
          <w:p w14:paraId="30B99689">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rPr>
              <w:t>投标人须提供《诚信承诺函》，按采购文件格式要求提供，不提供或提供的不符合要求或提供不清晰导致专家无法判断的均不得分。如被认定提供的陈述与事实不符受到行政处罚的，依法追究其责任。</w:t>
            </w:r>
          </w:p>
        </w:tc>
      </w:tr>
    </w:tbl>
    <w:p w14:paraId="7812A852">
      <w:pPr>
        <w:widowControl w:val="0"/>
        <w:jc w:val="both"/>
        <w:rPr>
          <w:rFonts w:ascii="Calibri" w:hAnsi="Calibri" w:eastAsia="宋体"/>
          <w:kern w:val="2"/>
          <w:sz w:val="21"/>
          <w:szCs w:val="22"/>
          <w:lang w:eastAsia="zh-CN"/>
        </w:rPr>
      </w:pPr>
    </w:p>
    <w:p w14:paraId="4E5A986E">
      <w:pPr>
        <w:widowControl w:val="0"/>
        <w:jc w:val="both"/>
        <w:rPr>
          <w:rFonts w:ascii="Calibri" w:hAnsi="Calibri" w:eastAsia="宋体"/>
          <w:b/>
          <w:kern w:val="2"/>
          <w:sz w:val="84"/>
          <w:szCs w:val="84"/>
          <w:lang w:eastAsia="zh-CN"/>
        </w:rPr>
      </w:pPr>
    </w:p>
    <w:p w14:paraId="123FDEAE">
      <w:pPr>
        <w:widowControl w:val="0"/>
        <w:jc w:val="both"/>
        <w:rPr>
          <w:rFonts w:ascii="Calibri" w:hAnsi="Calibri" w:eastAsia="宋体"/>
          <w:b/>
          <w:kern w:val="2"/>
          <w:sz w:val="84"/>
          <w:szCs w:val="84"/>
          <w:lang w:eastAsia="zh-CN"/>
        </w:rPr>
      </w:pPr>
    </w:p>
    <w:p w14:paraId="40AA46E0">
      <w:pPr>
        <w:widowControl w:val="0"/>
        <w:jc w:val="both"/>
        <w:rPr>
          <w:rFonts w:ascii="Calibri" w:hAnsi="Calibri" w:eastAsia="宋体"/>
          <w:b/>
          <w:kern w:val="2"/>
          <w:sz w:val="84"/>
          <w:szCs w:val="84"/>
          <w:lang w:eastAsia="zh-CN"/>
        </w:rPr>
      </w:pPr>
    </w:p>
    <w:p w14:paraId="23D67910">
      <w:pPr>
        <w:widowControl w:val="0"/>
        <w:jc w:val="both"/>
        <w:rPr>
          <w:rFonts w:ascii="Calibri" w:hAnsi="Calibri" w:eastAsia="宋体"/>
          <w:b/>
          <w:kern w:val="2"/>
          <w:sz w:val="84"/>
          <w:szCs w:val="84"/>
          <w:lang w:eastAsia="zh-CN"/>
        </w:rPr>
      </w:pPr>
    </w:p>
    <w:p w14:paraId="198C29CB">
      <w:pPr>
        <w:widowControl w:val="0"/>
        <w:jc w:val="both"/>
        <w:rPr>
          <w:rFonts w:ascii="Calibri" w:hAnsi="Calibri" w:eastAsia="宋体"/>
          <w:b/>
          <w:kern w:val="2"/>
          <w:sz w:val="84"/>
          <w:szCs w:val="84"/>
          <w:lang w:eastAsia="zh-CN"/>
        </w:rPr>
      </w:pPr>
    </w:p>
    <w:p w14:paraId="75899AC0">
      <w:pPr>
        <w:widowControl w:val="0"/>
        <w:jc w:val="both"/>
        <w:rPr>
          <w:rFonts w:ascii="Calibri" w:hAnsi="Calibri" w:eastAsia="宋体"/>
          <w:b/>
          <w:kern w:val="2"/>
          <w:sz w:val="84"/>
          <w:szCs w:val="84"/>
          <w:lang w:eastAsia="zh-CN"/>
        </w:rPr>
      </w:pPr>
    </w:p>
    <w:p w14:paraId="2F07CE76">
      <w:pPr>
        <w:widowControl w:val="0"/>
        <w:jc w:val="both"/>
        <w:rPr>
          <w:rFonts w:ascii="Calibri" w:hAnsi="Calibri" w:eastAsia="宋体"/>
          <w:b/>
          <w:kern w:val="2"/>
          <w:sz w:val="84"/>
          <w:szCs w:val="84"/>
          <w:lang w:eastAsia="zh-CN"/>
        </w:rPr>
      </w:pPr>
    </w:p>
    <w:p w14:paraId="308FC7DC">
      <w:pPr>
        <w:widowControl w:val="0"/>
        <w:spacing w:line="360" w:lineRule="auto"/>
        <w:jc w:val="both"/>
        <w:rPr>
          <w:rFonts w:ascii="Calibri" w:hAnsi="Calibri" w:eastAsia="宋体"/>
          <w:b/>
          <w:bCs/>
          <w:kern w:val="2"/>
          <w:sz w:val="84"/>
          <w:szCs w:val="84"/>
          <w:lang w:eastAsia="zh-CN"/>
        </w:rPr>
      </w:pPr>
      <w:bookmarkStart w:id="144" w:name="_GoBack"/>
      <w:bookmarkEnd w:id="144"/>
    </w:p>
    <w:p w14:paraId="208F5D95">
      <w:pPr>
        <w:widowControl w:val="0"/>
        <w:spacing w:line="360" w:lineRule="auto"/>
        <w:jc w:val="both"/>
        <w:rPr>
          <w:rFonts w:ascii="Calibri" w:hAnsi="Calibri" w:eastAsia="宋体"/>
          <w:b/>
          <w:bCs/>
          <w:kern w:val="2"/>
          <w:sz w:val="84"/>
          <w:szCs w:val="84"/>
          <w:lang w:eastAsia="zh-CN"/>
        </w:rPr>
      </w:pPr>
    </w:p>
    <w:p w14:paraId="53E1B911">
      <w:pPr>
        <w:widowControl w:val="0"/>
        <w:jc w:val="both"/>
        <w:rPr>
          <w:rFonts w:ascii="Calibri" w:hAnsi="Calibri" w:eastAsia="宋体"/>
          <w:b/>
          <w:kern w:val="2"/>
          <w:sz w:val="84"/>
          <w:szCs w:val="84"/>
          <w:lang w:eastAsia="zh-CN"/>
        </w:rPr>
      </w:pPr>
    </w:p>
    <w:p w14:paraId="0DBE43A2">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043A64D1">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6ECA1D62">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kern w:val="2"/>
          <w:sz w:val="52"/>
          <w:szCs w:val="52"/>
          <w:lang w:eastAsia="zh-CN"/>
        </w:rPr>
      </w:pPr>
      <w:r>
        <w:rPr>
          <w:rFonts w:hint="eastAsia" w:ascii="宋体" w:hAnsi="宋体" w:eastAsia="宋体" w:cs="宋体"/>
          <w:b/>
          <w:kern w:val="2"/>
          <w:sz w:val="52"/>
          <w:szCs w:val="52"/>
          <w:lang w:eastAsia="zh-CN"/>
        </w:rPr>
        <w:t>（服务类）</w:t>
      </w:r>
    </w:p>
    <w:p w14:paraId="3B0E3636">
      <w:pPr>
        <w:widowControl w:val="0"/>
        <w:jc w:val="both"/>
        <w:rPr>
          <w:rFonts w:ascii="Calibri" w:hAnsi="Calibri" w:eastAsia="宋体"/>
          <w:kern w:val="2"/>
          <w:sz w:val="21"/>
          <w:szCs w:val="22"/>
          <w:lang w:eastAsia="zh-CN"/>
        </w:rPr>
      </w:pPr>
    </w:p>
    <w:p w14:paraId="21F72799">
      <w:pPr>
        <w:widowControl w:val="0"/>
        <w:jc w:val="both"/>
        <w:rPr>
          <w:rFonts w:ascii="Calibri" w:hAnsi="Calibri" w:eastAsia="宋体"/>
          <w:kern w:val="2"/>
          <w:sz w:val="21"/>
          <w:szCs w:val="22"/>
          <w:lang w:eastAsia="zh-CN"/>
        </w:rPr>
      </w:pPr>
    </w:p>
    <w:p w14:paraId="47A80270">
      <w:pPr>
        <w:widowControl w:val="0"/>
        <w:jc w:val="both"/>
        <w:rPr>
          <w:rFonts w:ascii="Calibri" w:hAnsi="Calibri" w:eastAsia="宋体"/>
          <w:kern w:val="2"/>
          <w:sz w:val="21"/>
          <w:szCs w:val="22"/>
          <w:lang w:eastAsia="zh-CN"/>
        </w:rPr>
      </w:pPr>
    </w:p>
    <w:p w14:paraId="673C023F">
      <w:pPr>
        <w:widowControl w:val="0"/>
        <w:jc w:val="both"/>
        <w:rPr>
          <w:rFonts w:ascii="Calibri" w:hAnsi="Calibri" w:eastAsia="宋体"/>
          <w:kern w:val="2"/>
          <w:sz w:val="21"/>
          <w:szCs w:val="22"/>
          <w:lang w:eastAsia="zh-CN"/>
        </w:rPr>
      </w:pPr>
    </w:p>
    <w:p w14:paraId="2E740BBA">
      <w:pPr>
        <w:widowControl w:val="0"/>
        <w:jc w:val="both"/>
        <w:rPr>
          <w:rFonts w:ascii="Calibri" w:hAnsi="Calibri" w:eastAsia="宋体"/>
          <w:kern w:val="2"/>
          <w:sz w:val="21"/>
          <w:szCs w:val="22"/>
          <w:lang w:eastAsia="zh-CN"/>
        </w:rPr>
      </w:pPr>
    </w:p>
    <w:p w14:paraId="730E3A63">
      <w:pPr>
        <w:widowControl w:val="0"/>
        <w:jc w:val="both"/>
        <w:rPr>
          <w:rFonts w:ascii="Calibri" w:hAnsi="Calibri" w:eastAsia="宋体"/>
          <w:kern w:val="2"/>
          <w:sz w:val="21"/>
          <w:szCs w:val="22"/>
          <w:lang w:eastAsia="zh-CN"/>
        </w:rPr>
      </w:pPr>
    </w:p>
    <w:p w14:paraId="4AA76B35">
      <w:pPr>
        <w:widowControl w:val="0"/>
        <w:jc w:val="both"/>
        <w:rPr>
          <w:rFonts w:ascii="Calibri" w:hAnsi="Calibri" w:eastAsia="宋体"/>
          <w:kern w:val="2"/>
          <w:sz w:val="21"/>
          <w:szCs w:val="22"/>
          <w:lang w:eastAsia="zh-CN"/>
        </w:rPr>
      </w:pPr>
    </w:p>
    <w:p w14:paraId="1F304A29">
      <w:pPr>
        <w:widowControl w:val="0"/>
        <w:jc w:val="both"/>
        <w:rPr>
          <w:rFonts w:ascii="Calibri" w:hAnsi="Calibri" w:eastAsia="宋体"/>
          <w:kern w:val="2"/>
          <w:sz w:val="21"/>
          <w:szCs w:val="22"/>
          <w:lang w:eastAsia="zh-CN"/>
        </w:rPr>
      </w:pPr>
    </w:p>
    <w:p w14:paraId="12CB4697">
      <w:pPr>
        <w:widowControl w:val="0"/>
        <w:jc w:val="both"/>
        <w:rPr>
          <w:rFonts w:ascii="Calibri" w:hAnsi="Calibri" w:eastAsia="宋体"/>
          <w:kern w:val="2"/>
          <w:sz w:val="21"/>
          <w:szCs w:val="22"/>
          <w:lang w:eastAsia="zh-CN"/>
        </w:rPr>
      </w:pPr>
    </w:p>
    <w:p w14:paraId="72D89B4B">
      <w:pPr>
        <w:widowControl w:val="0"/>
        <w:jc w:val="both"/>
        <w:rPr>
          <w:rFonts w:ascii="Calibri" w:hAnsi="Calibri" w:eastAsia="宋体"/>
          <w:kern w:val="2"/>
          <w:sz w:val="21"/>
          <w:szCs w:val="22"/>
          <w:lang w:eastAsia="zh-CN"/>
        </w:rPr>
      </w:pPr>
    </w:p>
    <w:p w14:paraId="6ABC050A">
      <w:pPr>
        <w:widowControl w:val="0"/>
        <w:jc w:val="both"/>
        <w:rPr>
          <w:rFonts w:ascii="Calibri" w:hAnsi="Calibri" w:eastAsia="宋体"/>
          <w:kern w:val="2"/>
          <w:sz w:val="21"/>
          <w:szCs w:val="22"/>
          <w:lang w:eastAsia="zh-CN"/>
        </w:rPr>
      </w:pPr>
    </w:p>
    <w:p w14:paraId="29A859E3">
      <w:pPr>
        <w:widowControl w:val="0"/>
        <w:jc w:val="both"/>
        <w:rPr>
          <w:rFonts w:ascii="Calibri" w:hAnsi="Calibri" w:eastAsia="宋体"/>
          <w:kern w:val="2"/>
          <w:sz w:val="21"/>
          <w:szCs w:val="22"/>
          <w:lang w:eastAsia="zh-CN"/>
        </w:rPr>
      </w:pPr>
    </w:p>
    <w:p w14:paraId="62219FE0">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深圳市千里招标代理有限公司</w:t>
      </w:r>
    </w:p>
    <w:p w14:paraId="5BFDAAEF">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67E97968">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533D1C57">
      <w:pPr>
        <w:widowControl w:val="0"/>
        <w:ind w:firstLine="3654" w:firstLineChars="1300"/>
        <w:jc w:val="both"/>
        <w:rPr>
          <w:rFonts w:ascii="宋体" w:hAnsi="宋体" w:eastAsia="宋体"/>
          <w:color w:val="FF0000"/>
          <w:kern w:val="2"/>
          <w:sz w:val="21"/>
          <w:szCs w:val="21"/>
          <w:lang w:eastAsia="zh-CN"/>
        </w:rPr>
      </w:pPr>
      <w:bookmarkStart w:id="0" w:name="_Hlk73564573"/>
      <w:r>
        <w:rPr>
          <w:rFonts w:hint="eastAsia" w:ascii="宋体" w:hAnsi="宋体" w:eastAsia="黑体" w:cstheme="minorBidi"/>
          <w:b/>
          <w:bCs/>
          <w:color w:val="FF0000"/>
          <w:kern w:val="44"/>
          <w:sz w:val="28"/>
          <w:szCs w:val="44"/>
          <w:lang w:eastAsia="zh-CN"/>
        </w:rPr>
        <w:t>警示条款</w:t>
      </w:r>
    </w:p>
    <w:p w14:paraId="54D5A63F">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E5FA681">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04F0F4CD">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532678EC">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132085AA">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1B79D95C">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662B33E9">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2704A59F">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34FF423E">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329A8FB8">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3DA7B819">
      <w:pPr>
        <w:widowControl w:val="0"/>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F038622">
      <w:pPr>
        <w:widowControl w:val="0"/>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C538116">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bookmarkEnd w:id="0"/>
    <w:p w14:paraId="1646391F">
      <w:pPr>
        <w:widowControl w:val="0"/>
        <w:ind w:firstLine="422" w:firstLineChars="20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14:paraId="12BC4E08">
      <w:pPr>
        <w:widowControl w:val="0"/>
        <w:snapToGrid w:val="0"/>
        <w:spacing w:line="360" w:lineRule="exact"/>
        <w:jc w:val="left"/>
        <w:rPr>
          <w:rFonts w:ascii="宋体" w:hAnsi="宋体" w:eastAsia="宋体" w:cs="宋体"/>
          <w:color w:val="000000"/>
          <w:lang w:eastAsia="zh-CN"/>
        </w:rPr>
      </w:pPr>
    </w:p>
    <w:p w14:paraId="135E2BC1">
      <w:pPr>
        <w:widowControl w:val="0"/>
        <w:snapToGrid w:val="0"/>
        <w:spacing w:line="360" w:lineRule="exact"/>
        <w:jc w:val="left"/>
        <w:rPr>
          <w:rFonts w:ascii="宋体" w:hAnsi="宋体" w:eastAsia="宋体" w:cs="宋体"/>
          <w:color w:val="000000"/>
          <w:lang w:eastAsia="zh-CN"/>
        </w:rPr>
      </w:pPr>
    </w:p>
    <w:p w14:paraId="499CBA91">
      <w:pPr>
        <w:widowControl w:val="0"/>
        <w:kinsoku/>
        <w:overflowPunct/>
        <w:topLinePunct w:val="0"/>
        <w:bidi w:val="0"/>
        <w:spacing w:beforeAutospacing="0" w:afterAutospacing="0" w:line="360" w:lineRule="auto"/>
        <w:ind w:left="0" w:leftChars="0" w:right="0" w:firstLine="0" w:firstLineChars="0"/>
        <w:jc w:val="center"/>
        <w:outlineLvl w:val="0"/>
        <w:rPr>
          <w:rFonts w:hint="eastAsia" w:ascii="宋体" w:hAnsi="宋体" w:eastAsia="宋体" w:cs="宋体"/>
          <w:b/>
          <w:bCs/>
          <w:kern w:val="44"/>
          <w:sz w:val="32"/>
          <w:szCs w:val="32"/>
          <w:lang w:eastAsia="zh-CN"/>
        </w:rPr>
      </w:pPr>
      <w:r>
        <w:rPr>
          <w:rFonts w:ascii="Calibri" w:hAnsi="Calibri" w:eastAsia="宋体" w:cstheme="minorBidi"/>
          <w:kern w:val="2"/>
          <w:sz w:val="21"/>
          <w:szCs w:val="22"/>
          <w:lang w:eastAsia="zh-CN"/>
        </w:rPr>
        <w:br w:type="page"/>
      </w:r>
      <w:r>
        <w:rPr>
          <w:rFonts w:hint="eastAsia" w:ascii="宋体" w:hAnsi="宋体" w:eastAsia="宋体" w:cs="宋体"/>
          <w:b/>
          <w:bCs/>
          <w:kern w:val="44"/>
          <w:sz w:val="32"/>
          <w:szCs w:val="32"/>
          <w:lang w:eastAsia="zh-CN"/>
        </w:rPr>
        <w:t>目   录</w:t>
      </w:r>
    </w:p>
    <w:p w14:paraId="4BC74015">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kern w:val="2"/>
          <w:lang w:eastAsia="zh-CN"/>
        </w:rPr>
      </w:pPr>
      <w:r>
        <w:rPr>
          <w:rFonts w:hint="eastAsia" w:ascii="宋体" w:hAnsi="宋体" w:eastAsia="宋体" w:cs="宋体"/>
          <w:b/>
          <w:kern w:val="2"/>
          <w:lang w:eastAsia="zh-CN"/>
        </w:rPr>
        <w:t>第一册  专用条款</w:t>
      </w:r>
    </w:p>
    <w:p w14:paraId="63DC1F41">
      <w:pPr>
        <w:widowControl w:val="0"/>
        <w:kinsoku/>
        <w:overflowPunct/>
        <w:topLinePunct w:val="0"/>
        <w:bidi w:val="0"/>
        <w:spacing w:beforeAutospacing="0" w:afterAutospacing="0" w:line="360" w:lineRule="auto"/>
        <w:ind w:left="0" w:leftChars="0" w:right="0" w:firstLine="0" w:firstLineChars="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关键信息</w:t>
      </w:r>
    </w:p>
    <w:p w14:paraId="0C34E5D1">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364C0440">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0753DCA4">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第三章  用户需求书</w:t>
      </w:r>
    </w:p>
    <w:p w14:paraId="1585FDEA">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投标文件组成要求及格式</w:t>
      </w:r>
    </w:p>
    <w:p w14:paraId="46EA2CDA">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2E331DE4">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kern w:val="2"/>
          <w:szCs w:val="22"/>
          <w:lang w:eastAsia="zh-CN"/>
        </w:rPr>
      </w:pPr>
    </w:p>
    <w:p w14:paraId="3CBF7492">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kern w:val="2"/>
          <w:lang w:eastAsia="zh-CN"/>
        </w:rPr>
      </w:pPr>
      <w:r>
        <w:rPr>
          <w:rFonts w:hint="eastAsia" w:ascii="宋体" w:hAnsi="宋体" w:eastAsia="宋体" w:cs="宋体"/>
          <w:b/>
          <w:kern w:val="2"/>
          <w:lang w:eastAsia="zh-CN"/>
        </w:rPr>
        <w:t>第二册  通用条款</w:t>
      </w:r>
    </w:p>
    <w:p w14:paraId="5E77C543">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415192E4">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731940D0">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09B20DB4">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074B5A4A">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6468FC92">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376AD142">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07C94DC6">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179B7C7B">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4600021F">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5700DBE8">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第十一章  质疑处理</w:t>
      </w:r>
    </w:p>
    <w:p w14:paraId="7E422E45">
      <w:pPr>
        <w:widowControl/>
        <w:jc w:val="left"/>
        <w:rPr>
          <w:rFonts w:ascii="Calibri" w:hAnsi="Calibri" w:eastAsia="宋体"/>
          <w:kern w:val="2"/>
          <w:sz w:val="21"/>
          <w:szCs w:val="22"/>
          <w:lang w:eastAsia="zh-CN"/>
        </w:rPr>
      </w:pPr>
    </w:p>
    <w:p w14:paraId="001CDAE8">
      <w:pPr>
        <w:widowControl/>
        <w:jc w:val="left"/>
        <w:rPr>
          <w:rFonts w:ascii="Calibri" w:hAnsi="Calibri" w:eastAsia="宋体"/>
          <w:kern w:val="2"/>
          <w:sz w:val="21"/>
          <w:szCs w:val="22"/>
          <w:lang w:eastAsia="zh-CN"/>
        </w:rPr>
      </w:pPr>
    </w:p>
    <w:p w14:paraId="56D494C9">
      <w:pPr>
        <w:widowControl/>
        <w:jc w:val="left"/>
        <w:rPr>
          <w:rFonts w:ascii="Calibri" w:hAnsi="Calibri" w:eastAsia="宋体"/>
          <w:kern w:val="2"/>
          <w:sz w:val="21"/>
          <w:szCs w:val="22"/>
          <w:lang w:eastAsia="zh-CN"/>
        </w:rPr>
      </w:pPr>
    </w:p>
    <w:p w14:paraId="73431BFA">
      <w:pPr>
        <w:widowControl/>
        <w:jc w:val="left"/>
        <w:rPr>
          <w:rFonts w:ascii="Calibri" w:hAnsi="Calibri" w:eastAsia="宋体"/>
          <w:kern w:val="2"/>
          <w:sz w:val="21"/>
          <w:szCs w:val="22"/>
          <w:lang w:eastAsia="zh-CN"/>
        </w:rPr>
      </w:pPr>
    </w:p>
    <w:p w14:paraId="21AB32E1">
      <w:pPr>
        <w:widowControl/>
        <w:jc w:val="left"/>
        <w:rPr>
          <w:rFonts w:ascii="Calibri" w:hAnsi="Calibri" w:eastAsia="宋体"/>
          <w:kern w:val="2"/>
          <w:sz w:val="21"/>
          <w:szCs w:val="22"/>
          <w:lang w:eastAsia="zh-CN"/>
        </w:rPr>
      </w:pPr>
    </w:p>
    <w:p w14:paraId="596F23A7">
      <w:pPr>
        <w:widowControl/>
        <w:jc w:val="left"/>
        <w:rPr>
          <w:rFonts w:ascii="Calibri" w:hAnsi="Calibri" w:eastAsia="宋体"/>
          <w:kern w:val="2"/>
          <w:sz w:val="21"/>
          <w:szCs w:val="22"/>
          <w:lang w:eastAsia="zh-CN"/>
        </w:rPr>
      </w:pPr>
    </w:p>
    <w:p w14:paraId="462C29AE">
      <w:pPr>
        <w:widowControl/>
        <w:jc w:val="left"/>
        <w:rPr>
          <w:rFonts w:ascii="Calibri" w:hAnsi="Calibri" w:eastAsia="宋体"/>
          <w:kern w:val="2"/>
          <w:sz w:val="21"/>
          <w:szCs w:val="22"/>
          <w:lang w:eastAsia="zh-CN"/>
        </w:rPr>
      </w:pPr>
    </w:p>
    <w:p w14:paraId="009353DF">
      <w:pPr>
        <w:widowControl/>
        <w:jc w:val="left"/>
        <w:rPr>
          <w:rFonts w:ascii="Calibri" w:hAnsi="Calibri" w:eastAsia="宋体"/>
          <w:kern w:val="2"/>
          <w:sz w:val="21"/>
          <w:szCs w:val="22"/>
          <w:lang w:eastAsia="zh-CN"/>
        </w:rPr>
      </w:pPr>
    </w:p>
    <w:p w14:paraId="55FBB699">
      <w:pPr>
        <w:widowControl/>
        <w:jc w:val="left"/>
        <w:rPr>
          <w:rFonts w:ascii="Calibri" w:hAnsi="Calibri" w:eastAsia="宋体"/>
          <w:kern w:val="2"/>
          <w:sz w:val="21"/>
          <w:szCs w:val="22"/>
          <w:lang w:eastAsia="zh-CN"/>
        </w:rPr>
      </w:pPr>
    </w:p>
    <w:p w14:paraId="237C134C">
      <w:pPr>
        <w:widowControl/>
        <w:jc w:val="left"/>
        <w:rPr>
          <w:rFonts w:ascii="Calibri" w:hAnsi="Calibri" w:eastAsia="宋体"/>
          <w:kern w:val="2"/>
          <w:sz w:val="21"/>
          <w:szCs w:val="22"/>
          <w:lang w:eastAsia="zh-CN"/>
        </w:rPr>
      </w:pPr>
    </w:p>
    <w:p w14:paraId="38E57F33">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3AB1395A">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74B7EE0D">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6AC278E9">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1、具有独立法人资格或具有独立承担民事责任的能力的其它组织（提供营业执照或事业单位法人证等法人证明扫描件，原件备查）。</w:t>
      </w:r>
    </w:p>
    <w:p w14:paraId="4DB88B28">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2、参与本项目投标前三年内，在经营活动中没有重大违法记录（由供应商在《龙华区教育局自行采购投标及履约承诺函》中作出声明）。</w:t>
      </w:r>
    </w:p>
    <w:p w14:paraId="1939B7A0">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3、参与本项目政府采购活动时不存在被有关部门禁止参与政府采购活动且在有效期内的情况（由供应商在《龙华区教育局自行采购投标及履约承诺函》中作出声明）。</w:t>
      </w:r>
    </w:p>
    <w:p w14:paraId="7DC1A4F1">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4、具备《中华人民共和国政府采购法》第二十二条第一款的条件（由供应商在《龙华区教育局自行采购投标及履约承诺函》中作出声明）。</w:t>
      </w:r>
    </w:p>
    <w:p w14:paraId="79196A56">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5、参与本项目政府采购活动时未被列入失信被执行人、重大税收违法失信主体、政府采购严重违法失信行为记录名单（由供应商在《龙华区教育局自行采购投标及履约承诺函》中作出承诺）。</w:t>
      </w:r>
    </w:p>
    <w:p w14:paraId="34E13841">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14:paraId="36687837">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6、投标人不存在《深圳市财政局政府采购供应商信用信息管理办法》（深财规〔2023〕3 号）列明的严重违法失信行为（由供应商在《龙华区教育局自行采购投标及履约承诺函》中作出声明）。</w:t>
      </w:r>
    </w:p>
    <w:p w14:paraId="64353BF7">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7、为采购项目提供整体设计、规范编制或者项目管理、监理、检测等服务的供应商，不得再参加该采购项目同一合同项下的其他采购活动。（由供应商在《龙华区教育局自行采购投标及履约承诺函》中作出承诺）。</w:t>
      </w:r>
    </w:p>
    <w:p w14:paraId="1C33F0D0">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8、单位负责人为同一人或者存在直接控股、管理关系的不同供应商，不得参加同一合同项下的政府采购活动。（由供应商在《龙华区教育局自行采购投标及履约承诺函》中作出承诺）。</w:t>
      </w:r>
    </w:p>
    <w:p w14:paraId="7A6887D2">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9、本项目不属于专门面向中小微企业采购项目。</w:t>
      </w:r>
    </w:p>
    <w:p w14:paraId="07B565D0">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10、本项目不接受联合体投标，不接受进口产品参与投标，不允许转包、分包。（由供应商在《龙华区教育局自行采购投标及履约承诺函》中作出承诺）。</w:t>
      </w:r>
    </w:p>
    <w:p w14:paraId="0B06893A">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b/>
          <w:bCs/>
          <w:kern w:val="2"/>
          <w:sz w:val="21"/>
          <w:szCs w:val="20"/>
          <w:lang w:eastAsia="zh-CN"/>
        </w:rPr>
        <w:t>提供《供应商基本情况表》及相关人员近3个月内的任意一个月社保缴交凭证证明（由供应商填写《供应商基本情况表》相关信息</w:t>
      </w:r>
      <w:r>
        <w:rPr>
          <w:rFonts w:hint="eastAsia" w:ascii="宋体" w:hAnsi="宋体" w:eastAsia="宋体"/>
          <w:kern w:val="2"/>
          <w:sz w:val="21"/>
          <w:szCs w:val="20"/>
          <w:lang w:eastAsia="zh-CN"/>
        </w:rPr>
        <w:t>。</w:t>
      </w:r>
    </w:p>
    <w:p w14:paraId="69864865">
      <w:pPr>
        <w:widowControl w:val="0"/>
        <w:spacing w:after="60" w:afterLines="25" w:line="360" w:lineRule="auto"/>
        <w:jc w:val="both"/>
        <w:rPr>
          <w:rFonts w:hint="eastAsia" w:ascii="宋体" w:hAnsi="宋体" w:eastAsia="宋体"/>
          <w:kern w:val="2"/>
          <w:sz w:val="21"/>
          <w:szCs w:val="20"/>
          <w:lang w:eastAsia="zh-CN"/>
        </w:rPr>
      </w:pPr>
      <w:r>
        <w:rPr>
          <w:rFonts w:hint="eastAsia" w:ascii="宋体" w:hAnsi="宋体" w:eastAsia="宋体"/>
          <w:b/>
          <w:bCs/>
          <w:kern w:val="2"/>
          <w:sz w:val="21"/>
          <w:szCs w:val="20"/>
          <w:lang w:eastAsia="zh-CN"/>
        </w:rPr>
        <w:t>12、投标人须具有食品药品监督管理部门（或市场监督管理部门）颁发的有效《食品经营许可证》。</w:t>
      </w:r>
    </w:p>
    <w:p w14:paraId="5ACAA0A6">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229DFB5E">
      <w:pPr>
        <w:widowControl w:val="0"/>
        <w:spacing w:after="60" w:afterLines="25"/>
        <w:jc w:val="both"/>
        <w:rPr>
          <w:rFonts w:ascii="Arial" w:hAnsi="Arial" w:eastAsia="宋体"/>
          <w:b/>
          <w:color w:val="FF0000"/>
          <w:kern w:val="2"/>
          <w:sz w:val="30"/>
          <w:szCs w:val="30"/>
          <w:lang w:eastAsia="zh-CN"/>
        </w:rPr>
      </w:pPr>
    </w:p>
    <w:p w14:paraId="2880B6AA">
      <w:pPr>
        <w:widowControl w:val="0"/>
        <w:spacing w:after="60" w:afterLines="25"/>
        <w:jc w:val="both"/>
        <w:rPr>
          <w:rFonts w:ascii="Arial" w:hAnsi="Arial" w:eastAsia="宋体"/>
          <w:b/>
          <w:color w:val="FF0000"/>
          <w:kern w:val="2"/>
          <w:sz w:val="30"/>
          <w:szCs w:val="30"/>
          <w:lang w:eastAsia="zh-CN"/>
        </w:rPr>
      </w:pPr>
    </w:p>
    <w:p w14:paraId="7423FA00">
      <w:pPr>
        <w:widowControl w:val="0"/>
        <w:spacing w:line="360" w:lineRule="auto"/>
        <w:jc w:val="both"/>
        <w:rPr>
          <w:rFonts w:ascii="Arial" w:hAnsi="Arial" w:eastAsia="宋体"/>
          <w:b/>
          <w:bCs/>
          <w:color w:val="FF0000"/>
          <w:kern w:val="2"/>
          <w:sz w:val="30"/>
          <w:szCs w:val="30"/>
          <w:lang w:eastAsia="zh-CN"/>
        </w:rPr>
      </w:pPr>
    </w:p>
    <w:p w14:paraId="63AF7856">
      <w:pPr>
        <w:widowControl w:val="0"/>
        <w:spacing w:line="360" w:lineRule="auto"/>
        <w:jc w:val="both"/>
        <w:rPr>
          <w:rFonts w:ascii="Arial" w:hAnsi="Arial" w:eastAsia="宋体"/>
          <w:b/>
          <w:bCs/>
          <w:color w:val="FF0000"/>
          <w:kern w:val="2"/>
          <w:sz w:val="30"/>
          <w:szCs w:val="30"/>
          <w:lang w:eastAsia="zh-CN"/>
        </w:rPr>
      </w:pPr>
    </w:p>
    <w:p w14:paraId="2155317F">
      <w:pPr>
        <w:widowControl w:val="0"/>
        <w:spacing w:line="360" w:lineRule="auto"/>
        <w:jc w:val="both"/>
        <w:rPr>
          <w:rFonts w:ascii="Arial" w:hAnsi="Arial" w:eastAsia="宋体"/>
          <w:b/>
          <w:bCs/>
          <w:color w:val="FF0000"/>
          <w:kern w:val="2"/>
          <w:sz w:val="30"/>
          <w:szCs w:val="30"/>
          <w:lang w:eastAsia="zh-CN"/>
        </w:rPr>
      </w:pPr>
    </w:p>
    <w:p w14:paraId="002B5295">
      <w:pPr>
        <w:widowControl w:val="0"/>
        <w:spacing w:line="360" w:lineRule="auto"/>
        <w:jc w:val="both"/>
        <w:rPr>
          <w:rFonts w:ascii="Arial" w:hAnsi="Arial" w:eastAsia="宋体"/>
          <w:b/>
          <w:bCs/>
          <w:color w:val="FF0000"/>
          <w:kern w:val="2"/>
          <w:sz w:val="30"/>
          <w:szCs w:val="30"/>
          <w:lang w:eastAsia="zh-CN"/>
        </w:rPr>
      </w:pPr>
    </w:p>
    <w:p w14:paraId="44D1A3F3">
      <w:pPr>
        <w:widowControl w:val="0"/>
        <w:spacing w:line="360" w:lineRule="auto"/>
        <w:jc w:val="both"/>
        <w:rPr>
          <w:rFonts w:ascii="Arial" w:hAnsi="Arial" w:eastAsia="宋体"/>
          <w:b/>
          <w:bCs/>
          <w:color w:val="FF0000"/>
          <w:kern w:val="2"/>
          <w:sz w:val="30"/>
          <w:szCs w:val="30"/>
          <w:lang w:eastAsia="zh-CN"/>
        </w:rPr>
      </w:pPr>
    </w:p>
    <w:p w14:paraId="5251E2CB">
      <w:pPr>
        <w:widowControl w:val="0"/>
        <w:spacing w:line="360" w:lineRule="auto"/>
        <w:jc w:val="both"/>
        <w:rPr>
          <w:rFonts w:ascii="Arial" w:hAnsi="Arial" w:eastAsia="宋体"/>
          <w:b/>
          <w:bCs/>
          <w:color w:val="FF0000"/>
          <w:kern w:val="2"/>
          <w:sz w:val="30"/>
          <w:szCs w:val="30"/>
          <w:lang w:eastAsia="zh-CN"/>
        </w:rPr>
      </w:pPr>
    </w:p>
    <w:p w14:paraId="2EF3AC58">
      <w:pPr>
        <w:widowControl w:val="0"/>
        <w:spacing w:line="360" w:lineRule="auto"/>
        <w:jc w:val="both"/>
        <w:rPr>
          <w:rFonts w:ascii="Arial" w:hAnsi="Arial" w:eastAsia="宋体"/>
          <w:b/>
          <w:bCs/>
          <w:color w:val="FF0000"/>
          <w:kern w:val="2"/>
          <w:sz w:val="30"/>
          <w:szCs w:val="30"/>
          <w:lang w:eastAsia="zh-CN"/>
        </w:rPr>
      </w:pPr>
    </w:p>
    <w:p w14:paraId="52DF6885">
      <w:pPr>
        <w:widowControl w:val="0"/>
        <w:spacing w:line="360" w:lineRule="auto"/>
        <w:jc w:val="both"/>
        <w:rPr>
          <w:rFonts w:ascii="Arial" w:hAnsi="Arial" w:eastAsia="宋体"/>
          <w:b/>
          <w:bCs/>
          <w:color w:val="FF0000"/>
          <w:kern w:val="2"/>
          <w:sz w:val="30"/>
          <w:szCs w:val="30"/>
          <w:lang w:eastAsia="zh-CN"/>
        </w:rPr>
      </w:pPr>
    </w:p>
    <w:p w14:paraId="62EAC30C">
      <w:pPr>
        <w:widowControl w:val="0"/>
        <w:spacing w:line="360" w:lineRule="auto"/>
        <w:jc w:val="both"/>
        <w:rPr>
          <w:rFonts w:ascii="Arial" w:hAnsi="Arial" w:eastAsia="宋体"/>
          <w:b/>
          <w:bCs/>
          <w:color w:val="FF0000"/>
          <w:kern w:val="2"/>
          <w:sz w:val="30"/>
          <w:szCs w:val="30"/>
          <w:lang w:eastAsia="zh-CN"/>
        </w:rPr>
      </w:pPr>
    </w:p>
    <w:p w14:paraId="44F1ADD8">
      <w:pPr>
        <w:widowControl w:val="0"/>
        <w:spacing w:line="360" w:lineRule="auto"/>
        <w:jc w:val="both"/>
        <w:rPr>
          <w:rFonts w:ascii="Arial" w:hAnsi="Arial" w:eastAsia="宋体"/>
          <w:b/>
          <w:bCs/>
          <w:color w:val="FF0000"/>
          <w:kern w:val="2"/>
          <w:sz w:val="30"/>
          <w:szCs w:val="30"/>
          <w:lang w:eastAsia="zh-CN"/>
        </w:rPr>
      </w:pPr>
    </w:p>
    <w:p w14:paraId="5E376EC0">
      <w:pPr>
        <w:widowControl w:val="0"/>
        <w:spacing w:line="360" w:lineRule="auto"/>
        <w:jc w:val="both"/>
        <w:rPr>
          <w:rFonts w:ascii="Arial" w:hAnsi="Arial" w:eastAsia="宋体"/>
          <w:b/>
          <w:bCs/>
          <w:color w:val="FF0000"/>
          <w:kern w:val="2"/>
          <w:sz w:val="30"/>
          <w:szCs w:val="30"/>
          <w:lang w:eastAsia="zh-CN"/>
        </w:rPr>
      </w:pPr>
    </w:p>
    <w:p w14:paraId="290E395B">
      <w:pPr>
        <w:widowControl w:val="0"/>
        <w:spacing w:line="360" w:lineRule="auto"/>
        <w:jc w:val="both"/>
        <w:rPr>
          <w:rFonts w:ascii="Arial" w:hAnsi="Arial" w:eastAsia="宋体"/>
          <w:b/>
          <w:bCs/>
          <w:color w:val="FF0000"/>
          <w:kern w:val="2"/>
          <w:sz w:val="30"/>
          <w:szCs w:val="30"/>
          <w:lang w:eastAsia="zh-CN"/>
        </w:rPr>
      </w:pPr>
    </w:p>
    <w:p w14:paraId="28EA5A08">
      <w:pPr>
        <w:widowControl w:val="0"/>
        <w:spacing w:line="360" w:lineRule="auto"/>
        <w:jc w:val="both"/>
        <w:rPr>
          <w:rFonts w:ascii="Arial" w:hAnsi="Arial" w:eastAsia="宋体"/>
          <w:b/>
          <w:bCs/>
          <w:color w:val="FF0000"/>
          <w:kern w:val="2"/>
          <w:sz w:val="30"/>
          <w:szCs w:val="30"/>
          <w:lang w:eastAsia="zh-CN"/>
        </w:rPr>
      </w:pPr>
    </w:p>
    <w:p w14:paraId="549936E4">
      <w:pPr>
        <w:widowControl w:val="0"/>
        <w:spacing w:line="360" w:lineRule="auto"/>
        <w:jc w:val="both"/>
        <w:rPr>
          <w:rFonts w:ascii="Arial" w:hAnsi="Arial" w:eastAsia="宋体"/>
          <w:b/>
          <w:bCs/>
          <w:color w:val="FF0000"/>
          <w:kern w:val="2"/>
          <w:sz w:val="30"/>
          <w:szCs w:val="30"/>
          <w:lang w:eastAsia="zh-CN"/>
        </w:rPr>
      </w:pPr>
    </w:p>
    <w:p w14:paraId="4B4DC98F">
      <w:pPr>
        <w:widowControl w:val="0"/>
        <w:spacing w:line="360" w:lineRule="auto"/>
        <w:jc w:val="both"/>
        <w:rPr>
          <w:rFonts w:ascii="Arial" w:hAnsi="Arial" w:eastAsia="宋体"/>
          <w:b/>
          <w:bCs/>
          <w:color w:val="FF0000"/>
          <w:kern w:val="2"/>
          <w:sz w:val="30"/>
          <w:szCs w:val="30"/>
          <w:lang w:eastAsia="zh-CN"/>
        </w:rPr>
      </w:pPr>
    </w:p>
    <w:p w14:paraId="0165498C">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1" w:name="_Hlk71926094"/>
      <w:r>
        <w:rPr>
          <w:rFonts w:hint="eastAsia" w:ascii="宋体" w:hAnsi="宋体" w:eastAsia="宋体"/>
          <w:b/>
          <w:bCs/>
          <w:sz w:val="28"/>
          <w:szCs w:val="28"/>
          <w:lang w:eastAsia="zh-CN"/>
        </w:rPr>
        <w:t>对通用条款的补充内容及其他关键信息</w:t>
      </w:r>
      <w:bookmarkEnd w:id="1"/>
    </w:p>
    <w:p w14:paraId="13636039">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2" w:name="_Toc73518117"/>
      <w:bookmarkStart w:id="3" w:name="_Toc73517639"/>
      <w:bookmarkStart w:id="4" w:name="_Toc60631620"/>
      <w:bookmarkStart w:id="5" w:name="_Toc101074876"/>
      <w:bookmarkStart w:id="6" w:name="_Toc100052364"/>
      <w:bookmarkStart w:id="7" w:name="_Toc73521547"/>
      <w:bookmarkStart w:id="8" w:name="_Toc73521635"/>
      <w:bookmarkStart w:id="9" w:name="_Toc60560625"/>
      <w:r>
        <w:rPr>
          <w:rFonts w:hint="eastAsia" w:ascii="宋体" w:hAnsi="宋体" w:eastAsia="宋体"/>
          <w:b/>
          <w:bCs/>
          <w:lang w:eastAsia="zh-CN"/>
        </w:rPr>
        <w:t>一、对通用条款的补充内容</w:t>
      </w:r>
    </w:p>
    <w:tbl>
      <w:tblPr>
        <w:tblStyle w:val="11"/>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
        <w:gridCol w:w="1582"/>
        <w:gridCol w:w="6050"/>
      </w:tblGrid>
      <w:tr w14:paraId="4D0DF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55E013">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通用条款序号</w:t>
            </w:r>
          </w:p>
        </w:tc>
        <w:tc>
          <w:tcPr>
            <w:tcW w:w="1755" w:type="dxa"/>
            <w:vAlign w:val="center"/>
          </w:tcPr>
          <w:p w14:paraId="2433FF51">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涉及事项</w:t>
            </w:r>
          </w:p>
        </w:tc>
        <w:tc>
          <w:tcPr>
            <w:tcW w:w="6795" w:type="dxa"/>
            <w:vAlign w:val="center"/>
          </w:tcPr>
          <w:p w14:paraId="7904E5A2">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具 体 补 充 内 容</w:t>
            </w:r>
          </w:p>
        </w:tc>
      </w:tr>
      <w:tr w14:paraId="5A8BA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94BACFD">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p>
        </w:tc>
        <w:tc>
          <w:tcPr>
            <w:tcW w:w="1755" w:type="dxa"/>
            <w:vAlign w:val="center"/>
          </w:tcPr>
          <w:p w14:paraId="79BCFC22">
            <w:pPr>
              <w:widowControl w:val="0"/>
              <w:jc w:val="center"/>
              <w:rPr>
                <w:rFonts w:ascii="宋体" w:hAnsi="宋体" w:eastAsia="宋体"/>
                <w:kern w:val="2"/>
                <w:sz w:val="21"/>
                <w:szCs w:val="21"/>
                <w:highlight w:val="yellow"/>
                <w:lang w:eastAsia="zh-CN"/>
              </w:rPr>
            </w:pPr>
            <w:r>
              <w:rPr>
                <w:rFonts w:hint="eastAsia" w:ascii="宋体" w:hAnsi="宋体" w:eastAsia="宋体" w:cstheme="minorBidi"/>
                <w:kern w:val="2"/>
                <w:sz w:val="21"/>
                <w:szCs w:val="21"/>
                <w:lang w:eastAsia="zh-CN"/>
              </w:rPr>
              <w:t>采购人</w:t>
            </w:r>
          </w:p>
        </w:tc>
        <w:tc>
          <w:tcPr>
            <w:tcW w:w="6795" w:type="dxa"/>
            <w:vAlign w:val="center"/>
          </w:tcPr>
          <w:p w14:paraId="4777A2B1">
            <w:pPr>
              <w:widowControl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深圳市龙华高级中学教育集团</w:t>
            </w:r>
          </w:p>
        </w:tc>
      </w:tr>
      <w:tr w14:paraId="34481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6EF526C">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.2</w:t>
            </w:r>
          </w:p>
        </w:tc>
        <w:tc>
          <w:tcPr>
            <w:tcW w:w="1755" w:type="dxa"/>
            <w:vAlign w:val="center"/>
          </w:tcPr>
          <w:p w14:paraId="2AEAA295">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社会代理机构</w:t>
            </w:r>
          </w:p>
        </w:tc>
        <w:tc>
          <w:tcPr>
            <w:tcW w:w="6795" w:type="dxa"/>
            <w:vAlign w:val="center"/>
          </w:tcPr>
          <w:p w14:paraId="65159B82">
            <w:pPr>
              <w:widowControl w:val="0"/>
              <w:jc w:val="left"/>
              <w:rPr>
                <w:rFonts w:ascii="宋体" w:hAnsi="宋体" w:eastAsia="宋体"/>
                <w:kern w:val="2"/>
                <w:sz w:val="21"/>
                <w:szCs w:val="21"/>
                <w:lang w:eastAsia="zh-CN"/>
              </w:rPr>
            </w:pPr>
            <w:r>
              <w:rPr>
                <w:rFonts w:hint="eastAsia" w:ascii="宋体" w:hAnsi="宋体" w:eastAsia="宋体" w:cs="Arial"/>
                <w:kern w:val="2"/>
                <w:sz w:val="21"/>
                <w:szCs w:val="21"/>
                <w:lang w:eastAsia="zh-CN"/>
              </w:rPr>
              <w:t>本文件所述的“</w:t>
            </w:r>
            <w:r>
              <w:rPr>
                <w:rFonts w:hint="eastAsia" w:ascii="宋体" w:hAnsi="宋体" w:eastAsia="宋体" w:cstheme="minorBidi"/>
                <w:kern w:val="2"/>
                <w:sz w:val="21"/>
                <w:szCs w:val="21"/>
                <w:lang w:eastAsia="zh-CN"/>
              </w:rPr>
              <w:t>社会代理机构</w:t>
            </w:r>
            <w:r>
              <w:rPr>
                <w:rFonts w:hint="eastAsia" w:ascii="宋体" w:hAnsi="宋体" w:eastAsia="宋体" w:cs="Arial"/>
                <w:kern w:val="2"/>
                <w:sz w:val="21"/>
                <w:szCs w:val="21"/>
                <w:lang w:eastAsia="zh-CN"/>
              </w:rPr>
              <w:t>”</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深圳市千里招标代理有限公司</w:t>
            </w:r>
            <w:r>
              <w:rPr>
                <w:rFonts w:hint="eastAsia" w:ascii="宋体" w:hAnsi="宋体" w:eastAsia="宋体"/>
                <w:kern w:val="2"/>
                <w:sz w:val="21"/>
                <w:szCs w:val="21"/>
                <w:lang w:eastAsia="zh-CN"/>
              </w:rPr>
              <w:t>。</w:t>
            </w:r>
          </w:p>
        </w:tc>
      </w:tr>
      <w:tr w14:paraId="332AD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6F0BD5B">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.3</w:t>
            </w:r>
          </w:p>
        </w:tc>
        <w:tc>
          <w:tcPr>
            <w:tcW w:w="1755" w:type="dxa"/>
            <w:vAlign w:val="center"/>
          </w:tcPr>
          <w:p w14:paraId="3E10F66A">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联合体投标</w:t>
            </w:r>
          </w:p>
        </w:tc>
        <w:tc>
          <w:tcPr>
            <w:tcW w:w="6795" w:type="dxa"/>
            <w:vAlign w:val="center"/>
          </w:tcPr>
          <w:p w14:paraId="69491122">
            <w:pPr>
              <w:widowControl w:val="0"/>
              <w:jc w:val="left"/>
              <w:rPr>
                <w:rFonts w:ascii="宋体" w:hAnsi="宋体" w:eastAsia="宋体"/>
                <w:kern w:val="2"/>
                <w:sz w:val="21"/>
                <w:szCs w:val="21"/>
                <w:lang w:eastAsia="zh-CN"/>
              </w:rPr>
            </w:pPr>
            <w:r>
              <w:rPr>
                <w:rFonts w:hint="eastAsia" w:ascii="宋体" w:hAnsi="宋体" w:eastAsia="宋体"/>
                <w:kern w:val="2"/>
                <w:sz w:val="21"/>
                <w:szCs w:val="21"/>
                <w:lang w:eastAsia="zh-CN"/>
              </w:rPr>
              <w:t>不接受</w:t>
            </w:r>
          </w:p>
        </w:tc>
      </w:tr>
      <w:tr w14:paraId="1CB33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035119C">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9</w:t>
            </w:r>
          </w:p>
        </w:tc>
        <w:tc>
          <w:tcPr>
            <w:tcW w:w="1755" w:type="dxa"/>
            <w:vAlign w:val="center"/>
          </w:tcPr>
          <w:p w14:paraId="0C88D3E1">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踏勘现场</w:t>
            </w:r>
          </w:p>
        </w:tc>
        <w:tc>
          <w:tcPr>
            <w:tcW w:w="6795" w:type="dxa"/>
            <w:vAlign w:val="center"/>
          </w:tcPr>
          <w:p w14:paraId="745AFC2C">
            <w:pPr>
              <w:widowControl w:val="0"/>
              <w:jc w:val="left"/>
              <w:rPr>
                <w:rFonts w:ascii="宋体" w:hAnsi="宋体" w:eastAsia="宋体"/>
                <w:kern w:val="2"/>
                <w:sz w:val="21"/>
                <w:szCs w:val="21"/>
                <w:highlight w:val="yellow"/>
                <w:lang w:eastAsia="zh-CN"/>
              </w:rPr>
            </w:pPr>
            <w:r>
              <w:rPr>
                <w:rFonts w:hint="eastAsia" w:ascii="宋体" w:hAnsi="宋体" w:eastAsia="宋体"/>
                <w:kern w:val="2"/>
                <w:sz w:val="21"/>
                <w:szCs w:val="21"/>
                <w:lang w:eastAsia="zh-CN"/>
              </w:rPr>
              <w:t>不组织</w:t>
            </w:r>
          </w:p>
        </w:tc>
      </w:tr>
      <w:tr w14:paraId="5E6C9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D22B247">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p>
        </w:tc>
        <w:tc>
          <w:tcPr>
            <w:tcW w:w="1755" w:type="dxa"/>
            <w:vAlign w:val="center"/>
          </w:tcPr>
          <w:p w14:paraId="68E3B96B">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标前会议</w:t>
            </w:r>
          </w:p>
        </w:tc>
        <w:tc>
          <w:tcPr>
            <w:tcW w:w="6795" w:type="dxa"/>
            <w:vAlign w:val="center"/>
          </w:tcPr>
          <w:p w14:paraId="0B6687E7">
            <w:pPr>
              <w:widowControl w:val="0"/>
              <w:jc w:val="left"/>
              <w:rPr>
                <w:rFonts w:ascii="宋体" w:hAnsi="宋体" w:eastAsia="宋体"/>
                <w:kern w:val="2"/>
                <w:sz w:val="21"/>
                <w:szCs w:val="21"/>
                <w:lang w:eastAsia="zh-CN"/>
              </w:rPr>
            </w:pPr>
            <w:r>
              <w:rPr>
                <w:rFonts w:hint="eastAsia" w:ascii="宋体" w:hAnsi="宋体" w:eastAsia="宋体"/>
                <w:kern w:val="2"/>
                <w:sz w:val="21"/>
                <w:szCs w:val="21"/>
                <w:lang w:eastAsia="zh-CN"/>
              </w:rPr>
              <w:t>不组织</w:t>
            </w:r>
          </w:p>
        </w:tc>
      </w:tr>
      <w:tr w14:paraId="693B5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65CC4F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w:t>
            </w:r>
          </w:p>
        </w:tc>
        <w:tc>
          <w:tcPr>
            <w:tcW w:w="1755" w:type="dxa"/>
            <w:vAlign w:val="center"/>
          </w:tcPr>
          <w:p w14:paraId="18E31AC2">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招标文件的澄清和修改</w:t>
            </w:r>
          </w:p>
        </w:tc>
        <w:tc>
          <w:tcPr>
            <w:tcW w:w="6795" w:type="dxa"/>
            <w:vAlign w:val="center"/>
          </w:tcPr>
          <w:p w14:paraId="65716260">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不晚于投标截止日三日前，投标人有义务在招标期间在深圳政府采购自行采购系统网站浏览与本项目有关的澄清和修改信息。</w:t>
            </w:r>
          </w:p>
        </w:tc>
      </w:tr>
      <w:tr w14:paraId="107A4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CADD6A7">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0</w:t>
            </w:r>
          </w:p>
        </w:tc>
        <w:tc>
          <w:tcPr>
            <w:tcW w:w="1755" w:type="dxa"/>
            <w:vAlign w:val="center"/>
          </w:tcPr>
          <w:p w14:paraId="2C82C1A0">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投标有效期</w:t>
            </w:r>
          </w:p>
        </w:tc>
        <w:tc>
          <w:tcPr>
            <w:tcW w:w="6795" w:type="dxa"/>
            <w:vAlign w:val="center"/>
          </w:tcPr>
          <w:p w14:paraId="47CC7AA7">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120日历天（从投标截止之日算起）</w:t>
            </w:r>
          </w:p>
        </w:tc>
      </w:tr>
      <w:tr w14:paraId="3468A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9DC35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2</w:t>
            </w:r>
          </w:p>
        </w:tc>
        <w:tc>
          <w:tcPr>
            <w:tcW w:w="1755" w:type="dxa"/>
            <w:vAlign w:val="center"/>
          </w:tcPr>
          <w:p w14:paraId="6D123DFB">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投标人的替代方案</w:t>
            </w:r>
          </w:p>
        </w:tc>
        <w:tc>
          <w:tcPr>
            <w:tcW w:w="6795" w:type="dxa"/>
            <w:vAlign w:val="center"/>
          </w:tcPr>
          <w:p w14:paraId="76AE2D74">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不接受</w:t>
            </w:r>
          </w:p>
        </w:tc>
      </w:tr>
      <w:tr w14:paraId="67B131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0733C5">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5</w:t>
            </w:r>
          </w:p>
        </w:tc>
        <w:tc>
          <w:tcPr>
            <w:tcW w:w="1755" w:type="dxa"/>
            <w:vAlign w:val="center"/>
          </w:tcPr>
          <w:p w14:paraId="23C1948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投标文件的大小</w:t>
            </w:r>
          </w:p>
        </w:tc>
        <w:tc>
          <w:tcPr>
            <w:tcW w:w="6795" w:type="dxa"/>
            <w:vAlign w:val="center"/>
          </w:tcPr>
          <w:p w14:paraId="60050961">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投标文件大小不得超过100MB</w:t>
            </w:r>
          </w:p>
        </w:tc>
      </w:tr>
      <w:tr w14:paraId="4D510E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CFD35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6</w:t>
            </w:r>
          </w:p>
        </w:tc>
        <w:tc>
          <w:tcPr>
            <w:tcW w:w="1755" w:type="dxa"/>
            <w:vAlign w:val="center"/>
          </w:tcPr>
          <w:p w14:paraId="0B664C5D">
            <w:pPr>
              <w:widowControl w:val="0"/>
              <w:jc w:val="center"/>
              <w:rPr>
                <w:rFonts w:ascii="宋体" w:hAnsi="宋体" w:eastAsia="宋体"/>
                <w:kern w:val="2"/>
                <w:sz w:val="21"/>
                <w:szCs w:val="21"/>
                <w:lang w:eastAsia="zh-CN"/>
              </w:rPr>
            </w:pPr>
            <w:bookmarkStart w:id="10" w:name="_Hlk71664860"/>
            <w:r>
              <w:rPr>
                <w:rFonts w:hint="eastAsia" w:ascii="宋体" w:hAnsi="宋体" w:eastAsia="宋体" w:cstheme="minorBidi"/>
                <w:kern w:val="2"/>
                <w:sz w:val="21"/>
                <w:szCs w:val="21"/>
                <w:lang w:eastAsia="zh-CN"/>
              </w:rPr>
              <w:t>样品、现场演示、方案讲解</w:t>
            </w:r>
            <w:bookmarkEnd w:id="10"/>
          </w:p>
        </w:tc>
        <w:tc>
          <w:tcPr>
            <w:tcW w:w="6795" w:type="dxa"/>
            <w:vAlign w:val="center"/>
          </w:tcPr>
          <w:p w14:paraId="034BC42B">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“无”</w:t>
            </w:r>
          </w:p>
        </w:tc>
      </w:tr>
      <w:tr w14:paraId="24C32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6F1EE7">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7</w:t>
            </w:r>
          </w:p>
        </w:tc>
        <w:tc>
          <w:tcPr>
            <w:tcW w:w="1755" w:type="dxa"/>
            <w:vAlign w:val="center"/>
          </w:tcPr>
          <w:p w14:paraId="31BDB405">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评审方法</w:t>
            </w:r>
          </w:p>
        </w:tc>
        <w:tc>
          <w:tcPr>
            <w:tcW w:w="6795" w:type="dxa"/>
            <w:vAlign w:val="center"/>
          </w:tcPr>
          <w:p w14:paraId="3999F9D3">
            <w:pPr>
              <w:widowControl w:val="0"/>
              <w:jc w:val="left"/>
              <w:rPr>
                <w:rFonts w:ascii="宋体" w:hAnsi="宋体" w:eastAsia="宋体"/>
                <w:kern w:val="2"/>
                <w:sz w:val="21"/>
                <w:szCs w:val="21"/>
                <w:lang w:eastAsia="zh-CN"/>
              </w:rPr>
            </w:pPr>
            <w:r>
              <w:rPr>
                <w:rFonts w:ascii="宋体" w:hAnsi="宋体" w:eastAsia="宋体" w:cstheme="minorBidi"/>
                <w:b/>
                <w:bCs/>
                <w:kern w:val="2"/>
                <w:sz w:val="21"/>
                <w:szCs w:val="21"/>
                <w:lang w:eastAsia="zh-CN"/>
              </w:rPr>
              <w:t>综合评分法</w:t>
            </w:r>
          </w:p>
        </w:tc>
      </w:tr>
      <w:tr w14:paraId="4EE33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820735B">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8</w:t>
            </w:r>
          </w:p>
        </w:tc>
        <w:tc>
          <w:tcPr>
            <w:tcW w:w="1755" w:type="dxa"/>
            <w:vAlign w:val="center"/>
          </w:tcPr>
          <w:p w14:paraId="02E74333">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定标方法</w:t>
            </w:r>
          </w:p>
        </w:tc>
        <w:tc>
          <w:tcPr>
            <w:tcW w:w="6795" w:type="dxa"/>
            <w:vAlign w:val="center"/>
          </w:tcPr>
          <w:p w14:paraId="4C1BA9C8">
            <w:pPr>
              <w:widowControl w:val="0"/>
              <w:jc w:val="left"/>
              <w:rPr>
                <w:rFonts w:ascii="宋体" w:hAnsi="宋体" w:eastAsia="宋体"/>
                <w:b/>
                <w:bCs/>
                <w:kern w:val="2"/>
                <w:sz w:val="21"/>
                <w:szCs w:val="21"/>
                <w:lang w:eastAsia="zh-CN"/>
              </w:rPr>
            </w:pPr>
            <w:r>
              <w:rPr>
                <w:rFonts w:hint="eastAsia" w:ascii="宋体" w:hAnsi="宋体" w:eastAsia="宋体"/>
                <w:b/>
                <w:bCs/>
                <w:kern w:val="2"/>
                <w:sz w:val="21"/>
                <w:szCs w:val="21"/>
                <w:lang w:eastAsia="zh-CN"/>
              </w:rPr>
              <w:t>非评定分离</w:t>
            </w:r>
          </w:p>
        </w:tc>
      </w:tr>
      <w:tr w14:paraId="237ED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808804E">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6</w:t>
            </w:r>
          </w:p>
        </w:tc>
        <w:tc>
          <w:tcPr>
            <w:tcW w:w="1755" w:type="dxa"/>
            <w:vAlign w:val="center"/>
          </w:tcPr>
          <w:p w14:paraId="422759FD">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履约担保</w:t>
            </w:r>
          </w:p>
        </w:tc>
        <w:tc>
          <w:tcPr>
            <w:tcW w:w="6795" w:type="dxa"/>
            <w:vAlign w:val="center"/>
          </w:tcPr>
          <w:p w14:paraId="3AB9854B">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不需要</w:t>
            </w:r>
          </w:p>
        </w:tc>
      </w:tr>
      <w:bookmarkEnd w:id="2"/>
      <w:bookmarkEnd w:id="3"/>
      <w:bookmarkEnd w:id="4"/>
      <w:bookmarkEnd w:id="5"/>
      <w:bookmarkEnd w:id="6"/>
      <w:bookmarkEnd w:id="7"/>
      <w:bookmarkEnd w:id="8"/>
      <w:bookmarkEnd w:id="9"/>
    </w:tbl>
    <w:p w14:paraId="52047F69">
      <w:pPr>
        <w:widowControl/>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53A2A2F3">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78A2F6F8">
      <w:pPr>
        <w:widowControl w:val="0"/>
        <w:tabs>
          <w:tab w:val="left" w:pos="720"/>
        </w:tabs>
        <w:spacing w:line="360" w:lineRule="auto"/>
        <w:jc w:val="both"/>
        <w:rPr>
          <w:rFonts w:hint="eastAsia" w:ascii="宋体" w:hAnsi="宋体" w:eastAsia="宋体" w:cs="宋体"/>
          <w:b/>
          <w:bCs/>
          <w:kern w:val="2"/>
          <w:szCs w:val="22"/>
          <w:lang w:eastAsia="zh-CN"/>
        </w:rPr>
      </w:pPr>
      <w:r>
        <w:rPr>
          <w:rFonts w:hint="eastAsia" w:ascii="宋体" w:hAnsi="宋体" w:eastAsia="宋体" w:cs="宋体"/>
          <w:b/>
          <w:bCs/>
          <w:kern w:val="2"/>
          <w:szCs w:val="22"/>
          <w:lang w:eastAsia="zh-CN"/>
        </w:rPr>
        <w:t>（一）与“对通用条款的补充内容”章节相关的事项</w:t>
      </w:r>
    </w:p>
    <w:p w14:paraId="26DAF23E">
      <w:pPr>
        <w:widowControl w:val="0"/>
        <w:tabs>
          <w:tab w:val="left" w:pos="720"/>
        </w:tabs>
        <w:spacing w:line="360" w:lineRule="auto"/>
        <w:jc w:val="both"/>
        <w:rPr>
          <w:rFonts w:hint="eastAsia" w:ascii="宋体" w:hAnsi="宋体" w:eastAsia="宋体" w:cs="宋体"/>
          <w:b/>
          <w:bCs/>
          <w:kern w:val="2"/>
          <w:szCs w:val="22"/>
          <w:lang w:eastAsia="zh-CN"/>
        </w:rPr>
      </w:pPr>
      <w:r>
        <w:rPr>
          <w:rFonts w:hint="eastAsia" w:ascii="宋体" w:hAnsi="宋体" w:eastAsia="宋体" w:cs="宋体"/>
          <w:b/>
          <w:bCs/>
          <w:kern w:val="2"/>
          <w:szCs w:val="22"/>
          <w:lang w:eastAsia="zh-CN"/>
        </w:rPr>
        <w:t>1、评标定标信息</w:t>
      </w:r>
    </w:p>
    <w:p w14:paraId="00DA7E8D">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4807"/>
      </w:tblGrid>
      <w:tr w14:paraId="153B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288C0C7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评标方法</w:t>
            </w:r>
          </w:p>
        </w:tc>
        <w:tc>
          <w:tcPr>
            <w:tcW w:w="5339" w:type="dxa"/>
          </w:tcPr>
          <w:p w14:paraId="34CAA611">
            <w:pPr>
              <w:widowControl w:val="0"/>
              <w:jc w:val="center"/>
              <w:rPr>
                <w:rFonts w:ascii="宋体" w:hAnsi="宋体"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宋体" w:hAnsi="宋体" w:eastAsia="宋体" w:cstheme="minorBidi"/>
                <w:kern w:val="2"/>
                <w:sz w:val="21"/>
                <w:szCs w:val="22"/>
                <w:lang w:eastAsia="zh-CN"/>
              </w:rPr>
              <w:t>综合评分法</w:t>
            </w:r>
          </w:p>
        </w:tc>
      </w:tr>
      <w:tr w14:paraId="0248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1AE460A9">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候选中标供应商家数</w:t>
            </w:r>
          </w:p>
        </w:tc>
        <w:tc>
          <w:tcPr>
            <w:tcW w:w="5339" w:type="dxa"/>
          </w:tcPr>
          <w:p w14:paraId="30926BD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p>
        </w:tc>
      </w:tr>
      <w:tr w14:paraId="1B8B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46A53B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中标供应商家数</w:t>
            </w:r>
          </w:p>
        </w:tc>
        <w:tc>
          <w:tcPr>
            <w:tcW w:w="5339" w:type="dxa"/>
          </w:tcPr>
          <w:p w14:paraId="4E25A02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p>
        </w:tc>
      </w:tr>
    </w:tbl>
    <w:p w14:paraId="41A0FEB9">
      <w:pPr>
        <w:widowControl w:val="0"/>
        <w:tabs>
          <w:tab w:val="left" w:pos="720"/>
        </w:tabs>
        <w:spacing w:line="240" w:lineRule="atLeast"/>
        <w:jc w:val="both"/>
        <w:rPr>
          <w:rFonts w:ascii="宋体" w:hAnsi="宋体" w:eastAsia="宋体" w:cs="宋体"/>
          <w:bCs/>
          <w:kern w:val="2"/>
          <w:sz w:val="21"/>
          <w:szCs w:val="21"/>
          <w:lang w:eastAsia="zh-CN"/>
        </w:rPr>
      </w:pPr>
    </w:p>
    <w:p w14:paraId="16AA65D0">
      <w:pPr>
        <w:widowControl w:val="0"/>
        <w:tabs>
          <w:tab w:val="left" w:pos="720"/>
        </w:tabs>
        <w:spacing w:line="360" w:lineRule="auto"/>
        <w:jc w:val="both"/>
        <w:rPr>
          <w:rFonts w:hint="eastAsia" w:ascii="宋体" w:hAnsi="宋体" w:eastAsia="宋体" w:cs="宋体"/>
          <w:b/>
          <w:bCs/>
          <w:kern w:val="2"/>
          <w:szCs w:val="22"/>
          <w:lang w:eastAsia="zh-CN"/>
        </w:rPr>
      </w:pPr>
      <w:r>
        <w:rPr>
          <w:rFonts w:hint="eastAsia" w:ascii="宋体" w:hAnsi="宋体" w:eastAsia="宋体" w:cs="宋体"/>
          <w:b/>
          <w:bCs/>
          <w:kern w:val="2"/>
          <w:szCs w:val="22"/>
          <w:lang w:eastAsia="zh-CN"/>
        </w:rPr>
        <w:t>（二）其他事项</w:t>
      </w:r>
    </w:p>
    <w:p w14:paraId="4AE589E4">
      <w:pPr>
        <w:widowControl w:val="0"/>
        <w:ind w:firstLine="420" w:firstLineChars="200"/>
        <w:jc w:val="both"/>
        <w:rPr>
          <w:rFonts w:ascii="Calibri" w:hAnsi="Calibri" w:eastAsia="宋体"/>
          <w:kern w:val="2"/>
          <w:sz w:val="21"/>
          <w:szCs w:val="22"/>
          <w:lang w:eastAsia="zh-CN"/>
        </w:rPr>
      </w:pPr>
      <w:r>
        <w:rPr>
          <w:rFonts w:ascii="Calibri" w:hAnsi="Calibri" w:eastAsia="宋体" w:cstheme="minorBidi"/>
          <w:kern w:val="2"/>
          <w:sz w:val="21"/>
          <w:szCs w:val="22"/>
          <w:lang w:eastAsia="zh-CN"/>
        </w:rPr>
        <w:t>1</w:t>
      </w:r>
      <w:r>
        <w:rPr>
          <w:rFonts w:hint="eastAsia" w:ascii="Calibri" w:hAnsi="Calibri" w:eastAsia="宋体" w:cstheme="minorBidi"/>
          <w:kern w:val="2"/>
          <w:sz w:val="21"/>
          <w:szCs w:val="22"/>
          <w:lang w:eastAsia="zh-CN"/>
        </w:rPr>
        <w:t>、关于享受优惠政策的主体及价格扣除比例</w:t>
      </w:r>
    </w:p>
    <w:p w14:paraId="125C22A7">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专门面向中小企业采购的项目，不再执行价格扣除比例。</w:t>
      </w:r>
    </w:p>
    <w:p w14:paraId="1AC1F2CC">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非专门面向中小企业采购的项目，应执行价格扣除比例：供应商</w:t>
      </w:r>
      <w:r>
        <w:rPr>
          <w:rFonts w:hint="eastAsia" w:ascii="宋体" w:hAnsi="宋体" w:eastAsia="宋体" w:cs="宋体"/>
          <w:sz w:val="21"/>
          <w:szCs w:val="21"/>
        </w:rPr>
        <w:t>提供的服务全部由优惠主体承接，则对其投标总价给予</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eastAsia="zh-CN"/>
        </w:rPr>
        <w:t>10</w:t>
      </w:r>
      <w:r>
        <w:rPr>
          <w:rFonts w:hint="eastAsia" w:ascii="宋体" w:hAnsi="宋体" w:eastAsia="宋体" w:cs="宋体"/>
          <w:color w:val="FF0000"/>
          <w:sz w:val="21"/>
          <w:szCs w:val="21"/>
          <w:u w:val="single"/>
        </w:rPr>
        <w:t xml:space="preserve"> %</w:t>
      </w:r>
      <w:r>
        <w:rPr>
          <w:rFonts w:hint="eastAsia" w:ascii="宋体" w:hAnsi="宋体" w:eastAsia="宋体" w:cs="宋体"/>
          <w:color w:val="000000"/>
          <w:sz w:val="21"/>
          <w:szCs w:val="21"/>
          <w:lang w:eastAsia="zh-CN"/>
        </w:rPr>
        <w:t>（10%~20%）</w:t>
      </w:r>
      <w:r>
        <w:rPr>
          <w:rFonts w:hint="eastAsia" w:ascii="宋体" w:hAnsi="宋体" w:eastAsia="宋体" w:cs="宋体"/>
          <w:sz w:val="21"/>
          <w:szCs w:val="21"/>
        </w:rPr>
        <w:t>的扣除，用扣除后的价格参与评审。满足多项优惠政策的企业，不重复享受多项价格扣除政策。</w:t>
      </w:r>
    </w:p>
    <w:p w14:paraId="12664EFB">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444892F2">
      <w:pPr>
        <w:keepNext w:val="0"/>
        <w:keepLines w:val="0"/>
        <w:pageBreakBefore w:val="0"/>
        <w:widowControl/>
        <w:numPr>
          <w:ilvl w:val="0"/>
          <w:numId w:val="5"/>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sz w:val="21"/>
          <w:szCs w:val="21"/>
        </w:rPr>
        <w:t>《中小企业声明函》中相关企业所属行业应当与采购标的所属行业相一致。</w:t>
      </w:r>
      <w:r>
        <w:rPr>
          <w:rFonts w:hint="eastAsia" w:ascii="宋体" w:hAnsi="宋体" w:eastAsia="宋体" w:cs="宋体"/>
          <w:sz w:val="21"/>
          <w:szCs w:val="21"/>
        </w:rPr>
        <w:t>本项目采购标的（</w:t>
      </w:r>
      <w:r>
        <w:rPr>
          <w:rFonts w:hint="eastAsia" w:ascii="宋体" w:hAnsi="宋体" w:eastAsia="宋体" w:cs="宋体"/>
          <w:sz w:val="21"/>
          <w:szCs w:val="21"/>
          <w:lang w:eastAsia="zh-CN"/>
        </w:rPr>
        <w:t>服务需求</w:t>
      </w:r>
      <w:r>
        <w:rPr>
          <w:rFonts w:hint="eastAsia" w:ascii="宋体" w:hAnsi="宋体" w:eastAsia="宋体" w:cs="宋体"/>
          <w:sz w:val="21"/>
          <w:szCs w:val="21"/>
        </w:rPr>
        <w:t>）对应的中小企业划分标准所属行业为</w:t>
      </w:r>
      <w:r>
        <w:rPr>
          <w:rFonts w:hint="eastAsia" w:ascii="宋体" w:hAnsi="宋体" w:eastAsia="宋体" w:cs="宋体"/>
          <w:b/>
          <w:bCs/>
          <w:color w:val="FF0000"/>
          <w:sz w:val="21"/>
          <w:szCs w:val="21"/>
          <w:u w:val="single"/>
          <w:lang w:eastAsia="zh-CN"/>
        </w:rPr>
        <w:t>餐饮业</w:t>
      </w:r>
      <w:r>
        <w:rPr>
          <w:rFonts w:hint="eastAsia" w:ascii="宋体" w:hAnsi="宋体" w:eastAsia="宋体" w:cs="宋体"/>
          <w:b/>
          <w:bCs/>
          <w:color w:val="FF0000"/>
          <w:sz w:val="21"/>
          <w:szCs w:val="21"/>
          <w:u w:val="single"/>
        </w:rPr>
        <w:t>。</w:t>
      </w:r>
    </w:p>
    <w:p w14:paraId="665ACA39">
      <w:pPr>
        <w:keepNext w:val="0"/>
        <w:keepLines w:val="0"/>
        <w:pageBreakBefore w:val="0"/>
        <w:widowControl/>
        <w:numPr>
          <w:ilvl w:val="0"/>
          <w:numId w:val="5"/>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第</w:t>
      </w:r>
      <w:r>
        <w:rPr>
          <w:rFonts w:hint="eastAsia" w:ascii="宋体" w:hAnsi="宋体" w:eastAsia="宋体" w:cs="宋体"/>
          <w:sz w:val="21"/>
          <w:szCs w:val="21"/>
          <w:lang w:eastAsia="zh-CN"/>
        </w:rPr>
        <w:t>四</w:t>
      </w:r>
      <w:r>
        <w:rPr>
          <w:rFonts w:hint="eastAsia" w:ascii="宋体" w:hAnsi="宋体" w:eastAsia="宋体" w:cs="宋体"/>
          <w:sz w:val="21"/>
          <w:szCs w:val="21"/>
        </w:rPr>
        <w:t>章“投标文件组成要求及格式”中“</w:t>
      </w:r>
      <w:r>
        <w:rPr>
          <w:rFonts w:hint="eastAsia" w:ascii="宋体" w:hAnsi="宋体" w:eastAsia="宋体" w:cs="宋体"/>
          <w:sz w:val="21"/>
          <w:szCs w:val="21"/>
          <w:lang w:eastAsia="zh-CN"/>
        </w:rPr>
        <w:t>四、投标人情况及资格证明文件</w:t>
      </w:r>
      <w:r>
        <w:rPr>
          <w:rFonts w:hint="eastAsia" w:ascii="宋体" w:hAnsi="宋体" w:eastAsia="宋体" w:cs="宋体"/>
          <w:sz w:val="21"/>
          <w:szCs w:val="21"/>
        </w:rPr>
        <w:t>”章节提供的格式）。</w:t>
      </w:r>
    </w:p>
    <w:p w14:paraId="7C971C36">
      <w:pPr>
        <w:keepNext w:val="0"/>
        <w:keepLines w:val="0"/>
        <w:pageBreakBefore w:val="0"/>
        <w:widowControl/>
        <w:numPr>
          <w:ilvl w:val="0"/>
          <w:numId w:val="5"/>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享受价格扣除获得政府采购合同的，小微企业不得将合同分包给大中型企业。</w:t>
      </w:r>
    </w:p>
    <w:p w14:paraId="14C40EE8">
      <w:pPr>
        <w:widowControl w:val="0"/>
        <w:spacing w:line="360" w:lineRule="auto"/>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2.关于政府采购订单融资政策</w:t>
      </w:r>
    </w:p>
    <w:p w14:paraId="33DC94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ascii="黑体" w:hAnsi="宋体" w:eastAsia="黑体"/>
          <w:kern w:val="2"/>
          <w:szCs w:val="22"/>
          <w:lang w:eastAsia="zh-CN"/>
        </w:rPr>
      </w:pPr>
      <w:r>
        <w:rPr>
          <w:rFonts w:hint="eastAsia" w:ascii="宋体" w:hAnsi="宋体" w:eastAsia="宋体" w:cs="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0658BE6">
      <w:pPr>
        <w:widowControl w:val="0"/>
        <w:tabs>
          <w:tab w:val="left" w:pos="720"/>
        </w:tabs>
        <w:spacing w:line="360" w:lineRule="auto"/>
        <w:jc w:val="both"/>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3、</w:t>
      </w:r>
      <w:r>
        <w:rPr>
          <w:rFonts w:ascii="宋体" w:hAnsi="宋体" w:eastAsia="宋体" w:cstheme="minorBidi"/>
          <w:b/>
          <w:bCs/>
          <w:kern w:val="2"/>
          <w:sz w:val="21"/>
          <w:szCs w:val="22"/>
          <w:lang w:eastAsia="zh-CN"/>
        </w:rPr>
        <w:t>本项目将向中标</w:t>
      </w:r>
      <w:r>
        <w:rPr>
          <w:rFonts w:hint="eastAsia" w:ascii="宋体" w:hAnsi="宋体" w:eastAsia="宋体" w:cstheme="minorBidi"/>
          <w:b/>
          <w:bCs/>
          <w:kern w:val="2"/>
          <w:sz w:val="21"/>
          <w:szCs w:val="22"/>
          <w:lang w:eastAsia="zh-CN"/>
        </w:rPr>
        <w:t>（成交）</w:t>
      </w:r>
      <w:r>
        <w:rPr>
          <w:rFonts w:ascii="宋体" w:hAnsi="宋体" w:eastAsia="宋体" w:cstheme="minorBidi"/>
          <w:b/>
          <w:bCs/>
          <w:kern w:val="2"/>
          <w:sz w:val="21"/>
          <w:szCs w:val="22"/>
          <w:lang w:eastAsia="zh-CN"/>
        </w:rPr>
        <w:t>供应商收取代理服务费</w:t>
      </w:r>
      <w:r>
        <w:rPr>
          <w:rFonts w:hint="eastAsia" w:ascii="宋体" w:hAnsi="宋体" w:eastAsia="宋体" w:cstheme="minorBidi"/>
          <w:b/>
          <w:bCs/>
          <w:kern w:val="2"/>
          <w:sz w:val="21"/>
          <w:szCs w:val="22"/>
          <w:lang w:eastAsia="zh-CN"/>
        </w:rPr>
        <w:t>。</w:t>
      </w:r>
    </w:p>
    <w:p w14:paraId="45BC8D85">
      <w:pPr>
        <w:widowControl/>
        <w:spacing w:line="360" w:lineRule="auto"/>
        <w:ind w:firstLine="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宋体"/>
          <w:b/>
          <w:bCs/>
          <w:color w:val="FF0000"/>
          <w:kern w:val="2"/>
          <w:sz w:val="21"/>
          <w:szCs w:val="21"/>
          <w:highlight w:val="yellow"/>
          <w:u w:val="single"/>
          <w:lang w:eastAsia="zh-CN"/>
        </w:rPr>
        <w:t>服务采购</w:t>
      </w:r>
      <w:r>
        <w:rPr>
          <w:rFonts w:hint="eastAsia" w:ascii="宋体" w:hAnsi="宋体" w:eastAsia="宋体" w:cs="宋体"/>
          <w:kern w:val="2"/>
          <w:sz w:val="21"/>
          <w:szCs w:val="21"/>
          <w:lang w:eastAsia="zh-CN"/>
        </w:rPr>
        <w:t>：</w:t>
      </w:r>
    </w:p>
    <w:p w14:paraId="68722FF7">
      <w:pPr>
        <w:widowControl/>
        <w:spacing w:line="360" w:lineRule="auto"/>
        <w:ind w:firstLine="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（1）代理服务费以《中标（成交）通知书》确定的中标（成交）金额作为计算基数，按差额定率累进法计算。</w:t>
      </w:r>
    </w:p>
    <w:p w14:paraId="64AA10D0">
      <w:pPr>
        <w:widowControl/>
        <w:wordWrap w:val="0"/>
        <w:autoSpaceDE w:val="0"/>
        <w:autoSpaceDN w:val="0"/>
        <w:spacing w:line="360" w:lineRule="auto"/>
        <w:ind w:right="808" w:firstLine="420" w:firstLineChars="200"/>
        <w:jc w:val="both"/>
        <w:rPr>
          <w:rFonts w:hint="eastAsia" w:ascii="宋体" w:hAnsi="宋体" w:eastAsia="宋体" w:cs="宋体"/>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sz w:val="21"/>
          <w:szCs w:val="21"/>
          <w:lang w:eastAsia="zh-CN"/>
        </w:rPr>
        <w:t>招标代理服务费</w:t>
      </w:r>
    </w:p>
    <w:p w14:paraId="39871F4D">
      <w:pPr>
        <w:widowControl w:val="0"/>
        <w:spacing w:line="30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具体计取费率标准如下表所示：</w:t>
      </w:r>
    </w:p>
    <w:tbl>
      <w:tblPr>
        <w:tblStyle w:val="11"/>
        <w:tblW w:w="5000" w:type="pct"/>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35"/>
        <w:gridCol w:w="1984"/>
        <w:gridCol w:w="1985"/>
        <w:gridCol w:w="1984"/>
      </w:tblGrid>
      <w:tr w14:paraId="404D6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2836" w:type="dxa"/>
            <w:tcBorders>
              <w:tl2br w:val="single" w:color="auto" w:sz="8" w:space="0"/>
            </w:tcBorders>
            <w:noWrap/>
            <w:vAlign w:val="center"/>
          </w:tcPr>
          <w:p w14:paraId="6780F604">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服务类型中标金额(万元)</w:t>
            </w:r>
          </w:p>
        </w:tc>
        <w:tc>
          <w:tcPr>
            <w:tcW w:w="1984" w:type="dxa"/>
            <w:noWrap/>
            <w:vAlign w:val="center"/>
          </w:tcPr>
          <w:p w14:paraId="4B29C78E">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货物招标</w:t>
            </w:r>
          </w:p>
        </w:tc>
        <w:tc>
          <w:tcPr>
            <w:tcW w:w="1985" w:type="dxa"/>
            <w:noWrap/>
            <w:vAlign w:val="center"/>
          </w:tcPr>
          <w:p w14:paraId="558196E1">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服务招标</w:t>
            </w:r>
          </w:p>
        </w:tc>
        <w:tc>
          <w:tcPr>
            <w:tcW w:w="1984" w:type="dxa"/>
            <w:noWrap/>
            <w:vAlign w:val="center"/>
          </w:tcPr>
          <w:p w14:paraId="18460404">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工程招标</w:t>
            </w:r>
          </w:p>
        </w:tc>
      </w:tr>
      <w:tr w14:paraId="1EA213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noWrap/>
            <w:vAlign w:val="center"/>
          </w:tcPr>
          <w:p w14:paraId="6C92F328">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100以下</w:t>
            </w:r>
          </w:p>
        </w:tc>
        <w:tc>
          <w:tcPr>
            <w:tcW w:w="1984" w:type="dxa"/>
            <w:noWrap/>
            <w:vAlign w:val="center"/>
          </w:tcPr>
          <w:p w14:paraId="59F4F0D5">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1.8%</w:t>
            </w:r>
          </w:p>
        </w:tc>
        <w:tc>
          <w:tcPr>
            <w:tcW w:w="1985" w:type="dxa"/>
            <w:noWrap/>
            <w:vAlign w:val="center"/>
          </w:tcPr>
          <w:p w14:paraId="5FCD89F0">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1.8%</w:t>
            </w:r>
          </w:p>
        </w:tc>
        <w:tc>
          <w:tcPr>
            <w:tcW w:w="1984" w:type="dxa"/>
            <w:noWrap/>
            <w:vAlign w:val="center"/>
          </w:tcPr>
          <w:p w14:paraId="0799CD2D">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1.2%</w:t>
            </w:r>
          </w:p>
        </w:tc>
      </w:tr>
      <w:tr w14:paraId="7B49B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noWrap/>
            <w:vAlign w:val="center"/>
          </w:tcPr>
          <w:p w14:paraId="46B18512">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100-500</w:t>
            </w:r>
          </w:p>
        </w:tc>
        <w:tc>
          <w:tcPr>
            <w:tcW w:w="1984" w:type="dxa"/>
            <w:noWrap/>
            <w:vAlign w:val="center"/>
          </w:tcPr>
          <w:p w14:paraId="00FF1366">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1.32%</w:t>
            </w:r>
          </w:p>
        </w:tc>
        <w:tc>
          <w:tcPr>
            <w:tcW w:w="1985" w:type="dxa"/>
            <w:noWrap/>
            <w:vAlign w:val="center"/>
          </w:tcPr>
          <w:p w14:paraId="26474650">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0.96%</w:t>
            </w:r>
          </w:p>
        </w:tc>
        <w:tc>
          <w:tcPr>
            <w:tcW w:w="1984" w:type="dxa"/>
            <w:noWrap/>
            <w:vAlign w:val="center"/>
          </w:tcPr>
          <w:p w14:paraId="53EDFBE5">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0.84%</w:t>
            </w:r>
          </w:p>
        </w:tc>
      </w:tr>
      <w:tr w14:paraId="0EFE2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noWrap/>
            <w:vAlign w:val="center"/>
          </w:tcPr>
          <w:p w14:paraId="37E7AF1F">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500-1000</w:t>
            </w:r>
          </w:p>
        </w:tc>
        <w:tc>
          <w:tcPr>
            <w:tcW w:w="1984" w:type="dxa"/>
            <w:noWrap/>
            <w:vAlign w:val="center"/>
          </w:tcPr>
          <w:p w14:paraId="06543520">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0.96%</w:t>
            </w:r>
          </w:p>
        </w:tc>
        <w:tc>
          <w:tcPr>
            <w:tcW w:w="1985" w:type="dxa"/>
            <w:noWrap/>
            <w:vAlign w:val="center"/>
          </w:tcPr>
          <w:p w14:paraId="76B36DCA">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0.54%</w:t>
            </w:r>
          </w:p>
        </w:tc>
        <w:tc>
          <w:tcPr>
            <w:tcW w:w="1984" w:type="dxa"/>
            <w:noWrap/>
            <w:vAlign w:val="center"/>
          </w:tcPr>
          <w:p w14:paraId="1EE769FC">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0.66%</w:t>
            </w:r>
          </w:p>
        </w:tc>
      </w:tr>
      <w:tr w14:paraId="4B7A10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noWrap/>
            <w:vAlign w:val="center"/>
          </w:tcPr>
          <w:p w14:paraId="632BE97E">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1000-5000</w:t>
            </w:r>
          </w:p>
        </w:tc>
        <w:tc>
          <w:tcPr>
            <w:tcW w:w="1984" w:type="dxa"/>
            <w:noWrap/>
            <w:vAlign w:val="center"/>
          </w:tcPr>
          <w:p w14:paraId="6BD5FE62">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0.6%</w:t>
            </w:r>
          </w:p>
        </w:tc>
        <w:tc>
          <w:tcPr>
            <w:tcW w:w="1985" w:type="dxa"/>
            <w:noWrap/>
            <w:vAlign w:val="center"/>
          </w:tcPr>
          <w:p w14:paraId="18885BF0">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0.3%</w:t>
            </w:r>
          </w:p>
        </w:tc>
        <w:tc>
          <w:tcPr>
            <w:tcW w:w="1984" w:type="dxa"/>
            <w:noWrap/>
            <w:vAlign w:val="center"/>
          </w:tcPr>
          <w:p w14:paraId="75448285">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0.42%</w:t>
            </w:r>
          </w:p>
        </w:tc>
      </w:tr>
      <w:tr w14:paraId="46829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noWrap/>
            <w:vAlign w:val="center"/>
          </w:tcPr>
          <w:p w14:paraId="168CB0B4">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5000-10000</w:t>
            </w:r>
          </w:p>
        </w:tc>
        <w:tc>
          <w:tcPr>
            <w:tcW w:w="1984" w:type="dxa"/>
            <w:noWrap/>
            <w:vAlign w:val="center"/>
          </w:tcPr>
          <w:p w14:paraId="1CCAD7F8">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0.3%</w:t>
            </w:r>
          </w:p>
        </w:tc>
        <w:tc>
          <w:tcPr>
            <w:tcW w:w="1985" w:type="dxa"/>
            <w:noWrap/>
            <w:vAlign w:val="center"/>
          </w:tcPr>
          <w:p w14:paraId="50E436E7">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0.12%</w:t>
            </w:r>
          </w:p>
        </w:tc>
        <w:tc>
          <w:tcPr>
            <w:tcW w:w="1984" w:type="dxa"/>
            <w:noWrap/>
            <w:vAlign w:val="center"/>
          </w:tcPr>
          <w:p w14:paraId="653DE8BB">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0.24%</w:t>
            </w:r>
          </w:p>
        </w:tc>
      </w:tr>
      <w:tr w14:paraId="03C6D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noWrap/>
            <w:vAlign w:val="center"/>
          </w:tcPr>
          <w:p w14:paraId="0DC5DE86">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10000-100000</w:t>
            </w:r>
          </w:p>
        </w:tc>
        <w:tc>
          <w:tcPr>
            <w:tcW w:w="1984" w:type="dxa"/>
            <w:noWrap/>
            <w:vAlign w:val="center"/>
          </w:tcPr>
          <w:p w14:paraId="282535D2">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0.06%</w:t>
            </w:r>
          </w:p>
        </w:tc>
        <w:tc>
          <w:tcPr>
            <w:tcW w:w="1985" w:type="dxa"/>
            <w:noWrap/>
            <w:vAlign w:val="center"/>
          </w:tcPr>
          <w:p w14:paraId="06AAD2D5">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0.06%</w:t>
            </w:r>
          </w:p>
        </w:tc>
        <w:tc>
          <w:tcPr>
            <w:tcW w:w="1984" w:type="dxa"/>
            <w:noWrap/>
            <w:vAlign w:val="center"/>
          </w:tcPr>
          <w:p w14:paraId="64A42C77">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0.06%</w:t>
            </w:r>
          </w:p>
        </w:tc>
      </w:tr>
      <w:tr w14:paraId="2C265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noWrap/>
            <w:vAlign w:val="center"/>
          </w:tcPr>
          <w:p w14:paraId="5A244D45">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1000000以上</w:t>
            </w:r>
          </w:p>
        </w:tc>
        <w:tc>
          <w:tcPr>
            <w:tcW w:w="1984" w:type="dxa"/>
            <w:noWrap/>
            <w:vAlign w:val="center"/>
          </w:tcPr>
          <w:p w14:paraId="74A3ED55">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0.012%</w:t>
            </w:r>
          </w:p>
        </w:tc>
        <w:tc>
          <w:tcPr>
            <w:tcW w:w="1985" w:type="dxa"/>
            <w:noWrap/>
            <w:vAlign w:val="center"/>
          </w:tcPr>
          <w:p w14:paraId="5775BABF">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0.012%</w:t>
            </w:r>
          </w:p>
        </w:tc>
        <w:tc>
          <w:tcPr>
            <w:tcW w:w="1984" w:type="dxa"/>
            <w:noWrap/>
            <w:vAlign w:val="center"/>
          </w:tcPr>
          <w:p w14:paraId="6F5D64F4">
            <w:pPr>
              <w:widowControl w:val="0"/>
              <w:snapToGrid w:val="0"/>
              <w:spacing w:after="60" w:afterLines="25" w:line="360" w:lineRule="auto"/>
              <w:ind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rPr>
              <w:t>0.012%</w:t>
            </w:r>
          </w:p>
        </w:tc>
      </w:tr>
    </w:tbl>
    <w:p w14:paraId="4E61B18B">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注：</w:t>
      </w:r>
    </w:p>
    <w:p w14:paraId="28D99A03">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（1）按本表费率计算的收费为招标代理服务的收费基准价格。</w:t>
      </w:r>
    </w:p>
    <w:p w14:paraId="5F466392">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（2）招标代理服务收费按差额定率累进法计算。</w:t>
      </w:r>
    </w:p>
    <w:p w14:paraId="6B1D69DD">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例如：某服务招标代理业务中标金额为600万元，计算招标代理服务收费额如下：</w:t>
      </w:r>
    </w:p>
    <w:p w14:paraId="67ECB2FF">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100万元×1.8%=1.8万元</w:t>
      </w:r>
    </w:p>
    <w:p w14:paraId="4C975269">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（500-100）万元×0.96%=3.84万元</w:t>
      </w:r>
    </w:p>
    <w:p w14:paraId="29675541">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（600-500）万元×0.54%=0.54万元</w:t>
      </w:r>
    </w:p>
    <w:p w14:paraId="7D007D87">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合计收费=1.8+3.84+0.54=6.18万元</w:t>
      </w:r>
    </w:p>
    <w:p w14:paraId="4A4130D6">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备注：最低收费不低于人民币7000元。代理服务费用超过7000元，则按国家计费规定收取代理服务费。</w:t>
      </w:r>
    </w:p>
    <w:p w14:paraId="51BF3AE9">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收款单位：深圳市千里招标代理有限公司</w:t>
      </w:r>
    </w:p>
    <w:p w14:paraId="52CD78F2">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开户银行：中国平安银行深圳创业路支行</w:t>
      </w:r>
    </w:p>
    <w:p w14:paraId="60AD4AF8">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帐号：（人民币）15000094959311（用于支付标书费和中标服务费）</w:t>
      </w:r>
    </w:p>
    <w:p w14:paraId="3578A9FE">
      <w:pPr>
        <w:widowControl w:val="0"/>
        <w:spacing w:line="300" w:lineRule="auto"/>
        <w:jc w:val="both"/>
        <w:rPr>
          <w:rFonts w:hint="eastAsia" w:ascii="宋体" w:hAnsi="宋体" w:eastAsia="宋体" w:cs="宋体"/>
          <w:sz w:val="21"/>
          <w:szCs w:val="21"/>
        </w:rPr>
      </w:pPr>
      <w:r>
        <w:rPr>
          <w:rFonts w:hint="eastAsia" w:ascii="宋体" w:hAnsi="宋体" w:eastAsia="宋体" w:cs="宋体"/>
          <w:sz w:val="21"/>
          <w:szCs w:val="21"/>
        </w:rPr>
        <w:t>中标人须在中标公告公示期结束后，领取《中标通知书》前，向招标（采购）代理机构缴纳招标代理服务费。</w:t>
      </w:r>
    </w:p>
    <w:p w14:paraId="3CC57CF4">
      <w:pPr>
        <w:widowControl/>
        <w:spacing w:line="360" w:lineRule="auto"/>
        <w:ind w:firstLine="420"/>
        <w:jc w:val="left"/>
        <w:rPr>
          <w:rFonts w:hint="eastAsia" w:ascii="宋体" w:hAnsi="宋体" w:eastAsia="宋体" w:cs="宋体"/>
          <w:sz w:val="21"/>
          <w:szCs w:val="21"/>
          <w:lang w:eastAsia="zh-CN"/>
        </w:rPr>
      </w:pPr>
      <w:r>
        <w:rPr>
          <w:rFonts w:hint="eastAsia" w:ascii="宋体" w:hAnsi="宋体" w:eastAsia="宋体" w:cs="宋体"/>
          <w:sz w:val="21"/>
          <w:szCs w:val="21"/>
        </w:rPr>
        <w:t>招标代理服务费以转账、银行汇票形式交付。</w:t>
      </w:r>
    </w:p>
    <w:p w14:paraId="7FAED1D5">
      <w:pPr>
        <w:widowControl/>
        <w:spacing w:line="360" w:lineRule="auto"/>
        <w:ind w:firstLine="420"/>
        <w:jc w:val="left"/>
        <w:rPr>
          <w:rFonts w:hint="eastAsia" w:ascii="宋体" w:hAnsi="宋体" w:eastAsia="宋体" w:cs="宋体"/>
          <w:sz w:val="21"/>
          <w:szCs w:val="21"/>
          <w:lang w:eastAsia="zh-CN"/>
        </w:rPr>
      </w:pPr>
    </w:p>
    <w:p w14:paraId="126A5B67">
      <w:pPr>
        <w:widowControl/>
        <w:spacing w:line="360" w:lineRule="auto"/>
        <w:ind w:firstLine="420"/>
        <w:jc w:val="left"/>
        <w:rPr>
          <w:rFonts w:hint="eastAsia" w:ascii="宋体" w:hAnsi="宋体" w:eastAsia="宋体" w:cs="宋体"/>
          <w:sz w:val="21"/>
          <w:szCs w:val="21"/>
          <w:lang w:eastAsia="zh-CN"/>
        </w:rPr>
      </w:pPr>
    </w:p>
    <w:p w14:paraId="34BC24F2">
      <w:pPr>
        <w:widowControl/>
        <w:spacing w:line="360" w:lineRule="auto"/>
        <w:ind w:firstLine="420"/>
        <w:jc w:val="left"/>
        <w:rPr>
          <w:rFonts w:hint="eastAsia" w:ascii="宋体" w:hAnsi="宋体" w:eastAsia="宋体" w:cs="宋体"/>
          <w:sz w:val="21"/>
          <w:szCs w:val="21"/>
          <w:lang w:eastAsia="zh-CN"/>
        </w:rPr>
      </w:pPr>
    </w:p>
    <w:p w14:paraId="46B255F2">
      <w:pPr>
        <w:widowControl/>
        <w:spacing w:line="360" w:lineRule="auto"/>
        <w:ind w:firstLine="420"/>
        <w:jc w:val="left"/>
        <w:rPr>
          <w:rFonts w:hint="eastAsia" w:ascii="宋体" w:hAnsi="宋体" w:eastAsia="宋体" w:cs="宋体"/>
          <w:sz w:val="21"/>
          <w:szCs w:val="21"/>
          <w:lang w:eastAsia="zh-CN"/>
        </w:rPr>
      </w:pPr>
    </w:p>
    <w:p w14:paraId="7585DCFC">
      <w:pPr>
        <w:widowControl/>
        <w:spacing w:line="360" w:lineRule="auto"/>
        <w:ind w:firstLine="420"/>
        <w:jc w:val="left"/>
        <w:rPr>
          <w:rFonts w:hint="eastAsia" w:ascii="宋体" w:hAnsi="宋体" w:eastAsia="宋体" w:cs="宋体"/>
          <w:sz w:val="21"/>
          <w:szCs w:val="21"/>
          <w:lang w:eastAsia="zh-CN"/>
        </w:rPr>
      </w:pPr>
    </w:p>
    <w:p w14:paraId="0A6DFC3A">
      <w:pPr>
        <w:widowControl/>
        <w:spacing w:line="360" w:lineRule="auto"/>
        <w:ind w:firstLine="420"/>
        <w:jc w:val="left"/>
        <w:rPr>
          <w:rFonts w:hint="eastAsia" w:ascii="宋体" w:hAnsi="宋体" w:eastAsia="宋体" w:cs="宋体"/>
          <w:sz w:val="21"/>
          <w:szCs w:val="21"/>
          <w:lang w:eastAsia="zh-CN"/>
        </w:rPr>
      </w:pPr>
    </w:p>
    <w:p w14:paraId="3E41ADF8">
      <w:pPr>
        <w:widowControl/>
        <w:spacing w:line="360" w:lineRule="auto"/>
        <w:ind w:firstLine="420"/>
        <w:jc w:val="left"/>
        <w:rPr>
          <w:rFonts w:hint="eastAsia" w:ascii="宋体" w:hAnsi="宋体" w:eastAsia="宋体" w:cs="宋体"/>
          <w:sz w:val="21"/>
          <w:szCs w:val="21"/>
          <w:lang w:eastAsia="zh-CN"/>
        </w:rPr>
      </w:pPr>
    </w:p>
    <w:p w14:paraId="227F4F9A">
      <w:pPr>
        <w:widowControl/>
        <w:spacing w:line="360" w:lineRule="auto"/>
        <w:jc w:val="left"/>
        <w:rPr>
          <w:rFonts w:hint="eastAsia" w:ascii="宋体" w:hAnsi="宋体" w:eastAsia="宋体" w:cs="宋体"/>
          <w:sz w:val="21"/>
          <w:szCs w:val="21"/>
          <w:lang w:eastAsia="zh-CN"/>
        </w:rPr>
      </w:pPr>
    </w:p>
    <w:p w14:paraId="37A60BC3">
      <w:pPr>
        <w:keepNext/>
        <w:keepLines/>
        <w:widowControl w:val="0"/>
        <w:kinsoku/>
        <w:overflowPunct/>
        <w:topLinePunct w:val="0"/>
        <w:bidi w:val="0"/>
        <w:adjustRightIn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b/>
          <w:bCs/>
          <w:color w:val="FF0000"/>
          <w:sz w:val="28"/>
          <w:szCs w:val="28"/>
          <w:lang w:eastAsia="zh-CN"/>
        </w:rPr>
      </w:pPr>
      <w:r>
        <w:rPr>
          <w:rFonts w:hint="eastAsia" w:ascii="宋体" w:hAnsi="宋体" w:eastAsia="宋体" w:cs="宋体"/>
          <w:b/>
          <w:color w:val="FF0000"/>
          <w:kern w:val="2"/>
          <w:sz w:val="32"/>
          <w:szCs w:val="32"/>
          <w:lang w:eastAsia="zh-CN"/>
        </w:rPr>
        <w:t>★</w:t>
      </w:r>
      <w:r>
        <w:rPr>
          <w:rFonts w:hint="eastAsia" w:ascii="宋体" w:hAnsi="宋体" w:eastAsia="宋体" w:cs="宋体"/>
          <w:b/>
          <w:bCs/>
          <w:color w:val="FF0000"/>
          <w:sz w:val="28"/>
          <w:szCs w:val="28"/>
          <w:lang w:eastAsia="zh-CN"/>
        </w:rPr>
        <w:t>第三章 用户需求书</w:t>
      </w:r>
    </w:p>
    <w:p w14:paraId="2B02852C">
      <w:pPr>
        <w:keepNext/>
        <w:keepLines/>
        <w:numPr>
          <w:ilvl w:val="0"/>
          <w:numId w:val="6"/>
        </w:numPr>
        <w:spacing w:before="340" w:after="330" w:line="240" w:lineRule="auto"/>
        <w:ind w:left="0" w:leftChars="0" w:firstLine="420" w:firstLineChars="0"/>
        <w:outlineLvl w:val="0"/>
        <w:rPr>
          <w:rFonts w:hint="eastAsia" w:ascii="宋体" w:hAnsi="宋体" w:eastAsia="宋体" w:cs="宋体"/>
          <w:b/>
          <w:bCs/>
          <w:kern w:val="44"/>
          <w:sz w:val="21"/>
          <w:szCs w:val="21"/>
          <w:lang w:eastAsia="zh-CN"/>
        </w:rPr>
      </w:pPr>
      <w:r>
        <w:rPr>
          <w:rFonts w:hint="eastAsia" w:ascii="宋体" w:hAnsi="宋体" w:eastAsia="宋体" w:cs="宋体"/>
          <w:b/>
          <w:bCs/>
          <w:kern w:val="44"/>
          <w:sz w:val="21"/>
          <w:szCs w:val="21"/>
          <w:lang w:eastAsia="zh-CN"/>
        </w:rPr>
        <w:t>项目概况</w:t>
      </w:r>
    </w:p>
    <w:p w14:paraId="73C2BE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eastAsia="zh-CN"/>
        </w:rPr>
        <w:t>学校</w:t>
      </w:r>
      <w:r>
        <w:rPr>
          <w:rFonts w:hint="eastAsia" w:ascii="宋体" w:hAnsi="宋体" w:eastAsia="宋体" w:cs="宋体"/>
          <w:sz w:val="21"/>
          <w:szCs w:val="21"/>
        </w:rPr>
        <w:t>食堂的食品安全和卫生，保障餐厅食材配送问题，现向社会公开招标，选择优秀的供应商承担</w:t>
      </w:r>
      <w:r>
        <w:rPr>
          <w:rFonts w:hint="eastAsia" w:ascii="宋体" w:hAnsi="宋体" w:eastAsia="宋体" w:cs="宋体"/>
          <w:sz w:val="21"/>
          <w:szCs w:val="21"/>
          <w:lang w:eastAsia="zh-CN"/>
        </w:rPr>
        <w:t>学校</w:t>
      </w:r>
      <w:r>
        <w:rPr>
          <w:rFonts w:hint="eastAsia" w:ascii="宋体" w:hAnsi="宋体" w:eastAsia="宋体" w:cs="宋体"/>
          <w:sz w:val="21"/>
          <w:szCs w:val="21"/>
        </w:rPr>
        <w:t>食堂的相关配送服务，</w:t>
      </w:r>
      <w:r>
        <w:rPr>
          <w:rFonts w:hint="eastAsia" w:ascii="宋体" w:hAnsi="宋体" w:eastAsia="宋体" w:cs="宋体"/>
          <w:sz w:val="21"/>
          <w:szCs w:val="21"/>
          <w:lang w:eastAsia="zh-CN"/>
        </w:rPr>
        <w:t>学校</w:t>
      </w:r>
      <w:r>
        <w:rPr>
          <w:rFonts w:hint="eastAsia" w:ascii="宋体" w:hAnsi="宋体" w:eastAsia="宋体" w:cs="宋体"/>
          <w:sz w:val="21"/>
          <w:szCs w:val="21"/>
        </w:rPr>
        <w:t>就餐人数约</w:t>
      </w:r>
      <w:r>
        <w:rPr>
          <w:rFonts w:hint="eastAsia" w:ascii="宋体" w:hAnsi="宋体" w:eastAsia="宋体" w:cs="宋体"/>
          <w:sz w:val="21"/>
          <w:szCs w:val="21"/>
          <w:u w:val="single"/>
          <w:lang w:eastAsia="zh-CN"/>
        </w:rPr>
        <w:t>2280</w:t>
      </w:r>
      <w:r>
        <w:rPr>
          <w:rFonts w:hint="eastAsia" w:ascii="宋体" w:hAnsi="宋体" w:eastAsia="宋体" w:cs="宋体"/>
          <w:sz w:val="21"/>
          <w:szCs w:val="21"/>
        </w:rPr>
        <w:t>人</w:t>
      </w:r>
      <w:r>
        <w:rPr>
          <w:rFonts w:hint="eastAsia" w:ascii="宋体" w:hAnsi="宋体" w:eastAsia="宋体" w:cs="宋体"/>
          <w:sz w:val="21"/>
          <w:szCs w:val="21"/>
          <w:lang w:eastAsia="zh-CN"/>
        </w:rPr>
        <w:t>（具体以实际就餐人数为准）。</w:t>
      </w:r>
    </w:p>
    <w:p w14:paraId="6341509D">
      <w:pPr>
        <w:keepNext/>
        <w:keepLines/>
        <w:numPr>
          <w:ilvl w:val="0"/>
          <w:numId w:val="6"/>
        </w:numPr>
        <w:spacing w:before="340" w:after="330" w:line="240" w:lineRule="auto"/>
        <w:ind w:left="0" w:leftChars="0" w:firstLine="420" w:firstLineChars="0"/>
        <w:outlineLvl w:val="0"/>
        <w:rPr>
          <w:rFonts w:hint="eastAsia" w:ascii="宋体" w:hAnsi="宋体" w:eastAsia="宋体" w:cs="宋体"/>
          <w:b/>
          <w:bCs/>
          <w:kern w:val="44"/>
          <w:sz w:val="21"/>
          <w:szCs w:val="21"/>
          <w:lang w:eastAsia="zh-CN"/>
        </w:rPr>
      </w:pPr>
      <w:r>
        <w:rPr>
          <w:rFonts w:hint="eastAsia" w:ascii="宋体" w:hAnsi="宋体" w:eastAsia="宋体" w:cs="宋体"/>
          <w:b/>
          <w:bCs/>
          <w:kern w:val="44"/>
          <w:sz w:val="21"/>
          <w:szCs w:val="21"/>
          <w:lang w:eastAsia="zh-CN"/>
        </w:rPr>
        <w:t>项目清单</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655"/>
        <w:gridCol w:w="1131"/>
        <w:gridCol w:w="1131"/>
        <w:gridCol w:w="2801"/>
      </w:tblGrid>
      <w:tr w14:paraId="0A4D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2" w:type="dxa"/>
            <w:noWrap w:val="0"/>
            <w:vAlign w:val="center"/>
          </w:tcPr>
          <w:p w14:paraId="242616B0">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057" w:type="dxa"/>
            <w:noWrap w:val="0"/>
            <w:vAlign w:val="center"/>
          </w:tcPr>
          <w:p w14:paraId="17E17F3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服务分项名称</w:t>
            </w:r>
          </w:p>
        </w:tc>
        <w:tc>
          <w:tcPr>
            <w:tcW w:w="1280" w:type="dxa"/>
            <w:noWrap w:val="0"/>
            <w:vAlign w:val="center"/>
          </w:tcPr>
          <w:p w14:paraId="743F6AA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数量</w:t>
            </w:r>
          </w:p>
        </w:tc>
        <w:tc>
          <w:tcPr>
            <w:tcW w:w="1280" w:type="dxa"/>
            <w:noWrap w:val="0"/>
            <w:vAlign w:val="center"/>
          </w:tcPr>
          <w:p w14:paraId="3318D02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单位</w:t>
            </w:r>
          </w:p>
        </w:tc>
        <w:tc>
          <w:tcPr>
            <w:tcW w:w="3227" w:type="dxa"/>
            <w:noWrap w:val="0"/>
            <w:vAlign w:val="center"/>
          </w:tcPr>
          <w:p w14:paraId="6C5977E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预算金额/</w:t>
            </w:r>
            <w:r>
              <w:rPr>
                <w:rFonts w:hint="eastAsia" w:ascii="宋体" w:hAnsi="宋体" w:eastAsia="宋体" w:cs="宋体"/>
                <w:b/>
                <w:color w:val="FF0000"/>
                <w:sz w:val="21"/>
                <w:szCs w:val="21"/>
                <w:lang w:eastAsia="zh-CN"/>
              </w:rPr>
              <w:t>年度</w:t>
            </w:r>
            <w:r>
              <w:rPr>
                <w:rFonts w:hint="eastAsia" w:ascii="宋体" w:hAnsi="宋体" w:eastAsia="宋体" w:cs="宋体"/>
                <w:b/>
                <w:color w:val="FF0000"/>
                <w:sz w:val="21"/>
                <w:szCs w:val="21"/>
              </w:rPr>
              <w:t>支付上限（元）</w:t>
            </w:r>
          </w:p>
        </w:tc>
      </w:tr>
      <w:tr w14:paraId="126E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2" w:type="dxa"/>
            <w:noWrap w:val="0"/>
            <w:vAlign w:val="center"/>
          </w:tcPr>
          <w:p w14:paraId="4E09F156">
            <w:pPr>
              <w:pageBreakBefore w:val="0"/>
              <w:kinsoku/>
              <w:overflowPunct/>
              <w:topLinePunct w:val="0"/>
              <w:autoSpaceDE/>
              <w:autoSpaceDN/>
              <w:bidi w:val="0"/>
              <w:spacing w:beforeAutospacing="0" w:afterAutospacing="0" w:line="240" w:lineRule="auto"/>
              <w:ind w:left="0" w:leftChars="0" w:right="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057" w:type="dxa"/>
            <w:noWrap w:val="0"/>
            <w:vAlign w:val="center"/>
          </w:tcPr>
          <w:p w14:paraId="1AAC48F7">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深圳市龙华高级中学教育集团（大浪校区）学生食材配送服务</w:t>
            </w:r>
          </w:p>
        </w:tc>
        <w:tc>
          <w:tcPr>
            <w:tcW w:w="1280" w:type="dxa"/>
            <w:noWrap w:val="0"/>
            <w:vAlign w:val="center"/>
          </w:tcPr>
          <w:p w14:paraId="107FB47D">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1</w:t>
            </w:r>
          </w:p>
        </w:tc>
        <w:tc>
          <w:tcPr>
            <w:tcW w:w="1280" w:type="dxa"/>
            <w:noWrap w:val="0"/>
            <w:vAlign w:val="center"/>
          </w:tcPr>
          <w:p w14:paraId="7CD77F45">
            <w:pPr>
              <w:spacing w:line="24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项</w:t>
            </w:r>
          </w:p>
        </w:tc>
        <w:tc>
          <w:tcPr>
            <w:tcW w:w="3227" w:type="dxa"/>
            <w:noWrap w:val="0"/>
            <w:vAlign w:val="center"/>
          </w:tcPr>
          <w:p w14:paraId="7D5D43A6">
            <w:pPr>
              <w:spacing w:line="240" w:lineRule="auto"/>
              <w:jc w:val="center"/>
              <w:rPr>
                <w:rFonts w:hint="eastAsia" w:ascii="宋体" w:hAnsi="宋体" w:eastAsia="宋体" w:cs="宋体"/>
                <w:bCs/>
                <w:kern w:val="2"/>
                <w:sz w:val="21"/>
                <w:szCs w:val="21"/>
                <w:lang w:eastAsia="zh-CN"/>
              </w:rPr>
            </w:pPr>
            <w:r>
              <w:rPr>
                <w:rFonts w:hint="eastAsia" w:ascii="宋体" w:hAnsi="宋体" w:eastAsia="宋体" w:cs="宋体"/>
                <w:color w:val="FF0000"/>
                <w:sz w:val="21"/>
                <w:szCs w:val="21"/>
                <w:lang w:eastAsia="zh-CN"/>
              </w:rPr>
              <w:t>5,198,400.00</w:t>
            </w:r>
          </w:p>
        </w:tc>
      </w:tr>
    </w:tbl>
    <w:p w14:paraId="27BD9650">
      <w:pPr>
        <w:pageBreakBefore w:val="0"/>
        <w:numPr>
          <w:ilvl w:val="0"/>
          <w:numId w:val="0"/>
        </w:numPr>
        <w:kinsoku/>
        <w:overflowPunct/>
        <w:topLinePunct w:val="0"/>
        <w:autoSpaceDE/>
        <w:autoSpaceDN/>
        <w:bidi w:val="0"/>
        <w:adjustRightInd/>
        <w:spacing w:beforeAutospacing="0" w:afterAutospacing="0" w:line="240" w:lineRule="auto"/>
        <w:ind w:left="0" w:leftChars="0" w:right="0" w:rightChars="0" w:firstLine="0" w:firstLineChars="0"/>
        <w:jc w:val="left"/>
        <w:rPr>
          <w:rFonts w:hint="eastAsia" w:ascii="宋体" w:hAnsi="宋体" w:eastAsia="宋体" w:cs="宋体"/>
          <w:b/>
          <w:sz w:val="21"/>
          <w:szCs w:val="21"/>
          <w:lang w:eastAsia="zh-CN"/>
        </w:rPr>
      </w:pPr>
    </w:p>
    <w:p w14:paraId="7EF56E1C">
      <w:pPr>
        <w:pageBreakBefore w:val="0"/>
        <w:numPr>
          <w:ilvl w:val="0"/>
          <w:numId w:val="0"/>
        </w:numPr>
        <w:kinsoku/>
        <w:overflowPunct/>
        <w:topLinePunct w:val="0"/>
        <w:autoSpaceDE/>
        <w:autoSpaceDN/>
        <w:bidi w:val="0"/>
        <w:adjustRightInd/>
        <w:spacing w:beforeAutospacing="0" w:afterAutospacing="0" w:line="240" w:lineRule="auto"/>
        <w:ind w:left="0" w:leftChars="0" w:right="0" w:rightChars="0" w:firstLine="0" w:firstLineChars="0"/>
        <w:jc w:val="left"/>
        <w:rPr>
          <w:rFonts w:hint="eastAsia" w:ascii="宋体" w:hAnsi="宋体" w:eastAsia="宋体" w:cs="宋体"/>
          <w:b/>
          <w:sz w:val="21"/>
          <w:szCs w:val="21"/>
        </w:rPr>
      </w:pPr>
      <w:r>
        <w:rPr>
          <w:rFonts w:hint="eastAsia" w:ascii="宋体" w:hAnsi="宋体" w:eastAsia="宋体" w:cs="宋体"/>
          <w:b/>
          <w:sz w:val="21"/>
          <w:szCs w:val="21"/>
          <w:lang w:eastAsia="zh-CN"/>
        </w:rPr>
        <w:t>备注：（1）</w:t>
      </w:r>
      <w:r>
        <w:rPr>
          <w:rFonts w:hint="eastAsia" w:ascii="宋体" w:hAnsi="宋体" w:eastAsia="宋体" w:cs="宋体"/>
          <w:b/>
          <w:sz w:val="21"/>
          <w:szCs w:val="21"/>
        </w:rPr>
        <w:t>本项目的预算金额为人民币</w:t>
      </w:r>
      <w:r>
        <w:rPr>
          <w:rFonts w:hint="eastAsia" w:ascii="宋体" w:hAnsi="宋体" w:eastAsia="宋体" w:cs="宋体"/>
          <w:b/>
          <w:bCs/>
          <w:sz w:val="21"/>
          <w:szCs w:val="21"/>
          <w:lang w:eastAsia="zh-CN"/>
        </w:rPr>
        <w:t>5,198,400.00</w:t>
      </w:r>
      <w:r>
        <w:rPr>
          <w:rFonts w:hint="eastAsia" w:ascii="宋体" w:hAnsi="宋体" w:eastAsia="宋体" w:cs="宋体"/>
          <w:b/>
          <w:sz w:val="21"/>
          <w:szCs w:val="21"/>
        </w:rPr>
        <w:t>元；本次招标的投标最高限价为人民币</w:t>
      </w:r>
      <w:r>
        <w:rPr>
          <w:rFonts w:hint="eastAsia" w:ascii="宋体" w:hAnsi="宋体" w:eastAsia="宋体" w:cs="宋体"/>
          <w:b/>
          <w:bCs/>
          <w:sz w:val="21"/>
          <w:szCs w:val="21"/>
          <w:lang w:eastAsia="zh-CN"/>
        </w:rPr>
        <w:t>5,198,400.00</w:t>
      </w:r>
      <w:r>
        <w:rPr>
          <w:rFonts w:hint="eastAsia" w:ascii="宋体" w:hAnsi="宋体" w:eastAsia="宋体" w:cs="宋体"/>
          <w:b/>
          <w:sz w:val="21"/>
          <w:szCs w:val="21"/>
        </w:rPr>
        <w:t>元。</w:t>
      </w:r>
    </w:p>
    <w:p w14:paraId="0DB14FF3">
      <w:pPr>
        <w:pageBreakBefore w:val="0"/>
        <w:numPr>
          <w:ilvl w:val="0"/>
          <w:numId w:val="0"/>
        </w:numPr>
        <w:kinsoku/>
        <w:overflowPunct/>
        <w:topLinePunct w:val="0"/>
        <w:autoSpaceDE/>
        <w:autoSpaceDN/>
        <w:bidi w:val="0"/>
        <w:adjustRightInd/>
        <w:spacing w:beforeAutospacing="0" w:afterAutospacing="0" w:line="240" w:lineRule="auto"/>
        <w:ind w:left="0" w:leftChars="0" w:right="0" w:rightChars="0" w:firstLine="0" w:firstLineChars="0"/>
        <w:jc w:val="left"/>
        <w:rPr>
          <w:rFonts w:hint="eastAsia" w:ascii="宋体" w:hAnsi="宋体" w:eastAsia="宋体" w:cs="宋体"/>
          <w:b/>
          <w:sz w:val="21"/>
          <w:szCs w:val="21"/>
        </w:rPr>
      </w:pPr>
    </w:p>
    <w:p w14:paraId="09DCCFEC">
      <w:pPr>
        <w:numPr>
          <w:ilvl w:val="0"/>
          <w:numId w:val="0"/>
        </w:numPr>
        <w:spacing w:line="240" w:lineRule="auto"/>
        <w:ind w:left="0" w:firstLine="0"/>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（2）预算和报价方式要求</w:t>
      </w:r>
    </w:p>
    <w:p w14:paraId="56D87E2F">
      <w:pPr>
        <w:numPr>
          <w:ilvl w:val="0"/>
          <w:numId w:val="0"/>
        </w:numPr>
        <w:spacing w:line="240" w:lineRule="auto"/>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lang w:eastAsia="zh-CN"/>
        </w:rPr>
        <w:t>1.本表格的校内食堂用餐人数和采购金额为预估数，实际合同起始时间和金额以与学校签订的协议约定为准。</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 xml:space="preserve">    2.</w:t>
      </w:r>
      <w:r>
        <w:rPr>
          <w:rFonts w:hint="eastAsia" w:ascii="宋体" w:hAnsi="宋体" w:eastAsia="宋体" w:cs="宋体"/>
          <w:sz w:val="21"/>
          <w:szCs w:val="21"/>
        </w:rPr>
        <w:t>本次招标不涉及具体投标金额（无须投标人在投标文件中填报具体投标金额），投标人只需在投标一览表“投标总价”一栏里报填报唯一的“折扣率”，投标人应根据自身成本自行填报“折扣率”。</w:t>
      </w:r>
    </w:p>
    <w:p w14:paraId="6D877CB5">
      <w:pPr>
        <w:spacing w:line="24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.“折扣率”填写要求</w:t>
      </w:r>
    </w:p>
    <w:p w14:paraId="13E769C3">
      <w:pPr>
        <w:spacing w:line="24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（1）填写要求： 0</w:t>
      </w:r>
      <w:r>
        <w:rPr>
          <w:rFonts w:hint="eastAsia" w:ascii="宋体" w:hAnsi="宋体" w:eastAsia="宋体" w:cs="宋体"/>
          <w:sz w:val="21"/>
          <w:szCs w:val="21"/>
          <w:lang w:eastAsia="zh-CN"/>
        </w:rPr>
        <w:t>%</w:t>
      </w:r>
      <w:r>
        <w:rPr>
          <w:rFonts w:hint="eastAsia" w:ascii="宋体" w:hAnsi="宋体" w:eastAsia="宋体" w:cs="宋体"/>
          <w:sz w:val="21"/>
          <w:szCs w:val="21"/>
        </w:rPr>
        <w:t>＜折扣率≤1</w:t>
      </w:r>
      <w:r>
        <w:rPr>
          <w:rFonts w:hint="eastAsia" w:ascii="宋体" w:hAnsi="宋体" w:eastAsia="宋体" w:cs="宋体"/>
          <w:sz w:val="21"/>
          <w:szCs w:val="21"/>
          <w:lang w:eastAsia="zh-CN"/>
        </w:rPr>
        <w:t>00%</w:t>
      </w:r>
      <w:r>
        <w:rPr>
          <w:rFonts w:hint="eastAsia" w:ascii="宋体" w:hAnsi="宋体" w:eastAsia="宋体" w:cs="宋体"/>
          <w:sz w:val="21"/>
          <w:szCs w:val="21"/>
        </w:rPr>
        <w:t>，未按此要求填写将作废标处理。</w:t>
      </w:r>
    </w:p>
    <w:p w14:paraId="288E286F">
      <w:pPr>
        <w:spacing w:line="24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（2）填写的“折扣率”应为</w:t>
      </w:r>
      <w:r>
        <w:rPr>
          <w:rFonts w:hint="eastAsia" w:ascii="宋体" w:hAnsi="宋体" w:eastAsia="宋体" w:cs="宋体"/>
          <w:sz w:val="21"/>
          <w:szCs w:val="21"/>
          <w:lang w:eastAsia="zh-CN"/>
        </w:rPr>
        <w:t>百分</w:t>
      </w:r>
      <w:r>
        <w:rPr>
          <w:rFonts w:hint="eastAsia" w:ascii="宋体" w:hAnsi="宋体" w:eastAsia="宋体" w:cs="宋体"/>
          <w:sz w:val="21"/>
          <w:szCs w:val="21"/>
        </w:rPr>
        <w:t>数，（如：90</w:t>
      </w:r>
      <w:r>
        <w:rPr>
          <w:rFonts w:hint="eastAsia" w:ascii="宋体" w:hAnsi="宋体" w:eastAsia="宋体" w:cs="宋体"/>
          <w:sz w:val="21"/>
          <w:szCs w:val="21"/>
          <w:lang w:eastAsia="zh-CN"/>
        </w:rPr>
        <w:t>%</w:t>
      </w:r>
      <w:r>
        <w:rPr>
          <w:rFonts w:hint="eastAsia" w:ascii="宋体" w:hAnsi="宋体" w:eastAsia="宋体" w:cs="宋体"/>
          <w:sz w:val="21"/>
          <w:szCs w:val="21"/>
        </w:rPr>
        <w:t>、80</w:t>
      </w:r>
      <w:r>
        <w:rPr>
          <w:rFonts w:hint="eastAsia" w:ascii="宋体" w:hAnsi="宋体" w:eastAsia="宋体" w:cs="宋体"/>
          <w:sz w:val="21"/>
          <w:szCs w:val="21"/>
          <w:lang w:eastAsia="zh-CN"/>
        </w:rPr>
        <w:t>%</w:t>
      </w:r>
      <w:r>
        <w:rPr>
          <w:rFonts w:hint="eastAsia" w:ascii="宋体" w:hAnsi="宋体" w:eastAsia="宋体" w:cs="宋体"/>
          <w:sz w:val="21"/>
          <w:szCs w:val="21"/>
        </w:rPr>
        <w:t>、78</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5C94641">
      <w:pPr>
        <w:spacing w:line="24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（3）投标人参与投标只允许填报一个“折扣率”，不允许填报2个（或以上）的“折扣率”；填报了2个或以上“折扣率”的，其投标将直接作投标无效处理；</w:t>
      </w:r>
    </w:p>
    <w:p w14:paraId="2ADFB038">
      <w:pPr>
        <w:spacing w:line="24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（4）“折扣率”缺填、漏填将直接作投标无效处理。</w:t>
      </w:r>
    </w:p>
    <w:p w14:paraId="02C12DFA">
      <w:pPr>
        <w:numPr>
          <w:ilvl w:val="0"/>
          <w:numId w:val="0"/>
        </w:numPr>
        <w:spacing w:line="240" w:lineRule="auto"/>
        <w:ind w:left="0" w:firstLine="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3</w:t>
      </w:r>
      <w:r>
        <w:rPr>
          <w:rFonts w:hint="eastAsia" w:ascii="宋体" w:hAnsi="宋体" w:eastAsia="宋体" w:cs="宋体"/>
          <w:sz w:val="21"/>
          <w:szCs w:val="21"/>
        </w:rPr>
        <w:t>）食品安全保险</w:t>
      </w:r>
    </w:p>
    <w:p w14:paraId="13FF120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中标人为学校提供食材配送服务时，必须为学校购买保额至少为500万元的食品安全险和300万元的公共责任险，且受益人必须为所有就餐人员。</w:t>
      </w:r>
    </w:p>
    <w:p w14:paraId="3167432B">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4</w:t>
      </w:r>
      <w:r>
        <w:rPr>
          <w:rFonts w:hint="eastAsia" w:ascii="宋体" w:hAnsi="宋体" w:eastAsia="宋体" w:cs="宋体"/>
          <w:sz w:val="21"/>
          <w:szCs w:val="21"/>
        </w:rPr>
        <w:t>）本项目基准价</w:t>
      </w:r>
    </w:p>
    <w:p w14:paraId="52388767">
      <w:pPr>
        <w:spacing w:line="24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eastAsia="zh-CN"/>
        </w:rPr>
        <w:t>全部</w:t>
      </w:r>
      <w:r>
        <w:rPr>
          <w:rFonts w:hint="eastAsia" w:ascii="宋体" w:hAnsi="宋体" w:eastAsia="宋体" w:cs="宋体"/>
          <w:b/>
          <w:bCs/>
          <w:sz w:val="21"/>
          <w:szCs w:val="21"/>
        </w:rPr>
        <w:t>食材价格以配送当月中农数据食堂采配平台（www.chinaap.com）</w:t>
      </w:r>
      <w:r>
        <w:rPr>
          <w:rFonts w:hint="eastAsia" w:ascii="宋体" w:hAnsi="宋体" w:eastAsia="宋体" w:cs="宋体"/>
          <w:b/>
          <w:bCs/>
          <w:sz w:val="21"/>
          <w:szCs w:val="21"/>
          <w:lang w:eastAsia="zh-CN"/>
        </w:rPr>
        <w:t>5号、15号、25号</w:t>
      </w:r>
      <w:r>
        <w:rPr>
          <w:rFonts w:hint="eastAsia" w:ascii="宋体" w:hAnsi="宋体" w:eastAsia="宋体" w:cs="宋体"/>
          <w:b/>
          <w:bCs/>
          <w:sz w:val="21"/>
          <w:szCs w:val="21"/>
        </w:rPr>
        <w:t>公布的粗加工后的价格取平均值为该项物资的基准价</w:t>
      </w:r>
      <w:r>
        <w:rPr>
          <w:rFonts w:hint="eastAsia" w:ascii="宋体" w:hAnsi="宋体" w:eastAsia="宋体" w:cs="宋体"/>
          <w:sz w:val="21"/>
          <w:szCs w:val="21"/>
        </w:rPr>
        <w:t>，投标人结合企业自己的实力报出折扣率，结算时价格=基准价*折扣率。</w:t>
      </w:r>
    </w:p>
    <w:p w14:paraId="58294EA6">
      <w:pPr>
        <w:spacing w:line="24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中农数据食堂采配平台（www.chinaap.com</w:t>
      </w:r>
      <w:r>
        <w:rPr>
          <w:rFonts w:hint="eastAsia" w:ascii="宋体" w:hAnsi="宋体" w:eastAsia="宋体" w:cs="宋体"/>
          <w:sz w:val="21"/>
          <w:szCs w:val="21"/>
        </w:rPr>
        <w:t>）中无价格的品类，则结算时价格=折扣率*市场价。（由片区内学校和中标人到农贸市场或大型商超等现场调研决定）。</w:t>
      </w:r>
      <w:r>
        <w:rPr>
          <w:rFonts w:hint="eastAsia" w:ascii="宋体" w:hAnsi="宋体" w:eastAsia="宋体" w:cs="宋体"/>
          <w:b/>
          <w:bCs/>
          <w:sz w:val="21"/>
          <w:szCs w:val="21"/>
        </w:rPr>
        <w:t>中标人</w:t>
      </w:r>
      <w:r>
        <w:rPr>
          <w:rFonts w:hint="eastAsia" w:ascii="宋体" w:hAnsi="宋体" w:eastAsia="宋体" w:cs="宋体"/>
          <w:b/>
          <w:bCs/>
          <w:sz w:val="21"/>
          <w:szCs w:val="21"/>
          <w:lang w:eastAsia="zh-CN"/>
        </w:rPr>
        <w:t>在服务期限内承担采购单位在</w:t>
      </w:r>
      <w:r>
        <w:rPr>
          <w:rFonts w:hint="eastAsia" w:ascii="宋体" w:hAnsi="宋体" w:eastAsia="宋体" w:cs="宋体"/>
          <w:b/>
          <w:bCs/>
          <w:sz w:val="21"/>
          <w:szCs w:val="21"/>
        </w:rPr>
        <w:t>中农数据食堂采配平台（www.chinaap.com</w:t>
      </w:r>
      <w:r>
        <w:rPr>
          <w:rFonts w:hint="eastAsia" w:ascii="宋体" w:hAnsi="宋体" w:eastAsia="宋体" w:cs="宋体"/>
          <w:sz w:val="21"/>
          <w:szCs w:val="21"/>
        </w:rPr>
        <w:t>）</w:t>
      </w:r>
      <w:r>
        <w:rPr>
          <w:rFonts w:hint="eastAsia" w:ascii="宋体" w:hAnsi="宋体" w:eastAsia="宋体" w:cs="宋体"/>
          <w:b/>
          <w:bCs/>
          <w:sz w:val="21"/>
          <w:szCs w:val="21"/>
          <w:lang w:eastAsia="zh-CN"/>
        </w:rPr>
        <w:t>下单采购所需的技术服务费用。</w:t>
      </w:r>
    </w:p>
    <w:p w14:paraId="1EFB9019">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如遇台风暴雨、供求关系、宏观调控等原因造成的市场价格上涨或下降需临时调整时，中标人应提前书面通知采购人，由采购人和中标人协调会议的形式解决，征得采购人同意后方可调整。</w:t>
      </w:r>
    </w:p>
    <w:p w14:paraId="63E9C404">
      <w:pPr>
        <w:keepNext/>
        <w:keepLines/>
        <w:numPr>
          <w:ilvl w:val="0"/>
          <w:numId w:val="6"/>
        </w:numPr>
        <w:spacing w:before="340" w:after="330" w:line="240" w:lineRule="auto"/>
        <w:ind w:left="0" w:leftChars="0" w:firstLine="420" w:firstLineChars="0"/>
        <w:outlineLvl w:val="0"/>
        <w:rPr>
          <w:rFonts w:hint="eastAsia" w:ascii="宋体" w:hAnsi="宋体" w:eastAsia="宋体" w:cs="宋体"/>
          <w:b/>
          <w:bCs/>
          <w:kern w:val="44"/>
          <w:sz w:val="21"/>
          <w:szCs w:val="21"/>
          <w:lang w:eastAsia="zh-CN"/>
        </w:rPr>
      </w:pPr>
      <w:r>
        <w:rPr>
          <w:rFonts w:hint="eastAsia" w:ascii="宋体" w:hAnsi="宋体" w:eastAsia="宋体" w:cs="宋体"/>
          <w:b/>
          <w:bCs/>
          <w:kern w:val="44"/>
          <w:sz w:val="21"/>
          <w:szCs w:val="21"/>
          <w:lang w:eastAsia="zh-CN"/>
        </w:rPr>
        <w:t>服务需求内容表述</w:t>
      </w:r>
    </w:p>
    <w:p w14:paraId="02181788">
      <w:pPr>
        <w:numPr>
          <w:ilvl w:val="0"/>
          <w:numId w:val="0"/>
        </w:numPr>
        <w:spacing w:line="360" w:lineRule="auto"/>
        <w:ind w:left="0" w:leftChars="0" w:firstLine="420" w:firstLineChars="0"/>
        <w:outlineLvl w:val="2"/>
        <w:rPr>
          <w:rFonts w:hint="eastAsia" w:ascii="宋体" w:hAnsi="宋体" w:eastAsia="宋体" w:cs="宋体"/>
          <w:b/>
          <w:sz w:val="21"/>
          <w:szCs w:val="21"/>
        </w:rPr>
      </w:pPr>
      <w:r>
        <w:rPr>
          <w:rFonts w:hint="eastAsia" w:ascii="宋体" w:hAnsi="宋体" w:eastAsia="宋体" w:cs="宋体"/>
          <w:b/>
          <w:kern w:val="2"/>
          <w:sz w:val="21"/>
          <w:szCs w:val="21"/>
          <w:lang w:eastAsia="zh-CN"/>
        </w:rPr>
        <w:t>（一）</w:t>
      </w:r>
      <w:r>
        <w:rPr>
          <w:rFonts w:hint="eastAsia" w:ascii="宋体" w:hAnsi="宋体" w:eastAsia="宋体" w:cs="宋体"/>
          <w:b/>
          <w:sz w:val="21"/>
          <w:szCs w:val="21"/>
        </w:rPr>
        <w:t>配套服务人员要求</w:t>
      </w:r>
    </w:p>
    <w:p w14:paraId="3A267087">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1.中标单位成立食堂配送项目专项服务团队，负责跟进</w:t>
      </w:r>
      <w:r>
        <w:rPr>
          <w:rFonts w:hint="eastAsia" w:ascii="宋体" w:hAnsi="宋体" w:eastAsia="宋体" w:cs="宋体"/>
          <w:b/>
          <w:sz w:val="21"/>
          <w:szCs w:val="21"/>
          <w:lang w:eastAsia="zh-CN"/>
        </w:rPr>
        <w:t>学校</w:t>
      </w:r>
      <w:r>
        <w:rPr>
          <w:rFonts w:hint="eastAsia" w:ascii="宋体" w:hAnsi="宋体" w:eastAsia="宋体" w:cs="宋体"/>
          <w:b/>
          <w:sz w:val="21"/>
          <w:szCs w:val="21"/>
        </w:rPr>
        <w:t>每日的采购单据的制定、修改，核价，开具发票等相关事项及提供各种服务。具体人数在与</w:t>
      </w:r>
      <w:r>
        <w:rPr>
          <w:rFonts w:hint="eastAsia" w:ascii="宋体" w:hAnsi="宋体" w:eastAsia="宋体" w:cs="宋体"/>
          <w:b/>
          <w:sz w:val="21"/>
          <w:szCs w:val="21"/>
          <w:lang w:eastAsia="zh-CN"/>
        </w:rPr>
        <w:t>学校</w:t>
      </w:r>
      <w:r>
        <w:rPr>
          <w:rFonts w:hint="eastAsia" w:ascii="宋体" w:hAnsi="宋体" w:eastAsia="宋体" w:cs="宋体"/>
          <w:b/>
          <w:sz w:val="21"/>
          <w:szCs w:val="21"/>
        </w:rPr>
        <w:t>签订配送协议时约定，服务人员需为投标人自有员工，无违法犯罪记录证明，且必须符合并遵守</w:t>
      </w:r>
      <w:r>
        <w:rPr>
          <w:rFonts w:hint="eastAsia" w:ascii="宋体" w:hAnsi="宋体" w:eastAsia="宋体" w:cs="宋体"/>
          <w:b/>
          <w:sz w:val="21"/>
          <w:szCs w:val="21"/>
          <w:lang w:eastAsia="zh-CN"/>
        </w:rPr>
        <w:t>学校</w:t>
      </w:r>
      <w:r>
        <w:rPr>
          <w:rFonts w:hint="eastAsia" w:ascii="宋体" w:hAnsi="宋体" w:eastAsia="宋体" w:cs="宋体"/>
          <w:b/>
          <w:sz w:val="21"/>
          <w:szCs w:val="21"/>
        </w:rPr>
        <w:t>食堂管理要求与规范。</w:t>
      </w:r>
    </w:p>
    <w:p w14:paraId="793F2116">
      <w:pPr>
        <w:numPr>
          <w:ilvl w:val="0"/>
          <w:numId w:val="0"/>
        </w:numPr>
        <w:spacing w:line="360" w:lineRule="auto"/>
        <w:ind w:left="0" w:leftChars="0" w:firstLine="420" w:firstLineChars="0"/>
        <w:outlineLvl w:val="2"/>
        <w:rPr>
          <w:rFonts w:hint="eastAsia" w:ascii="宋体" w:hAnsi="宋体" w:eastAsia="宋体" w:cs="宋体"/>
          <w:b/>
          <w:sz w:val="21"/>
          <w:szCs w:val="21"/>
          <w:lang w:eastAsia="zh-CN"/>
        </w:rPr>
      </w:pPr>
      <w:r>
        <w:rPr>
          <w:rFonts w:hint="eastAsia" w:ascii="宋体" w:hAnsi="宋体" w:eastAsia="宋体" w:cs="宋体"/>
          <w:b/>
          <w:kern w:val="2"/>
          <w:sz w:val="21"/>
          <w:szCs w:val="21"/>
          <w:lang w:eastAsia="zh-CN"/>
        </w:rPr>
        <w:t>（二）</w:t>
      </w:r>
      <w:r>
        <w:rPr>
          <w:rFonts w:hint="eastAsia" w:ascii="宋体" w:hAnsi="宋体" w:eastAsia="宋体" w:cs="宋体"/>
          <w:b/>
          <w:sz w:val="21"/>
          <w:szCs w:val="21"/>
        </w:rPr>
        <w:t>采购范围</w:t>
      </w:r>
    </w:p>
    <w:p w14:paraId="7389099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采购食堂配送米、面、油、乳制品、蛋类、调味品、生鲜肉、冻品、蔬菜、干货等全食材。</w:t>
      </w:r>
    </w:p>
    <w:p w14:paraId="57BDC0C5">
      <w:pPr>
        <w:numPr>
          <w:ilvl w:val="0"/>
          <w:numId w:val="0"/>
        </w:numPr>
        <w:spacing w:line="360" w:lineRule="auto"/>
        <w:ind w:left="0" w:leftChars="0" w:firstLine="420" w:firstLineChars="0"/>
        <w:outlineLvl w:val="2"/>
        <w:rPr>
          <w:rFonts w:hint="eastAsia" w:ascii="宋体" w:hAnsi="宋体" w:eastAsia="宋体" w:cs="宋体"/>
          <w:b/>
          <w:sz w:val="21"/>
          <w:szCs w:val="21"/>
        </w:rPr>
      </w:pPr>
      <w:r>
        <w:rPr>
          <w:rFonts w:hint="eastAsia" w:ascii="宋体" w:hAnsi="宋体" w:eastAsia="宋体" w:cs="宋体"/>
          <w:b/>
          <w:kern w:val="2"/>
          <w:sz w:val="21"/>
          <w:szCs w:val="21"/>
          <w:lang w:eastAsia="zh-CN"/>
        </w:rPr>
        <w:t>（三）</w:t>
      </w:r>
      <w:r>
        <w:rPr>
          <w:rFonts w:hint="eastAsia" w:ascii="宋体" w:hAnsi="宋体" w:eastAsia="宋体" w:cs="宋体"/>
          <w:b/>
          <w:sz w:val="21"/>
          <w:szCs w:val="21"/>
        </w:rPr>
        <w:t>食材质量要求</w:t>
      </w:r>
    </w:p>
    <w:p w14:paraId="68220205">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w:t>
      </w:r>
      <w:r>
        <w:rPr>
          <w:rFonts w:hint="eastAsia" w:ascii="宋体" w:hAnsi="宋体" w:eastAsia="宋体" w:cs="宋体"/>
          <w:bCs/>
          <w:sz w:val="21"/>
          <w:szCs w:val="21"/>
        </w:rPr>
        <w:t>预包装产品保质期在一年及以上的，建议收货时的剩余质保期不得少于标注有效期的</w:t>
      </w:r>
      <w:r>
        <w:rPr>
          <w:rFonts w:hint="eastAsia" w:ascii="宋体" w:hAnsi="宋体" w:eastAsia="宋体" w:cs="宋体"/>
          <w:bCs/>
          <w:sz w:val="21"/>
          <w:szCs w:val="21"/>
          <w:lang w:eastAsia="zh-CN"/>
        </w:rPr>
        <w:t>三</w:t>
      </w:r>
      <w:r>
        <w:rPr>
          <w:rFonts w:hint="eastAsia" w:ascii="宋体" w:hAnsi="宋体" w:eastAsia="宋体" w:cs="宋体"/>
          <w:bCs/>
          <w:sz w:val="21"/>
          <w:szCs w:val="21"/>
        </w:rPr>
        <w:t>分之一；保质期不足一年的，收货时的剩余质保期不得少于标注有效期的三分之</w:t>
      </w:r>
      <w:r>
        <w:rPr>
          <w:rFonts w:hint="eastAsia" w:ascii="宋体" w:hAnsi="宋体" w:eastAsia="宋体" w:cs="宋体"/>
          <w:bCs/>
          <w:sz w:val="21"/>
          <w:szCs w:val="21"/>
          <w:lang w:eastAsia="zh-CN"/>
        </w:rPr>
        <w:t>一</w:t>
      </w:r>
      <w:r>
        <w:rPr>
          <w:rFonts w:hint="eastAsia" w:ascii="宋体" w:hAnsi="宋体" w:eastAsia="宋体" w:cs="宋体"/>
          <w:bCs/>
          <w:sz w:val="21"/>
          <w:szCs w:val="21"/>
        </w:rPr>
        <w:t>。</w:t>
      </w:r>
    </w:p>
    <w:p w14:paraId="53739792">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2．</w:t>
      </w:r>
      <w:r>
        <w:rPr>
          <w:rFonts w:hint="eastAsia" w:ascii="宋体" w:hAnsi="宋体" w:eastAsia="宋体" w:cs="宋体"/>
          <w:bCs/>
          <w:sz w:val="21"/>
          <w:szCs w:val="21"/>
        </w:rPr>
        <w:t>食材质量等级指标不低于该产品标准的中位数水平，如质量或规格等级划分为1、2、3、4、5或大（L）、中（M）、小（S）的，应选择1、2或大（L）、中（M）等级。</w:t>
      </w:r>
    </w:p>
    <w:p w14:paraId="6A868CC7">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3．</w:t>
      </w:r>
      <w:r>
        <w:rPr>
          <w:rFonts w:hint="eastAsia" w:ascii="宋体" w:hAnsi="宋体" w:eastAsia="宋体" w:cs="宋体"/>
          <w:bCs/>
          <w:sz w:val="21"/>
          <w:szCs w:val="21"/>
        </w:rPr>
        <w:t>各种食材的感官性状无异常，无明显腐败变质、油脂酸败、发霉生虫、污秽不洁、混有异物、掺假掺杂等情况。</w:t>
      </w:r>
    </w:p>
    <w:p w14:paraId="5538020B">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4．</w:t>
      </w:r>
      <w:r>
        <w:rPr>
          <w:rFonts w:hint="eastAsia" w:ascii="宋体" w:hAnsi="宋体" w:eastAsia="宋体" w:cs="宋体"/>
          <w:bCs/>
          <w:sz w:val="21"/>
          <w:szCs w:val="21"/>
        </w:rPr>
        <w:t>农副产品外观新鲜，无明显萎蔫、腐烂、发芽、畸形等异常情况；蔬菜类必须保证无黄叶、枯死叶、无虫、无杂质；水果及其制品必须保证成熟、新鲜、无腐烂变质；鲜肉应肉质新鲜，具有动物检验检疫合格证明；冷冻食材要求冻实而坚硬,无化冻现象，无过度包裹冰衣的情况；鲜活水产要求鲜活。</w:t>
      </w:r>
    </w:p>
    <w:p w14:paraId="2F39A221">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5．</w:t>
      </w:r>
      <w:r>
        <w:rPr>
          <w:rFonts w:hint="eastAsia" w:ascii="宋体" w:hAnsi="宋体" w:eastAsia="宋体" w:cs="宋体"/>
          <w:bCs/>
          <w:sz w:val="21"/>
          <w:szCs w:val="21"/>
        </w:rPr>
        <w:t>预包装食品的包装整洁、完好，无破损或胀气现象；标签内容完整、清晰，详细列明产品名称、净含量（规格）、生产日期、配料表、生产者的名称、地址、联系方式、保质期、产品标准代号、贮存条件、生产许可证编号等内容（具体符合GB7718的要求），原则上</w:t>
      </w:r>
      <w:r>
        <w:rPr>
          <w:rFonts w:hint="eastAsia" w:ascii="宋体" w:hAnsi="宋体" w:eastAsia="宋体" w:cs="宋体"/>
          <w:bCs/>
          <w:sz w:val="21"/>
          <w:szCs w:val="21"/>
          <w:lang w:eastAsia="zh-CN"/>
        </w:rPr>
        <w:t>学校</w:t>
      </w:r>
      <w:r>
        <w:rPr>
          <w:rFonts w:hint="eastAsia" w:ascii="宋体" w:hAnsi="宋体" w:eastAsia="宋体" w:cs="宋体"/>
          <w:bCs/>
          <w:sz w:val="21"/>
          <w:szCs w:val="21"/>
        </w:rPr>
        <w:t>需采购农副产品及预包装食品。</w:t>
      </w:r>
    </w:p>
    <w:p w14:paraId="7A996A8E">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6．</w:t>
      </w:r>
      <w:r>
        <w:rPr>
          <w:rFonts w:hint="eastAsia" w:ascii="宋体" w:hAnsi="宋体" w:eastAsia="宋体" w:cs="宋体"/>
          <w:bCs/>
          <w:sz w:val="21"/>
          <w:szCs w:val="21"/>
        </w:rPr>
        <w:t>非预包装食品及农产品的外包装（筐、箱、袋、盒等）整洁、牢固、标签清晰，无明显破损、发霉等现象；非预包装食品的包装应至少标注名称、生产/加工日期、保质期、供应商/生产者的名称等基本信息；未包装的农产品，应当采取附加标签、标识牌、标识带、说明书、合格证、电子秤标签等形式标明农产品的品名、生产地、生产者或者销售者名称等内容（具体符合《农产品包装和标识管理办法》的要求）。</w:t>
      </w:r>
    </w:p>
    <w:p w14:paraId="14CE3CEA">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7．</w:t>
      </w:r>
      <w:r>
        <w:rPr>
          <w:rFonts w:hint="eastAsia" w:ascii="宋体" w:hAnsi="宋体" w:eastAsia="宋体" w:cs="宋体"/>
          <w:bCs/>
          <w:sz w:val="21"/>
          <w:szCs w:val="21"/>
        </w:rPr>
        <w:t>预包装食品及加工食品应有生产者及供应商的《食品生产许可证》、《食品经营许可证》等有效资质证明文件；应具有半年内由第三方检测机构或质量监督部门出具的同款产品检测合格报告及本批次产品的出厂检验报告。</w:t>
      </w:r>
    </w:p>
    <w:p w14:paraId="2A200CE7">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8．</w:t>
      </w:r>
      <w:r>
        <w:rPr>
          <w:rFonts w:hint="eastAsia" w:ascii="宋体" w:hAnsi="宋体" w:eastAsia="宋体" w:cs="宋体"/>
          <w:bCs/>
          <w:sz w:val="21"/>
          <w:szCs w:val="21"/>
        </w:rPr>
        <w:t>属于无公害农产品、绿色食品、有机农产品、圳品的，应当标注相应的标志和附带有相关证明文件。</w:t>
      </w:r>
    </w:p>
    <w:p w14:paraId="302A8A58">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9．</w:t>
      </w:r>
      <w:r>
        <w:rPr>
          <w:rFonts w:hint="eastAsia" w:ascii="宋体" w:hAnsi="宋体" w:eastAsia="宋体" w:cs="宋体"/>
          <w:bCs/>
          <w:sz w:val="21"/>
          <w:szCs w:val="21"/>
        </w:rPr>
        <w:t>蔬菜类：新鲜嫩绿、无黄叶、无菜虫，必须通过农药残留成分测试，蔬菜不带根，不带泥，符合食品卫生要求。</w:t>
      </w:r>
    </w:p>
    <w:p w14:paraId="37607B1B">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10．</w:t>
      </w:r>
      <w:r>
        <w:rPr>
          <w:rFonts w:hint="eastAsia" w:ascii="宋体" w:hAnsi="宋体" w:eastAsia="宋体" w:cs="宋体"/>
          <w:bCs/>
          <w:sz w:val="21"/>
          <w:szCs w:val="21"/>
        </w:rPr>
        <w:t>鲜肉类：必须是放心肉，有动物检疫及屠宰证明，肉质新鲜，不打水，无病毒，符合食品卫生要求。</w:t>
      </w:r>
    </w:p>
    <w:p w14:paraId="1D2B1D0B">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11．</w:t>
      </w:r>
      <w:r>
        <w:rPr>
          <w:rFonts w:hint="eastAsia" w:ascii="宋体" w:hAnsi="宋体" w:eastAsia="宋体" w:cs="宋体"/>
          <w:bCs/>
          <w:sz w:val="21"/>
          <w:szCs w:val="21"/>
        </w:rPr>
        <w:t>鲜鱼类：必须生猛鲜活，须杀好鱼、鱼麟刮除去除内脏、鱼鳃，去除腹内黑膜，肉质新鲜，无病毒，不含有害物质。</w:t>
      </w:r>
    </w:p>
    <w:p w14:paraId="582E621E">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12．</w:t>
      </w:r>
      <w:r>
        <w:rPr>
          <w:rFonts w:hint="eastAsia" w:ascii="宋体" w:hAnsi="宋体" w:eastAsia="宋体" w:cs="宋体"/>
          <w:bCs/>
          <w:sz w:val="21"/>
          <w:szCs w:val="21"/>
        </w:rPr>
        <w:t>家禽类：有动物检疫证明，表皮光滑，新鲜肥美，无内脏，不打水，无病毒，符合食品卫生要求。</w:t>
      </w:r>
    </w:p>
    <w:p w14:paraId="037C4EE9">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13．</w:t>
      </w:r>
      <w:r>
        <w:rPr>
          <w:rFonts w:hint="eastAsia" w:ascii="宋体" w:hAnsi="宋体" w:eastAsia="宋体" w:cs="宋体"/>
          <w:bCs/>
          <w:sz w:val="21"/>
          <w:szCs w:val="21"/>
        </w:rPr>
        <w:t>蛋类：</w:t>
      </w:r>
      <w:r>
        <w:rPr>
          <w:rFonts w:hint="eastAsia" w:ascii="宋体" w:hAnsi="宋体" w:eastAsia="宋体" w:cs="宋体"/>
          <w:bCs/>
          <w:kern w:val="2"/>
          <w:sz w:val="21"/>
          <w:szCs w:val="21"/>
        </w:rPr>
        <w:t>确保其新鲜度，无腐败变质迹象，无异味，且不含有氟虫腈、金霉素、四环素、恩诺沙星、苏丹红I、苏丹红II、苏丹红III、呋喃妥因代谢物、呋喃西林代谢物、己烯雌酚等残留物。</w:t>
      </w:r>
    </w:p>
    <w:p w14:paraId="38C586DA">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14．</w:t>
      </w:r>
      <w:r>
        <w:rPr>
          <w:rFonts w:hint="eastAsia" w:ascii="宋体" w:hAnsi="宋体" w:eastAsia="宋体" w:cs="宋体"/>
          <w:bCs/>
          <w:sz w:val="21"/>
          <w:szCs w:val="21"/>
        </w:rPr>
        <w:t>冻品类：需有出厂日期、保质期、品质优良、包装完好、无异味、无病毒。</w:t>
      </w:r>
    </w:p>
    <w:p w14:paraId="2AA805D3">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15．</w:t>
      </w:r>
      <w:r>
        <w:rPr>
          <w:rFonts w:hint="eastAsia" w:ascii="宋体" w:hAnsi="宋体" w:eastAsia="宋体" w:cs="宋体"/>
          <w:bCs/>
          <w:sz w:val="21"/>
          <w:szCs w:val="21"/>
        </w:rPr>
        <w:t>调味品类：正规厂家或其代理商，有商标牌号，注明生产日期、产地、保质期、包装规格、有QS标志。</w:t>
      </w:r>
    </w:p>
    <w:p w14:paraId="4F3AB1FB">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16．</w:t>
      </w:r>
      <w:r>
        <w:rPr>
          <w:rFonts w:hint="eastAsia" w:ascii="宋体" w:hAnsi="宋体" w:eastAsia="宋体" w:cs="宋体"/>
          <w:bCs/>
          <w:sz w:val="21"/>
          <w:szCs w:val="21"/>
        </w:rPr>
        <w:t>豆制品类：绿色食品厂。</w:t>
      </w:r>
    </w:p>
    <w:p w14:paraId="140B8002">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17．</w:t>
      </w:r>
      <w:r>
        <w:rPr>
          <w:rFonts w:hint="eastAsia" w:ascii="宋体" w:hAnsi="宋体" w:eastAsia="宋体" w:cs="宋体"/>
          <w:bCs/>
          <w:sz w:val="21"/>
          <w:szCs w:val="21"/>
        </w:rPr>
        <w:t>卤货类：色香味美，无异味、腹肉干水、全面烧熟、无病毒、符合卫生要求。</w:t>
      </w:r>
    </w:p>
    <w:p w14:paraId="12208982">
      <w:pPr>
        <w:numPr>
          <w:ilvl w:val="0"/>
          <w:numId w:val="0"/>
        </w:numPr>
        <w:spacing w:line="360" w:lineRule="auto"/>
        <w:ind w:left="0" w:leftChars="0" w:firstLine="400" w:firstLineChars="0"/>
        <w:rPr>
          <w:rFonts w:hint="eastAsia" w:ascii="宋体" w:hAnsi="宋体" w:eastAsia="宋体" w:cs="宋体"/>
          <w:bCs/>
          <w:sz w:val="21"/>
          <w:szCs w:val="21"/>
        </w:rPr>
      </w:pPr>
      <w:r>
        <w:rPr>
          <w:rFonts w:hint="eastAsia" w:ascii="宋体" w:hAnsi="宋体" w:eastAsia="宋体" w:cs="宋体"/>
          <w:bCs/>
          <w:kern w:val="2"/>
          <w:sz w:val="21"/>
          <w:szCs w:val="21"/>
          <w:lang w:eastAsia="zh-CN"/>
        </w:rPr>
        <w:t>18．</w:t>
      </w:r>
      <w:r>
        <w:rPr>
          <w:rFonts w:hint="eastAsia" w:ascii="宋体" w:hAnsi="宋体" w:eastAsia="宋体" w:cs="宋体"/>
          <w:bCs/>
          <w:sz w:val="21"/>
          <w:szCs w:val="21"/>
        </w:rPr>
        <w:t>水果类：个头均匀，无斑点，无破损，果实成熟，味道纯正。按指定品牌及合理报价及收货。</w:t>
      </w:r>
    </w:p>
    <w:p w14:paraId="31E42660">
      <w:pPr>
        <w:numPr>
          <w:ilvl w:val="0"/>
          <w:numId w:val="0"/>
        </w:numPr>
        <w:spacing w:line="360" w:lineRule="auto"/>
        <w:ind w:left="0" w:leftChars="0" w:firstLine="420" w:firstLineChars="0"/>
        <w:outlineLvl w:val="2"/>
        <w:rPr>
          <w:rFonts w:hint="eastAsia" w:ascii="宋体" w:hAnsi="宋体" w:eastAsia="宋体" w:cs="宋体"/>
          <w:b/>
          <w:sz w:val="21"/>
          <w:szCs w:val="21"/>
          <w:lang w:eastAsia="zh-CN"/>
        </w:rPr>
      </w:pPr>
      <w:r>
        <w:rPr>
          <w:rFonts w:hint="eastAsia" w:ascii="宋体" w:hAnsi="宋体" w:eastAsia="宋体" w:cs="宋体"/>
          <w:b/>
          <w:kern w:val="2"/>
          <w:sz w:val="21"/>
          <w:szCs w:val="21"/>
          <w:lang w:eastAsia="zh-CN"/>
        </w:rPr>
        <w:t>（四）</w:t>
      </w:r>
      <w:r>
        <w:rPr>
          <w:rFonts w:hint="eastAsia" w:ascii="宋体" w:hAnsi="宋体" w:eastAsia="宋体" w:cs="宋体"/>
          <w:b/>
          <w:sz w:val="21"/>
          <w:szCs w:val="21"/>
          <w:lang w:eastAsia="zh-CN"/>
        </w:rPr>
        <w:t>服务质量要求</w:t>
      </w:r>
    </w:p>
    <w:p w14:paraId="3AFD89AE">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1、质量要求：配送食品经过第三方职能部门检验并有检测报告，安全可靠，从来未出现配送食品安全事故，并出具相关承诺书。</w:t>
      </w:r>
    </w:p>
    <w:p w14:paraId="65E8D27D">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2、试供期：采购方选定供货方并签订合同后正式进入试供期。试供期为</w:t>
      </w:r>
      <w:r>
        <w:rPr>
          <w:rFonts w:hint="eastAsia" w:ascii="宋体" w:hAnsi="宋体" w:eastAsia="宋体" w:cs="宋体"/>
          <w:sz w:val="21"/>
          <w:szCs w:val="21"/>
          <w:u w:val="single"/>
        </w:rPr>
        <w:t xml:space="preserve"> 3 </w:t>
      </w:r>
      <w:r>
        <w:rPr>
          <w:rFonts w:hint="eastAsia" w:ascii="宋体" w:hAnsi="宋体" w:eastAsia="宋体" w:cs="宋体"/>
          <w:sz w:val="21"/>
          <w:szCs w:val="21"/>
        </w:rPr>
        <w:t>个月，主要考察供货方的货物质量、服务、信誉等方面。试供期满且经采购方综合考察认为合格的，合同继续执行；若试供期间出现质量、服务等难以满足采购人采购需求磨合等问题的，采购人可与其解除合同，并按照招标结果依次顺延其他候选供应商。</w:t>
      </w:r>
    </w:p>
    <w:p w14:paraId="7D192AC3">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3、所供食品的质量要求：所供食品均符合《国家食品卫生标准》、《食品卫生法》和《动物检疫法》等相关规定，保证卫生安全，应当无毒、无害，具有相应的色、香、味等感官性状；</w:t>
      </w:r>
    </w:p>
    <w:p w14:paraId="0359D3D4">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蔬菜水果均为除外包装后（如:泡沫箱装、纸箱装等），经过粗加工，如剔除烂叶，黄叶，部分削皮等，大小均匀、长短匀称、品相品质较好的品种，每日所配送蔬菜必须具有农残检测报告。</w:t>
      </w:r>
    </w:p>
    <w:p w14:paraId="1E5FAC5B">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冻品表面无污渍血丝、无残毛、残骨和伤痕，无异味，品质品相较好的品种，必须附有同批次检验合格证，产品包装外观完整而且标注信息（生产厂家、生产日期、保质期等）清晰完整。</w:t>
      </w:r>
    </w:p>
    <w:p w14:paraId="1367351D">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干货类，含所送鲜米粉、河粉为送货当日出厂，生产厂家提供检验报告；豆制品须提供“市级或以上大豆制品商会豆制品供货单”，豆制品表面完整无残缺，大小均匀。包装好的产品，应在保质期范围内，并保持较好的外观和等级；</w:t>
      </w:r>
    </w:p>
    <w:p w14:paraId="53BEDE11">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鲜肉类全部来源于国家认可的正规肉厂，为当日新鲜商品，并经政府相关检验合格；</w:t>
      </w:r>
    </w:p>
    <w:p w14:paraId="3568051A">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海鲜、河鲜产品必须鲜活；所送鱼类均为鳞片完整有粘液，眼睛饱满、明亮，游动灵活，大小均匀品相较好的品种，送到采购方指定地点后负责宰杀；虾、蟹等其它水产品须鲜活，来源于正规水产市场。</w:t>
      </w:r>
    </w:p>
    <w:p w14:paraId="56F88967">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粮油、副食、调料等由正规厂供货，相关证件齐全，必需为非转基因产品；</w:t>
      </w:r>
    </w:p>
    <w:p w14:paraId="40032036">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禽蛋类须是无公害禽蛋，并提供相关证明；</w:t>
      </w:r>
    </w:p>
    <w:p w14:paraId="70974B84">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干杂类须是正规厂家并具有合格证书且无任何添加剂的优质产品；</w:t>
      </w:r>
    </w:p>
    <w:p w14:paraId="4A7755FB">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奶制品质量符合《中华人民共和国食品安全法》《乳品安全国家标准》等国家、行业标准要求。供应的低温系列奶品的生产日期必须为饮用前一天，常温奶必须保证生产日期为1个月以内，否则甲方有权拒收。</w:t>
      </w:r>
    </w:p>
    <w:p w14:paraId="1A21A328">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配送的蔬菜肉类需具有追踪溯源体系，并可追踪溯源；</w:t>
      </w:r>
    </w:p>
    <w:p w14:paraId="51B5C10A">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严禁配送假冒、变质、过期的产品，不得弄虚作假或以次充好，对于不符合质量的品种采购方（采购单位）有权要求退货或换货。</w:t>
      </w:r>
    </w:p>
    <w:p w14:paraId="2F870E4D">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因供应的货物质量达不到国家有关食品安全标准而造成食物中毒或其它后果，经公安机关或卫生防疫部门鉴定属于供货方（配送单位）责任的，其产生的一切法律和经济责任全部由供货方承担。</w:t>
      </w:r>
    </w:p>
    <w:p w14:paraId="6E78A15B">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数量及验收要求：供货方应保证所供货物品种和数量、重量的准确性，采购方和供货方应分别建立采购和供应台账，确定专人（不少于两人）负责验收和送货，以采购方的验货数量为准，供货方每次随货送上一式两份的送货清单，供采购方验货后签字确认，双方各持一份，作为送、收货的凭证。对于出现质量、数量不符合要求等现象，采购方有权要求供货方及时退换，并按合同约定作出相应罚款处罚，供货方必须无条件退换，并保证</w:t>
      </w:r>
      <w:r>
        <w:rPr>
          <w:rFonts w:hint="eastAsia" w:ascii="宋体" w:hAnsi="宋体" w:eastAsia="宋体" w:cs="宋体"/>
          <w:sz w:val="21"/>
          <w:szCs w:val="21"/>
          <w:lang w:eastAsia="zh-CN"/>
        </w:rPr>
        <w:t>学校</w:t>
      </w:r>
      <w:r>
        <w:rPr>
          <w:rFonts w:hint="eastAsia" w:ascii="宋体" w:hAnsi="宋体" w:eastAsia="宋体" w:cs="宋体"/>
          <w:sz w:val="21"/>
          <w:szCs w:val="21"/>
        </w:rPr>
        <w:t>正常就餐。</w:t>
      </w:r>
    </w:p>
    <w:p w14:paraId="5D3155BA">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送货时间要求：根据采购方实际需要协商确定具体的送货时间。采购方应提前（在具体合同中约定）向供货方以传真或电子文件等方式提交购货计划，并说明购货品种、数量及其他需要说明的事项。供货方在接到购货订单通知后，应按采购方订购单的要求送货。极个别产品因质量太差或没有货源时应及时反馈到采购方并协商调整，保证所需货物准时到达。如若迟到，须承担相关违约责任，由双方签订具体送货合同时约定处罚条款。 </w:t>
      </w:r>
    </w:p>
    <w:p w14:paraId="39F1DA12">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6、临时加货处理：对于采购方临时有客餐任务或临时增加学生用餐时，供货方需在接到采 购方口头或书面通知</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小时内将货物送到采购方的指定地点，派专人负责跟踪服务，保证用餐 正常。</w:t>
      </w:r>
    </w:p>
    <w:p w14:paraId="36CBBF00">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7、在供货过程中，采购方对所供货物有任何意见，可随时向供货方反映，供货方应及时改 进，否则，采购方有权中断与供货方的合作，一方终止合同须提前十五天通知对方。</w:t>
      </w:r>
    </w:p>
    <w:p w14:paraId="5C3F0883">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8、因配送运输中出现人身安全事故，供货方独立承担一切刑事、民事责任，与采购方无关。</w:t>
      </w:r>
    </w:p>
    <w:p w14:paraId="3C5B68DB">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9、供货方应随时按采购方要求提供各类货物清晰准确的原产地以及检测报告。 </w:t>
      </w:r>
    </w:p>
    <w:p w14:paraId="648BC4FD">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10、供货方应该按照采购方的要求，建立完整的各类物品追踪溯源体系，应当建立专门台 账，按深圳市《食品进货索证和台账登记本》模板，按格式如实记录配送给采购方的各类物品， 留存相关检验合格证明、资质证明、营业执照等有效资料，并可追踪溯源，采购方有权定期检查。 </w:t>
      </w:r>
    </w:p>
    <w:p w14:paraId="7B3489A8">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11、采购方有权对供货方配送的各类物品自行或者委托第三方检测机构进行检测，按国家 有关标准，若检测不合格，采购方予以书面警告，并对该批货物予以没收销毁，不必退还供货方，防止二次流通至社会市场；书面警告后再出现同样情况，视情况严重性，采购方有权扣除供货方当天总货款的 10％或直接单方解除服务合同，并不用对供货方做任何赔偿。 </w:t>
      </w:r>
    </w:p>
    <w:p w14:paraId="2CC98442">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12、供货方所有员工凭健康证上岗，同时应成立食堂配送项目专项服务小组，负责相关工作及提供相关服务。 </w:t>
      </w:r>
    </w:p>
    <w:p w14:paraId="11548951">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13、投标方须为所有选派到本项目的工作人员办理工伤社保等保险、签订劳动合同。 </w:t>
      </w:r>
    </w:p>
    <w:p w14:paraId="057B0222">
      <w:pPr>
        <w:numPr>
          <w:ilvl w:val="0"/>
          <w:numId w:val="0"/>
        </w:numPr>
        <w:spacing w:line="360" w:lineRule="auto"/>
        <w:ind w:left="0" w:leftChars="0" w:firstLine="420" w:firstLineChars="0"/>
        <w:outlineLvl w:val="2"/>
        <w:rPr>
          <w:rFonts w:hint="eastAsia" w:ascii="宋体" w:hAnsi="宋体" w:eastAsia="宋体" w:cs="宋体"/>
          <w:b/>
          <w:sz w:val="21"/>
          <w:szCs w:val="21"/>
        </w:rPr>
      </w:pPr>
      <w:r>
        <w:rPr>
          <w:rFonts w:hint="eastAsia" w:ascii="宋体" w:hAnsi="宋体" w:eastAsia="宋体" w:cs="宋体"/>
          <w:b/>
          <w:kern w:val="2"/>
          <w:sz w:val="21"/>
          <w:szCs w:val="21"/>
          <w:lang w:eastAsia="zh-CN"/>
        </w:rPr>
        <w:t>（五）</w:t>
      </w:r>
      <w:r>
        <w:rPr>
          <w:rFonts w:hint="eastAsia" w:ascii="宋体" w:hAnsi="宋体" w:eastAsia="宋体" w:cs="宋体"/>
          <w:b/>
          <w:sz w:val="21"/>
          <w:szCs w:val="21"/>
        </w:rPr>
        <w:t>项目验收技术要求</w:t>
      </w:r>
    </w:p>
    <w:p w14:paraId="2F021632">
      <w:pPr>
        <w:spacing w:line="360" w:lineRule="auto"/>
        <w:rPr>
          <w:rFonts w:hint="eastAsia" w:ascii="宋体" w:hAnsi="宋体" w:eastAsia="宋体" w:cs="宋体"/>
          <w:bCs/>
          <w:sz w:val="21"/>
          <w:szCs w:val="21"/>
        </w:rPr>
      </w:pPr>
      <w:r>
        <w:rPr>
          <w:rFonts w:hint="eastAsia" w:ascii="宋体" w:hAnsi="宋体" w:eastAsia="宋体" w:cs="宋体"/>
          <w:bCs/>
          <w:sz w:val="21"/>
          <w:szCs w:val="21"/>
        </w:rPr>
        <w:t>1.成品粮（大米、小麦粉或面粉）的食品安全指标应符合GB 2715（或最新标准）的规定。其中：大米的质量指标符合食品安全国家标准（GB 2715、GB2762、GB2763等）及产品标签明示执行标准的要求。除此之外，还应符合GB/T 1354普通大米二级（含）或优质大米二级（含）以上的要求，应提供含重金属指标（镉、铅）的产品检验合格证明；小麦粉（面粉）的质量指标符合食品安全国家标准（GB 2761、GB 2762等）及产品标签明示执行标准的要求，其中通用小麦粉质量等级应达到或超过国家标准GB/T 1355中质量等级为“特制二等”的要求（2023年1月1日起生产的小麦粉应达到GB/T 1355-2021“标准粉”及以上的要求）。</w:t>
      </w:r>
    </w:p>
    <w:p w14:paraId="1A933518">
      <w:pPr>
        <w:spacing w:line="360" w:lineRule="auto"/>
        <w:rPr>
          <w:rFonts w:hint="eastAsia" w:ascii="宋体" w:hAnsi="宋体" w:eastAsia="宋体" w:cs="宋体"/>
          <w:bCs/>
          <w:sz w:val="21"/>
          <w:szCs w:val="21"/>
        </w:rPr>
      </w:pPr>
      <w:r>
        <w:rPr>
          <w:rFonts w:hint="eastAsia" w:ascii="宋体" w:hAnsi="宋体" w:eastAsia="宋体" w:cs="宋体"/>
          <w:bCs/>
          <w:sz w:val="21"/>
          <w:szCs w:val="21"/>
        </w:rPr>
        <w:t>2.成品食用油应为预包装食用植物油；食用油的食品安全指标应符合GB 2716、GB 2761和GB 2762的规定。其中：大豆油应按GB/T 1535的要求选择一级或二级的大豆油；玉米油的质量指标不低于GB/T 19111的二级成品玉米油的技术要求；菜籽油的质量指标不低于GB/T 1536的二级压榨成品菜籽油的技术要求；花生油的质量指标不低于GB/T 1534的二级压榨成品花生油或二级浸出成品花生油的技术要求；米糠油质量不低于GB/T 19112二级的要求；调和油标签或附带说明书应明确列出调和油的原料或配比。</w:t>
      </w:r>
    </w:p>
    <w:p w14:paraId="5124E371">
      <w:pPr>
        <w:spacing w:line="360" w:lineRule="auto"/>
        <w:rPr>
          <w:rFonts w:hint="eastAsia" w:ascii="宋体" w:hAnsi="宋体" w:eastAsia="宋体" w:cs="宋体"/>
          <w:bCs/>
          <w:sz w:val="21"/>
          <w:szCs w:val="21"/>
        </w:rPr>
      </w:pPr>
      <w:r>
        <w:rPr>
          <w:rFonts w:hint="eastAsia" w:ascii="宋体" w:hAnsi="宋体" w:eastAsia="宋体" w:cs="宋体"/>
          <w:bCs/>
          <w:sz w:val="21"/>
          <w:szCs w:val="21"/>
        </w:rPr>
        <w:t>3.乳制品以生牛乳为主要原料加工，不得使用、不得添加复原乳及营养强化剂，符合食品安全国家标准及产品标签明示执行标准的要求：乳制品（仅限发酵乳、巴氏杀菌乳、灭菌乳、调制乳）的食品安全指标应分别符合GB19302、GB19645、GB25190、GB25191（或最新标准）的规定。学生饮用奶、纯牛奶、灭菌调制奶的食品安全指标应分别符合T/DAC004、T/DAC005（或最新标准）的规定。</w:t>
      </w:r>
    </w:p>
    <w:p w14:paraId="63131955">
      <w:pPr>
        <w:spacing w:line="360" w:lineRule="auto"/>
        <w:rPr>
          <w:rFonts w:hint="eastAsia" w:ascii="宋体" w:hAnsi="宋体" w:eastAsia="宋体" w:cs="宋体"/>
          <w:bCs/>
          <w:sz w:val="21"/>
          <w:szCs w:val="21"/>
        </w:rPr>
      </w:pPr>
      <w:r>
        <w:rPr>
          <w:rFonts w:hint="eastAsia" w:ascii="宋体" w:hAnsi="宋体" w:eastAsia="宋体" w:cs="宋体"/>
          <w:bCs/>
          <w:sz w:val="21"/>
          <w:szCs w:val="21"/>
        </w:rPr>
        <w:t>4、鲜蛋的食品安全指标应符合食品安全国家标准（GB 31650、GB 2762、GB 2749）（或最新标准）的规定。产品介绍内容清晰，明确标注产品的品名、商标、生产日期、保质期、产地、储存条件等相关信息，并与合同文件及供（送）货单内容一致；包装应采用符合国家卫生标准要求的包装材料。</w:t>
      </w:r>
    </w:p>
    <w:p w14:paraId="36EFC9E4">
      <w:pPr>
        <w:spacing w:line="360" w:lineRule="auto"/>
        <w:rPr>
          <w:rFonts w:hint="eastAsia" w:ascii="宋体" w:hAnsi="宋体" w:eastAsia="宋体" w:cs="宋体"/>
          <w:bCs/>
          <w:sz w:val="21"/>
          <w:szCs w:val="21"/>
        </w:rPr>
      </w:pPr>
      <w:r>
        <w:rPr>
          <w:rFonts w:hint="eastAsia" w:ascii="宋体" w:hAnsi="宋体" w:eastAsia="宋体" w:cs="宋体"/>
          <w:bCs/>
          <w:sz w:val="21"/>
          <w:szCs w:val="21"/>
        </w:rPr>
        <w:t>5、生鲜肉的食品安全指标应符合GB 2707、GB 16869（或最新标准）的规定。国家有定点屠宰、检验检疫要求的品种，应来自于定点屠宰厂出品、有国家规定的动物产品检疫合格证明及验讫印章（猪肉还需有肉品品质检验合格证明及验讫印章）。其中：猪肉的质量指标应符合GB2707、GB/T 9959.1、GB/T9959.2（或最新标准）的相应技术要求；牛肉的质量指标应符合GB2707、GB/T 17238（或最新标准）的相应技术要求；羊肉的质量指标应符合GB2707、GB/T 9961（或最新标准）的相应技术要求。</w:t>
      </w:r>
    </w:p>
    <w:p w14:paraId="7664EF08">
      <w:pPr>
        <w:spacing w:line="360" w:lineRule="auto"/>
        <w:rPr>
          <w:rFonts w:hint="eastAsia" w:ascii="宋体" w:hAnsi="宋体" w:eastAsia="宋体" w:cs="宋体"/>
          <w:bCs/>
          <w:sz w:val="21"/>
          <w:szCs w:val="21"/>
        </w:rPr>
      </w:pPr>
      <w:r>
        <w:rPr>
          <w:rFonts w:hint="eastAsia" w:ascii="宋体" w:hAnsi="宋体" w:eastAsia="宋体" w:cs="宋体"/>
          <w:bCs/>
          <w:sz w:val="21"/>
          <w:szCs w:val="21"/>
        </w:rPr>
        <w:t>6.其他类：调味品应为预包装产品，符合产品明示执行标准、明示指标及食品安全国家标准的要求，随货有该批次产品质量检测合格证、包装完好无损、标签内容清晰明确。其中：食盐的质量指标应符合GB 2721的要求；酱油的质量指标应符合GB 2717的要求，质量指标不低于GB/T 18186的二级酱油技术要求，特征指标（氨基酸态氮）≥0.7g/100 mL；食醋的质量指标应符合GB 2719的要求，特征指标（总酸）≥3.5g/100mL；香辛料符合该产品应有的形态和特征，颜色、气味正常，无杂物，无发霉、结块等异常状况。</w:t>
      </w:r>
    </w:p>
    <w:p w14:paraId="6069DFA9">
      <w:pPr>
        <w:spacing w:line="360" w:lineRule="auto"/>
        <w:rPr>
          <w:rFonts w:hint="eastAsia" w:ascii="宋体" w:hAnsi="宋体" w:eastAsia="宋体" w:cs="宋体"/>
          <w:bCs/>
          <w:sz w:val="21"/>
          <w:szCs w:val="21"/>
        </w:rPr>
      </w:pPr>
      <w:r>
        <w:rPr>
          <w:rFonts w:hint="eastAsia" w:ascii="宋体" w:hAnsi="宋体" w:eastAsia="宋体" w:cs="宋体"/>
          <w:bCs/>
          <w:sz w:val="21"/>
          <w:szCs w:val="21"/>
        </w:rPr>
        <w:t>7.《深圳市学校（幼儿园）食堂食材采购验收参考标准》（详见附件）规定的其他条件。</w:t>
      </w:r>
    </w:p>
    <w:p w14:paraId="4DD5418B">
      <w:pPr>
        <w:spacing w:line="360" w:lineRule="auto"/>
        <w:rPr>
          <w:rFonts w:hint="eastAsia" w:ascii="宋体" w:hAnsi="宋体" w:eastAsia="宋体" w:cs="宋体"/>
          <w:bCs/>
          <w:sz w:val="21"/>
          <w:szCs w:val="21"/>
        </w:rPr>
      </w:pPr>
      <w:r>
        <w:rPr>
          <w:rFonts w:hint="eastAsia" w:ascii="宋体" w:hAnsi="宋体" w:eastAsia="宋体" w:cs="宋体"/>
          <w:bCs/>
          <w:sz w:val="21"/>
          <w:szCs w:val="21"/>
        </w:rPr>
        <w:t>8.以上所有产品必须符合国家的相关标准与要求，在配送时按要求提供产品所涉及的《全国工业产品生产许可证》、《食品生产许可证》、《食品经营许可证》、《生猪定点屠宰证》和《动物防疫条件合格证》等国家强制规定材料，不得提供转基因食品或利用转基因食品原料加工的成品，国家有出台新的更高标准的，以新的更高标准为准，预包装类食材销售投标人需在市场监管部门备案。</w:t>
      </w:r>
    </w:p>
    <w:p w14:paraId="58819A3A">
      <w:pPr>
        <w:numPr>
          <w:ilvl w:val="0"/>
          <w:numId w:val="0"/>
        </w:numPr>
        <w:spacing w:line="360" w:lineRule="auto"/>
        <w:ind w:left="0" w:leftChars="0" w:firstLine="420" w:firstLineChars="0"/>
        <w:outlineLvl w:val="2"/>
        <w:rPr>
          <w:rFonts w:hint="eastAsia" w:ascii="宋体" w:hAnsi="宋体" w:eastAsia="宋体" w:cs="宋体"/>
          <w:b/>
          <w:sz w:val="21"/>
          <w:szCs w:val="21"/>
          <w:lang w:eastAsia="zh-CN"/>
        </w:rPr>
      </w:pPr>
      <w:r>
        <w:rPr>
          <w:rFonts w:hint="eastAsia" w:ascii="宋体" w:hAnsi="宋体" w:eastAsia="宋体" w:cs="宋体"/>
          <w:b/>
          <w:kern w:val="2"/>
          <w:sz w:val="21"/>
          <w:szCs w:val="21"/>
          <w:lang w:eastAsia="zh-CN"/>
        </w:rPr>
        <w:t>（六）</w:t>
      </w:r>
      <w:r>
        <w:rPr>
          <w:rFonts w:hint="eastAsia" w:ascii="宋体" w:hAnsi="宋体" w:eastAsia="宋体" w:cs="宋体"/>
          <w:b/>
          <w:sz w:val="21"/>
          <w:szCs w:val="21"/>
          <w:lang w:eastAsia="zh-CN"/>
        </w:rPr>
        <w:t xml:space="preserve">违约处置事项 </w:t>
      </w:r>
    </w:p>
    <w:p w14:paraId="4B04F255">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1、试供期：采购方选定供货方并签订合同后正式进入试供期。试供期为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个月，主要考察供货方的货物质量、服务、信誉等方面。试供期满且经采购方综合考察认为合格的，合同继续 执行；若试供期间出现质量、服务等难以满足采购人采购需求磨合等问题的，采购人可与其解 除合同，并按照招标结果依次顺延其他候选供应商。</w:t>
      </w:r>
    </w:p>
    <w:p w14:paraId="31012709">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2、严禁配送假冒、变质、过期的产品，不得弄虚作假或以次充好，对于不符合质量的品种采购方（采购单位）有权要求退货或换货。</w:t>
      </w:r>
    </w:p>
    <w:p w14:paraId="72E4CD3E">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3、因供应的货物质量达不到国家有关食品安全标准而造成食物中毒或其它后果，经公安机关或卫生防疫部门鉴定属于供货方（配送单位）责任的，其产生的一切法律和经济责任全部由供货方承担。</w:t>
      </w:r>
    </w:p>
    <w:p w14:paraId="087AC6E3">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4、对于出现所供货物质量、数量不符合要求等现象，采购方有权要求供货方及时退换，并按合同约定作出相应罚款处罚，供货方必须无条件退换，并保证员工正常就餐。</w:t>
      </w:r>
    </w:p>
    <w:p w14:paraId="13035917">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5、极个别产品因质量太差或没有货源时应及时反馈到采购方并协商调整，保证所需货物准时到达。如若迟到，须承担相关违约责任，由双方签订具体送货合同时约定处罚条款。</w:t>
      </w:r>
    </w:p>
    <w:p w14:paraId="40613CFB">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采购方有权对供货方配送的各类物品自行或者委托第三方检测机构进行检测，按国家有关标准，若检测不合格，采购方予以书面警告，并对该批货物予以没收销毁，不必退还供货方，防止二次流通至社会市场；书面警告后再出现同样情况，视情况严重性，采购方有权扣除供货方当天总货款的10％或直接单方解除服务合同，并不用对供货方做任何赔偿。</w:t>
      </w:r>
    </w:p>
    <w:p w14:paraId="06794688">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lang w:val="zh-TW"/>
        </w:rPr>
      </w:pPr>
      <w:r>
        <w:rPr>
          <w:rFonts w:hint="eastAsia" w:ascii="宋体" w:hAnsi="宋体" w:eastAsia="宋体" w:cs="宋体"/>
          <w:sz w:val="21"/>
          <w:szCs w:val="21"/>
          <w:lang w:eastAsia="zh-CN"/>
        </w:rPr>
        <w:t>7</w:t>
      </w:r>
      <w:r>
        <w:rPr>
          <w:rFonts w:hint="eastAsia" w:ascii="宋体" w:hAnsi="宋体" w:eastAsia="宋体" w:cs="宋体"/>
          <w:sz w:val="21"/>
          <w:szCs w:val="21"/>
        </w:rPr>
        <w:t>、</w:t>
      </w:r>
      <w:r>
        <w:rPr>
          <w:rFonts w:hint="eastAsia" w:ascii="宋体" w:hAnsi="宋体" w:eastAsia="宋体" w:cs="宋体"/>
          <w:sz w:val="21"/>
          <w:szCs w:val="21"/>
          <w:lang w:val="zh-TW"/>
        </w:rPr>
        <w:t>本次招标结果仅代表中标供应商可获得的最高采购份额，采购单位无法预计实际采购量及落实政府政策等不可抗因素，同时无法保证中标供应商可以获得全部份额。</w:t>
      </w:r>
    </w:p>
    <w:p w14:paraId="496BC9B9">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lang w:val="zh-TW"/>
        </w:rPr>
      </w:pPr>
      <w:r>
        <w:rPr>
          <w:rFonts w:hint="eastAsia" w:ascii="宋体" w:hAnsi="宋体" w:eastAsia="宋体" w:cs="宋体"/>
          <w:sz w:val="21"/>
          <w:szCs w:val="21"/>
          <w:lang w:eastAsia="zh-CN"/>
        </w:rPr>
        <w:t>8</w:t>
      </w:r>
      <w:r>
        <w:rPr>
          <w:rFonts w:hint="eastAsia" w:ascii="宋体" w:hAnsi="宋体" w:eastAsia="宋体" w:cs="宋体"/>
          <w:sz w:val="21"/>
          <w:szCs w:val="21"/>
        </w:rPr>
        <w:t>、</w:t>
      </w:r>
      <w:r>
        <w:rPr>
          <w:rFonts w:hint="eastAsia" w:ascii="宋体" w:hAnsi="宋体" w:eastAsia="宋体" w:cs="宋体"/>
          <w:sz w:val="21"/>
          <w:szCs w:val="21"/>
          <w:lang w:val="zh-TW"/>
        </w:rPr>
        <w:t>为确保项目质量，中标供应商不得转包、分包，否则采购</w:t>
      </w:r>
      <w:r>
        <w:rPr>
          <w:rFonts w:hint="eastAsia" w:ascii="宋体" w:hAnsi="宋体" w:eastAsia="宋体" w:cs="宋体"/>
          <w:sz w:val="21"/>
          <w:szCs w:val="21"/>
        </w:rPr>
        <w:t>人</w:t>
      </w:r>
      <w:r>
        <w:rPr>
          <w:rFonts w:hint="eastAsia" w:ascii="宋体" w:hAnsi="宋体" w:eastAsia="宋体" w:cs="宋体"/>
          <w:sz w:val="21"/>
          <w:szCs w:val="21"/>
          <w:lang w:val="zh-TW"/>
        </w:rPr>
        <w:t>有权</w:t>
      </w:r>
      <w:r>
        <w:rPr>
          <w:rFonts w:hint="eastAsia" w:ascii="宋体" w:hAnsi="宋体" w:eastAsia="宋体" w:cs="宋体"/>
          <w:sz w:val="21"/>
          <w:szCs w:val="21"/>
        </w:rPr>
        <w:t>终止其采购供应合同</w:t>
      </w:r>
      <w:r>
        <w:rPr>
          <w:rFonts w:hint="eastAsia" w:ascii="宋体" w:hAnsi="宋体" w:eastAsia="宋体" w:cs="宋体"/>
          <w:sz w:val="21"/>
          <w:szCs w:val="21"/>
          <w:lang w:val="zh-TW"/>
        </w:rPr>
        <w:t>，并要求中标供应商赔偿相应损失。</w:t>
      </w:r>
    </w:p>
    <w:p w14:paraId="5910E489">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9</w:t>
      </w:r>
      <w:r>
        <w:rPr>
          <w:rFonts w:hint="eastAsia" w:ascii="宋体" w:hAnsi="宋体" w:eastAsia="宋体" w:cs="宋体"/>
          <w:sz w:val="21"/>
          <w:szCs w:val="21"/>
        </w:rPr>
        <w:t>、</w:t>
      </w:r>
      <w:r>
        <w:rPr>
          <w:rFonts w:hint="eastAsia" w:ascii="宋体" w:hAnsi="宋体" w:eastAsia="宋体" w:cs="宋体"/>
          <w:sz w:val="21"/>
          <w:szCs w:val="21"/>
          <w:lang w:val="zh-TW" w:eastAsia="zh-TW"/>
        </w:rPr>
        <w:t>中标</w:t>
      </w:r>
      <w:r>
        <w:rPr>
          <w:rFonts w:hint="eastAsia" w:ascii="宋体" w:hAnsi="宋体" w:eastAsia="宋体" w:cs="宋体"/>
          <w:sz w:val="21"/>
          <w:szCs w:val="21"/>
        </w:rPr>
        <w:t>人</w:t>
      </w:r>
      <w:r>
        <w:rPr>
          <w:rFonts w:hint="eastAsia" w:ascii="宋体" w:hAnsi="宋体" w:eastAsia="宋体" w:cs="宋体"/>
          <w:sz w:val="21"/>
          <w:szCs w:val="21"/>
          <w:lang w:val="zh-TW" w:eastAsia="zh-TW"/>
        </w:rPr>
        <w:t>必须负责</w:t>
      </w:r>
      <w:r>
        <w:rPr>
          <w:rFonts w:hint="eastAsia" w:ascii="宋体" w:hAnsi="宋体" w:eastAsia="宋体" w:cs="宋体"/>
          <w:sz w:val="21"/>
          <w:szCs w:val="21"/>
          <w:lang w:val="zh-TW"/>
        </w:rPr>
        <w:t>所配送</w:t>
      </w:r>
      <w:r>
        <w:rPr>
          <w:rFonts w:hint="eastAsia" w:ascii="宋体" w:hAnsi="宋体" w:eastAsia="宋体" w:cs="宋体"/>
          <w:sz w:val="21"/>
          <w:szCs w:val="21"/>
          <w:lang w:val="zh-TW" w:eastAsia="zh-TW"/>
        </w:rPr>
        <w:t>货物的运输、质量检测等工作，所产生的费用由中标</w:t>
      </w:r>
      <w:r>
        <w:rPr>
          <w:rFonts w:hint="eastAsia" w:ascii="宋体" w:hAnsi="宋体" w:eastAsia="宋体" w:cs="宋体"/>
          <w:sz w:val="21"/>
          <w:szCs w:val="21"/>
        </w:rPr>
        <w:t>人</w:t>
      </w:r>
      <w:r>
        <w:rPr>
          <w:rFonts w:hint="eastAsia" w:ascii="宋体" w:hAnsi="宋体" w:eastAsia="宋体" w:cs="宋体"/>
          <w:sz w:val="21"/>
          <w:szCs w:val="21"/>
          <w:lang w:val="zh-TW" w:eastAsia="zh-TW"/>
        </w:rPr>
        <w:t>负责</w:t>
      </w:r>
      <w:r>
        <w:rPr>
          <w:rFonts w:hint="eastAsia" w:ascii="宋体" w:hAnsi="宋体" w:eastAsia="宋体" w:cs="宋体"/>
          <w:sz w:val="21"/>
          <w:szCs w:val="21"/>
          <w:lang w:val="zh-TW"/>
        </w:rPr>
        <w:t>。</w:t>
      </w:r>
    </w:p>
    <w:p w14:paraId="47530D37">
      <w:pPr>
        <w:keepNext/>
        <w:keepLines/>
        <w:numPr>
          <w:ilvl w:val="0"/>
          <w:numId w:val="6"/>
        </w:numPr>
        <w:spacing w:before="340" w:after="330" w:line="240" w:lineRule="auto"/>
        <w:ind w:left="0" w:leftChars="0" w:firstLine="420" w:firstLineChars="0"/>
        <w:outlineLvl w:val="0"/>
        <w:rPr>
          <w:rFonts w:hint="eastAsia" w:ascii="宋体" w:hAnsi="宋体" w:eastAsia="宋体" w:cs="宋体"/>
          <w:b/>
          <w:bCs/>
          <w:kern w:val="44"/>
          <w:sz w:val="21"/>
          <w:szCs w:val="21"/>
          <w:lang w:eastAsia="zh-CN"/>
        </w:rPr>
      </w:pPr>
      <w:r>
        <w:rPr>
          <w:rFonts w:hint="eastAsia" w:ascii="宋体" w:hAnsi="宋体" w:eastAsia="宋体" w:cs="宋体"/>
          <w:b/>
          <w:bCs/>
          <w:kern w:val="44"/>
          <w:sz w:val="21"/>
          <w:szCs w:val="21"/>
          <w:lang w:eastAsia="zh-CN"/>
        </w:rPr>
        <w:t>商务要求</w:t>
      </w:r>
    </w:p>
    <w:p w14:paraId="670F69EF">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（一）项目服务期限</w:t>
      </w:r>
    </w:p>
    <w:p w14:paraId="215648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本项目服务期限为自合同签订之日起一年，合同起始时间以合同签定时间为准。本项目为长期服务项目，最长为36个月，合同一年一签，如采购方、服务对象对履约情况不满意，则不再续约。</w:t>
      </w:r>
    </w:p>
    <w:p w14:paraId="55AFE961">
      <w:pPr>
        <w:numPr>
          <w:ilvl w:val="0"/>
          <w:numId w:val="0"/>
        </w:numPr>
        <w:spacing w:line="360" w:lineRule="auto"/>
        <w:ind w:left="0" w:firstLine="0"/>
        <w:outlineLvl w:val="1"/>
        <w:rPr>
          <w:rFonts w:hint="eastAsia" w:ascii="宋体" w:hAnsi="宋体" w:eastAsia="宋体" w:cs="宋体"/>
          <w:b/>
          <w:sz w:val="21"/>
          <w:szCs w:val="21"/>
        </w:rPr>
      </w:pPr>
      <w:r>
        <w:rPr>
          <w:rFonts w:hint="eastAsia" w:ascii="宋体" w:hAnsi="宋体" w:eastAsia="宋体" w:cs="宋体"/>
          <w:b/>
          <w:kern w:val="2"/>
          <w:sz w:val="21"/>
          <w:szCs w:val="21"/>
          <w:lang w:eastAsia="zh-CN"/>
        </w:rPr>
        <w:t>（二）</w:t>
      </w:r>
      <w:r>
        <w:rPr>
          <w:rFonts w:hint="eastAsia" w:ascii="宋体" w:hAnsi="宋体" w:eastAsia="宋体" w:cs="宋体"/>
          <w:b/>
          <w:sz w:val="21"/>
          <w:szCs w:val="21"/>
        </w:rPr>
        <w:t>付款期限和方式</w:t>
      </w:r>
    </w:p>
    <w:p w14:paraId="63E5C7D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1.货款每个月结算一次。供应商提供的货款发票，发票公章必须与公司名称相符，合同方、收款方、发票方三者必须一致，</w:t>
      </w:r>
      <w:r>
        <w:rPr>
          <w:rFonts w:hint="eastAsia" w:ascii="宋体" w:hAnsi="宋体" w:eastAsia="宋体" w:cs="宋体"/>
          <w:sz w:val="21"/>
          <w:szCs w:val="21"/>
          <w:lang w:eastAsia="zh-CN"/>
        </w:rPr>
        <w:t>学校</w:t>
      </w:r>
      <w:r>
        <w:rPr>
          <w:rFonts w:hint="eastAsia" w:ascii="宋体" w:hAnsi="宋体" w:eastAsia="宋体" w:cs="宋体"/>
          <w:sz w:val="21"/>
          <w:szCs w:val="21"/>
        </w:rPr>
        <w:t>确认后予以支付。因中标人原因或支付程序导致付款迟延的，采购人不承担任何责任，中标人应当继续履行完成任务。</w:t>
      </w:r>
    </w:p>
    <w:p w14:paraId="176896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2.具体付款方式由</w:t>
      </w:r>
      <w:r>
        <w:rPr>
          <w:rFonts w:hint="eastAsia" w:ascii="宋体" w:hAnsi="宋体" w:eastAsia="宋体" w:cs="宋体"/>
          <w:sz w:val="21"/>
          <w:szCs w:val="21"/>
          <w:lang w:eastAsia="zh-CN"/>
        </w:rPr>
        <w:t>学校</w:t>
      </w:r>
      <w:r>
        <w:rPr>
          <w:rFonts w:hint="eastAsia" w:ascii="宋体" w:hAnsi="宋体" w:eastAsia="宋体" w:cs="宋体"/>
          <w:sz w:val="21"/>
          <w:szCs w:val="21"/>
        </w:rPr>
        <w:t>签订配送协议时约定。</w:t>
      </w:r>
    </w:p>
    <w:p w14:paraId="0F9A8845">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三</w:t>
      </w:r>
      <w:r>
        <w:rPr>
          <w:rFonts w:hint="eastAsia" w:ascii="宋体" w:hAnsi="宋体" w:eastAsia="宋体" w:cs="宋体"/>
          <w:b/>
          <w:sz w:val="21"/>
          <w:szCs w:val="21"/>
        </w:rPr>
        <w:t>）下单配送及验收要求</w:t>
      </w:r>
    </w:p>
    <w:p w14:paraId="55A4EB7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1.中标人与</w:t>
      </w:r>
      <w:r>
        <w:rPr>
          <w:rFonts w:hint="eastAsia" w:ascii="宋体" w:hAnsi="宋体" w:eastAsia="宋体" w:cs="宋体"/>
          <w:sz w:val="21"/>
          <w:szCs w:val="21"/>
          <w:lang w:eastAsia="zh-CN"/>
        </w:rPr>
        <w:t>学校</w:t>
      </w:r>
      <w:r>
        <w:rPr>
          <w:rFonts w:hint="eastAsia" w:ascii="宋体" w:hAnsi="宋体" w:eastAsia="宋体" w:cs="宋体"/>
          <w:sz w:val="21"/>
          <w:szCs w:val="21"/>
        </w:rPr>
        <w:t>在食品数量验收方面必须严格执行，不能弄虚作假，必须保证配送品种斤两的准确性，以</w:t>
      </w:r>
      <w:r>
        <w:rPr>
          <w:rFonts w:hint="eastAsia" w:ascii="宋体" w:hAnsi="宋体" w:eastAsia="宋体" w:cs="宋体"/>
          <w:sz w:val="21"/>
          <w:szCs w:val="21"/>
          <w:lang w:eastAsia="zh-CN"/>
        </w:rPr>
        <w:t>学校</w:t>
      </w:r>
      <w:r>
        <w:rPr>
          <w:rFonts w:hint="eastAsia" w:ascii="宋体" w:hAnsi="宋体" w:eastAsia="宋体" w:cs="宋体"/>
          <w:sz w:val="21"/>
          <w:szCs w:val="21"/>
        </w:rPr>
        <w:t>的验货数量为准，中标人每次随货送上一式三份的送货清单,供双方验货后签字确认，中标人一份，</w:t>
      </w:r>
      <w:r>
        <w:rPr>
          <w:rFonts w:hint="eastAsia" w:ascii="宋体" w:hAnsi="宋体" w:eastAsia="宋体" w:cs="宋体"/>
          <w:sz w:val="21"/>
          <w:szCs w:val="21"/>
          <w:lang w:eastAsia="zh-CN"/>
        </w:rPr>
        <w:t>学校</w:t>
      </w:r>
      <w:r>
        <w:rPr>
          <w:rFonts w:hint="eastAsia" w:ascii="宋体" w:hAnsi="宋体" w:eastAsia="宋体" w:cs="宋体"/>
          <w:sz w:val="21"/>
          <w:szCs w:val="21"/>
        </w:rPr>
        <w:t>持两份，作为送、收货的凭证。</w:t>
      </w:r>
    </w:p>
    <w:p w14:paraId="4ABBA93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2.根据采购单位实际需要，食材送达具体时间由</w:t>
      </w:r>
      <w:r>
        <w:rPr>
          <w:rFonts w:hint="eastAsia" w:ascii="宋体" w:hAnsi="宋体" w:eastAsia="宋体" w:cs="宋体"/>
          <w:sz w:val="21"/>
          <w:szCs w:val="21"/>
          <w:lang w:eastAsia="zh-CN"/>
        </w:rPr>
        <w:t>学校</w:t>
      </w:r>
      <w:r>
        <w:rPr>
          <w:rFonts w:hint="eastAsia" w:ascii="宋体" w:hAnsi="宋体" w:eastAsia="宋体" w:cs="宋体"/>
          <w:sz w:val="21"/>
          <w:szCs w:val="21"/>
        </w:rPr>
        <w:t>在签订服务合同时约定</w:t>
      </w:r>
      <w:r>
        <w:rPr>
          <w:rFonts w:hint="eastAsia" w:ascii="宋体" w:hAnsi="宋体" w:eastAsia="宋体" w:cs="宋体"/>
          <w:sz w:val="21"/>
          <w:szCs w:val="21"/>
          <w:lang w:val="zh-TW"/>
        </w:rPr>
        <w:t>，</w:t>
      </w:r>
      <w:r>
        <w:rPr>
          <w:rFonts w:hint="eastAsia" w:ascii="宋体" w:hAnsi="宋体" w:eastAsia="宋体" w:cs="宋体"/>
          <w:sz w:val="21"/>
          <w:szCs w:val="21"/>
        </w:rPr>
        <w:t>食材送达后，按照采购单位的要求进行分类清点，待食堂工作人员验收核对后送达</w:t>
      </w:r>
      <w:r>
        <w:rPr>
          <w:rFonts w:hint="eastAsia" w:ascii="宋体" w:hAnsi="宋体" w:eastAsia="宋体" w:cs="宋体"/>
          <w:sz w:val="21"/>
          <w:szCs w:val="21"/>
          <w:lang w:eastAsia="zh-CN"/>
        </w:rPr>
        <w:t>学校</w:t>
      </w:r>
      <w:r>
        <w:rPr>
          <w:rFonts w:hint="eastAsia" w:ascii="宋体" w:hAnsi="宋体" w:eastAsia="宋体" w:cs="宋体"/>
          <w:sz w:val="21"/>
          <w:szCs w:val="21"/>
        </w:rPr>
        <w:t>指定位置（如遇特殊情况，</w:t>
      </w:r>
      <w:r>
        <w:rPr>
          <w:rFonts w:hint="eastAsia" w:ascii="宋体" w:hAnsi="宋体" w:eastAsia="宋体" w:cs="宋体"/>
          <w:sz w:val="21"/>
          <w:szCs w:val="21"/>
          <w:lang w:eastAsia="zh-CN"/>
        </w:rPr>
        <w:t>学校</w:t>
      </w:r>
      <w:r>
        <w:rPr>
          <w:rFonts w:hint="eastAsia" w:ascii="宋体" w:hAnsi="宋体" w:eastAsia="宋体" w:cs="宋体"/>
          <w:sz w:val="21"/>
          <w:szCs w:val="21"/>
        </w:rPr>
        <w:t>可以改变送货时间，但应提前通知中标方），</w:t>
      </w:r>
      <w:r>
        <w:rPr>
          <w:rFonts w:hint="eastAsia" w:ascii="宋体" w:hAnsi="宋体" w:eastAsia="宋体" w:cs="宋体"/>
          <w:sz w:val="21"/>
          <w:szCs w:val="21"/>
          <w:lang w:eastAsia="zh-CN"/>
        </w:rPr>
        <w:t>学校</w:t>
      </w:r>
      <w:r>
        <w:rPr>
          <w:rFonts w:hint="eastAsia" w:ascii="宋体" w:hAnsi="宋体" w:eastAsia="宋体" w:cs="宋体"/>
          <w:sz w:val="21"/>
          <w:szCs w:val="21"/>
        </w:rPr>
        <w:t>在合同履行过程中有权增加或减少配送点个数或者变更送货地点，中标人对此无条件配合。</w:t>
      </w:r>
    </w:p>
    <w:p w14:paraId="20182AA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3.必须具备符合食品安全要求及满足配送需要的仓储（自有或租赁深圳本地的配送场所、冷库及储存空间）、交通运输等设施设备，确保食材的安全储存和安全运输。</w:t>
      </w:r>
    </w:p>
    <w:p w14:paraId="1F6BCAC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4.提供的大宗食材原料必须是符合国家或行业最新食品质量安全标准的食材。</w:t>
      </w:r>
    </w:p>
    <w:p w14:paraId="0C721A4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5.食材配送车辆应为专用封闭式，车辆内部结构应平整、便于清洁，配送冷冻、冷藏食品的车辆应有温度控制设备。凭专用通行证（</w:t>
      </w:r>
      <w:r>
        <w:rPr>
          <w:rFonts w:hint="eastAsia" w:ascii="宋体" w:hAnsi="宋体" w:eastAsia="宋体" w:cs="宋体"/>
          <w:sz w:val="21"/>
          <w:szCs w:val="21"/>
          <w:lang w:eastAsia="zh-CN"/>
        </w:rPr>
        <w:t>学校</w:t>
      </w:r>
      <w:r>
        <w:rPr>
          <w:rFonts w:hint="eastAsia" w:ascii="宋体" w:hAnsi="宋体" w:eastAsia="宋体" w:cs="宋体"/>
          <w:sz w:val="21"/>
          <w:szCs w:val="21"/>
        </w:rPr>
        <w:t>自行制定）进出</w:t>
      </w:r>
      <w:r>
        <w:rPr>
          <w:rFonts w:hint="eastAsia" w:ascii="宋体" w:hAnsi="宋体" w:eastAsia="宋体" w:cs="宋体"/>
          <w:sz w:val="21"/>
          <w:szCs w:val="21"/>
          <w:lang w:eastAsia="zh-CN"/>
        </w:rPr>
        <w:t>学校</w:t>
      </w:r>
      <w:r>
        <w:rPr>
          <w:rFonts w:hint="eastAsia" w:ascii="宋体" w:hAnsi="宋体" w:eastAsia="宋体" w:cs="宋体"/>
          <w:sz w:val="21"/>
          <w:szCs w:val="21"/>
        </w:rPr>
        <w:t>。并配备专人对接管理，跟进做好全过程验收协调管理事宜，确保食材配送质量及安全严格符合国家标准及规范。</w:t>
      </w:r>
    </w:p>
    <w:p w14:paraId="1BC7F6E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6.生鲜肉等鲜活类须当日配送，其余品类食材可视</w:t>
      </w:r>
      <w:r>
        <w:rPr>
          <w:rFonts w:hint="eastAsia" w:ascii="宋体" w:hAnsi="宋体" w:eastAsia="宋体" w:cs="宋体"/>
          <w:sz w:val="21"/>
          <w:szCs w:val="21"/>
          <w:lang w:eastAsia="zh-CN"/>
        </w:rPr>
        <w:t>学校</w:t>
      </w:r>
      <w:r>
        <w:rPr>
          <w:rFonts w:hint="eastAsia" w:ascii="宋体" w:hAnsi="宋体" w:eastAsia="宋体" w:cs="宋体"/>
          <w:sz w:val="21"/>
          <w:szCs w:val="21"/>
        </w:rPr>
        <w:t>实际需求酌情配送，但须确保</w:t>
      </w:r>
      <w:r>
        <w:rPr>
          <w:rFonts w:hint="eastAsia" w:ascii="宋体" w:hAnsi="宋体" w:eastAsia="宋体" w:cs="宋体"/>
          <w:sz w:val="21"/>
          <w:szCs w:val="21"/>
          <w:lang w:eastAsia="zh-CN"/>
        </w:rPr>
        <w:t>学校</w:t>
      </w:r>
      <w:r>
        <w:rPr>
          <w:rFonts w:hint="eastAsia" w:ascii="宋体" w:hAnsi="宋体" w:eastAsia="宋体" w:cs="宋体"/>
          <w:sz w:val="21"/>
          <w:szCs w:val="21"/>
        </w:rPr>
        <w:t>食品新鲜、优质、安全可靠。</w:t>
      </w:r>
    </w:p>
    <w:p w14:paraId="5FDF792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7.应具备相对完善的配送服务计划。包括但不限于配送流程、</w:t>
      </w:r>
      <w:r>
        <w:rPr>
          <w:rFonts w:hint="eastAsia" w:ascii="宋体" w:hAnsi="宋体" w:eastAsia="宋体" w:cs="宋体"/>
          <w:sz w:val="21"/>
          <w:szCs w:val="21"/>
          <w:lang w:eastAsia="zh-CN"/>
        </w:rPr>
        <w:t>学校</w:t>
      </w:r>
      <w:r>
        <w:rPr>
          <w:rFonts w:hint="eastAsia" w:ascii="宋体" w:hAnsi="宋体" w:eastAsia="宋体" w:cs="宋体"/>
          <w:sz w:val="21"/>
          <w:szCs w:val="21"/>
        </w:rPr>
        <w:t>食堂专项配送服务人员、物流配送应急预案、食品安全应急预案、客户沟通及投诉反馈等相应机制。</w:t>
      </w:r>
    </w:p>
    <w:p w14:paraId="64C4AC5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学校</w:t>
      </w:r>
      <w:r>
        <w:rPr>
          <w:rFonts w:hint="eastAsia" w:ascii="宋体" w:hAnsi="宋体" w:eastAsia="宋体" w:cs="宋体"/>
          <w:sz w:val="21"/>
          <w:szCs w:val="21"/>
        </w:rPr>
        <w:t>对货物进行认真验收，对不符合规格要求的商品，中标人必须无条件退货。中标人未能履行招标文件和合同所定事项, 或供应不合格的、假冒伪劣、以次充好的商品，</w:t>
      </w:r>
      <w:r>
        <w:rPr>
          <w:rFonts w:hint="eastAsia" w:ascii="宋体" w:hAnsi="宋体" w:eastAsia="宋体" w:cs="宋体"/>
          <w:sz w:val="21"/>
          <w:szCs w:val="21"/>
          <w:lang w:eastAsia="zh-CN"/>
        </w:rPr>
        <w:t>学校</w:t>
      </w:r>
      <w:r>
        <w:rPr>
          <w:rFonts w:hint="eastAsia" w:ascii="宋体" w:hAnsi="宋体" w:eastAsia="宋体" w:cs="宋体"/>
          <w:sz w:val="21"/>
          <w:szCs w:val="21"/>
        </w:rPr>
        <w:t>退货后将记录在案，并对中标人予以处罚，除要承担因此产生的一切损失和费用外，情节严重的可终止其采购供应合同。</w:t>
      </w:r>
    </w:p>
    <w:p w14:paraId="186E1ED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zh-TW"/>
        </w:rPr>
        <w:t>临时加货处理：对于</w:t>
      </w:r>
      <w:r>
        <w:rPr>
          <w:rFonts w:hint="eastAsia" w:ascii="宋体" w:hAnsi="宋体" w:eastAsia="宋体" w:cs="宋体"/>
          <w:sz w:val="21"/>
          <w:szCs w:val="21"/>
          <w:lang w:val="zh-TW" w:eastAsia="zh-CN"/>
        </w:rPr>
        <w:t>学校</w:t>
      </w:r>
      <w:r>
        <w:rPr>
          <w:rFonts w:hint="eastAsia" w:ascii="宋体" w:hAnsi="宋体" w:eastAsia="宋体" w:cs="宋体"/>
          <w:sz w:val="21"/>
          <w:szCs w:val="21"/>
          <w:lang w:val="zh-TW"/>
        </w:rPr>
        <w:t>临时有接待餐任务或临时增加员工用餐时，供应商需快速将货物送到</w:t>
      </w:r>
      <w:r>
        <w:rPr>
          <w:rFonts w:hint="eastAsia" w:ascii="宋体" w:hAnsi="宋体" w:eastAsia="宋体" w:cs="宋体"/>
          <w:sz w:val="21"/>
          <w:szCs w:val="21"/>
          <w:lang w:val="zh-TW" w:eastAsia="zh-CN"/>
        </w:rPr>
        <w:t>学校</w:t>
      </w:r>
      <w:r>
        <w:rPr>
          <w:rFonts w:hint="eastAsia" w:ascii="宋体" w:hAnsi="宋体" w:eastAsia="宋体" w:cs="宋体"/>
          <w:sz w:val="21"/>
          <w:szCs w:val="21"/>
          <w:lang w:val="zh-TW"/>
        </w:rPr>
        <w:t>的指定地点，派专人负责跟踪服务，保证用餐正常。在供货过程中，采购</w:t>
      </w:r>
      <w:r>
        <w:rPr>
          <w:rFonts w:hint="eastAsia" w:ascii="宋体" w:hAnsi="宋体" w:eastAsia="宋体" w:cs="宋体"/>
          <w:sz w:val="21"/>
          <w:szCs w:val="21"/>
        </w:rPr>
        <w:t>人、</w:t>
      </w:r>
      <w:r>
        <w:rPr>
          <w:rFonts w:hint="eastAsia" w:ascii="宋体" w:hAnsi="宋体" w:eastAsia="宋体" w:cs="宋体"/>
          <w:sz w:val="21"/>
          <w:szCs w:val="21"/>
          <w:lang w:val="zh-TW" w:eastAsia="zh-CN"/>
        </w:rPr>
        <w:t>学校</w:t>
      </w:r>
      <w:r>
        <w:rPr>
          <w:rFonts w:hint="eastAsia" w:ascii="宋体" w:hAnsi="宋体" w:eastAsia="宋体" w:cs="宋体"/>
          <w:sz w:val="21"/>
          <w:szCs w:val="21"/>
          <w:lang w:val="zh-TW"/>
        </w:rPr>
        <w:t>对所供货物有任何意见，可随时向中标</w:t>
      </w:r>
      <w:r>
        <w:rPr>
          <w:rFonts w:hint="eastAsia" w:ascii="宋体" w:hAnsi="宋体" w:eastAsia="宋体" w:cs="宋体"/>
          <w:sz w:val="21"/>
          <w:szCs w:val="21"/>
        </w:rPr>
        <w:t>人</w:t>
      </w:r>
      <w:r>
        <w:rPr>
          <w:rFonts w:hint="eastAsia" w:ascii="宋体" w:hAnsi="宋体" w:eastAsia="宋体" w:cs="宋体"/>
          <w:sz w:val="21"/>
          <w:szCs w:val="21"/>
          <w:lang w:val="zh-TW"/>
        </w:rPr>
        <w:t>反映，中标</w:t>
      </w:r>
      <w:r>
        <w:rPr>
          <w:rFonts w:hint="eastAsia" w:ascii="宋体" w:hAnsi="宋体" w:eastAsia="宋体" w:cs="宋体"/>
          <w:sz w:val="21"/>
          <w:szCs w:val="21"/>
        </w:rPr>
        <w:t>人</w:t>
      </w:r>
      <w:r>
        <w:rPr>
          <w:rFonts w:hint="eastAsia" w:ascii="宋体" w:hAnsi="宋体" w:eastAsia="宋体" w:cs="宋体"/>
          <w:sz w:val="21"/>
          <w:szCs w:val="21"/>
          <w:lang w:val="zh-TW"/>
        </w:rPr>
        <w:t>应及时改进，否则，采购</w:t>
      </w:r>
      <w:r>
        <w:rPr>
          <w:rFonts w:hint="eastAsia" w:ascii="宋体" w:hAnsi="宋体" w:eastAsia="宋体" w:cs="宋体"/>
          <w:sz w:val="21"/>
          <w:szCs w:val="21"/>
        </w:rPr>
        <w:t>人</w:t>
      </w:r>
      <w:r>
        <w:rPr>
          <w:rFonts w:hint="eastAsia" w:ascii="宋体" w:hAnsi="宋体" w:eastAsia="宋体" w:cs="宋体"/>
          <w:sz w:val="21"/>
          <w:szCs w:val="21"/>
          <w:lang w:val="zh-TW"/>
        </w:rPr>
        <w:t>有权</w:t>
      </w:r>
      <w:r>
        <w:rPr>
          <w:rFonts w:hint="eastAsia" w:ascii="宋体" w:hAnsi="宋体" w:eastAsia="宋体" w:cs="宋体"/>
          <w:sz w:val="21"/>
          <w:szCs w:val="21"/>
        </w:rPr>
        <w:t>终止其采购供应合同</w:t>
      </w:r>
      <w:r>
        <w:rPr>
          <w:rFonts w:hint="eastAsia" w:ascii="宋体" w:hAnsi="宋体" w:eastAsia="宋体" w:cs="宋体"/>
          <w:sz w:val="21"/>
          <w:szCs w:val="21"/>
          <w:lang w:val="zh-TW"/>
        </w:rPr>
        <w:t>。因配送运输中出现人身安全事故，中标</w:t>
      </w:r>
      <w:r>
        <w:rPr>
          <w:rFonts w:hint="eastAsia" w:ascii="宋体" w:hAnsi="宋体" w:eastAsia="宋体" w:cs="宋体"/>
          <w:sz w:val="21"/>
          <w:szCs w:val="21"/>
        </w:rPr>
        <w:t>人</w:t>
      </w:r>
      <w:r>
        <w:rPr>
          <w:rFonts w:hint="eastAsia" w:ascii="宋体" w:hAnsi="宋体" w:eastAsia="宋体" w:cs="宋体"/>
          <w:sz w:val="21"/>
          <w:szCs w:val="21"/>
          <w:lang w:val="zh-TW"/>
        </w:rPr>
        <w:t>独立承担一切刑事、民事责任，与采购</w:t>
      </w:r>
      <w:r>
        <w:rPr>
          <w:rFonts w:hint="eastAsia" w:ascii="宋体" w:hAnsi="宋体" w:eastAsia="宋体" w:cs="宋体"/>
          <w:sz w:val="21"/>
          <w:szCs w:val="21"/>
        </w:rPr>
        <w:t>人</w:t>
      </w:r>
      <w:r>
        <w:rPr>
          <w:rFonts w:hint="eastAsia" w:ascii="宋体" w:hAnsi="宋体" w:eastAsia="宋体" w:cs="宋体"/>
          <w:sz w:val="21"/>
          <w:szCs w:val="21"/>
          <w:lang w:val="zh-TW"/>
        </w:rPr>
        <w:t>无关。中标</w:t>
      </w:r>
      <w:r>
        <w:rPr>
          <w:rFonts w:hint="eastAsia" w:ascii="宋体" w:hAnsi="宋体" w:eastAsia="宋体" w:cs="宋体"/>
          <w:sz w:val="21"/>
          <w:szCs w:val="21"/>
        </w:rPr>
        <w:t>人</w:t>
      </w:r>
      <w:r>
        <w:rPr>
          <w:rFonts w:hint="eastAsia" w:ascii="宋体" w:hAnsi="宋体" w:eastAsia="宋体" w:cs="宋体"/>
          <w:sz w:val="21"/>
          <w:szCs w:val="21"/>
          <w:lang w:val="zh-TW"/>
        </w:rPr>
        <w:t>应随时按采购</w:t>
      </w:r>
      <w:r>
        <w:rPr>
          <w:rFonts w:hint="eastAsia" w:ascii="宋体" w:hAnsi="宋体" w:eastAsia="宋体" w:cs="宋体"/>
          <w:sz w:val="21"/>
          <w:szCs w:val="21"/>
        </w:rPr>
        <w:t>人、</w:t>
      </w:r>
      <w:r>
        <w:rPr>
          <w:rFonts w:hint="eastAsia" w:ascii="宋体" w:hAnsi="宋体" w:eastAsia="宋体" w:cs="宋体"/>
          <w:sz w:val="21"/>
          <w:szCs w:val="21"/>
          <w:lang w:val="zh-TW" w:eastAsia="zh-CN"/>
        </w:rPr>
        <w:t>学校</w:t>
      </w:r>
      <w:r>
        <w:rPr>
          <w:rFonts w:hint="eastAsia" w:ascii="宋体" w:hAnsi="宋体" w:eastAsia="宋体" w:cs="宋体"/>
          <w:sz w:val="21"/>
          <w:szCs w:val="21"/>
          <w:lang w:val="zh-TW"/>
        </w:rPr>
        <w:t>要求提供各类货物检测报告。中标</w:t>
      </w:r>
      <w:r>
        <w:rPr>
          <w:rFonts w:hint="eastAsia" w:ascii="宋体" w:hAnsi="宋体" w:eastAsia="宋体" w:cs="宋体"/>
          <w:sz w:val="21"/>
          <w:szCs w:val="21"/>
        </w:rPr>
        <w:t>人</w:t>
      </w:r>
      <w:r>
        <w:rPr>
          <w:rFonts w:hint="eastAsia" w:ascii="宋体" w:hAnsi="宋体" w:eastAsia="宋体" w:cs="宋体"/>
          <w:sz w:val="21"/>
          <w:szCs w:val="21"/>
          <w:lang w:val="zh-TW"/>
        </w:rPr>
        <w:t>所有员工凭健康证上岗，同时应成立食堂配送项目专项</w:t>
      </w:r>
      <w:r>
        <w:rPr>
          <w:rFonts w:hint="eastAsia" w:ascii="宋体" w:hAnsi="宋体" w:eastAsia="宋体" w:cs="宋体"/>
          <w:sz w:val="21"/>
          <w:szCs w:val="21"/>
        </w:rPr>
        <w:t>服务团队</w:t>
      </w:r>
      <w:r>
        <w:rPr>
          <w:rFonts w:hint="eastAsia" w:ascii="宋体" w:hAnsi="宋体" w:eastAsia="宋体" w:cs="宋体"/>
          <w:sz w:val="21"/>
          <w:szCs w:val="21"/>
          <w:lang w:val="zh-TW"/>
        </w:rPr>
        <w:t>，负责相关工作及提供各种服务。</w:t>
      </w:r>
    </w:p>
    <w:p w14:paraId="181BEA59">
      <w:pPr>
        <w:spacing w:line="360" w:lineRule="auto"/>
        <w:ind w:firstLine="420" w:firstLineChars="200"/>
        <w:rPr>
          <w:rFonts w:hint="eastAsia" w:ascii="宋体" w:hAnsi="宋体" w:eastAsia="宋体" w:cs="宋体"/>
          <w:sz w:val="21"/>
          <w:szCs w:val="21"/>
          <w:lang w:eastAsia="zh-CN"/>
        </w:rPr>
      </w:pPr>
      <w:bookmarkStart w:id="11" w:name="OLE_LINK55"/>
      <w:r>
        <w:rPr>
          <w:rFonts w:hint="eastAsia" w:ascii="宋体" w:hAnsi="宋体" w:eastAsia="宋体" w:cs="宋体"/>
          <w:sz w:val="21"/>
          <w:szCs w:val="21"/>
          <w:lang w:eastAsia="zh-CN"/>
        </w:rPr>
        <w:t>10.配送食材可通过“深圳市食品安全追溯系统”全面、及时、准确上传追溯信息，确保相关品名、规格、批次等数据真实完整，切保配送食材来源可溯、质量可控。</w:t>
      </w:r>
    </w:p>
    <w:p w14:paraId="7D5B00DD">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11.</w:t>
      </w:r>
      <w:bookmarkEnd w:id="11"/>
      <w:r>
        <w:rPr>
          <w:rFonts w:hint="eastAsia" w:ascii="宋体" w:hAnsi="宋体" w:eastAsia="宋体" w:cs="宋体"/>
          <w:sz w:val="21"/>
          <w:szCs w:val="21"/>
          <w:lang w:eastAsia="zh-CN"/>
        </w:rPr>
        <w:t>中标人需通过深圳市学校食堂智慧管理平台处理学校食材订单并按合同供货，满足学校食堂智慧化管理需要，平台价格信息由学校负责上传，价格信息以本项目基准价的规定为准，相关费用由中标人支付。</w:t>
      </w:r>
    </w:p>
    <w:p w14:paraId="0006306F">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四</w:t>
      </w:r>
      <w:r>
        <w:rPr>
          <w:rFonts w:hint="eastAsia" w:ascii="宋体" w:hAnsi="宋体" w:eastAsia="宋体" w:cs="宋体"/>
          <w:b/>
          <w:sz w:val="21"/>
          <w:szCs w:val="21"/>
        </w:rPr>
        <w:t>）合同签订</w:t>
      </w:r>
    </w:p>
    <w:p w14:paraId="42267ABB">
      <w:pPr>
        <w:spacing w:line="360" w:lineRule="auto"/>
        <w:rPr>
          <w:rFonts w:hint="eastAsia" w:ascii="宋体" w:hAnsi="宋体" w:eastAsia="宋体" w:cs="宋体"/>
          <w:sz w:val="21"/>
          <w:szCs w:val="21"/>
        </w:rPr>
      </w:pPr>
      <w:r>
        <w:rPr>
          <w:rFonts w:hint="eastAsia" w:ascii="宋体" w:hAnsi="宋体" w:eastAsia="宋体" w:cs="宋体"/>
          <w:sz w:val="21"/>
          <w:szCs w:val="21"/>
        </w:rPr>
        <w:t>1.中标供应商须按</w:t>
      </w:r>
      <w:r>
        <w:rPr>
          <w:rFonts w:hint="eastAsia" w:ascii="宋体" w:hAnsi="宋体" w:eastAsia="宋体" w:cs="宋体"/>
          <w:sz w:val="21"/>
          <w:szCs w:val="21"/>
          <w:lang w:eastAsia="zh-CN"/>
        </w:rPr>
        <w:t>学校</w:t>
      </w:r>
      <w:r>
        <w:rPr>
          <w:rFonts w:hint="eastAsia" w:ascii="宋体" w:hAnsi="宋体" w:eastAsia="宋体" w:cs="宋体"/>
          <w:sz w:val="21"/>
          <w:szCs w:val="21"/>
        </w:rPr>
        <w:t>要求在合同签署时提交《食品质量安全承诺书》（详见附件）。</w:t>
      </w:r>
    </w:p>
    <w:p w14:paraId="11B4C523">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）供应商退出机制</w:t>
      </w:r>
    </w:p>
    <w:p w14:paraId="08B40A4A">
      <w:pPr>
        <w:spacing w:line="360" w:lineRule="auto"/>
        <w:rPr>
          <w:rFonts w:hint="eastAsia" w:ascii="宋体" w:hAnsi="宋体" w:eastAsia="宋体" w:cs="宋体"/>
          <w:bCs/>
          <w:sz w:val="21"/>
          <w:szCs w:val="21"/>
        </w:rPr>
      </w:pPr>
      <w:r>
        <w:rPr>
          <w:rFonts w:hint="eastAsia" w:ascii="宋体" w:hAnsi="宋体" w:eastAsia="宋体" w:cs="宋体"/>
          <w:bCs/>
          <w:sz w:val="21"/>
          <w:szCs w:val="21"/>
        </w:rPr>
        <w:t>1.中标供应商有违反法规法规规定，经查实，报主管部门取消其中标供应商资格：</w:t>
      </w:r>
    </w:p>
    <w:p w14:paraId="44A5AE21">
      <w:pPr>
        <w:spacing w:line="360" w:lineRule="auto"/>
        <w:rPr>
          <w:rFonts w:hint="eastAsia" w:ascii="宋体" w:hAnsi="宋体" w:eastAsia="宋体" w:cs="宋体"/>
          <w:bCs/>
          <w:sz w:val="21"/>
          <w:szCs w:val="21"/>
        </w:rPr>
      </w:pPr>
      <w:r>
        <w:rPr>
          <w:rFonts w:hint="eastAsia" w:ascii="宋体" w:hAnsi="宋体" w:eastAsia="宋体" w:cs="宋体"/>
          <w:bCs/>
          <w:sz w:val="21"/>
          <w:szCs w:val="21"/>
        </w:rPr>
        <w:t>2.供应商在合同执行期间，出现以下行为情况之一者，经查属实的，报主管部门审核同意后有权终止其配送供应合同，并启动候补机制预案：</w:t>
      </w:r>
    </w:p>
    <w:p w14:paraId="64940032">
      <w:pPr>
        <w:spacing w:line="360" w:lineRule="auto"/>
        <w:rPr>
          <w:rFonts w:hint="eastAsia" w:ascii="宋体" w:hAnsi="宋体" w:eastAsia="宋体" w:cs="宋体"/>
          <w:bCs/>
          <w:sz w:val="21"/>
          <w:szCs w:val="21"/>
        </w:rPr>
      </w:pPr>
      <w:r>
        <w:rPr>
          <w:rFonts w:hint="eastAsia" w:ascii="宋体" w:hAnsi="宋体" w:eastAsia="宋体" w:cs="宋体"/>
          <w:bCs/>
          <w:sz w:val="21"/>
          <w:szCs w:val="21"/>
        </w:rPr>
        <w:t>（1）中标后无正当理由，不按照规定与采购单位签订合同的；</w:t>
      </w:r>
    </w:p>
    <w:p w14:paraId="5B30F6E0">
      <w:pPr>
        <w:spacing w:line="360" w:lineRule="auto"/>
        <w:rPr>
          <w:rFonts w:hint="eastAsia" w:ascii="宋体" w:hAnsi="宋体" w:eastAsia="宋体" w:cs="宋体"/>
          <w:bCs/>
          <w:sz w:val="21"/>
          <w:szCs w:val="21"/>
        </w:rPr>
      </w:pPr>
      <w:r>
        <w:rPr>
          <w:rFonts w:hint="eastAsia" w:ascii="宋体" w:hAnsi="宋体" w:eastAsia="宋体" w:cs="宋体"/>
          <w:bCs/>
          <w:sz w:val="21"/>
          <w:szCs w:val="21"/>
        </w:rPr>
        <w:t>（2）擅自变更或者中止采购服务合同的；</w:t>
      </w:r>
    </w:p>
    <w:p w14:paraId="1F190D1B">
      <w:pPr>
        <w:spacing w:line="360" w:lineRule="auto"/>
        <w:rPr>
          <w:rFonts w:hint="eastAsia" w:ascii="宋体" w:hAnsi="宋体" w:eastAsia="宋体" w:cs="宋体"/>
          <w:bCs/>
          <w:sz w:val="21"/>
          <w:szCs w:val="21"/>
        </w:rPr>
      </w:pPr>
      <w:r>
        <w:rPr>
          <w:rFonts w:hint="eastAsia" w:ascii="宋体" w:hAnsi="宋体" w:eastAsia="宋体" w:cs="宋体"/>
          <w:bCs/>
          <w:sz w:val="21"/>
          <w:szCs w:val="21"/>
        </w:rPr>
        <w:t>（3）不按采购需求、投标文件以及采购服务合同要求全面履约，履约情况评价不合格的；</w:t>
      </w:r>
    </w:p>
    <w:p w14:paraId="6E39C8F2">
      <w:pPr>
        <w:spacing w:line="360" w:lineRule="auto"/>
        <w:rPr>
          <w:rFonts w:hint="eastAsia" w:ascii="宋体" w:hAnsi="宋体" w:eastAsia="宋体" w:cs="宋体"/>
          <w:bCs/>
          <w:sz w:val="21"/>
          <w:szCs w:val="21"/>
        </w:rPr>
      </w:pPr>
      <w:r>
        <w:rPr>
          <w:rFonts w:hint="eastAsia" w:ascii="宋体" w:hAnsi="宋体" w:eastAsia="宋体" w:cs="宋体"/>
          <w:bCs/>
          <w:sz w:val="21"/>
          <w:szCs w:val="21"/>
        </w:rPr>
        <w:t>（4）未按规定出具检测报告或违背招标承诺书等情况达到二次的；</w:t>
      </w:r>
    </w:p>
    <w:p w14:paraId="115FCB38">
      <w:pPr>
        <w:spacing w:line="360" w:lineRule="auto"/>
        <w:rPr>
          <w:rFonts w:hint="eastAsia" w:ascii="宋体" w:hAnsi="宋体" w:eastAsia="宋体" w:cs="宋体"/>
          <w:bCs/>
          <w:sz w:val="21"/>
          <w:szCs w:val="21"/>
        </w:rPr>
      </w:pPr>
      <w:r>
        <w:rPr>
          <w:rFonts w:hint="eastAsia" w:ascii="宋体" w:hAnsi="宋体" w:eastAsia="宋体" w:cs="宋体"/>
          <w:bCs/>
          <w:sz w:val="21"/>
          <w:szCs w:val="21"/>
        </w:rPr>
        <w:t>（5）不按招标文件等要求规定，发现 2 次以上虚假报价的；</w:t>
      </w:r>
    </w:p>
    <w:p w14:paraId="7821B41D">
      <w:pPr>
        <w:spacing w:line="360" w:lineRule="auto"/>
        <w:rPr>
          <w:rFonts w:hint="eastAsia" w:ascii="宋体" w:hAnsi="宋体" w:eastAsia="宋体" w:cs="宋体"/>
          <w:bCs/>
          <w:sz w:val="21"/>
          <w:szCs w:val="21"/>
        </w:rPr>
      </w:pPr>
      <w:r>
        <w:rPr>
          <w:rFonts w:hint="eastAsia" w:ascii="宋体" w:hAnsi="宋体" w:eastAsia="宋体" w:cs="宋体"/>
          <w:bCs/>
          <w:sz w:val="21"/>
          <w:szCs w:val="21"/>
        </w:rPr>
        <w:t>（6）物资或服务以次充好，存在严重质量问题的；</w:t>
      </w:r>
    </w:p>
    <w:p w14:paraId="7FFDFE3F">
      <w:pPr>
        <w:spacing w:line="360" w:lineRule="auto"/>
        <w:rPr>
          <w:rFonts w:hint="eastAsia" w:ascii="宋体" w:hAnsi="宋体" w:eastAsia="宋体" w:cs="宋体"/>
          <w:bCs/>
          <w:sz w:val="21"/>
          <w:szCs w:val="21"/>
        </w:rPr>
      </w:pPr>
      <w:r>
        <w:rPr>
          <w:rFonts w:hint="eastAsia" w:ascii="宋体" w:hAnsi="宋体" w:eastAsia="宋体" w:cs="宋体"/>
          <w:bCs/>
          <w:sz w:val="21"/>
          <w:szCs w:val="21"/>
        </w:rPr>
        <w:t>（7）因供应的货物质量达不到国家有关食品安全标准而造成食物中毒或其它后果，属于供货方（配送单位）责任的；</w:t>
      </w:r>
    </w:p>
    <w:p w14:paraId="5BBBFF97">
      <w:pPr>
        <w:spacing w:line="360" w:lineRule="auto"/>
        <w:rPr>
          <w:rFonts w:hint="eastAsia" w:ascii="宋体" w:hAnsi="宋体" w:eastAsia="宋体" w:cs="宋体"/>
          <w:bCs/>
          <w:sz w:val="21"/>
          <w:szCs w:val="21"/>
        </w:rPr>
      </w:pPr>
      <w:r>
        <w:rPr>
          <w:rFonts w:hint="eastAsia" w:ascii="宋体" w:hAnsi="宋体" w:eastAsia="宋体" w:cs="宋体"/>
          <w:bCs/>
          <w:sz w:val="21"/>
          <w:szCs w:val="21"/>
        </w:rPr>
        <w:t>（8）经 2 次以上（含 2 次）的有效投诉处理仍不纠正的，有效投诉指的是供应商被投诉内容经查实确定为违反服务合同或其他协议规定的事实；</w:t>
      </w:r>
    </w:p>
    <w:p w14:paraId="4A2A4761">
      <w:pPr>
        <w:spacing w:line="360" w:lineRule="auto"/>
        <w:rPr>
          <w:rFonts w:hint="eastAsia" w:ascii="宋体" w:hAnsi="宋体" w:eastAsia="宋体" w:cs="宋体"/>
          <w:bCs/>
          <w:sz w:val="21"/>
          <w:szCs w:val="21"/>
        </w:rPr>
      </w:pPr>
      <w:r>
        <w:rPr>
          <w:rFonts w:hint="eastAsia" w:ascii="宋体" w:hAnsi="宋体" w:eastAsia="宋体" w:cs="宋体"/>
          <w:bCs/>
          <w:sz w:val="21"/>
          <w:szCs w:val="21"/>
        </w:rPr>
        <w:t>（9）因货品质量或其他原因而造成严重后果或恶劣影响的行为；</w:t>
      </w:r>
    </w:p>
    <w:p w14:paraId="458F0E51">
      <w:pPr>
        <w:spacing w:line="360" w:lineRule="auto"/>
        <w:rPr>
          <w:rFonts w:hint="eastAsia" w:ascii="宋体" w:hAnsi="宋体" w:eastAsia="宋体" w:cs="宋体"/>
          <w:bCs/>
          <w:sz w:val="21"/>
          <w:szCs w:val="21"/>
        </w:rPr>
      </w:pPr>
      <w:r>
        <w:rPr>
          <w:rFonts w:hint="eastAsia" w:ascii="宋体" w:hAnsi="宋体" w:eastAsia="宋体" w:cs="宋体"/>
          <w:bCs/>
          <w:sz w:val="21"/>
          <w:szCs w:val="21"/>
        </w:rPr>
        <w:t>（10）连续两次综合评议结果为不满意的；</w:t>
      </w:r>
    </w:p>
    <w:p w14:paraId="1BED7107">
      <w:pPr>
        <w:spacing w:line="360" w:lineRule="auto"/>
        <w:rPr>
          <w:rFonts w:hint="eastAsia" w:ascii="宋体" w:hAnsi="宋体" w:eastAsia="宋体" w:cs="宋体"/>
          <w:bCs/>
          <w:sz w:val="21"/>
          <w:szCs w:val="21"/>
        </w:rPr>
      </w:pPr>
      <w:r>
        <w:rPr>
          <w:rFonts w:hint="eastAsia" w:ascii="宋体" w:hAnsi="宋体" w:eastAsia="宋体" w:cs="宋体"/>
          <w:bCs/>
          <w:sz w:val="21"/>
          <w:szCs w:val="21"/>
        </w:rPr>
        <w:t>（11）非法手段排斥其他供应商参与竞争的；</w:t>
      </w:r>
    </w:p>
    <w:p w14:paraId="4B86296E">
      <w:pPr>
        <w:spacing w:line="360" w:lineRule="auto"/>
        <w:rPr>
          <w:rFonts w:hint="eastAsia" w:ascii="宋体" w:hAnsi="宋体" w:eastAsia="宋体" w:cs="宋体"/>
          <w:bCs/>
          <w:sz w:val="21"/>
          <w:szCs w:val="21"/>
        </w:rPr>
      </w:pPr>
      <w:r>
        <w:rPr>
          <w:rFonts w:hint="eastAsia" w:ascii="宋体" w:hAnsi="宋体" w:eastAsia="宋体" w:cs="宋体"/>
          <w:bCs/>
          <w:sz w:val="21"/>
          <w:szCs w:val="21"/>
        </w:rPr>
        <w:t>（12）拖欠工人工资、经劳动或其他政府部门催告或通报仍不清偿的；</w:t>
      </w:r>
    </w:p>
    <w:p w14:paraId="56ADC752">
      <w:pPr>
        <w:spacing w:line="360" w:lineRule="auto"/>
        <w:rPr>
          <w:rFonts w:hint="eastAsia" w:ascii="宋体" w:hAnsi="宋体" w:eastAsia="宋体" w:cs="宋体"/>
          <w:bCs/>
          <w:sz w:val="21"/>
          <w:szCs w:val="21"/>
        </w:rPr>
      </w:pPr>
      <w:r>
        <w:rPr>
          <w:rFonts w:hint="eastAsia" w:ascii="宋体" w:hAnsi="宋体" w:eastAsia="宋体" w:cs="宋体"/>
          <w:bCs/>
          <w:sz w:val="21"/>
          <w:szCs w:val="21"/>
        </w:rPr>
        <w:t>（13）拒绝有关部门检查或者不如实反映情况，提供材料的；</w:t>
      </w:r>
    </w:p>
    <w:p w14:paraId="00CA9D10">
      <w:pPr>
        <w:spacing w:line="360" w:lineRule="auto"/>
        <w:rPr>
          <w:rFonts w:hint="eastAsia" w:ascii="宋体" w:hAnsi="宋体" w:eastAsia="宋体" w:cs="宋体"/>
          <w:bCs/>
          <w:sz w:val="21"/>
          <w:szCs w:val="21"/>
        </w:rPr>
      </w:pPr>
      <w:r>
        <w:rPr>
          <w:rFonts w:hint="eastAsia" w:ascii="宋体" w:hAnsi="宋体" w:eastAsia="宋体" w:cs="宋体"/>
          <w:bCs/>
          <w:sz w:val="21"/>
          <w:szCs w:val="21"/>
        </w:rPr>
        <w:t>（14）无正当理由，不接受或拒绝采购人订货、供货要求的；</w:t>
      </w:r>
    </w:p>
    <w:p w14:paraId="3CA7C5BB">
      <w:pPr>
        <w:spacing w:line="360" w:lineRule="auto"/>
        <w:rPr>
          <w:rFonts w:hint="eastAsia" w:ascii="宋体" w:hAnsi="宋体" w:eastAsia="宋体" w:cs="宋体"/>
          <w:bCs/>
          <w:sz w:val="21"/>
          <w:szCs w:val="21"/>
        </w:rPr>
      </w:pPr>
      <w:r>
        <w:rPr>
          <w:rFonts w:hint="eastAsia" w:ascii="宋体" w:hAnsi="宋体" w:eastAsia="宋体" w:cs="宋体"/>
          <w:bCs/>
          <w:sz w:val="21"/>
          <w:szCs w:val="21"/>
        </w:rPr>
        <w:t>（15）在合同期内有三次以上被抽检不合格的；</w:t>
      </w:r>
    </w:p>
    <w:p w14:paraId="22E23D07">
      <w:pPr>
        <w:spacing w:line="360" w:lineRule="auto"/>
        <w:rPr>
          <w:rFonts w:hint="eastAsia" w:ascii="宋体" w:hAnsi="宋体" w:eastAsia="宋体" w:cs="宋体"/>
          <w:bCs/>
          <w:sz w:val="21"/>
          <w:szCs w:val="21"/>
        </w:rPr>
      </w:pPr>
      <w:r>
        <w:rPr>
          <w:rFonts w:hint="eastAsia" w:ascii="宋体" w:hAnsi="宋体" w:eastAsia="宋体" w:cs="宋体"/>
          <w:bCs/>
          <w:sz w:val="21"/>
          <w:szCs w:val="21"/>
        </w:rPr>
        <w:t>（16）供应商公司员工出现新冠肺炎等传染性疾病，继续履约存在安全风险隐患的；</w:t>
      </w:r>
    </w:p>
    <w:p w14:paraId="195716BE">
      <w:pPr>
        <w:spacing w:line="360" w:lineRule="auto"/>
        <w:rPr>
          <w:rFonts w:hint="eastAsia" w:ascii="宋体" w:hAnsi="宋体" w:eastAsia="宋体" w:cs="宋体"/>
          <w:bCs/>
          <w:sz w:val="21"/>
          <w:szCs w:val="21"/>
        </w:rPr>
      </w:pPr>
      <w:r>
        <w:rPr>
          <w:rFonts w:hint="eastAsia" w:ascii="宋体" w:hAnsi="宋体" w:eastAsia="宋体" w:cs="宋体"/>
          <w:bCs/>
          <w:sz w:val="21"/>
          <w:szCs w:val="21"/>
        </w:rPr>
        <w:t>（17）供应商公司所属员工在配送过程中与</w:t>
      </w:r>
      <w:r>
        <w:rPr>
          <w:rFonts w:hint="eastAsia" w:ascii="宋体" w:hAnsi="宋体" w:eastAsia="宋体" w:cs="宋体"/>
          <w:bCs/>
          <w:sz w:val="21"/>
          <w:szCs w:val="21"/>
          <w:lang w:eastAsia="zh-CN"/>
        </w:rPr>
        <w:t>学校</w:t>
      </w:r>
      <w:r>
        <w:rPr>
          <w:rFonts w:hint="eastAsia" w:ascii="宋体" w:hAnsi="宋体" w:eastAsia="宋体" w:cs="宋体"/>
          <w:bCs/>
          <w:sz w:val="21"/>
          <w:szCs w:val="21"/>
        </w:rPr>
        <w:t>工作人员产生矛盾，发生严重肢体冲突，升级为刑事案件，主要责任在供应商一方的；</w:t>
      </w:r>
    </w:p>
    <w:p w14:paraId="1DE23571">
      <w:pPr>
        <w:spacing w:line="360" w:lineRule="auto"/>
        <w:rPr>
          <w:rFonts w:hint="eastAsia" w:ascii="宋体" w:hAnsi="宋体" w:eastAsia="宋体" w:cs="宋体"/>
          <w:bCs/>
          <w:sz w:val="21"/>
          <w:szCs w:val="21"/>
        </w:rPr>
      </w:pPr>
      <w:r>
        <w:rPr>
          <w:rFonts w:hint="eastAsia" w:ascii="宋体" w:hAnsi="宋体" w:eastAsia="宋体" w:cs="宋体"/>
          <w:bCs/>
          <w:sz w:val="21"/>
          <w:szCs w:val="21"/>
        </w:rPr>
        <w:t>（18）其他违反法律、法规和协议规定的行为。</w:t>
      </w:r>
    </w:p>
    <w:p w14:paraId="1FC35A97">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六</w:t>
      </w:r>
      <w:r>
        <w:rPr>
          <w:rFonts w:hint="eastAsia" w:ascii="宋体" w:hAnsi="宋体" w:eastAsia="宋体" w:cs="宋体"/>
          <w:b/>
          <w:sz w:val="21"/>
          <w:szCs w:val="21"/>
        </w:rPr>
        <w:t>）供应商候补机制</w:t>
      </w:r>
    </w:p>
    <w:p w14:paraId="1E3BCFB4">
      <w:pPr>
        <w:spacing w:line="360" w:lineRule="auto"/>
        <w:rPr>
          <w:rFonts w:hint="eastAsia" w:ascii="宋体" w:hAnsi="宋体" w:eastAsia="宋体" w:cs="宋体"/>
          <w:bCs/>
          <w:sz w:val="21"/>
          <w:szCs w:val="21"/>
        </w:rPr>
      </w:pPr>
      <w:r>
        <w:rPr>
          <w:rFonts w:hint="eastAsia" w:ascii="宋体" w:hAnsi="宋体" w:eastAsia="宋体" w:cs="宋体"/>
          <w:bCs/>
          <w:sz w:val="21"/>
          <w:szCs w:val="21"/>
        </w:rPr>
        <w:t>应急条款：如服务过程中</w:t>
      </w:r>
      <w:r>
        <w:rPr>
          <w:rFonts w:hint="eastAsia" w:ascii="宋体" w:hAnsi="宋体" w:eastAsia="宋体" w:cs="宋体"/>
          <w:bCs/>
          <w:sz w:val="21"/>
          <w:szCs w:val="21"/>
          <w:lang w:eastAsia="zh-CN"/>
        </w:rPr>
        <w:t>中标</w:t>
      </w:r>
      <w:r>
        <w:rPr>
          <w:rFonts w:hint="eastAsia" w:ascii="宋体" w:hAnsi="宋体" w:eastAsia="宋体" w:cs="宋体"/>
          <w:bCs/>
          <w:sz w:val="21"/>
          <w:szCs w:val="21"/>
        </w:rPr>
        <w:t>供应商出现严重违反采购要求或者</w:t>
      </w:r>
      <w:r>
        <w:rPr>
          <w:rFonts w:hint="eastAsia" w:ascii="宋体" w:hAnsi="宋体" w:eastAsia="宋体" w:cs="宋体"/>
          <w:bCs/>
          <w:sz w:val="21"/>
          <w:szCs w:val="21"/>
          <w:lang w:eastAsia="zh-CN"/>
        </w:rPr>
        <w:t>中标</w:t>
      </w:r>
      <w:r>
        <w:rPr>
          <w:rFonts w:hint="eastAsia" w:ascii="宋体" w:hAnsi="宋体" w:eastAsia="宋体" w:cs="宋体"/>
          <w:bCs/>
          <w:sz w:val="21"/>
          <w:szCs w:val="21"/>
        </w:rPr>
        <w:t>供应商出现严重违反采购要求的情况，需解除合同的，在重新招标完成以前，该配送服务将由综合得分第二名的候补中标供应商继续提供，由</w:t>
      </w:r>
      <w:r>
        <w:rPr>
          <w:rFonts w:hint="eastAsia" w:ascii="宋体" w:hAnsi="宋体" w:eastAsia="宋体" w:cs="宋体"/>
          <w:bCs/>
          <w:sz w:val="21"/>
          <w:szCs w:val="21"/>
          <w:lang w:eastAsia="zh-CN"/>
        </w:rPr>
        <w:t>学校</w:t>
      </w:r>
      <w:r>
        <w:rPr>
          <w:rFonts w:hint="eastAsia" w:ascii="宋体" w:hAnsi="宋体" w:eastAsia="宋体" w:cs="宋体"/>
          <w:bCs/>
          <w:sz w:val="21"/>
          <w:szCs w:val="21"/>
        </w:rPr>
        <w:t>与临时供应商签订配送协议书，临时配送期限至重新招标确定的供应商履约。</w:t>
      </w:r>
    </w:p>
    <w:p w14:paraId="04CE4572">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七</w:t>
      </w:r>
      <w:r>
        <w:rPr>
          <w:rFonts w:hint="eastAsia" w:ascii="宋体" w:hAnsi="宋体" w:eastAsia="宋体" w:cs="宋体"/>
          <w:b/>
          <w:sz w:val="21"/>
          <w:szCs w:val="21"/>
        </w:rPr>
        <w:t>）应急处理制度</w:t>
      </w:r>
    </w:p>
    <w:p w14:paraId="45CE0E23">
      <w:pPr>
        <w:spacing w:line="360" w:lineRule="auto"/>
        <w:outlineLvl w:val="9"/>
        <w:rPr>
          <w:rFonts w:hint="eastAsia" w:ascii="宋体" w:hAnsi="宋体" w:eastAsia="宋体" w:cs="宋体"/>
          <w:bCs/>
          <w:sz w:val="21"/>
          <w:szCs w:val="21"/>
        </w:rPr>
      </w:pPr>
      <w:r>
        <w:rPr>
          <w:rFonts w:hint="eastAsia" w:ascii="宋体" w:hAnsi="宋体" w:eastAsia="宋体" w:cs="宋体"/>
          <w:bCs/>
          <w:sz w:val="21"/>
          <w:szCs w:val="21"/>
        </w:rPr>
        <w:t>若中标供应商出现短期供应不足等紧急问题时，采购单位有权启动应急预案，与综合得分第二名的候补供应商签订临时配送协议书。</w:t>
      </w:r>
    </w:p>
    <w:p w14:paraId="109AA678">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八</w:t>
      </w:r>
      <w:r>
        <w:rPr>
          <w:rFonts w:hint="eastAsia" w:ascii="宋体" w:hAnsi="宋体" w:eastAsia="宋体" w:cs="宋体"/>
          <w:b/>
          <w:sz w:val="21"/>
          <w:szCs w:val="21"/>
        </w:rPr>
        <w:t>）供应商服务综合评议制度</w:t>
      </w:r>
    </w:p>
    <w:p w14:paraId="24CCB961">
      <w:pPr>
        <w:spacing w:line="360" w:lineRule="auto"/>
        <w:rPr>
          <w:rFonts w:hint="eastAsia" w:ascii="宋体" w:hAnsi="宋体" w:eastAsia="宋体" w:cs="宋体"/>
          <w:bCs/>
          <w:sz w:val="21"/>
          <w:szCs w:val="21"/>
        </w:rPr>
      </w:pPr>
      <w:r>
        <w:rPr>
          <w:rFonts w:hint="eastAsia" w:ascii="宋体" w:hAnsi="宋体" w:eastAsia="宋体" w:cs="宋体"/>
          <w:bCs/>
          <w:sz w:val="21"/>
          <w:szCs w:val="21"/>
        </w:rPr>
        <w:t>1.本项目一年的合同期内由采购单位不定期组织考核。考察中标单位的服务态度、服务效率、服务质量等方面。经采购单位综合考核认为合格的，合同继续执行；若考核不合格的，经采购主管部门批准，采购单位可有权依法终止合同。</w:t>
      </w:r>
    </w:p>
    <w:p w14:paraId="0AB4544B">
      <w:pPr>
        <w:spacing w:line="360" w:lineRule="auto"/>
        <w:rPr>
          <w:rFonts w:hint="eastAsia" w:ascii="宋体" w:hAnsi="宋体" w:eastAsia="宋体" w:cs="宋体"/>
          <w:bCs/>
          <w:sz w:val="21"/>
          <w:szCs w:val="21"/>
        </w:rPr>
      </w:pPr>
      <w:r>
        <w:rPr>
          <w:rFonts w:hint="eastAsia" w:ascii="宋体" w:hAnsi="宋体" w:eastAsia="宋体" w:cs="宋体"/>
          <w:bCs/>
          <w:sz w:val="21"/>
          <w:szCs w:val="21"/>
        </w:rPr>
        <w:t>2.考评完成后，由</w:t>
      </w:r>
      <w:r>
        <w:rPr>
          <w:rFonts w:hint="eastAsia" w:ascii="宋体" w:hAnsi="宋体" w:eastAsia="宋体" w:cs="宋体"/>
          <w:bCs/>
          <w:sz w:val="21"/>
          <w:szCs w:val="21"/>
          <w:lang w:eastAsia="zh-CN"/>
        </w:rPr>
        <w:t>学校</w:t>
      </w:r>
      <w:r>
        <w:rPr>
          <w:rFonts w:hint="eastAsia" w:ascii="宋体" w:hAnsi="宋体" w:eastAsia="宋体" w:cs="宋体"/>
          <w:bCs/>
          <w:sz w:val="21"/>
          <w:szCs w:val="21"/>
        </w:rPr>
        <w:t>对相关供应商档案（包括基础资料、交易记录和考核资料等）进行建立、收集、整理和归档，以备日后查阅。</w:t>
      </w:r>
    </w:p>
    <w:p w14:paraId="19A35A47">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3.本项目供应商服务综合评议制度及其附件相关条款的解释权归采购单位所有。服务合同履约过程中，因国家相关政策、法规、标准变化调整需要、上级文件要求以及实际工作需要，采购单位有权对供应商服务综合评议制度和相关附件进行调整和更新,中标供应商需无条件接受。</w:t>
      </w:r>
    </w:p>
    <w:p w14:paraId="3302EB30">
      <w:pPr>
        <w:spacing w:line="360" w:lineRule="auto"/>
        <w:jc w:val="left"/>
        <w:rPr>
          <w:rFonts w:hint="eastAsia" w:ascii="宋体" w:hAnsi="宋体" w:eastAsia="宋体" w:cs="宋体"/>
          <w:sz w:val="21"/>
          <w:szCs w:val="21"/>
        </w:rPr>
      </w:pPr>
    </w:p>
    <w:p w14:paraId="410063AD">
      <w:pPr>
        <w:spacing w:line="360" w:lineRule="auto"/>
        <w:jc w:val="left"/>
        <w:outlineLvl w:val="2"/>
        <w:rPr>
          <w:rFonts w:hint="eastAsia" w:ascii="宋体" w:hAnsi="宋体" w:eastAsia="宋体" w:cs="宋体"/>
          <w:sz w:val="21"/>
          <w:szCs w:val="21"/>
        </w:rPr>
      </w:pPr>
      <w:r>
        <w:rPr>
          <w:rFonts w:hint="eastAsia" w:ascii="宋体" w:hAnsi="宋体" w:eastAsia="宋体" w:cs="宋体"/>
          <w:sz w:val="21"/>
          <w:szCs w:val="21"/>
        </w:rPr>
        <w:t>附件 1 食堂食材供应商供货异常情况登记表</w:t>
      </w:r>
    </w:p>
    <w:p w14:paraId="63314486">
      <w:pPr>
        <w:widowControl w:val="0"/>
        <w:spacing w:line="360" w:lineRule="auto"/>
        <w:jc w:val="both"/>
        <w:rPr>
          <w:rFonts w:hint="eastAsia" w:ascii="宋体" w:hAnsi="宋体" w:eastAsia="宋体" w:cs="宋体"/>
          <w:b/>
          <w:bCs/>
          <w:kern w:val="2"/>
          <w:sz w:val="21"/>
          <w:szCs w:val="21"/>
          <w:lang w:eastAsia="zh-CN"/>
        </w:rPr>
      </w:pPr>
    </w:p>
    <w:tbl>
      <w:tblPr>
        <w:tblStyle w:val="1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39"/>
        <w:gridCol w:w="3275"/>
        <w:gridCol w:w="1715"/>
        <w:gridCol w:w="2101"/>
      </w:tblGrid>
      <w:tr w14:paraId="5390F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269" w:type="dxa"/>
            <w:tcBorders>
              <w:bottom w:val="single" w:color="000000" w:sz="6" w:space="0"/>
              <w:right w:val="single" w:color="000000" w:sz="6" w:space="0"/>
            </w:tcBorders>
            <w:noWrap w:val="0"/>
            <w:vAlign w:val="center"/>
          </w:tcPr>
          <w:p w14:paraId="6BB1E495">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供应商名</w:t>
            </w:r>
          </w:p>
          <w:p w14:paraId="72C539A0">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称</w:t>
            </w:r>
          </w:p>
        </w:tc>
        <w:tc>
          <w:tcPr>
            <w:tcW w:w="3354" w:type="dxa"/>
            <w:tcBorders>
              <w:left w:val="single" w:color="000000" w:sz="6" w:space="0"/>
              <w:bottom w:val="single" w:color="000000" w:sz="6" w:space="0"/>
              <w:right w:val="single" w:color="000000" w:sz="6" w:space="0"/>
            </w:tcBorders>
            <w:noWrap w:val="0"/>
            <w:vAlign w:val="center"/>
          </w:tcPr>
          <w:p w14:paraId="4D536FA4">
            <w:pPr>
              <w:widowControl/>
              <w:spacing w:line="360" w:lineRule="auto"/>
              <w:jc w:val="center"/>
              <w:rPr>
                <w:rFonts w:hint="eastAsia" w:ascii="宋体" w:hAnsi="宋体" w:eastAsia="宋体" w:cs="宋体"/>
                <w:sz w:val="21"/>
                <w:szCs w:val="21"/>
                <w:lang w:val="zh-CN" w:bidi="zh-CN"/>
              </w:rPr>
            </w:pPr>
          </w:p>
        </w:tc>
        <w:tc>
          <w:tcPr>
            <w:tcW w:w="1756" w:type="dxa"/>
            <w:tcBorders>
              <w:left w:val="single" w:color="000000" w:sz="6" w:space="0"/>
              <w:bottom w:val="single" w:color="000000" w:sz="6" w:space="0"/>
              <w:right w:val="single" w:color="000000" w:sz="6" w:space="0"/>
            </w:tcBorders>
            <w:noWrap w:val="0"/>
            <w:vAlign w:val="center"/>
          </w:tcPr>
          <w:p w14:paraId="564D17DC">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联系人及电话</w:t>
            </w:r>
          </w:p>
        </w:tc>
        <w:tc>
          <w:tcPr>
            <w:tcW w:w="2151" w:type="dxa"/>
            <w:tcBorders>
              <w:top w:val="single" w:color="000000" w:sz="4" w:space="0"/>
              <w:left w:val="single" w:color="000000" w:sz="6" w:space="0"/>
              <w:bottom w:val="single" w:color="000000" w:sz="6" w:space="0"/>
            </w:tcBorders>
            <w:noWrap w:val="0"/>
            <w:vAlign w:val="center"/>
          </w:tcPr>
          <w:p w14:paraId="74DD8143">
            <w:pPr>
              <w:widowControl/>
              <w:spacing w:line="360" w:lineRule="auto"/>
              <w:jc w:val="center"/>
              <w:rPr>
                <w:rFonts w:hint="eastAsia" w:ascii="宋体" w:hAnsi="宋体" w:eastAsia="宋体" w:cs="宋体"/>
                <w:sz w:val="21"/>
                <w:szCs w:val="21"/>
                <w:lang w:val="zh-CN" w:bidi="zh-CN"/>
              </w:rPr>
            </w:pPr>
          </w:p>
        </w:tc>
      </w:tr>
      <w:tr w14:paraId="0F8E6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269" w:type="dxa"/>
            <w:tcBorders>
              <w:top w:val="single" w:color="000000" w:sz="6" w:space="0"/>
              <w:bottom w:val="single" w:color="000000" w:sz="6" w:space="0"/>
              <w:right w:val="single" w:color="000000" w:sz="6" w:space="0"/>
            </w:tcBorders>
            <w:noWrap w:val="0"/>
            <w:vAlign w:val="center"/>
          </w:tcPr>
          <w:p w14:paraId="36707383">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送货地点</w:t>
            </w:r>
          </w:p>
        </w:tc>
        <w:tc>
          <w:tcPr>
            <w:tcW w:w="3354" w:type="dxa"/>
            <w:tcBorders>
              <w:top w:val="single" w:color="000000" w:sz="6" w:space="0"/>
              <w:left w:val="single" w:color="000000" w:sz="6" w:space="0"/>
              <w:bottom w:val="single" w:color="000000" w:sz="6" w:space="0"/>
              <w:right w:val="single" w:color="000000" w:sz="6" w:space="0"/>
            </w:tcBorders>
            <w:noWrap w:val="0"/>
            <w:vAlign w:val="center"/>
          </w:tcPr>
          <w:p w14:paraId="7898AF65">
            <w:pPr>
              <w:widowControl/>
              <w:spacing w:line="360" w:lineRule="auto"/>
              <w:jc w:val="center"/>
              <w:rPr>
                <w:rFonts w:hint="eastAsia" w:ascii="宋体" w:hAnsi="宋体" w:eastAsia="宋体" w:cs="宋体"/>
                <w:sz w:val="21"/>
                <w:szCs w:val="21"/>
                <w:lang w:val="zh-CN" w:bidi="zh-CN"/>
              </w:rPr>
            </w:pPr>
          </w:p>
        </w:tc>
        <w:tc>
          <w:tcPr>
            <w:tcW w:w="1756" w:type="dxa"/>
            <w:tcBorders>
              <w:top w:val="single" w:color="000000" w:sz="6" w:space="0"/>
              <w:left w:val="single" w:color="000000" w:sz="6" w:space="0"/>
              <w:bottom w:val="single" w:color="000000" w:sz="6" w:space="0"/>
              <w:right w:val="single" w:color="000000" w:sz="6" w:space="0"/>
            </w:tcBorders>
            <w:noWrap w:val="0"/>
            <w:vAlign w:val="center"/>
          </w:tcPr>
          <w:p w14:paraId="0B22DFBC">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送货时间</w:t>
            </w:r>
          </w:p>
        </w:tc>
        <w:tc>
          <w:tcPr>
            <w:tcW w:w="2151" w:type="dxa"/>
            <w:tcBorders>
              <w:top w:val="single" w:color="000000" w:sz="6" w:space="0"/>
              <w:left w:val="single" w:color="000000" w:sz="6" w:space="0"/>
              <w:bottom w:val="single" w:color="000000" w:sz="6" w:space="0"/>
            </w:tcBorders>
            <w:noWrap w:val="0"/>
            <w:vAlign w:val="center"/>
          </w:tcPr>
          <w:p w14:paraId="1A9F94F4">
            <w:pPr>
              <w:widowControl/>
              <w:tabs>
                <w:tab w:val="left" w:pos="1189"/>
                <w:tab w:val="left" w:pos="1789"/>
              </w:tabs>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年</w:t>
            </w:r>
            <w:r>
              <w:rPr>
                <w:rFonts w:hint="eastAsia" w:ascii="宋体" w:hAnsi="宋体" w:eastAsia="宋体" w:cs="宋体"/>
                <w:sz w:val="21"/>
                <w:szCs w:val="21"/>
                <w:lang w:val="zh-CN" w:bidi="zh-CN"/>
              </w:rPr>
              <w:tab/>
            </w:r>
            <w:r>
              <w:rPr>
                <w:rFonts w:hint="eastAsia" w:ascii="宋体" w:hAnsi="宋体" w:eastAsia="宋体" w:cs="宋体"/>
                <w:sz w:val="21"/>
                <w:szCs w:val="21"/>
                <w:lang w:val="zh-CN" w:bidi="zh-CN"/>
              </w:rPr>
              <w:t>月</w:t>
            </w:r>
            <w:r>
              <w:rPr>
                <w:rFonts w:hint="eastAsia" w:ascii="宋体" w:hAnsi="宋体" w:eastAsia="宋体" w:cs="宋体"/>
                <w:sz w:val="21"/>
                <w:szCs w:val="21"/>
                <w:lang w:val="zh-CN" w:bidi="zh-CN"/>
              </w:rPr>
              <w:tab/>
            </w:r>
            <w:r>
              <w:rPr>
                <w:rFonts w:hint="eastAsia" w:ascii="宋体" w:hAnsi="宋体" w:eastAsia="宋体" w:cs="宋体"/>
                <w:sz w:val="21"/>
                <w:szCs w:val="21"/>
                <w:lang w:val="zh-CN" w:bidi="zh-CN"/>
              </w:rPr>
              <w:t>日</w:t>
            </w:r>
          </w:p>
        </w:tc>
      </w:tr>
      <w:tr w14:paraId="32043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269" w:type="dxa"/>
            <w:tcBorders>
              <w:top w:val="single" w:color="000000" w:sz="6" w:space="0"/>
              <w:bottom w:val="single" w:color="000000" w:sz="6" w:space="0"/>
              <w:right w:val="single" w:color="000000" w:sz="6" w:space="0"/>
            </w:tcBorders>
            <w:noWrap w:val="0"/>
            <w:vAlign w:val="center"/>
          </w:tcPr>
          <w:p w14:paraId="7C16D884">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异常情况</w:t>
            </w:r>
          </w:p>
          <w:p w14:paraId="077F9E10">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类别</w:t>
            </w:r>
          </w:p>
        </w:tc>
        <w:tc>
          <w:tcPr>
            <w:tcW w:w="7261" w:type="dxa"/>
            <w:gridSpan w:val="3"/>
            <w:tcBorders>
              <w:top w:val="single" w:color="000000" w:sz="6" w:space="0"/>
              <w:left w:val="single" w:color="000000" w:sz="6" w:space="0"/>
              <w:bottom w:val="single" w:color="000000" w:sz="6" w:space="0"/>
            </w:tcBorders>
            <w:noWrap w:val="0"/>
            <w:vAlign w:val="center"/>
          </w:tcPr>
          <w:p w14:paraId="26B5318B">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质量（ ） 时间（ ） 安全（ ） 价格（ ） 服务（ ）</w:t>
            </w:r>
          </w:p>
        </w:tc>
      </w:tr>
      <w:tr w14:paraId="28FB8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jc w:val="center"/>
        </w:trPr>
        <w:tc>
          <w:tcPr>
            <w:tcW w:w="1269" w:type="dxa"/>
            <w:tcBorders>
              <w:top w:val="single" w:color="000000" w:sz="6" w:space="0"/>
              <w:bottom w:val="single" w:color="000000" w:sz="6" w:space="0"/>
              <w:right w:val="single" w:color="000000" w:sz="6" w:space="0"/>
            </w:tcBorders>
            <w:noWrap w:val="0"/>
            <w:vAlign w:val="center"/>
          </w:tcPr>
          <w:p w14:paraId="1D35EDA0">
            <w:pPr>
              <w:widowControl/>
              <w:spacing w:line="360" w:lineRule="auto"/>
              <w:jc w:val="center"/>
              <w:rPr>
                <w:rFonts w:hint="eastAsia" w:ascii="宋体" w:hAnsi="宋体" w:eastAsia="宋体" w:cs="宋体"/>
                <w:sz w:val="21"/>
                <w:szCs w:val="21"/>
                <w:lang w:val="zh-CN" w:bidi="zh-CN"/>
              </w:rPr>
            </w:pPr>
          </w:p>
          <w:p w14:paraId="35C5E3D6">
            <w:pPr>
              <w:widowControl/>
              <w:spacing w:line="360" w:lineRule="auto"/>
              <w:jc w:val="center"/>
              <w:rPr>
                <w:rFonts w:hint="eastAsia" w:ascii="宋体" w:hAnsi="宋体" w:eastAsia="宋体" w:cs="宋体"/>
                <w:sz w:val="21"/>
                <w:szCs w:val="21"/>
                <w:lang w:val="zh-CN" w:bidi="zh-CN"/>
              </w:rPr>
            </w:pPr>
          </w:p>
          <w:p w14:paraId="7D17FABE">
            <w:pPr>
              <w:widowControl/>
              <w:spacing w:line="360" w:lineRule="auto"/>
              <w:jc w:val="center"/>
              <w:rPr>
                <w:rFonts w:hint="eastAsia" w:ascii="宋体" w:hAnsi="宋体" w:eastAsia="宋体" w:cs="宋体"/>
                <w:sz w:val="21"/>
                <w:szCs w:val="21"/>
                <w:lang w:val="zh-CN" w:bidi="zh-CN"/>
              </w:rPr>
            </w:pPr>
          </w:p>
          <w:p w14:paraId="0F93EB8A">
            <w:pPr>
              <w:widowControl/>
              <w:spacing w:line="360" w:lineRule="auto"/>
              <w:jc w:val="center"/>
              <w:rPr>
                <w:rFonts w:hint="eastAsia" w:ascii="宋体" w:hAnsi="宋体" w:eastAsia="宋体" w:cs="宋体"/>
                <w:sz w:val="21"/>
                <w:szCs w:val="21"/>
                <w:lang w:val="zh-CN" w:bidi="zh-CN"/>
              </w:rPr>
            </w:pPr>
          </w:p>
          <w:p w14:paraId="549C84BA">
            <w:pPr>
              <w:widowControl/>
              <w:spacing w:line="360" w:lineRule="auto"/>
              <w:jc w:val="center"/>
              <w:rPr>
                <w:rFonts w:hint="eastAsia" w:ascii="宋体" w:hAnsi="宋体" w:eastAsia="宋体" w:cs="宋体"/>
                <w:sz w:val="21"/>
                <w:szCs w:val="21"/>
                <w:lang w:val="zh-CN" w:bidi="zh-CN"/>
              </w:rPr>
            </w:pPr>
          </w:p>
          <w:p w14:paraId="52ABB012">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具体情况</w:t>
            </w:r>
          </w:p>
        </w:tc>
        <w:tc>
          <w:tcPr>
            <w:tcW w:w="7261" w:type="dxa"/>
            <w:gridSpan w:val="3"/>
            <w:tcBorders>
              <w:top w:val="single" w:color="000000" w:sz="6" w:space="0"/>
              <w:left w:val="single" w:color="000000" w:sz="6" w:space="0"/>
              <w:bottom w:val="single" w:color="000000" w:sz="6" w:space="0"/>
            </w:tcBorders>
            <w:noWrap w:val="0"/>
            <w:vAlign w:val="center"/>
          </w:tcPr>
          <w:p w14:paraId="1E5EB79C">
            <w:pPr>
              <w:widowControl/>
              <w:spacing w:line="360" w:lineRule="auto"/>
              <w:jc w:val="center"/>
              <w:rPr>
                <w:rFonts w:hint="eastAsia" w:ascii="宋体" w:hAnsi="宋体" w:eastAsia="宋体" w:cs="宋体"/>
                <w:sz w:val="21"/>
                <w:szCs w:val="21"/>
                <w:lang w:val="zh-CN" w:bidi="zh-CN"/>
              </w:rPr>
            </w:pPr>
          </w:p>
        </w:tc>
      </w:tr>
      <w:tr w14:paraId="0BB6A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269" w:type="dxa"/>
            <w:tcBorders>
              <w:top w:val="single" w:color="000000" w:sz="6" w:space="0"/>
              <w:right w:val="single" w:color="000000" w:sz="6" w:space="0"/>
            </w:tcBorders>
            <w:noWrap w:val="0"/>
            <w:vAlign w:val="center"/>
          </w:tcPr>
          <w:p w14:paraId="5ACC47C0">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eastAsia="zh-CN" w:bidi="zh-CN"/>
              </w:rPr>
              <w:t>学校</w:t>
            </w:r>
            <w:r>
              <w:rPr>
                <w:rFonts w:hint="eastAsia" w:ascii="宋体" w:hAnsi="宋体" w:eastAsia="宋体" w:cs="宋体"/>
                <w:sz w:val="21"/>
                <w:szCs w:val="21"/>
                <w:lang w:val="zh-CN" w:bidi="zh-CN"/>
              </w:rPr>
              <w:t>签名</w:t>
            </w:r>
          </w:p>
        </w:tc>
        <w:tc>
          <w:tcPr>
            <w:tcW w:w="3354" w:type="dxa"/>
            <w:tcBorders>
              <w:top w:val="single" w:color="000000" w:sz="6" w:space="0"/>
              <w:left w:val="single" w:color="000000" w:sz="6" w:space="0"/>
              <w:right w:val="single" w:color="000000" w:sz="4" w:space="0"/>
            </w:tcBorders>
            <w:noWrap w:val="0"/>
            <w:vAlign w:val="center"/>
          </w:tcPr>
          <w:p w14:paraId="40732F69">
            <w:pPr>
              <w:widowControl/>
              <w:spacing w:line="360" w:lineRule="auto"/>
              <w:jc w:val="center"/>
              <w:rPr>
                <w:rFonts w:hint="eastAsia" w:ascii="宋体" w:hAnsi="宋体" w:eastAsia="宋体" w:cs="宋体"/>
                <w:sz w:val="21"/>
                <w:szCs w:val="21"/>
                <w:lang w:val="zh-CN" w:bidi="zh-CN"/>
              </w:rPr>
            </w:pPr>
          </w:p>
        </w:tc>
        <w:tc>
          <w:tcPr>
            <w:tcW w:w="1756" w:type="dxa"/>
            <w:tcBorders>
              <w:top w:val="single" w:color="000000" w:sz="6" w:space="0"/>
              <w:left w:val="single" w:color="000000" w:sz="4" w:space="0"/>
              <w:right w:val="single" w:color="000000" w:sz="4" w:space="0"/>
            </w:tcBorders>
            <w:noWrap w:val="0"/>
            <w:vAlign w:val="center"/>
          </w:tcPr>
          <w:p w14:paraId="10E4CB9B">
            <w:pPr>
              <w:widowControl/>
              <w:spacing w:line="360" w:lineRule="auto"/>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供应商签名</w:t>
            </w:r>
          </w:p>
        </w:tc>
        <w:tc>
          <w:tcPr>
            <w:tcW w:w="2151" w:type="dxa"/>
            <w:tcBorders>
              <w:top w:val="single" w:color="000000" w:sz="6" w:space="0"/>
              <w:left w:val="single" w:color="000000" w:sz="4" w:space="0"/>
            </w:tcBorders>
            <w:noWrap w:val="0"/>
            <w:vAlign w:val="center"/>
          </w:tcPr>
          <w:p w14:paraId="3CBE9300">
            <w:pPr>
              <w:widowControl/>
              <w:spacing w:line="360" w:lineRule="auto"/>
              <w:jc w:val="center"/>
              <w:rPr>
                <w:rFonts w:hint="eastAsia" w:ascii="宋体" w:hAnsi="宋体" w:eastAsia="宋体" w:cs="宋体"/>
                <w:sz w:val="21"/>
                <w:szCs w:val="21"/>
                <w:lang w:val="zh-CN" w:bidi="zh-CN"/>
              </w:rPr>
            </w:pPr>
          </w:p>
        </w:tc>
      </w:tr>
    </w:tbl>
    <w:p w14:paraId="0A678E2B">
      <w:pPr>
        <w:spacing w:line="360" w:lineRule="auto"/>
        <w:rPr>
          <w:rFonts w:hint="eastAsia" w:ascii="宋体" w:hAnsi="宋体" w:eastAsia="宋体" w:cs="宋体"/>
          <w:sz w:val="21"/>
          <w:szCs w:val="21"/>
        </w:rPr>
      </w:pPr>
      <w:r>
        <w:rPr>
          <w:rFonts w:hint="eastAsia" w:ascii="宋体" w:hAnsi="宋体" w:eastAsia="宋体" w:cs="宋体"/>
          <w:sz w:val="21"/>
          <w:szCs w:val="21"/>
        </w:rPr>
        <w:t>说明：履约异常情况分为质量、时间、安全、价格、服务共五类，请首先在对应的类别前打“√”，然后在“具体情况”一栏详细说明情况并对照《服务供应商月度考核评分表》 对相应的指标进行扣分。本表格一式两联，</w:t>
      </w:r>
      <w:r>
        <w:rPr>
          <w:rFonts w:hint="eastAsia" w:ascii="宋体" w:hAnsi="宋体" w:eastAsia="宋体" w:cs="宋体"/>
          <w:sz w:val="21"/>
          <w:szCs w:val="21"/>
          <w:lang w:eastAsia="zh-CN"/>
        </w:rPr>
        <w:t>学校</w:t>
      </w:r>
      <w:r>
        <w:rPr>
          <w:rFonts w:hint="eastAsia" w:ascii="宋体" w:hAnsi="宋体" w:eastAsia="宋体" w:cs="宋体"/>
          <w:sz w:val="21"/>
          <w:szCs w:val="21"/>
        </w:rPr>
        <w:t>及供应商各执一联。</w:t>
      </w:r>
    </w:p>
    <w:p w14:paraId="27F5F8A0">
      <w:pPr>
        <w:spacing w:line="360" w:lineRule="auto"/>
        <w:rPr>
          <w:rFonts w:hint="eastAsia" w:ascii="宋体" w:hAnsi="宋体" w:eastAsia="宋体" w:cs="宋体"/>
          <w:sz w:val="21"/>
          <w:szCs w:val="21"/>
        </w:rPr>
        <w:sectPr>
          <w:footerReference r:id="rId3" w:type="default"/>
          <w:pgSz w:w="11910" w:h="16840"/>
          <w:pgMar w:top="1440" w:right="1800" w:bottom="1440" w:left="1800" w:header="720" w:footer="720" w:gutter="0"/>
          <w:cols w:space="720" w:num="1"/>
        </w:sectPr>
      </w:pPr>
    </w:p>
    <w:p w14:paraId="5A47FEE0">
      <w:pPr>
        <w:spacing w:line="360" w:lineRule="auto"/>
        <w:jc w:val="left"/>
        <w:outlineLvl w:val="2"/>
        <w:rPr>
          <w:rFonts w:hint="eastAsia" w:ascii="宋体" w:hAnsi="宋体" w:eastAsia="宋体" w:cs="宋体"/>
          <w:sz w:val="21"/>
          <w:szCs w:val="21"/>
        </w:rPr>
      </w:pPr>
      <w:bookmarkStart w:id="12" w:name="附件2：服务供应商月度考核评分表"/>
      <w:bookmarkEnd w:id="12"/>
      <w:r>
        <w:rPr>
          <w:rFonts w:hint="eastAsia" w:ascii="宋体" w:hAnsi="宋体" w:eastAsia="宋体" w:cs="宋体"/>
          <w:sz w:val="21"/>
          <w:szCs w:val="21"/>
        </w:rPr>
        <w:t>附件 2 服务供应商月度考核评分表</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664"/>
        <w:gridCol w:w="1046"/>
        <w:gridCol w:w="900"/>
        <w:gridCol w:w="2838"/>
        <w:gridCol w:w="6427"/>
        <w:gridCol w:w="718"/>
      </w:tblGrid>
      <w:tr w14:paraId="06C5D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9" w:type="dxa"/>
            <w:shd w:val="clear" w:color="auto" w:fill="FFFFFF"/>
            <w:noWrap w:val="0"/>
            <w:vAlign w:val="center"/>
          </w:tcPr>
          <w:p w14:paraId="6A5D77FE">
            <w:pPr>
              <w:pStyle w:val="16"/>
              <w:spacing w:line="360" w:lineRule="auto"/>
              <w:jc w:val="center"/>
              <w:rPr>
                <w:rFonts w:hint="eastAsia" w:ascii="宋体" w:hAnsi="宋体" w:eastAsia="宋体" w:cs="宋体"/>
                <w:b/>
                <w:sz w:val="21"/>
                <w:szCs w:val="21"/>
              </w:rPr>
            </w:pPr>
            <w:r>
              <w:rPr>
                <w:rFonts w:hint="eastAsia" w:ascii="宋体" w:hAnsi="宋体" w:eastAsia="宋体" w:cs="宋体"/>
                <w:b/>
                <w:w w:val="95"/>
                <w:sz w:val="21"/>
                <w:szCs w:val="21"/>
              </w:rPr>
              <w:t>一级</w:t>
            </w:r>
          </w:p>
          <w:p w14:paraId="2B949E9F">
            <w:pPr>
              <w:pStyle w:val="16"/>
              <w:spacing w:line="360" w:lineRule="auto"/>
              <w:jc w:val="center"/>
              <w:rPr>
                <w:rFonts w:hint="eastAsia" w:ascii="宋体" w:hAnsi="宋体" w:eastAsia="宋体" w:cs="宋体"/>
                <w:b/>
                <w:sz w:val="21"/>
                <w:szCs w:val="21"/>
              </w:rPr>
            </w:pPr>
            <w:r>
              <w:rPr>
                <w:rFonts w:hint="eastAsia" w:ascii="宋体" w:hAnsi="宋体" w:eastAsia="宋体" w:cs="宋体"/>
                <w:b/>
                <w:w w:val="95"/>
                <w:sz w:val="21"/>
                <w:szCs w:val="21"/>
              </w:rPr>
              <w:t>指标</w:t>
            </w:r>
          </w:p>
        </w:tc>
        <w:tc>
          <w:tcPr>
            <w:tcW w:w="708" w:type="dxa"/>
            <w:shd w:val="clear" w:color="auto" w:fill="FFFFFF"/>
            <w:noWrap w:val="0"/>
            <w:vAlign w:val="center"/>
          </w:tcPr>
          <w:p w14:paraId="380D19FE">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1116" w:type="dxa"/>
            <w:shd w:val="clear" w:color="auto" w:fill="FFFFFF"/>
            <w:noWrap w:val="0"/>
            <w:vAlign w:val="center"/>
          </w:tcPr>
          <w:p w14:paraId="57528B55">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二级指标</w:t>
            </w:r>
          </w:p>
        </w:tc>
        <w:tc>
          <w:tcPr>
            <w:tcW w:w="960" w:type="dxa"/>
            <w:shd w:val="clear" w:color="auto" w:fill="FFFFFF"/>
            <w:noWrap w:val="0"/>
            <w:vAlign w:val="center"/>
          </w:tcPr>
          <w:p w14:paraId="15CFF612">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3031" w:type="dxa"/>
            <w:shd w:val="clear" w:color="auto" w:fill="FFFFFF"/>
            <w:noWrap w:val="0"/>
            <w:vAlign w:val="center"/>
          </w:tcPr>
          <w:p w14:paraId="014C4593">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考核内容</w:t>
            </w:r>
          </w:p>
        </w:tc>
        <w:tc>
          <w:tcPr>
            <w:tcW w:w="6867" w:type="dxa"/>
            <w:shd w:val="clear" w:color="auto" w:fill="FFFFFF"/>
            <w:noWrap w:val="0"/>
            <w:vAlign w:val="center"/>
          </w:tcPr>
          <w:p w14:paraId="299D9C46">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765" w:type="dxa"/>
            <w:shd w:val="clear" w:color="auto" w:fill="FFFFFF"/>
            <w:noWrap w:val="0"/>
            <w:vAlign w:val="center"/>
          </w:tcPr>
          <w:p w14:paraId="1B15203D">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得分</w:t>
            </w:r>
          </w:p>
        </w:tc>
      </w:tr>
      <w:tr w14:paraId="11C5F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2" w:hRule="atLeast"/>
          <w:jc w:val="center"/>
        </w:trPr>
        <w:tc>
          <w:tcPr>
            <w:tcW w:w="699" w:type="dxa"/>
            <w:vMerge w:val="restart"/>
            <w:noWrap w:val="0"/>
            <w:vAlign w:val="center"/>
          </w:tcPr>
          <w:p w14:paraId="38EDB4B9">
            <w:pPr>
              <w:pStyle w:val="16"/>
              <w:spacing w:line="360" w:lineRule="auto"/>
              <w:jc w:val="center"/>
              <w:rPr>
                <w:rFonts w:hint="eastAsia" w:ascii="宋体" w:hAnsi="宋体" w:eastAsia="宋体" w:cs="宋体"/>
                <w:sz w:val="21"/>
                <w:szCs w:val="21"/>
              </w:rPr>
            </w:pPr>
          </w:p>
          <w:p w14:paraId="4D3A6545">
            <w:pPr>
              <w:pStyle w:val="16"/>
              <w:spacing w:line="360" w:lineRule="auto"/>
              <w:jc w:val="center"/>
              <w:rPr>
                <w:rFonts w:hint="eastAsia" w:ascii="宋体" w:hAnsi="宋体" w:eastAsia="宋体" w:cs="宋体"/>
                <w:sz w:val="21"/>
                <w:szCs w:val="21"/>
              </w:rPr>
            </w:pPr>
          </w:p>
          <w:p w14:paraId="79EF4D66">
            <w:pPr>
              <w:pStyle w:val="16"/>
              <w:spacing w:line="360" w:lineRule="auto"/>
              <w:jc w:val="center"/>
              <w:rPr>
                <w:rFonts w:hint="eastAsia" w:ascii="宋体" w:hAnsi="宋体" w:eastAsia="宋体" w:cs="宋体"/>
                <w:sz w:val="21"/>
                <w:szCs w:val="21"/>
              </w:rPr>
            </w:pPr>
          </w:p>
          <w:p w14:paraId="69E493B2">
            <w:pPr>
              <w:pStyle w:val="16"/>
              <w:spacing w:line="360" w:lineRule="auto"/>
              <w:jc w:val="center"/>
              <w:rPr>
                <w:rFonts w:hint="eastAsia" w:ascii="宋体" w:hAnsi="宋体" w:eastAsia="宋体" w:cs="宋体"/>
                <w:sz w:val="21"/>
                <w:szCs w:val="21"/>
              </w:rPr>
            </w:pPr>
          </w:p>
          <w:p w14:paraId="473AC143">
            <w:pPr>
              <w:pStyle w:val="16"/>
              <w:spacing w:line="360" w:lineRule="auto"/>
              <w:jc w:val="center"/>
              <w:rPr>
                <w:rFonts w:hint="eastAsia" w:ascii="宋体" w:hAnsi="宋体" w:eastAsia="宋体" w:cs="宋体"/>
                <w:sz w:val="21"/>
                <w:szCs w:val="21"/>
              </w:rPr>
            </w:pPr>
          </w:p>
          <w:p w14:paraId="318866A4">
            <w:pPr>
              <w:pStyle w:val="16"/>
              <w:spacing w:line="360" w:lineRule="auto"/>
              <w:jc w:val="center"/>
              <w:rPr>
                <w:rFonts w:hint="eastAsia" w:ascii="宋体" w:hAnsi="宋体" w:eastAsia="宋体" w:cs="宋体"/>
                <w:sz w:val="21"/>
                <w:szCs w:val="21"/>
              </w:rPr>
            </w:pPr>
          </w:p>
          <w:p w14:paraId="21CE6697">
            <w:pPr>
              <w:pStyle w:val="16"/>
              <w:spacing w:line="360" w:lineRule="auto"/>
              <w:jc w:val="center"/>
              <w:rPr>
                <w:rFonts w:hint="eastAsia" w:ascii="宋体" w:hAnsi="宋体" w:eastAsia="宋体" w:cs="宋体"/>
                <w:sz w:val="21"/>
                <w:szCs w:val="21"/>
              </w:rPr>
            </w:pPr>
          </w:p>
          <w:p w14:paraId="155C4017">
            <w:pPr>
              <w:pStyle w:val="16"/>
              <w:spacing w:line="360" w:lineRule="auto"/>
              <w:jc w:val="center"/>
              <w:rPr>
                <w:rFonts w:hint="eastAsia" w:ascii="宋体" w:hAnsi="宋体" w:eastAsia="宋体" w:cs="宋体"/>
                <w:sz w:val="21"/>
                <w:szCs w:val="21"/>
              </w:rPr>
            </w:pPr>
          </w:p>
          <w:p w14:paraId="7FC70190">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食材管理</w:t>
            </w:r>
          </w:p>
        </w:tc>
        <w:tc>
          <w:tcPr>
            <w:tcW w:w="708" w:type="dxa"/>
            <w:vMerge w:val="restart"/>
            <w:noWrap w:val="0"/>
            <w:vAlign w:val="center"/>
          </w:tcPr>
          <w:p w14:paraId="23241676">
            <w:pPr>
              <w:pStyle w:val="16"/>
              <w:spacing w:line="360" w:lineRule="auto"/>
              <w:jc w:val="center"/>
              <w:rPr>
                <w:rFonts w:hint="eastAsia" w:ascii="宋体" w:hAnsi="宋体" w:eastAsia="宋体" w:cs="宋体"/>
                <w:sz w:val="21"/>
                <w:szCs w:val="21"/>
              </w:rPr>
            </w:pPr>
          </w:p>
          <w:p w14:paraId="4A26B493">
            <w:pPr>
              <w:pStyle w:val="16"/>
              <w:spacing w:line="360" w:lineRule="auto"/>
              <w:jc w:val="center"/>
              <w:rPr>
                <w:rFonts w:hint="eastAsia" w:ascii="宋体" w:hAnsi="宋体" w:eastAsia="宋体" w:cs="宋体"/>
                <w:sz w:val="21"/>
                <w:szCs w:val="21"/>
              </w:rPr>
            </w:pPr>
          </w:p>
          <w:p w14:paraId="1A0A33E6">
            <w:pPr>
              <w:pStyle w:val="16"/>
              <w:spacing w:line="360" w:lineRule="auto"/>
              <w:jc w:val="center"/>
              <w:rPr>
                <w:rFonts w:hint="eastAsia" w:ascii="宋体" w:hAnsi="宋体" w:eastAsia="宋体" w:cs="宋体"/>
                <w:sz w:val="21"/>
                <w:szCs w:val="21"/>
              </w:rPr>
            </w:pPr>
          </w:p>
          <w:p w14:paraId="3D24EEFD">
            <w:pPr>
              <w:pStyle w:val="16"/>
              <w:spacing w:line="360" w:lineRule="auto"/>
              <w:jc w:val="center"/>
              <w:rPr>
                <w:rFonts w:hint="eastAsia" w:ascii="宋体" w:hAnsi="宋体" w:eastAsia="宋体" w:cs="宋体"/>
                <w:sz w:val="21"/>
                <w:szCs w:val="21"/>
              </w:rPr>
            </w:pPr>
          </w:p>
          <w:p w14:paraId="4C8BCDC1">
            <w:pPr>
              <w:pStyle w:val="16"/>
              <w:spacing w:line="360" w:lineRule="auto"/>
              <w:jc w:val="center"/>
              <w:rPr>
                <w:rFonts w:hint="eastAsia" w:ascii="宋体" w:hAnsi="宋体" w:eastAsia="宋体" w:cs="宋体"/>
                <w:sz w:val="21"/>
                <w:szCs w:val="21"/>
              </w:rPr>
            </w:pPr>
          </w:p>
          <w:p w14:paraId="259A5464">
            <w:pPr>
              <w:pStyle w:val="16"/>
              <w:spacing w:line="360" w:lineRule="auto"/>
              <w:jc w:val="center"/>
              <w:rPr>
                <w:rFonts w:hint="eastAsia" w:ascii="宋体" w:hAnsi="宋体" w:eastAsia="宋体" w:cs="宋体"/>
                <w:sz w:val="21"/>
                <w:szCs w:val="21"/>
              </w:rPr>
            </w:pPr>
          </w:p>
          <w:p w14:paraId="27C3BA74">
            <w:pPr>
              <w:pStyle w:val="16"/>
              <w:spacing w:line="360" w:lineRule="auto"/>
              <w:jc w:val="center"/>
              <w:rPr>
                <w:rFonts w:hint="eastAsia" w:ascii="宋体" w:hAnsi="宋体" w:eastAsia="宋体" w:cs="宋体"/>
                <w:sz w:val="21"/>
                <w:szCs w:val="21"/>
              </w:rPr>
            </w:pPr>
          </w:p>
          <w:p w14:paraId="10BC7693">
            <w:pPr>
              <w:pStyle w:val="16"/>
              <w:spacing w:line="360" w:lineRule="auto"/>
              <w:jc w:val="center"/>
              <w:rPr>
                <w:rFonts w:hint="eastAsia" w:ascii="宋体" w:hAnsi="宋体" w:eastAsia="宋体" w:cs="宋体"/>
                <w:sz w:val="21"/>
                <w:szCs w:val="21"/>
              </w:rPr>
            </w:pPr>
          </w:p>
          <w:p w14:paraId="0D1AC11F">
            <w:pPr>
              <w:pStyle w:val="16"/>
              <w:spacing w:line="360" w:lineRule="auto"/>
              <w:jc w:val="center"/>
              <w:rPr>
                <w:rFonts w:hint="eastAsia" w:ascii="宋体" w:hAnsi="宋体" w:eastAsia="宋体" w:cs="宋体"/>
                <w:sz w:val="21"/>
                <w:szCs w:val="21"/>
              </w:rPr>
            </w:pPr>
          </w:p>
          <w:p w14:paraId="71352365">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35 分</w:t>
            </w:r>
          </w:p>
        </w:tc>
        <w:tc>
          <w:tcPr>
            <w:tcW w:w="1116" w:type="dxa"/>
            <w:noWrap w:val="0"/>
            <w:vAlign w:val="center"/>
          </w:tcPr>
          <w:p w14:paraId="1C4B882B">
            <w:pPr>
              <w:pStyle w:val="16"/>
              <w:spacing w:line="360" w:lineRule="auto"/>
              <w:jc w:val="center"/>
              <w:rPr>
                <w:rFonts w:hint="eastAsia" w:ascii="宋体" w:hAnsi="宋体" w:eastAsia="宋体" w:cs="宋体"/>
                <w:sz w:val="21"/>
                <w:szCs w:val="21"/>
              </w:rPr>
            </w:pPr>
          </w:p>
          <w:p w14:paraId="791D0350">
            <w:pPr>
              <w:pStyle w:val="16"/>
              <w:spacing w:line="360" w:lineRule="auto"/>
              <w:jc w:val="center"/>
              <w:rPr>
                <w:rFonts w:hint="eastAsia" w:ascii="宋体" w:hAnsi="宋体" w:eastAsia="宋体" w:cs="宋体"/>
                <w:sz w:val="21"/>
                <w:szCs w:val="21"/>
              </w:rPr>
            </w:pPr>
          </w:p>
          <w:p w14:paraId="304A7FA0">
            <w:pPr>
              <w:pStyle w:val="16"/>
              <w:spacing w:line="360" w:lineRule="auto"/>
              <w:jc w:val="center"/>
              <w:rPr>
                <w:rFonts w:hint="eastAsia" w:ascii="宋体" w:hAnsi="宋体" w:eastAsia="宋体" w:cs="宋体"/>
                <w:sz w:val="21"/>
                <w:szCs w:val="21"/>
              </w:rPr>
            </w:pPr>
          </w:p>
          <w:p w14:paraId="5A64BF6C">
            <w:pPr>
              <w:pStyle w:val="16"/>
              <w:spacing w:line="360" w:lineRule="auto"/>
              <w:jc w:val="center"/>
              <w:rPr>
                <w:rFonts w:hint="eastAsia" w:ascii="宋体" w:hAnsi="宋体" w:eastAsia="宋体" w:cs="宋体"/>
                <w:sz w:val="21"/>
                <w:szCs w:val="21"/>
              </w:rPr>
            </w:pPr>
          </w:p>
          <w:p w14:paraId="1E016874">
            <w:pPr>
              <w:pStyle w:val="16"/>
              <w:spacing w:line="360" w:lineRule="auto"/>
              <w:jc w:val="center"/>
              <w:rPr>
                <w:rFonts w:hint="eastAsia" w:ascii="宋体" w:hAnsi="宋体" w:eastAsia="宋体" w:cs="宋体"/>
                <w:sz w:val="21"/>
                <w:szCs w:val="21"/>
              </w:rPr>
            </w:pPr>
          </w:p>
          <w:p w14:paraId="25BE1283">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食材质量评价指标</w:t>
            </w:r>
          </w:p>
        </w:tc>
        <w:tc>
          <w:tcPr>
            <w:tcW w:w="960" w:type="dxa"/>
            <w:noWrap w:val="0"/>
            <w:vAlign w:val="center"/>
          </w:tcPr>
          <w:p w14:paraId="6FD5E52A">
            <w:pPr>
              <w:pStyle w:val="16"/>
              <w:spacing w:line="360" w:lineRule="auto"/>
              <w:jc w:val="center"/>
              <w:rPr>
                <w:rFonts w:hint="eastAsia" w:ascii="宋体" w:hAnsi="宋体" w:eastAsia="宋体" w:cs="宋体"/>
                <w:sz w:val="21"/>
                <w:szCs w:val="21"/>
              </w:rPr>
            </w:pPr>
          </w:p>
          <w:p w14:paraId="439F0D93">
            <w:pPr>
              <w:pStyle w:val="16"/>
              <w:spacing w:line="360" w:lineRule="auto"/>
              <w:jc w:val="center"/>
              <w:rPr>
                <w:rFonts w:hint="eastAsia" w:ascii="宋体" w:hAnsi="宋体" w:eastAsia="宋体" w:cs="宋体"/>
                <w:sz w:val="21"/>
                <w:szCs w:val="21"/>
              </w:rPr>
            </w:pPr>
          </w:p>
          <w:p w14:paraId="5D958D83">
            <w:pPr>
              <w:pStyle w:val="16"/>
              <w:spacing w:line="360" w:lineRule="auto"/>
              <w:jc w:val="center"/>
              <w:rPr>
                <w:rFonts w:hint="eastAsia" w:ascii="宋体" w:hAnsi="宋体" w:eastAsia="宋体" w:cs="宋体"/>
                <w:sz w:val="21"/>
                <w:szCs w:val="21"/>
              </w:rPr>
            </w:pPr>
          </w:p>
          <w:p w14:paraId="5D3BBC41">
            <w:pPr>
              <w:pStyle w:val="16"/>
              <w:spacing w:line="360" w:lineRule="auto"/>
              <w:jc w:val="center"/>
              <w:rPr>
                <w:rFonts w:hint="eastAsia" w:ascii="宋体" w:hAnsi="宋体" w:eastAsia="宋体" w:cs="宋体"/>
                <w:sz w:val="21"/>
                <w:szCs w:val="21"/>
              </w:rPr>
            </w:pPr>
          </w:p>
          <w:p w14:paraId="2114F97F">
            <w:pPr>
              <w:pStyle w:val="16"/>
              <w:spacing w:line="360" w:lineRule="auto"/>
              <w:jc w:val="center"/>
              <w:rPr>
                <w:rFonts w:hint="eastAsia" w:ascii="宋体" w:hAnsi="宋体" w:eastAsia="宋体" w:cs="宋体"/>
                <w:sz w:val="21"/>
                <w:szCs w:val="21"/>
              </w:rPr>
            </w:pPr>
          </w:p>
          <w:p w14:paraId="53088861">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25分</w:t>
            </w:r>
          </w:p>
        </w:tc>
        <w:tc>
          <w:tcPr>
            <w:tcW w:w="3031" w:type="dxa"/>
            <w:noWrap w:val="0"/>
            <w:vAlign w:val="center"/>
          </w:tcPr>
          <w:p w14:paraId="349A2551">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考核内容配送物品是否</w:t>
            </w:r>
            <w:r>
              <w:rPr>
                <w:rFonts w:hint="eastAsia" w:ascii="宋体" w:hAnsi="宋体" w:eastAsia="宋体" w:cs="宋体"/>
                <w:spacing w:val="-12"/>
                <w:sz w:val="21"/>
                <w:szCs w:val="21"/>
              </w:rPr>
              <w:t>存在霉烂、变质、过期、</w:t>
            </w:r>
            <w:r>
              <w:rPr>
                <w:rFonts w:hint="eastAsia" w:ascii="宋体" w:hAnsi="宋体" w:eastAsia="宋体" w:cs="宋体"/>
                <w:sz w:val="21"/>
                <w:szCs w:val="21"/>
              </w:rPr>
              <w:t>破损、品种不达标等不符《深圳市学校（幼儿园）食堂食材采购验收参考标准》中对质量要求的情况， 是否存在以次充好达不到学校（幼儿园）要求等的情况。每次退换货及时补回的</w:t>
            </w:r>
            <w:r>
              <w:rPr>
                <w:rFonts w:hint="eastAsia" w:ascii="宋体" w:hAnsi="宋体" w:eastAsia="宋体" w:cs="宋体"/>
                <w:spacing w:val="-15"/>
                <w:sz w:val="21"/>
                <w:szCs w:val="21"/>
              </w:rPr>
              <w:t xml:space="preserve">每次扣 </w:t>
            </w:r>
            <w:r>
              <w:rPr>
                <w:rFonts w:hint="eastAsia" w:ascii="宋体" w:hAnsi="宋体" w:eastAsia="宋体" w:cs="宋体"/>
                <w:sz w:val="21"/>
                <w:szCs w:val="21"/>
              </w:rPr>
              <w:t>1</w:t>
            </w:r>
            <w:r>
              <w:rPr>
                <w:rFonts w:hint="eastAsia" w:ascii="宋体" w:hAnsi="宋体" w:eastAsia="宋体" w:cs="宋体"/>
                <w:spacing w:val="-30"/>
                <w:sz w:val="21"/>
                <w:szCs w:val="21"/>
              </w:rPr>
              <w:t xml:space="preserve"> 分</w:t>
            </w:r>
            <w:r>
              <w:rPr>
                <w:rFonts w:hint="eastAsia" w:ascii="宋体" w:hAnsi="宋体" w:eastAsia="宋体" w:cs="宋体"/>
                <w:sz w:val="21"/>
                <w:szCs w:val="21"/>
              </w:rPr>
              <w:t>/</w:t>
            </w:r>
            <w:r>
              <w:rPr>
                <w:rFonts w:hint="eastAsia" w:ascii="宋体" w:hAnsi="宋体" w:eastAsia="宋体" w:cs="宋体"/>
                <w:spacing w:val="-20"/>
                <w:sz w:val="21"/>
                <w:szCs w:val="21"/>
              </w:rPr>
              <w:t>品种，每次退换货未能及时补回的</w:t>
            </w:r>
          </w:p>
          <w:p w14:paraId="22A4C7AE">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每次扣 2 分/品种。</w:t>
            </w:r>
          </w:p>
        </w:tc>
        <w:tc>
          <w:tcPr>
            <w:tcW w:w="6867" w:type="dxa"/>
            <w:noWrap w:val="0"/>
            <w:vAlign w:val="center"/>
          </w:tcPr>
          <w:p w14:paraId="2EE5CBE7">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本月每日配送食材新鲜，不存在霉烂、变质、过期、破损、品种不达标等情况，完全符合《深圳市学校（幼儿园）食堂食材采购验收参</w:t>
            </w:r>
            <w:r>
              <w:rPr>
                <w:rFonts w:hint="eastAsia" w:ascii="宋体" w:hAnsi="宋体" w:eastAsia="宋体" w:cs="宋体"/>
                <w:spacing w:val="-8"/>
                <w:sz w:val="21"/>
                <w:szCs w:val="21"/>
              </w:rPr>
              <w:t xml:space="preserve">考标准》中的相关要求，得 </w:t>
            </w:r>
            <w:r>
              <w:rPr>
                <w:rFonts w:hint="eastAsia" w:ascii="宋体" w:hAnsi="宋体" w:eastAsia="宋体" w:cs="宋体"/>
                <w:sz w:val="21"/>
                <w:szCs w:val="21"/>
              </w:rPr>
              <w:t>25</w:t>
            </w:r>
            <w:r>
              <w:rPr>
                <w:rFonts w:hint="eastAsia" w:ascii="宋体" w:hAnsi="宋体" w:eastAsia="宋体" w:cs="宋体"/>
                <w:spacing w:val="-11"/>
                <w:sz w:val="21"/>
                <w:szCs w:val="21"/>
              </w:rPr>
              <w:t xml:space="preserve"> 分；因食材不符合《深圳市学校（幼儿园）</w:t>
            </w:r>
            <w:r>
              <w:rPr>
                <w:rFonts w:hint="eastAsia" w:ascii="宋体" w:hAnsi="宋体" w:eastAsia="宋体" w:cs="宋体"/>
                <w:sz w:val="21"/>
                <w:szCs w:val="21"/>
              </w:rPr>
              <w:t>食堂食材采购验收参考标准》中的相关要求，校（园）方要求供应商退换货的：供应商能及时补回同品种食材的，每发生一</w:t>
            </w:r>
            <w:r>
              <w:rPr>
                <w:rFonts w:hint="eastAsia" w:ascii="宋体" w:hAnsi="宋体" w:eastAsia="宋体" w:cs="宋体"/>
                <w:spacing w:val="-20"/>
                <w:sz w:val="21"/>
                <w:szCs w:val="21"/>
              </w:rPr>
              <w:t xml:space="preserve">次扣 </w:t>
            </w:r>
            <w:r>
              <w:rPr>
                <w:rFonts w:hint="eastAsia" w:ascii="宋体" w:hAnsi="宋体" w:eastAsia="宋体" w:cs="宋体"/>
                <w:sz w:val="21"/>
                <w:szCs w:val="21"/>
              </w:rPr>
              <w:t>1</w:t>
            </w:r>
            <w:r>
              <w:rPr>
                <w:rFonts w:hint="eastAsia" w:ascii="宋体" w:hAnsi="宋体" w:eastAsia="宋体" w:cs="宋体"/>
                <w:spacing w:val="-30"/>
                <w:sz w:val="21"/>
                <w:szCs w:val="21"/>
              </w:rPr>
              <w:t xml:space="preserve"> 分</w:t>
            </w:r>
            <w:r>
              <w:rPr>
                <w:rFonts w:hint="eastAsia" w:ascii="宋体" w:hAnsi="宋体" w:eastAsia="宋体" w:cs="宋体"/>
                <w:sz w:val="21"/>
                <w:szCs w:val="21"/>
              </w:rPr>
              <w:t>/</w:t>
            </w:r>
            <w:r>
              <w:rPr>
                <w:rFonts w:hint="eastAsia" w:ascii="宋体" w:hAnsi="宋体" w:eastAsia="宋体" w:cs="宋体"/>
                <w:spacing w:val="-6"/>
                <w:sz w:val="21"/>
                <w:szCs w:val="21"/>
              </w:rPr>
              <w:t>品种；供应商不能及时补回同品种食材、但能及时提</w:t>
            </w:r>
            <w:r>
              <w:rPr>
                <w:rFonts w:hint="eastAsia" w:ascii="宋体" w:hAnsi="宋体" w:eastAsia="宋体" w:cs="宋体"/>
                <w:sz w:val="21"/>
                <w:szCs w:val="21"/>
              </w:rPr>
              <w:t>供符合《深圳市学校（幼儿园）食堂食材采购验收参考标准》中相关要求</w:t>
            </w:r>
            <w:r>
              <w:rPr>
                <w:rFonts w:hint="eastAsia" w:ascii="宋体" w:hAnsi="宋体" w:eastAsia="宋体" w:cs="宋体"/>
                <w:spacing w:val="-8"/>
                <w:sz w:val="21"/>
                <w:szCs w:val="21"/>
              </w:rPr>
              <w:t xml:space="preserve">的替代食材的，每发生一次扣 </w:t>
            </w:r>
            <w:r>
              <w:rPr>
                <w:rFonts w:hint="eastAsia" w:ascii="宋体" w:hAnsi="宋体" w:eastAsia="宋体" w:cs="宋体"/>
                <w:sz w:val="21"/>
                <w:szCs w:val="21"/>
              </w:rPr>
              <w:t>2</w:t>
            </w:r>
            <w:r>
              <w:rPr>
                <w:rFonts w:hint="eastAsia" w:ascii="宋体" w:hAnsi="宋体" w:eastAsia="宋体" w:cs="宋体"/>
                <w:spacing w:val="-30"/>
                <w:sz w:val="21"/>
                <w:szCs w:val="21"/>
              </w:rPr>
              <w:t xml:space="preserve"> 分</w:t>
            </w:r>
            <w:r>
              <w:rPr>
                <w:rFonts w:hint="eastAsia" w:ascii="宋体" w:hAnsi="宋体" w:eastAsia="宋体" w:cs="宋体"/>
                <w:sz w:val="21"/>
                <w:szCs w:val="21"/>
              </w:rPr>
              <w:t>/</w:t>
            </w:r>
            <w:r>
              <w:rPr>
                <w:rFonts w:hint="eastAsia" w:ascii="宋体" w:hAnsi="宋体" w:eastAsia="宋体" w:cs="宋体"/>
                <w:spacing w:val="-5"/>
                <w:sz w:val="21"/>
                <w:szCs w:val="21"/>
              </w:rPr>
              <w:t>品种；供应商不能及时补回</w:t>
            </w:r>
            <w:r>
              <w:rPr>
                <w:rFonts w:hint="eastAsia" w:ascii="宋体" w:hAnsi="宋体" w:eastAsia="宋体" w:cs="宋体"/>
                <w:sz w:val="21"/>
                <w:szCs w:val="21"/>
              </w:rPr>
              <w:t>同品种食材及符合《深圳市学校（幼儿园）食堂食材采购验收参考标准》中相关要求的替代食材，对当日餐食造成影响（如不能按时开</w:t>
            </w:r>
            <w:r>
              <w:rPr>
                <w:rFonts w:hint="eastAsia" w:ascii="宋体" w:hAnsi="宋体" w:eastAsia="宋体" w:cs="宋体"/>
                <w:spacing w:val="-3"/>
                <w:sz w:val="21"/>
                <w:szCs w:val="21"/>
              </w:rPr>
              <w:t>餐、菜品数量减少等</w:t>
            </w:r>
            <w:r>
              <w:rPr>
                <w:rFonts w:hint="eastAsia" w:ascii="宋体" w:hAnsi="宋体" w:eastAsia="宋体" w:cs="宋体"/>
                <w:spacing w:val="-9"/>
                <w:sz w:val="21"/>
                <w:szCs w:val="21"/>
              </w:rPr>
              <w:t>）</w:t>
            </w:r>
            <w:r>
              <w:rPr>
                <w:rFonts w:hint="eastAsia" w:ascii="宋体" w:hAnsi="宋体" w:eastAsia="宋体" w:cs="宋体"/>
                <w:spacing w:val="-11"/>
                <w:sz w:val="21"/>
                <w:szCs w:val="21"/>
              </w:rPr>
              <w:t xml:space="preserve">，每发生一次扣 </w:t>
            </w:r>
            <w:r>
              <w:rPr>
                <w:rFonts w:hint="eastAsia" w:ascii="宋体" w:hAnsi="宋体" w:eastAsia="宋体" w:cs="宋体"/>
                <w:sz w:val="21"/>
                <w:szCs w:val="21"/>
              </w:rPr>
              <w:t>10</w:t>
            </w:r>
            <w:r>
              <w:rPr>
                <w:rFonts w:hint="eastAsia" w:ascii="宋体" w:hAnsi="宋体" w:eastAsia="宋体" w:cs="宋体"/>
                <w:spacing w:val="-11"/>
                <w:sz w:val="21"/>
                <w:szCs w:val="21"/>
              </w:rPr>
              <w:t xml:space="preserve"> 分。本项指标累计每</w:t>
            </w:r>
            <w:r>
              <w:rPr>
                <w:rFonts w:hint="eastAsia" w:ascii="宋体" w:hAnsi="宋体" w:eastAsia="宋体" w:cs="宋体"/>
                <w:sz w:val="21"/>
                <w:szCs w:val="21"/>
              </w:rPr>
              <w:t>月最高扣25 分。</w:t>
            </w:r>
          </w:p>
        </w:tc>
        <w:tc>
          <w:tcPr>
            <w:tcW w:w="765" w:type="dxa"/>
            <w:noWrap w:val="0"/>
            <w:vAlign w:val="center"/>
          </w:tcPr>
          <w:p w14:paraId="04F20ED4">
            <w:pPr>
              <w:pStyle w:val="16"/>
              <w:spacing w:line="360" w:lineRule="auto"/>
              <w:jc w:val="center"/>
              <w:rPr>
                <w:rFonts w:hint="eastAsia" w:ascii="宋体" w:hAnsi="宋体" w:eastAsia="宋体" w:cs="宋体"/>
                <w:sz w:val="21"/>
                <w:szCs w:val="21"/>
              </w:rPr>
            </w:pPr>
          </w:p>
        </w:tc>
      </w:tr>
      <w:tr w14:paraId="06C1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jc w:val="center"/>
        </w:trPr>
        <w:tc>
          <w:tcPr>
            <w:tcW w:w="699" w:type="dxa"/>
            <w:vMerge w:val="continue"/>
            <w:tcBorders>
              <w:top w:val="nil"/>
            </w:tcBorders>
            <w:noWrap w:val="0"/>
            <w:vAlign w:val="center"/>
          </w:tcPr>
          <w:p w14:paraId="6CC6FC55">
            <w:pPr>
              <w:spacing w:line="360" w:lineRule="auto"/>
              <w:jc w:val="center"/>
              <w:rPr>
                <w:rFonts w:hint="eastAsia" w:ascii="宋体" w:hAnsi="宋体" w:eastAsia="宋体" w:cs="宋体"/>
                <w:sz w:val="21"/>
                <w:szCs w:val="21"/>
              </w:rPr>
            </w:pPr>
          </w:p>
        </w:tc>
        <w:tc>
          <w:tcPr>
            <w:tcW w:w="708" w:type="dxa"/>
            <w:vMerge w:val="continue"/>
            <w:tcBorders>
              <w:top w:val="nil"/>
            </w:tcBorders>
            <w:noWrap w:val="0"/>
            <w:vAlign w:val="center"/>
          </w:tcPr>
          <w:p w14:paraId="473A3CBC">
            <w:pPr>
              <w:spacing w:line="360" w:lineRule="auto"/>
              <w:jc w:val="center"/>
              <w:rPr>
                <w:rFonts w:hint="eastAsia" w:ascii="宋体" w:hAnsi="宋体" w:eastAsia="宋体" w:cs="宋体"/>
                <w:sz w:val="21"/>
                <w:szCs w:val="21"/>
              </w:rPr>
            </w:pPr>
          </w:p>
        </w:tc>
        <w:tc>
          <w:tcPr>
            <w:tcW w:w="1116" w:type="dxa"/>
            <w:noWrap w:val="0"/>
            <w:vAlign w:val="center"/>
          </w:tcPr>
          <w:p w14:paraId="148888F8">
            <w:pPr>
              <w:pStyle w:val="16"/>
              <w:spacing w:line="360" w:lineRule="auto"/>
              <w:jc w:val="center"/>
              <w:rPr>
                <w:rFonts w:hint="eastAsia" w:ascii="宋体" w:hAnsi="宋体" w:eastAsia="宋体" w:cs="宋体"/>
                <w:sz w:val="21"/>
                <w:szCs w:val="21"/>
              </w:rPr>
            </w:pPr>
          </w:p>
          <w:p w14:paraId="260FC933">
            <w:pPr>
              <w:pStyle w:val="16"/>
              <w:spacing w:line="360" w:lineRule="auto"/>
              <w:jc w:val="center"/>
              <w:rPr>
                <w:rFonts w:hint="eastAsia" w:ascii="宋体" w:hAnsi="宋体" w:eastAsia="宋体" w:cs="宋体"/>
                <w:sz w:val="21"/>
                <w:szCs w:val="21"/>
              </w:rPr>
            </w:pPr>
          </w:p>
          <w:p w14:paraId="307ACD41">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食材数量评价指标</w:t>
            </w:r>
          </w:p>
        </w:tc>
        <w:tc>
          <w:tcPr>
            <w:tcW w:w="960" w:type="dxa"/>
            <w:noWrap w:val="0"/>
            <w:vAlign w:val="center"/>
          </w:tcPr>
          <w:p w14:paraId="4572B48C">
            <w:pPr>
              <w:pStyle w:val="16"/>
              <w:spacing w:line="360" w:lineRule="auto"/>
              <w:jc w:val="center"/>
              <w:rPr>
                <w:rFonts w:hint="eastAsia" w:ascii="宋体" w:hAnsi="宋体" w:eastAsia="宋体" w:cs="宋体"/>
                <w:sz w:val="21"/>
                <w:szCs w:val="21"/>
              </w:rPr>
            </w:pPr>
          </w:p>
          <w:p w14:paraId="588E2B18">
            <w:pPr>
              <w:pStyle w:val="16"/>
              <w:spacing w:line="360" w:lineRule="auto"/>
              <w:jc w:val="center"/>
              <w:rPr>
                <w:rFonts w:hint="eastAsia" w:ascii="宋体" w:hAnsi="宋体" w:eastAsia="宋体" w:cs="宋体"/>
                <w:sz w:val="21"/>
                <w:szCs w:val="21"/>
              </w:rPr>
            </w:pPr>
          </w:p>
          <w:p w14:paraId="47EC942B">
            <w:pPr>
              <w:pStyle w:val="16"/>
              <w:spacing w:line="360" w:lineRule="auto"/>
              <w:jc w:val="center"/>
              <w:rPr>
                <w:rFonts w:hint="eastAsia" w:ascii="宋体" w:hAnsi="宋体" w:eastAsia="宋体" w:cs="宋体"/>
                <w:sz w:val="21"/>
                <w:szCs w:val="21"/>
              </w:rPr>
            </w:pPr>
          </w:p>
          <w:p w14:paraId="6348F7C2">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10 分</w:t>
            </w:r>
          </w:p>
        </w:tc>
        <w:tc>
          <w:tcPr>
            <w:tcW w:w="3031" w:type="dxa"/>
            <w:noWrap w:val="0"/>
            <w:vAlign w:val="center"/>
          </w:tcPr>
          <w:p w14:paraId="14EF50F6">
            <w:pPr>
              <w:pStyle w:val="16"/>
              <w:spacing w:line="360" w:lineRule="auto"/>
              <w:jc w:val="center"/>
              <w:rPr>
                <w:rFonts w:hint="eastAsia" w:ascii="宋体" w:hAnsi="宋体" w:eastAsia="宋体" w:cs="宋体"/>
                <w:sz w:val="21"/>
                <w:szCs w:val="21"/>
              </w:rPr>
            </w:pPr>
          </w:p>
          <w:p w14:paraId="422F44ED">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考核供应商是否按照校（园）</w:t>
            </w:r>
            <w:r>
              <w:rPr>
                <w:rFonts w:hint="eastAsia" w:ascii="宋体" w:hAnsi="宋体" w:eastAsia="宋体" w:cs="宋体"/>
                <w:spacing w:val="-3"/>
                <w:sz w:val="21"/>
                <w:szCs w:val="21"/>
              </w:rPr>
              <w:t>方订单品种和数</w:t>
            </w:r>
            <w:r>
              <w:rPr>
                <w:rFonts w:hint="eastAsia" w:ascii="宋体" w:hAnsi="宋体" w:eastAsia="宋体" w:cs="宋体"/>
                <w:spacing w:val="-2"/>
                <w:sz w:val="21"/>
                <w:szCs w:val="21"/>
              </w:rPr>
              <w:t>量进行配送物品，是否存在缺斤少两的情况。</w:t>
            </w:r>
          </w:p>
        </w:tc>
        <w:tc>
          <w:tcPr>
            <w:tcW w:w="6867" w:type="dxa"/>
            <w:noWrap w:val="0"/>
            <w:vAlign w:val="center"/>
          </w:tcPr>
          <w:p w14:paraId="4E16CE13">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供应商提供的食材品种与校（园）</w:t>
            </w:r>
            <w:r>
              <w:rPr>
                <w:rFonts w:hint="eastAsia" w:ascii="宋体" w:hAnsi="宋体" w:eastAsia="宋体" w:cs="宋体"/>
                <w:spacing w:val="-2"/>
                <w:sz w:val="21"/>
                <w:szCs w:val="21"/>
              </w:rPr>
              <w:t>方订单要求一致，重量短缺</w:t>
            </w:r>
            <w:r>
              <w:rPr>
                <w:rFonts w:hint="eastAsia" w:ascii="宋体" w:hAnsi="宋体" w:eastAsia="宋体" w:cs="宋体"/>
                <w:spacing w:val="-5"/>
                <w:sz w:val="21"/>
                <w:szCs w:val="21"/>
              </w:rPr>
              <w:t xml:space="preserve">不超过该类食材配送总量的 </w:t>
            </w:r>
            <w:r>
              <w:rPr>
                <w:rFonts w:hint="eastAsia" w:ascii="宋体" w:hAnsi="宋体" w:eastAsia="宋体" w:cs="宋体"/>
                <w:sz w:val="21"/>
                <w:szCs w:val="21"/>
              </w:rPr>
              <w:t>5%（</w:t>
            </w:r>
            <w:r>
              <w:rPr>
                <w:rFonts w:hint="eastAsia" w:ascii="宋体" w:hAnsi="宋体" w:eastAsia="宋体" w:cs="宋体"/>
                <w:spacing w:val="-30"/>
                <w:sz w:val="21"/>
                <w:szCs w:val="21"/>
              </w:rPr>
              <w:t xml:space="preserve">含 </w:t>
            </w:r>
            <w:r>
              <w:rPr>
                <w:rFonts w:hint="eastAsia" w:ascii="宋体" w:hAnsi="宋体" w:eastAsia="宋体" w:cs="宋体"/>
                <w:sz w:val="21"/>
                <w:szCs w:val="21"/>
              </w:rPr>
              <w:t>5%）</w:t>
            </w:r>
            <w:r>
              <w:rPr>
                <w:rFonts w:hint="eastAsia" w:ascii="宋体" w:hAnsi="宋体" w:eastAsia="宋体" w:cs="宋体"/>
                <w:spacing w:val="-15"/>
                <w:sz w:val="21"/>
                <w:szCs w:val="21"/>
              </w:rPr>
              <w:t xml:space="preserve">的，得 </w:t>
            </w:r>
            <w:r>
              <w:rPr>
                <w:rFonts w:hint="eastAsia" w:ascii="宋体" w:hAnsi="宋体" w:eastAsia="宋体" w:cs="宋体"/>
                <w:sz w:val="21"/>
                <w:szCs w:val="21"/>
              </w:rPr>
              <w:t>10</w:t>
            </w:r>
            <w:r>
              <w:rPr>
                <w:rFonts w:hint="eastAsia" w:ascii="宋体" w:hAnsi="宋体" w:eastAsia="宋体" w:cs="宋体"/>
                <w:spacing w:val="-13"/>
                <w:sz w:val="21"/>
                <w:szCs w:val="21"/>
              </w:rPr>
              <w:t xml:space="preserve"> 分；对照校</w:t>
            </w:r>
            <w:r>
              <w:rPr>
                <w:rFonts w:hint="eastAsia" w:ascii="宋体" w:hAnsi="宋体" w:eastAsia="宋体" w:cs="宋体"/>
                <w:sz w:val="21"/>
                <w:szCs w:val="21"/>
              </w:rPr>
              <w:t>（园）</w:t>
            </w:r>
            <w:r>
              <w:rPr>
                <w:rFonts w:hint="eastAsia" w:ascii="宋体" w:hAnsi="宋体" w:eastAsia="宋体" w:cs="宋体"/>
                <w:spacing w:val="-3"/>
                <w:sz w:val="21"/>
                <w:szCs w:val="21"/>
              </w:rPr>
              <w:t xml:space="preserve">方订单，供应商提供的食材每缺失一个品种，扣 </w:t>
            </w:r>
            <w:r>
              <w:rPr>
                <w:rFonts w:hint="eastAsia" w:ascii="宋体" w:hAnsi="宋体" w:eastAsia="宋体" w:cs="宋体"/>
                <w:sz w:val="21"/>
                <w:szCs w:val="21"/>
              </w:rPr>
              <w:t>1</w:t>
            </w:r>
            <w:r>
              <w:rPr>
                <w:rFonts w:hint="eastAsia" w:ascii="宋体" w:hAnsi="宋体" w:eastAsia="宋体" w:cs="宋体"/>
                <w:spacing w:val="-26"/>
                <w:sz w:val="21"/>
                <w:szCs w:val="21"/>
              </w:rPr>
              <w:t xml:space="preserve"> 分； </w:t>
            </w:r>
            <w:r>
              <w:rPr>
                <w:rFonts w:hint="eastAsia" w:ascii="宋体" w:hAnsi="宋体" w:eastAsia="宋体" w:cs="宋体"/>
                <w:spacing w:val="-3"/>
                <w:sz w:val="21"/>
                <w:szCs w:val="21"/>
              </w:rPr>
              <w:t xml:space="preserve">供应商提供的食材重量短缺在该类食材配送总量中占 </w:t>
            </w:r>
            <w:r>
              <w:rPr>
                <w:rFonts w:hint="eastAsia" w:ascii="宋体" w:hAnsi="宋体" w:eastAsia="宋体" w:cs="宋体"/>
                <w:sz w:val="21"/>
                <w:szCs w:val="21"/>
              </w:rPr>
              <w:t>5%~10%（</w:t>
            </w:r>
            <w:r>
              <w:rPr>
                <w:rFonts w:hint="eastAsia" w:ascii="宋体" w:hAnsi="宋体" w:eastAsia="宋体" w:cs="宋体"/>
                <w:spacing w:val="-30"/>
                <w:sz w:val="21"/>
                <w:szCs w:val="21"/>
              </w:rPr>
              <w:t xml:space="preserve">含 </w:t>
            </w:r>
            <w:r>
              <w:rPr>
                <w:rFonts w:hint="eastAsia" w:ascii="宋体" w:hAnsi="宋体" w:eastAsia="宋体" w:cs="宋体"/>
                <w:sz w:val="21"/>
                <w:szCs w:val="21"/>
              </w:rPr>
              <w:t>10%）</w:t>
            </w:r>
            <w:r>
              <w:rPr>
                <w:rFonts w:hint="eastAsia" w:ascii="宋体" w:hAnsi="宋体" w:eastAsia="宋体" w:cs="宋体"/>
                <w:spacing w:val="-15"/>
                <w:sz w:val="21"/>
                <w:szCs w:val="21"/>
              </w:rPr>
              <w:t xml:space="preserve">的，扣 </w:t>
            </w:r>
            <w:r>
              <w:rPr>
                <w:rFonts w:hint="eastAsia" w:ascii="宋体" w:hAnsi="宋体" w:eastAsia="宋体" w:cs="宋体"/>
                <w:sz w:val="21"/>
                <w:szCs w:val="21"/>
              </w:rPr>
              <w:t>1</w:t>
            </w:r>
            <w:r>
              <w:rPr>
                <w:rFonts w:hint="eastAsia" w:ascii="宋体" w:hAnsi="宋体" w:eastAsia="宋体" w:cs="宋体"/>
                <w:spacing w:val="-24"/>
                <w:sz w:val="21"/>
                <w:szCs w:val="21"/>
              </w:rPr>
              <w:t xml:space="preserve"> 分；占 </w:t>
            </w:r>
            <w:r>
              <w:rPr>
                <w:rFonts w:hint="eastAsia" w:ascii="宋体" w:hAnsi="宋体" w:eastAsia="宋体" w:cs="宋体"/>
                <w:sz w:val="21"/>
                <w:szCs w:val="21"/>
              </w:rPr>
              <w:t>10%~20%（</w:t>
            </w:r>
            <w:r>
              <w:rPr>
                <w:rFonts w:hint="eastAsia" w:ascii="宋体" w:hAnsi="宋体" w:eastAsia="宋体" w:cs="宋体"/>
                <w:spacing w:val="-30"/>
                <w:sz w:val="21"/>
                <w:szCs w:val="21"/>
              </w:rPr>
              <w:t xml:space="preserve">含 </w:t>
            </w:r>
            <w:r>
              <w:rPr>
                <w:rFonts w:hint="eastAsia" w:ascii="宋体" w:hAnsi="宋体" w:eastAsia="宋体" w:cs="宋体"/>
                <w:sz w:val="21"/>
                <w:szCs w:val="21"/>
              </w:rPr>
              <w:t>20%）</w:t>
            </w:r>
            <w:r>
              <w:rPr>
                <w:rFonts w:hint="eastAsia" w:ascii="宋体" w:hAnsi="宋体" w:eastAsia="宋体" w:cs="宋体"/>
                <w:spacing w:val="-15"/>
                <w:sz w:val="21"/>
                <w:szCs w:val="21"/>
              </w:rPr>
              <w:t xml:space="preserve">的，扣 </w:t>
            </w:r>
            <w:r>
              <w:rPr>
                <w:rFonts w:hint="eastAsia" w:ascii="宋体" w:hAnsi="宋体" w:eastAsia="宋体" w:cs="宋体"/>
                <w:sz w:val="21"/>
                <w:szCs w:val="21"/>
              </w:rPr>
              <w:t>2</w:t>
            </w:r>
            <w:r>
              <w:rPr>
                <w:rFonts w:hint="eastAsia" w:ascii="宋体" w:hAnsi="宋体" w:eastAsia="宋体" w:cs="宋体"/>
                <w:spacing w:val="-20"/>
                <w:sz w:val="21"/>
                <w:szCs w:val="21"/>
              </w:rPr>
              <w:t xml:space="preserve"> 分；超</w:t>
            </w:r>
            <w:r>
              <w:rPr>
                <w:rFonts w:hint="eastAsia" w:ascii="宋体" w:hAnsi="宋体" w:eastAsia="宋体" w:cs="宋体"/>
                <w:spacing w:val="-30"/>
                <w:sz w:val="21"/>
                <w:szCs w:val="21"/>
              </w:rPr>
              <w:t xml:space="preserve">过 </w:t>
            </w:r>
            <w:r>
              <w:rPr>
                <w:rFonts w:hint="eastAsia" w:ascii="宋体" w:hAnsi="宋体" w:eastAsia="宋体" w:cs="宋体"/>
                <w:sz w:val="21"/>
                <w:szCs w:val="21"/>
              </w:rPr>
              <w:t>30%（</w:t>
            </w:r>
            <w:r>
              <w:rPr>
                <w:rFonts w:hint="eastAsia" w:ascii="宋体" w:hAnsi="宋体" w:eastAsia="宋体" w:cs="宋体"/>
                <w:spacing w:val="-30"/>
                <w:sz w:val="21"/>
                <w:szCs w:val="21"/>
              </w:rPr>
              <w:t xml:space="preserve">含 </w:t>
            </w:r>
            <w:r>
              <w:rPr>
                <w:rFonts w:hint="eastAsia" w:ascii="宋体" w:hAnsi="宋体" w:eastAsia="宋体" w:cs="宋体"/>
                <w:sz w:val="21"/>
                <w:szCs w:val="21"/>
              </w:rPr>
              <w:t>30%）</w:t>
            </w:r>
            <w:r>
              <w:rPr>
                <w:rFonts w:hint="eastAsia" w:ascii="宋体" w:hAnsi="宋体" w:eastAsia="宋体" w:cs="宋体"/>
                <w:spacing w:val="-15"/>
                <w:sz w:val="21"/>
                <w:szCs w:val="21"/>
              </w:rPr>
              <w:t xml:space="preserve">的，扣 </w:t>
            </w:r>
            <w:r>
              <w:rPr>
                <w:rFonts w:hint="eastAsia" w:ascii="宋体" w:hAnsi="宋体" w:eastAsia="宋体" w:cs="宋体"/>
                <w:sz w:val="21"/>
                <w:szCs w:val="21"/>
              </w:rPr>
              <w:t>5</w:t>
            </w:r>
            <w:r>
              <w:rPr>
                <w:rFonts w:hint="eastAsia" w:ascii="宋体" w:hAnsi="宋体" w:eastAsia="宋体" w:cs="宋体"/>
                <w:spacing w:val="-12"/>
                <w:sz w:val="21"/>
                <w:szCs w:val="21"/>
              </w:rPr>
              <w:t xml:space="preserve"> 分；本项指标累计每月最高扣分 </w:t>
            </w:r>
            <w:r>
              <w:rPr>
                <w:rFonts w:hint="eastAsia" w:ascii="宋体" w:hAnsi="宋体" w:eastAsia="宋体" w:cs="宋体"/>
                <w:sz w:val="21"/>
                <w:szCs w:val="21"/>
              </w:rPr>
              <w:t>10分。</w:t>
            </w:r>
          </w:p>
        </w:tc>
        <w:tc>
          <w:tcPr>
            <w:tcW w:w="765" w:type="dxa"/>
            <w:noWrap w:val="0"/>
            <w:vAlign w:val="center"/>
          </w:tcPr>
          <w:p w14:paraId="3390D566">
            <w:pPr>
              <w:pStyle w:val="16"/>
              <w:spacing w:line="360" w:lineRule="auto"/>
              <w:jc w:val="center"/>
              <w:rPr>
                <w:rFonts w:hint="eastAsia" w:ascii="宋体" w:hAnsi="宋体" w:eastAsia="宋体" w:cs="宋体"/>
                <w:sz w:val="21"/>
                <w:szCs w:val="21"/>
              </w:rPr>
            </w:pPr>
          </w:p>
        </w:tc>
      </w:tr>
      <w:tr w14:paraId="06C7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99" w:type="dxa"/>
            <w:noWrap w:val="0"/>
            <w:vAlign w:val="center"/>
          </w:tcPr>
          <w:p w14:paraId="755C6676">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流程</w:t>
            </w:r>
          </w:p>
          <w:p w14:paraId="4396F386">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管理</w:t>
            </w:r>
          </w:p>
        </w:tc>
        <w:tc>
          <w:tcPr>
            <w:tcW w:w="708" w:type="dxa"/>
            <w:noWrap w:val="0"/>
            <w:vAlign w:val="center"/>
          </w:tcPr>
          <w:p w14:paraId="78828825">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35 分</w:t>
            </w:r>
          </w:p>
        </w:tc>
        <w:tc>
          <w:tcPr>
            <w:tcW w:w="1116" w:type="dxa"/>
            <w:noWrap w:val="0"/>
            <w:vAlign w:val="center"/>
          </w:tcPr>
          <w:p w14:paraId="598848E2">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配送及时</w:t>
            </w:r>
          </w:p>
          <w:p w14:paraId="3E77D95A">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性评价指</w:t>
            </w:r>
          </w:p>
        </w:tc>
        <w:tc>
          <w:tcPr>
            <w:tcW w:w="960" w:type="dxa"/>
            <w:noWrap w:val="0"/>
            <w:vAlign w:val="center"/>
          </w:tcPr>
          <w:p w14:paraId="2B13E3CC">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10 分</w:t>
            </w:r>
          </w:p>
        </w:tc>
        <w:tc>
          <w:tcPr>
            <w:tcW w:w="3031" w:type="dxa"/>
            <w:noWrap w:val="0"/>
            <w:vAlign w:val="center"/>
          </w:tcPr>
          <w:p w14:paraId="1BA9B9A1">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考核供应商能否准时送货。</w:t>
            </w:r>
          </w:p>
        </w:tc>
        <w:tc>
          <w:tcPr>
            <w:tcW w:w="6867" w:type="dxa"/>
            <w:noWrap w:val="0"/>
            <w:vAlign w:val="center"/>
          </w:tcPr>
          <w:p w14:paraId="7DC55591">
            <w:pPr>
              <w:pStyle w:val="16"/>
              <w:spacing w:line="360" w:lineRule="auto"/>
              <w:jc w:val="center"/>
              <w:rPr>
                <w:rFonts w:hint="eastAsia" w:ascii="宋体" w:hAnsi="宋体" w:eastAsia="宋体" w:cs="宋体"/>
                <w:sz w:val="21"/>
                <w:szCs w:val="21"/>
              </w:rPr>
            </w:pPr>
            <w:r>
              <w:rPr>
                <w:rFonts w:hint="eastAsia" w:ascii="宋体" w:hAnsi="宋体" w:eastAsia="宋体" w:cs="宋体"/>
                <w:spacing w:val="-1"/>
                <w:sz w:val="21"/>
                <w:szCs w:val="21"/>
              </w:rPr>
              <w:t>供应商每日按</w:t>
            </w:r>
            <w:r>
              <w:rPr>
                <w:rFonts w:hint="eastAsia" w:ascii="宋体" w:hAnsi="宋体" w:eastAsia="宋体" w:cs="宋体"/>
                <w:spacing w:val="-1"/>
                <w:sz w:val="21"/>
                <w:szCs w:val="21"/>
                <w:lang w:eastAsia="zh-CN"/>
              </w:rPr>
              <w:t>学校</w:t>
            </w:r>
            <w:r>
              <w:rPr>
                <w:rFonts w:hint="eastAsia" w:ascii="宋体" w:hAnsi="宋体" w:eastAsia="宋体" w:cs="宋体"/>
                <w:spacing w:val="-1"/>
                <w:sz w:val="21"/>
                <w:szCs w:val="21"/>
              </w:rPr>
              <w:t>要求时间</w:t>
            </w:r>
            <w:r>
              <w:rPr>
                <w:rFonts w:hint="eastAsia" w:ascii="宋体" w:hAnsi="宋体" w:eastAsia="宋体" w:cs="宋体"/>
                <w:sz w:val="21"/>
                <w:szCs w:val="21"/>
              </w:rPr>
              <w:t>准时送达食材</w:t>
            </w:r>
            <w:r>
              <w:rPr>
                <w:rFonts w:hint="eastAsia" w:ascii="宋体" w:hAnsi="宋体" w:eastAsia="宋体" w:cs="宋体"/>
                <w:spacing w:val="-8"/>
                <w:sz w:val="21"/>
                <w:szCs w:val="21"/>
              </w:rPr>
              <w:t>的</w:t>
            </w:r>
            <w:r>
              <w:rPr>
                <w:rFonts w:hint="eastAsia" w:ascii="宋体" w:hAnsi="宋体" w:eastAsia="宋体" w:cs="宋体"/>
                <w:sz w:val="21"/>
                <w:szCs w:val="21"/>
              </w:rPr>
              <w:t>（因不可抗力造成的延迟或配送失败除外</w:t>
            </w:r>
            <w:r>
              <w:rPr>
                <w:rFonts w:hint="eastAsia" w:ascii="宋体" w:hAnsi="宋体" w:eastAsia="宋体" w:cs="宋体"/>
                <w:spacing w:val="-9"/>
                <w:sz w:val="21"/>
                <w:szCs w:val="21"/>
              </w:rPr>
              <w:t>）</w:t>
            </w:r>
            <w:r>
              <w:rPr>
                <w:rFonts w:hint="eastAsia" w:ascii="宋体" w:hAnsi="宋体" w:eastAsia="宋体" w:cs="宋体"/>
                <w:spacing w:val="-24"/>
                <w:sz w:val="21"/>
                <w:szCs w:val="21"/>
              </w:rPr>
              <w:t xml:space="preserve">，得 </w:t>
            </w:r>
            <w:r>
              <w:rPr>
                <w:rFonts w:hint="eastAsia" w:ascii="宋体" w:hAnsi="宋体" w:eastAsia="宋体" w:cs="宋体"/>
                <w:sz w:val="21"/>
                <w:szCs w:val="21"/>
              </w:rPr>
              <w:t>10</w:t>
            </w:r>
            <w:r>
              <w:rPr>
                <w:rFonts w:hint="eastAsia" w:ascii="宋体" w:hAnsi="宋体" w:eastAsia="宋体" w:cs="宋体"/>
                <w:spacing w:val="-15"/>
                <w:sz w:val="21"/>
                <w:szCs w:val="21"/>
              </w:rPr>
              <w:t xml:space="preserve"> 分；迟于</w:t>
            </w:r>
            <w:r>
              <w:rPr>
                <w:rFonts w:hint="eastAsia" w:ascii="宋体" w:hAnsi="宋体" w:eastAsia="宋体" w:cs="宋体"/>
                <w:spacing w:val="-1"/>
                <w:sz w:val="21"/>
                <w:szCs w:val="21"/>
                <w:lang w:eastAsia="zh-CN"/>
              </w:rPr>
              <w:t>学校</w:t>
            </w:r>
            <w:r>
              <w:rPr>
                <w:rFonts w:hint="eastAsia" w:ascii="宋体" w:hAnsi="宋体" w:eastAsia="宋体" w:cs="宋体"/>
                <w:spacing w:val="-1"/>
                <w:sz w:val="21"/>
                <w:szCs w:val="21"/>
              </w:rPr>
              <w:t>要求时间</w:t>
            </w:r>
            <w:r>
              <w:rPr>
                <w:rFonts w:hint="eastAsia" w:ascii="宋体" w:hAnsi="宋体" w:eastAsia="宋体" w:cs="宋体"/>
                <w:spacing w:val="-12"/>
                <w:sz w:val="21"/>
                <w:szCs w:val="21"/>
              </w:rPr>
              <w:t xml:space="preserve">配送的，每迟到 </w:t>
            </w:r>
            <w:r>
              <w:rPr>
                <w:rFonts w:hint="eastAsia" w:ascii="宋体" w:hAnsi="宋体" w:eastAsia="宋体" w:cs="宋体"/>
                <w:sz w:val="21"/>
                <w:szCs w:val="21"/>
              </w:rPr>
              <w:t>10</w:t>
            </w:r>
            <w:r>
              <w:rPr>
                <w:rFonts w:hint="eastAsia" w:ascii="宋体" w:hAnsi="宋体" w:eastAsia="宋体" w:cs="宋体"/>
                <w:spacing w:val="-25"/>
                <w:sz w:val="21"/>
                <w:szCs w:val="21"/>
              </w:rPr>
              <w:t xml:space="preserve"> 分钟扣 </w:t>
            </w:r>
            <w:r>
              <w:rPr>
                <w:rFonts w:hint="eastAsia" w:ascii="宋体" w:hAnsi="宋体" w:eastAsia="宋体" w:cs="宋体"/>
                <w:sz w:val="21"/>
                <w:szCs w:val="21"/>
              </w:rPr>
              <w:t>2分；本项指标累计每月最高扣分 10 分。</w:t>
            </w:r>
          </w:p>
        </w:tc>
        <w:tc>
          <w:tcPr>
            <w:tcW w:w="765" w:type="dxa"/>
            <w:noWrap w:val="0"/>
            <w:vAlign w:val="center"/>
          </w:tcPr>
          <w:p w14:paraId="5B8AA263">
            <w:pPr>
              <w:pStyle w:val="16"/>
              <w:spacing w:line="360" w:lineRule="auto"/>
              <w:jc w:val="center"/>
              <w:rPr>
                <w:rFonts w:hint="eastAsia" w:ascii="宋体" w:hAnsi="宋体" w:eastAsia="宋体" w:cs="宋体"/>
                <w:sz w:val="21"/>
                <w:szCs w:val="21"/>
              </w:rPr>
            </w:pPr>
          </w:p>
        </w:tc>
      </w:tr>
    </w:tbl>
    <w:p w14:paraId="1A208E28">
      <w:pPr>
        <w:spacing w:line="360" w:lineRule="auto"/>
        <w:rPr>
          <w:rFonts w:hint="eastAsia" w:ascii="宋体" w:hAnsi="宋体" w:eastAsia="宋体" w:cs="宋体"/>
          <w:sz w:val="21"/>
          <w:szCs w:val="21"/>
        </w:rPr>
        <w:sectPr>
          <w:pgSz w:w="16840" w:h="11910" w:orient="landscape"/>
          <w:pgMar w:top="1440" w:right="1800" w:bottom="1440" w:left="1800" w:header="720" w:footer="720" w:gutter="0"/>
          <w:cols w:space="720" w:num="1"/>
        </w:sectPr>
      </w:pPr>
    </w:p>
    <w:p w14:paraId="1D6ECD51">
      <w:pPr>
        <w:pStyle w:val="7"/>
        <w:rPr>
          <w:rFonts w:hint="eastAsia" w:ascii="宋体" w:hAnsi="宋体" w:eastAsia="宋体" w:cs="宋体"/>
          <w:sz w:val="21"/>
          <w:szCs w:val="21"/>
        </w:rPr>
      </w:pP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816"/>
        <w:gridCol w:w="1143"/>
        <w:gridCol w:w="940"/>
        <w:gridCol w:w="2475"/>
        <w:gridCol w:w="6350"/>
        <w:gridCol w:w="795"/>
      </w:tblGrid>
      <w:tr w14:paraId="37A6A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79" w:type="dxa"/>
            <w:shd w:val="clear" w:color="auto" w:fill="FFFFFF"/>
            <w:noWrap w:val="0"/>
            <w:vAlign w:val="top"/>
          </w:tcPr>
          <w:p w14:paraId="1D6E0E4B">
            <w:pPr>
              <w:pStyle w:val="16"/>
              <w:spacing w:line="360" w:lineRule="auto"/>
              <w:rPr>
                <w:rFonts w:hint="eastAsia" w:ascii="宋体" w:hAnsi="宋体" w:eastAsia="宋体" w:cs="宋体"/>
                <w:b/>
                <w:sz w:val="21"/>
                <w:szCs w:val="21"/>
              </w:rPr>
            </w:pPr>
            <w:r>
              <w:rPr>
                <w:rFonts w:hint="eastAsia" w:ascii="宋体" w:hAnsi="宋体" w:eastAsia="宋体" w:cs="宋体"/>
                <w:b/>
                <w:w w:val="95"/>
                <w:sz w:val="21"/>
                <w:szCs w:val="21"/>
              </w:rPr>
              <w:t>一级</w:t>
            </w:r>
          </w:p>
          <w:p w14:paraId="5F279B0F">
            <w:pPr>
              <w:pStyle w:val="16"/>
              <w:spacing w:line="360" w:lineRule="auto"/>
              <w:rPr>
                <w:rFonts w:hint="eastAsia" w:ascii="宋体" w:hAnsi="宋体" w:eastAsia="宋体" w:cs="宋体"/>
                <w:b/>
                <w:sz w:val="21"/>
                <w:szCs w:val="21"/>
              </w:rPr>
            </w:pPr>
            <w:r>
              <w:rPr>
                <w:rFonts w:hint="eastAsia" w:ascii="宋体" w:hAnsi="宋体" w:eastAsia="宋体" w:cs="宋体"/>
                <w:b/>
                <w:w w:val="95"/>
                <w:sz w:val="21"/>
                <w:szCs w:val="21"/>
              </w:rPr>
              <w:t>指标</w:t>
            </w:r>
          </w:p>
        </w:tc>
        <w:tc>
          <w:tcPr>
            <w:tcW w:w="870" w:type="dxa"/>
            <w:shd w:val="clear" w:color="auto" w:fill="FFFFFF"/>
            <w:noWrap w:val="0"/>
            <w:vAlign w:val="top"/>
          </w:tcPr>
          <w:p w14:paraId="7CF2343D">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1219" w:type="dxa"/>
            <w:shd w:val="clear" w:color="auto" w:fill="FFFFFF"/>
            <w:noWrap w:val="0"/>
            <w:vAlign w:val="top"/>
          </w:tcPr>
          <w:p w14:paraId="1EBB9B52">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二级指标</w:t>
            </w:r>
          </w:p>
        </w:tc>
        <w:tc>
          <w:tcPr>
            <w:tcW w:w="1003" w:type="dxa"/>
            <w:shd w:val="clear" w:color="auto" w:fill="FFFFFF"/>
            <w:noWrap w:val="0"/>
            <w:vAlign w:val="top"/>
          </w:tcPr>
          <w:p w14:paraId="7EEA10B2">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2643" w:type="dxa"/>
            <w:shd w:val="clear" w:color="auto" w:fill="FFFFFF"/>
            <w:noWrap w:val="0"/>
            <w:vAlign w:val="top"/>
          </w:tcPr>
          <w:p w14:paraId="7FBB8117">
            <w:pPr>
              <w:pStyle w:val="16"/>
              <w:spacing w:line="360" w:lineRule="auto"/>
              <w:rPr>
                <w:rFonts w:hint="eastAsia" w:ascii="宋体" w:hAnsi="宋体" w:eastAsia="宋体" w:cs="宋体"/>
                <w:b/>
                <w:sz w:val="21"/>
                <w:szCs w:val="21"/>
              </w:rPr>
            </w:pPr>
            <w:r>
              <w:rPr>
                <w:rFonts w:hint="eastAsia" w:ascii="宋体" w:hAnsi="宋体" w:eastAsia="宋体" w:cs="宋体"/>
                <w:b/>
                <w:sz w:val="21"/>
                <w:szCs w:val="21"/>
              </w:rPr>
              <w:t>考核内容</w:t>
            </w:r>
          </w:p>
        </w:tc>
        <w:tc>
          <w:tcPr>
            <w:tcW w:w="6784" w:type="dxa"/>
            <w:shd w:val="clear" w:color="auto" w:fill="FFFFFF"/>
            <w:noWrap w:val="0"/>
            <w:vAlign w:val="top"/>
          </w:tcPr>
          <w:p w14:paraId="544F485D">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848" w:type="dxa"/>
            <w:shd w:val="clear" w:color="auto" w:fill="FFFFFF"/>
            <w:noWrap w:val="0"/>
            <w:vAlign w:val="top"/>
          </w:tcPr>
          <w:p w14:paraId="7509B403">
            <w:pPr>
              <w:pStyle w:val="16"/>
              <w:spacing w:line="360" w:lineRule="auto"/>
              <w:rPr>
                <w:rFonts w:hint="eastAsia" w:ascii="宋体" w:hAnsi="宋体" w:eastAsia="宋体" w:cs="宋体"/>
                <w:b/>
                <w:sz w:val="21"/>
                <w:szCs w:val="21"/>
              </w:rPr>
            </w:pPr>
            <w:r>
              <w:rPr>
                <w:rFonts w:hint="eastAsia" w:ascii="宋体" w:hAnsi="宋体" w:eastAsia="宋体" w:cs="宋体"/>
                <w:b/>
                <w:sz w:val="21"/>
                <w:szCs w:val="21"/>
              </w:rPr>
              <w:t>得分</w:t>
            </w:r>
          </w:p>
        </w:tc>
      </w:tr>
      <w:tr w14:paraId="7DD44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79" w:type="dxa"/>
            <w:vMerge w:val="restart"/>
            <w:noWrap w:val="0"/>
            <w:vAlign w:val="top"/>
          </w:tcPr>
          <w:p w14:paraId="4C7F9519">
            <w:pPr>
              <w:pStyle w:val="16"/>
              <w:spacing w:line="360" w:lineRule="auto"/>
              <w:rPr>
                <w:rFonts w:hint="eastAsia" w:ascii="宋体" w:hAnsi="宋体" w:eastAsia="宋体" w:cs="宋体"/>
                <w:sz w:val="21"/>
                <w:szCs w:val="21"/>
              </w:rPr>
            </w:pPr>
          </w:p>
        </w:tc>
        <w:tc>
          <w:tcPr>
            <w:tcW w:w="870" w:type="dxa"/>
            <w:vMerge w:val="restart"/>
            <w:noWrap w:val="0"/>
            <w:vAlign w:val="top"/>
          </w:tcPr>
          <w:p w14:paraId="0D1151BC">
            <w:pPr>
              <w:pStyle w:val="16"/>
              <w:spacing w:line="360" w:lineRule="auto"/>
              <w:rPr>
                <w:rFonts w:hint="eastAsia" w:ascii="宋体" w:hAnsi="宋体" w:eastAsia="宋体" w:cs="宋体"/>
                <w:sz w:val="21"/>
                <w:szCs w:val="21"/>
              </w:rPr>
            </w:pPr>
          </w:p>
        </w:tc>
        <w:tc>
          <w:tcPr>
            <w:tcW w:w="1219" w:type="dxa"/>
            <w:noWrap w:val="0"/>
            <w:vAlign w:val="top"/>
          </w:tcPr>
          <w:p w14:paraId="259B7B5A">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标</w:t>
            </w:r>
          </w:p>
        </w:tc>
        <w:tc>
          <w:tcPr>
            <w:tcW w:w="1003" w:type="dxa"/>
            <w:noWrap w:val="0"/>
            <w:vAlign w:val="top"/>
          </w:tcPr>
          <w:p w14:paraId="4B73571A">
            <w:pPr>
              <w:pStyle w:val="16"/>
              <w:spacing w:line="360" w:lineRule="auto"/>
              <w:rPr>
                <w:rFonts w:hint="eastAsia" w:ascii="宋体" w:hAnsi="宋体" w:eastAsia="宋体" w:cs="宋体"/>
                <w:sz w:val="21"/>
                <w:szCs w:val="21"/>
              </w:rPr>
            </w:pPr>
          </w:p>
        </w:tc>
        <w:tc>
          <w:tcPr>
            <w:tcW w:w="2643" w:type="dxa"/>
            <w:noWrap w:val="0"/>
            <w:vAlign w:val="top"/>
          </w:tcPr>
          <w:p w14:paraId="0789CD02">
            <w:pPr>
              <w:pStyle w:val="16"/>
              <w:spacing w:line="360" w:lineRule="auto"/>
              <w:rPr>
                <w:rFonts w:hint="eastAsia" w:ascii="宋体" w:hAnsi="宋体" w:eastAsia="宋体" w:cs="宋体"/>
                <w:sz w:val="21"/>
                <w:szCs w:val="21"/>
              </w:rPr>
            </w:pPr>
          </w:p>
        </w:tc>
        <w:tc>
          <w:tcPr>
            <w:tcW w:w="6784" w:type="dxa"/>
            <w:noWrap w:val="0"/>
            <w:vAlign w:val="top"/>
          </w:tcPr>
          <w:p w14:paraId="31616B08">
            <w:pPr>
              <w:pStyle w:val="16"/>
              <w:spacing w:line="360" w:lineRule="auto"/>
              <w:rPr>
                <w:rFonts w:hint="eastAsia" w:ascii="宋体" w:hAnsi="宋体" w:eastAsia="宋体" w:cs="宋体"/>
                <w:sz w:val="21"/>
                <w:szCs w:val="21"/>
              </w:rPr>
            </w:pPr>
          </w:p>
        </w:tc>
        <w:tc>
          <w:tcPr>
            <w:tcW w:w="848" w:type="dxa"/>
            <w:noWrap w:val="0"/>
            <w:vAlign w:val="top"/>
          </w:tcPr>
          <w:p w14:paraId="6259D7B5">
            <w:pPr>
              <w:pStyle w:val="16"/>
              <w:spacing w:line="360" w:lineRule="auto"/>
              <w:rPr>
                <w:rFonts w:hint="eastAsia" w:ascii="宋体" w:hAnsi="宋体" w:eastAsia="宋体" w:cs="宋体"/>
                <w:sz w:val="21"/>
                <w:szCs w:val="21"/>
              </w:rPr>
            </w:pPr>
          </w:p>
        </w:tc>
      </w:tr>
      <w:tr w14:paraId="181E2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jc w:val="center"/>
        </w:trPr>
        <w:tc>
          <w:tcPr>
            <w:tcW w:w="779" w:type="dxa"/>
            <w:vMerge w:val="continue"/>
            <w:tcBorders>
              <w:top w:val="nil"/>
            </w:tcBorders>
            <w:noWrap w:val="0"/>
            <w:vAlign w:val="top"/>
          </w:tcPr>
          <w:p w14:paraId="0850AE8E">
            <w:pPr>
              <w:spacing w:line="360" w:lineRule="auto"/>
              <w:rPr>
                <w:rFonts w:hint="eastAsia" w:ascii="宋体" w:hAnsi="宋体" w:eastAsia="宋体" w:cs="宋体"/>
                <w:sz w:val="21"/>
                <w:szCs w:val="21"/>
              </w:rPr>
            </w:pPr>
          </w:p>
        </w:tc>
        <w:tc>
          <w:tcPr>
            <w:tcW w:w="870" w:type="dxa"/>
            <w:vMerge w:val="continue"/>
            <w:tcBorders>
              <w:top w:val="nil"/>
            </w:tcBorders>
            <w:noWrap w:val="0"/>
            <w:vAlign w:val="top"/>
          </w:tcPr>
          <w:p w14:paraId="5E83E4DA">
            <w:pPr>
              <w:spacing w:line="360" w:lineRule="auto"/>
              <w:rPr>
                <w:rFonts w:hint="eastAsia" w:ascii="宋体" w:hAnsi="宋体" w:eastAsia="宋体" w:cs="宋体"/>
                <w:sz w:val="21"/>
                <w:szCs w:val="21"/>
              </w:rPr>
            </w:pPr>
          </w:p>
        </w:tc>
        <w:tc>
          <w:tcPr>
            <w:tcW w:w="1219" w:type="dxa"/>
            <w:noWrap w:val="0"/>
            <w:vAlign w:val="top"/>
          </w:tcPr>
          <w:p w14:paraId="14FCBCBB">
            <w:pPr>
              <w:pStyle w:val="16"/>
              <w:spacing w:line="360" w:lineRule="auto"/>
              <w:rPr>
                <w:rFonts w:hint="eastAsia" w:ascii="宋体" w:hAnsi="宋体" w:eastAsia="宋体" w:cs="宋体"/>
                <w:sz w:val="21"/>
                <w:szCs w:val="21"/>
              </w:rPr>
            </w:pPr>
          </w:p>
          <w:p w14:paraId="4BE9AF47">
            <w:pPr>
              <w:pStyle w:val="16"/>
              <w:spacing w:line="360" w:lineRule="auto"/>
              <w:rPr>
                <w:rFonts w:hint="eastAsia" w:ascii="宋体" w:hAnsi="宋体" w:eastAsia="宋体" w:cs="宋体"/>
                <w:sz w:val="21"/>
                <w:szCs w:val="21"/>
              </w:rPr>
            </w:pPr>
          </w:p>
          <w:p w14:paraId="1F1E6A3B">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应急响应能力评价指标</w:t>
            </w:r>
          </w:p>
        </w:tc>
        <w:tc>
          <w:tcPr>
            <w:tcW w:w="1003" w:type="dxa"/>
            <w:noWrap w:val="0"/>
            <w:vAlign w:val="top"/>
          </w:tcPr>
          <w:p w14:paraId="7626015C">
            <w:pPr>
              <w:pStyle w:val="16"/>
              <w:spacing w:line="360" w:lineRule="auto"/>
              <w:rPr>
                <w:rFonts w:hint="eastAsia" w:ascii="宋体" w:hAnsi="宋体" w:eastAsia="宋体" w:cs="宋体"/>
                <w:sz w:val="21"/>
                <w:szCs w:val="21"/>
              </w:rPr>
            </w:pPr>
          </w:p>
          <w:p w14:paraId="16B3FA67">
            <w:pPr>
              <w:pStyle w:val="16"/>
              <w:spacing w:line="360" w:lineRule="auto"/>
              <w:rPr>
                <w:rFonts w:hint="eastAsia" w:ascii="宋体" w:hAnsi="宋体" w:eastAsia="宋体" w:cs="宋体"/>
                <w:sz w:val="21"/>
                <w:szCs w:val="21"/>
              </w:rPr>
            </w:pPr>
          </w:p>
          <w:p w14:paraId="3A63B969">
            <w:pPr>
              <w:pStyle w:val="16"/>
              <w:spacing w:line="360" w:lineRule="auto"/>
              <w:rPr>
                <w:rFonts w:hint="eastAsia" w:ascii="宋体" w:hAnsi="宋体" w:eastAsia="宋体" w:cs="宋体"/>
                <w:sz w:val="21"/>
                <w:szCs w:val="21"/>
              </w:rPr>
            </w:pPr>
          </w:p>
          <w:p w14:paraId="0AC65388">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10 分</w:t>
            </w:r>
          </w:p>
        </w:tc>
        <w:tc>
          <w:tcPr>
            <w:tcW w:w="2643" w:type="dxa"/>
            <w:noWrap w:val="0"/>
            <w:vAlign w:val="top"/>
          </w:tcPr>
          <w:p w14:paraId="31A27034">
            <w:pPr>
              <w:pStyle w:val="16"/>
              <w:spacing w:line="360" w:lineRule="auto"/>
              <w:rPr>
                <w:rFonts w:hint="eastAsia" w:ascii="宋体" w:hAnsi="宋体" w:eastAsia="宋体" w:cs="宋体"/>
                <w:sz w:val="21"/>
                <w:szCs w:val="21"/>
              </w:rPr>
            </w:pPr>
          </w:p>
          <w:p w14:paraId="1702CAA4">
            <w:pPr>
              <w:pStyle w:val="16"/>
              <w:spacing w:line="360" w:lineRule="auto"/>
              <w:rPr>
                <w:rFonts w:hint="eastAsia" w:ascii="宋体" w:hAnsi="宋体" w:eastAsia="宋体" w:cs="宋体"/>
                <w:sz w:val="21"/>
                <w:szCs w:val="21"/>
              </w:rPr>
            </w:pPr>
            <w:r>
              <w:rPr>
                <w:rFonts w:hint="eastAsia" w:ascii="宋体" w:hAnsi="宋体" w:eastAsia="宋体" w:cs="宋体"/>
                <w:sz w:val="21"/>
                <w:szCs w:val="21"/>
              </w:rPr>
              <w:t>考核供应商是否按照校</w:t>
            </w:r>
          </w:p>
          <w:p w14:paraId="0903B1EB">
            <w:pPr>
              <w:pStyle w:val="16"/>
              <w:spacing w:line="360" w:lineRule="auto"/>
              <w:rPr>
                <w:rFonts w:hint="eastAsia" w:ascii="宋体" w:hAnsi="宋体" w:eastAsia="宋体" w:cs="宋体"/>
                <w:sz w:val="21"/>
                <w:szCs w:val="21"/>
              </w:rPr>
            </w:pPr>
            <w:r>
              <w:rPr>
                <w:rFonts w:hint="eastAsia" w:ascii="宋体" w:hAnsi="宋体" w:eastAsia="宋体" w:cs="宋体"/>
                <w:sz w:val="21"/>
                <w:szCs w:val="21"/>
              </w:rPr>
              <w:t>（园）</w:t>
            </w:r>
            <w:r>
              <w:rPr>
                <w:rFonts w:hint="eastAsia" w:ascii="宋体" w:hAnsi="宋体" w:eastAsia="宋体" w:cs="宋体"/>
                <w:spacing w:val="-3"/>
                <w:sz w:val="21"/>
                <w:szCs w:val="21"/>
              </w:rPr>
              <w:t>方的要求，以最</w:t>
            </w:r>
            <w:r>
              <w:rPr>
                <w:rFonts w:hint="eastAsia" w:ascii="宋体" w:hAnsi="宋体" w:eastAsia="宋体" w:cs="宋体"/>
                <w:spacing w:val="-2"/>
                <w:sz w:val="21"/>
                <w:szCs w:val="21"/>
              </w:rPr>
              <w:t>快的速度，按照招标时的承诺进行应急处理。</w:t>
            </w:r>
          </w:p>
        </w:tc>
        <w:tc>
          <w:tcPr>
            <w:tcW w:w="6784" w:type="dxa"/>
            <w:noWrap w:val="0"/>
            <w:vAlign w:val="top"/>
          </w:tcPr>
          <w:p w14:paraId="1EAD5E5F">
            <w:pPr>
              <w:pStyle w:val="16"/>
              <w:spacing w:line="360" w:lineRule="auto"/>
              <w:rPr>
                <w:rFonts w:hint="eastAsia" w:ascii="宋体" w:hAnsi="宋体" w:eastAsia="宋体" w:cs="宋体"/>
                <w:sz w:val="21"/>
                <w:szCs w:val="21"/>
              </w:rPr>
            </w:pPr>
            <w:r>
              <w:rPr>
                <w:rFonts w:hint="eastAsia" w:ascii="宋体" w:hAnsi="宋体" w:eastAsia="宋体" w:cs="宋体"/>
                <w:sz w:val="21"/>
                <w:szCs w:val="21"/>
              </w:rPr>
              <w:t>供应商每次都能够按照合同签订时约定的应急方案，及时响应</w:t>
            </w:r>
            <w:r>
              <w:rPr>
                <w:rFonts w:hint="eastAsia" w:ascii="宋体" w:hAnsi="宋体" w:eastAsia="宋体" w:cs="宋体"/>
                <w:spacing w:val="-8"/>
                <w:sz w:val="21"/>
                <w:szCs w:val="21"/>
              </w:rPr>
              <w:t>校</w:t>
            </w:r>
            <w:r>
              <w:rPr>
                <w:rFonts w:hint="eastAsia" w:ascii="宋体" w:hAnsi="宋体" w:eastAsia="宋体" w:cs="宋体"/>
                <w:sz w:val="21"/>
                <w:szCs w:val="21"/>
              </w:rPr>
              <w:t>（园</w:t>
            </w:r>
            <w:r>
              <w:rPr>
                <w:rFonts w:hint="eastAsia" w:ascii="宋体" w:hAnsi="宋体" w:eastAsia="宋体" w:cs="宋体"/>
                <w:spacing w:val="-10"/>
                <w:sz w:val="21"/>
                <w:szCs w:val="21"/>
              </w:rPr>
              <w:t>）</w:t>
            </w:r>
            <w:r>
              <w:rPr>
                <w:rFonts w:hint="eastAsia" w:ascii="宋体" w:hAnsi="宋体" w:eastAsia="宋体" w:cs="宋体"/>
                <w:spacing w:val="-11"/>
                <w:sz w:val="21"/>
                <w:szCs w:val="21"/>
              </w:rPr>
              <w:t xml:space="preserve">方的要求，得 </w:t>
            </w:r>
            <w:r>
              <w:rPr>
                <w:rFonts w:hint="eastAsia" w:ascii="宋体" w:hAnsi="宋体" w:eastAsia="宋体" w:cs="宋体"/>
                <w:sz w:val="21"/>
                <w:szCs w:val="21"/>
              </w:rPr>
              <w:t>10</w:t>
            </w:r>
            <w:r>
              <w:rPr>
                <w:rFonts w:hint="eastAsia" w:ascii="宋体" w:hAnsi="宋体" w:eastAsia="宋体" w:cs="宋体"/>
                <w:spacing w:val="-10"/>
                <w:sz w:val="21"/>
                <w:szCs w:val="21"/>
              </w:rPr>
              <w:t xml:space="preserve"> 分；供应商不能按照</w:t>
            </w:r>
            <w:r>
              <w:rPr>
                <w:rFonts w:hint="eastAsia" w:ascii="宋体" w:hAnsi="宋体" w:eastAsia="宋体" w:cs="宋体"/>
                <w:sz w:val="21"/>
                <w:szCs w:val="21"/>
              </w:rPr>
              <w:t>合同签订时约定的应急方案，存在延迟响应校（园）方要求且延迟时间不超过半小时（含半小时）</w:t>
            </w:r>
            <w:r>
              <w:rPr>
                <w:rFonts w:hint="eastAsia" w:ascii="宋体" w:hAnsi="宋体" w:eastAsia="宋体" w:cs="宋体"/>
                <w:spacing w:val="-7"/>
                <w:sz w:val="21"/>
                <w:szCs w:val="21"/>
              </w:rPr>
              <w:t xml:space="preserve">的，每延迟一次扣 </w:t>
            </w:r>
            <w:r>
              <w:rPr>
                <w:rFonts w:hint="eastAsia" w:ascii="宋体" w:hAnsi="宋体" w:eastAsia="宋体" w:cs="宋体"/>
                <w:sz w:val="21"/>
                <w:szCs w:val="21"/>
              </w:rPr>
              <w:t>2</w:t>
            </w:r>
            <w:r>
              <w:rPr>
                <w:rFonts w:hint="eastAsia" w:ascii="宋体" w:hAnsi="宋体" w:eastAsia="宋体" w:cs="宋体"/>
                <w:spacing w:val="-8"/>
                <w:sz w:val="21"/>
                <w:szCs w:val="21"/>
              </w:rPr>
              <w:t xml:space="preserve"> 分；供应商延迟响应校（园）方要求超过半个小时的，或者供应商未响应校（园） </w:t>
            </w:r>
            <w:r>
              <w:rPr>
                <w:rFonts w:hint="eastAsia" w:ascii="宋体" w:hAnsi="宋体" w:eastAsia="宋体" w:cs="宋体"/>
                <w:spacing w:val="-13"/>
                <w:sz w:val="21"/>
                <w:szCs w:val="21"/>
              </w:rPr>
              <w:t xml:space="preserve">方要求的，每发生一次扣 </w:t>
            </w:r>
            <w:r>
              <w:rPr>
                <w:rFonts w:hint="eastAsia" w:ascii="宋体" w:hAnsi="宋体" w:eastAsia="宋体" w:cs="宋体"/>
                <w:sz w:val="21"/>
                <w:szCs w:val="21"/>
              </w:rPr>
              <w:t>5</w:t>
            </w:r>
            <w:r>
              <w:rPr>
                <w:rFonts w:hint="eastAsia" w:ascii="宋体" w:hAnsi="宋体" w:eastAsia="宋体" w:cs="宋体"/>
                <w:spacing w:val="-12"/>
                <w:sz w:val="21"/>
                <w:szCs w:val="21"/>
              </w:rPr>
              <w:t xml:space="preserve"> 分。本项指标累计每月最高扣分 </w:t>
            </w:r>
            <w:r>
              <w:rPr>
                <w:rFonts w:hint="eastAsia" w:ascii="宋体" w:hAnsi="宋体" w:eastAsia="宋体" w:cs="宋体"/>
                <w:sz w:val="21"/>
                <w:szCs w:val="21"/>
              </w:rPr>
              <w:t>10分。</w:t>
            </w:r>
          </w:p>
        </w:tc>
        <w:tc>
          <w:tcPr>
            <w:tcW w:w="848" w:type="dxa"/>
            <w:noWrap w:val="0"/>
            <w:vAlign w:val="top"/>
          </w:tcPr>
          <w:p w14:paraId="00043A24">
            <w:pPr>
              <w:pStyle w:val="16"/>
              <w:spacing w:line="360" w:lineRule="auto"/>
              <w:rPr>
                <w:rFonts w:hint="eastAsia" w:ascii="宋体" w:hAnsi="宋体" w:eastAsia="宋体" w:cs="宋体"/>
                <w:sz w:val="21"/>
                <w:szCs w:val="21"/>
              </w:rPr>
            </w:pPr>
          </w:p>
        </w:tc>
      </w:tr>
      <w:tr w14:paraId="03C58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jc w:val="center"/>
        </w:trPr>
        <w:tc>
          <w:tcPr>
            <w:tcW w:w="779" w:type="dxa"/>
            <w:vMerge w:val="continue"/>
            <w:tcBorders>
              <w:top w:val="nil"/>
            </w:tcBorders>
            <w:noWrap w:val="0"/>
            <w:vAlign w:val="top"/>
          </w:tcPr>
          <w:p w14:paraId="030F79F2">
            <w:pPr>
              <w:spacing w:line="360" w:lineRule="auto"/>
              <w:rPr>
                <w:rFonts w:hint="eastAsia" w:ascii="宋体" w:hAnsi="宋体" w:eastAsia="宋体" w:cs="宋体"/>
                <w:sz w:val="21"/>
                <w:szCs w:val="21"/>
              </w:rPr>
            </w:pPr>
          </w:p>
        </w:tc>
        <w:tc>
          <w:tcPr>
            <w:tcW w:w="870" w:type="dxa"/>
            <w:vMerge w:val="continue"/>
            <w:tcBorders>
              <w:top w:val="nil"/>
            </w:tcBorders>
            <w:noWrap w:val="0"/>
            <w:vAlign w:val="top"/>
          </w:tcPr>
          <w:p w14:paraId="7E249BA4">
            <w:pPr>
              <w:spacing w:line="360" w:lineRule="auto"/>
              <w:rPr>
                <w:rFonts w:hint="eastAsia" w:ascii="宋体" w:hAnsi="宋体" w:eastAsia="宋体" w:cs="宋体"/>
                <w:sz w:val="21"/>
                <w:szCs w:val="21"/>
              </w:rPr>
            </w:pPr>
          </w:p>
        </w:tc>
        <w:tc>
          <w:tcPr>
            <w:tcW w:w="1219" w:type="dxa"/>
            <w:noWrap w:val="0"/>
            <w:vAlign w:val="top"/>
          </w:tcPr>
          <w:p w14:paraId="21072E6A">
            <w:pPr>
              <w:pStyle w:val="16"/>
              <w:spacing w:line="360" w:lineRule="auto"/>
              <w:rPr>
                <w:rFonts w:hint="eastAsia" w:ascii="宋体" w:hAnsi="宋体" w:eastAsia="宋体" w:cs="宋体"/>
                <w:sz w:val="21"/>
                <w:szCs w:val="21"/>
              </w:rPr>
            </w:pPr>
          </w:p>
          <w:p w14:paraId="239DA687">
            <w:pPr>
              <w:pStyle w:val="16"/>
              <w:spacing w:line="360" w:lineRule="auto"/>
              <w:rPr>
                <w:rFonts w:hint="eastAsia" w:ascii="宋体" w:hAnsi="宋体" w:eastAsia="宋体" w:cs="宋体"/>
                <w:sz w:val="21"/>
                <w:szCs w:val="21"/>
              </w:rPr>
            </w:pPr>
          </w:p>
          <w:p w14:paraId="5E519929">
            <w:pPr>
              <w:pStyle w:val="16"/>
              <w:spacing w:line="360" w:lineRule="auto"/>
              <w:rPr>
                <w:rFonts w:hint="eastAsia" w:ascii="宋体" w:hAnsi="宋体" w:eastAsia="宋体" w:cs="宋体"/>
                <w:sz w:val="21"/>
                <w:szCs w:val="21"/>
              </w:rPr>
            </w:pPr>
            <w:r>
              <w:rPr>
                <w:rFonts w:hint="eastAsia" w:ascii="宋体" w:hAnsi="宋体" w:eastAsia="宋体" w:cs="宋体"/>
                <w:sz w:val="21"/>
                <w:szCs w:val="21"/>
              </w:rPr>
              <w:t>索证制度评价指标</w:t>
            </w:r>
          </w:p>
        </w:tc>
        <w:tc>
          <w:tcPr>
            <w:tcW w:w="1003" w:type="dxa"/>
            <w:noWrap w:val="0"/>
            <w:vAlign w:val="top"/>
          </w:tcPr>
          <w:p w14:paraId="4ED64E44">
            <w:pPr>
              <w:pStyle w:val="16"/>
              <w:spacing w:line="360" w:lineRule="auto"/>
              <w:rPr>
                <w:rFonts w:hint="eastAsia" w:ascii="宋体" w:hAnsi="宋体" w:eastAsia="宋体" w:cs="宋体"/>
                <w:sz w:val="21"/>
                <w:szCs w:val="21"/>
              </w:rPr>
            </w:pPr>
          </w:p>
          <w:p w14:paraId="79020670">
            <w:pPr>
              <w:pStyle w:val="16"/>
              <w:spacing w:line="360" w:lineRule="auto"/>
              <w:rPr>
                <w:rFonts w:hint="eastAsia" w:ascii="宋体" w:hAnsi="宋体" w:eastAsia="宋体" w:cs="宋体"/>
                <w:sz w:val="21"/>
                <w:szCs w:val="21"/>
              </w:rPr>
            </w:pPr>
          </w:p>
          <w:p w14:paraId="33F16E17">
            <w:pPr>
              <w:pStyle w:val="16"/>
              <w:spacing w:line="360" w:lineRule="auto"/>
              <w:rPr>
                <w:rFonts w:hint="eastAsia" w:ascii="宋体" w:hAnsi="宋体" w:eastAsia="宋体" w:cs="宋体"/>
                <w:sz w:val="21"/>
                <w:szCs w:val="21"/>
              </w:rPr>
            </w:pPr>
          </w:p>
          <w:p w14:paraId="2A3BABD6">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5 分</w:t>
            </w:r>
          </w:p>
        </w:tc>
        <w:tc>
          <w:tcPr>
            <w:tcW w:w="2643" w:type="dxa"/>
            <w:noWrap w:val="0"/>
            <w:vAlign w:val="top"/>
          </w:tcPr>
          <w:p w14:paraId="35169A88">
            <w:pPr>
              <w:pStyle w:val="16"/>
              <w:spacing w:line="360" w:lineRule="auto"/>
              <w:rPr>
                <w:rFonts w:hint="eastAsia" w:ascii="宋体" w:hAnsi="宋体" w:eastAsia="宋体" w:cs="宋体"/>
                <w:sz w:val="21"/>
                <w:szCs w:val="21"/>
              </w:rPr>
            </w:pPr>
          </w:p>
          <w:p w14:paraId="1C148A1B">
            <w:pPr>
              <w:pStyle w:val="16"/>
              <w:spacing w:line="360" w:lineRule="auto"/>
              <w:rPr>
                <w:rFonts w:hint="eastAsia" w:ascii="宋体" w:hAnsi="宋体" w:eastAsia="宋体" w:cs="宋体"/>
                <w:sz w:val="21"/>
                <w:szCs w:val="21"/>
              </w:rPr>
            </w:pPr>
          </w:p>
          <w:p w14:paraId="731082C7">
            <w:pPr>
              <w:pStyle w:val="16"/>
              <w:spacing w:line="360" w:lineRule="auto"/>
              <w:rPr>
                <w:rFonts w:hint="eastAsia" w:ascii="宋体" w:hAnsi="宋体" w:eastAsia="宋体" w:cs="宋体"/>
                <w:sz w:val="21"/>
                <w:szCs w:val="21"/>
              </w:rPr>
            </w:pPr>
            <w:r>
              <w:rPr>
                <w:rFonts w:hint="eastAsia" w:ascii="宋体" w:hAnsi="宋体" w:eastAsia="宋体" w:cs="宋体"/>
                <w:sz w:val="21"/>
                <w:szCs w:val="21"/>
              </w:rPr>
              <w:t>考核供应商的食材追踪体系建立情况</w:t>
            </w:r>
          </w:p>
        </w:tc>
        <w:tc>
          <w:tcPr>
            <w:tcW w:w="6784" w:type="dxa"/>
            <w:noWrap w:val="0"/>
            <w:vAlign w:val="top"/>
          </w:tcPr>
          <w:p w14:paraId="6076A4C0">
            <w:pPr>
              <w:pStyle w:val="16"/>
              <w:spacing w:line="360" w:lineRule="auto"/>
              <w:rPr>
                <w:rFonts w:hint="eastAsia" w:ascii="宋体" w:hAnsi="宋体" w:eastAsia="宋体" w:cs="宋体"/>
                <w:sz w:val="21"/>
                <w:szCs w:val="21"/>
              </w:rPr>
            </w:pPr>
            <w:r>
              <w:rPr>
                <w:rFonts w:hint="eastAsia" w:ascii="宋体" w:hAnsi="宋体" w:eastAsia="宋体" w:cs="宋体"/>
                <w:sz w:val="21"/>
                <w:szCs w:val="21"/>
              </w:rPr>
              <w:t>供应商按照《餐饮业食品索证管理规定》，建立了食材追踪体系，并有专门的台账档案，能随时查明货物来源或产地，能及</w:t>
            </w:r>
            <w:r>
              <w:rPr>
                <w:rFonts w:hint="eastAsia" w:ascii="宋体" w:hAnsi="宋体" w:eastAsia="宋体" w:cs="宋体"/>
                <w:spacing w:val="-4"/>
                <w:sz w:val="21"/>
                <w:szCs w:val="21"/>
              </w:rPr>
              <w:t xml:space="preserve">时提供相关的票、据、证等材料的，得 </w:t>
            </w:r>
            <w:r>
              <w:rPr>
                <w:rFonts w:hint="eastAsia" w:ascii="宋体" w:hAnsi="宋体" w:eastAsia="宋体" w:cs="宋体"/>
                <w:sz w:val="21"/>
                <w:szCs w:val="21"/>
              </w:rPr>
              <w:t>5</w:t>
            </w:r>
            <w:r>
              <w:rPr>
                <w:rFonts w:hint="eastAsia" w:ascii="宋体" w:hAnsi="宋体" w:eastAsia="宋体" w:cs="宋体"/>
                <w:spacing w:val="-15"/>
                <w:sz w:val="21"/>
                <w:szCs w:val="21"/>
              </w:rPr>
              <w:t xml:space="preserve"> 分；校</w:t>
            </w:r>
            <w:r>
              <w:rPr>
                <w:rFonts w:hint="eastAsia" w:ascii="宋体" w:hAnsi="宋体" w:eastAsia="宋体" w:cs="宋体"/>
                <w:sz w:val="21"/>
                <w:szCs w:val="21"/>
              </w:rPr>
              <w:t>（园）方对食材进行抽检，每发现一次相关的票、据、证等材料不齐全的或</w:t>
            </w:r>
            <w:r>
              <w:rPr>
                <w:rFonts w:hint="eastAsia" w:ascii="宋体" w:hAnsi="宋体" w:eastAsia="宋体" w:cs="宋体"/>
                <w:spacing w:val="-6"/>
                <w:sz w:val="21"/>
                <w:szCs w:val="21"/>
              </w:rPr>
              <w:t xml:space="preserve">者无法查明货物来源或产地的，扣 </w:t>
            </w:r>
            <w:r>
              <w:rPr>
                <w:rFonts w:hint="eastAsia" w:ascii="宋体" w:hAnsi="宋体" w:eastAsia="宋体" w:cs="宋体"/>
                <w:sz w:val="21"/>
                <w:szCs w:val="21"/>
              </w:rPr>
              <w:t>1</w:t>
            </w:r>
            <w:r>
              <w:rPr>
                <w:rFonts w:hint="eastAsia" w:ascii="宋体" w:hAnsi="宋体" w:eastAsia="宋体" w:cs="宋体"/>
                <w:spacing w:val="-30"/>
                <w:sz w:val="21"/>
                <w:szCs w:val="21"/>
              </w:rPr>
              <w:t xml:space="preserve"> 分</w:t>
            </w:r>
            <w:r>
              <w:rPr>
                <w:rFonts w:hint="eastAsia" w:ascii="宋体" w:hAnsi="宋体" w:eastAsia="宋体" w:cs="宋体"/>
                <w:sz w:val="21"/>
                <w:szCs w:val="21"/>
              </w:rPr>
              <w:t>/</w:t>
            </w:r>
            <w:r>
              <w:rPr>
                <w:rFonts w:hint="eastAsia" w:ascii="宋体" w:hAnsi="宋体" w:eastAsia="宋体" w:cs="宋体"/>
                <w:spacing w:val="-6"/>
                <w:sz w:val="21"/>
                <w:szCs w:val="21"/>
              </w:rPr>
              <w:t>品种；本项目指标累计</w:t>
            </w:r>
            <w:r>
              <w:rPr>
                <w:rFonts w:hint="eastAsia" w:ascii="宋体" w:hAnsi="宋体" w:eastAsia="宋体" w:cs="宋体"/>
                <w:sz w:val="21"/>
                <w:szCs w:val="21"/>
              </w:rPr>
              <w:t>每月最高扣分 5 分。</w:t>
            </w:r>
          </w:p>
        </w:tc>
        <w:tc>
          <w:tcPr>
            <w:tcW w:w="848" w:type="dxa"/>
            <w:noWrap w:val="0"/>
            <w:vAlign w:val="top"/>
          </w:tcPr>
          <w:p w14:paraId="7B0F80DC">
            <w:pPr>
              <w:pStyle w:val="16"/>
              <w:spacing w:line="360" w:lineRule="auto"/>
              <w:rPr>
                <w:rFonts w:hint="eastAsia" w:ascii="宋体" w:hAnsi="宋体" w:eastAsia="宋体" w:cs="宋体"/>
                <w:sz w:val="21"/>
                <w:szCs w:val="21"/>
              </w:rPr>
            </w:pPr>
          </w:p>
        </w:tc>
      </w:tr>
      <w:tr w14:paraId="6E8DA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79" w:type="dxa"/>
            <w:vMerge w:val="continue"/>
            <w:tcBorders>
              <w:top w:val="nil"/>
            </w:tcBorders>
            <w:noWrap w:val="0"/>
            <w:vAlign w:val="top"/>
          </w:tcPr>
          <w:p w14:paraId="205F5D14">
            <w:pPr>
              <w:spacing w:line="360" w:lineRule="auto"/>
              <w:rPr>
                <w:rFonts w:hint="eastAsia" w:ascii="宋体" w:hAnsi="宋体" w:eastAsia="宋体" w:cs="宋体"/>
                <w:sz w:val="21"/>
                <w:szCs w:val="21"/>
              </w:rPr>
            </w:pPr>
          </w:p>
        </w:tc>
        <w:tc>
          <w:tcPr>
            <w:tcW w:w="870" w:type="dxa"/>
            <w:vMerge w:val="continue"/>
            <w:tcBorders>
              <w:top w:val="nil"/>
            </w:tcBorders>
            <w:noWrap w:val="0"/>
            <w:vAlign w:val="top"/>
          </w:tcPr>
          <w:p w14:paraId="7D208CA6">
            <w:pPr>
              <w:spacing w:line="360" w:lineRule="auto"/>
              <w:rPr>
                <w:rFonts w:hint="eastAsia" w:ascii="宋体" w:hAnsi="宋体" w:eastAsia="宋体" w:cs="宋体"/>
                <w:sz w:val="21"/>
                <w:szCs w:val="21"/>
              </w:rPr>
            </w:pPr>
          </w:p>
        </w:tc>
        <w:tc>
          <w:tcPr>
            <w:tcW w:w="1219" w:type="dxa"/>
            <w:noWrap w:val="0"/>
            <w:vAlign w:val="top"/>
          </w:tcPr>
          <w:p w14:paraId="30C6C6B8">
            <w:pPr>
              <w:pStyle w:val="16"/>
              <w:spacing w:line="360" w:lineRule="auto"/>
              <w:rPr>
                <w:rFonts w:hint="eastAsia" w:ascii="宋体" w:hAnsi="宋体" w:eastAsia="宋体" w:cs="宋体"/>
                <w:sz w:val="21"/>
                <w:szCs w:val="21"/>
              </w:rPr>
            </w:pPr>
            <w:r>
              <w:rPr>
                <w:rFonts w:hint="eastAsia" w:ascii="宋体" w:hAnsi="宋体" w:eastAsia="宋体" w:cs="宋体"/>
                <w:sz w:val="21"/>
                <w:szCs w:val="21"/>
              </w:rPr>
              <w:t>信息化评价指标</w:t>
            </w:r>
          </w:p>
        </w:tc>
        <w:tc>
          <w:tcPr>
            <w:tcW w:w="1003" w:type="dxa"/>
            <w:noWrap w:val="0"/>
            <w:vAlign w:val="top"/>
          </w:tcPr>
          <w:p w14:paraId="764C4816">
            <w:pPr>
              <w:pStyle w:val="16"/>
              <w:spacing w:line="360" w:lineRule="auto"/>
              <w:rPr>
                <w:rFonts w:hint="eastAsia" w:ascii="宋体" w:hAnsi="宋体" w:eastAsia="宋体" w:cs="宋体"/>
                <w:sz w:val="21"/>
                <w:szCs w:val="21"/>
              </w:rPr>
            </w:pPr>
          </w:p>
          <w:p w14:paraId="43A6E91D">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5 分</w:t>
            </w:r>
          </w:p>
        </w:tc>
        <w:tc>
          <w:tcPr>
            <w:tcW w:w="2643" w:type="dxa"/>
            <w:noWrap w:val="0"/>
            <w:vAlign w:val="top"/>
          </w:tcPr>
          <w:p w14:paraId="5D0552A2">
            <w:pPr>
              <w:pStyle w:val="16"/>
              <w:spacing w:line="360" w:lineRule="auto"/>
              <w:rPr>
                <w:rFonts w:hint="eastAsia" w:ascii="宋体" w:hAnsi="宋体" w:eastAsia="宋体" w:cs="宋体"/>
                <w:sz w:val="21"/>
                <w:szCs w:val="21"/>
              </w:rPr>
            </w:pPr>
            <w:r>
              <w:rPr>
                <w:rFonts w:hint="eastAsia" w:ascii="宋体" w:hAnsi="宋体" w:eastAsia="宋体" w:cs="宋体"/>
                <w:sz w:val="21"/>
                <w:szCs w:val="21"/>
              </w:rPr>
              <w:t>考核供应商是否按要求运用信息化平台。</w:t>
            </w:r>
          </w:p>
        </w:tc>
        <w:tc>
          <w:tcPr>
            <w:tcW w:w="6784" w:type="dxa"/>
            <w:noWrap w:val="0"/>
            <w:vAlign w:val="top"/>
          </w:tcPr>
          <w:p w14:paraId="03D40AE1">
            <w:pPr>
              <w:pStyle w:val="16"/>
              <w:spacing w:line="360" w:lineRule="auto"/>
              <w:rPr>
                <w:rFonts w:hint="eastAsia" w:ascii="宋体" w:hAnsi="宋体" w:eastAsia="宋体" w:cs="宋体"/>
                <w:spacing w:val="-7"/>
                <w:sz w:val="21"/>
                <w:szCs w:val="21"/>
              </w:rPr>
            </w:pPr>
            <w:r>
              <w:rPr>
                <w:rFonts w:hint="eastAsia" w:ascii="宋体" w:hAnsi="宋体" w:eastAsia="宋体" w:cs="宋体"/>
                <w:sz w:val="21"/>
                <w:szCs w:val="21"/>
              </w:rPr>
              <w:t>供应商每次全面、及时、准确上传追溯信息，相关品名、规格、批次等数据真实完整</w:t>
            </w:r>
            <w:r>
              <w:rPr>
                <w:rFonts w:hint="eastAsia" w:ascii="宋体" w:hAnsi="宋体" w:eastAsia="宋体" w:cs="宋体"/>
                <w:spacing w:val="-12"/>
                <w:sz w:val="21"/>
                <w:szCs w:val="21"/>
              </w:rPr>
              <w:t xml:space="preserve">，得 </w:t>
            </w:r>
            <w:r>
              <w:rPr>
                <w:rFonts w:hint="eastAsia" w:ascii="宋体" w:hAnsi="宋体" w:eastAsia="宋体" w:cs="宋体"/>
                <w:sz w:val="21"/>
                <w:szCs w:val="21"/>
              </w:rPr>
              <w:t>5</w:t>
            </w:r>
            <w:r>
              <w:rPr>
                <w:rFonts w:hint="eastAsia" w:ascii="宋体" w:hAnsi="宋体" w:eastAsia="宋体" w:cs="宋体"/>
                <w:spacing w:val="-8"/>
                <w:sz w:val="21"/>
                <w:szCs w:val="21"/>
              </w:rPr>
              <w:t xml:space="preserve"> 分；每发现一次上传信息不完整、不真实</w:t>
            </w:r>
            <w:r>
              <w:rPr>
                <w:rFonts w:hint="eastAsia" w:ascii="宋体" w:hAnsi="宋体" w:eastAsia="宋体" w:cs="宋体"/>
                <w:spacing w:val="-7"/>
                <w:sz w:val="21"/>
                <w:szCs w:val="21"/>
              </w:rPr>
              <w:t xml:space="preserve">，扣 </w:t>
            </w:r>
            <w:r>
              <w:rPr>
                <w:rFonts w:hint="eastAsia" w:ascii="宋体" w:hAnsi="宋体" w:eastAsia="宋体" w:cs="宋体"/>
                <w:sz w:val="21"/>
                <w:szCs w:val="21"/>
              </w:rPr>
              <w:t>1</w:t>
            </w:r>
            <w:r>
              <w:rPr>
                <w:rFonts w:hint="eastAsia" w:ascii="宋体" w:hAnsi="宋体" w:eastAsia="宋体" w:cs="宋体"/>
                <w:spacing w:val="-12"/>
                <w:sz w:val="21"/>
                <w:szCs w:val="21"/>
              </w:rPr>
              <w:t xml:space="preserve"> 分；本项目指标累计每月最高扣分 </w:t>
            </w:r>
            <w:r>
              <w:rPr>
                <w:rFonts w:hint="eastAsia" w:ascii="宋体" w:hAnsi="宋体" w:eastAsia="宋体" w:cs="宋体"/>
                <w:sz w:val="21"/>
                <w:szCs w:val="21"/>
              </w:rPr>
              <w:t>5</w:t>
            </w:r>
            <w:r>
              <w:rPr>
                <w:rFonts w:hint="eastAsia" w:ascii="宋体" w:hAnsi="宋体" w:eastAsia="宋体" w:cs="宋体"/>
                <w:spacing w:val="-20"/>
                <w:sz w:val="21"/>
                <w:szCs w:val="21"/>
              </w:rPr>
              <w:t xml:space="preserve"> 分。</w:t>
            </w:r>
          </w:p>
        </w:tc>
        <w:tc>
          <w:tcPr>
            <w:tcW w:w="848" w:type="dxa"/>
            <w:noWrap w:val="0"/>
            <w:vAlign w:val="top"/>
          </w:tcPr>
          <w:p w14:paraId="42A0F163">
            <w:pPr>
              <w:pStyle w:val="16"/>
              <w:spacing w:line="360" w:lineRule="auto"/>
              <w:rPr>
                <w:rFonts w:hint="eastAsia" w:ascii="宋体" w:hAnsi="宋体" w:eastAsia="宋体" w:cs="宋体"/>
                <w:sz w:val="21"/>
                <w:szCs w:val="21"/>
              </w:rPr>
            </w:pPr>
          </w:p>
        </w:tc>
      </w:tr>
      <w:tr w14:paraId="7F1E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79" w:type="dxa"/>
            <w:vMerge w:val="continue"/>
            <w:tcBorders>
              <w:top w:val="nil"/>
            </w:tcBorders>
            <w:noWrap w:val="0"/>
            <w:vAlign w:val="top"/>
          </w:tcPr>
          <w:p w14:paraId="00F2E98D">
            <w:pPr>
              <w:spacing w:line="360" w:lineRule="auto"/>
              <w:rPr>
                <w:rFonts w:hint="eastAsia" w:ascii="宋体" w:hAnsi="宋体" w:eastAsia="宋体" w:cs="宋体"/>
                <w:sz w:val="21"/>
                <w:szCs w:val="21"/>
              </w:rPr>
            </w:pPr>
          </w:p>
        </w:tc>
        <w:tc>
          <w:tcPr>
            <w:tcW w:w="870" w:type="dxa"/>
            <w:vMerge w:val="continue"/>
            <w:tcBorders>
              <w:top w:val="nil"/>
            </w:tcBorders>
            <w:noWrap w:val="0"/>
            <w:vAlign w:val="top"/>
          </w:tcPr>
          <w:p w14:paraId="7B5E27DB">
            <w:pPr>
              <w:spacing w:line="360" w:lineRule="auto"/>
              <w:rPr>
                <w:rFonts w:hint="eastAsia" w:ascii="宋体" w:hAnsi="宋体" w:eastAsia="宋体" w:cs="宋体"/>
                <w:sz w:val="21"/>
                <w:szCs w:val="21"/>
              </w:rPr>
            </w:pPr>
          </w:p>
        </w:tc>
        <w:tc>
          <w:tcPr>
            <w:tcW w:w="1219" w:type="dxa"/>
            <w:noWrap w:val="0"/>
            <w:vAlign w:val="top"/>
          </w:tcPr>
          <w:p w14:paraId="3AEB7D38">
            <w:pPr>
              <w:pStyle w:val="16"/>
              <w:spacing w:line="360" w:lineRule="auto"/>
              <w:rPr>
                <w:rFonts w:hint="eastAsia" w:ascii="宋体" w:hAnsi="宋体" w:eastAsia="宋体" w:cs="宋体"/>
                <w:sz w:val="21"/>
                <w:szCs w:val="21"/>
              </w:rPr>
            </w:pPr>
            <w:r>
              <w:rPr>
                <w:rFonts w:hint="eastAsia" w:ascii="宋体" w:hAnsi="宋体" w:eastAsia="宋体" w:cs="宋体"/>
                <w:sz w:val="21"/>
                <w:szCs w:val="21"/>
              </w:rPr>
              <w:t>单据管理评价指标</w:t>
            </w:r>
          </w:p>
        </w:tc>
        <w:tc>
          <w:tcPr>
            <w:tcW w:w="1003" w:type="dxa"/>
            <w:noWrap w:val="0"/>
            <w:vAlign w:val="top"/>
          </w:tcPr>
          <w:p w14:paraId="1D4E85A9">
            <w:pPr>
              <w:pStyle w:val="16"/>
              <w:spacing w:line="360" w:lineRule="auto"/>
              <w:rPr>
                <w:rFonts w:hint="eastAsia" w:ascii="宋体" w:hAnsi="宋体" w:eastAsia="宋体" w:cs="宋体"/>
                <w:sz w:val="21"/>
                <w:szCs w:val="21"/>
              </w:rPr>
            </w:pPr>
          </w:p>
          <w:p w14:paraId="07F2A804">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5 分</w:t>
            </w:r>
          </w:p>
        </w:tc>
        <w:tc>
          <w:tcPr>
            <w:tcW w:w="2643" w:type="dxa"/>
            <w:noWrap w:val="0"/>
            <w:vAlign w:val="top"/>
          </w:tcPr>
          <w:p w14:paraId="77CDF8D3">
            <w:pPr>
              <w:pStyle w:val="16"/>
              <w:spacing w:line="360" w:lineRule="auto"/>
              <w:rPr>
                <w:rFonts w:hint="eastAsia" w:ascii="宋体" w:hAnsi="宋体" w:eastAsia="宋体" w:cs="宋体"/>
                <w:sz w:val="21"/>
                <w:szCs w:val="21"/>
              </w:rPr>
            </w:pPr>
            <w:r>
              <w:rPr>
                <w:rFonts w:hint="eastAsia" w:ascii="宋体" w:hAnsi="宋体" w:eastAsia="宋体" w:cs="宋体"/>
                <w:sz w:val="21"/>
                <w:szCs w:val="21"/>
              </w:rPr>
              <w:t>考核供应商送货单据是否齐全、清晰。</w:t>
            </w:r>
          </w:p>
        </w:tc>
        <w:tc>
          <w:tcPr>
            <w:tcW w:w="6784" w:type="dxa"/>
            <w:noWrap w:val="0"/>
            <w:vAlign w:val="top"/>
          </w:tcPr>
          <w:p w14:paraId="66933DD1">
            <w:pPr>
              <w:pStyle w:val="16"/>
              <w:spacing w:line="360" w:lineRule="auto"/>
              <w:rPr>
                <w:rFonts w:hint="eastAsia" w:ascii="宋体" w:hAnsi="宋体" w:eastAsia="宋体" w:cs="宋体"/>
                <w:sz w:val="21"/>
                <w:szCs w:val="21"/>
              </w:rPr>
            </w:pPr>
            <w:r>
              <w:rPr>
                <w:rFonts w:hint="eastAsia" w:ascii="宋体" w:hAnsi="宋体" w:eastAsia="宋体" w:cs="宋体"/>
                <w:sz w:val="21"/>
                <w:szCs w:val="21"/>
              </w:rPr>
              <w:t>供应商每次提供的送货单（结算凭证）</w:t>
            </w:r>
            <w:r>
              <w:rPr>
                <w:rFonts w:hint="eastAsia" w:ascii="宋体" w:hAnsi="宋体" w:eastAsia="宋体" w:cs="宋体"/>
                <w:spacing w:val="-2"/>
                <w:sz w:val="21"/>
                <w:szCs w:val="21"/>
              </w:rPr>
              <w:t>项目齐全，及其打印清</w:t>
            </w:r>
            <w:r>
              <w:rPr>
                <w:rFonts w:hint="eastAsia" w:ascii="宋体" w:hAnsi="宋体" w:eastAsia="宋体" w:cs="宋体"/>
                <w:spacing w:val="-12"/>
                <w:sz w:val="21"/>
                <w:szCs w:val="21"/>
              </w:rPr>
              <w:t xml:space="preserve">晰的，得 </w:t>
            </w:r>
            <w:r>
              <w:rPr>
                <w:rFonts w:hint="eastAsia" w:ascii="宋体" w:hAnsi="宋体" w:eastAsia="宋体" w:cs="宋体"/>
                <w:sz w:val="21"/>
                <w:szCs w:val="21"/>
              </w:rPr>
              <w:t>5</w:t>
            </w:r>
            <w:r>
              <w:rPr>
                <w:rFonts w:hint="eastAsia" w:ascii="宋体" w:hAnsi="宋体" w:eastAsia="宋体" w:cs="宋体"/>
                <w:spacing w:val="-8"/>
                <w:sz w:val="21"/>
                <w:szCs w:val="21"/>
              </w:rPr>
              <w:t xml:space="preserve"> 分；每发现一次送货单</w:t>
            </w:r>
            <w:r>
              <w:rPr>
                <w:rFonts w:hint="eastAsia" w:ascii="宋体" w:hAnsi="宋体" w:eastAsia="宋体" w:cs="宋体"/>
                <w:sz w:val="21"/>
                <w:szCs w:val="21"/>
              </w:rPr>
              <w:t>（结算凭证）</w:t>
            </w:r>
            <w:r>
              <w:rPr>
                <w:rFonts w:hint="eastAsia" w:ascii="宋体" w:hAnsi="宋体" w:eastAsia="宋体" w:cs="宋体"/>
                <w:spacing w:val="-3"/>
                <w:sz w:val="21"/>
                <w:szCs w:val="21"/>
              </w:rPr>
              <w:t>项目不齐全或</w:t>
            </w:r>
            <w:r>
              <w:rPr>
                <w:rFonts w:hint="eastAsia" w:ascii="宋体" w:hAnsi="宋体" w:eastAsia="宋体" w:cs="宋体"/>
                <w:spacing w:val="-7"/>
                <w:sz w:val="21"/>
                <w:szCs w:val="21"/>
              </w:rPr>
              <w:t xml:space="preserve">者打印不清晰，扣 </w:t>
            </w:r>
            <w:r>
              <w:rPr>
                <w:rFonts w:hint="eastAsia" w:ascii="宋体" w:hAnsi="宋体" w:eastAsia="宋体" w:cs="宋体"/>
                <w:sz w:val="21"/>
                <w:szCs w:val="21"/>
              </w:rPr>
              <w:t>1</w:t>
            </w:r>
            <w:r>
              <w:rPr>
                <w:rFonts w:hint="eastAsia" w:ascii="宋体" w:hAnsi="宋体" w:eastAsia="宋体" w:cs="宋体"/>
                <w:spacing w:val="-12"/>
                <w:sz w:val="21"/>
                <w:szCs w:val="21"/>
              </w:rPr>
              <w:t xml:space="preserve"> 分；本项目指标累计每月最高扣分 </w:t>
            </w:r>
            <w:r>
              <w:rPr>
                <w:rFonts w:hint="eastAsia" w:ascii="宋体" w:hAnsi="宋体" w:eastAsia="宋体" w:cs="宋体"/>
                <w:sz w:val="21"/>
                <w:szCs w:val="21"/>
              </w:rPr>
              <w:t>5</w:t>
            </w:r>
            <w:r>
              <w:rPr>
                <w:rFonts w:hint="eastAsia" w:ascii="宋体" w:hAnsi="宋体" w:eastAsia="宋体" w:cs="宋体"/>
                <w:spacing w:val="-20"/>
                <w:sz w:val="21"/>
                <w:szCs w:val="21"/>
              </w:rPr>
              <w:t xml:space="preserve"> 分。</w:t>
            </w:r>
          </w:p>
        </w:tc>
        <w:tc>
          <w:tcPr>
            <w:tcW w:w="848" w:type="dxa"/>
            <w:noWrap w:val="0"/>
            <w:vAlign w:val="top"/>
          </w:tcPr>
          <w:p w14:paraId="063FDB79">
            <w:pPr>
              <w:pStyle w:val="16"/>
              <w:spacing w:line="360" w:lineRule="auto"/>
              <w:rPr>
                <w:rFonts w:hint="eastAsia" w:ascii="宋体" w:hAnsi="宋体" w:eastAsia="宋体" w:cs="宋体"/>
                <w:sz w:val="21"/>
                <w:szCs w:val="21"/>
              </w:rPr>
            </w:pPr>
          </w:p>
        </w:tc>
      </w:tr>
      <w:tr w14:paraId="073D1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779" w:type="dxa"/>
            <w:noWrap w:val="0"/>
            <w:vAlign w:val="top"/>
          </w:tcPr>
          <w:p w14:paraId="6ED7152B">
            <w:pPr>
              <w:pStyle w:val="16"/>
              <w:spacing w:line="360" w:lineRule="auto"/>
              <w:rPr>
                <w:rFonts w:hint="eastAsia" w:ascii="宋体" w:hAnsi="宋体" w:eastAsia="宋体" w:cs="宋体"/>
                <w:sz w:val="21"/>
                <w:szCs w:val="21"/>
              </w:rPr>
            </w:pPr>
          </w:p>
          <w:p w14:paraId="76DBA53B">
            <w:pPr>
              <w:pStyle w:val="16"/>
              <w:spacing w:line="360" w:lineRule="auto"/>
              <w:rPr>
                <w:rFonts w:hint="eastAsia" w:ascii="宋体" w:hAnsi="宋体" w:eastAsia="宋体" w:cs="宋体"/>
                <w:sz w:val="21"/>
                <w:szCs w:val="21"/>
              </w:rPr>
            </w:pPr>
          </w:p>
          <w:p w14:paraId="18E89BD6">
            <w:pPr>
              <w:pStyle w:val="16"/>
              <w:spacing w:line="360" w:lineRule="auto"/>
              <w:rPr>
                <w:rFonts w:hint="eastAsia" w:ascii="宋体" w:hAnsi="宋体" w:eastAsia="宋体" w:cs="宋体"/>
                <w:sz w:val="21"/>
                <w:szCs w:val="21"/>
              </w:rPr>
            </w:pPr>
            <w:r>
              <w:rPr>
                <w:rFonts w:hint="eastAsia" w:ascii="宋体" w:hAnsi="宋体" w:eastAsia="宋体" w:cs="宋体"/>
                <w:sz w:val="21"/>
                <w:szCs w:val="21"/>
              </w:rPr>
              <w:t>价格管理</w:t>
            </w:r>
          </w:p>
        </w:tc>
        <w:tc>
          <w:tcPr>
            <w:tcW w:w="870" w:type="dxa"/>
            <w:noWrap w:val="0"/>
            <w:vAlign w:val="top"/>
          </w:tcPr>
          <w:p w14:paraId="5264CEA8">
            <w:pPr>
              <w:pStyle w:val="16"/>
              <w:spacing w:line="360" w:lineRule="auto"/>
              <w:rPr>
                <w:rFonts w:hint="eastAsia" w:ascii="宋体" w:hAnsi="宋体" w:eastAsia="宋体" w:cs="宋体"/>
                <w:sz w:val="21"/>
                <w:szCs w:val="21"/>
              </w:rPr>
            </w:pPr>
          </w:p>
          <w:p w14:paraId="1A4DB965">
            <w:pPr>
              <w:pStyle w:val="16"/>
              <w:spacing w:line="360" w:lineRule="auto"/>
              <w:rPr>
                <w:rFonts w:hint="eastAsia" w:ascii="宋体" w:hAnsi="宋体" w:eastAsia="宋体" w:cs="宋体"/>
                <w:sz w:val="21"/>
                <w:szCs w:val="21"/>
              </w:rPr>
            </w:pPr>
          </w:p>
          <w:p w14:paraId="4AAE5980">
            <w:pPr>
              <w:pStyle w:val="16"/>
              <w:spacing w:line="360" w:lineRule="auto"/>
              <w:rPr>
                <w:rFonts w:hint="eastAsia" w:ascii="宋体" w:hAnsi="宋体" w:eastAsia="宋体" w:cs="宋体"/>
                <w:sz w:val="21"/>
                <w:szCs w:val="21"/>
              </w:rPr>
            </w:pPr>
          </w:p>
          <w:p w14:paraId="5AF92D99">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5 分</w:t>
            </w:r>
          </w:p>
        </w:tc>
        <w:tc>
          <w:tcPr>
            <w:tcW w:w="1219" w:type="dxa"/>
            <w:noWrap w:val="0"/>
            <w:vAlign w:val="top"/>
          </w:tcPr>
          <w:p w14:paraId="0DFE6C63">
            <w:pPr>
              <w:pStyle w:val="16"/>
              <w:spacing w:line="360" w:lineRule="auto"/>
              <w:rPr>
                <w:rFonts w:hint="eastAsia" w:ascii="宋体" w:hAnsi="宋体" w:eastAsia="宋体" w:cs="宋体"/>
                <w:sz w:val="21"/>
                <w:szCs w:val="21"/>
              </w:rPr>
            </w:pPr>
          </w:p>
          <w:p w14:paraId="3CB898CD">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价格合理性评价指标</w:t>
            </w:r>
          </w:p>
        </w:tc>
        <w:tc>
          <w:tcPr>
            <w:tcW w:w="1003" w:type="dxa"/>
            <w:noWrap w:val="0"/>
            <w:vAlign w:val="top"/>
          </w:tcPr>
          <w:p w14:paraId="2D14624F">
            <w:pPr>
              <w:pStyle w:val="16"/>
              <w:spacing w:line="360" w:lineRule="auto"/>
              <w:rPr>
                <w:rFonts w:hint="eastAsia" w:ascii="宋体" w:hAnsi="宋体" w:eastAsia="宋体" w:cs="宋体"/>
                <w:sz w:val="21"/>
                <w:szCs w:val="21"/>
              </w:rPr>
            </w:pPr>
          </w:p>
          <w:p w14:paraId="3C5D178F">
            <w:pPr>
              <w:pStyle w:val="16"/>
              <w:spacing w:line="360" w:lineRule="auto"/>
              <w:rPr>
                <w:rFonts w:hint="eastAsia" w:ascii="宋体" w:hAnsi="宋体" w:eastAsia="宋体" w:cs="宋体"/>
                <w:sz w:val="21"/>
                <w:szCs w:val="21"/>
              </w:rPr>
            </w:pPr>
          </w:p>
          <w:p w14:paraId="5DDB407F">
            <w:pPr>
              <w:pStyle w:val="16"/>
              <w:spacing w:line="360" w:lineRule="auto"/>
              <w:rPr>
                <w:rFonts w:hint="eastAsia" w:ascii="宋体" w:hAnsi="宋体" w:eastAsia="宋体" w:cs="宋体"/>
                <w:sz w:val="21"/>
                <w:szCs w:val="21"/>
              </w:rPr>
            </w:pPr>
          </w:p>
          <w:p w14:paraId="717C691F">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5 分</w:t>
            </w:r>
          </w:p>
        </w:tc>
        <w:tc>
          <w:tcPr>
            <w:tcW w:w="2643" w:type="dxa"/>
            <w:noWrap w:val="0"/>
            <w:vAlign w:val="top"/>
          </w:tcPr>
          <w:p w14:paraId="79967405">
            <w:pPr>
              <w:pStyle w:val="16"/>
              <w:spacing w:line="360" w:lineRule="auto"/>
              <w:rPr>
                <w:rFonts w:hint="eastAsia" w:ascii="宋体" w:hAnsi="宋体" w:eastAsia="宋体" w:cs="宋体"/>
                <w:sz w:val="21"/>
                <w:szCs w:val="21"/>
              </w:rPr>
            </w:pPr>
            <w:r>
              <w:rPr>
                <w:rFonts w:hint="eastAsia" w:ascii="宋体" w:hAnsi="宋体" w:eastAsia="宋体" w:cs="宋体"/>
                <w:spacing w:val="-2"/>
                <w:sz w:val="21"/>
                <w:szCs w:val="21"/>
              </w:rPr>
              <w:t>考核供应商是否建立了完善的报价机制；是否存在临时补货物品价格虚高的情况；是否存在对账单价格乱报、错报等的情况；是否存在月</w:t>
            </w:r>
          </w:p>
        </w:tc>
        <w:tc>
          <w:tcPr>
            <w:tcW w:w="6784" w:type="dxa"/>
            <w:noWrap w:val="0"/>
            <w:vAlign w:val="top"/>
          </w:tcPr>
          <w:p w14:paraId="6620C990">
            <w:pPr>
              <w:pStyle w:val="16"/>
              <w:spacing w:line="360" w:lineRule="auto"/>
              <w:rPr>
                <w:rFonts w:hint="eastAsia" w:ascii="宋体" w:hAnsi="宋体" w:eastAsia="宋体" w:cs="宋体"/>
                <w:sz w:val="21"/>
                <w:szCs w:val="21"/>
              </w:rPr>
            </w:pPr>
            <w:r>
              <w:rPr>
                <w:rFonts w:hint="eastAsia" w:ascii="宋体" w:hAnsi="宋体" w:eastAsia="宋体" w:cs="宋体"/>
                <w:sz w:val="21"/>
                <w:szCs w:val="21"/>
              </w:rPr>
              <w:t>按照规定时间依时报价，且结算价格严格按照招标文件及供应</w:t>
            </w:r>
            <w:r>
              <w:rPr>
                <w:rFonts w:hint="eastAsia" w:ascii="宋体" w:hAnsi="宋体" w:eastAsia="宋体" w:cs="宋体"/>
                <w:spacing w:val="-3"/>
                <w:sz w:val="21"/>
                <w:szCs w:val="21"/>
              </w:rPr>
              <w:t xml:space="preserve">商承诺的折扣率规定执行，没有虚高、乱报、错报的行为发生， </w:t>
            </w:r>
            <w:r>
              <w:rPr>
                <w:rFonts w:hint="eastAsia" w:ascii="宋体" w:hAnsi="宋体" w:eastAsia="宋体" w:cs="宋体"/>
                <w:spacing w:val="-32"/>
                <w:sz w:val="21"/>
                <w:szCs w:val="21"/>
              </w:rPr>
              <w:t xml:space="preserve">得 </w:t>
            </w:r>
            <w:r>
              <w:rPr>
                <w:rFonts w:hint="eastAsia" w:ascii="宋体" w:hAnsi="宋体" w:eastAsia="宋体" w:cs="宋体"/>
                <w:sz w:val="21"/>
                <w:szCs w:val="21"/>
              </w:rPr>
              <w:t>10</w:t>
            </w:r>
            <w:r>
              <w:rPr>
                <w:rFonts w:hint="eastAsia" w:ascii="宋体" w:hAnsi="宋体" w:eastAsia="宋体" w:cs="宋体"/>
                <w:spacing w:val="-10"/>
                <w:sz w:val="21"/>
                <w:szCs w:val="21"/>
              </w:rPr>
              <w:t xml:space="preserve"> 分；没有在规定时间内完成本月报价，每发生一次延迟扣</w:t>
            </w:r>
            <w:r>
              <w:rPr>
                <w:rFonts w:hint="eastAsia" w:ascii="宋体" w:hAnsi="宋体" w:eastAsia="宋体" w:cs="宋体"/>
                <w:sz w:val="21"/>
                <w:szCs w:val="21"/>
              </w:rPr>
              <w:t>1</w:t>
            </w:r>
            <w:r>
              <w:rPr>
                <w:rFonts w:hint="eastAsia" w:ascii="宋体" w:hAnsi="宋体" w:eastAsia="宋体" w:cs="宋体"/>
                <w:spacing w:val="-10"/>
                <w:sz w:val="21"/>
                <w:szCs w:val="21"/>
              </w:rPr>
              <w:t xml:space="preserve"> 分；每发现一次没有按照供应商承诺的折扣率报价，扣 </w:t>
            </w:r>
            <w:r>
              <w:rPr>
                <w:rFonts w:hint="eastAsia" w:ascii="宋体" w:hAnsi="宋体" w:eastAsia="宋体" w:cs="宋体"/>
                <w:sz w:val="21"/>
                <w:szCs w:val="21"/>
              </w:rPr>
              <w:t>1</w:t>
            </w:r>
            <w:r>
              <w:rPr>
                <w:rFonts w:hint="eastAsia" w:ascii="宋体" w:hAnsi="宋体" w:eastAsia="宋体" w:cs="宋体"/>
                <w:spacing w:val="-25"/>
                <w:sz w:val="21"/>
                <w:szCs w:val="21"/>
              </w:rPr>
              <w:t xml:space="preserve"> 分；</w:t>
            </w:r>
            <w:r>
              <w:rPr>
                <w:rFonts w:hint="eastAsia" w:ascii="宋体" w:hAnsi="宋体" w:eastAsia="宋体" w:cs="宋体"/>
                <w:sz w:val="21"/>
                <w:szCs w:val="21"/>
              </w:rPr>
              <w:t>每发生一次虚高、乱报或错报行为，扣 1 分；本项指标累计每月最高扣分 10 分。</w:t>
            </w:r>
          </w:p>
        </w:tc>
        <w:tc>
          <w:tcPr>
            <w:tcW w:w="848" w:type="dxa"/>
            <w:noWrap w:val="0"/>
            <w:vAlign w:val="top"/>
          </w:tcPr>
          <w:p w14:paraId="636FA013">
            <w:pPr>
              <w:pStyle w:val="16"/>
              <w:spacing w:line="360" w:lineRule="auto"/>
              <w:rPr>
                <w:rFonts w:hint="eastAsia" w:ascii="宋体" w:hAnsi="宋体" w:eastAsia="宋体" w:cs="宋体"/>
                <w:sz w:val="21"/>
                <w:szCs w:val="21"/>
              </w:rPr>
            </w:pPr>
          </w:p>
        </w:tc>
      </w:tr>
    </w:tbl>
    <w:p w14:paraId="6C6D14BF">
      <w:pPr>
        <w:spacing w:line="360" w:lineRule="auto"/>
        <w:rPr>
          <w:rFonts w:hint="eastAsia" w:ascii="宋体" w:hAnsi="宋体" w:eastAsia="宋体" w:cs="宋体"/>
          <w:sz w:val="21"/>
          <w:szCs w:val="21"/>
        </w:rPr>
        <w:sectPr>
          <w:pgSz w:w="16840" w:h="11910" w:orient="landscape"/>
          <w:pgMar w:top="1440" w:right="1800" w:bottom="1440" w:left="1800" w:header="720" w:footer="720" w:gutter="0"/>
          <w:cols w:space="720" w:num="1"/>
        </w:sectPr>
      </w:pP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816"/>
        <w:gridCol w:w="1143"/>
        <w:gridCol w:w="940"/>
        <w:gridCol w:w="2475"/>
        <w:gridCol w:w="6350"/>
        <w:gridCol w:w="795"/>
      </w:tblGrid>
      <w:tr w14:paraId="1DEB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79" w:type="dxa"/>
            <w:shd w:val="clear" w:color="auto" w:fill="FFFFFF"/>
            <w:noWrap w:val="0"/>
            <w:vAlign w:val="top"/>
          </w:tcPr>
          <w:p w14:paraId="01BF3A5B">
            <w:pPr>
              <w:pStyle w:val="16"/>
              <w:spacing w:line="360" w:lineRule="auto"/>
              <w:rPr>
                <w:rFonts w:hint="eastAsia" w:ascii="宋体" w:hAnsi="宋体" w:eastAsia="宋体" w:cs="宋体"/>
                <w:b/>
                <w:sz w:val="21"/>
                <w:szCs w:val="21"/>
              </w:rPr>
            </w:pPr>
            <w:r>
              <w:rPr>
                <w:rFonts w:hint="eastAsia" w:ascii="宋体" w:hAnsi="宋体" w:eastAsia="宋体" w:cs="宋体"/>
                <w:b/>
                <w:w w:val="95"/>
                <w:sz w:val="21"/>
                <w:szCs w:val="21"/>
              </w:rPr>
              <w:t>一级</w:t>
            </w:r>
          </w:p>
          <w:p w14:paraId="188D99C3">
            <w:pPr>
              <w:pStyle w:val="16"/>
              <w:spacing w:line="360" w:lineRule="auto"/>
              <w:rPr>
                <w:rFonts w:hint="eastAsia" w:ascii="宋体" w:hAnsi="宋体" w:eastAsia="宋体" w:cs="宋体"/>
                <w:b/>
                <w:sz w:val="21"/>
                <w:szCs w:val="21"/>
              </w:rPr>
            </w:pPr>
            <w:r>
              <w:rPr>
                <w:rFonts w:hint="eastAsia" w:ascii="宋体" w:hAnsi="宋体" w:eastAsia="宋体" w:cs="宋体"/>
                <w:b/>
                <w:w w:val="95"/>
                <w:sz w:val="21"/>
                <w:szCs w:val="21"/>
              </w:rPr>
              <w:t>指标</w:t>
            </w:r>
          </w:p>
        </w:tc>
        <w:tc>
          <w:tcPr>
            <w:tcW w:w="870" w:type="dxa"/>
            <w:shd w:val="clear" w:color="auto" w:fill="FFFFFF"/>
            <w:noWrap w:val="0"/>
            <w:vAlign w:val="top"/>
          </w:tcPr>
          <w:p w14:paraId="628FDE79">
            <w:pPr>
              <w:pStyle w:val="16"/>
              <w:spacing w:line="360" w:lineRule="auto"/>
              <w:rPr>
                <w:rFonts w:hint="eastAsia" w:ascii="宋体" w:hAnsi="宋体" w:eastAsia="宋体" w:cs="宋体"/>
                <w:b/>
                <w:sz w:val="21"/>
                <w:szCs w:val="21"/>
              </w:rPr>
            </w:pPr>
            <w:r>
              <w:rPr>
                <w:rFonts w:hint="eastAsia" w:ascii="宋体" w:hAnsi="宋体" w:eastAsia="宋体" w:cs="宋体"/>
                <w:b/>
                <w:sz w:val="21"/>
                <w:szCs w:val="21"/>
              </w:rPr>
              <w:t>分值</w:t>
            </w:r>
          </w:p>
        </w:tc>
        <w:tc>
          <w:tcPr>
            <w:tcW w:w="1219" w:type="dxa"/>
            <w:shd w:val="clear" w:color="auto" w:fill="FFFFFF"/>
            <w:noWrap w:val="0"/>
            <w:vAlign w:val="top"/>
          </w:tcPr>
          <w:p w14:paraId="77578DBB">
            <w:pPr>
              <w:pStyle w:val="16"/>
              <w:spacing w:line="360" w:lineRule="auto"/>
              <w:rPr>
                <w:rFonts w:hint="eastAsia" w:ascii="宋体" w:hAnsi="宋体" w:eastAsia="宋体" w:cs="宋体"/>
                <w:b/>
                <w:sz w:val="21"/>
                <w:szCs w:val="21"/>
              </w:rPr>
            </w:pPr>
            <w:r>
              <w:rPr>
                <w:rFonts w:hint="eastAsia" w:ascii="宋体" w:hAnsi="宋体" w:eastAsia="宋体" w:cs="宋体"/>
                <w:b/>
                <w:sz w:val="21"/>
                <w:szCs w:val="21"/>
              </w:rPr>
              <w:t>二级指标</w:t>
            </w:r>
          </w:p>
        </w:tc>
        <w:tc>
          <w:tcPr>
            <w:tcW w:w="1003" w:type="dxa"/>
            <w:shd w:val="clear" w:color="auto" w:fill="FFFFFF"/>
            <w:noWrap w:val="0"/>
            <w:vAlign w:val="top"/>
          </w:tcPr>
          <w:p w14:paraId="50F12A2B">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2643" w:type="dxa"/>
            <w:shd w:val="clear" w:color="auto" w:fill="FFFFFF"/>
            <w:noWrap w:val="0"/>
            <w:vAlign w:val="top"/>
          </w:tcPr>
          <w:p w14:paraId="3B99726F">
            <w:pPr>
              <w:pStyle w:val="16"/>
              <w:spacing w:line="360" w:lineRule="auto"/>
              <w:rPr>
                <w:rFonts w:hint="eastAsia" w:ascii="宋体" w:hAnsi="宋体" w:eastAsia="宋体" w:cs="宋体"/>
                <w:b/>
                <w:sz w:val="21"/>
                <w:szCs w:val="21"/>
              </w:rPr>
            </w:pPr>
            <w:r>
              <w:rPr>
                <w:rFonts w:hint="eastAsia" w:ascii="宋体" w:hAnsi="宋体" w:eastAsia="宋体" w:cs="宋体"/>
                <w:b/>
                <w:sz w:val="21"/>
                <w:szCs w:val="21"/>
              </w:rPr>
              <w:t>考核内容</w:t>
            </w:r>
          </w:p>
        </w:tc>
        <w:tc>
          <w:tcPr>
            <w:tcW w:w="6784" w:type="dxa"/>
            <w:shd w:val="clear" w:color="auto" w:fill="FFFFFF"/>
            <w:noWrap w:val="0"/>
            <w:vAlign w:val="top"/>
          </w:tcPr>
          <w:p w14:paraId="5EE6DA03">
            <w:pPr>
              <w:pStyle w:val="16"/>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848" w:type="dxa"/>
            <w:shd w:val="clear" w:color="auto" w:fill="FFFFFF"/>
            <w:noWrap w:val="0"/>
            <w:vAlign w:val="top"/>
          </w:tcPr>
          <w:p w14:paraId="4B3C3B08">
            <w:pPr>
              <w:pStyle w:val="16"/>
              <w:spacing w:line="360" w:lineRule="auto"/>
              <w:rPr>
                <w:rFonts w:hint="eastAsia" w:ascii="宋体" w:hAnsi="宋体" w:eastAsia="宋体" w:cs="宋体"/>
                <w:b/>
                <w:sz w:val="21"/>
                <w:szCs w:val="21"/>
              </w:rPr>
            </w:pPr>
            <w:r>
              <w:rPr>
                <w:rFonts w:hint="eastAsia" w:ascii="宋体" w:hAnsi="宋体" w:eastAsia="宋体" w:cs="宋体"/>
                <w:b/>
                <w:sz w:val="21"/>
                <w:szCs w:val="21"/>
              </w:rPr>
              <w:t>得分</w:t>
            </w:r>
          </w:p>
        </w:tc>
      </w:tr>
      <w:tr w14:paraId="6BDF6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79" w:type="dxa"/>
            <w:noWrap w:val="0"/>
            <w:vAlign w:val="top"/>
          </w:tcPr>
          <w:p w14:paraId="47B93FFF">
            <w:pPr>
              <w:pStyle w:val="16"/>
              <w:spacing w:line="360" w:lineRule="auto"/>
              <w:rPr>
                <w:rFonts w:hint="eastAsia" w:ascii="宋体" w:hAnsi="宋体" w:eastAsia="宋体" w:cs="宋体"/>
                <w:sz w:val="21"/>
                <w:szCs w:val="21"/>
              </w:rPr>
            </w:pPr>
          </w:p>
        </w:tc>
        <w:tc>
          <w:tcPr>
            <w:tcW w:w="870" w:type="dxa"/>
            <w:noWrap w:val="0"/>
            <w:vAlign w:val="top"/>
          </w:tcPr>
          <w:p w14:paraId="647CAC08">
            <w:pPr>
              <w:pStyle w:val="16"/>
              <w:spacing w:line="360" w:lineRule="auto"/>
              <w:rPr>
                <w:rFonts w:hint="eastAsia" w:ascii="宋体" w:hAnsi="宋体" w:eastAsia="宋体" w:cs="宋体"/>
                <w:sz w:val="21"/>
                <w:szCs w:val="21"/>
              </w:rPr>
            </w:pPr>
          </w:p>
        </w:tc>
        <w:tc>
          <w:tcPr>
            <w:tcW w:w="1219" w:type="dxa"/>
            <w:noWrap w:val="0"/>
            <w:vAlign w:val="top"/>
          </w:tcPr>
          <w:p w14:paraId="029915E9">
            <w:pPr>
              <w:pStyle w:val="16"/>
              <w:spacing w:line="360" w:lineRule="auto"/>
              <w:rPr>
                <w:rFonts w:hint="eastAsia" w:ascii="宋体" w:hAnsi="宋体" w:eastAsia="宋体" w:cs="宋体"/>
                <w:sz w:val="21"/>
                <w:szCs w:val="21"/>
              </w:rPr>
            </w:pPr>
          </w:p>
        </w:tc>
        <w:tc>
          <w:tcPr>
            <w:tcW w:w="1003" w:type="dxa"/>
            <w:noWrap w:val="0"/>
            <w:vAlign w:val="top"/>
          </w:tcPr>
          <w:p w14:paraId="1ADB159A">
            <w:pPr>
              <w:pStyle w:val="16"/>
              <w:spacing w:line="360" w:lineRule="auto"/>
              <w:rPr>
                <w:rFonts w:hint="eastAsia" w:ascii="宋体" w:hAnsi="宋体" w:eastAsia="宋体" w:cs="宋体"/>
                <w:sz w:val="21"/>
                <w:szCs w:val="21"/>
              </w:rPr>
            </w:pPr>
          </w:p>
        </w:tc>
        <w:tc>
          <w:tcPr>
            <w:tcW w:w="2643" w:type="dxa"/>
            <w:noWrap w:val="0"/>
            <w:vAlign w:val="top"/>
          </w:tcPr>
          <w:p w14:paraId="66D6EC10">
            <w:pPr>
              <w:pStyle w:val="16"/>
              <w:spacing w:line="360" w:lineRule="auto"/>
              <w:rPr>
                <w:rFonts w:hint="eastAsia" w:ascii="宋体" w:hAnsi="宋体" w:eastAsia="宋体" w:cs="宋体"/>
                <w:sz w:val="21"/>
                <w:szCs w:val="21"/>
              </w:rPr>
            </w:pPr>
            <w:r>
              <w:rPr>
                <w:rFonts w:hint="eastAsia" w:ascii="宋体" w:hAnsi="宋体" w:eastAsia="宋体" w:cs="宋体"/>
                <w:sz w:val="21"/>
                <w:szCs w:val="21"/>
              </w:rPr>
              <w:t>度结算对账不及时情况</w:t>
            </w:r>
          </w:p>
          <w:p w14:paraId="083A5E68">
            <w:pPr>
              <w:pStyle w:val="16"/>
              <w:spacing w:line="360" w:lineRule="auto"/>
              <w:rPr>
                <w:rFonts w:hint="eastAsia" w:ascii="宋体" w:hAnsi="宋体" w:eastAsia="宋体" w:cs="宋体"/>
                <w:sz w:val="21"/>
                <w:szCs w:val="21"/>
              </w:rPr>
            </w:pPr>
            <w:r>
              <w:rPr>
                <w:rFonts w:hint="eastAsia" w:ascii="宋体" w:hAnsi="宋体" w:eastAsia="宋体" w:cs="宋体"/>
                <w:sz w:val="21"/>
                <w:szCs w:val="21"/>
              </w:rPr>
              <w:t>等。</w:t>
            </w:r>
          </w:p>
        </w:tc>
        <w:tc>
          <w:tcPr>
            <w:tcW w:w="6784" w:type="dxa"/>
            <w:noWrap w:val="0"/>
            <w:vAlign w:val="top"/>
          </w:tcPr>
          <w:p w14:paraId="69F70775">
            <w:pPr>
              <w:pStyle w:val="16"/>
              <w:spacing w:line="360" w:lineRule="auto"/>
              <w:rPr>
                <w:rFonts w:hint="eastAsia" w:ascii="宋体" w:hAnsi="宋体" w:eastAsia="宋体" w:cs="宋体"/>
                <w:sz w:val="21"/>
                <w:szCs w:val="21"/>
              </w:rPr>
            </w:pPr>
          </w:p>
        </w:tc>
        <w:tc>
          <w:tcPr>
            <w:tcW w:w="848" w:type="dxa"/>
            <w:noWrap w:val="0"/>
            <w:vAlign w:val="top"/>
          </w:tcPr>
          <w:p w14:paraId="6A2C35F6">
            <w:pPr>
              <w:pStyle w:val="16"/>
              <w:spacing w:line="360" w:lineRule="auto"/>
              <w:rPr>
                <w:rFonts w:hint="eastAsia" w:ascii="宋体" w:hAnsi="宋体" w:eastAsia="宋体" w:cs="宋体"/>
                <w:sz w:val="21"/>
                <w:szCs w:val="21"/>
              </w:rPr>
            </w:pPr>
          </w:p>
        </w:tc>
      </w:tr>
      <w:tr w14:paraId="51DA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79" w:type="dxa"/>
            <w:vMerge w:val="restart"/>
            <w:noWrap w:val="0"/>
            <w:vAlign w:val="top"/>
          </w:tcPr>
          <w:p w14:paraId="56DC0948">
            <w:pPr>
              <w:pStyle w:val="16"/>
              <w:spacing w:line="360" w:lineRule="auto"/>
              <w:rPr>
                <w:rFonts w:hint="eastAsia" w:ascii="宋体" w:hAnsi="宋体" w:eastAsia="宋体" w:cs="宋体"/>
                <w:sz w:val="21"/>
                <w:szCs w:val="21"/>
              </w:rPr>
            </w:pPr>
          </w:p>
          <w:p w14:paraId="28082DB5">
            <w:pPr>
              <w:pStyle w:val="16"/>
              <w:spacing w:line="360" w:lineRule="auto"/>
              <w:rPr>
                <w:rFonts w:hint="eastAsia" w:ascii="宋体" w:hAnsi="宋体" w:eastAsia="宋体" w:cs="宋体"/>
                <w:sz w:val="21"/>
                <w:szCs w:val="21"/>
              </w:rPr>
            </w:pPr>
          </w:p>
          <w:p w14:paraId="7816ED1F">
            <w:pPr>
              <w:pStyle w:val="16"/>
              <w:spacing w:line="360" w:lineRule="auto"/>
              <w:rPr>
                <w:rFonts w:hint="eastAsia" w:ascii="宋体" w:hAnsi="宋体" w:eastAsia="宋体" w:cs="宋体"/>
                <w:sz w:val="21"/>
                <w:szCs w:val="21"/>
              </w:rPr>
            </w:pPr>
          </w:p>
          <w:p w14:paraId="29D5888A">
            <w:pPr>
              <w:pStyle w:val="16"/>
              <w:spacing w:line="360" w:lineRule="auto"/>
              <w:rPr>
                <w:rFonts w:hint="eastAsia" w:ascii="宋体" w:hAnsi="宋体" w:eastAsia="宋体" w:cs="宋体"/>
                <w:sz w:val="21"/>
                <w:szCs w:val="21"/>
              </w:rPr>
            </w:pPr>
            <w:r>
              <w:rPr>
                <w:rFonts w:hint="eastAsia" w:ascii="宋体" w:hAnsi="宋体" w:eastAsia="宋体" w:cs="宋体"/>
                <w:sz w:val="21"/>
                <w:szCs w:val="21"/>
              </w:rPr>
              <w:t>安全卫生</w:t>
            </w:r>
          </w:p>
        </w:tc>
        <w:tc>
          <w:tcPr>
            <w:tcW w:w="870" w:type="dxa"/>
            <w:vMerge w:val="restart"/>
            <w:noWrap w:val="0"/>
            <w:vAlign w:val="top"/>
          </w:tcPr>
          <w:p w14:paraId="0A573209">
            <w:pPr>
              <w:pStyle w:val="16"/>
              <w:spacing w:line="360" w:lineRule="auto"/>
              <w:rPr>
                <w:rFonts w:hint="eastAsia" w:ascii="宋体" w:hAnsi="宋体" w:eastAsia="宋体" w:cs="宋体"/>
                <w:sz w:val="21"/>
                <w:szCs w:val="21"/>
              </w:rPr>
            </w:pPr>
          </w:p>
          <w:p w14:paraId="03513BA5">
            <w:pPr>
              <w:pStyle w:val="16"/>
              <w:spacing w:line="360" w:lineRule="auto"/>
              <w:rPr>
                <w:rFonts w:hint="eastAsia" w:ascii="宋体" w:hAnsi="宋体" w:eastAsia="宋体" w:cs="宋体"/>
                <w:sz w:val="21"/>
                <w:szCs w:val="21"/>
              </w:rPr>
            </w:pPr>
          </w:p>
          <w:p w14:paraId="3BA65C83">
            <w:pPr>
              <w:pStyle w:val="16"/>
              <w:spacing w:line="360" w:lineRule="auto"/>
              <w:rPr>
                <w:rFonts w:hint="eastAsia" w:ascii="宋体" w:hAnsi="宋体" w:eastAsia="宋体" w:cs="宋体"/>
                <w:sz w:val="21"/>
                <w:szCs w:val="21"/>
              </w:rPr>
            </w:pPr>
          </w:p>
          <w:p w14:paraId="2927A671">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15分</w:t>
            </w:r>
          </w:p>
        </w:tc>
        <w:tc>
          <w:tcPr>
            <w:tcW w:w="1219" w:type="dxa"/>
            <w:noWrap w:val="0"/>
            <w:vAlign w:val="top"/>
          </w:tcPr>
          <w:p w14:paraId="75C4B29C">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食材安全性评价指标</w:t>
            </w:r>
          </w:p>
        </w:tc>
        <w:tc>
          <w:tcPr>
            <w:tcW w:w="1003" w:type="dxa"/>
            <w:noWrap w:val="0"/>
            <w:vAlign w:val="top"/>
          </w:tcPr>
          <w:p w14:paraId="71FC3FBF">
            <w:pPr>
              <w:pStyle w:val="16"/>
              <w:spacing w:line="360" w:lineRule="auto"/>
              <w:rPr>
                <w:rFonts w:hint="eastAsia" w:ascii="宋体" w:hAnsi="宋体" w:eastAsia="宋体" w:cs="宋体"/>
                <w:sz w:val="21"/>
                <w:szCs w:val="21"/>
              </w:rPr>
            </w:pPr>
          </w:p>
          <w:p w14:paraId="08B84646">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10 分</w:t>
            </w:r>
          </w:p>
        </w:tc>
        <w:tc>
          <w:tcPr>
            <w:tcW w:w="2643" w:type="dxa"/>
            <w:noWrap w:val="0"/>
            <w:vAlign w:val="top"/>
          </w:tcPr>
          <w:p w14:paraId="1A9C76E5">
            <w:pPr>
              <w:pStyle w:val="16"/>
              <w:spacing w:line="360" w:lineRule="auto"/>
              <w:rPr>
                <w:rFonts w:hint="eastAsia" w:ascii="宋体" w:hAnsi="宋体" w:eastAsia="宋体" w:cs="宋体"/>
                <w:sz w:val="21"/>
                <w:szCs w:val="21"/>
              </w:rPr>
            </w:pPr>
          </w:p>
          <w:p w14:paraId="2208709F">
            <w:pPr>
              <w:pStyle w:val="16"/>
              <w:spacing w:line="360" w:lineRule="auto"/>
              <w:rPr>
                <w:rFonts w:hint="eastAsia" w:ascii="宋体" w:hAnsi="宋体" w:eastAsia="宋体" w:cs="宋体"/>
                <w:sz w:val="21"/>
                <w:szCs w:val="21"/>
              </w:rPr>
            </w:pPr>
            <w:r>
              <w:rPr>
                <w:rFonts w:hint="eastAsia" w:ascii="宋体" w:hAnsi="宋体" w:eastAsia="宋体" w:cs="宋体"/>
                <w:sz w:val="21"/>
                <w:szCs w:val="21"/>
              </w:rPr>
              <w:t>考核食材安全检测指标是否符合国家相关规定</w:t>
            </w:r>
          </w:p>
        </w:tc>
        <w:tc>
          <w:tcPr>
            <w:tcW w:w="6784" w:type="dxa"/>
            <w:noWrap w:val="0"/>
            <w:vAlign w:val="top"/>
          </w:tcPr>
          <w:p w14:paraId="46712027">
            <w:pPr>
              <w:pStyle w:val="16"/>
              <w:spacing w:line="360" w:lineRule="auto"/>
              <w:rPr>
                <w:rFonts w:hint="eastAsia" w:ascii="宋体" w:hAnsi="宋体" w:eastAsia="宋体" w:cs="宋体"/>
                <w:sz w:val="21"/>
                <w:szCs w:val="21"/>
              </w:rPr>
            </w:pPr>
            <w:r>
              <w:rPr>
                <w:rFonts w:hint="eastAsia" w:ascii="宋体" w:hAnsi="宋体" w:eastAsia="宋体" w:cs="宋体"/>
                <w:sz w:val="21"/>
                <w:szCs w:val="21"/>
              </w:rPr>
              <w:t>校（园）方不定期对配送物品进行食品安全抽检（如农药超标检测等），</w:t>
            </w:r>
            <w:r>
              <w:rPr>
                <w:rFonts w:hint="eastAsia" w:ascii="宋体" w:hAnsi="宋体" w:eastAsia="宋体" w:cs="宋体"/>
                <w:spacing w:val="-3"/>
                <w:sz w:val="21"/>
                <w:szCs w:val="21"/>
              </w:rPr>
              <w:t xml:space="preserve">各项指标符合国家相关规范标准的要求，得 </w:t>
            </w:r>
            <w:r>
              <w:rPr>
                <w:rFonts w:hint="eastAsia" w:ascii="宋体" w:hAnsi="宋体" w:eastAsia="宋体" w:cs="宋体"/>
                <w:sz w:val="21"/>
                <w:szCs w:val="21"/>
              </w:rPr>
              <w:t>10</w:t>
            </w:r>
            <w:r>
              <w:rPr>
                <w:rFonts w:hint="eastAsia" w:ascii="宋体" w:hAnsi="宋体" w:eastAsia="宋体" w:cs="宋体"/>
                <w:spacing w:val="-26"/>
                <w:sz w:val="21"/>
                <w:szCs w:val="21"/>
              </w:rPr>
              <w:t xml:space="preserve"> 分；</w:t>
            </w:r>
          </w:p>
          <w:p w14:paraId="2676DDB1">
            <w:pPr>
              <w:pStyle w:val="16"/>
              <w:spacing w:line="360" w:lineRule="auto"/>
              <w:rPr>
                <w:rFonts w:hint="eastAsia" w:ascii="宋体" w:hAnsi="宋体" w:eastAsia="宋体" w:cs="宋体"/>
                <w:sz w:val="21"/>
                <w:szCs w:val="21"/>
              </w:rPr>
            </w:pPr>
            <w:r>
              <w:rPr>
                <w:rFonts w:hint="eastAsia" w:ascii="宋体" w:hAnsi="宋体" w:eastAsia="宋体" w:cs="宋体"/>
                <w:sz w:val="21"/>
                <w:szCs w:val="21"/>
              </w:rPr>
              <w:t>每存在一项指标不符合国家相关规范标准的要求，扣 5 分；</w:t>
            </w:r>
          </w:p>
          <w:p w14:paraId="2419252A">
            <w:pPr>
              <w:pStyle w:val="16"/>
              <w:spacing w:line="360" w:lineRule="auto"/>
              <w:rPr>
                <w:rFonts w:hint="eastAsia" w:ascii="宋体" w:hAnsi="宋体" w:eastAsia="宋体" w:cs="宋体"/>
                <w:sz w:val="21"/>
                <w:szCs w:val="21"/>
              </w:rPr>
            </w:pPr>
            <w:r>
              <w:rPr>
                <w:rFonts w:hint="eastAsia" w:ascii="宋体" w:hAnsi="宋体" w:eastAsia="宋体" w:cs="宋体"/>
                <w:sz w:val="21"/>
                <w:szCs w:val="21"/>
              </w:rPr>
              <w:t>本项目指标累计每月最高扣分 10 分。</w:t>
            </w:r>
          </w:p>
        </w:tc>
        <w:tc>
          <w:tcPr>
            <w:tcW w:w="848" w:type="dxa"/>
            <w:noWrap w:val="0"/>
            <w:vAlign w:val="top"/>
          </w:tcPr>
          <w:p w14:paraId="2405835B">
            <w:pPr>
              <w:pStyle w:val="16"/>
              <w:spacing w:line="360" w:lineRule="auto"/>
              <w:rPr>
                <w:rFonts w:hint="eastAsia" w:ascii="宋体" w:hAnsi="宋体" w:eastAsia="宋体" w:cs="宋体"/>
                <w:sz w:val="21"/>
                <w:szCs w:val="21"/>
              </w:rPr>
            </w:pPr>
          </w:p>
        </w:tc>
      </w:tr>
      <w:tr w14:paraId="59902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79" w:type="dxa"/>
            <w:vMerge w:val="continue"/>
            <w:tcBorders>
              <w:top w:val="nil"/>
              <w:bottom w:val="single" w:color="auto" w:sz="4" w:space="0"/>
            </w:tcBorders>
            <w:noWrap w:val="0"/>
            <w:vAlign w:val="top"/>
          </w:tcPr>
          <w:p w14:paraId="0D6F1885">
            <w:pPr>
              <w:spacing w:line="360" w:lineRule="auto"/>
              <w:rPr>
                <w:rFonts w:hint="eastAsia" w:ascii="宋体" w:hAnsi="宋体" w:eastAsia="宋体" w:cs="宋体"/>
                <w:sz w:val="21"/>
                <w:szCs w:val="21"/>
              </w:rPr>
            </w:pPr>
          </w:p>
        </w:tc>
        <w:tc>
          <w:tcPr>
            <w:tcW w:w="870" w:type="dxa"/>
            <w:vMerge w:val="continue"/>
            <w:tcBorders>
              <w:top w:val="nil"/>
              <w:bottom w:val="single" w:color="auto" w:sz="4" w:space="0"/>
            </w:tcBorders>
            <w:noWrap w:val="0"/>
            <w:vAlign w:val="top"/>
          </w:tcPr>
          <w:p w14:paraId="2D747130">
            <w:pPr>
              <w:spacing w:line="360" w:lineRule="auto"/>
              <w:rPr>
                <w:rFonts w:hint="eastAsia" w:ascii="宋体" w:hAnsi="宋体" w:eastAsia="宋体" w:cs="宋体"/>
                <w:sz w:val="21"/>
                <w:szCs w:val="21"/>
              </w:rPr>
            </w:pPr>
          </w:p>
        </w:tc>
        <w:tc>
          <w:tcPr>
            <w:tcW w:w="1219" w:type="dxa"/>
            <w:noWrap w:val="0"/>
            <w:vAlign w:val="top"/>
          </w:tcPr>
          <w:p w14:paraId="70EF3A4A">
            <w:pPr>
              <w:pStyle w:val="16"/>
              <w:spacing w:line="360" w:lineRule="auto"/>
              <w:rPr>
                <w:rFonts w:hint="eastAsia" w:ascii="宋体" w:hAnsi="宋体" w:eastAsia="宋体" w:cs="宋体"/>
                <w:sz w:val="21"/>
                <w:szCs w:val="21"/>
              </w:rPr>
            </w:pPr>
            <w:r>
              <w:rPr>
                <w:rFonts w:hint="eastAsia" w:ascii="宋体" w:hAnsi="宋体" w:eastAsia="宋体" w:cs="宋体"/>
                <w:sz w:val="21"/>
                <w:szCs w:val="21"/>
              </w:rPr>
              <w:t>配送人员评价指标</w:t>
            </w:r>
          </w:p>
        </w:tc>
        <w:tc>
          <w:tcPr>
            <w:tcW w:w="1003" w:type="dxa"/>
            <w:noWrap w:val="0"/>
            <w:vAlign w:val="top"/>
          </w:tcPr>
          <w:p w14:paraId="2F750B95">
            <w:pPr>
              <w:pStyle w:val="16"/>
              <w:spacing w:line="360" w:lineRule="auto"/>
              <w:rPr>
                <w:rFonts w:hint="eastAsia" w:ascii="宋体" w:hAnsi="宋体" w:eastAsia="宋体" w:cs="宋体"/>
                <w:sz w:val="21"/>
                <w:szCs w:val="21"/>
              </w:rPr>
            </w:pPr>
          </w:p>
          <w:p w14:paraId="1BC33277">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5 分</w:t>
            </w:r>
          </w:p>
        </w:tc>
        <w:tc>
          <w:tcPr>
            <w:tcW w:w="2643" w:type="dxa"/>
            <w:noWrap w:val="0"/>
            <w:vAlign w:val="top"/>
          </w:tcPr>
          <w:p w14:paraId="7F94BC37">
            <w:pPr>
              <w:pStyle w:val="16"/>
              <w:spacing w:line="360" w:lineRule="auto"/>
              <w:rPr>
                <w:rFonts w:hint="eastAsia" w:ascii="宋体" w:hAnsi="宋体" w:eastAsia="宋体" w:cs="宋体"/>
                <w:sz w:val="21"/>
                <w:szCs w:val="21"/>
              </w:rPr>
            </w:pPr>
            <w:r>
              <w:rPr>
                <w:rFonts w:hint="eastAsia" w:ascii="宋体" w:hAnsi="宋体" w:eastAsia="宋体" w:cs="宋体"/>
                <w:sz w:val="21"/>
                <w:szCs w:val="21"/>
              </w:rPr>
              <w:t>考核配送人员的综合素质。</w:t>
            </w:r>
          </w:p>
        </w:tc>
        <w:tc>
          <w:tcPr>
            <w:tcW w:w="6784" w:type="dxa"/>
            <w:noWrap w:val="0"/>
            <w:vAlign w:val="top"/>
          </w:tcPr>
          <w:p w14:paraId="123E4613">
            <w:pPr>
              <w:pStyle w:val="16"/>
              <w:spacing w:line="360" w:lineRule="auto"/>
              <w:rPr>
                <w:rFonts w:hint="eastAsia" w:ascii="宋体" w:hAnsi="宋体" w:eastAsia="宋体" w:cs="宋体"/>
                <w:sz w:val="21"/>
                <w:szCs w:val="21"/>
              </w:rPr>
            </w:pPr>
            <w:r>
              <w:rPr>
                <w:rFonts w:hint="eastAsia" w:ascii="宋体" w:hAnsi="宋体" w:eastAsia="宋体" w:cs="宋体"/>
                <w:spacing w:val="-6"/>
                <w:sz w:val="21"/>
                <w:szCs w:val="21"/>
              </w:rPr>
              <w:t xml:space="preserve">每一名配送人员均持有健康证，配送时段统一穿工服，得 </w:t>
            </w:r>
            <w:r>
              <w:rPr>
                <w:rFonts w:hint="eastAsia" w:ascii="宋体" w:hAnsi="宋体" w:eastAsia="宋体" w:cs="宋体"/>
                <w:sz w:val="21"/>
                <w:szCs w:val="21"/>
              </w:rPr>
              <w:t>5</w:t>
            </w:r>
            <w:r>
              <w:rPr>
                <w:rFonts w:hint="eastAsia" w:ascii="宋体" w:hAnsi="宋体" w:eastAsia="宋体" w:cs="宋体"/>
                <w:spacing w:val="-24"/>
                <w:sz w:val="21"/>
                <w:szCs w:val="21"/>
              </w:rPr>
              <w:t xml:space="preserve"> 分；</w:t>
            </w:r>
          </w:p>
          <w:p w14:paraId="3B8C0B22">
            <w:pPr>
              <w:pStyle w:val="16"/>
              <w:spacing w:line="360" w:lineRule="auto"/>
              <w:rPr>
                <w:rFonts w:hint="eastAsia" w:ascii="宋体" w:hAnsi="宋体" w:eastAsia="宋体" w:cs="宋体"/>
                <w:sz w:val="21"/>
                <w:szCs w:val="21"/>
              </w:rPr>
            </w:pPr>
            <w:r>
              <w:rPr>
                <w:rFonts w:hint="eastAsia" w:ascii="宋体" w:hAnsi="宋体" w:eastAsia="宋体" w:cs="宋体"/>
                <w:spacing w:val="-6"/>
                <w:sz w:val="21"/>
                <w:szCs w:val="21"/>
              </w:rPr>
              <w:t xml:space="preserve">每发现一次配送人员未统一着装，扣 </w:t>
            </w:r>
            <w:r>
              <w:rPr>
                <w:rFonts w:hint="eastAsia" w:ascii="宋体" w:hAnsi="宋体" w:eastAsia="宋体" w:cs="宋体"/>
                <w:sz w:val="21"/>
                <w:szCs w:val="21"/>
              </w:rPr>
              <w:t>1</w:t>
            </w:r>
            <w:r>
              <w:rPr>
                <w:rFonts w:hint="eastAsia" w:ascii="宋体" w:hAnsi="宋体" w:eastAsia="宋体" w:cs="宋体"/>
                <w:spacing w:val="-30"/>
                <w:sz w:val="21"/>
                <w:szCs w:val="21"/>
              </w:rPr>
              <w:t xml:space="preserve"> 分</w:t>
            </w:r>
            <w:r>
              <w:rPr>
                <w:rFonts w:hint="eastAsia" w:ascii="宋体" w:hAnsi="宋体" w:eastAsia="宋体" w:cs="宋体"/>
                <w:sz w:val="21"/>
                <w:szCs w:val="21"/>
              </w:rPr>
              <w:t>/</w:t>
            </w:r>
            <w:r>
              <w:rPr>
                <w:rFonts w:hint="eastAsia" w:ascii="宋体" w:hAnsi="宋体" w:eastAsia="宋体" w:cs="宋体"/>
                <w:spacing w:val="-4"/>
                <w:sz w:val="21"/>
                <w:szCs w:val="21"/>
              </w:rPr>
              <w:t>人；发现一次配送人</w:t>
            </w:r>
          </w:p>
          <w:p w14:paraId="4A43CB45">
            <w:pPr>
              <w:pStyle w:val="16"/>
              <w:spacing w:line="360" w:lineRule="auto"/>
              <w:rPr>
                <w:rFonts w:hint="eastAsia" w:ascii="宋体" w:hAnsi="宋体" w:eastAsia="宋体" w:cs="宋体"/>
                <w:sz w:val="21"/>
                <w:szCs w:val="21"/>
              </w:rPr>
            </w:pPr>
            <w:r>
              <w:rPr>
                <w:rFonts w:hint="eastAsia" w:ascii="宋体" w:hAnsi="宋体" w:eastAsia="宋体" w:cs="宋体"/>
                <w:sz w:val="21"/>
                <w:szCs w:val="21"/>
              </w:rPr>
              <w:t>员无健康证，扣 5 分；本项指标累计每月最高扣分 5 分。</w:t>
            </w:r>
          </w:p>
        </w:tc>
        <w:tc>
          <w:tcPr>
            <w:tcW w:w="848" w:type="dxa"/>
            <w:noWrap w:val="0"/>
            <w:vAlign w:val="top"/>
          </w:tcPr>
          <w:p w14:paraId="5693F89E">
            <w:pPr>
              <w:pStyle w:val="16"/>
              <w:spacing w:line="360" w:lineRule="auto"/>
              <w:rPr>
                <w:rFonts w:hint="eastAsia" w:ascii="宋体" w:hAnsi="宋体" w:eastAsia="宋体" w:cs="宋体"/>
                <w:sz w:val="21"/>
                <w:szCs w:val="21"/>
              </w:rPr>
            </w:pPr>
          </w:p>
        </w:tc>
      </w:tr>
      <w:tr w14:paraId="48D52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79" w:type="dxa"/>
            <w:vMerge w:val="restart"/>
            <w:tcBorders>
              <w:top w:val="single" w:color="auto" w:sz="4" w:space="0"/>
              <w:left w:val="single" w:color="auto" w:sz="4" w:space="0"/>
              <w:bottom w:val="single" w:color="auto" w:sz="4" w:space="0"/>
              <w:right w:val="single" w:color="auto" w:sz="4" w:space="0"/>
            </w:tcBorders>
            <w:noWrap w:val="0"/>
            <w:vAlign w:val="top"/>
          </w:tcPr>
          <w:p w14:paraId="7D261404">
            <w:pPr>
              <w:pStyle w:val="16"/>
              <w:spacing w:line="360" w:lineRule="auto"/>
              <w:rPr>
                <w:rFonts w:hint="eastAsia" w:ascii="宋体" w:hAnsi="宋体" w:eastAsia="宋体" w:cs="宋体"/>
                <w:sz w:val="21"/>
                <w:szCs w:val="21"/>
              </w:rPr>
            </w:pPr>
          </w:p>
          <w:p w14:paraId="0A012BB0">
            <w:pPr>
              <w:pStyle w:val="16"/>
              <w:spacing w:line="360" w:lineRule="auto"/>
              <w:rPr>
                <w:rFonts w:hint="eastAsia" w:ascii="宋体" w:hAnsi="宋体" w:eastAsia="宋体" w:cs="宋体"/>
                <w:sz w:val="21"/>
                <w:szCs w:val="21"/>
              </w:rPr>
            </w:pPr>
          </w:p>
          <w:p w14:paraId="7B8BBA38">
            <w:pPr>
              <w:pStyle w:val="16"/>
              <w:spacing w:line="360" w:lineRule="auto"/>
              <w:rPr>
                <w:rFonts w:hint="eastAsia" w:ascii="宋体" w:hAnsi="宋体" w:eastAsia="宋体" w:cs="宋体"/>
                <w:sz w:val="21"/>
                <w:szCs w:val="21"/>
              </w:rPr>
            </w:pPr>
          </w:p>
          <w:p w14:paraId="20ABCF74">
            <w:pPr>
              <w:pStyle w:val="16"/>
              <w:spacing w:line="360" w:lineRule="auto"/>
              <w:rPr>
                <w:rFonts w:hint="eastAsia" w:ascii="宋体" w:hAnsi="宋体" w:eastAsia="宋体" w:cs="宋体"/>
                <w:sz w:val="21"/>
                <w:szCs w:val="21"/>
              </w:rPr>
            </w:pPr>
            <w:r>
              <w:rPr>
                <w:rFonts w:hint="eastAsia" w:ascii="宋体" w:hAnsi="宋体" w:eastAsia="宋体" w:cs="宋体"/>
                <w:sz w:val="21"/>
                <w:szCs w:val="21"/>
              </w:rPr>
              <w:t>服务质量</w:t>
            </w:r>
          </w:p>
        </w:tc>
        <w:tc>
          <w:tcPr>
            <w:tcW w:w="870" w:type="dxa"/>
            <w:vMerge w:val="restart"/>
            <w:tcBorders>
              <w:top w:val="single" w:color="auto" w:sz="4" w:space="0"/>
              <w:left w:val="single" w:color="auto" w:sz="4" w:space="0"/>
              <w:bottom w:val="single" w:color="auto" w:sz="4" w:space="0"/>
              <w:right w:val="single" w:color="auto" w:sz="4" w:space="0"/>
            </w:tcBorders>
            <w:noWrap w:val="0"/>
            <w:vAlign w:val="top"/>
          </w:tcPr>
          <w:p w14:paraId="18AF0B12">
            <w:pPr>
              <w:pStyle w:val="16"/>
              <w:spacing w:line="360" w:lineRule="auto"/>
              <w:rPr>
                <w:rFonts w:hint="eastAsia" w:ascii="宋体" w:hAnsi="宋体" w:eastAsia="宋体" w:cs="宋体"/>
                <w:sz w:val="21"/>
                <w:szCs w:val="21"/>
              </w:rPr>
            </w:pPr>
          </w:p>
          <w:p w14:paraId="2900C182">
            <w:pPr>
              <w:pStyle w:val="16"/>
              <w:spacing w:line="360" w:lineRule="auto"/>
              <w:rPr>
                <w:rFonts w:hint="eastAsia" w:ascii="宋体" w:hAnsi="宋体" w:eastAsia="宋体" w:cs="宋体"/>
                <w:sz w:val="21"/>
                <w:szCs w:val="21"/>
              </w:rPr>
            </w:pPr>
          </w:p>
          <w:p w14:paraId="105DF6B1">
            <w:pPr>
              <w:pStyle w:val="16"/>
              <w:spacing w:line="360" w:lineRule="auto"/>
              <w:rPr>
                <w:rFonts w:hint="eastAsia" w:ascii="宋体" w:hAnsi="宋体" w:eastAsia="宋体" w:cs="宋体"/>
                <w:sz w:val="21"/>
                <w:szCs w:val="21"/>
              </w:rPr>
            </w:pPr>
          </w:p>
          <w:p w14:paraId="1A05F646">
            <w:pPr>
              <w:pStyle w:val="16"/>
              <w:spacing w:line="360" w:lineRule="auto"/>
              <w:rPr>
                <w:rFonts w:hint="eastAsia" w:ascii="宋体" w:hAnsi="宋体" w:eastAsia="宋体" w:cs="宋体"/>
                <w:sz w:val="21"/>
                <w:szCs w:val="21"/>
              </w:rPr>
            </w:pPr>
            <w:r>
              <w:rPr>
                <w:rFonts w:hint="eastAsia" w:ascii="宋体" w:hAnsi="宋体" w:eastAsia="宋体" w:cs="宋体"/>
                <w:sz w:val="21"/>
                <w:szCs w:val="21"/>
              </w:rPr>
              <w:t>10 分</w:t>
            </w:r>
          </w:p>
        </w:tc>
        <w:tc>
          <w:tcPr>
            <w:tcW w:w="1219" w:type="dxa"/>
            <w:tcBorders>
              <w:left w:val="single" w:color="auto" w:sz="4" w:space="0"/>
            </w:tcBorders>
            <w:noWrap w:val="0"/>
            <w:vAlign w:val="top"/>
          </w:tcPr>
          <w:p w14:paraId="01FA1ACD">
            <w:pPr>
              <w:pStyle w:val="16"/>
              <w:spacing w:line="360" w:lineRule="auto"/>
              <w:rPr>
                <w:rFonts w:hint="eastAsia" w:ascii="宋体" w:hAnsi="宋体" w:eastAsia="宋体" w:cs="宋体"/>
                <w:sz w:val="21"/>
                <w:szCs w:val="21"/>
              </w:rPr>
            </w:pPr>
            <w:r>
              <w:rPr>
                <w:rFonts w:hint="eastAsia" w:ascii="宋体" w:hAnsi="宋体" w:eastAsia="宋体" w:cs="宋体"/>
                <w:sz w:val="21"/>
                <w:szCs w:val="21"/>
              </w:rPr>
              <w:t>服务态度评价指标</w:t>
            </w:r>
          </w:p>
        </w:tc>
        <w:tc>
          <w:tcPr>
            <w:tcW w:w="1003" w:type="dxa"/>
            <w:noWrap w:val="0"/>
            <w:vAlign w:val="top"/>
          </w:tcPr>
          <w:p w14:paraId="7FE80EC2">
            <w:pPr>
              <w:pStyle w:val="16"/>
              <w:spacing w:line="360" w:lineRule="auto"/>
              <w:rPr>
                <w:rFonts w:hint="eastAsia" w:ascii="宋体" w:hAnsi="宋体" w:eastAsia="宋体" w:cs="宋体"/>
                <w:sz w:val="21"/>
                <w:szCs w:val="21"/>
              </w:rPr>
            </w:pPr>
          </w:p>
          <w:p w14:paraId="132A23D4">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5 分</w:t>
            </w:r>
          </w:p>
        </w:tc>
        <w:tc>
          <w:tcPr>
            <w:tcW w:w="2643" w:type="dxa"/>
            <w:noWrap w:val="0"/>
            <w:vAlign w:val="top"/>
          </w:tcPr>
          <w:p w14:paraId="1EEC9DDC">
            <w:pPr>
              <w:pStyle w:val="16"/>
              <w:spacing w:line="360" w:lineRule="auto"/>
              <w:rPr>
                <w:rFonts w:hint="eastAsia" w:ascii="宋体" w:hAnsi="宋体" w:eastAsia="宋体" w:cs="宋体"/>
                <w:sz w:val="21"/>
                <w:szCs w:val="21"/>
              </w:rPr>
            </w:pPr>
            <w:r>
              <w:rPr>
                <w:rFonts w:hint="eastAsia" w:ascii="宋体" w:hAnsi="宋体" w:eastAsia="宋体" w:cs="宋体"/>
                <w:sz w:val="21"/>
                <w:szCs w:val="21"/>
              </w:rPr>
              <w:t>考核供应商服务态度是否良好。</w:t>
            </w:r>
          </w:p>
        </w:tc>
        <w:tc>
          <w:tcPr>
            <w:tcW w:w="6784" w:type="dxa"/>
            <w:noWrap w:val="0"/>
            <w:vAlign w:val="top"/>
          </w:tcPr>
          <w:p w14:paraId="28A9EE08">
            <w:pPr>
              <w:pStyle w:val="16"/>
              <w:spacing w:line="360" w:lineRule="auto"/>
              <w:rPr>
                <w:rFonts w:hint="eastAsia" w:ascii="宋体" w:hAnsi="宋体" w:eastAsia="宋体" w:cs="宋体"/>
                <w:sz w:val="21"/>
                <w:szCs w:val="21"/>
              </w:rPr>
            </w:pPr>
            <w:r>
              <w:rPr>
                <w:rFonts w:hint="eastAsia" w:ascii="宋体" w:hAnsi="宋体" w:eastAsia="宋体" w:cs="宋体"/>
                <w:spacing w:val="-1"/>
                <w:sz w:val="21"/>
                <w:szCs w:val="21"/>
              </w:rPr>
              <w:t>工作人员工作认真，服务热情周到，运送搬运文明，无投诉事</w:t>
            </w:r>
            <w:r>
              <w:rPr>
                <w:rFonts w:hint="eastAsia" w:ascii="宋体" w:hAnsi="宋体" w:eastAsia="宋体" w:cs="宋体"/>
                <w:spacing w:val="-10"/>
                <w:sz w:val="21"/>
                <w:szCs w:val="21"/>
              </w:rPr>
              <w:t xml:space="preserve">件发生，得 </w:t>
            </w:r>
            <w:r>
              <w:rPr>
                <w:rFonts w:hint="eastAsia" w:ascii="宋体" w:hAnsi="宋体" w:eastAsia="宋体" w:cs="宋体"/>
                <w:sz w:val="21"/>
                <w:szCs w:val="21"/>
              </w:rPr>
              <w:t>5</w:t>
            </w:r>
            <w:r>
              <w:rPr>
                <w:rFonts w:hint="eastAsia" w:ascii="宋体" w:hAnsi="宋体" w:eastAsia="宋体" w:cs="宋体"/>
                <w:spacing w:val="-18"/>
                <w:sz w:val="21"/>
                <w:szCs w:val="21"/>
              </w:rPr>
              <w:t xml:space="preserve"> 分；每接到 </w:t>
            </w:r>
            <w:r>
              <w:rPr>
                <w:rFonts w:hint="eastAsia" w:ascii="宋体" w:hAnsi="宋体" w:eastAsia="宋体" w:cs="宋体"/>
                <w:sz w:val="21"/>
                <w:szCs w:val="21"/>
              </w:rPr>
              <w:t>1</w:t>
            </w:r>
            <w:r>
              <w:rPr>
                <w:rFonts w:hint="eastAsia" w:ascii="宋体" w:hAnsi="宋体" w:eastAsia="宋体" w:cs="宋体"/>
                <w:spacing w:val="-16"/>
                <w:sz w:val="21"/>
                <w:szCs w:val="21"/>
              </w:rPr>
              <w:t xml:space="preserve"> 次有效投诉扣 </w:t>
            </w:r>
            <w:r>
              <w:rPr>
                <w:rFonts w:hint="eastAsia" w:ascii="宋体" w:hAnsi="宋体" w:eastAsia="宋体" w:cs="宋体"/>
                <w:sz w:val="21"/>
                <w:szCs w:val="21"/>
              </w:rPr>
              <w:t>5</w:t>
            </w:r>
            <w:r>
              <w:rPr>
                <w:rFonts w:hint="eastAsia" w:ascii="宋体" w:hAnsi="宋体" w:eastAsia="宋体" w:cs="宋体"/>
                <w:spacing w:val="-9"/>
                <w:sz w:val="21"/>
                <w:szCs w:val="21"/>
              </w:rPr>
              <w:t xml:space="preserve"> 分；本项指标累计</w:t>
            </w:r>
          </w:p>
          <w:p w14:paraId="148B5E46">
            <w:pPr>
              <w:pStyle w:val="16"/>
              <w:spacing w:line="360" w:lineRule="auto"/>
              <w:rPr>
                <w:rFonts w:hint="eastAsia" w:ascii="宋体" w:hAnsi="宋体" w:eastAsia="宋体" w:cs="宋体"/>
                <w:sz w:val="21"/>
                <w:szCs w:val="21"/>
              </w:rPr>
            </w:pPr>
            <w:r>
              <w:rPr>
                <w:rFonts w:hint="eastAsia" w:ascii="宋体" w:hAnsi="宋体" w:eastAsia="宋体" w:cs="宋体"/>
                <w:sz w:val="21"/>
                <w:szCs w:val="21"/>
              </w:rPr>
              <w:t>每月最高扣分 5 分。</w:t>
            </w:r>
          </w:p>
        </w:tc>
        <w:tc>
          <w:tcPr>
            <w:tcW w:w="848" w:type="dxa"/>
            <w:noWrap w:val="0"/>
            <w:vAlign w:val="top"/>
          </w:tcPr>
          <w:p w14:paraId="3F2822B5">
            <w:pPr>
              <w:pStyle w:val="16"/>
              <w:spacing w:line="360" w:lineRule="auto"/>
              <w:rPr>
                <w:rFonts w:hint="eastAsia" w:ascii="宋体" w:hAnsi="宋体" w:eastAsia="宋体" w:cs="宋体"/>
                <w:sz w:val="21"/>
                <w:szCs w:val="21"/>
              </w:rPr>
            </w:pPr>
          </w:p>
        </w:tc>
      </w:tr>
      <w:tr w14:paraId="5AB7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779" w:type="dxa"/>
            <w:vMerge w:val="continue"/>
            <w:tcBorders>
              <w:top w:val="single" w:color="auto" w:sz="4" w:space="0"/>
              <w:left w:val="single" w:color="auto" w:sz="4" w:space="0"/>
              <w:bottom w:val="single" w:color="auto" w:sz="4" w:space="0"/>
            </w:tcBorders>
            <w:noWrap w:val="0"/>
            <w:vAlign w:val="top"/>
          </w:tcPr>
          <w:p w14:paraId="602FB89F">
            <w:pPr>
              <w:spacing w:line="360" w:lineRule="auto"/>
              <w:rPr>
                <w:rFonts w:hint="eastAsia" w:ascii="宋体" w:hAnsi="宋体" w:eastAsia="宋体" w:cs="宋体"/>
                <w:sz w:val="21"/>
                <w:szCs w:val="21"/>
              </w:rPr>
            </w:pPr>
          </w:p>
        </w:tc>
        <w:tc>
          <w:tcPr>
            <w:tcW w:w="870" w:type="dxa"/>
            <w:vMerge w:val="continue"/>
            <w:tcBorders>
              <w:top w:val="single" w:color="auto" w:sz="4" w:space="0"/>
              <w:bottom w:val="single" w:color="auto" w:sz="4" w:space="0"/>
              <w:right w:val="single" w:color="auto" w:sz="4" w:space="0"/>
            </w:tcBorders>
            <w:noWrap w:val="0"/>
            <w:vAlign w:val="top"/>
          </w:tcPr>
          <w:p w14:paraId="4C263228">
            <w:pPr>
              <w:spacing w:line="360" w:lineRule="auto"/>
              <w:rPr>
                <w:rFonts w:hint="eastAsia" w:ascii="宋体" w:hAnsi="宋体" w:eastAsia="宋体" w:cs="宋体"/>
                <w:sz w:val="21"/>
                <w:szCs w:val="21"/>
              </w:rPr>
            </w:pPr>
          </w:p>
        </w:tc>
        <w:tc>
          <w:tcPr>
            <w:tcW w:w="1219" w:type="dxa"/>
            <w:tcBorders>
              <w:left w:val="single" w:color="auto" w:sz="4" w:space="0"/>
            </w:tcBorders>
            <w:noWrap w:val="0"/>
            <w:vAlign w:val="top"/>
          </w:tcPr>
          <w:p w14:paraId="08273B42">
            <w:pPr>
              <w:pStyle w:val="16"/>
              <w:spacing w:line="360" w:lineRule="auto"/>
              <w:rPr>
                <w:rFonts w:hint="eastAsia" w:ascii="宋体" w:hAnsi="宋体" w:eastAsia="宋体" w:cs="宋体"/>
                <w:sz w:val="21"/>
                <w:szCs w:val="21"/>
              </w:rPr>
            </w:pPr>
          </w:p>
          <w:p w14:paraId="45E08F0F">
            <w:pPr>
              <w:pStyle w:val="16"/>
              <w:spacing w:line="360" w:lineRule="auto"/>
              <w:rPr>
                <w:rFonts w:hint="eastAsia" w:ascii="宋体" w:hAnsi="宋体" w:eastAsia="宋体" w:cs="宋体"/>
                <w:sz w:val="21"/>
                <w:szCs w:val="21"/>
              </w:rPr>
            </w:pPr>
            <w:r>
              <w:rPr>
                <w:rFonts w:hint="eastAsia" w:ascii="宋体" w:hAnsi="宋体" w:eastAsia="宋体" w:cs="宋体"/>
                <w:sz w:val="21"/>
                <w:szCs w:val="21"/>
              </w:rPr>
              <w:t>反馈整改评价指标</w:t>
            </w:r>
          </w:p>
        </w:tc>
        <w:tc>
          <w:tcPr>
            <w:tcW w:w="1003" w:type="dxa"/>
            <w:noWrap w:val="0"/>
            <w:vAlign w:val="top"/>
          </w:tcPr>
          <w:p w14:paraId="19BAF978">
            <w:pPr>
              <w:pStyle w:val="16"/>
              <w:spacing w:line="360" w:lineRule="auto"/>
              <w:rPr>
                <w:rFonts w:hint="eastAsia" w:ascii="宋体" w:hAnsi="宋体" w:eastAsia="宋体" w:cs="宋体"/>
                <w:sz w:val="21"/>
                <w:szCs w:val="21"/>
              </w:rPr>
            </w:pPr>
          </w:p>
          <w:p w14:paraId="4A5A40EB">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5 分</w:t>
            </w:r>
          </w:p>
        </w:tc>
        <w:tc>
          <w:tcPr>
            <w:tcW w:w="2643" w:type="dxa"/>
            <w:noWrap w:val="0"/>
            <w:vAlign w:val="top"/>
          </w:tcPr>
          <w:p w14:paraId="006BC4FD">
            <w:pPr>
              <w:pStyle w:val="16"/>
              <w:spacing w:line="360" w:lineRule="auto"/>
              <w:rPr>
                <w:rFonts w:hint="eastAsia" w:ascii="宋体" w:hAnsi="宋体" w:eastAsia="宋体" w:cs="宋体"/>
                <w:sz w:val="21"/>
                <w:szCs w:val="21"/>
              </w:rPr>
            </w:pPr>
            <w:r>
              <w:rPr>
                <w:rFonts w:hint="eastAsia" w:ascii="宋体" w:hAnsi="宋体" w:eastAsia="宋体" w:cs="宋体"/>
                <w:sz w:val="21"/>
                <w:szCs w:val="21"/>
              </w:rPr>
              <w:t>考核供应商是否对校</w:t>
            </w:r>
          </w:p>
          <w:p w14:paraId="561CE226">
            <w:pPr>
              <w:pStyle w:val="16"/>
              <w:spacing w:line="360" w:lineRule="auto"/>
              <w:rPr>
                <w:rFonts w:hint="eastAsia" w:ascii="宋体" w:hAnsi="宋体" w:eastAsia="宋体" w:cs="宋体"/>
                <w:sz w:val="21"/>
                <w:szCs w:val="21"/>
              </w:rPr>
            </w:pPr>
            <w:r>
              <w:rPr>
                <w:rFonts w:hint="eastAsia" w:ascii="宋体" w:hAnsi="宋体" w:eastAsia="宋体" w:cs="宋体"/>
                <w:sz w:val="21"/>
                <w:szCs w:val="21"/>
              </w:rPr>
              <w:t>（园）方、考评小组的反馈意见进行认真及时的整改。</w:t>
            </w:r>
          </w:p>
        </w:tc>
        <w:tc>
          <w:tcPr>
            <w:tcW w:w="6784" w:type="dxa"/>
            <w:noWrap w:val="0"/>
            <w:vAlign w:val="top"/>
          </w:tcPr>
          <w:p w14:paraId="5EA15375">
            <w:pPr>
              <w:pStyle w:val="16"/>
              <w:spacing w:line="360" w:lineRule="auto"/>
              <w:rPr>
                <w:rFonts w:hint="eastAsia" w:ascii="宋体" w:hAnsi="宋体" w:eastAsia="宋体" w:cs="宋体"/>
                <w:sz w:val="21"/>
                <w:szCs w:val="21"/>
              </w:rPr>
            </w:pPr>
            <w:r>
              <w:rPr>
                <w:rFonts w:hint="eastAsia" w:ascii="宋体" w:hAnsi="宋体" w:eastAsia="宋体" w:cs="宋体"/>
                <w:spacing w:val="-4"/>
                <w:sz w:val="21"/>
                <w:szCs w:val="21"/>
              </w:rPr>
              <w:t>对校</w:t>
            </w:r>
            <w:r>
              <w:rPr>
                <w:rFonts w:hint="eastAsia" w:ascii="宋体" w:hAnsi="宋体" w:eastAsia="宋体" w:cs="宋体"/>
                <w:sz w:val="21"/>
                <w:szCs w:val="21"/>
              </w:rPr>
              <w:t>（园</w:t>
            </w:r>
            <w:r>
              <w:rPr>
                <w:rFonts w:hint="eastAsia" w:ascii="宋体" w:hAnsi="宋体" w:eastAsia="宋体" w:cs="宋体"/>
                <w:spacing w:val="-10"/>
                <w:sz w:val="21"/>
                <w:szCs w:val="21"/>
              </w:rPr>
              <w:t>）</w:t>
            </w:r>
            <w:r>
              <w:rPr>
                <w:rFonts w:hint="eastAsia" w:ascii="宋体" w:hAnsi="宋体" w:eastAsia="宋体" w:cs="宋体"/>
                <w:spacing w:val="-4"/>
                <w:sz w:val="21"/>
                <w:szCs w:val="21"/>
              </w:rPr>
              <w:t xml:space="preserve">方、考评小组的反馈意见虚心接受，认真及时更改， </w:t>
            </w:r>
            <w:r>
              <w:rPr>
                <w:rFonts w:hint="eastAsia" w:ascii="宋体" w:hAnsi="宋体" w:eastAsia="宋体" w:cs="宋体"/>
                <w:spacing w:val="-32"/>
                <w:sz w:val="21"/>
                <w:szCs w:val="21"/>
              </w:rPr>
              <w:t xml:space="preserve">得 </w:t>
            </w:r>
            <w:r>
              <w:rPr>
                <w:rFonts w:hint="eastAsia" w:ascii="宋体" w:hAnsi="宋体" w:eastAsia="宋体" w:cs="宋体"/>
                <w:sz w:val="21"/>
                <w:szCs w:val="21"/>
              </w:rPr>
              <w:t>5</w:t>
            </w:r>
            <w:r>
              <w:rPr>
                <w:rFonts w:hint="eastAsia" w:ascii="宋体" w:hAnsi="宋体" w:eastAsia="宋体" w:cs="宋体"/>
                <w:spacing w:val="-12"/>
                <w:sz w:val="21"/>
                <w:szCs w:val="21"/>
              </w:rPr>
              <w:t xml:space="preserve"> 分；对校</w:t>
            </w:r>
            <w:r>
              <w:rPr>
                <w:rFonts w:hint="eastAsia" w:ascii="宋体" w:hAnsi="宋体" w:eastAsia="宋体" w:cs="宋体"/>
                <w:sz w:val="21"/>
                <w:szCs w:val="21"/>
              </w:rPr>
              <w:t>（园）方、考评小组的反馈意见没有及时整改，</w:t>
            </w:r>
          </w:p>
          <w:p w14:paraId="31FCDDCC">
            <w:pPr>
              <w:pStyle w:val="16"/>
              <w:spacing w:line="360" w:lineRule="auto"/>
              <w:rPr>
                <w:rFonts w:hint="eastAsia" w:ascii="宋体" w:hAnsi="宋体" w:eastAsia="宋体" w:cs="宋体"/>
                <w:sz w:val="21"/>
                <w:szCs w:val="21"/>
              </w:rPr>
            </w:pPr>
            <w:r>
              <w:rPr>
                <w:rFonts w:hint="eastAsia" w:ascii="宋体" w:hAnsi="宋体" w:eastAsia="宋体" w:cs="宋体"/>
                <w:sz w:val="21"/>
                <w:szCs w:val="21"/>
              </w:rPr>
              <w:t>每发现一次扣 1 分；本项指标累计每月最高扣分 5 分。</w:t>
            </w:r>
          </w:p>
        </w:tc>
        <w:tc>
          <w:tcPr>
            <w:tcW w:w="848" w:type="dxa"/>
            <w:noWrap w:val="0"/>
            <w:vAlign w:val="top"/>
          </w:tcPr>
          <w:p w14:paraId="61C939CC">
            <w:pPr>
              <w:pStyle w:val="16"/>
              <w:spacing w:line="360" w:lineRule="auto"/>
              <w:rPr>
                <w:rFonts w:hint="eastAsia" w:ascii="宋体" w:hAnsi="宋体" w:eastAsia="宋体" w:cs="宋体"/>
                <w:sz w:val="21"/>
                <w:szCs w:val="21"/>
              </w:rPr>
            </w:pPr>
          </w:p>
        </w:tc>
      </w:tr>
      <w:tr w14:paraId="17C7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298" w:type="dxa"/>
            <w:gridSpan w:val="6"/>
            <w:tcBorders>
              <w:top w:val="nil"/>
            </w:tcBorders>
            <w:noWrap w:val="0"/>
            <w:vAlign w:val="top"/>
          </w:tcPr>
          <w:p w14:paraId="681DA867">
            <w:pPr>
              <w:pStyle w:val="16"/>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服务供应商月度考核总得分</w:t>
            </w:r>
          </w:p>
        </w:tc>
        <w:tc>
          <w:tcPr>
            <w:tcW w:w="848" w:type="dxa"/>
            <w:noWrap w:val="0"/>
            <w:vAlign w:val="top"/>
          </w:tcPr>
          <w:p w14:paraId="47685C3B">
            <w:pPr>
              <w:pStyle w:val="16"/>
              <w:spacing w:line="360" w:lineRule="auto"/>
              <w:rPr>
                <w:rFonts w:hint="eastAsia" w:ascii="宋体" w:hAnsi="宋体" w:eastAsia="宋体" w:cs="宋体"/>
                <w:sz w:val="21"/>
                <w:szCs w:val="21"/>
              </w:rPr>
            </w:pPr>
          </w:p>
        </w:tc>
      </w:tr>
    </w:tbl>
    <w:p w14:paraId="31ADF555">
      <w:pPr>
        <w:tabs>
          <w:tab w:val="left" w:pos="11071"/>
        </w:tabs>
        <w:spacing w:line="360" w:lineRule="auto"/>
        <w:jc w:val="left"/>
        <w:rPr>
          <w:rFonts w:hint="eastAsia" w:ascii="宋体" w:hAnsi="宋体" w:eastAsia="宋体" w:cs="宋体"/>
          <w:sz w:val="21"/>
          <w:szCs w:val="21"/>
        </w:rPr>
      </w:pPr>
      <w:r>
        <w:rPr>
          <w:rFonts w:hint="eastAsia" w:ascii="宋体" w:hAnsi="宋体" w:eastAsia="宋体" w:cs="宋体"/>
          <w:sz w:val="21"/>
          <w:szCs w:val="21"/>
        </w:rPr>
        <w:t>考</w:t>
      </w:r>
      <w:r>
        <w:rPr>
          <w:rFonts w:hint="eastAsia" w:ascii="宋体" w:hAnsi="宋体" w:eastAsia="宋体" w:cs="宋体"/>
          <w:spacing w:val="-3"/>
          <w:sz w:val="21"/>
          <w:szCs w:val="21"/>
        </w:rPr>
        <w:t>评</w:t>
      </w:r>
      <w:r>
        <w:rPr>
          <w:rFonts w:hint="eastAsia" w:ascii="宋体" w:hAnsi="宋体" w:eastAsia="宋体" w:cs="宋体"/>
          <w:sz w:val="21"/>
          <w:szCs w:val="21"/>
        </w:rPr>
        <w:t>人员签名：</w:t>
      </w:r>
      <w:r>
        <w:rPr>
          <w:rFonts w:hint="eastAsia" w:ascii="宋体" w:hAnsi="宋体" w:eastAsia="宋体" w:cs="宋体"/>
          <w:sz w:val="21"/>
          <w:szCs w:val="21"/>
        </w:rPr>
        <w:tab/>
      </w:r>
      <w:r>
        <w:rPr>
          <w:rFonts w:hint="eastAsia" w:ascii="宋体" w:hAnsi="宋体" w:eastAsia="宋体" w:cs="宋体"/>
          <w:sz w:val="21"/>
          <w:szCs w:val="21"/>
        </w:rPr>
        <w:t>考</w:t>
      </w:r>
      <w:r>
        <w:rPr>
          <w:rFonts w:hint="eastAsia" w:ascii="宋体" w:hAnsi="宋体" w:eastAsia="宋体" w:cs="宋体"/>
          <w:spacing w:val="-3"/>
          <w:sz w:val="21"/>
          <w:szCs w:val="21"/>
        </w:rPr>
        <w:t>评</w:t>
      </w:r>
      <w:r>
        <w:rPr>
          <w:rFonts w:hint="eastAsia" w:ascii="宋体" w:hAnsi="宋体" w:eastAsia="宋体" w:cs="宋体"/>
          <w:sz w:val="21"/>
          <w:szCs w:val="21"/>
        </w:rPr>
        <w:t>时间：</w:t>
      </w:r>
    </w:p>
    <w:p w14:paraId="422B3F74">
      <w:pPr>
        <w:spacing w:line="360" w:lineRule="auto"/>
        <w:jc w:val="left"/>
        <w:rPr>
          <w:rFonts w:hint="eastAsia" w:ascii="宋体" w:hAnsi="宋体" w:eastAsia="宋体" w:cs="宋体"/>
          <w:sz w:val="21"/>
          <w:szCs w:val="21"/>
        </w:rPr>
      </w:pPr>
    </w:p>
    <w:p w14:paraId="31D357F9">
      <w:pPr>
        <w:pStyle w:val="7"/>
        <w:rPr>
          <w:rFonts w:hint="eastAsia" w:ascii="宋体" w:hAnsi="宋体" w:eastAsia="宋体" w:cs="宋体"/>
          <w:sz w:val="21"/>
          <w:szCs w:val="21"/>
        </w:rPr>
        <w:sectPr>
          <w:pgSz w:w="16840" w:h="11910" w:orient="landscape"/>
          <w:pgMar w:top="1440" w:right="1800" w:bottom="1440" w:left="1800" w:header="720" w:footer="720" w:gutter="0"/>
          <w:cols w:space="720" w:num="1"/>
        </w:sectPr>
      </w:pPr>
    </w:p>
    <w:p w14:paraId="0E0C7159">
      <w:pPr>
        <w:autoSpaceDE w:val="0"/>
        <w:autoSpaceDN w:val="0"/>
        <w:spacing w:line="360" w:lineRule="auto"/>
        <w:jc w:val="left"/>
        <w:outlineLvl w:val="2"/>
        <w:rPr>
          <w:rFonts w:hint="eastAsia" w:ascii="宋体" w:hAnsi="宋体" w:eastAsia="宋体" w:cs="宋体"/>
          <w:sz w:val="21"/>
          <w:szCs w:val="21"/>
        </w:rPr>
      </w:pPr>
      <w:r>
        <w:rPr>
          <w:rFonts w:hint="eastAsia" w:ascii="宋体" w:hAnsi="宋体" w:eastAsia="宋体" w:cs="宋体"/>
          <w:sz w:val="21"/>
          <w:szCs w:val="21"/>
        </w:rPr>
        <w:t>附件 3 食品质量安全承诺书</w:t>
      </w:r>
    </w:p>
    <w:p w14:paraId="5780CD85">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食品质量安全承诺书</w:t>
      </w:r>
    </w:p>
    <w:p w14:paraId="3D1351D8">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我公司清楚作为中标人需承担的法律责任和社会责任，将加强自律，并郑重承诺如下：</w:t>
      </w:r>
    </w:p>
    <w:p w14:paraId="6D18F120">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严格遵守《中华人民共和国食品安全法》《中华人民共和国食品安全实施条例》《国家食品卫生标准》《农产品质量安全法》《餐饮业和集体用餐配送单位卫生规范》等法律、法规和规章的规定从事经营活动，对贵单位和社会公众负责，保证食品安全，接受社会监督，承担社会责任。</w:t>
      </w:r>
    </w:p>
    <w:p w14:paraId="2DDADF9B">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二、持有合格有效的《食品经营许可证》或</w:t>
      </w:r>
      <w:r>
        <w:rPr>
          <w:rFonts w:hint="eastAsia" w:ascii="宋体" w:hAnsi="宋体" w:eastAsia="宋体" w:cs="宋体"/>
          <w:kern w:val="0"/>
          <w:sz w:val="21"/>
          <w:szCs w:val="21"/>
        </w:rPr>
        <w:t>《食品生产许可证》</w:t>
      </w:r>
      <w:r>
        <w:rPr>
          <w:rFonts w:hint="eastAsia" w:ascii="宋体" w:hAnsi="宋体" w:eastAsia="宋体" w:cs="宋体"/>
          <w:sz w:val="21"/>
          <w:szCs w:val="21"/>
        </w:rPr>
        <w:t>，以及《工商营业执照》，并保证在许可范围内提供符合食品卫生标准的货源，且提供每批次食品应由有资质的检验机构出具的检验合格证。</w:t>
      </w:r>
    </w:p>
    <w:p w14:paraId="44D59509">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三、保证食品原料来源合法、安全，不提供以下食品：</w:t>
      </w:r>
    </w:p>
    <w:p w14:paraId="3B940506">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（一）无证、照的供应商、农贸市场等销售的米、面、食用油、调味料等食品、食品添加剂和一次性餐具等食品相关产品。</w:t>
      </w:r>
    </w:p>
    <w:p w14:paraId="64B59BA1">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（二）过期、变质或预包装无中文标识、无生产厂家、生产日期、标注内容不齐全、包装不完整或潲水油等假冒伪劣食用品。</w:t>
      </w:r>
    </w:p>
    <w:p w14:paraId="43B00817">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（三）非定点屠宰单位供应、未经检疫合格的猪肉，来源不明或不符合要求的水产品，以及病死或者死因不明的禽兽肉及其制品。</w:t>
      </w:r>
    </w:p>
    <w:p w14:paraId="4D4D329A">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（四）《食品安全法》</w:t>
      </w:r>
      <w:r>
        <w:rPr>
          <w:rFonts w:hint="eastAsia" w:ascii="宋体" w:hAnsi="宋体" w:eastAsia="宋体" w:cs="宋体"/>
          <w:sz w:val="21"/>
          <w:szCs w:val="21"/>
          <w:lang w:val="en-US" w:eastAsia="zh-CN"/>
        </w:rPr>
        <w:t>第三十四</w:t>
      </w:r>
      <w:r>
        <w:rPr>
          <w:rFonts w:hint="eastAsia" w:ascii="宋体" w:hAnsi="宋体" w:eastAsia="宋体" w:cs="宋体"/>
          <w:sz w:val="21"/>
          <w:szCs w:val="21"/>
        </w:rPr>
        <w:t>条禁止生产经营的其他食品。</w:t>
      </w:r>
    </w:p>
    <w:p w14:paraId="2DCE7EE9">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四、不弄虚作假，造成食堂食品安全问题的，我公司承担一切法律后果和赔偿责任；经检测不合格的产品，同意一律当场销毁。</w:t>
      </w:r>
    </w:p>
    <w:p w14:paraId="642F3B43">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五、自觉建立票、据、证档案，无条件配合食堂工作人员建立食品原料、食品添加剂、食品相关产品进货查验记录制度，按要求如实记录相关进货信息。</w:t>
      </w:r>
    </w:p>
    <w:p w14:paraId="1A6EADE7">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六、接收和配合市场监督管理部门对本单位的食品安全监督检查，如实提供有关情况资料，并落实监督部门提出的整改意见，发现食品安全问题及时报告。</w:t>
      </w:r>
    </w:p>
    <w:p w14:paraId="6F36CEE4">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七、自行承担工作及运输过程的安全生产管理及责任</w:t>
      </w:r>
    </w:p>
    <w:p w14:paraId="2B7253EF">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八、按照市、区食品质量安全规定和溯源要求，</w:t>
      </w:r>
      <w:r>
        <w:rPr>
          <w:rFonts w:hint="eastAsia" w:ascii="宋体" w:hAnsi="宋体" w:eastAsia="宋体" w:cs="宋体"/>
          <w:color w:val="000000"/>
          <w:sz w:val="21"/>
          <w:szCs w:val="21"/>
        </w:rPr>
        <w:t>全面、及时、准确上传食品追溯信息至采购人指定平台，确保配送食材来源可溯、质量可控。</w:t>
      </w:r>
    </w:p>
    <w:p w14:paraId="43DE1434">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本公司自愿签署以上承诺，并将严格履行承诺，如有违法，愿意承担相应的法律责任，并接受处罚。欢迎社会各界予以监督。该承诺书与合同具有同等的法律效率。</w:t>
      </w:r>
    </w:p>
    <w:p w14:paraId="0334CFD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投标单位：（盖章）</w:t>
      </w:r>
    </w:p>
    <w:p w14:paraId="3F7A4F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授权代表或法人代表：（签字）</w:t>
      </w:r>
    </w:p>
    <w:p w14:paraId="01CF61AE">
      <w:pPr>
        <w:keepNext w:val="0"/>
        <w:keepLines w:val="0"/>
        <w:pageBreakBefore w:val="0"/>
        <w:widowControl w:val="0"/>
        <w:kinsoku/>
        <w:wordWrap/>
        <w:overflowPunct/>
        <w:topLinePunct w:val="0"/>
        <w:autoSpaceDE/>
        <w:autoSpaceDN/>
        <w:bidi w:val="0"/>
        <w:spacing w:beforeAutospacing="0" w:afterAutospacing="0" w:line="360" w:lineRule="auto"/>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rPr>
        <w:t xml:space="preserve">                                                年      月     日</w:t>
      </w:r>
    </w:p>
    <w:p w14:paraId="3790F569">
      <w:pPr>
        <w:pageBreakBefore w:val="0"/>
        <w:kinsoku/>
        <w:overflowPunct/>
        <w:bidi w:val="0"/>
        <w:spacing w:beforeAutospacing="0" w:afterAutospacing="0" w:line="360" w:lineRule="auto"/>
        <w:ind w:left="0" w:leftChars="0" w:right="0" w:firstLine="0" w:firstLineChars="0"/>
        <w:jc w:val="left"/>
        <w:outlineLvl w:val="9"/>
        <w:rPr>
          <w:rFonts w:hint="eastAsia" w:ascii="宋体" w:hAnsi="宋体" w:eastAsia="宋体" w:cs="宋体"/>
          <w:kern w:val="0"/>
          <w:sz w:val="21"/>
          <w:szCs w:val="21"/>
        </w:rPr>
      </w:pPr>
    </w:p>
    <w:p w14:paraId="3D6700C9">
      <w:pPr>
        <w:pStyle w:val="3"/>
        <w:numPr>
          <w:ilvl w:val="0"/>
          <w:numId w:val="0"/>
        </w:numPr>
        <w:ind w:left="210" w:leftChars="0" w:firstLine="420" w:firstLineChars="0"/>
        <w:rPr>
          <w:rFonts w:hint="eastAsia" w:ascii="宋体" w:hAnsi="宋体" w:eastAsia="宋体" w:cs="宋体"/>
          <w:b/>
          <w:bCs/>
          <w:kern w:val="2"/>
          <w:sz w:val="21"/>
          <w:szCs w:val="21"/>
          <w:lang w:val="en-US" w:eastAsia="zh-CN" w:bidi="ar-SA"/>
        </w:rPr>
        <w:sectPr>
          <w:headerReference r:id="rId5" w:type="first"/>
          <w:headerReference r:id="rId4" w:type="default"/>
          <w:footerReference r:id="rId6" w:type="default"/>
          <w:pgSz w:w="11907" w:h="16840"/>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linePitch="462" w:charSpace="0"/>
        </w:sectPr>
      </w:pPr>
    </w:p>
    <w:p w14:paraId="0FC99F47">
      <w:pPr>
        <w:keepNext/>
        <w:keepLines/>
        <w:numPr>
          <w:ilvl w:val="0"/>
          <w:numId w:val="6"/>
        </w:numPr>
        <w:spacing w:before="340" w:after="330" w:line="240" w:lineRule="auto"/>
        <w:ind w:left="0" w:leftChars="0" w:firstLine="420" w:firstLineChars="0"/>
        <w:outlineLvl w:val="0"/>
        <w:rPr>
          <w:rFonts w:hint="eastAsia" w:ascii="宋体" w:hAnsi="宋体" w:eastAsia="宋体" w:cs="宋体"/>
          <w:b/>
          <w:bCs/>
          <w:kern w:val="44"/>
          <w:sz w:val="21"/>
          <w:szCs w:val="21"/>
          <w:lang w:eastAsia="zh-CN"/>
        </w:rPr>
      </w:pPr>
      <w:r>
        <w:rPr>
          <w:rFonts w:hint="eastAsia" w:ascii="宋体" w:hAnsi="宋体" w:eastAsia="宋体" w:cs="宋体"/>
          <w:b/>
          <w:bCs/>
          <w:kern w:val="44"/>
          <w:sz w:val="21"/>
          <w:szCs w:val="21"/>
          <w:lang w:eastAsia="zh-CN"/>
        </w:rPr>
        <w:t>其他重要条款</w:t>
      </w:r>
    </w:p>
    <w:p w14:paraId="5777FECE">
      <w:pPr>
        <w:spacing w:line="360" w:lineRule="auto"/>
        <w:ind w:firstLine="0" w:firstLineChars="0"/>
        <w:rPr>
          <w:rFonts w:hint="eastAsia" w:ascii="宋体" w:hAnsi="宋体" w:eastAsia="宋体" w:cs="宋体"/>
          <w:sz w:val="21"/>
          <w:szCs w:val="21"/>
        </w:rPr>
      </w:pPr>
      <w:bookmarkStart w:id="13" w:name="_Hlk72257111"/>
      <w:r>
        <w:rPr>
          <w:rFonts w:hint="eastAsia" w:ascii="宋体" w:hAnsi="宋体" w:eastAsia="宋体" w:cs="宋体"/>
          <w:bCs/>
          <w:sz w:val="21"/>
          <w:szCs w:val="21"/>
          <w:lang w:eastAsia="zh-CN"/>
        </w:rPr>
        <w:t>1</w:t>
      </w:r>
      <w:r>
        <w:rPr>
          <w:rFonts w:hint="eastAsia" w:ascii="宋体" w:hAnsi="宋体" w:eastAsia="宋体" w:cs="宋体"/>
          <w:bCs/>
          <w:sz w:val="21"/>
          <w:szCs w:val="21"/>
        </w:rPr>
        <w:t>、投标人应充分了解项目的位置、情况、道路及任何其它足以影响投标报价的情况，任何因忽视或误解项目情况而导致的索赔或服务期限延长申请将不获批准。</w:t>
      </w:r>
    </w:p>
    <w:p w14:paraId="2415B925">
      <w:pPr>
        <w:spacing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2</w:t>
      </w:r>
      <w:r>
        <w:rPr>
          <w:rFonts w:hint="eastAsia" w:ascii="宋体" w:hAnsi="宋体" w:eastAsia="宋体" w:cs="宋体"/>
          <w:bCs/>
          <w:sz w:val="21"/>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CFC915E">
      <w:pPr>
        <w:spacing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3</w:t>
      </w:r>
      <w:r>
        <w:rPr>
          <w:rFonts w:hint="eastAsia" w:ascii="宋体" w:hAnsi="宋体" w:eastAsia="宋体" w:cs="宋体"/>
          <w:bCs/>
          <w:sz w:val="21"/>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6E8A82B">
      <w:pPr>
        <w:spacing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4</w:t>
      </w:r>
      <w:r>
        <w:rPr>
          <w:rFonts w:hint="eastAsia" w:ascii="宋体" w:hAnsi="宋体" w:eastAsia="宋体" w:cs="宋体"/>
          <w:bCs/>
          <w:sz w:val="21"/>
          <w:szCs w:val="21"/>
        </w:rPr>
        <w:t>、除政府采购合同继续履行将损害国家利益和社会公共利益外，双方当事人不得擅自变更、中止或者终止合同。</w:t>
      </w:r>
    </w:p>
    <w:p w14:paraId="38DCE008">
      <w:pPr>
        <w:spacing w:line="360" w:lineRule="auto"/>
        <w:ind w:firstLine="0" w:firstLineChars="0"/>
        <w:rPr>
          <w:rFonts w:hint="eastAsia" w:ascii="宋体" w:hAnsi="宋体" w:eastAsia="宋体" w:cs="宋体"/>
          <w:sz w:val="21"/>
          <w:szCs w:val="21"/>
        </w:rPr>
      </w:pPr>
      <w:r>
        <w:rPr>
          <w:rFonts w:hint="eastAsia" w:ascii="宋体" w:hAnsi="宋体" w:eastAsia="宋体" w:cs="宋体"/>
          <w:bCs/>
          <w:sz w:val="21"/>
          <w:szCs w:val="21"/>
          <w:lang w:eastAsia="zh-CN"/>
        </w:rPr>
        <w:t>5</w:t>
      </w:r>
      <w:r>
        <w:rPr>
          <w:rFonts w:hint="eastAsia" w:ascii="宋体" w:hAnsi="宋体" w:eastAsia="宋体" w:cs="宋体"/>
          <w:bCs/>
          <w:sz w:val="21"/>
          <w:szCs w:val="21"/>
        </w:rPr>
        <w:t>、“信用中国”、“中国政府采购网”、“深圳信用网”以及“深圳市政府采购监管网”为供应商信用信息的查询渠道，相关信息以开标当日的查询结果为准。</w:t>
      </w:r>
      <w:bookmarkEnd w:id="13"/>
    </w:p>
    <w:p w14:paraId="35C214F0">
      <w:pPr>
        <w:widowControl w:val="0"/>
        <w:ind w:firstLine="420" w:firstLineChars="200"/>
        <w:jc w:val="both"/>
        <w:rPr>
          <w:rFonts w:hint="eastAsia" w:ascii="宋体" w:hAnsi="宋体" w:eastAsia="宋体" w:cs="宋体"/>
          <w:bCs/>
          <w:kern w:val="2"/>
          <w:sz w:val="21"/>
          <w:szCs w:val="21"/>
          <w:lang w:eastAsia="zh-CN"/>
        </w:rPr>
      </w:pPr>
    </w:p>
    <w:p w14:paraId="754569EE">
      <w:pPr>
        <w:widowControl w:val="0"/>
        <w:ind w:firstLine="420" w:firstLineChars="200"/>
        <w:jc w:val="both"/>
        <w:rPr>
          <w:rFonts w:hint="eastAsia" w:ascii="宋体" w:hAnsi="宋体" w:eastAsia="宋体" w:cs="宋体"/>
          <w:bCs/>
          <w:kern w:val="2"/>
          <w:sz w:val="21"/>
          <w:szCs w:val="21"/>
          <w:lang w:eastAsia="zh-CN"/>
        </w:rPr>
      </w:pPr>
    </w:p>
    <w:p w14:paraId="50B644D5">
      <w:pPr>
        <w:widowControl w:val="0"/>
        <w:jc w:val="both"/>
        <w:rPr>
          <w:rFonts w:ascii="宋体" w:hAnsi="宋体" w:eastAsia="宋体"/>
          <w:b/>
          <w:bCs/>
          <w:sz w:val="28"/>
          <w:szCs w:val="28"/>
          <w:lang w:eastAsia="zh-CN"/>
        </w:rPr>
      </w:pPr>
      <w:r>
        <w:rPr>
          <w:rFonts w:hint="eastAsia" w:ascii="宋体" w:hAnsi="宋体" w:eastAsia="宋体"/>
          <w:b/>
          <w:bCs/>
          <w:sz w:val="28"/>
          <w:szCs w:val="28"/>
          <w:lang w:eastAsia="zh-CN"/>
        </w:rPr>
        <w:br w:type="page"/>
      </w:r>
    </w:p>
    <w:p w14:paraId="04BA3EC4">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796EB4D9">
      <w:pPr>
        <w:widowControl w:val="0"/>
        <w:spacing w:line="360" w:lineRule="auto"/>
        <w:jc w:val="both"/>
        <w:rPr>
          <w:rFonts w:ascii="Calibri" w:hAnsi="Calibri" w:eastAsia="宋体"/>
          <w:b/>
          <w:bCs/>
          <w:kern w:val="2"/>
          <w:szCs w:val="22"/>
          <w:lang w:eastAsia="zh-CN"/>
        </w:rPr>
      </w:pPr>
      <w:bookmarkStart w:id="14" w:name="_Hlk72257167"/>
    </w:p>
    <w:bookmarkEnd w:id="14"/>
    <w:p w14:paraId="605A6C7C">
      <w:pPr>
        <w:widowControl/>
        <w:spacing w:line="320" w:lineRule="atLeast"/>
        <w:jc w:val="left"/>
        <w:outlineLvl w:val="2"/>
        <w:rPr>
          <w:rFonts w:ascii="宋体" w:hAnsi="宋体" w:eastAsia="黑体"/>
          <w:bCs/>
          <w:kern w:val="44"/>
          <w:lang w:eastAsia="zh-CN"/>
        </w:rPr>
      </w:pPr>
      <w:r>
        <w:rPr>
          <w:rFonts w:hint="eastAsia" w:ascii="宋体" w:hAnsi="宋体" w:eastAsia="黑体"/>
          <w:bCs/>
          <w:kern w:val="44"/>
          <w:lang w:eastAsia="zh-CN"/>
        </w:rPr>
        <w:t>投标文件组成：</w:t>
      </w:r>
    </w:p>
    <w:p w14:paraId="2C20E890">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bookmarkStart w:id="15" w:name="_Hlk72257771"/>
      <w:r>
        <w:rPr>
          <w:rFonts w:hint="eastAsia"/>
        </w:rPr>
        <w:t>（1）投标函</w:t>
      </w:r>
    </w:p>
    <w:p w14:paraId="42D7D779">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（2）龙华区教育局自行采购投标及履约承诺函</w:t>
      </w:r>
    </w:p>
    <w:p w14:paraId="780DBEF5">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（3）投标人情况及资格证明文件</w:t>
      </w:r>
    </w:p>
    <w:p w14:paraId="1E211F9D">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eastAsia="宋体"/>
          <w:lang w:eastAsia="zh-CN"/>
        </w:rPr>
      </w:pPr>
      <w:r>
        <w:rPr>
          <w:rFonts w:hint="eastAsia" w:eastAsia="宋体"/>
          <w:lang w:eastAsia="zh-CN"/>
        </w:rPr>
        <w:t>（4）供应商基本情况表</w:t>
      </w:r>
    </w:p>
    <w:p w14:paraId="298E6AD3">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5</w:t>
      </w:r>
      <w:r>
        <w:rPr>
          <w:rFonts w:hint="eastAsia"/>
        </w:rPr>
        <w:t>）分项报价清单</w:t>
      </w:r>
    </w:p>
    <w:p w14:paraId="1AE430E9">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6</w:t>
      </w:r>
      <w:r>
        <w:rPr>
          <w:rFonts w:hint="eastAsia"/>
        </w:rPr>
        <w:t>）股东构成审查表</w:t>
      </w:r>
    </w:p>
    <w:p w14:paraId="23CB352D">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7</w:t>
      </w:r>
      <w:r>
        <w:rPr>
          <w:rFonts w:hint="eastAsia"/>
        </w:rPr>
        <w:t>）法定代表人（负责人）证明书</w:t>
      </w:r>
    </w:p>
    <w:p w14:paraId="56245CDA">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8</w:t>
      </w:r>
      <w:r>
        <w:rPr>
          <w:rFonts w:hint="eastAsia"/>
        </w:rPr>
        <w:t>）投标文件签署授权委托书</w:t>
      </w:r>
    </w:p>
    <w:p w14:paraId="4D5A85A8">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9</w:t>
      </w:r>
      <w:r>
        <w:rPr>
          <w:rFonts w:hint="eastAsia"/>
        </w:rPr>
        <w:t>）实质性条款响应情况表</w:t>
      </w:r>
    </w:p>
    <w:p w14:paraId="17E78D84">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10</w:t>
      </w:r>
      <w:r>
        <w:rPr>
          <w:rFonts w:hint="eastAsia"/>
        </w:rPr>
        <w:t>）项目整体设想及规划方案</w:t>
      </w:r>
    </w:p>
    <w:p w14:paraId="39DA6108">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11</w:t>
      </w:r>
      <w:r>
        <w:rPr>
          <w:rFonts w:hint="eastAsia"/>
        </w:rPr>
        <w:t>）质量保障方案</w:t>
      </w:r>
    </w:p>
    <w:p w14:paraId="4EDF267C">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12</w:t>
      </w:r>
      <w:r>
        <w:rPr>
          <w:rFonts w:hint="eastAsia"/>
        </w:rPr>
        <w:t>）规章管理制度、工作流程等</w:t>
      </w:r>
    </w:p>
    <w:p w14:paraId="40C53496">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13</w:t>
      </w:r>
      <w:r>
        <w:rPr>
          <w:rFonts w:hint="eastAsia"/>
        </w:rPr>
        <w:t>）应急方案</w:t>
      </w:r>
    </w:p>
    <w:p w14:paraId="095FD256">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14</w:t>
      </w:r>
      <w:r>
        <w:rPr>
          <w:rFonts w:hint="eastAsia"/>
        </w:rPr>
        <w:t>）体系认证情况</w:t>
      </w:r>
    </w:p>
    <w:p w14:paraId="2D1345CC">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15</w:t>
      </w:r>
      <w:r>
        <w:rPr>
          <w:rFonts w:hint="eastAsia"/>
        </w:rPr>
        <w:t>）检验检测报告</w:t>
      </w:r>
    </w:p>
    <w:p w14:paraId="515619CE">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16</w:t>
      </w:r>
      <w:r>
        <w:rPr>
          <w:rFonts w:hint="eastAsia"/>
        </w:rPr>
        <w:t>）投标人获奖情况</w:t>
      </w:r>
    </w:p>
    <w:p w14:paraId="4509E934">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17</w:t>
      </w:r>
      <w:r>
        <w:rPr>
          <w:rFonts w:hint="eastAsia"/>
        </w:rPr>
        <w:t>）项目负责人情况评价</w:t>
      </w:r>
    </w:p>
    <w:p w14:paraId="2BB2D755">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18</w:t>
      </w:r>
      <w:r>
        <w:rPr>
          <w:rFonts w:hint="eastAsia"/>
        </w:rPr>
        <w:t>）配送场所情况</w:t>
      </w:r>
    </w:p>
    <w:p w14:paraId="486673F1">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19</w:t>
      </w:r>
      <w:r>
        <w:rPr>
          <w:rFonts w:hint="eastAsia"/>
        </w:rPr>
        <w:t>）检测室以及检测仪器设备</w:t>
      </w:r>
    </w:p>
    <w:p w14:paraId="64D97632">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20</w:t>
      </w:r>
      <w:r>
        <w:rPr>
          <w:rFonts w:hint="eastAsia"/>
        </w:rPr>
        <w:t>）冷库情况</w:t>
      </w:r>
    </w:p>
    <w:p w14:paraId="757200B6">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21</w:t>
      </w:r>
      <w:r>
        <w:rPr>
          <w:rFonts w:hint="eastAsia"/>
        </w:rPr>
        <w:t>）投标人购买公共责任险</w:t>
      </w:r>
    </w:p>
    <w:p w14:paraId="0DA694FA">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hint="eastAsia" w:eastAsia="宋体"/>
          <w:lang w:eastAsia="zh-CN"/>
        </w:rPr>
        <w:t>22</w:t>
      </w:r>
      <w:r>
        <w:rPr>
          <w:rFonts w:hint="eastAsia"/>
        </w:rPr>
        <w:t>）投标人购买食品安全保险</w:t>
      </w:r>
    </w:p>
    <w:p w14:paraId="477E6729">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eastAsia="宋体"/>
          <w:lang w:eastAsia="zh-CN"/>
        </w:rPr>
      </w:pPr>
      <w:r>
        <w:rPr>
          <w:rFonts w:hint="eastAsia" w:eastAsia="宋体"/>
          <w:lang w:eastAsia="zh-CN"/>
        </w:rPr>
        <w:t>（23）项目经验满意度评价</w:t>
      </w:r>
    </w:p>
    <w:p w14:paraId="07F6CA80">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eastAsia="宋体"/>
          <w:lang w:eastAsia="zh-CN"/>
        </w:rPr>
      </w:pPr>
      <w:r>
        <w:rPr>
          <w:rFonts w:hint="eastAsia" w:eastAsia="宋体"/>
          <w:lang w:eastAsia="zh-CN"/>
        </w:rPr>
        <w:t>（24）诚信承诺函</w:t>
      </w:r>
    </w:p>
    <w:p w14:paraId="7FB6181B">
      <w:pPr>
        <w:keepNext w:val="0"/>
        <w:keepLines w:val="0"/>
        <w:pageBreakBefore w:val="0"/>
        <w:widowControl/>
        <w:kinsoku/>
        <w:wordWrap/>
        <w:overflowPunct/>
        <w:topLinePunct w:val="0"/>
        <w:autoSpaceDE/>
        <w:autoSpaceDN/>
        <w:bidi w:val="0"/>
        <w:adjustRightInd/>
        <w:snapToGrid/>
        <w:ind w:firstLine="1440" w:firstLineChars="600"/>
        <w:textAlignment w:val="auto"/>
      </w:pPr>
      <w:r>
        <w:rPr>
          <w:rFonts w:hint="eastAsia"/>
        </w:rPr>
        <w:t>（</w:t>
      </w:r>
      <w:r>
        <w:rPr>
          <w:rFonts w:hint="eastAsia" w:eastAsia="宋体"/>
          <w:lang w:eastAsia="zh-CN"/>
        </w:rPr>
        <w:t>25</w:t>
      </w:r>
      <w:r>
        <w:rPr>
          <w:rFonts w:hint="eastAsia"/>
        </w:rPr>
        <w:t>）投标人认为需要加以说明的其他内容</w:t>
      </w:r>
    </w:p>
    <w:p w14:paraId="78B3D218">
      <w:pPr>
        <w:widowControl w:val="0"/>
        <w:ind w:left="821" w:leftChars="342" w:firstLine="1470" w:firstLineChars="700"/>
        <w:jc w:val="both"/>
        <w:rPr>
          <w:rFonts w:hint="eastAsia" w:ascii="Calibri" w:hAnsi="Calibri" w:eastAsia="宋体"/>
          <w:kern w:val="2"/>
          <w:sz w:val="21"/>
          <w:szCs w:val="22"/>
          <w:lang w:eastAsia="zh-CN"/>
        </w:rPr>
      </w:pPr>
    </w:p>
    <w:p w14:paraId="09D714C4">
      <w:pPr>
        <w:widowControl w:val="0"/>
        <w:ind w:left="821" w:leftChars="342"/>
        <w:jc w:val="both"/>
        <w:rPr>
          <w:rFonts w:hint="eastAsia" w:ascii="Calibri" w:hAnsi="Calibri" w:eastAsia="宋体"/>
          <w:kern w:val="2"/>
          <w:sz w:val="21"/>
          <w:szCs w:val="21"/>
          <w:highlight w:val="yellow"/>
          <w:lang w:eastAsia="zh-CN"/>
        </w:rPr>
      </w:pPr>
    </w:p>
    <w:p w14:paraId="45ADD0B7">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580C35A4">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34D22884">
      <w:pPr>
        <w:widowControl w:val="0"/>
        <w:snapToGrid w:val="0"/>
        <w:spacing w:after="60" w:afterLines="25"/>
        <w:ind w:firstLine="482" w:firstLineChars="200"/>
        <w:jc w:val="both"/>
        <w:rPr>
          <w:rFonts w:ascii="宋体" w:hAnsi="宋体" w:eastAsia="黑体"/>
          <w:bCs/>
          <w:kern w:val="44"/>
          <w:sz w:val="32"/>
          <w:szCs w:val="32"/>
          <w:lang w:eastAsia="zh-CN"/>
        </w:rPr>
      </w:pPr>
      <w:bookmarkStart w:id="16" w:name="_Hlk72263559"/>
      <w:r>
        <w:rPr>
          <w:rFonts w:hint="eastAsia" w:ascii="宋体" w:hAnsi="宋体" w:eastAsia="宋体" w:cstheme="minorBidi"/>
          <w:b/>
          <w:kern w:val="2"/>
          <w:lang w:eastAsia="zh-CN"/>
        </w:rPr>
        <w:t>2.关于填写“开标一览表”的说明：“开标一览表”中除“折扣率”外，其他信息不作评审依据。</w:t>
      </w:r>
      <w:bookmarkEnd w:id="15"/>
      <w:bookmarkEnd w:id="16"/>
      <w:r>
        <w:rPr>
          <w:rFonts w:ascii="宋体" w:hAnsi="宋体" w:eastAsia="黑体"/>
          <w:bCs/>
          <w:kern w:val="44"/>
          <w:sz w:val="32"/>
          <w:szCs w:val="32"/>
          <w:lang w:eastAsia="zh-CN"/>
        </w:rPr>
        <w:br w:type="page"/>
      </w:r>
    </w:p>
    <w:p w14:paraId="118F5036">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4DC352D1">
      <w:pPr>
        <w:widowControl w:val="0"/>
        <w:spacing w:line="360" w:lineRule="auto"/>
        <w:jc w:val="both"/>
        <w:rPr>
          <w:rFonts w:ascii="宋体" w:hAnsi="宋体" w:eastAsia="宋体"/>
          <w:kern w:val="2"/>
          <w:sz w:val="21"/>
          <w:szCs w:val="21"/>
          <w:lang w:eastAsia="zh-CN"/>
        </w:rPr>
      </w:pPr>
      <w:bookmarkStart w:id="17" w:name="_Hlk72257506"/>
      <w:r>
        <w:rPr>
          <w:rFonts w:hint="eastAsia" w:ascii="宋体" w:hAnsi="宋体" w:eastAsia="宋体" w:cstheme="minorBidi"/>
          <w:kern w:val="2"/>
          <w:sz w:val="21"/>
          <w:szCs w:val="21"/>
          <w:lang w:eastAsia="zh-CN"/>
        </w:rPr>
        <w:t>致：</w:t>
      </w:r>
      <w:r>
        <w:rPr>
          <w:rFonts w:hint="eastAsia" w:ascii="宋体" w:hAnsi="宋体" w:eastAsia="宋体" w:cstheme="minorBidi"/>
          <w:b/>
          <w:color w:val="000000"/>
          <w:kern w:val="2"/>
          <w:sz w:val="21"/>
          <w:szCs w:val="21"/>
          <w:u w:val="single"/>
          <w:lang w:eastAsia="zh-CN"/>
        </w:rPr>
        <w:t>深圳市千里招标代理有限公司</w:t>
      </w:r>
    </w:p>
    <w:p w14:paraId="3E7CE1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kern w:val="2"/>
          <w:sz w:val="21"/>
          <w:szCs w:val="21"/>
          <w:lang w:eastAsia="zh-CN"/>
        </w:rPr>
      </w:pPr>
      <w:bookmarkStart w:id="18" w:name="_Hlk73818812"/>
      <w:r>
        <w:rPr>
          <w:rFonts w:hint="eastAsia" w:ascii="宋体" w:hAnsi="宋体" w:eastAsia="宋体" w:cs="宋体"/>
          <w:kern w:val="2"/>
          <w:sz w:val="21"/>
          <w:szCs w:val="21"/>
          <w:lang w:eastAsia="zh-CN"/>
        </w:rPr>
        <w:t>1、根据已收到贵单位的项目编号为LHAZXDL-2025-00564的深圳市龙华高级中学教育集团（大浪校区）学生食材配送服务项目的招标文件，遵照《深圳经济特区政府采购条例》和《深圳网上政府采购管理暂行办法》等有关规定，我单位经研究上述招标文件的专用条款及通用条款后，</w:t>
      </w:r>
      <w:bookmarkStart w:id="19" w:name="_Hlk72263588"/>
      <w:r>
        <w:rPr>
          <w:rFonts w:hint="eastAsia" w:ascii="宋体" w:hAnsi="宋体" w:eastAsia="宋体" w:cs="宋体"/>
          <w:kern w:val="2"/>
          <w:sz w:val="21"/>
          <w:szCs w:val="21"/>
          <w:lang w:eastAsia="zh-CN"/>
        </w:rPr>
        <w:t>愿意按照招标文件要求承包上述项目并修补其任何缺陷。</w:t>
      </w:r>
      <w:bookmarkEnd w:id="19"/>
    </w:p>
    <w:p w14:paraId="7EB863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bookmarkStart w:id="20" w:name="_Hlk73819847"/>
      <w:r>
        <w:rPr>
          <w:rFonts w:hint="eastAsia" w:ascii="宋体" w:hAnsi="宋体" w:eastAsia="宋体" w:cs="宋体"/>
          <w:kern w:val="2"/>
          <w:sz w:val="21"/>
          <w:szCs w:val="21"/>
          <w:lang w:eastAsia="zh-CN"/>
        </w:rPr>
        <w:t>投标价格见投标书编制软件中《开标一览表》中填写的折扣率。</w:t>
      </w:r>
      <w:bookmarkEnd w:id="20"/>
    </w:p>
    <w:p w14:paraId="057619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3、如果我单位中标，我单位将按照招标文件的要求足额提交履约担保。</w:t>
      </w:r>
    </w:p>
    <w:p w14:paraId="613338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4、我单位同意所递交的投标文件在“对通用条款的补充内容”中明确的投标有效期内有效，在此期间内我单位的投标有可能中标，我方将受此约束。</w:t>
      </w:r>
    </w:p>
    <w:p w14:paraId="671E9F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5、除非另外达成协议并生效，贵单位的中标通知书和本投标文件将构成合同的重要内容。</w:t>
      </w:r>
    </w:p>
    <w:p w14:paraId="2D5D2D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6、我单位理解贵单位将不受必须接受所收到的最低报价或其它任何投标文件的约束。</w:t>
      </w:r>
      <w:bookmarkEnd w:id="18"/>
    </w:p>
    <w:p w14:paraId="4CF5D3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2" w:firstLineChars="200"/>
        <w:jc w:val="both"/>
        <w:textAlignment w:val="auto"/>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7、如我单位提交样品，且未在规定时间内取回样品的，视同放弃取回，同意深圳市千里招标代理有限公司对我单位提交的样品进行清理。</w:t>
      </w:r>
    </w:p>
    <w:p w14:paraId="47849125">
      <w:pPr>
        <w:widowControl w:val="0"/>
        <w:ind w:left="480" w:leftChars="200" w:firstLine="210" w:firstLineChars="100"/>
        <w:jc w:val="both"/>
        <w:rPr>
          <w:rFonts w:ascii="Calibri" w:hAnsi="Calibri" w:eastAsia="宋体"/>
          <w:kern w:val="2"/>
          <w:sz w:val="21"/>
          <w:szCs w:val="21"/>
          <w:lang w:eastAsia="zh-CN"/>
        </w:rPr>
      </w:pPr>
    </w:p>
    <w:p w14:paraId="1AF50E04">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  ；  </w:t>
      </w:r>
    </w:p>
    <w:p w14:paraId="1F033CA5">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单位地址：</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w:t>
      </w:r>
    </w:p>
    <w:p w14:paraId="790D8F4E">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法定代表人（负责人）或其授权委托代理人：</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w:t>
      </w:r>
    </w:p>
    <w:p w14:paraId="5995CE15">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开户银行名称：</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w:t>
      </w:r>
    </w:p>
    <w:p w14:paraId="141DE888">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开户银行账号：</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w:t>
      </w:r>
    </w:p>
    <w:p w14:paraId="53C04656">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邮政编码：</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  电话：</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 传真：</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 xml:space="preserve">；     </w:t>
      </w:r>
    </w:p>
    <w:p w14:paraId="237FC948">
      <w:pPr>
        <w:widowControl w:val="0"/>
        <w:jc w:val="both"/>
        <w:rPr>
          <w:rFonts w:ascii="黑体" w:hAnsi="宋体" w:eastAsia="黑体"/>
          <w:kern w:val="2"/>
          <w:sz w:val="21"/>
          <w:szCs w:val="22"/>
          <w:lang w:eastAsia="zh-CN"/>
        </w:rPr>
      </w:pPr>
      <w:r>
        <w:rPr>
          <w:rFonts w:hint="eastAsia" w:ascii="宋体" w:hAnsi="宋体" w:eastAsia="宋体" w:cs="宋体"/>
          <w:kern w:val="2"/>
          <w:sz w:val="21"/>
          <w:szCs w:val="21"/>
          <w:lang w:eastAsia="zh-CN"/>
        </w:rPr>
        <w:t>日期：</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日</w:t>
      </w:r>
      <w:r>
        <w:rPr>
          <w:rFonts w:hint="eastAsia" w:ascii="宋体" w:hAnsi="宋体" w:eastAsia="宋体" w:cs="宋体"/>
          <w:kern w:val="2"/>
          <w:szCs w:val="22"/>
          <w:lang w:eastAsia="zh-CN"/>
        </w:rPr>
        <w:t xml:space="preserve">  </w:t>
      </w:r>
    </w:p>
    <w:p w14:paraId="6A9B847A">
      <w:pPr>
        <w:widowControl w:val="0"/>
        <w:jc w:val="both"/>
        <w:rPr>
          <w:rFonts w:ascii="黑体" w:hAnsi="宋体" w:eastAsia="黑体"/>
          <w:kern w:val="2"/>
          <w:sz w:val="21"/>
          <w:szCs w:val="22"/>
          <w:lang w:eastAsia="zh-CN"/>
        </w:rPr>
      </w:pPr>
    </w:p>
    <w:p w14:paraId="0C178D90">
      <w:pPr>
        <w:widowControl w:val="0"/>
        <w:jc w:val="both"/>
        <w:rPr>
          <w:rFonts w:ascii="黑体" w:hAnsi="宋体" w:eastAsia="黑体"/>
          <w:kern w:val="2"/>
          <w:sz w:val="21"/>
          <w:szCs w:val="22"/>
          <w:lang w:eastAsia="zh-CN"/>
        </w:rPr>
      </w:pPr>
    </w:p>
    <w:p w14:paraId="50D42040">
      <w:pPr>
        <w:widowControl w:val="0"/>
        <w:jc w:val="both"/>
        <w:rPr>
          <w:rFonts w:ascii="黑体" w:hAnsi="宋体" w:eastAsia="黑体"/>
          <w:kern w:val="2"/>
          <w:sz w:val="21"/>
          <w:szCs w:val="22"/>
          <w:lang w:eastAsia="zh-CN"/>
        </w:rPr>
      </w:pPr>
    </w:p>
    <w:p w14:paraId="6E41DDDA">
      <w:pPr>
        <w:widowControl w:val="0"/>
        <w:jc w:val="both"/>
        <w:rPr>
          <w:rFonts w:ascii="黑体" w:hAnsi="宋体" w:eastAsia="黑体"/>
          <w:kern w:val="2"/>
          <w:sz w:val="21"/>
          <w:szCs w:val="22"/>
          <w:lang w:eastAsia="zh-CN"/>
        </w:rPr>
      </w:pPr>
    </w:p>
    <w:p w14:paraId="79B57138">
      <w:pPr>
        <w:widowControl w:val="0"/>
        <w:jc w:val="both"/>
        <w:rPr>
          <w:rFonts w:ascii="黑体" w:hAnsi="宋体" w:eastAsia="黑体"/>
          <w:kern w:val="2"/>
          <w:sz w:val="21"/>
          <w:szCs w:val="22"/>
          <w:lang w:eastAsia="zh-CN"/>
        </w:rPr>
      </w:pPr>
    </w:p>
    <w:p w14:paraId="53F6E055">
      <w:pPr>
        <w:widowControl w:val="0"/>
        <w:jc w:val="both"/>
        <w:rPr>
          <w:rFonts w:ascii="黑体" w:hAnsi="宋体" w:eastAsia="黑体"/>
          <w:kern w:val="2"/>
          <w:sz w:val="21"/>
          <w:szCs w:val="22"/>
          <w:lang w:eastAsia="zh-CN"/>
        </w:rPr>
      </w:pPr>
    </w:p>
    <w:p w14:paraId="4228E925">
      <w:pPr>
        <w:widowControl w:val="0"/>
        <w:jc w:val="both"/>
        <w:rPr>
          <w:rFonts w:ascii="黑体" w:hAnsi="宋体" w:eastAsia="黑体"/>
          <w:kern w:val="2"/>
          <w:sz w:val="21"/>
          <w:szCs w:val="22"/>
          <w:lang w:eastAsia="zh-CN"/>
        </w:rPr>
      </w:pPr>
    </w:p>
    <w:p w14:paraId="45A98C51">
      <w:pPr>
        <w:widowControl w:val="0"/>
        <w:jc w:val="both"/>
        <w:rPr>
          <w:rFonts w:ascii="黑体" w:hAnsi="宋体" w:eastAsia="黑体"/>
          <w:kern w:val="2"/>
          <w:sz w:val="21"/>
          <w:szCs w:val="22"/>
          <w:lang w:eastAsia="zh-CN"/>
        </w:rPr>
      </w:pPr>
    </w:p>
    <w:p w14:paraId="0A5B9384">
      <w:pPr>
        <w:widowControl w:val="0"/>
        <w:jc w:val="both"/>
        <w:rPr>
          <w:rFonts w:ascii="黑体" w:hAnsi="宋体" w:eastAsia="黑体"/>
          <w:kern w:val="2"/>
          <w:sz w:val="21"/>
          <w:szCs w:val="22"/>
          <w:lang w:eastAsia="zh-CN"/>
        </w:rPr>
      </w:pPr>
    </w:p>
    <w:p w14:paraId="56330340">
      <w:pPr>
        <w:widowControl w:val="0"/>
        <w:jc w:val="both"/>
        <w:rPr>
          <w:rFonts w:ascii="黑体" w:hAnsi="宋体" w:eastAsia="黑体"/>
          <w:kern w:val="2"/>
          <w:sz w:val="21"/>
          <w:szCs w:val="22"/>
          <w:lang w:eastAsia="zh-CN"/>
        </w:rPr>
      </w:pPr>
    </w:p>
    <w:p w14:paraId="2270986F">
      <w:pPr>
        <w:widowControl w:val="0"/>
        <w:jc w:val="both"/>
        <w:rPr>
          <w:rFonts w:ascii="黑体" w:hAnsi="宋体" w:eastAsia="黑体"/>
          <w:kern w:val="2"/>
          <w:sz w:val="21"/>
          <w:szCs w:val="22"/>
          <w:lang w:eastAsia="zh-CN"/>
        </w:rPr>
      </w:pPr>
    </w:p>
    <w:p w14:paraId="5E7DBBD4">
      <w:pPr>
        <w:widowControl w:val="0"/>
        <w:jc w:val="both"/>
        <w:rPr>
          <w:rFonts w:ascii="黑体" w:hAnsi="宋体" w:eastAsia="黑体"/>
          <w:kern w:val="2"/>
          <w:sz w:val="21"/>
          <w:szCs w:val="22"/>
          <w:lang w:eastAsia="zh-CN"/>
        </w:rPr>
      </w:pPr>
    </w:p>
    <w:bookmarkEnd w:id="17"/>
    <w:p w14:paraId="2F226E6A">
      <w:pPr>
        <w:keepNext/>
        <w:keepLines/>
        <w:widowControl w:val="0"/>
        <w:spacing w:line="360" w:lineRule="auto"/>
        <w:jc w:val="center"/>
        <w:outlineLvl w:val="2"/>
        <w:rPr>
          <w:rFonts w:ascii="宋体" w:hAnsi="宋体" w:eastAsia="宋体" w:cs="宋体"/>
          <w:b/>
          <w:kern w:val="2"/>
          <w:sz w:val="28"/>
          <w:lang w:eastAsia="zh-CN"/>
        </w:rPr>
      </w:pPr>
      <w:r>
        <w:rPr>
          <w:rFonts w:hint="eastAsia" w:ascii="宋体" w:hAnsi="宋体" w:eastAsia="宋体" w:cs="宋体"/>
          <w:b/>
          <w:kern w:val="2"/>
          <w:sz w:val="28"/>
          <w:lang w:eastAsia="zh-CN"/>
        </w:rPr>
        <w:t>二、龙华区教育局自行采购投标及履约承诺函</w:t>
      </w:r>
    </w:p>
    <w:p w14:paraId="5EEC6E38">
      <w:pPr>
        <w:widowControl w:val="0"/>
        <w:spacing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kern w:val="2"/>
          <w:sz w:val="21"/>
          <w:szCs w:val="21"/>
          <w:u w:val="single"/>
          <w:lang w:eastAsia="zh-CN"/>
        </w:rPr>
        <w:t>深圳市千里招标代理有限公司</w:t>
      </w:r>
    </w:p>
    <w:p w14:paraId="04988296">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我单位承诺： </w:t>
      </w:r>
    </w:p>
    <w:p w14:paraId="389C2D45">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1.我单位本招标项目所提供的货物或服务未侵犯知识产权。 </w:t>
      </w:r>
    </w:p>
    <w:p w14:paraId="4C5B39F9">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2.我单位参与本项目投标前三年内，在经营活动中没有重大违法记录。 </w:t>
      </w:r>
    </w:p>
    <w:p w14:paraId="681589A1">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3.我单位参与本项目政府采购活动时不存在被有关部门禁止参与政府采购活动且在有效期内的情况。 </w:t>
      </w:r>
    </w:p>
    <w:p w14:paraId="02F5B440">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4.我单位具备《中华人民共和国政府采购法》第二十二条第一款规定的六项条件。 </w:t>
      </w:r>
    </w:p>
    <w:p w14:paraId="0A83DE2A">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5.我单位未被列入失信被执行人、重大税收违法案件当事人名单（税收违法黑名单）、政府采购严重违法失信行为记录名单。 </w:t>
      </w:r>
    </w:p>
    <w:p w14:paraId="1ACC88E8">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 </w:t>
      </w:r>
    </w:p>
    <w:p w14:paraId="5A9AFF48">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 </w:t>
      </w:r>
    </w:p>
    <w:p w14:paraId="696F8683">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 </w:t>
      </w:r>
    </w:p>
    <w:p w14:paraId="670A0DAF">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w:t>
      </w:r>
      <w:r>
        <w:rPr>
          <w:rFonts w:hint="eastAsia" w:ascii="宋体" w:hAnsi="宋体" w:eastAsia="宋体" w:cstheme="minorBidi"/>
          <w:kern w:val="2"/>
          <w:sz w:val="21"/>
          <w:szCs w:val="21"/>
          <w:lang w:eastAsia="zh-CN"/>
        </w:rPr>
        <w:t xml:space="preserve"> 我单位承诺参与本项目非联合体投标，不选用进口产品参与投标，中标后项目不转包，未经采购人同意不进行分包。</w:t>
      </w:r>
    </w:p>
    <w:p w14:paraId="25A192F9">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 </w:t>
      </w:r>
    </w:p>
    <w:p w14:paraId="17173501">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 </w:t>
      </w:r>
    </w:p>
    <w:p w14:paraId="246E5F83">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12.我单位承诺，为采购项目提供整体设计、规范编制或者项目管理、监理、检测等服务的供应商，不再参加该采购项目同一合同项下的其他采购活动。</w:t>
      </w:r>
    </w:p>
    <w:p w14:paraId="3CE1566C">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13.我单位承诺，符合《中华人民共和国政府采购法实施条例》第十八条第一款规定，不存在我单位与其他供应商的负责人为同一人或者存在直接控股、管理关系的情况。 </w:t>
      </w:r>
    </w:p>
    <w:p w14:paraId="4628E2A0">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14.所投标（响应）的货物、工程或服务，不存在侵犯知识产权的情况；已知悉并同意中标（成交）结果信息公示（公开）的内容。 </w:t>
      </w:r>
    </w:p>
    <w:p w14:paraId="6F19491A">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15.本单位（公司）不存在《深圳市财政局政府采购供应商信用信息管理办法》（深财规 </w:t>
      </w:r>
    </w:p>
    <w:p w14:paraId="083780D1">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14:paraId="61F189A0">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16.我单位自愿遵照龙华区教育系统自行采购的有关管理制度和规定，并自愿接受龙华区教育局和财政部门的有关监督。</w:t>
      </w:r>
    </w:p>
    <w:p w14:paraId="1B215AE5">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theme="minorBidi"/>
          <w:color w:val="FF0000"/>
          <w:sz w:val="21"/>
          <w:szCs w:val="22"/>
          <w:lang w:eastAsia="zh-CN"/>
        </w:rPr>
        <w:t>17.如果我单位中标，将依照本项目招标文件要求，在接到深圳市千里招标代理有限公司通知（包括但不限于电话、短信通知）后3个工作日内，缴纳招标代理服务费。</w:t>
      </w:r>
    </w:p>
    <w:p w14:paraId="79A67458">
      <w:pPr>
        <w:widowControl w:val="0"/>
        <w:spacing w:line="360" w:lineRule="auto"/>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14:paraId="5B7275BC">
      <w:pPr>
        <w:widowControl w:val="0"/>
        <w:spacing w:line="360" w:lineRule="auto"/>
        <w:jc w:val="both"/>
        <w:rPr>
          <w:rFonts w:ascii="宋体" w:hAnsi="宋体" w:eastAsia="宋体" w:cs="宋体"/>
          <w:kern w:val="2"/>
          <w:sz w:val="18"/>
          <w:szCs w:val="18"/>
          <w:lang w:eastAsia="zh-CN"/>
        </w:rPr>
      </w:pPr>
    </w:p>
    <w:p w14:paraId="1C5A7226">
      <w:pPr>
        <w:widowControl w:val="0"/>
        <w:spacing w:line="360" w:lineRule="auto"/>
        <w:ind w:firstLine="645"/>
        <w:jc w:val="right"/>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投标人：</w:t>
      </w:r>
    </w:p>
    <w:p w14:paraId="768839DC">
      <w:pPr>
        <w:widowControl w:val="0"/>
        <w:wordWrap w:val="0"/>
        <w:spacing w:line="360" w:lineRule="auto"/>
        <w:ind w:firstLine="645"/>
        <w:jc w:val="right"/>
        <w:rPr>
          <w:rFonts w:ascii="宋体" w:hAnsi="宋体" w:eastAsia="宋体" w:cs="宋体"/>
          <w:kern w:val="2"/>
          <w:sz w:val="21"/>
          <w:szCs w:val="21"/>
          <w:lang w:eastAsia="zh-CN"/>
        </w:rPr>
      </w:pPr>
      <w:r>
        <w:rPr>
          <w:rFonts w:hint="eastAsia" w:ascii="宋体" w:hAnsi="宋体" w:eastAsia="宋体" w:cs="宋体"/>
          <w:kern w:val="2"/>
          <w:sz w:val="21"/>
          <w:szCs w:val="21"/>
          <w:lang w:eastAsia="zh-CN"/>
        </w:rPr>
        <w:t>日期：年月日</w:t>
      </w:r>
    </w:p>
    <w:p w14:paraId="5ADDFBB9">
      <w:pPr>
        <w:widowControl w:val="0"/>
        <w:spacing w:line="360" w:lineRule="auto"/>
        <w:jc w:val="both"/>
        <w:rPr>
          <w:rFonts w:ascii="宋体" w:hAnsi="宋体" w:eastAsia="宋体" w:cs="宋体"/>
          <w:b/>
          <w:bCs/>
          <w:color w:val="FF0000"/>
          <w:kern w:val="2"/>
          <w:sz w:val="21"/>
          <w:szCs w:val="21"/>
          <w:lang w:eastAsia="zh-CN"/>
        </w:rPr>
      </w:pPr>
    </w:p>
    <w:p w14:paraId="5C3FD107">
      <w:pPr>
        <w:widowControl w:val="0"/>
        <w:spacing w:line="360" w:lineRule="auto"/>
        <w:jc w:val="both"/>
        <w:rPr>
          <w:rFonts w:ascii="宋体" w:hAnsi="宋体" w:eastAsia="宋体"/>
          <w:color w:val="FF0000"/>
          <w:kern w:val="2"/>
          <w:sz w:val="21"/>
          <w:szCs w:val="21"/>
          <w:lang w:eastAsia="zh-CN"/>
        </w:rPr>
      </w:pPr>
      <w:r>
        <w:rPr>
          <w:rFonts w:hint="eastAsia" w:ascii="宋体" w:hAnsi="宋体" w:eastAsia="宋体" w:cs="宋体"/>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4099DEF">
      <w:pPr>
        <w:widowControl w:val="0"/>
        <w:jc w:val="both"/>
        <w:rPr>
          <w:rFonts w:ascii="宋体" w:hAnsi="Calibri" w:eastAsia="宋体"/>
          <w:b/>
          <w:kern w:val="2"/>
          <w:sz w:val="21"/>
          <w:szCs w:val="21"/>
          <w:lang w:eastAsia="zh-CN"/>
        </w:rPr>
      </w:pPr>
    </w:p>
    <w:p w14:paraId="6F1AAC00">
      <w:pPr>
        <w:widowControl w:val="0"/>
        <w:ind w:firstLine="482" w:firstLineChars="200"/>
        <w:jc w:val="center"/>
        <w:rPr>
          <w:rFonts w:ascii="Calibri" w:hAnsi="宋体" w:eastAsia="宋体"/>
          <w:b/>
          <w:bCs/>
          <w:kern w:val="2"/>
          <w:szCs w:val="22"/>
          <w:lang w:eastAsia="zh-CN"/>
        </w:rPr>
      </w:pPr>
    </w:p>
    <w:p w14:paraId="70F92AFB">
      <w:pPr>
        <w:keepNext/>
        <w:keepLines/>
        <w:widowControl w:val="0"/>
        <w:kinsoku/>
        <w:overflowPunct/>
        <w:topLinePunct w:val="0"/>
        <w:bidi w:val="0"/>
        <w:spacing w:before="0" w:beforeAutospacing="0" w:after="0" w:afterAutospacing="0" w:line="360" w:lineRule="auto"/>
        <w:ind w:left="0" w:leftChars="0" w:right="0" w:firstLine="0" w:firstLineChars="0"/>
        <w:jc w:val="center"/>
        <w:outlineLvl w:val="2"/>
        <w:rPr>
          <w:rFonts w:hint="eastAsia" w:ascii="宋体" w:hAnsi="宋体" w:eastAsia="宋体" w:cs="宋体"/>
          <w:bCs/>
          <w:kern w:val="2"/>
          <w:lang w:eastAsia="zh-CN"/>
        </w:rPr>
      </w:pPr>
      <w:r>
        <w:rPr>
          <w:rFonts w:hint="eastAsia" w:ascii="宋体" w:hAnsi="宋体" w:eastAsia="宋体" w:cs="宋体"/>
          <w:bCs/>
          <w:kern w:val="2"/>
          <w:lang w:eastAsia="zh-CN"/>
        </w:rPr>
        <w:t>三、投标人情况及资格证明文件</w:t>
      </w:r>
    </w:p>
    <w:p w14:paraId="485F477B">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kern w:val="2"/>
          <w:szCs w:val="22"/>
          <w:lang w:eastAsia="zh-CN"/>
        </w:rPr>
      </w:pPr>
    </w:p>
    <w:p w14:paraId="49F8B1D8">
      <w:pPr>
        <w:widowControl w:val="0"/>
        <w:kinsoku/>
        <w:overflowPunct/>
        <w:topLinePunct w:val="0"/>
        <w:bidi w:val="0"/>
        <w:spacing w:beforeAutospacing="0" w:afterAutospacing="0" w:line="360" w:lineRule="auto"/>
        <w:ind w:left="0" w:leftChars="0" w:right="0" w:firstLine="0" w:firstLineChars="0"/>
        <w:jc w:val="both"/>
        <w:outlineLvl w:val="3"/>
        <w:rPr>
          <w:rFonts w:hint="eastAsia" w:ascii="宋体" w:hAnsi="宋体" w:eastAsia="宋体" w:cs="宋体"/>
          <w:bCs/>
          <w:szCs w:val="32"/>
          <w:lang w:eastAsia="zh-CN"/>
        </w:rPr>
      </w:pPr>
      <w:bookmarkStart w:id="21" w:name="_Hlk72257590"/>
      <w:r>
        <w:rPr>
          <w:rFonts w:hint="eastAsia" w:ascii="宋体" w:hAnsi="宋体" w:eastAsia="宋体" w:cs="宋体"/>
          <w:bCs/>
          <w:szCs w:val="32"/>
          <w:lang w:eastAsia="zh-CN"/>
        </w:rPr>
        <w:t>（一）投标人资格证明文件</w:t>
      </w:r>
    </w:p>
    <w:p w14:paraId="1077DFE5">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color w:val="FF0000"/>
          <w:kern w:val="2"/>
          <w:sz w:val="21"/>
          <w:szCs w:val="22"/>
          <w:lang w:eastAsia="zh-CN"/>
        </w:rPr>
      </w:pPr>
      <w:r>
        <w:rPr>
          <w:rFonts w:hint="eastAsia" w:ascii="宋体" w:hAnsi="宋体" w:eastAsia="宋体" w:cs="宋体"/>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14:paraId="04A36D48">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kern w:val="2"/>
          <w:szCs w:val="22"/>
          <w:lang w:eastAsia="zh-CN"/>
        </w:rPr>
      </w:pPr>
    </w:p>
    <w:p w14:paraId="12F328C8">
      <w:pPr>
        <w:widowControl w:val="0"/>
        <w:kinsoku/>
        <w:overflowPunct/>
        <w:topLinePunct w:val="0"/>
        <w:bidi w:val="0"/>
        <w:spacing w:beforeAutospacing="0" w:afterAutospacing="0" w:line="360" w:lineRule="auto"/>
        <w:ind w:left="0" w:leftChars="0" w:right="0" w:firstLine="0" w:firstLineChars="0"/>
        <w:jc w:val="both"/>
        <w:outlineLvl w:val="3"/>
        <w:rPr>
          <w:rFonts w:hint="eastAsia" w:ascii="宋体" w:hAnsi="宋体" w:eastAsia="宋体" w:cs="宋体"/>
          <w:bCs/>
          <w:szCs w:val="32"/>
          <w:lang w:eastAsia="zh-CN"/>
        </w:rPr>
      </w:pPr>
      <w:bookmarkStart w:id="22" w:name="_Hlk72257908"/>
      <w:r>
        <w:rPr>
          <w:rFonts w:hint="eastAsia" w:ascii="宋体" w:hAnsi="宋体" w:eastAsia="宋体" w:cs="宋体"/>
          <w:bCs/>
          <w:szCs w:val="32"/>
          <w:lang w:eastAsia="zh-CN"/>
        </w:rPr>
        <w:t>（二）中小企业声明函、残疾人福利性单位声明函及监狱企业声明函</w:t>
      </w:r>
      <w:bookmarkEnd w:id="21"/>
    </w:p>
    <w:p w14:paraId="0BAAD95A">
      <w:pPr>
        <w:rPr>
          <w:rFonts w:hint="eastAsia"/>
          <w:lang w:eastAsia="zh-CN"/>
        </w:rPr>
      </w:pPr>
      <w:r>
        <w:rPr>
          <w:rFonts w:hint="eastAsia"/>
          <w:lang w:eastAsia="zh-CN"/>
        </w:rPr>
        <w:t>填写指引：</w:t>
      </w:r>
    </w:p>
    <w:p w14:paraId="6065246F">
      <w:pPr>
        <w:rPr>
          <w:rFonts w:hint="eastAsia"/>
          <w:lang w:eastAsia="zh-CN"/>
        </w:rPr>
      </w:pPr>
      <w:r>
        <w:rPr>
          <w:rFonts w:hint="eastAsia"/>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6BE6C143">
      <w:pPr>
        <w:rPr>
          <w:rFonts w:hint="eastAsia"/>
          <w:lang w:eastAsia="zh-CN"/>
        </w:rPr>
      </w:pPr>
      <w:r>
        <w:rPr>
          <w:rFonts w:hint="eastAsia"/>
          <w:lang w:eastAsia="zh-CN"/>
        </w:rPr>
        <w:t>2、该部分内容填写需要参考的相关文件：</w:t>
      </w:r>
    </w:p>
    <w:p w14:paraId="0B5CC9C7">
      <w:pPr>
        <w:rPr>
          <w:rFonts w:hint="eastAsia"/>
          <w:lang w:eastAsia="zh-CN"/>
        </w:rPr>
      </w:pPr>
      <w:r>
        <w:rPr>
          <w:rFonts w:hint="eastAsia"/>
          <w:lang w:eastAsia="zh-CN"/>
        </w:rPr>
        <w:t>(1)财政部《政府采购促进中小企业发展管理办法》（财库〔2020〕46号）；</w:t>
      </w:r>
    </w:p>
    <w:p w14:paraId="1DE9DED6">
      <w:pPr>
        <w:rPr>
          <w:rFonts w:hint="eastAsia"/>
          <w:lang w:eastAsia="zh-CN"/>
        </w:rPr>
      </w:pPr>
      <w:r>
        <w:rPr>
          <w:rFonts w:hint="eastAsia"/>
          <w:lang w:eastAsia="zh-CN"/>
        </w:rPr>
        <w:t>(2)《工业和信息化部、国家统计局、国家发展和改革委员会、财政部关于印发中小企业划型标准规定的通知》（工信部联企业〔2011〕300 号，以下简称300号文）；</w:t>
      </w:r>
    </w:p>
    <w:p w14:paraId="391B3262">
      <w:pPr>
        <w:rPr>
          <w:rFonts w:hint="eastAsia"/>
          <w:lang w:eastAsia="zh-CN"/>
        </w:rPr>
      </w:pPr>
      <w:r>
        <w:rPr>
          <w:rFonts w:hint="eastAsia"/>
          <w:lang w:eastAsia="zh-CN"/>
        </w:rPr>
        <w:t>(3)《统计上大中小微型企业划分办法(2017)》（国统字〔2017〕213 号）；</w:t>
      </w:r>
    </w:p>
    <w:p w14:paraId="285E466C">
      <w:pPr>
        <w:rPr>
          <w:rFonts w:hint="eastAsia"/>
          <w:lang w:eastAsia="zh-CN"/>
        </w:rPr>
      </w:pPr>
      <w:r>
        <w:rPr>
          <w:rFonts w:hint="eastAsia"/>
          <w:lang w:eastAsia="zh-CN"/>
        </w:rPr>
        <w:t>(4)《关于促进残疾人就业政府采购政策的通知》（财库〔2017〕141号）；</w:t>
      </w:r>
    </w:p>
    <w:p w14:paraId="2480A70A">
      <w:pPr>
        <w:rPr>
          <w:rFonts w:hint="eastAsia"/>
          <w:lang w:eastAsia="zh-CN"/>
        </w:rPr>
      </w:pPr>
      <w:r>
        <w:rPr>
          <w:rFonts w:hint="eastAsia"/>
          <w:lang w:eastAsia="zh-CN"/>
        </w:rPr>
        <w:t>(5)《关于政府采购支持监狱企业发展有关问题的通知》（财库〔2014〕68号）</w:t>
      </w:r>
    </w:p>
    <w:p w14:paraId="5FB5A353">
      <w:pPr>
        <w:rPr>
          <w:rFonts w:hint="eastAsia"/>
          <w:lang w:eastAsia="zh-CN"/>
        </w:rPr>
      </w:pPr>
      <w:r>
        <w:rPr>
          <w:rFonts w:hint="eastAsia"/>
          <w:lang w:eastAsia="zh-CN"/>
        </w:rPr>
        <w:t>3、请依照提供的格式和内容填写声明函，不要随意变更格式；声明函不需要盖章或签字；满足多项优惠政策的投标人，不重复享受多项价格扣除政策。</w:t>
      </w:r>
    </w:p>
    <w:p w14:paraId="60138AD7">
      <w:pPr>
        <w:rPr>
          <w:rFonts w:hint="eastAsia"/>
          <w:lang w:eastAsia="zh-CN"/>
        </w:rPr>
      </w:pPr>
      <w:r>
        <w:rPr>
          <w:rFonts w:hint="eastAsia"/>
          <w:lang w:eastAsia="zh-CN"/>
        </w:rPr>
        <w:t>4、声明函具体填写要求：</w:t>
      </w:r>
    </w:p>
    <w:p w14:paraId="052E27A8">
      <w:pPr>
        <w:rPr>
          <w:rFonts w:hint="eastAsia"/>
          <w:lang w:eastAsia="zh-CN"/>
        </w:rPr>
      </w:pPr>
      <w:r>
        <w:rPr>
          <w:rFonts w:hint="eastAsia"/>
          <w:lang w:eastAsia="zh-CN"/>
        </w:rPr>
        <w:t>（1）声明是中小企业须填写《中小企业声明函》的以下内容：</w:t>
      </w:r>
    </w:p>
    <w:p w14:paraId="73633F98">
      <w:pPr>
        <w:rPr>
          <w:rFonts w:hint="eastAsia"/>
          <w:lang w:eastAsia="zh-CN"/>
        </w:rPr>
      </w:pPr>
      <w:r>
        <w:rPr>
          <w:rFonts w:hint="eastAsia"/>
          <w:lang w:eastAsia="zh-CN"/>
        </w:rPr>
        <w:t>第一处，在“单位名称”下划线处如实填写采购人名称（深圳公共资源交易中心不是本项目的采购人，而是组织实施机构）；</w:t>
      </w:r>
    </w:p>
    <w:p w14:paraId="2E22F329">
      <w:pPr>
        <w:rPr>
          <w:rFonts w:hint="eastAsia"/>
          <w:lang w:eastAsia="zh-CN"/>
        </w:rPr>
      </w:pPr>
      <w:r>
        <w:rPr>
          <w:rFonts w:hint="eastAsia"/>
          <w:lang w:eastAsia="zh-CN"/>
        </w:rPr>
        <w:t>第二处，在“项目名称”下划线处如实填写采购项目名称；</w:t>
      </w:r>
    </w:p>
    <w:p w14:paraId="310CA362">
      <w:pPr>
        <w:rPr>
          <w:rFonts w:hint="eastAsia"/>
          <w:lang w:eastAsia="zh-CN"/>
        </w:rPr>
      </w:pPr>
      <w:r>
        <w:rPr>
          <w:rFonts w:hint="eastAsia"/>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如为服务类项目直接填写项目名称即可。</w:t>
      </w:r>
    </w:p>
    <w:p w14:paraId="6D1B54EA">
      <w:pPr>
        <w:rPr>
          <w:rFonts w:hint="eastAsia"/>
          <w:lang w:eastAsia="zh-CN"/>
        </w:rPr>
      </w:pPr>
      <w:r>
        <w:rPr>
          <w:rFonts w:hint="eastAsia"/>
          <w:lang w:eastAsia="zh-CN"/>
        </w:rPr>
        <w:t>第四处，在“招标文件中明确的所属行业”下划线处填写采购标的对应的中小企业划分标准所属行业（所属行业可在招标文件第一册第二章“对通用条款的补充内容及其他关键信息”章节查看）；</w:t>
      </w:r>
    </w:p>
    <w:p w14:paraId="592D07AB">
      <w:pPr>
        <w:rPr>
          <w:rFonts w:hint="eastAsia"/>
          <w:lang w:eastAsia="zh-CN"/>
        </w:rPr>
      </w:pPr>
      <w:r>
        <w:rPr>
          <w:rFonts w:hint="eastAsia"/>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512385C9">
      <w:pPr>
        <w:rPr>
          <w:rFonts w:hint="eastAsia"/>
          <w:lang w:eastAsia="zh-CN"/>
        </w:rPr>
      </w:pPr>
      <w:r>
        <w:rPr>
          <w:rFonts w:hint="eastAsia"/>
          <w:lang w:eastAsia="zh-CN"/>
        </w:rPr>
        <w:t>（2）声明是残疾人福利性单位须填写《残疾人福利性单位声明函》的相关内容，具体参照以上《中小企业声明函》填写要求执行。</w:t>
      </w:r>
    </w:p>
    <w:p w14:paraId="06C3D2ED">
      <w:pPr>
        <w:rPr>
          <w:rFonts w:hint="eastAsia"/>
          <w:lang w:eastAsia="zh-CN"/>
        </w:rPr>
      </w:pPr>
      <w:r>
        <w:rPr>
          <w:rFonts w:hint="eastAsia"/>
          <w:lang w:eastAsia="zh-CN"/>
        </w:rPr>
        <w:t>（3）声明是监狱企业须填写《监狱企业声明函》的三项内容（填写位置的字体已加粗），具体参照以上《中小企业声明函》填写要求执行。</w:t>
      </w:r>
    </w:p>
    <w:p w14:paraId="263C7D4D">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Cs/>
          <w:color w:val="FF0000"/>
          <w:sz w:val="21"/>
          <w:szCs w:val="21"/>
          <w:lang w:eastAsia="zh-CN"/>
        </w:rPr>
      </w:pPr>
      <w:r>
        <w:rPr>
          <w:rFonts w:hint="eastAsia" w:ascii="宋体" w:hAnsi="宋体" w:eastAsia="宋体" w:cs="宋体"/>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F79EB21">
      <w:pPr>
        <w:widowControl w:val="0"/>
        <w:spacing w:line="360" w:lineRule="auto"/>
        <w:jc w:val="both"/>
        <w:rPr>
          <w:rFonts w:hint="eastAsia" w:ascii="宋体" w:hAnsi="宋体" w:eastAsia="宋体" w:cs="宋体"/>
          <w:b/>
          <w:bCs/>
          <w:color w:val="FF0000"/>
          <w:szCs w:val="21"/>
          <w:lang w:eastAsia="zh-CN"/>
        </w:rPr>
      </w:pPr>
    </w:p>
    <w:p w14:paraId="504180BE">
      <w:pPr>
        <w:widowControl w:val="0"/>
        <w:spacing w:line="360" w:lineRule="auto"/>
        <w:jc w:val="both"/>
        <w:rPr>
          <w:rFonts w:hint="eastAsia" w:ascii="宋体" w:hAnsi="宋体" w:eastAsia="宋体" w:cs="宋体"/>
          <w:b/>
          <w:bCs/>
          <w:color w:val="FF0000"/>
          <w:szCs w:val="21"/>
          <w:lang w:eastAsia="zh-CN"/>
        </w:rPr>
      </w:pPr>
    </w:p>
    <w:p w14:paraId="0A837BD8">
      <w:pPr>
        <w:widowControl w:val="0"/>
        <w:spacing w:line="360" w:lineRule="auto"/>
        <w:jc w:val="both"/>
        <w:rPr>
          <w:rFonts w:hint="eastAsia" w:ascii="宋体" w:hAnsi="宋体" w:eastAsia="宋体" w:cs="宋体"/>
          <w:b/>
          <w:bCs/>
          <w:color w:val="FF0000"/>
          <w:szCs w:val="21"/>
          <w:lang w:eastAsia="zh-CN"/>
        </w:rPr>
      </w:pPr>
    </w:p>
    <w:p w14:paraId="2A847196">
      <w:pPr>
        <w:widowControl w:val="0"/>
        <w:spacing w:line="360" w:lineRule="auto"/>
        <w:jc w:val="both"/>
        <w:rPr>
          <w:rFonts w:hint="eastAsia" w:ascii="宋体" w:hAnsi="宋体" w:eastAsia="宋体" w:cs="宋体"/>
          <w:b/>
          <w:bCs/>
          <w:color w:val="FF0000"/>
          <w:szCs w:val="21"/>
          <w:lang w:eastAsia="zh-CN"/>
        </w:rPr>
      </w:pPr>
    </w:p>
    <w:p w14:paraId="6D702628">
      <w:pPr>
        <w:widowControl w:val="0"/>
        <w:spacing w:line="360" w:lineRule="auto"/>
        <w:jc w:val="both"/>
        <w:rPr>
          <w:rFonts w:hint="eastAsia" w:ascii="宋体" w:hAnsi="宋体" w:eastAsia="宋体" w:cs="宋体"/>
          <w:b/>
          <w:bCs/>
          <w:color w:val="FF0000"/>
          <w:kern w:val="2"/>
          <w:szCs w:val="21"/>
          <w:lang w:eastAsia="zh-CN"/>
        </w:rPr>
      </w:pPr>
    </w:p>
    <w:p w14:paraId="4A8E84F1">
      <w:pPr>
        <w:widowControl w:val="0"/>
        <w:spacing w:line="360" w:lineRule="auto"/>
        <w:ind w:firstLine="241" w:firstLineChars="100"/>
        <w:jc w:val="both"/>
        <w:rPr>
          <w:rFonts w:hint="eastAsia" w:ascii="宋体" w:hAnsi="宋体" w:eastAsia="宋体" w:cs="宋体"/>
          <w:b/>
          <w:bCs/>
          <w:color w:val="FF0000"/>
          <w:kern w:val="2"/>
          <w:szCs w:val="21"/>
          <w:lang w:eastAsia="zh-CN"/>
        </w:rPr>
      </w:pPr>
    </w:p>
    <w:p w14:paraId="2BCF6B00">
      <w:pPr>
        <w:widowControl w:val="0"/>
        <w:spacing w:line="360" w:lineRule="auto"/>
        <w:jc w:val="both"/>
        <w:rPr>
          <w:rFonts w:hint="eastAsia" w:ascii="宋体" w:hAnsi="宋体" w:eastAsia="宋体" w:cs="宋体"/>
          <w:b/>
          <w:bCs/>
          <w:color w:val="FF0000"/>
          <w:kern w:val="2"/>
          <w:szCs w:val="21"/>
          <w:lang w:eastAsia="zh-CN"/>
        </w:rPr>
      </w:pPr>
    </w:p>
    <w:p w14:paraId="7303CBF9">
      <w:pPr>
        <w:widowControl w:val="0"/>
        <w:spacing w:line="360" w:lineRule="auto"/>
        <w:ind w:firstLine="241" w:firstLineChars="100"/>
        <w:jc w:val="both"/>
        <w:rPr>
          <w:rFonts w:hint="eastAsia" w:ascii="宋体" w:hAnsi="宋体" w:eastAsia="宋体" w:cs="宋体"/>
          <w:b/>
          <w:bCs/>
          <w:color w:val="FF0000"/>
          <w:kern w:val="2"/>
          <w:szCs w:val="21"/>
          <w:lang w:eastAsia="zh-CN"/>
        </w:rPr>
      </w:pPr>
    </w:p>
    <w:p w14:paraId="47424230">
      <w:pPr>
        <w:widowControl w:val="0"/>
        <w:spacing w:line="360" w:lineRule="auto"/>
        <w:jc w:val="both"/>
        <w:rPr>
          <w:rFonts w:hint="eastAsia" w:ascii="Calibri" w:hAnsi="Calibri" w:eastAsia="宋体"/>
          <w:b/>
          <w:bCs/>
          <w:kern w:val="2"/>
          <w:szCs w:val="22"/>
          <w:lang w:eastAsia="zh-CN"/>
        </w:rPr>
      </w:pPr>
    </w:p>
    <w:p w14:paraId="765DF98B">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2"/>
          <w:lang w:eastAsia="zh-CN"/>
        </w:rPr>
      </w:pPr>
    </w:p>
    <w:p w14:paraId="792DA452">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2"/>
          <w:lang w:eastAsia="zh-CN"/>
        </w:rPr>
      </w:pPr>
    </w:p>
    <w:p w14:paraId="29F3BF03">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2"/>
          <w:lang w:eastAsia="zh-CN"/>
        </w:rPr>
      </w:pPr>
    </w:p>
    <w:p w14:paraId="63BEC2EE">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2"/>
          <w:lang w:eastAsia="zh-CN"/>
        </w:rPr>
      </w:pPr>
    </w:p>
    <w:p w14:paraId="1D6708D4">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2"/>
          <w:lang w:eastAsia="zh-CN"/>
        </w:rPr>
      </w:pPr>
    </w:p>
    <w:p w14:paraId="3907D816">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2"/>
          <w:lang w:eastAsia="zh-CN"/>
        </w:rPr>
      </w:pPr>
    </w:p>
    <w:p w14:paraId="100FEC59">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kern w:val="2"/>
          <w:sz w:val="21"/>
          <w:szCs w:val="22"/>
          <w:lang w:eastAsia="zh-CN"/>
        </w:rPr>
      </w:pPr>
    </w:p>
    <w:bookmarkEnd w:id="22"/>
    <w:p w14:paraId="1D00CD29">
      <w:pPr>
        <w:jc w:val="center"/>
        <w:rPr>
          <w:lang w:eastAsia="zh-CN"/>
        </w:rPr>
      </w:pPr>
      <w:r>
        <w:rPr>
          <w:lang w:eastAsia="zh-CN"/>
        </w:rPr>
        <w:t>中小企业声明函（</w:t>
      </w:r>
      <w:r>
        <w:rPr>
          <w:rFonts w:hint="eastAsia"/>
          <w:lang w:eastAsia="zh-CN"/>
        </w:rPr>
        <w:t>服务</w:t>
      </w:r>
      <w:r>
        <w:rPr>
          <w:lang w:eastAsia="zh-CN"/>
        </w:rPr>
        <w:t>）</w:t>
      </w:r>
    </w:p>
    <w:p w14:paraId="0B504175">
      <w:pPr>
        <w:widowControl w:val="0"/>
        <w:numPr>
          <w:ilvl w:val="0"/>
          <w:numId w:val="0"/>
        </w:numPr>
        <w:spacing w:line="360" w:lineRule="auto"/>
        <w:ind w:left="0" w:firstLine="0"/>
        <w:jc w:val="both"/>
        <w:rPr>
          <w:rFonts w:ascii="Calibri" w:hAnsi="Calibri" w:eastAsia="宋体"/>
          <w:b/>
          <w:bCs/>
          <w:kern w:val="2"/>
          <w:szCs w:val="22"/>
          <w:lang w:eastAsia="zh-CN"/>
        </w:rPr>
      </w:pPr>
    </w:p>
    <w:p w14:paraId="71CE7E21">
      <w:pP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本公司郑重声明，根据《政府采购促进中小企业发展管理办法》（财库﹝2020﹞46号）的规定，本公司参加</w:t>
      </w:r>
      <w:r>
        <w:rPr>
          <w:rFonts w:hint="eastAsia" w:ascii="宋体" w:hAnsi="宋体" w:eastAsia="宋体" w:cs="宋体"/>
          <w:b/>
          <w:b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14E633B9">
      <w:pP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kern w:val="2"/>
          <w:sz w:val="21"/>
          <w:szCs w:val="21"/>
          <w:u w:val="single"/>
          <w:lang w:eastAsia="zh-CN"/>
        </w:rPr>
        <w:t xml:space="preserve">         </w:t>
      </w:r>
      <w:r>
        <w:rPr>
          <w:rFonts w:hint="eastAsia" w:ascii="宋体" w:hAnsi="宋体" w:eastAsia="宋体" w:cs="宋体"/>
          <w:kern w:val="2"/>
          <w:sz w:val="21"/>
          <w:szCs w:val="21"/>
          <w:lang w:eastAsia="zh-CN"/>
        </w:rPr>
        <w:t>行业；承接企业为</w:t>
      </w:r>
      <w:r>
        <w:rPr>
          <w:rFonts w:hint="eastAsia" w:ascii="宋体" w:hAnsi="宋体" w:eastAsia="宋体" w:cs="宋体"/>
          <w:b/>
          <w:bCs/>
          <w:kern w:val="2"/>
          <w:sz w:val="21"/>
          <w:szCs w:val="21"/>
          <w:u w:val="single"/>
          <w:lang w:eastAsia="zh-CN"/>
        </w:rPr>
        <w:t xml:space="preserve">    （企业名称）    </w:t>
      </w:r>
      <w:r>
        <w:rPr>
          <w:rFonts w:hint="eastAsia" w:ascii="宋体" w:hAnsi="宋体" w:eastAsia="宋体" w:cs="宋体"/>
          <w:kern w:val="2"/>
          <w:sz w:val="21"/>
          <w:szCs w:val="21"/>
          <w:lang w:eastAsia="zh-CN"/>
        </w:rPr>
        <w:t>，从业人员</w:t>
      </w:r>
      <w:r>
        <w:rPr>
          <w:rFonts w:hint="eastAsia" w:ascii="宋体" w:hAnsi="宋体" w:eastAsia="宋体" w:cs="宋体"/>
          <w:b/>
          <w:b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0466C5C3">
      <w:pPr>
        <w:rPr>
          <w:rFonts w:hint="eastAsia"/>
          <w:lang w:eastAsia="zh-CN"/>
        </w:rPr>
      </w:pPr>
      <w:r>
        <w:rPr>
          <w:rFonts w:hint="eastAsia"/>
          <w:lang w:eastAsia="zh-CN"/>
        </w:rPr>
        <w:t>……</w:t>
      </w:r>
    </w:p>
    <w:p w14:paraId="257507D0">
      <w:pPr>
        <w:rPr>
          <w:rFonts w:hint="eastAsia"/>
          <w:lang w:eastAsia="zh-CN"/>
        </w:rPr>
      </w:pPr>
      <w:r>
        <w:rPr>
          <w:rFonts w:hint="eastAsia"/>
          <w:lang w:eastAsia="zh-CN"/>
        </w:rPr>
        <w:t>以上企业，不属于大企业的分支机构，不存在控股股东为大企业的情形，也不存在与大企业的负责人为同一人的情形。</w:t>
      </w:r>
    </w:p>
    <w:p w14:paraId="2733FCEE">
      <w:pPr>
        <w:rPr>
          <w:rFonts w:hint="eastAsia"/>
          <w:lang w:eastAsia="zh-CN"/>
        </w:rPr>
      </w:pPr>
      <w:r>
        <w:rPr>
          <w:rFonts w:hint="eastAsia"/>
          <w:lang w:eastAsia="zh-CN"/>
        </w:rPr>
        <w:t>本企业对上述声明内容的真实性负责。如有虚假，将依法承担相应责任。</w:t>
      </w:r>
    </w:p>
    <w:p w14:paraId="45DA770B">
      <w:pPr>
        <w:rPr>
          <w:rFonts w:hint="eastAsia"/>
          <w:lang w:eastAsia="zh-CN"/>
        </w:rPr>
      </w:pPr>
      <w:bookmarkStart w:id="23" w:name="_Hlk73562275"/>
      <w:r>
        <w:rPr>
          <w:rFonts w:hint="eastAsia"/>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3"/>
    </w:p>
    <w:p w14:paraId="3F48B37A">
      <w:pPr>
        <w:widowControl w:val="0"/>
        <w:ind w:firstLine="420" w:firstLineChars="200"/>
        <w:jc w:val="both"/>
        <w:rPr>
          <w:rFonts w:ascii="Calibri" w:hAnsi="Calibri" w:eastAsia="宋体"/>
          <w:kern w:val="2"/>
          <w:sz w:val="21"/>
          <w:szCs w:val="22"/>
          <w:lang w:eastAsia="zh-CN"/>
        </w:rPr>
      </w:pPr>
    </w:p>
    <w:p w14:paraId="7E97AB72">
      <w:pPr>
        <w:rPr>
          <w:rFonts w:hint="eastAsia"/>
          <w:lang w:eastAsia="zh-CN"/>
        </w:rPr>
      </w:pPr>
      <w:r>
        <w:rPr>
          <w:rFonts w:hint="eastAsia"/>
          <w:lang w:eastAsia="zh-CN"/>
        </w:rPr>
        <w:t>2、残疾人福利性单位声明函（服务类）</w:t>
      </w:r>
    </w:p>
    <w:p w14:paraId="6F7AE94E">
      <w:pPr>
        <w:widowControl w:val="0"/>
        <w:spacing w:line="360" w:lineRule="auto"/>
        <w:jc w:val="both"/>
        <w:rPr>
          <w:rFonts w:ascii="Calibri" w:hAnsi="Calibri" w:eastAsia="宋体"/>
          <w:b/>
          <w:bCs/>
          <w:kern w:val="2"/>
          <w:szCs w:val="22"/>
          <w:lang w:eastAsia="zh-CN"/>
        </w:rPr>
      </w:pPr>
    </w:p>
    <w:p w14:paraId="5F749C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3EE7F0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7B5AE8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65850F4E">
      <w:pPr>
        <w:widowControl w:val="0"/>
        <w:spacing w:line="360" w:lineRule="auto"/>
        <w:jc w:val="both"/>
        <w:rPr>
          <w:rFonts w:hint="eastAsia" w:ascii="Calibri" w:hAnsi="Calibri" w:eastAsia="宋体"/>
          <w:b/>
          <w:bCs/>
          <w:kern w:val="2"/>
          <w:szCs w:val="22"/>
          <w:lang w:eastAsia="zh-CN"/>
        </w:rPr>
      </w:pPr>
    </w:p>
    <w:p w14:paraId="482E3E29">
      <w:pPr>
        <w:rPr>
          <w:lang w:eastAsia="zh-CN"/>
        </w:rPr>
      </w:pPr>
      <w:r>
        <w:rPr>
          <w:rFonts w:hint="eastAsia"/>
          <w:lang w:eastAsia="zh-CN"/>
        </w:rPr>
        <w:t>3、监狱企业声明函【服务类，监狱企业如需享受优惠政策，还须另行提供省级以上监狱管理局、戒毒管理局（含新疆生产建设兵团）出具的监狱企业证明文件】</w:t>
      </w:r>
    </w:p>
    <w:p w14:paraId="3C3492F6">
      <w:pPr>
        <w:widowControl w:val="0"/>
        <w:spacing w:line="360" w:lineRule="auto"/>
        <w:ind w:firstLine="420" w:firstLineChars="200"/>
        <w:jc w:val="both"/>
        <w:rPr>
          <w:rFonts w:hint="eastAsia" w:ascii="宋体" w:hAnsi="宋体" w:eastAsia="宋体"/>
          <w:kern w:val="2"/>
          <w:sz w:val="21"/>
          <w:szCs w:val="21"/>
          <w:lang w:eastAsia="zh-CN"/>
        </w:rPr>
      </w:pPr>
    </w:p>
    <w:p w14:paraId="29465636">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kern w:val="2"/>
          <w:sz w:val="21"/>
          <w:szCs w:val="21"/>
          <w:u w:val="single"/>
          <w:lang w:eastAsia="zh-CN"/>
        </w:rPr>
        <w:t>（</w:t>
      </w:r>
      <w:r>
        <w:rPr>
          <w:rFonts w:hint="eastAsia" w:ascii="宋体" w:hAnsi="宋体" w:eastAsia="宋体" w:cstheme="minorBidi"/>
          <w:b/>
          <w:bCs/>
          <w:kern w:val="2"/>
          <w:sz w:val="21"/>
          <w:szCs w:val="21"/>
          <w:u w:val="single"/>
          <w:lang w:eastAsia="zh-CN"/>
        </w:rPr>
        <w:t>采购人</w:t>
      </w:r>
      <w:r>
        <w:rPr>
          <w:rFonts w:ascii="宋体" w:hAnsi="宋体" w:eastAsia="宋体" w:cstheme="minorBidi"/>
          <w:b/>
          <w:b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kern w:val="2"/>
          <w:sz w:val="21"/>
          <w:szCs w:val="21"/>
          <w:u w:val="single"/>
          <w:lang w:eastAsia="zh-CN"/>
        </w:rPr>
        <w:t>（项目名称）</w:t>
      </w:r>
      <w:r>
        <w:rPr>
          <w:rFonts w:ascii="宋体" w:hAnsi="宋体" w:eastAsia="宋体" w:cstheme="minorBidi"/>
          <w:kern w:val="2"/>
          <w:sz w:val="21"/>
          <w:szCs w:val="21"/>
          <w:lang w:eastAsia="zh-CN"/>
        </w:rPr>
        <w:t>采购活动，</w:t>
      </w:r>
      <w:r>
        <w:rPr>
          <w:rFonts w:hint="eastAsia" w:ascii="宋体" w:hAnsi="宋体" w:eastAsia="宋体" w:cstheme="minorBidi"/>
          <w:kern w:val="2"/>
          <w:sz w:val="21"/>
          <w:szCs w:val="21"/>
          <w:lang w:eastAsia="zh-CN"/>
        </w:rPr>
        <w:t>服务</w:t>
      </w:r>
      <w:r>
        <w:rPr>
          <w:rFonts w:ascii="宋体" w:hAnsi="宋体" w:eastAsia="宋体" w:cstheme="minorBidi"/>
          <w:kern w:val="2"/>
          <w:sz w:val="21"/>
          <w:szCs w:val="21"/>
          <w:lang w:eastAsia="zh-CN"/>
        </w:rPr>
        <w:t>全部由符合政策要求的</w:t>
      </w:r>
      <w:r>
        <w:rPr>
          <w:rFonts w:hint="eastAsia" w:ascii="宋体" w:hAnsi="宋体" w:eastAsia="宋体" w:cstheme="minorBidi"/>
          <w:kern w:val="2"/>
          <w:sz w:val="21"/>
          <w:szCs w:val="21"/>
          <w:lang w:eastAsia="zh-CN"/>
        </w:rPr>
        <w:t>监狱企业承接</w:t>
      </w:r>
      <w:r>
        <w:rPr>
          <w:rFonts w:ascii="宋体" w:hAnsi="宋体" w:eastAsia="宋体" w:cstheme="minorBidi"/>
          <w:kern w:val="2"/>
          <w:sz w:val="21"/>
          <w:szCs w:val="21"/>
          <w:lang w:eastAsia="zh-CN"/>
        </w:rPr>
        <w:t>。相关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6C6AD2D7">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ascii="宋体" w:hAnsi="宋体" w:eastAsia="宋体" w:cstheme="minorBidi"/>
          <w:b/>
          <w:bCs/>
          <w:kern w:val="2"/>
          <w:sz w:val="21"/>
          <w:szCs w:val="21"/>
          <w:u w:val="single"/>
          <w:lang w:eastAsia="zh-CN"/>
        </w:rPr>
        <w:t>）</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，承接单位</w:t>
      </w:r>
      <w:r>
        <w:rPr>
          <w:rFonts w:ascii="宋体" w:hAnsi="宋体" w:eastAsia="宋体" w:cstheme="minorBidi"/>
          <w:kern w:val="2"/>
          <w:sz w:val="21"/>
          <w:szCs w:val="21"/>
          <w:lang w:eastAsia="zh-CN"/>
        </w:rPr>
        <w:t>为</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，属于</w:t>
      </w:r>
      <w:r>
        <w:rPr>
          <w:rFonts w:hint="eastAsia" w:ascii="宋体" w:hAnsi="宋体" w:eastAsia="宋体" w:cstheme="minorBidi"/>
          <w:b/>
          <w:bCs/>
          <w:i/>
          <w:iCs/>
          <w:kern w:val="2"/>
          <w:sz w:val="21"/>
          <w:szCs w:val="21"/>
          <w:u w:val="single"/>
          <w:lang w:eastAsia="zh-CN"/>
        </w:rPr>
        <w:t>监狱企业</w:t>
      </w:r>
      <w:r>
        <w:rPr>
          <w:rFonts w:ascii="宋体" w:hAnsi="宋体" w:eastAsia="宋体" w:cstheme="minorBidi"/>
          <w:kern w:val="2"/>
          <w:sz w:val="21"/>
          <w:szCs w:val="21"/>
          <w:lang w:eastAsia="zh-CN"/>
        </w:rPr>
        <w:t>；</w:t>
      </w:r>
    </w:p>
    <w:p w14:paraId="51629F09">
      <w:pPr>
        <w:rPr>
          <w:lang w:eastAsia="zh-CN"/>
        </w:rPr>
      </w:pPr>
      <w:r>
        <w:rPr>
          <w:lang w:eastAsia="zh-CN"/>
        </w:rPr>
        <w:t xml:space="preserve">…… </w:t>
      </w:r>
    </w:p>
    <w:p w14:paraId="6419B9C3">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1036B718">
      <w:pPr>
        <w:widowControl w:val="0"/>
        <w:spacing w:line="360" w:lineRule="auto"/>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p>
    <w:p w14:paraId="02B82C54">
      <w:pPr>
        <w:widowControl w:val="0"/>
        <w:spacing w:line="360" w:lineRule="auto"/>
        <w:ind w:firstLine="420" w:firstLineChars="200"/>
        <w:jc w:val="both"/>
        <w:rPr>
          <w:rFonts w:hint="eastAsia" w:ascii="宋体" w:hAnsi="宋体" w:eastAsia="宋体"/>
          <w:kern w:val="2"/>
          <w:sz w:val="21"/>
          <w:szCs w:val="21"/>
          <w:lang w:eastAsia="zh-CN"/>
        </w:rPr>
      </w:pPr>
    </w:p>
    <w:p w14:paraId="46A991BD">
      <w:pPr>
        <w:widowControl w:val="0"/>
        <w:spacing w:line="360" w:lineRule="auto"/>
        <w:ind w:firstLine="420" w:firstLineChars="200"/>
        <w:jc w:val="both"/>
        <w:rPr>
          <w:rFonts w:hint="eastAsia" w:ascii="宋体" w:hAnsi="宋体" w:eastAsia="宋体"/>
          <w:kern w:val="2"/>
          <w:sz w:val="21"/>
          <w:szCs w:val="21"/>
          <w:lang w:eastAsia="zh-CN"/>
        </w:rPr>
      </w:pPr>
    </w:p>
    <w:p w14:paraId="7E55354D">
      <w:pPr>
        <w:widowControl w:val="0"/>
        <w:spacing w:line="360" w:lineRule="auto"/>
        <w:ind w:firstLine="420" w:firstLineChars="200"/>
        <w:jc w:val="both"/>
        <w:rPr>
          <w:rFonts w:hint="eastAsia" w:ascii="宋体" w:hAnsi="宋体" w:eastAsia="宋体"/>
          <w:kern w:val="2"/>
          <w:sz w:val="21"/>
          <w:szCs w:val="21"/>
          <w:lang w:eastAsia="zh-CN"/>
        </w:rPr>
      </w:pPr>
    </w:p>
    <w:p w14:paraId="36BB80B4">
      <w:pPr>
        <w:widowControl w:val="0"/>
        <w:spacing w:line="360" w:lineRule="auto"/>
        <w:ind w:firstLine="420" w:firstLineChars="200"/>
        <w:jc w:val="both"/>
        <w:rPr>
          <w:rFonts w:hint="eastAsia" w:ascii="宋体" w:hAnsi="宋体" w:eastAsia="宋体"/>
          <w:kern w:val="2"/>
          <w:sz w:val="21"/>
          <w:szCs w:val="21"/>
          <w:lang w:eastAsia="zh-CN"/>
        </w:rPr>
      </w:pPr>
    </w:p>
    <w:p w14:paraId="014B1417">
      <w:pPr>
        <w:widowControl w:val="0"/>
        <w:spacing w:line="360" w:lineRule="auto"/>
        <w:ind w:firstLine="420" w:firstLineChars="200"/>
        <w:jc w:val="both"/>
        <w:rPr>
          <w:rFonts w:hint="eastAsia" w:ascii="宋体" w:hAnsi="宋体" w:eastAsia="宋体"/>
          <w:kern w:val="2"/>
          <w:sz w:val="21"/>
          <w:szCs w:val="21"/>
          <w:lang w:eastAsia="zh-CN"/>
        </w:rPr>
      </w:pPr>
    </w:p>
    <w:p w14:paraId="0B286148">
      <w:pPr>
        <w:widowControl w:val="0"/>
        <w:spacing w:line="360" w:lineRule="auto"/>
        <w:ind w:firstLine="420" w:firstLineChars="200"/>
        <w:jc w:val="both"/>
        <w:rPr>
          <w:rFonts w:hint="eastAsia" w:ascii="宋体" w:hAnsi="宋体" w:eastAsia="宋体"/>
          <w:kern w:val="2"/>
          <w:sz w:val="21"/>
          <w:szCs w:val="21"/>
          <w:lang w:eastAsia="zh-CN"/>
        </w:rPr>
      </w:pPr>
    </w:p>
    <w:p w14:paraId="0E4B75FD">
      <w:pPr>
        <w:widowControl w:val="0"/>
        <w:spacing w:line="360" w:lineRule="auto"/>
        <w:ind w:firstLine="420" w:firstLineChars="200"/>
        <w:jc w:val="both"/>
        <w:rPr>
          <w:rFonts w:hint="eastAsia" w:ascii="宋体" w:hAnsi="宋体" w:eastAsia="宋体"/>
          <w:kern w:val="2"/>
          <w:sz w:val="21"/>
          <w:szCs w:val="21"/>
          <w:lang w:eastAsia="zh-CN"/>
        </w:rPr>
      </w:pPr>
    </w:p>
    <w:p w14:paraId="754DF569">
      <w:pPr>
        <w:widowControl w:val="0"/>
        <w:spacing w:line="360" w:lineRule="auto"/>
        <w:ind w:firstLine="420" w:firstLineChars="200"/>
        <w:jc w:val="both"/>
        <w:rPr>
          <w:rFonts w:hint="eastAsia" w:ascii="宋体" w:hAnsi="宋体" w:eastAsia="宋体"/>
          <w:kern w:val="2"/>
          <w:sz w:val="21"/>
          <w:szCs w:val="21"/>
          <w:lang w:eastAsia="zh-CN"/>
        </w:rPr>
      </w:pPr>
    </w:p>
    <w:p w14:paraId="7163BF46">
      <w:pPr>
        <w:widowControl w:val="0"/>
        <w:spacing w:line="360" w:lineRule="auto"/>
        <w:ind w:firstLine="420" w:firstLineChars="200"/>
        <w:jc w:val="both"/>
        <w:rPr>
          <w:rFonts w:hint="eastAsia" w:ascii="宋体" w:hAnsi="宋体" w:eastAsia="宋体"/>
          <w:kern w:val="2"/>
          <w:sz w:val="21"/>
          <w:szCs w:val="21"/>
          <w:lang w:eastAsia="zh-CN"/>
        </w:rPr>
      </w:pPr>
    </w:p>
    <w:p w14:paraId="41578F27">
      <w:pPr>
        <w:widowControl w:val="0"/>
        <w:spacing w:line="360" w:lineRule="auto"/>
        <w:ind w:firstLine="420" w:firstLineChars="200"/>
        <w:jc w:val="both"/>
        <w:rPr>
          <w:rFonts w:hint="eastAsia" w:ascii="宋体" w:hAnsi="宋体" w:eastAsia="宋体"/>
          <w:kern w:val="2"/>
          <w:sz w:val="21"/>
          <w:szCs w:val="21"/>
          <w:lang w:eastAsia="zh-CN"/>
        </w:rPr>
      </w:pPr>
    </w:p>
    <w:p w14:paraId="3CF32181">
      <w:pPr>
        <w:widowControl w:val="0"/>
        <w:spacing w:line="360" w:lineRule="auto"/>
        <w:ind w:firstLine="420" w:firstLineChars="200"/>
        <w:jc w:val="both"/>
        <w:rPr>
          <w:rFonts w:hint="eastAsia" w:ascii="宋体" w:hAnsi="宋体" w:eastAsia="宋体"/>
          <w:kern w:val="2"/>
          <w:sz w:val="21"/>
          <w:szCs w:val="21"/>
          <w:lang w:eastAsia="zh-CN"/>
        </w:rPr>
      </w:pPr>
    </w:p>
    <w:p w14:paraId="48C91A6A">
      <w:pPr>
        <w:widowControl w:val="0"/>
        <w:spacing w:line="360" w:lineRule="auto"/>
        <w:ind w:firstLine="420" w:firstLineChars="200"/>
        <w:jc w:val="both"/>
        <w:rPr>
          <w:rFonts w:hint="eastAsia" w:ascii="宋体" w:hAnsi="宋体" w:eastAsia="宋体"/>
          <w:kern w:val="2"/>
          <w:sz w:val="21"/>
          <w:szCs w:val="21"/>
          <w:lang w:eastAsia="zh-CN"/>
        </w:rPr>
      </w:pPr>
    </w:p>
    <w:p w14:paraId="15792841">
      <w:pPr>
        <w:widowControl w:val="0"/>
        <w:spacing w:line="360" w:lineRule="auto"/>
        <w:ind w:firstLine="420" w:firstLineChars="200"/>
        <w:jc w:val="both"/>
        <w:rPr>
          <w:rFonts w:hint="eastAsia" w:ascii="宋体" w:hAnsi="宋体" w:eastAsia="宋体"/>
          <w:kern w:val="2"/>
          <w:sz w:val="21"/>
          <w:szCs w:val="21"/>
          <w:lang w:eastAsia="zh-CN"/>
        </w:rPr>
      </w:pPr>
    </w:p>
    <w:p w14:paraId="301802D7">
      <w:pPr>
        <w:widowControl w:val="0"/>
        <w:spacing w:line="360" w:lineRule="auto"/>
        <w:ind w:firstLine="420" w:firstLineChars="200"/>
        <w:jc w:val="both"/>
        <w:rPr>
          <w:rFonts w:hint="eastAsia" w:ascii="宋体" w:hAnsi="宋体" w:eastAsia="宋体"/>
          <w:kern w:val="2"/>
          <w:sz w:val="21"/>
          <w:szCs w:val="21"/>
          <w:lang w:eastAsia="zh-CN"/>
        </w:rPr>
      </w:pPr>
    </w:p>
    <w:p w14:paraId="73F590DA">
      <w:pPr>
        <w:widowControl w:val="0"/>
        <w:spacing w:line="360" w:lineRule="auto"/>
        <w:ind w:firstLine="420" w:firstLineChars="200"/>
        <w:jc w:val="both"/>
        <w:rPr>
          <w:rFonts w:hint="eastAsia" w:ascii="宋体" w:hAnsi="宋体" w:eastAsia="宋体"/>
          <w:kern w:val="2"/>
          <w:sz w:val="21"/>
          <w:szCs w:val="21"/>
          <w:lang w:eastAsia="zh-CN"/>
        </w:rPr>
      </w:pPr>
    </w:p>
    <w:p w14:paraId="12D132D0">
      <w:pPr>
        <w:widowControl w:val="0"/>
        <w:spacing w:line="360" w:lineRule="auto"/>
        <w:ind w:firstLine="420" w:firstLineChars="200"/>
        <w:jc w:val="both"/>
        <w:rPr>
          <w:rFonts w:hint="eastAsia" w:ascii="宋体" w:hAnsi="宋体" w:eastAsia="宋体"/>
          <w:kern w:val="2"/>
          <w:sz w:val="21"/>
          <w:szCs w:val="21"/>
          <w:lang w:eastAsia="zh-CN"/>
        </w:rPr>
      </w:pPr>
    </w:p>
    <w:p w14:paraId="64732791">
      <w:pPr>
        <w:widowControl w:val="0"/>
        <w:spacing w:line="360" w:lineRule="auto"/>
        <w:ind w:firstLine="420" w:firstLineChars="200"/>
        <w:jc w:val="both"/>
        <w:rPr>
          <w:rFonts w:hint="eastAsia" w:ascii="宋体" w:hAnsi="宋体" w:eastAsia="宋体"/>
          <w:kern w:val="2"/>
          <w:sz w:val="21"/>
          <w:szCs w:val="21"/>
          <w:lang w:eastAsia="zh-CN"/>
        </w:rPr>
      </w:pPr>
    </w:p>
    <w:p w14:paraId="4E484E36">
      <w:pPr>
        <w:widowControl w:val="0"/>
        <w:spacing w:line="360" w:lineRule="auto"/>
        <w:ind w:firstLine="420" w:firstLineChars="200"/>
        <w:jc w:val="both"/>
        <w:rPr>
          <w:rFonts w:hint="eastAsia" w:ascii="宋体" w:hAnsi="宋体" w:eastAsia="宋体"/>
          <w:kern w:val="2"/>
          <w:sz w:val="21"/>
          <w:szCs w:val="21"/>
          <w:lang w:eastAsia="zh-CN"/>
        </w:rPr>
      </w:pPr>
    </w:p>
    <w:p w14:paraId="58B9C70B">
      <w:pPr>
        <w:widowControl w:val="0"/>
        <w:spacing w:line="360" w:lineRule="auto"/>
        <w:ind w:firstLine="420" w:firstLineChars="200"/>
        <w:jc w:val="both"/>
        <w:rPr>
          <w:rFonts w:hint="eastAsia" w:ascii="宋体" w:hAnsi="宋体" w:eastAsia="宋体"/>
          <w:kern w:val="2"/>
          <w:sz w:val="21"/>
          <w:szCs w:val="21"/>
          <w:lang w:eastAsia="zh-CN"/>
        </w:rPr>
      </w:pPr>
    </w:p>
    <w:p w14:paraId="58EB720B">
      <w:pPr>
        <w:widowControl w:val="0"/>
        <w:spacing w:line="360" w:lineRule="auto"/>
        <w:ind w:firstLine="420" w:firstLineChars="200"/>
        <w:jc w:val="both"/>
        <w:rPr>
          <w:rFonts w:hint="eastAsia" w:ascii="宋体" w:hAnsi="宋体" w:eastAsia="宋体"/>
          <w:kern w:val="2"/>
          <w:sz w:val="21"/>
          <w:szCs w:val="21"/>
          <w:lang w:eastAsia="zh-CN"/>
        </w:rPr>
      </w:pPr>
    </w:p>
    <w:p w14:paraId="493E5617">
      <w:pPr>
        <w:widowControl w:val="0"/>
        <w:spacing w:line="360" w:lineRule="auto"/>
        <w:ind w:firstLine="420" w:firstLineChars="200"/>
        <w:jc w:val="both"/>
        <w:rPr>
          <w:rFonts w:hint="eastAsia" w:ascii="宋体" w:hAnsi="宋体" w:eastAsia="宋体"/>
          <w:kern w:val="2"/>
          <w:sz w:val="21"/>
          <w:szCs w:val="21"/>
          <w:lang w:eastAsia="zh-CN"/>
        </w:rPr>
      </w:pPr>
    </w:p>
    <w:p w14:paraId="34B65059">
      <w:pPr>
        <w:widowControl w:val="0"/>
        <w:spacing w:line="360" w:lineRule="auto"/>
        <w:ind w:firstLine="420" w:firstLineChars="200"/>
        <w:jc w:val="both"/>
        <w:rPr>
          <w:rFonts w:hint="eastAsia" w:ascii="宋体" w:hAnsi="宋体" w:eastAsia="宋体"/>
          <w:kern w:val="2"/>
          <w:sz w:val="21"/>
          <w:szCs w:val="21"/>
          <w:lang w:eastAsia="zh-CN"/>
        </w:rPr>
      </w:pPr>
    </w:p>
    <w:p w14:paraId="1611E273">
      <w:pPr>
        <w:widowControl w:val="0"/>
        <w:spacing w:line="360" w:lineRule="auto"/>
        <w:ind w:firstLine="420" w:firstLineChars="200"/>
        <w:jc w:val="both"/>
        <w:rPr>
          <w:rFonts w:hint="eastAsia" w:ascii="宋体" w:hAnsi="宋体" w:eastAsia="宋体"/>
          <w:kern w:val="2"/>
          <w:sz w:val="21"/>
          <w:szCs w:val="21"/>
          <w:lang w:eastAsia="zh-CN"/>
        </w:rPr>
      </w:pPr>
    </w:p>
    <w:p w14:paraId="1A3F6267">
      <w:pPr>
        <w:widowControl w:val="0"/>
        <w:spacing w:line="360" w:lineRule="auto"/>
        <w:ind w:firstLine="420" w:firstLineChars="200"/>
        <w:jc w:val="both"/>
        <w:rPr>
          <w:rFonts w:hint="eastAsia" w:ascii="宋体" w:hAnsi="宋体" w:eastAsia="宋体"/>
          <w:kern w:val="2"/>
          <w:sz w:val="21"/>
          <w:szCs w:val="21"/>
          <w:lang w:eastAsia="zh-CN"/>
        </w:rPr>
      </w:pPr>
    </w:p>
    <w:p w14:paraId="615CB77D">
      <w:pPr>
        <w:widowControl w:val="0"/>
        <w:spacing w:line="360" w:lineRule="auto"/>
        <w:ind w:firstLine="420" w:firstLineChars="200"/>
        <w:jc w:val="both"/>
        <w:rPr>
          <w:rFonts w:hint="eastAsia" w:ascii="宋体" w:hAnsi="宋体" w:eastAsia="宋体"/>
          <w:kern w:val="2"/>
          <w:sz w:val="21"/>
          <w:szCs w:val="21"/>
          <w:lang w:eastAsia="zh-CN"/>
        </w:rPr>
      </w:pPr>
    </w:p>
    <w:p w14:paraId="58016943">
      <w:pPr>
        <w:widowControl w:val="0"/>
        <w:spacing w:line="360" w:lineRule="auto"/>
        <w:ind w:firstLine="420" w:firstLineChars="200"/>
        <w:jc w:val="both"/>
        <w:rPr>
          <w:rFonts w:hint="eastAsia" w:ascii="宋体" w:hAnsi="宋体" w:eastAsia="宋体"/>
          <w:kern w:val="2"/>
          <w:sz w:val="21"/>
          <w:szCs w:val="21"/>
          <w:lang w:eastAsia="zh-CN"/>
        </w:rPr>
      </w:pPr>
    </w:p>
    <w:p w14:paraId="1B6326CF">
      <w:pPr>
        <w:keepNext/>
        <w:keepLines/>
        <w:spacing w:before="120" w:after="120"/>
        <w:jc w:val="center"/>
        <w:outlineLvl w:val="2"/>
        <w:rPr>
          <w:rFonts w:hint="eastAsia" w:ascii="黑体" w:hAnsi="宋体" w:eastAsia="黑体"/>
          <w:bCs/>
          <w:kern w:val="2"/>
          <w:szCs w:val="32"/>
        </w:rPr>
      </w:pPr>
      <w:r>
        <w:rPr>
          <w:rFonts w:hint="eastAsia" w:ascii="黑体" w:hAnsi="宋体" w:eastAsia="黑体"/>
          <w:bCs/>
          <w:kern w:val="2"/>
          <w:szCs w:val="32"/>
          <w:lang w:eastAsia="zh-CN"/>
        </w:rPr>
        <w:t>四</w:t>
      </w:r>
      <w:r>
        <w:rPr>
          <w:rFonts w:hint="eastAsia" w:ascii="黑体" w:hAnsi="宋体" w:eastAsia="黑体"/>
          <w:bCs/>
          <w:kern w:val="2"/>
          <w:szCs w:val="32"/>
        </w:rPr>
        <w:t>、供应商基本情况表</w:t>
      </w:r>
    </w:p>
    <w:p w14:paraId="2F6B4EE6">
      <w:pPr>
        <w:widowControl w:val="0"/>
        <w:spacing w:line="360" w:lineRule="auto"/>
        <w:ind w:firstLine="422" w:firstLineChars="200"/>
        <w:jc w:val="both"/>
        <w:rPr>
          <w:rFonts w:ascii="宋体" w:hAnsi="宋体" w:eastAsia="宋体"/>
          <w:b/>
          <w:bCs/>
          <w:color w:val="000000"/>
          <w:kern w:val="2"/>
          <w:sz w:val="21"/>
          <w:szCs w:val="21"/>
          <w:lang w:eastAsia="zh-CN"/>
        </w:rPr>
      </w:pPr>
      <w:r>
        <w:rPr>
          <w:rFonts w:hint="eastAsia" w:ascii="宋体" w:hAnsi="宋体" w:eastAsia="宋体"/>
          <w:b/>
          <w:bCs/>
          <w:color w:val="000000"/>
          <w:kern w:val="2"/>
          <w:sz w:val="21"/>
          <w:szCs w:val="21"/>
          <w:lang w:eastAsia="zh-CN"/>
        </w:rPr>
        <w:t xml:space="preserve">填表单位： </w:t>
      </w:r>
      <w:r>
        <w:rPr>
          <w:rFonts w:hint="eastAsia" w:ascii="宋体" w:hAnsi="宋体" w:eastAsia="宋体"/>
          <w:b/>
          <w:bCs/>
          <w:color w:val="000000"/>
          <w:kern w:val="2"/>
          <w:sz w:val="21"/>
          <w:szCs w:val="21"/>
          <w:lang w:eastAsia="zh-CN"/>
        </w:rPr>
        <w:tab/>
      </w:r>
      <w:r>
        <w:rPr>
          <w:rFonts w:hint="eastAsia" w:ascii="宋体" w:hAnsi="宋体" w:eastAsia="宋体"/>
          <w:b/>
          <w:bCs/>
          <w:color w:val="000000"/>
          <w:kern w:val="2"/>
          <w:sz w:val="21"/>
          <w:szCs w:val="21"/>
          <w:lang w:eastAsia="zh-CN"/>
        </w:rPr>
        <w:tab/>
      </w:r>
      <w:r>
        <w:rPr>
          <w:rFonts w:hint="eastAsia" w:ascii="宋体" w:hAnsi="宋体" w:eastAsia="宋体"/>
          <w:b/>
          <w:bCs/>
          <w:color w:val="000000"/>
          <w:kern w:val="2"/>
          <w:sz w:val="21"/>
          <w:szCs w:val="21"/>
          <w:lang w:eastAsia="zh-CN"/>
        </w:rPr>
        <w:t xml:space="preserve">                   填表日期：    年   月   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14:paraId="471C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tcBorders>
              <w:top w:val="single" w:color="auto" w:sz="4" w:space="0"/>
              <w:left w:val="single" w:color="auto" w:sz="4" w:space="0"/>
              <w:bottom w:val="single" w:color="auto" w:sz="4" w:space="0"/>
              <w:right w:val="single" w:color="auto" w:sz="4" w:space="0"/>
            </w:tcBorders>
            <w:noWrap w:val="0"/>
            <w:vAlign w:val="center"/>
          </w:tcPr>
          <w:p w14:paraId="39D908EE">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14:paraId="38209141">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3DEC3F">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项目名称</w:t>
            </w:r>
          </w:p>
        </w:tc>
        <w:tc>
          <w:tcPr>
            <w:tcW w:w="2985" w:type="dxa"/>
            <w:gridSpan w:val="2"/>
            <w:tcBorders>
              <w:top w:val="single" w:color="auto" w:sz="4" w:space="0"/>
              <w:left w:val="single" w:color="auto" w:sz="4" w:space="0"/>
              <w:bottom w:val="single" w:color="auto" w:sz="4" w:space="0"/>
              <w:right w:val="single" w:color="auto" w:sz="4" w:space="0"/>
            </w:tcBorders>
            <w:noWrap w:val="0"/>
            <w:vAlign w:val="center"/>
          </w:tcPr>
          <w:p w14:paraId="25A54061">
            <w:pPr>
              <w:widowControl w:val="0"/>
              <w:spacing w:line="360" w:lineRule="auto"/>
              <w:ind w:firstLine="420" w:firstLineChars="200"/>
              <w:jc w:val="both"/>
              <w:rPr>
                <w:rFonts w:ascii="宋体" w:hAnsi="宋体" w:eastAsia="宋体"/>
                <w:color w:val="000000"/>
                <w:sz w:val="21"/>
                <w:szCs w:val="21"/>
                <w:lang w:eastAsia="zh-CN"/>
              </w:rPr>
            </w:pPr>
          </w:p>
        </w:tc>
      </w:tr>
      <w:tr w14:paraId="0DD4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tcBorders>
              <w:top w:val="single" w:color="auto" w:sz="4" w:space="0"/>
              <w:left w:val="single" w:color="auto" w:sz="4" w:space="0"/>
              <w:bottom w:val="single" w:color="auto" w:sz="4" w:space="0"/>
              <w:right w:val="single" w:color="auto" w:sz="4" w:space="0"/>
            </w:tcBorders>
            <w:noWrap w:val="0"/>
            <w:vAlign w:val="center"/>
          </w:tcPr>
          <w:p w14:paraId="3509F8D2">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14:paraId="208A8692">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9F0C15B">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cBorders>
            <w:noWrap w:val="0"/>
            <w:vAlign w:val="center"/>
          </w:tcPr>
          <w:p w14:paraId="5F70772A">
            <w:pPr>
              <w:widowControl w:val="0"/>
              <w:spacing w:line="360" w:lineRule="auto"/>
              <w:ind w:firstLine="420" w:firstLineChars="200"/>
              <w:jc w:val="both"/>
              <w:rPr>
                <w:rFonts w:ascii="宋体" w:hAnsi="宋体" w:eastAsia="宋体"/>
                <w:color w:val="000000"/>
                <w:sz w:val="21"/>
                <w:szCs w:val="21"/>
                <w:lang w:eastAsia="zh-CN"/>
              </w:rPr>
            </w:pPr>
          </w:p>
        </w:tc>
      </w:tr>
      <w:tr w14:paraId="1F62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3B391B0">
            <w:pPr>
              <w:widowControl w:val="0"/>
              <w:spacing w:line="360" w:lineRule="auto"/>
              <w:ind w:firstLine="422" w:firstLineChars="200"/>
              <w:jc w:val="both"/>
              <w:rPr>
                <w:rFonts w:ascii="宋体" w:hAnsi="宋体" w:eastAsia="宋体"/>
                <w:color w:val="000000"/>
                <w:sz w:val="21"/>
                <w:szCs w:val="21"/>
                <w:lang w:eastAsia="zh-CN"/>
              </w:rPr>
            </w:pPr>
            <w:r>
              <w:rPr>
                <w:rFonts w:hint="eastAsia" w:ascii="宋体" w:hAnsi="宋体" w:eastAsia="宋体"/>
                <w:b/>
                <w:bCs/>
                <w:color w:val="000000"/>
                <w:sz w:val="21"/>
                <w:szCs w:val="21"/>
                <w:lang w:eastAsia="zh-CN"/>
              </w:rPr>
              <w:t>投标（响应）供应商相关人员情况</w:t>
            </w:r>
          </w:p>
        </w:tc>
      </w:tr>
      <w:tr w14:paraId="63D3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C6C445">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序号</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8D36B81">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职务</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B936E83">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姓名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821DA4C">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身份证号码</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3C71B16">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劳动合同</w:t>
            </w:r>
          </w:p>
          <w:p w14:paraId="239431B5">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关系单位</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F03777C">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缴纳社会保险单位</w:t>
            </w:r>
          </w:p>
        </w:tc>
      </w:tr>
      <w:tr w14:paraId="0056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32E7358">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1</w:t>
            </w:r>
          </w:p>
        </w:tc>
        <w:tc>
          <w:tcPr>
            <w:tcW w:w="2282" w:type="dxa"/>
            <w:gridSpan w:val="2"/>
            <w:tcBorders>
              <w:top w:val="single" w:color="auto" w:sz="4" w:space="0"/>
              <w:left w:val="nil"/>
              <w:bottom w:val="single" w:color="auto" w:sz="4" w:space="0"/>
              <w:right w:val="single" w:color="auto" w:sz="4" w:space="0"/>
            </w:tcBorders>
            <w:noWrap w:val="0"/>
            <w:vAlign w:val="center"/>
          </w:tcPr>
          <w:p w14:paraId="46C53416">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法定代表人/单位负责人/主要经营负责人</w:t>
            </w:r>
          </w:p>
        </w:tc>
        <w:tc>
          <w:tcPr>
            <w:tcW w:w="947" w:type="dxa"/>
            <w:tcBorders>
              <w:top w:val="single" w:color="auto" w:sz="4" w:space="0"/>
              <w:left w:val="nil"/>
              <w:bottom w:val="single" w:color="auto" w:sz="4" w:space="0"/>
              <w:right w:val="single" w:color="auto" w:sz="4" w:space="0"/>
            </w:tcBorders>
            <w:noWrap w:val="0"/>
            <w:vAlign w:val="center"/>
          </w:tcPr>
          <w:p w14:paraId="5E7109CC">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nil"/>
              <w:bottom w:val="single" w:color="auto" w:sz="4" w:space="0"/>
              <w:right w:val="single" w:color="auto" w:sz="4" w:space="0"/>
            </w:tcBorders>
            <w:noWrap w:val="0"/>
            <w:vAlign w:val="center"/>
          </w:tcPr>
          <w:p w14:paraId="2D9D441B">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FDBBD91">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nil"/>
              <w:bottom w:val="single" w:color="auto" w:sz="4" w:space="0"/>
              <w:right w:val="single" w:color="auto" w:sz="4" w:space="0"/>
            </w:tcBorders>
            <w:noWrap w:val="0"/>
            <w:vAlign w:val="center"/>
          </w:tcPr>
          <w:p w14:paraId="32564539">
            <w:pPr>
              <w:widowControl w:val="0"/>
              <w:spacing w:line="360" w:lineRule="auto"/>
              <w:ind w:firstLine="420" w:firstLineChars="200"/>
              <w:jc w:val="both"/>
              <w:rPr>
                <w:rFonts w:ascii="宋体" w:hAnsi="宋体" w:eastAsia="宋体"/>
                <w:color w:val="000000"/>
                <w:sz w:val="21"/>
                <w:szCs w:val="21"/>
                <w:lang w:eastAsia="zh-CN"/>
              </w:rPr>
            </w:pPr>
          </w:p>
        </w:tc>
      </w:tr>
      <w:tr w14:paraId="0A69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CF1369D">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2</w:t>
            </w:r>
          </w:p>
        </w:tc>
        <w:tc>
          <w:tcPr>
            <w:tcW w:w="2282" w:type="dxa"/>
            <w:gridSpan w:val="2"/>
            <w:tcBorders>
              <w:top w:val="single" w:color="auto" w:sz="4" w:space="0"/>
              <w:left w:val="nil"/>
              <w:bottom w:val="single" w:color="auto" w:sz="4" w:space="0"/>
              <w:right w:val="single" w:color="auto" w:sz="4" w:space="0"/>
            </w:tcBorders>
            <w:noWrap w:val="0"/>
            <w:vAlign w:val="center"/>
          </w:tcPr>
          <w:p w14:paraId="3C02DC61">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项目投标授权代表人</w:t>
            </w:r>
          </w:p>
        </w:tc>
        <w:tc>
          <w:tcPr>
            <w:tcW w:w="947" w:type="dxa"/>
            <w:tcBorders>
              <w:top w:val="single" w:color="auto" w:sz="4" w:space="0"/>
              <w:left w:val="nil"/>
              <w:bottom w:val="single" w:color="auto" w:sz="4" w:space="0"/>
              <w:right w:val="single" w:color="auto" w:sz="4" w:space="0"/>
            </w:tcBorders>
            <w:noWrap w:val="0"/>
            <w:vAlign w:val="center"/>
          </w:tcPr>
          <w:p w14:paraId="068AAE95">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nil"/>
              <w:bottom w:val="single" w:color="auto" w:sz="4" w:space="0"/>
              <w:right w:val="single" w:color="auto" w:sz="4" w:space="0"/>
            </w:tcBorders>
            <w:noWrap w:val="0"/>
            <w:vAlign w:val="center"/>
          </w:tcPr>
          <w:p w14:paraId="6DBA2A37">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034C6B3">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nil"/>
              <w:bottom w:val="single" w:color="auto" w:sz="4" w:space="0"/>
              <w:right w:val="single" w:color="auto" w:sz="4" w:space="0"/>
            </w:tcBorders>
            <w:noWrap w:val="0"/>
            <w:vAlign w:val="center"/>
          </w:tcPr>
          <w:p w14:paraId="39DF6000">
            <w:pPr>
              <w:widowControl w:val="0"/>
              <w:spacing w:line="360" w:lineRule="auto"/>
              <w:ind w:firstLine="420" w:firstLineChars="200"/>
              <w:jc w:val="both"/>
              <w:rPr>
                <w:rFonts w:ascii="宋体" w:hAnsi="宋体" w:eastAsia="宋体"/>
                <w:color w:val="000000"/>
                <w:sz w:val="21"/>
                <w:szCs w:val="21"/>
                <w:lang w:eastAsia="zh-CN"/>
              </w:rPr>
            </w:pPr>
          </w:p>
        </w:tc>
      </w:tr>
      <w:tr w14:paraId="27AF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51BE545">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3</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AD906F4">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1725644">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D8EB600">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89ED4D8">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30416A1">
            <w:pPr>
              <w:widowControl w:val="0"/>
              <w:spacing w:line="360" w:lineRule="auto"/>
              <w:ind w:firstLine="420" w:firstLineChars="200"/>
              <w:jc w:val="both"/>
              <w:rPr>
                <w:rFonts w:ascii="宋体" w:hAnsi="宋体" w:eastAsia="宋体"/>
                <w:color w:val="000000"/>
                <w:sz w:val="21"/>
                <w:szCs w:val="21"/>
                <w:lang w:eastAsia="zh-CN"/>
              </w:rPr>
            </w:pPr>
          </w:p>
        </w:tc>
      </w:tr>
      <w:tr w14:paraId="566B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883B170">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4</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5D3B045">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主要技术人员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81F7E09">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EE13EC9">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BA561BB">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3F4B139">
            <w:pPr>
              <w:widowControl w:val="0"/>
              <w:spacing w:line="360" w:lineRule="auto"/>
              <w:ind w:firstLine="420" w:firstLineChars="200"/>
              <w:jc w:val="both"/>
              <w:rPr>
                <w:rFonts w:ascii="宋体" w:hAnsi="宋体" w:eastAsia="宋体"/>
                <w:color w:val="000000"/>
                <w:sz w:val="21"/>
                <w:szCs w:val="21"/>
                <w:lang w:eastAsia="zh-CN"/>
              </w:rPr>
            </w:pPr>
          </w:p>
        </w:tc>
      </w:tr>
      <w:tr w14:paraId="6043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E9E6F40">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5</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21754B2">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投标文件编制人员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35DCBA1">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78CB16">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3BA146F">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9050D59">
            <w:pPr>
              <w:widowControl w:val="0"/>
              <w:spacing w:line="360" w:lineRule="auto"/>
              <w:ind w:firstLine="420" w:firstLineChars="200"/>
              <w:jc w:val="both"/>
              <w:rPr>
                <w:rFonts w:ascii="宋体" w:hAnsi="宋体" w:eastAsia="宋体"/>
                <w:color w:val="000000"/>
                <w:sz w:val="21"/>
                <w:szCs w:val="21"/>
                <w:lang w:eastAsia="zh-CN"/>
              </w:rPr>
            </w:pPr>
          </w:p>
        </w:tc>
      </w:tr>
      <w:tr w14:paraId="74A4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D56CD34">
            <w:pPr>
              <w:widowControl w:val="0"/>
              <w:spacing w:line="360" w:lineRule="auto"/>
              <w:ind w:firstLine="422" w:firstLineChars="200"/>
              <w:jc w:val="both"/>
              <w:rPr>
                <w:rFonts w:ascii="宋体" w:hAnsi="宋体" w:eastAsia="宋体"/>
                <w:color w:val="000000"/>
                <w:sz w:val="21"/>
                <w:szCs w:val="21"/>
                <w:lang w:eastAsia="zh-CN"/>
              </w:rPr>
            </w:pPr>
            <w:r>
              <w:rPr>
                <w:rFonts w:hint="eastAsia" w:ascii="宋体" w:hAnsi="宋体" w:eastAsia="宋体"/>
                <w:b/>
                <w:bCs/>
                <w:color w:val="000000"/>
                <w:sz w:val="21"/>
                <w:szCs w:val="21"/>
                <w:lang w:eastAsia="zh-CN"/>
              </w:rPr>
              <w:t>说明：同一职务有多人担任（如主要技术人员），应分行填写。</w:t>
            </w:r>
          </w:p>
        </w:tc>
      </w:tr>
      <w:tr w14:paraId="54DC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B0B030F">
            <w:pPr>
              <w:widowControl w:val="0"/>
              <w:spacing w:line="360" w:lineRule="auto"/>
              <w:ind w:firstLine="422" w:firstLineChars="200"/>
              <w:jc w:val="both"/>
              <w:rPr>
                <w:rFonts w:ascii="宋体" w:hAnsi="宋体" w:eastAsia="宋体"/>
                <w:b/>
                <w:bCs/>
                <w:color w:val="000000"/>
                <w:sz w:val="21"/>
                <w:szCs w:val="21"/>
                <w:lang w:eastAsia="zh-CN"/>
              </w:rPr>
            </w:pPr>
            <w:r>
              <w:rPr>
                <w:rFonts w:hint="eastAsia" w:ascii="宋体" w:hAnsi="宋体" w:eastAsia="宋体"/>
                <w:b/>
                <w:bCs/>
                <w:color w:val="000000"/>
                <w:sz w:val="21"/>
                <w:szCs w:val="21"/>
                <w:lang w:eastAsia="zh-CN"/>
              </w:rPr>
              <w:t>投标（响应）供应商关联关系情况</w:t>
            </w:r>
          </w:p>
        </w:tc>
      </w:tr>
      <w:tr w14:paraId="49C9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41CF3AC">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序号</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68D006D">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关联关系类型</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A125814">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关联主体名称</w:t>
            </w: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C4E3735">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备注</w:t>
            </w:r>
          </w:p>
        </w:tc>
      </w:tr>
      <w:tr w14:paraId="062C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901B3A4">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1</w:t>
            </w:r>
          </w:p>
        </w:tc>
        <w:tc>
          <w:tcPr>
            <w:tcW w:w="2282" w:type="dxa"/>
            <w:gridSpan w:val="2"/>
            <w:tcBorders>
              <w:top w:val="single" w:color="auto" w:sz="4" w:space="0"/>
              <w:left w:val="nil"/>
              <w:bottom w:val="single" w:color="auto" w:sz="4" w:space="0"/>
              <w:right w:val="single" w:color="auto" w:sz="4" w:space="0"/>
            </w:tcBorders>
            <w:noWrap w:val="0"/>
            <w:vAlign w:val="center"/>
          </w:tcPr>
          <w:p w14:paraId="37DB91A4">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控股股东</w:t>
            </w:r>
          </w:p>
        </w:tc>
        <w:tc>
          <w:tcPr>
            <w:tcW w:w="1738" w:type="dxa"/>
            <w:gridSpan w:val="2"/>
            <w:tcBorders>
              <w:top w:val="single" w:color="auto" w:sz="4" w:space="0"/>
              <w:left w:val="nil"/>
              <w:bottom w:val="single" w:color="auto" w:sz="4" w:space="0"/>
              <w:right w:val="single" w:color="auto" w:sz="4" w:space="0"/>
            </w:tcBorders>
            <w:noWrap w:val="0"/>
            <w:vAlign w:val="center"/>
          </w:tcPr>
          <w:p w14:paraId="099D190A">
            <w:pPr>
              <w:widowControl w:val="0"/>
              <w:spacing w:line="360" w:lineRule="auto"/>
              <w:ind w:firstLine="420" w:firstLineChars="200"/>
              <w:jc w:val="both"/>
              <w:rPr>
                <w:rFonts w:ascii="宋体" w:hAnsi="宋体" w:eastAsia="宋体"/>
                <w:color w:val="000000"/>
                <w:sz w:val="21"/>
                <w:szCs w:val="21"/>
                <w:lang w:eastAsia="zh-CN"/>
              </w:rPr>
            </w:pPr>
          </w:p>
        </w:tc>
        <w:tc>
          <w:tcPr>
            <w:tcW w:w="4185" w:type="dxa"/>
            <w:gridSpan w:val="3"/>
            <w:tcBorders>
              <w:top w:val="single" w:color="auto" w:sz="4" w:space="0"/>
              <w:left w:val="nil"/>
              <w:bottom w:val="single" w:color="auto" w:sz="4" w:space="0"/>
              <w:right w:val="single" w:color="auto" w:sz="4" w:space="0"/>
            </w:tcBorders>
            <w:noWrap w:val="0"/>
            <w:vAlign w:val="center"/>
          </w:tcPr>
          <w:p w14:paraId="4BAC0D92">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9FF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13B86EB">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2</w:t>
            </w:r>
          </w:p>
        </w:tc>
        <w:tc>
          <w:tcPr>
            <w:tcW w:w="2282" w:type="dxa"/>
            <w:gridSpan w:val="2"/>
            <w:tcBorders>
              <w:top w:val="single" w:color="auto" w:sz="4" w:space="0"/>
              <w:left w:val="nil"/>
              <w:bottom w:val="single" w:color="auto" w:sz="4" w:space="0"/>
              <w:right w:val="single" w:color="auto" w:sz="4" w:space="0"/>
            </w:tcBorders>
            <w:noWrap w:val="0"/>
            <w:vAlign w:val="center"/>
          </w:tcPr>
          <w:p w14:paraId="5A04AE4F">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管理关系</w:t>
            </w:r>
          </w:p>
        </w:tc>
        <w:tc>
          <w:tcPr>
            <w:tcW w:w="1738" w:type="dxa"/>
            <w:gridSpan w:val="2"/>
            <w:tcBorders>
              <w:top w:val="single" w:color="auto" w:sz="4" w:space="0"/>
              <w:left w:val="nil"/>
              <w:bottom w:val="single" w:color="auto" w:sz="4" w:space="0"/>
              <w:right w:val="single" w:color="auto" w:sz="4" w:space="0"/>
            </w:tcBorders>
            <w:noWrap w:val="0"/>
            <w:vAlign w:val="center"/>
          </w:tcPr>
          <w:p w14:paraId="021EDED9">
            <w:pPr>
              <w:widowControl w:val="0"/>
              <w:spacing w:line="360" w:lineRule="auto"/>
              <w:ind w:firstLine="420" w:firstLineChars="200"/>
              <w:jc w:val="both"/>
              <w:rPr>
                <w:rFonts w:ascii="宋体" w:hAnsi="宋体" w:eastAsia="宋体"/>
                <w:color w:val="000000"/>
                <w:sz w:val="21"/>
                <w:szCs w:val="21"/>
                <w:lang w:eastAsia="zh-CN"/>
              </w:rPr>
            </w:pPr>
          </w:p>
        </w:tc>
        <w:tc>
          <w:tcPr>
            <w:tcW w:w="4185" w:type="dxa"/>
            <w:gridSpan w:val="3"/>
            <w:tcBorders>
              <w:top w:val="single" w:color="auto" w:sz="4" w:space="0"/>
              <w:left w:val="nil"/>
              <w:bottom w:val="single" w:color="auto" w:sz="4" w:space="0"/>
              <w:right w:val="single" w:color="auto" w:sz="4" w:space="0"/>
            </w:tcBorders>
            <w:noWrap w:val="0"/>
            <w:vAlign w:val="center"/>
          </w:tcPr>
          <w:p w14:paraId="51BD20A3">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指对投标（响应）供应商不具有出资持股关系，但对其存在管理关系的主体。</w:t>
            </w:r>
          </w:p>
        </w:tc>
      </w:tr>
      <w:tr w14:paraId="250A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082A0668">
            <w:pPr>
              <w:widowControl w:val="0"/>
              <w:spacing w:line="360" w:lineRule="auto"/>
              <w:ind w:firstLine="422" w:firstLineChars="200"/>
              <w:jc w:val="both"/>
              <w:rPr>
                <w:rFonts w:ascii="宋体" w:hAnsi="宋体" w:eastAsia="宋体"/>
                <w:color w:val="FF0000"/>
                <w:sz w:val="21"/>
                <w:szCs w:val="21"/>
                <w:lang w:eastAsia="zh-CN"/>
              </w:rPr>
            </w:pPr>
            <w:r>
              <w:rPr>
                <w:rFonts w:hint="eastAsia" w:ascii="宋体" w:hAnsi="宋体" w:eastAsia="宋体"/>
                <w:b/>
                <w:bCs/>
                <w:color w:val="000000"/>
                <w:sz w:val="21"/>
                <w:szCs w:val="21"/>
                <w:lang w:eastAsia="zh-CN"/>
              </w:rPr>
              <w:t>说明：同一关联关系类型有多个主体的，应分行填写。</w:t>
            </w:r>
          </w:p>
        </w:tc>
      </w:tr>
    </w:tbl>
    <w:p w14:paraId="6F5E712E">
      <w:pPr>
        <w:rPr>
          <w:rFonts w:ascii="黑体" w:hAnsi="黑体" w:eastAsia="黑体"/>
          <w:sz w:val="28"/>
          <w:szCs w:val="28"/>
        </w:rPr>
      </w:pPr>
      <w:r>
        <w:rPr>
          <w:rFonts w:hint="eastAsia" w:ascii="宋体" w:hAnsi="宋体" w:eastAsia="宋体"/>
          <w:b/>
          <w:bCs/>
          <w:color w:val="FF0000"/>
          <w:kern w:val="2"/>
          <w:sz w:val="21"/>
          <w:szCs w:val="21"/>
          <w:lang w:eastAsia="zh-CN"/>
        </w:rPr>
        <w:t xml:space="preserve">  注：需附上相关人员社保 （近3个月内的任意一个月社保缴交凭证证明，若为退休人员，提供退休证明（退休证/承诺函等））</w:t>
      </w:r>
    </w:p>
    <w:p w14:paraId="1D18E5F8">
      <w:pPr>
        <w:widowControl w:val="0"/>
        <w:spacing w:line="360" w:lineRule="auto"/>
        <w:ind w:firstLine="211" w:firstLineChars="100"/>
        <w:jc w:val="both"/>
        <w:rPr>
          <w:rFonts w:ascii="Calibri" w:hAnsi="Calibri" w:eastAsia="宋体"/>
          <w:b/>
          <w:bCs/>
          <w:color w:val="FF0000"/>
          <w:kern w:val="2"/>
          <w:sz w:val="21"/>
          <w:szCs w:val="21"/>
          <w:lang w:eastAsia="zh-CN"/>
        </w:rPr>
      </w:pPr>
      <w:r>
        <w:rPr>
          <w:rFonts w:hint="eastAsia" w:ascii="宋体" w:hAnsi="宋体" w:eastAsia="宋体"/>
          <w:b/>
          <w:bCs/>
          <w:color w:val="FF0000"/>
          <w:kern w:val="2"/>
          <w:sz w:val="21"/>
          <w:szCs w:val="21"/>
          <w:lang w:eastAsia="zh-CN"/>
        </w:rPr>
        <w:t>注：非本单位缴纳社保亦需附上；</w:t>
      </w:r>
    </w:p>
    <w:p w14:paraId="34CCA29A">
      <w:pPr>
        <w:keepNext/>
        <w:keepLines/>
        <w:spacing w:before="120" w:after="120"/>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五、分项报价清单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343"/>
        <w:gridCol w:w="1673"/>
      </w:tblGrid>
      <w:tr w14:paraId="1922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6" w:type="dxa"/>
            <w:vAlign w:val="center"/>
          </w:tcPr>
          <w:p w14:paraId="1707C405">
            <w:pPr>
              <w:widowControl w:val="0"/>
              <w:spacing w:line="360" w:lineRule="auto"/>
              <w:jc w:val="center"/>
              <w:rPr>
                <w:rFonts w:hAnsi="宋体"/>
                <w:b/>
                <w:bCs/>
              </w:rPr>
            </w:pPr>
            <w:r>
              <w:rPr>
                <w:rFonts w:hint="eastAsia" w:hAnsi="宋体" w:eastAsia="宋体"/>
                <w:b/>
                <w:bCs/>
              </w:rPr>
              <w:t>序号</w:t>
            </w:r>
          </w:p>
        </w:tc>
        <w:tc>
          <w:tcPr>
            <w:tcW w:w="6088" w:type="dxa"/>
            <w:vAlign w:val="center"/>
          </w:tcPr>
          <w:p w14:paraId="49F837C2">
            <w:pPr>
              <w:widowControl w:val="0"/>
              <w:spacing w:line="360" w:lineRule="auto"/>
              <w:jc w:val="center"/>
              <w:rPr>
                <w:rFonts w:hAnsi="宋体"/>
                <w:b/>
                <w:bCs/>
              </w:rPr>
            </w:pPr>
            <w:r>
              <w:rPr>
                <w:rFonts w:hint="eastAsia" w:hAnsi="宋体" w:eastAsia="宋体"/>
                <w:b/>
                <w:bCs/>
              </w:rPr>
              <w:t>项目名称</w:t>
            </w:r>
          </w:p>
        </w:tc>
        <w:tc>
          <w:tcPr>
            <w:tcW w:w="1606" w:type="dxa"/>
            <w:vAlign w:val="center"/>
          </w:tcPr>
          <w:p w14:paraId="448F3803">
            <w:pPr>
              <w:widowControl w:val="0"/>
              <w:spacing w:line="360" w:lineRule="auto"/>
              <w:jc w:val="center"/>
              <w:rPr>
                <w:rFonts w:hAnsi="宋体"/>
                <w:b/>
                <w:bCs/>
              </w:rPr>
            </w:pPr>
            <w:r>
              <w:rPr>
                <w:rFonts w:hint="eastAsia" w:hAnsi="宋体" w:eastAsia="宋体"/>
                <w:b/>
                <w:bCs/>
              </w:rPr>
              <w:t>报价折扣率</w:t>
            </w:r>
          </w:p>
        </w:tc>
      </w:tr>
      <w:tr w14:paraId="28FA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6" w:type="dxa"/>
            <w:vAlign w:val="center"/>
          </w:tcPr>
          <w:p w14:paraId="7D2253D8">
            <w:pPr>
              <w:widowControl w:val="0"/>
              <w:spacing w:line="360" w:lineRule="auto"/>
              <w:jc w:val="center"/>
              <w:rPr>
                <w:rFonts w:hAnsi="宋体"/>
              </w:rPr>
            </w:pPr>
            <w:r>
              <w:rPr>
                <w:rFonts w:hint="eastAsia" w:hAnsi="宋体" w:eastAsia="宋体"/>
              </w:rPr>
              <w:t>1</w:t>
            </w:r>
          </w:p>
        </w:tc>
        <w:tc>
          <w:tcPr>
            <w:tcW w:w="6088" w:type="dxa"/>
            <w:vAlign w:val="center"/>
          </w:tcPr>
          <w:p w14:paraId="26369C45">
            <w:pPr>
              <w:widowControl w:val="0"/>
              <w:spacing w:line="360" w:lineRule="auto"/>
              <w:jc w:val="center"/>
              <w:rPr>
                <w:rFonts w:hAnsi="宋体" w:eastAsia="宋体"/>
              </w:rPr>
            </w:pPr>
            <w:r>
              <w:rPr>
                <w:rFonts w:hint="eastAsia" w:hAnsi="宋体" w:eastAsia="宋体"/>
              </w:rPr>
              <w:t>深圳市龙华高级中学教育集团（大浪校区）学生食材配送服务</w:t>
            </w:r>
          </w:p>
        </w:tc>
        <w:tc>
          <w:tcPr>
            <w:tcW w:w="1606" w:type="dxa"/>
            <w:vAlign w:val="center"/>
          </w:tcPr>
          <w:p w14:paraId="21A7939B">
            <w:pPr>
              <w:widowControl w:val="0"/>
              <w:spacing w:line="360" w:lineRule="auto"/>
              <w:jc w:val="center"/>
              <w:rPr>
                <w:rFonts w:hAnsi="宋体" w:eastAsia="宋体"/>
              </w:rPr>
            </w:pPr>
          </w:p>
        </w:tc>
      </w:tr>
    </w:tbl>
    <w:p w14:paraId="36C44EA4">
      <w:pPr>
        <w:widowControl w:val="0"/>
        <w:spacing w:line="360" w:lineRule="auto"/>
        <w:jc w:val="both"/>
        <w:rPr>
          <w:rFonts w:ascii="宋体" w:hAnsi="宋体"/>
          <w:color w:val="FF0000"/>
          <w:sz w:val="21"/>
          <w:szCs w:val="21"/>
        </w:rPr>
      </w:pPr>
      <w:r>
        <w:rPr>
          <w:rFonts w:hint="eastAsia" w:ascii="宋体" w:hAnsi="宋体"/>
          <w:color w:val="FF0000"/>
          <w:sz w:val="21"/>
          <w:szCs w:val="21"/>
        </w:rPr>
        <w:t>注：“折扣率”填写要求</w:t>
      </w:r>
    </w:p>
    <w:p w14:paraId="175C286B">
      <w:pPr>
        <w:widowControl/>
        <w:wordWrap w:val="0"/>
        <w:autoSpaceDE w:val="0"/>
        <w:autoSpaceDN w:val="0"/>
        <w:spacing w:line="400" w:lineRule="exact"/>
        <w:ind w:right="808" w:firstLine="420" w:firstLineChars="200"/>
        <w:jc w:val="both"/>
        <w:rPr>
          <w:rFonts w:hint="eastAsia" w:ascii="宋体" w:hAnsi="宋体" w:eastAsia="宋体" w:cs="宋体"/>
          <w:color w:val="FF0000"/>
          <w:kern w:val="2"/>
          <w:sz w:val="21"/>
          <w:lang w:eastAsia="zh-CN"/>
        </w:rPr>
      </w:pPr>
      <w:r>
        <w:rPr>
          <w:rFonts w:hint="eastAsia" w:ascii="宋体" w:hAnsi="宋体" w:eastAsia="宋体" w:cs="宋体"/>
          <w:color w:val="FF0000"/>
          <w:kern w:val="2"/>
          <w:sz w:val="21"/>
          <w:lang w:eastAsia="zh-CN"/>
        </w:rPr>
        <w:t>（1）填写要求： 0%＜折扣率≤100%，未按此要求填写将作废标处理。</w:t>
      </w:r>
    </w:p>
    <w:p w14:paraId="40F5845F">
      <w:pPr>
        <w:widowControl/>
        <w:wordWrap w:val="0"/>
        <w:autoSpaceDE w:val="0"/>
        <w:autoSpaceDN w:val="0"/>
        <w:spacing w:line="400" w:lineRule="exact"/>
        <w:ind w:right="808" w:firstLine="420" w:firstLineChars="200"/>
        <w:jc w:val="both"/>
        <w:rPr>
          <w:rFonts w:hint="eastAsia" w:ascii="宋体" w:hAnsi="宋体" w:eastAsia="宋体" w:cs="宋体"/>
          <w:color w:val="FF0000"/>
          <w:kern w:val="2"/>
          <w:sz w:val="21"/>
          <w:lang w:eastAsia="zh-CN"/>
        </w:rPr>
      </w:pPr>
      <w:r>
        <w:rPr>
          <w:rFonts w:hint="eastAsia" w:ascii="宋体" w:hAnsi="宋体" w:eastAsia="宋体" w:cs="宋体"/>
          <w:color w:val="FF0000"/>
          <w:kern w:val="2"/>
          <w:sz w:val="21"/>
          <w:lang w:eastAsia="zh-CN"/>
        </w:rPr>
        <w:t>（2）填写的“折扣率”应为百分数，（如：90%、80%、78%）；</w:t>
      </w:r>
    </w:p>
    <w:p w14:paraId="2E2D8FE0">
      <w:pPr>
        <w:widowControl/>
        <w:wordWrap w:val="0"/>
        <w:autoSpaceDE w:val="0"/>
        <w:autoSpaceDN w:val="0"/>
        <w:spacing w:line="400" w:lineRule="exact"/>
        <w:ind w:right="808" w:firstLine="420" w:firstLineChars="200"/>
        <w:jc w:val="both"/>
        <w:rPr>
          <w:rFonts w:hint="eastAsia" w:ascii="宋体" w:hAnsi="宋体" w:eastAsia="宋体" w:cs="宋体"/>
          <w:color w:val="FF0000"/>
          <w:kern w:val="2"/>
          <w:sz w:val="21"/>
          <w:lang w:eastAsia="zh-CN"/>
        </w:rPr>
      </w:pPr>
      <w:r>
        <w:rPr>
          <w:rFonts w:hint="eastAsia" w:ascii="宋体" w:hAnsi="宋体" w:eastAsia="宋体" w:cs="宋体"/>
          <w:color w:val="FF0000"/>
          <w:kern w:val="2"/>
          <w:sz w:val="21"/>
          <w:lang w:eastAsia="zh-CN"/>
        </w:rPr>
        <w:t>（3）投标人参与投标只允许填报一个“折扣率”，不允许填报2个（或以上）的“折扣率”；填报了2个或以上“折扣率”的，其投标将直接作投标无效处理；</w:t>
      </w:r>
    </w:p>
    <w:p w14:paraId="5994F98E">
      <w:pPr>
        <w:widowControl/>
        <w:wordWrap w:val="0"/>
        <w:autoSpaceDE w:val="0"/>
        <w:autoSpaceDN w:val="0"/>
        <w:spacing w:line="400" w:lineRule="exact"/>
        <w:ind w:right="808" w:firstLine="420" w:firstLineChars="200"/>
        <w:jc w:val="both"/>
        <w:rPr>
          <w:rFonts w:hint="eastAsia" w:ascii="宋体" w:hAnsi="宋体" w:eastAsia="宋体" w:cs="宋体"/>
          <w:color w:val="FF0000"/>
          <w:kern w:val="2"/>
          <w:sz w:val="21"/>
          <w:lang w:eastAsia="zh-CN"/>
        </w:rPr>
      </w:pPr>
      <w:r>
        <w:rPr>
          <w:rFonts w:hint="eastAsia" w:ascii="宋体" w:hAnsi="宋体" w:eastAsia="宋体" w:cs="宋体"/>
          <w:color w:val="FF0000"/>
          <w:kern w:val="2"/>
          <w:sz w:val="21"/>
          <w:lang w:eastAsia="zh-CN"/>
        </w:rPr>
        <w:t>（4）“折扣率”缺填、漏填将直接作投标无效处理。</w:t>
      </w:r>
    </w:p>
    <w:p w14:paraId="33229AA3">
      <w:pPr>
        <w:widowControl/>
        <w:wordWrap w:val="0"/>
        <w:autoSpaceDE w:val="0"/>
        <w:autoSpaceDN w:val="0"/>
        <w:spacing w:line="400" w:lineRule="exact"/>
        <w:ind w:right="808" w:firstLine="420" w:firstLineChars="200"/>
        <w:jc w:val="both"/>
        <w:rPr>
          <w:rFonts w:hint="eastAsia" w:eastAsia="宋体"/>
          <w:color w:val="FF0000"/>
          <w:kern w:val="2"/>
          <w:sz w:val="21"/>
          <w:lang w:eastAsia="zh-CN"/>
        </w:rPr>
      </w:pPr>
    </w:p>
    <w:p w14:paraId="42DBCDE5">
      <w:pPr>
        <w:widowControl/>
        <w:wordWrap w:val="0"/>
        <w:autoSpaceDE w:val="0"/>
        <w:autoSpaceDN w:val="0"/>
        <w:spacing w:line="400" w:lineRule="exact"/>
        <w:ind w:right="808" w:firstLine="420" w:firstLineChars="200"/>
        <w:jc w:val="both"/>
        <w:rPr>
          <w:rFonts w:eastAsia="宋体"/>
          <w:kern w:val="2"/>
          <w:sz w:val="21"/>
          <w:lang w:eastAsia="zh-CN"/>
        </w:rPr>
      </w:pPr>
    </w:p>
    <w:p w14:paraId="6D549C26">
      <w:pPr>
        <w:widowControl/>
        <w:wordWrap w:val="0"/>
        <w:autoSpaceDE w:val="0"/>
        <w:autoSpaceDN w:val="0"/>
        <w:spacing w:line="400" w:lineRule="exact"/>
        <w:ind w:right="808" w:firstLine="420" w:firstLineChars="200"/>
        <w:jc w:val="both"/>
        <w:rPr>
          <w:rFonts w:eastAsia="宋体"/>
          <w:kern w:val="2"/>
          <w:sz w:val="21"/>
          <w:lang w:eastAsia="zh-CN"/>
        </w:rPr>
      </w:pPr>
    </w:p>
    <w:p w14:paraId="129EA4A2">
      <w:pPr>
        <w:widowControl/>
        <w:wordWrap w:val="0"/>
        <w:autoSpaceDE w:val="0"/>
        <w:autoSpaceDN w:val="0"/>
        <w:spacing w:line="400" w:lineRule="exact"/>
        <w:ind w:right="808" w:firstLine="420" w:firstLineChars="200"/>
        <w:jc w:val="both"/>
        <w:rPr>
          <w:rFonts w:eastAsia="宋体"/>
          <w:kern w:val="2"/>
          <w:sz w:val="21"/>
          <w:lang w:eastAsia="zh-CN"/>
        </w:rPr>
      </w:pPr>
    </w:p>
    <w:p w14:paraId="5215C6A2">
      <w:pPr>
        <w:widowControl/>
        <w:wordWrap w:val="0"/>
        <w:autoSpaceDE w:val="0"/>
        <w:autoSpaceDN w:val="0"/>
        <w:spacing w:line="400" w:lineRule="exact"/>
        <w:ind w:right="808" w:firstLine="420" w:firstLineChars="200"/>
        <w:jc w:val="both"/>
        <w:rPr>
          <w:rFonts w:eastAsia="宋体"/>
          <w:kern w:val="2"/>
          <w:sz w:val="21"/>
          <w:lang w:eastAsia="zh-CN"/>
        </w:rPr>
      </w:pPr>
    </w:p>
    <w:p w14:paraId="39726091">
      <w:pPr>
        <w:widowControl/>
        <w:wordWrap w:val="0"/>
        <w:autoSpaceDE w:val="0"/>
        <w:autoSpaceDN w:val="0"/>
        <w:spacing w:line="400" w:lineRule="exact"/>
        <w:ind w:right="808" w:firstLine="420" w:firstLineChars="200"/>
        <w:jc w:val="both"/>
        <w:rPr>
          <w:rFonts w:eastAsia="宋体"/>
          <w:kern w:val="2"/>
          <w:sz w:val="21"/>
          <w:lang w:eastAsia="zh-CN"/>
        </w:rPr>
      </w:pPr>
    </w:p>
    <w:p w14:paraId="14BF66F9">
      <w:pPr>
        <w:widowControl/>
        <w:wordWrap w:val="0"/>
        <w:autoSpaceDE w:val="0"/>
        <w:autoSpaceDN w:val="0"/>
        <w:spacing w:line="400" w:lineRule="exact"/>
        <w:ind w:right="808" w:firstLine="420" w:firstLineChars="200"/>
        <w:jc w:val="both"/>
        <w:rPr>
          <w:rFonts w:eastAsia="宋体"/>
          <w:kern w:val="2"/>
          <w:sz w:val="21"/>
          <w:lang w:eastAsia="zh-CN"/>
        </w:rPr>
      </w:pPr>
    </w:p>
    <w:p w14:paraId="4DCB51D3">
      <w:pPr>
        <w:widowControl/>
        <w:wordWrap w:val="0"/>
        <w:autoSpaceDE w:val="0"/>
        <w:autoSpaceDN w:val="0"/>
        <w:spacing w:line="400" w:lineRule="exact"/>
        <w:ind w:right="808" w:firstLine="420" w:firstLineChars="200"/>
        <w:jc w:val="both"/>
        <w:rPr>
          <w:rFonts w:eastAsia="宋体"/>
          <w:kern w:val="2"/>
          <w:sz w:val="21"/>
          <w:lang w:eastAsia="zh-CN"/>
        </w:rPr>
      </w:pPr>
    </w:p>
    <w:p w14:paraId="679F1DC9">
      <w:pPr>
        <w:widowControl/>
        <w:wordWrap w:val="0"/>
        <w:autoSpaceDE w:val="0"/>
        <w:autoSpaceDN w:val="0"/>
        <w:spacing w:line="400" w:lineRule="exact"/>
        <w:ind w:right="808" w:firstLine="420" w:firstLineChars="200"/>
        <w:jc w:val="both"/>
        <w:rPr>
          <w:rFonts w:eastAsia="宋体"/>
          <w:kern w:val="2"/>
          <w:sz w:val="21"/>
          <w:lang w:eastAsia="zh-CN"/>
        </w:rPr>
      </w:pPr>
    </w:p>
    <w:p w14:paraId="3A3331F7">
      <w:pPr>
        <w:widowControl/>
        <w:wordWrap w:val="0"/>
        <w:autoSpaceDE w:val="0"/>
        <w:autoSpaceDN w:val="0"/>
        <w:spacing w:line="400" w:lineRule="exact"/>
        <w:ind w:right="808" w:firstLine="420" w:firstLineChars="200"/>
        <w:jc w:val="both"/>
        <w:rPr>
          <w:rFonts w:eastAsia="宋体"/>
          <w:kern w:val="2"/>
          <w:sz w:val="21"/>
          <w:lang w:eastAsia="zh-CN"/>
        </w:rPr>
      </w:pPr>
    </w:p>
    <w:p w14:paraId="03EE8438">
      <w:pPr>
        <w:widowControl/>
        <w:wordWrap w:val="0"/>
        <w:autoSpaceDE w:val="0"/>
        <w:autoSpaceDN w:val="0"/>
        <w:spacing w:line="400" w:lineRule="exact"/>
        <w:ind w:right="808" w:firstLine="420" w:firstLineChars="200"/>
        <w:jc w:val="both"/>
        <w:rPr>
          <w:rFonts w:eastAsia="宋体"/>
          <w:kern w:val="2"/>
          <w:sz w:val="21"/>
          <w:lang w:eastAsia="zh-CN"/>
        </w:rPr>
      </w:pPr>
    </w:p>
    <w:p w14:paraId="52B06B85">
      <w:pPr>
        <w:widowControl/>
        <w:wordWrap w:val="0"/>
        <w:autoSpaceDE w:val="0"/>
        <w:autoSpaceDN w:val="0"/>
        <w:spacing w:line="400" w:lineRule="exact"/>
        <w:ind w:right="808" w:firstLine="420" w:firstLineChars="200"/>
        <w:jc w:val="both"/>
        <w:rPr>
          <w:rFonts w:eastAsia="宋体"/>
          <w:kern w:val="2"/>
          <w:sz w:val="21"/>
          <w:lang w:eastAsia="zh-CN"/>
        </w:rPr>
      </w:pPr>
    </w:p>
    <w:p w14:paraId="674E2B81">
      <w:pPr>
        <w:widowControl/>
        <w:wordWrap w:val="0"/>
        <w:autoSpaceDE w:val="0"/>
        <w:autoSpaceDN w:val="0"/>
        <w:spacing w:line="400" w:lineRule="exact"/>
        <w:ind w:right="808" w:firstLine="420" w:firstLineChars="200"/>
        <w:jc w:val="both"/>
        <w:rPr>
          <w:rFonts w:eastAsia="宋体"/>
          <w:kern w:val="2"/>
          <w:sz w:val="21"/>
          <w:lang w:eastAsia="zh-CN"/>
        </w:rPr>
      </w:pPr>
    </w:p>
    <w:p w14:paraId="074C8A91">
      <w:pPr>
        <w:widowControl/>
        <w:wordWrap w:val="0"/>
        <w:autoSpaceDE w:val="0"/>
        <w:autoSpaceDN w:val="0"/>
        <w:spacing w:line="400" w:lineRule="exact"/>
        <w:ind w:right="808" w:firstLine="420" w:firstLineChars="200"/>
        <w:jc w:val="both"/>
        <w:rPr>
          <w:rFonts w:eastAsia="宋体"/>
          <w:kern w:val="2"/>
          <w:sz w:val="21"/>
          <w:lang w:eastAsia="zh-CN"/>
        </w:rPr>
      </w:pPr>
    </w:p>
    <w:p w14:paraId="7B87B446">
      <w:pPr>
        <w:widowControl/>
        <w:wordWrap w:val="0"/>
        <w:autoSpaceDE w:val="0"/>
        <w:autoSpaceDN w:val="0"/>
        <w:spacing w:line="400" w:lineRule="exact"/>
        <w:ind w:right="808" w:firstLine="420" w:firstLineChars="200"/>
        <w:jc w:val="both"/>
        <w:rPr>
          <w:rFonts w:eastAsia="宋体"/>
          <w:kern w:val="2"/>
          <w:sz w:val="21"/>
          <w:lang w:eastAsia="zh-CN"/>
        </w:rPr>
      </w:pPr>
    </w:p>
    <w:p w14:paraId="5B8EFA6F">
      <w:pPr>
        <w:widowControl/>
        <w:wordWrap w:val="0"/>
        <w:autoSpaceDE w:val="0"/>
        <w:autoSpaceDN w:val="0"/>
        <w:spacing w:line="400" w:lineRule="exact"/>
        <w:ind w:right="808" w:firstLine="420" w:firstLineChars="200"/>
        <w:jc w:val="both"/>
        <w:rPr>
          <w:rFonts w:eastAsia="宋体"/>
          <w:kern w:val="2"/>
          <w:sz w:val="21"/>
          <w:lang w:eastAsia="zh-CN"/>
        </w:rPr>
      </w:pPr>
    </w:p>
    <w:p w14:paraId="59F67001">
      <w:pPr>
        <w:widowControl/>
        <w:wordWrap w:val="0"/>
        <w:autoSpaceDE w:val="0"/>
        <w:autoSpaceDN w:val="0"/>
        <w:spacing w:line="400" w:lineRule="exact"/>
        <w:ind w:right="808" w:firstLine="420" w:firstLineChars="200"/>
        <w:jc w:val="both"/>
        <w:rPr>
          <w:rFonts w:eastAsia="宋体"/>
          <w:kern w:val="2"/>
          <w:sz w:val="21"/>
          <w:lang w:eastAsia="zh-CN"/>
        </w:rPr>
      </w:pPr>
    </w:p>
    <w:p w14:paraId="0A024680">
      <w:pPr>
        <w:widowControl/>
        <w:wordWrap w:val="0"/>
        <w:autoSpaceDE w:val="0"/>
        <w:autoSpaceDN w:val="0"/>
        <w:spacing w:line="400" w:lineRule="exact"/>
        <w:ind w:right="808" w:firstLine="420" w:firstLineChars="200"/>
        <w:jc w:val="both"/>
        <w:rPr>
          <w:rFonts w:eastAsia="宋体"/>
          <w:kern w:val="2"/>
          <w:sz w:val="21"/>
          <w:lang w:eastAsia="zh-CN"/>
        </w:rPr>
      </w:pPr>
    </w:p>
    <w:p w14:paraId="462E16B6">
      <w:pPr>
        <w:widowControl/>
        <w:wordWrap w:val="0"/>
        <w:autoSpaceDE w:val="0"/>
        <w:autoSpaceDN w:val="0"/>
        <w:spacing w:line="400" w:lineRule="exact"/>
        <w:ind w:right="808" w:firstLine="420" w:firstLineChars="200"/>
        <w:jc w:val="both"/>
        <w:rPr>
          <w:rFonts w:eastAsia="宋体"/>
          <w:kern w:val="2"/>
          <w:sz w:val="21"/>
          <w:lang w:eastAsia="zh-CN"/>
        </w:rPr>
      </w:pPr>
    </w:p>
    <w:p w14:paraId="191C2114">
      <w:pPr>
        <w:widowControl/>
        <w:wordWrap w:val="0"/>
        <w:autoSpaceDE w:val="0"/>
        <w:autoSpaceDN w:val="0"/>
        <w:spacing w:line="400" w:lineRule="exact"/>
        <w:ind w:right="808" w:firstLine="420" w:firstLineChars="200"/>
        <w:jc w:val="both"/>
        <w:rPr>
          <w:rFonts w:eastAsia="宋体"/>
          <w:kern w:val="2"/>
          <w:sz w:val="21"/>
          <w:lang w:eastAsia="zh-CN"/>
        </w:rPr>
      </w:pPr>
    </w:p>
    <w:p w14:paraId="7517F36D">
      <w:pPr>
        <w:widowControl/>
        <w:wordWrap w:val="0"/>
        <w:autoSpaceDE w:val="0"/>
        <w:autoSpaceDN w:val="0"/>
        <w:spacing w:line="400" w:lineRule="exact"/>
        <w:ind w:right="808" w:firstLine="420" w:firstLineChars="200"/>
        <w:jc w:val="both"/>
        <w:rPr>
          <w:rFonts w:eastAsia="宋体"/>
          <w:kern w:val="2"/>
          <w:sz w:val="21"/>
          <w:lang w:eastAsia="zh-CN"/>
        </w:rPr>
      </w:pPr>
    </w:p>
    <w:p w14:paraId="27AE15D1">
      <w:pPr>
        <w:widowControl w:val="0"/>
        <w:kinsoku/>
        <w:overflowPunct/>
        <w:topLinePunct w:val="0"/>
        <w:bidi w:val="0"/>
        <w:spacing w:beforeAutospacing="0" w:afterAutospacing="0" w:line="360" w:lineRule="auto"/>
        <w:ind w:left="0" w:leftChars="0" w:right="0" w:firstLine="0" w:firstLineChars="0"/>
        <w:jc w:val="center"/>
        <w:outlineLvl w:val="2"/>
        <w:rPr>
          <w:rFonts w:hint="eastAsia" w:ascii="宋体" w:hAnsi="宋体" w:eastAsia="宋体" w:cs="宋体"/>
          <w:b/>
          <w:bCs/>
          <w:kern w:val="2"/>
          <w:sz w:val="21"/>
          <w:szCs w:val="22"/>
          <w:lang w:eastAsia="zh-CN"/>
        </w:rPr>
      </w:pPr>
      <w:r>
        <w:rPr>
          <w:rFonts w:hint="eastAsia" w:ascii="宋体" w:hAnsi="宋体" w:eastAsia="宋体" w:cs="宋体"/>
          <w:b/>
          <w:bCs/>
          <w:kern w:val="2"/>
          <w:lang w:eastAsia="zh-CN"/>
        </w:rPr>
        <w:t>六、股东构成审查表</w:t>
      </w:r>
    </w:p>
    <w:p w14:paraId="3F75ADF6">
      <w:pPr>
        <w:rPr>
          <w:rFonts w:hint="eastAsia"/>
          <w:lang w:eastAsia="zh-CN"/>
        </w:rPr>
      </w:pPr>
      <w:r>
        <w:rPr>
          <w:rFonts w:hint="eastAsia"/>
          <w:lang w:eastAsia="zh-CN"/>
        </w:rPr>
        <w:t>1、提供投标人所在地的市场监督管理部门“商事登记簿查询（商事主体登记及备案信息查询）”查询截图或提供国家企业信用信息公示系统截图；</w:t>
      </w:r>
    </w:p>
    <w:p w14:paraId="507D893F">
      <w:pPr>
        <w:rPr>
          <w:rFonts w:hint="eastAsia" w:ascii="宋体" w:hAnsi="宋体" w:eastAsia="宋体" w:cs="宋体"/>
          <w:kern w:val="2"/>
          <w:sz w:val="21"/>
          <w:lang w:eastAsia="zh-CN"/>
        </w:rPr>
      </w:pPr>
      <w:r>
        <w:rPr>
          <w:rFonts w:hint="eastAsia" w:ascii="宋体" w:hAnsi="宋体" w:eastAsia="宋体" w:cs="宋体"/>
          <w:b/>
          <w:bCs/>
          <w:kern w:val="2"/>
          <w:sz w:val="21"/>
          <w:lang w:eastAsia="zh-CN"/>
        </w:rPr>
        <w:t>参考示例1：</w:t>
      </w:r>
      <w:r>
        <w:rPr>
          <w:rFonts w:hint="eastAsia" w:ascii="宋体" w:hAnsi="宋体" w:eastAsia="宋体" w:cs="宋体"/>
          <w:kern w:val="2"/>
          <w:sz w:val="21"/>
          <w:lang w:eastAsia="zh-CN"/>
        </w:rPr>
        <w:t>“深圳市市场监督管理局——商事登记簿查询（商事主体登记及备案信息查询）：</w:t>
      </w:r>
      <w:r>
        <w:fldChar w:fldCharType="begin"/>
      </w:r>
      <w:r>
        <w:instrText xml:space="preserve"> HYPERLINK "https://amr.sz.gov.cn/outer/entSelect/gs.html" </w:instrText>
      </w:r>
      <w:r>
        <w:fldChar w:fldCharType="separate"/>
      </w:r>
      <w:r>
        <w:rPr>
          <w:rFonts w:hint="eastAsia" w:ascii="宋体" w:hAnsi="宋体" w:eastAsia="宋体" w:cs="宋体"/>
          <w:color w:val="0000FF"/>
          <w:kern w:val="2"/>
          <w:sz w:val="21"/>
          <w:u w:val="single"/>
          <w:lang w:eastAsia="zh-CN"/>
        </w:rPr>
        <w:t>https://amr.sz.gov.cn/outer/entSelect/gs.html”。</w:t>
      </w:r>
      <w:r>
        <w:rPr>
          <w:rFonts w:hint="eastAsia" w:ascii="宋体" w:hAnsi="宋体" w:eastAsia="宋体" w:cs="宋体"/>
          <w:color w:val="0000FF"/>
          <w:kern w:val="2"/>
          <w:sz w:val="21"/>
          <w:u w:val="single"/>
          <w:lang w:eastAsia="zh-CN"/>
        </w:rPr>
        <w:fldChar w:fldCharType="end"/>
      </w:r>
    </w:p>
    <w:p w14:paraId="64A8295B">
      <w:pPr>
        <w:widowControl/>
        <w:spacing w:line="360" w:lineRule="auto"/>
        <w:ind w:firstLine="480" w:firstLineChars="200"/>
        <w:jc w:val="left"/>
        <w:rPr>
          <w:rFonts w:ascii="宋体" w:hAnsi="宋体" w:eastAsia="宋体"/>
          <w:bCs/>
          <w:kern w:val="2"/>
          <w:sz w:val="21"/>
          <w:szCs w:val="21"/>
          <w:lang w:eastAsia="zh-CN"/>
        </w:rPr>
      </w:pPr>
      <w:r>
        <w:rPr>
          <w:rFonts w:ascii="宋体" w:hAnsi="宋体" w:eastAsia="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r:embed="rId10"/>
                    <a:stretch>
                      <a:fillRect/>
                    </a:stretch>
                  </pic:blipFill>
                  <pic:spPr>
                    <a:xfrm>
                      <a:off x="0" y="0"/>
                      <a:ext cx="4886325" cy="4972050"/>
                    </a:xfrm>
                    <a:prstGeom prst="rect">
                      <a:avLst/>
                    </a:prstGeom>
                    <a:noFill/>
                    <a:ln w="9525">
                      <a:noFill/>
                      <a:miter lim="800000"/>
                      <a:headEnd/>
                      <a:tailEnd/>
                    </a:ln>
                  </pic:spPr>
                </pic:pic>
              </a:graphicData>
            </a:graphic>
          </wp:inline>
        </w:drawing>
      </w:r>
    </w:p>
    <w:p w14:paraId="23166FD4">
      <w:pPr>
        <w:widowControl/>
        <w:jc w:val="left"/>
        <w:rPr>
          <w:rFonts w:eastAsia="宋体"/>
          <w:lang w:eastAsia="zh-CN"/>
        </w:rPr>
      </w:pPr>
      <w:r>
        <w:rPr>
          <w:rFonts w:ascii="宋体" w:hAnsi="宋体" w:eastAsia="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r:embed="rId11"/>
                    <a:stretch>
                      <a:fillRect/>
                    </a:stretch>
                  </pic:blipFill>
                  <pic:spPr>
                    <a:xfrm>
                      <a:off x="0" y="0"/>
                      <a:ext cx="5267325" cy="2543175"/>
                    </a:xfrm>
                    <a:prstGeom prst="rect">
                      <a:avLst/>
                    </a:prstGeom>
                    <a:noFill/>
                    <a:ln w="9525">
                      <a:noFill/>
                      <a:miter lim="800000"/>
                      <a:headEnd/>
                      <a:tailEnd/>
                    </a:ln>
                  </pic:spPr>
                </pic:pic>
              </a:graphicData>
            </a:graphic>
          </wp:inline>
        </w:drawing>
      </w:r>
    </w:p>
    <w:p w14:paraId="7D1F860F">
      <w:pPr>
        <w:widowControl w:val="0"/>
        <w:spacing w:line="360" w:lineRule="auto"/>
        <w:jc w:val="left"/>
        <w:rPr>
          <w:rFonts w:ascii="宋体" w:hAnsi="宋体" w:eastAsia="宋体" w:cs="宋体"/>
          <w:color w:val="0000FF"/>
          <w:kern w:val="2"/>
          <w:sz w:val="21"/>
          <w:szCs w:val="21"/>
          <w:u w:val="single"/>
          <w:lang w:eastAsia="zh-CN"/>
        </w:rPr>
      </w:pPr>
      <w:r>
        <w:rPr>
          <w:rFonts w:hint="eastAsia" w:ascii="宋体" w:hAnsi="宋体" w:eastAsia="宋体" w:cs="宋体"/>
          <w:b/>
          <w:bCs/>
          <w:kern w:val="2"/>
          <w:sz w:val="21"/>
          <w:szCs w:val="21"/>
          <w:lang w:eastAsia="zh-CN"/>
        </w:rPr>
        <w:t>参考示例2：</w:t>
      </w:r>
      <w:r>
        <w:rPr>
          <w:rFonts w:hint="eastAsia" w:ascii="宋体" w:hAnsi="宋体" w:eastAsia="宋体" w:cs="宋体"/>
          <w:kern w:val="2"/>
          <w:sz w:val="21"/>
          <w:szCs w:val="21"/>
          <w:lang w:eastAsia="zh-CN"/>
        </w:rPr>
        <w:t>提供国家企业信用信息公示系统截图</w:t>
      </w:r>
      <w:r>
        <w:rPr>
          <w:rFonts w:hint="eastAsia" w:ascii="宋体" w:hAnsi="宋体" w:eastAsia="宋体" w:cs="宋体"/>
          <w:b/>
          <w:bCs/>
          <w:color w:val="FF0000"/>
          <w:kern w:val="2"/>
          <w:sz w:val="21"/>
          <w:szCs w:val="21"/>
          <w:lang w:eastAsia="zh-CN"/>
        </w:rPr>
        <w:t>（需体现股东及出资信息）</w:t>
      </w:r>
      <w:r>
        <w:rPr>
          <w:rFonts w:hint="eastAsia" w:ascii="宋体" w:hAnsi="宋体" w:eastAsia="宋体" w:cs="宋体"/>
          <w:kern w:val="2"/>
          <w:sz w:val="21"/>
          <w:szCs w:val="21"/>
          <w:lang w:eastAsia="zh-CN"/>
        </w:rPr>
        <w:t>。网址：</w:t>
      </w:r>
      <w:r>
        <w:fldChar w:fldCharType="begin"/>
      </w:r>
      <w:r>
        <w:instrText xml:space="preserve"> HYPERLINK "https://www.gsxt.gov.cn/corp-query-homepage.html" </w:instrText>
      </w:r>
      <w:r>
        <w:fldChar w:fldCharType="separate"/>
      </w:r>
      <w:r>
        <w:rPr>
          <w:rFonts w:hint="eastAsia" w:ascii="宋体" w:hAnsi="宋体" w:eastAsia="宋体" w:cs="宋体"/>
          <w:color w:val="0000FF"/>
          <w:kern w:val="2"/>
          <w:sz w:val="21"/>
          <w:szCs w:val="21"/>
          <w:u w:val="single"/>
          <w:lang w:eastAsia="zh-CN"/>
        </w:rPr>
        <w:t>https://www.gsxt.gov.cn/corp-query-homepage.html</w:t>
      </w:r>
      <w:r>
        <w:rPr>
          <w:rFonts w:hint="eastAsia" w:ascii="宋体" w:hAnsi="宋体" w:eastAsia="宋体" w:cs="宋体"/>
          <w:color w:val="0000FF"/>
          <w:kern w:val="2"/>
          <w:sz w:val="21"/>
          <w:szCs w:val="21"/>
          <w:u w:val="single"/>
          <w:lang w:eastAsia="zh-CN"/>
        </w:rPr>
        <w:fldChar w:fldCharType="end"/>
      </w:r>
    </w:p>
    <w:p w14:paraId="481683B6">
      <w:pPr>
        <w:widowControl w:val="0"/>
        <w:spacing w:line="360" w:lineRule="auto"/>
        <w:jc w:val="both"/>
        <w:rPr>
          <w:rFonts w:ascii="Calibri" w:hAnsi="Calibri" w:eastAsia="宋体"/>
          <w:b/>
          <w:bCs/>
          <w:kern w:val="2"/>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5471795" cy="4735830"/>
                    </a:xfrm>
                    <a:prstGeom prst="rect">
                      <a:avLst/>
                    </a:prstGeom>
                    <a:noFill/>
                    <a:ln>
                      <a:noFill/>
                    </a:ln>
                  </pic:spPr>
                </pic:pic>
              </a:graphicData>
            </a:graphic>
          </wp:inline>
        </w:drawing>
      </w:r>
    </w:p>
    <w:p w14:paraId="3C867FF7">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color w:val="FF0000"/>
          <w:kern w:val="2"/>
          <w:sz w:val="21"/>
          <w:szCs w:val="22"/>
          <w:highlight w:val="yellow"/>
          <w:lang w:eastAsia="zh-CN"/>
        </w:rPr>
      </w:pPr>
      <w:r>
        <w:rPr>
          <w:rFonts w:hint="eastAsia" w:ascii="宋体" w:hAnsi="宋体" w:eastAsia="宋体" w:cs="宋体"/>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14:paraId="4C331C0D">
      <w:pPr>
        <w:widowControl w:val="0"/>
        <w:jc w:val="both"/>
        <w:rPr>
          <w:rFonts w:ascii="Calibri" w:hAnsi="Calibri" w:eastAsia="宋体"/>
          <w:kern w:val="2"/>
          <w:sz w:val="21"/>
          <w:szCs w:val="22"/>
          <w:lang w:eastAsia="zh-CN"/>
        </w:rPr>
      </w:pPr>
    </w:p>
    <w:p w14:paraId="088269A8">
      <w:pPr>
        <w:widowControl w:val="0"/>
        <w:spacing w:line="360" w:lineRule="auto"/>
        <w:jc w:val="both"/>
        <w:rPr>
          <w:rFonts w:ascii="Calibri" w:hAnsi="Calibri" w:eastAsia="宋体"/>
          <w:color w:val="FF0000"/>
          <w:kern w:val="2"/>
          <w:szCs w:val="22"/>
          <w:lang w:eastAsia="zh-CN"/>
        </w:rPr>
      </w:pPr>
      <w:r>
        <w:rPr>
          <w:rFonts w:hint="eastAsia" w:ascii="宋体" w:hAnsi="宋体" w:eastAsia="宋体" w:cstheme="minorBidi"/>
          <w:b/>
          <w:color w:val="FF0000"/>
          <w:kern w:val="2"/>
          <w:szCs w:val="22"/>
          <w:lang w:eastAsia="zh-CN"/>
        </w:rPr>
        <w:t xml:space="preserve">注： </w:t>
      </w:r>
      <w:r>
        <w:rPr>
          <w:rFonts w:hint="eastAsia" w:ascii="宋体" w:hAnsi="宋体" w:eastAsia="宋体" w:cstheme="minorBidi"/>
          <w:b/>
          <w:color w:val="FF0000"/>
          <w:kern w:val="2"/>
          <w:szCs w:val="22"/>
          <w:highlight w:val="yellow"/>
          <w:lang w:eastAsia="zh-CN"/>
        </w:rPr>
        <w:t>若投标供应商因自身的单位性质无法截图的，无需提供截图，例如事业单位或协会等社会组织。</w:t>
      </w:r>
    </w:p>
    <w:p w14:paraId="0AB152F5">
      <w:pPr>
        <w:widowControl w:val="0"/>
        <w:spacing w:after="120"/>
        <w:ind w:left="0" w:leftChars="0" w:firstLine="0" w:firstLineChars="0"/>
        <w:jc w:val="both"/>
        <w:rPr>
          <w:rFonts w:hint="eastAsia" w:ascii="宋体" w:hAnsi="宋体" w:eastAsia="宋体" w:cs="宋体"/>
          <w:kern w:val="2"/>
          <w:sz w:val="21"/>
          <w:szCs w:val="22"/>
          <w:lang w:eastAsia="zh-CN"/>
        </w:rPr>
      </w:pPr>
    </w:p>
    <w:p w14:paraId="3AEDE16C">
      <w:pPr>
        <w:rPr>
          <w:rFonts w:hint="eastAsia"/>
          <w:lang w:eastAsia="zh-CN"/>
        </w:rPr>
      </w:pPr>
      <w:r>
        <w:rPr>
          <w:rFonts w:hint="eastAsia"/>
          <w:lang w:eastAsia="zh-CN"/>
        </w:rPr>
        <w:t>2、股东构成审查表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9"/>
        <w:gridCol w:w="6557"/>
      </w:tblGrid>
      <w:tr w14:paraId="0C8FA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264AA00">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22BF4021">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sz w:val="21"/>
                <w:szCs w:val="21"/>
                <w:lang w:eastAsia="zh-CN"/>
              </w:rPr>
            </w:pPr>
          </w:p>
        </w:tc>
      </w:tr>
      <w:tr w14:paraId="7FDE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780FCEC">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413879EE">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sz w:val="21"/>
                <w:szCs w:val="21"/>
                <w:lang w:eastAsia="zh-CN"/>
              </w:rPr>
            </w:pPr>
          </w:p>
        </w:tc>
      </w:tr>
      <w:tr w14:paraId="6B87A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9ABB88D">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52E83659">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lang w:eastAsia="zh-CN"/>
              </w:rPr>
              <w:t>□是，其控股股东为：</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，股份占比：</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w:t>
            </w:r>
          </w:p>
          <w:p w14:paraId="260BD68A">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其他主要股东及其股份占比：</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w:t>
            </w:r>
          </w:p>
          <w:p w14:paraId="05473C34">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color w:val="000000"/>
                <w:sz w:val="21"/>
                <w:szCs w:val="21"/>
                <w:lang w:eastAsia="zh-CN"/>
              </w:rPr>
              <w:t>□否</w:t>
            </w:r>
          </w:p>
        </w:tc>
      </w:tr>
      <w:tr w14:paraId="6F227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6E8B9DE">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6FD4DDA3">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lang w:eastAsia="zh-CN"/>
              </w:rPr>
              <w:t>□是，该单位为：</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lang w:eastAsia="zh-CN"/>
              </w:rPr>
              <w:t xml:space="preserve">                              </w:t>
            </w:r>
          </w:p>
          <w:p w14:paraId="00360B4A">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color w:val="000000"/>
                <w:sz w:val="21"/>
                <w:szCs w:val="21"/>
                <w:lang w:eastAsia="zh-CN"/>
              </w:rPr>
              <w:t>□否</w:t>
            </w:r>
          </w:p>
        </w:tc>
      </w:tr>
      <w:tr w14:paraId="70527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E9ADE8F">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3831C63C">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lang w:eastAsia="zh-CN"/>
              </w:rPr>
              <w:t>□是，与招标人的关系为：</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lang w:eastAsia="zh-CN"/>
              </w:rPr>
              <w:t xml:space="preserve">                                   </w:t>
            </w:r>
          </w:p>
          <w:p w14:paraId="14A80FDA">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□否</w:t>
            </w:r>
          </w:p>
        </w:tc>
      </w:tr>
    </w:tbl>
    <w:p w14:paraId="0DD64A98">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注：</w:t>
      </w:r>
    </w:p>
    <w:p w14:paraId="3807DC16">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6272CE0A">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2、投标人需如实填写上述信息，如查实上述信息与实际不符，视为提供虚假证明材料骗取中标，投标人应承担相应法律后果。</w:t>
      </w:r>
    </w:p>
    <w:p w14:paraId="35B68644">
      <w:pPr>
        <w:widowControl/>
        <w:spacing w:line="360" w:lineRule="auto"/>
        <w:jc w:val="left"/>
        <w:rPr>
          <w:rFonts w:ascii="宋体" w:hAnsi="宋体" w:eastAsia="宋体" w:cs="宋体"/>
          <w:b/>
          <w:color w:val="000000"/>
          <w:sz w:val="21"/>
          <w:szCs w:val="21"/>
          <w:lang w:eastAsia="zh-CN"/>
        </w:rPr>
      </w:pPr>
    </w:p>
    <w:p w14:paraId="3AFF329C">
      <w:pPr>
        <w:widowControl w:val="0"/>
        <w:spacing w:after="60" w:afterLines="25" w:line="300" w:lineRule="auto"/>
        <w:jc w:val="center"/>
        <w:rPr>
          <w:rFonts w:ascii="Arial" w:hAnsi="Arial" w:eastAsia="宋体"/>
          <w:b/>
          <w:kern w:val="2"/>
          <w:lang w:eastAsia="zh-CN"/>
        </w:rPr>
      </w:pPr>
    </w:p>
    <w:p w14:paraId="35ECFECD">
      <w:pPr>
        <w:widowControl/>
        <w:jc w:val="center"/>
        <w:rPr>
          <w:rFonts w:ascii="Arial" w:hAnsi="Arial" w:eastAsia="宋体"/>
          <w:kern w:val="2"/>
          <w:sz w:val="21"/>
          <w:lang w:eastAsia="zh-CN"/>
        </w:rPr>
      </w:pPr>
      <w:r>
        <w:rPr>
          <w:rFonts w:ascii="Arial" w:hAnsi="Arial" w:eastAsia="宋体"/>
          <w:kern w:val="2"/>
          <w:sz w:val="21"/>
          <w:lang w:eastAsia="zh-CN"/>
        </w:rPr>
        <w:br w:type="page"/>
      </w:r>
    </w:p>
    <w:p w14:paraId="4F5A13B0">
      <w:pPr>
        <w:keepNext/>
        <w:keepLines/>
        <w:widowControl w:val="0"/>
        <w:spacing w:before="260" w:after="260" w:line="240" w:lineRule="auto"/>
        <w:jc w:val="center"/>
        <w:outlineLvl w:val="2"/>
        <w:rPr>
          <w:rFonts w:hint="eastAsia" w:ascii="宋体" w:hAnsi="宋体" w:eastAsia="宋体"/>
          <w:b/>
          <w:bCs/>
          <w:szCs w:val="20"/>
          <w:lang w:eastAsia="zh-CN"/>
        </w:rPr>
      </w:pPr>
      <w:r>
        <w:rPr>
          <w:rFonts w:hint="eastAsia" w:ascii="宋体" w:hAnsi="宋体" w:eastAsia="宋体"/>
          <w:b/>
          <w:bCs/>
          <w:szCs w:val="20"/>
          <w:lang w:eastAsia="zh-CN"/>
        </w:rPr>
        <w:t>七、</w:t>
      </w:r>
      <w:bookmarkStart w:id="24" w:name="_Hlk72092499"/>
      <w:r>
        <w:rPr>
          <w:rFonts w:hint="eastAsia" w:ascii="宋体" w:hAnsi="宋体" w:eastAsia="宋体"/>
          <w:b/>
          <w:bCs/>
          <w:szCs w:val="20"/>
          <w:lang w:eastAsia="zh-CN"/>
        </w:rPr>
        <w:t>法定代表人（负责人）证明书</w:t>
      </w:r>
      <w:bookmarkEnd w:id="24"/>
    </w:p>
    <w:p w14:paraId="77920C4E">
      <w:pPr>
        <w:widowControl w:val="0"/>
        <w:jc w:val="both"/>
        <w:rPr>
          <w:rFonts w:ascii="Calibri" w:hAnsi="Calibri" w:eastAsia="宋体"/>
          <w:kern w:val="2"/>
          <w:szCs w:val="22"/>
          <w:lang w:eastAsia="zh-CN"/>
        </w:rPr>
      </w:pPr>
    </w:p>
    <w:p w14:paraId="64EF4448">
      <w:pPr>
        <w:widowControl w:val="0"/>
        <w:spacing w:line="360" w:lineRule="auto"/>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0881BE9">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17671042">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3B915AB6">
      <w:pPr>
        <w:widowControl w:val="0"/>
        <w:numPr>
          <w:ilvl w:val="0"/>
          <w:numId w:val="7"/>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14:paraId="342D6868">
      <w:pPr>
        <w:widowControl w:val="0"/>
        <w:numPr>
          <w:ilvl w:val="0"/>
          <w:numId w:val="7"/>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本项目投标授权代表为法定代表人（负责人）的，无需提供《投标文件签署授权委托书》。</w:t>
      </w:r>
    </w:p>
    <w:p w14:paraId="0461B093">
      <w:pPr>
        <w:widowControl w:val="0"/>
        <w:numPr>
          <w:ilvl w:val="0"/>
          <w:numId w:val="7"/>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p w14:paraId="4113BD02">
      <w:pPr>
        <w:widowControl w:val="0"/>
        <w:spacing w:line="360" w:lineRule="auto"/>
        <w:ind w:firstLine="422" w:firstLineChars="200"/>
        <w:jc w:val="both"/>
        <w:rPr>
          <w:rFonts w:ascii="Calibri" w:hAnsi="Calibri" w:eastAsia="宋体"/>
          <w:b/>
          <w:bCs/>
          <w:kern w:val="2"/>
          <w:szCs w:val="22"/>
          <w:lang w:eastAsia="zh-CN"/>
        </w:rPr>
      </w:pPr>
      <w:r>
        <w:rPr>
          <w:rFonts w:hint="eastAsia" w:ascii="Calibri" w:hAnsi="Calibri" w:eastAsia="宋体" w:cstheme="minorBidi"/>
          <w:b/>
          <w:bCs/>
          <w:kern w:val="2"/>
          <w:sz w:val="21"/>
          <w:szCs w:val="21"/>
          <w:lang w:eastAsia="zh-CN"/>
        </w:rPr>
        <w:t>5、若为退休人员，提供退休证明（退休证/承诺函等）。</w:t>
      </w:r>
    </w:p>
    <w:p w14:paraId="4AABE627">
      <w:pPr>
        <w:widowControl w:val="0"/>
        <w:spacing w:line="360" w:lineRule="auto"/>
        <w:jc w:val="both"/>
        <w:rPr>
          <w:rFonts w:ascii="Calibri" w:hAnsi="Calibri" w:eastAsia="宋体"/>
          <w:kern w:val="2"/>
          <w:sz w:val="21"/>
          <w:szCs w:val="21"/>
          <w:lang w:eastAsia="zh-CN"/>
        </w:rPr>
      </w:pPr>
      <w:r>
        <w:rPr>
          <w:rFonts w:hint="eastAsia"/>
          <w:b/>
          <w:color w:val="FF0000"/>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6002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529" w:type="dxa"/>
          </w:tcPr>
          <w:p w14:paraId="0EF4FA9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6ED1382A">
            <w:pPr>
              <w:widowControl w:val="0"/>
              <w:spacing w:line="360" w:lineRule="auto"/>
              <w:jc w:val="center"/>
              <w:rPr>
                <w:rFonts w:ascii="Calibri" w:hAnsi="Calibri" w:eastAsia="宋体"/>
                <w:b/>
                <w:bCs/>
                <w:kern w:val="2"/>
                <w:szCs w:val="22"/>
                <w:lang w:eastAsia="zh-CN"/>
              </w:rPr>
            </w:pPr>
          </w:p>
          <w:p w14:paraId="6996A81F">
            <w:pPr>
              <w:widowControl w:val="0"/>
              <w:spacing w:line="360" w:lineRule="auto"/>
              <w:jc w:val="center"/>
              <w:rPr>
                <w:rFonts w:ascii="Calibri" w:hAnsi="Calibri" w:eastAsia="宋体"/>
                <w:kern w:val="2"/>
                <w:szCs w:val="22"/>
                <w:lang w:eastAsia="zh-CN"/>
              </w:rPr>
            </w:pPr>
          </w:p>
        </w:tc>
        <w:tc>
          <w:tcPr>
            <w:tcW w:w="4530" w:type="dxa"/>
          </w:tcPr>
          <w:p w14:paraId="7C8D29F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24E5E77E">
            <w:pPr>
              <w:widowControl w:val="0"/>
              <w:spacing w:line="360" w:lineRule="auto"/>
              <w:jc w:val="center"/>
              <w:rPr>
                <w:rFonts w:ascii="Calibri" w:hAnsi="Calibri" w:eastAsia="宋体"/>
                <w:b/>
                <w:bCs/>
                <w:kern w:val="2"/>
                <w:szCs w:val="22"/>
                <w:lang w:eastAsia="zh-CN"/>
              </w:rPr>
            </w:pPr>
          </w:p>
          <w:p w14:paraId="5D36B1F0">
            <w:pPr>
              <w:widowControl w:val="0"/>
              <w:spacing w:line="360" w:lineRule="auto"/>
              <w:jc w:val="center"/>
              <w:rPr>
                <w:rFonts w:ascii="Calibri" w:hAnsi="Calibri" w:eastAsia="宋体"/>
                <w:kern w:val="2"/>
                <w:szCs w:val="22"/>
                <w:lang w:eastAsia="zh-CN"/>
              </w:rPr>
            </w:pPr>
          </w:p>
        </w:tc>
      </w:tr>
    </w:tbl>
    <w:p w14:paraId="72724701">
      <w:pPr>
        <w:widowControl w:val="0"/>
        <w:jc w:val="both"/>
        <w:rPr>
          <w:rFonts w:ascii="Calibri" w:hAnsi="Calibri" w:eastAsia="宋体"/>
          <w:kern w:val="2"/>
          <w:szCs w:val="22"/>
          <w:lang w:eastAsia="zh-CN"/>
        </w:rPr>
      </w:pPr>
    </w:p>
    <w:p w14:paraId="14A7533F">
      <w:pPr>
        <w:widowControl w:val="0"/>
        <w:jc w:val="both"/>
        <w:rPr>
          <w:rFonts w:ascii="Calibri" w:hAnsi="Calibri" w:eastAsia="宋体"/>
          <w:kern w:val="2"/>
          <w:szCs w:val="22"/>
          <w:lang w:eastAsia="zh-CN"/>
        </w:rPr>
      </w:pPr>
    </w:p>
    <w:p w14:paraId="143F28EF">
      <w:pPr>
        <w:widowControl w:val="0"/>
        <w:spacing w:line="360" w:lineRule="auto"/>
        <w:jc w:val="both"/>
        <w:rPr>
          <w:rFonts w:ascii="Calibri" w:hAnsi="Calibri" w:eastAsia="宋体"/>
          <w:b/>
          <w:bCs/>
          <w:kern w:val="2"/>
          <w:szCs w:val="22"/>
          <w:lang w:eastAsia="zh-CN"/>
        </w:rPr>
      </w:pPr>
    </w:p>
    <w:p w14:paraId="298BA1C8">
      <w:pPr>
        <w:widowControl w:val="0"/>
        <w:spacing w:line="360" w:lineRule="auto"/>
        <w:jc w:val="both"/>
        <w:rPr>
          <w:rFonts w:ascii="Calibri" w:hAnsi="Calibri" w:eastAsia="宋体"/>
          <w:b/>
          <w:bCs/>
          <w:kern w:val="2"/>
          <w:szCs w:val="22"/>
          <w:lang w:eastAsia="zh-CN"/>
        </w:rPr>
      </w:pPr>
    </w:p>
    <w:p w14:paraId="11895795">
      <w:pPr>
        <w:widowControl w:val="0"/>
        <w:spacing w:line="360" w:lineRule="auto"/>
        <w:jc w:val="both"/>
        <w:rPr>
          <w:rFonts w:ascii="Calibri" w:hAnsi="Calibri" w:eastAsia="宋体"/>
          <w:b/>
          <w:bCs/>
          <w:kern w:val="2"/>
          <w:szCs w:val="22"/>
          <w:lang w:eastAsia="zh-CN"/>
        </w:rPr>
      </w:pPr>
    </w:p>
    <w:p w14:paraId="1F7706A7">
      <w:pPr>
        <w:widowControl w:val="0"/>
        <w:spacing w:line="360" w:lineRule="auto"/>
        <w:jc w:val="both"/>
        <w:rPr>
          <w:rFonts w:ascii="Calibri" w:hAnsi="Calibri" w:eastAsia="宋体"/>
          <w:b/>
          <w:bCs/>
          <w:kern w:val="2"/>
          <w:szCs w:val="22"/>
          <w:lang w:eastAsia="zh-CN"/>
        </w:rPr>
      </w:pPr>
    </w:p>
    <w:p w14:paraId="34140B73">
      <w:pPr>
        <w:widowControl w:val="0"/>
        <w:spacing w:line="360" w:lineRule="auto"/>
        <w:jc w:val="both"/>
        <w:rPr>
          <w:rFonts w:ascii="Calibri" w:hAnsi="Calibri" w:eastAsia="宋体"/>
          <w:b/>
          <w:bCs/>
          <w:kern w:val="2"/>
          <w:szCs w:val="22"/>
          <w:lang w:eastAsia="zh-CN"/>
        </w:rPr>
      </w:pPr>
    </w:p>
    <w:p w14:paraId="3A253791">
      <w:pPr>
        <w:widowControl w:val="0"/>
        <w:spacing w:line="360" w:lineRule="auto"/>
        <w:jc w:val="both"/>
        <w:rPr>
          <w:rFonts w:ascii="Calibri" w:hAnsi="Calibri" w:eastAsia="宋体"/>
          <w:b/>
          <w:bCs/>
          <w:kern w:val="2"/>
          <w:szCs w:val="22"/>
          <w:lang w:eastAsia="zh-CN"/>
        </w:rPr>
      </w:pPr>
    </w:p>
    <w:p w14:paraId="29A175C6">
      <w:pPr>
        <w:keepNext/>
        <w:keepLines/>
        <w:widowControl w:val="0"/>
        <w:spacing w:before="260" w:after="260" w:line="240" w:lineRule="auto"/>
        <w:jc w:val="center"/>
        <w:outlineLvl w:val="2"/>
        <w:rPr>
          <w:rFonts w:hint="eastAsia" w:ascii="宋体" w:hAnsi="宋体" w:eastAsia="宋体"/>
          <w:b/>
          <w:bCs/>
          <w:szCs w:val="20"/>
          <w:lang w:eastAsia="zh-CN"/>
        </w:rPr>
      </w:pPr>
      <w:r>
        <w:rPr>
          <w:rFonts w:hint="eastAsia" w:ascii="宋体" w:hAnsi="宋体" w:eastAsia="宋体"/>
          <w:b/>
          <w:bCs/>
          <w:szCs w:val="20"/>
          <w:lang w:eastAsia="zh-CN"/>
        </w:rPr>
        <w:t>八、投标文件签署授权委托书</w:t>
      </w:r>
    </w:p>
    <w:p w14:paraId="7C29BAE8">
      <w:pPr>
        <w:widowControl w:val="0"/>
        <w:numPr>
          <w:ilvl w:val="0"/>
          <w:numId w:val="0"/>
        </w:numPr>
        <w:ind w:left="0" w:firstLine="0"/>
        <w:jc w:val="both"/>
        <w:rPr>
          <w:rFonts w:ascii="Calibri" w:hAnsi="Calibri" w:eastAsia="宋体"/>
          <w:kern w:val="2"/>
          <w:sz w:val="21"/>
          <w:szCs w:val="22"/>
          <w:lang w:eastAsia="zh-CN"/>
        </w:rPr>
      </w:pPr>
    </w:p>
    <w:p w14:paraId="33238ED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7C66AA89">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03114DE6">
      <w:pPr>
        <w:widowControl w:val="0"/>
        <w:spacing w:line="360" w:lineRule="auto"/>
        <w:ind w:firstLine="420" w:firstLineChars="200"/>
        <w:jc w:val="both"/>
        <w:rPr>
          <w:rFonts w:ascii="Calibri" w:hAnsi="Calibri" w:eastAsia="宋体"/>
          <w:kern w:val="2"/>
          <w:sz w:val="21"/>
          <w:szCs w:val="21"/>
          <w:lang w:eastAsia="zh-CN"/>
        </w:rPr>
      </w:pPr>
    </w:p>
    <w:p w14:paraId="4CCA43B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00155C3">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8BD59B9">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9264DB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月</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3C778E84">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14:paraId="65814A35">
      <w:pPr>
        <w:ind w:firstLine="420" w:firstLineChars="200"/>
        <w:rPr>
          <w:rFonts w:hint="eastAsia" w:ascii="宋体" w:hAnsi="宋体" w:eastAsia="宋体" w:cs="Arial"/>
          <w:b/>
          <w:bCs/>
          <w:sz w:val="21"/>
          <w:szCs w:val="21"/>
          <w:lang w:eastAsia="zh-CN"/>
        </w:rPr>
      </w:pPr>
      <w:r>
        <w:rPr>
          <w:rFonts w:hint="eastAsia"/>
          <w:sz w:val="21"/>
          <w:szCs w:val="21"/>
          <w:lang w:eastAsia="zh-CN"/>
        </w:rPr>
        <w:t>2、</w:t>
      </w:r>
      <w:r>
        <w:rPr>
          <w:rFonts w:hint="eastAsia" w:ascii="宋体" w:hAnsi="宋体" w:eastAsia="宋体" w:cs="Arial"/>
          <w:b/>
          <w:bCs/>
          <w:sz w:val="21"/>
          <w:szCs w:val="21"/>
          <w:lang w:eastAsia="zh-CN"/>
        </w:rPr>
        <w:t>投标时提供项目投标授权代表人近三个月（含开标当月）中的任意一个月的社会保险证明。</w:t>
      </w:r>
    </w:p>
    <w:p w14:paraId="55279D54">
      <w:pPr>
        <w:ind w:firstLine="420" w:firstLineChars="200"/>
        <w:rPr>
          <w:rFonts w:hint="eastAsia" w:ascii="宋体" w:hAnsi="宋体" w:eastAsia="宋体" w:cs="Arial"/>
          <w:bCs/>
          <w:sz w:val="21"/>
          <w:szCs w:val="21"/>
          <w:lang w:eastAsia="zh-CN"/>
        </w:rPr>
      </w:pPr>
      <w:r>
        <w:rPr>
          <w:rFonts w:hint="eastAsia" w:ascii="宋体" w:hAnsi="宋体" w:eastAsia="宋体" w:cs="Arial"/>
          <w:bCs/>
          <w:sz w:val="21"/>
          <w:szCs w:val="21"/>
          <w:lang w:eastAsia="zh-CN"/>
        </w:rPr>
        <w:t>注：</w:t>
      </w:r>
    </w:p>
    <w:p w14:paraId="0AC3E7F9">
      <w:pPr>
        <w:ind w:firstLine="420" w:firstLineChars="200"/>
        <w:rPr>
          <w:rFonts w:hint="eastAsia" w:ascii="宋体" w:hAnsi="宋体" w:eastAsia="宋体" w:cs="Arial"/>
          <w:bCs/>
          <w:sz w:val="21"/>
          <w:szCs w:val="21"/>
          <w:lang w:eastAsia="zh-CN"/>
        </w:rPr>
      </w:pPr>
      <w:r>
        <w:rPr>
          <w:rFonts w:hint="eastAsia" w:ascii="宋体" w:hAnsi="宋体" w:cs="Arial"/>
          <w:bCs/>
          <w:sz w:val="21"/>
          <w:szCs w:val="21"/>
          <w:lang w:eastAsia="zh-CN"/>
        </w:rPr>
        <w:t>（1）</w:t>
      </w:r>
      <w:r>
        <w:rPr>
          <w:rFonts w:hint="eastAsia" w:ascii="宋体" w:hAnsi="宋体" w:eastAsia="宋体" w:cs="Arial"/>
          <w:bCs/>
          <w:sz w:val="21"/>
          <w:szCs w:val="21"/>
          <w:lang w:eastAsia="zh-CN"/>
        </w:rPr>
        <w:t>投标人应如实提供上述人员的社会保险证明，如上述人员的社会保险未由投标人缴纳，亦须提供相应单位为其缴纳的社会保险证明。</w:t>
      </w:r>
    </w:p>
    <w:p w14:paraId="3C5504E6">
      <w:pPr>
        <w:ind w:firstLine="420" w:firstLineChars="200"/>
        <w:rPr>
          <w:rFonts w:hint="eastAsia" w:ascii="宋体" w:hAnsi="宋体" w:eastAsia="宋体" w:cs="Arial"/>
          <w:bCs/>
          <w:sz w:val="21"/>
          <w:szCs w:val="21"/>
          <w:lang w:eastAsia="zh-CN"/>
        </w:rPr>
      </w:pPr>
      <w:r>
        <w:rPr>
          <w:rFonts w:hint="eastAsia" w:ascii="宋体" w:hAnsi="宋体" w:cs="Arial"/>
          <w:bCs/>
          <w:sz w:val="21"/>
          <w:szCs w:val="21"/>
          <w:lang w:eastAsia="zh-CN"/>
        </w:rPr>
        <w:t>（2）</w:t>
      </w:r>
      <w:r>
        <w:rPr>
          <w:rFonts w:hint="eastAsia" w:ascii="宋体" w:hAnsi="宋体" w:eastAsia="宋体" w:cs="Arial"/>
          <w:bCs/>
          <w:sz w:val="21"/>
          <w:szCs w:val="21"/>
          <w:lang w:eastAsia="zh-CN"/>
        </w:rPr>
        <w:t>投标人为新成立企业且成立时间不足一个月可提供加盖投标人公章的情况说明或者证明材料亦视为符合。</w:t>
      </w:r>
    </w:p>
    <w:p w14:paraId="09FDFD22">
      <w:pPr>
        <w:ind w:firstLine="420" w:firstLineChars="200"/>
        <w:rPr>
          <w:rFonts w:hint="eastAsia" w:ascii="宋体" w:hAnsi="宋体" w:eastAsia="宋体" w:cs="Arial"/>
          <w:bCs/>
          <w:sz w:val="21"/>
          <w:szCs w:val="21"/>
          <w:lang w:eastAsia="zh-CN"/>
        </w:rPr>
      </w:pPr>
      <w:r>
        <w:rPr>
          <w:rFonts w:hint="eastAsia" w:ascii="宋体" w:hAnsi="宋体" w:cs="Arial"/>
          <w:bCs/>
          <w:sz w:val="21"/>
          <w:szCs w:val="21"/>
          <w:lang w:eastAsia="zh-CN"/>
        </w:rPr>
        <w:t>（3）</w:t>
      </w:r>
      <w:r>
        <w:rPr>
          <w:rFonts w:hint="eastAsia" w:ascii="宋体" w:hAnsi="宋体" w:eastAsia="宋体" w:cs="Arial"/>
          <w:bCs/>
          <w:sz w:val="21"/>
          <w:szCs w:val="21"/>
          <w:lang w:eastAsia="zh-CN"/>
        </w:rPr>
        <w:t>若为退休人员，提供退休证明（退休证/承诺函等）。</w:t>
      </w:r>
    </w:p>
    <w:p w14:paraId="7B81192B">
      <w:pPr>
        <w:ind w:firstLine="420" w:firstLineChars="200"/>
        <w:rPr>
          <w:rFonts w:hint="eastAsia" w:ascii="宋体" w:hAnsi="宋体" w:eastAsia="宋体" w:cs="Arial"/>
          <w:bCs/>
          <w:sz w:val="21"/>
          <w:szCs w:val="21"/>
          <w:lang w:eastAsia="zh-CN"/>
        </w:rPr>
      </w:pPr>
      <w:r>
        <w:rPr>
          <w:rFonts w:hint="eastAsia" w:ascii="宋体" w:hAnsi="宋体" w:cs="Arial"/>
          <w:bCs/>
          <w:sz w:val="21"/>
          <w:szCs w:val="21"/>
          <w:lang w:eastAsia="zh-CN"/>
        </w:rPr>
        <w:t>（4）</w:t>
      </w:r>
      <w:r>
        <w:rPr>
          <w:rFonts w:hint="eastAsia" w:ascii="宋体" w:hAnsi="宋体" w:eastAsia="宋体" w:cs="Arial"/>
          <w:bCs/>
          <w:sz w:val="21"/>
          <w:szCs w:val="21"/>
          <w:lang w:eastAsia="zh-CN"/>
        </w:rPr>
        <w:t>如依法不需要缴纳社会保险的，应提供相应文件证明。</w:t>
      </w:r>
    </w:p>
    <w:p w14:paraId="7EAC03DF">
      <w:pPr>
        <w:ind w:firstLine="420" w:firstLineChars="200"/>
        <w:rPr>
          <w:rFonts w:hint="eastAsia" w:ascii="宋体" w:hAnsi="宋体" w:eastAsia="宋体" w:cs="Arial"/>
          <w:bCs/>
          <w:sz w:val="21"/>
          <w:szCs w:val="21"/>
          <w:lang w:eastAsia="zh-CN"/>
        </w:rPr>
      </w:pPr>
      <w:r>
        <w:rPr>
          <w:rFonts w:hint="eastAsia" w:ascii="宋体" w:hAnsi="宋体" w:cs="Arial"/>
          <w:bCs/>
          <w:sz w:val="21"/>
          <w:szCs w:val="21"/>
          <w:lang w:eastAsia="zh-CN"/>
        </w:rPr>
        <w:t>（5）</w:t>
      </w:r>
      <w:r>
        <w:rPr>
          <w:rFonts w:hint="eastAsia" w:ascii="宋体" w:hAnsi="宋体" w:eastAsia="宋体" w:cs="Arial"/>
          <w:bCs/>
          <w:sz w:val="21"/>
          <w:szCs w:val="21"/>
          <w:lang w:eastAsia="zh-CN"/>
        </w:rPr>
        <w:t>若因为社保部门或税务部门原因无法提供的，需提供劳动合同及社保部门或税务部门官方通知证明（或官网公告截图）。</w:t>
      </w:r>
    </w:p>
    <w:p w14:paraId="32154F2B">
      <w:pPr>
        <w:ind w:firstLine="420" w:firstLineChars="200"/>
        <w:rPr>
          <w:rFonts w:hint="eastAsia" w:ascii="宋体" w:hAnsi="宋体" w:eastAsia="宋体" w:cs="Arial"/>
          <w:bCs/>
          <w:sz w:val="21"/>
          <w:szCs w:val="21"/>
          <w:lang w:eastAsia="zh-CN"/>
        </w:rPr>
      </w:pPr>
      <w:r>
        <w:rPr>
          <w:rFonts w:hint="eastAsia" w:ascii="宋体" w:hAnsi="宋体" w:cs="Arial"/>
          <w:bCs/>
          <w:sz w:val="21"/>
          <w:szCs w:val="21"/>
          <w:lang w:eastAsia="zh-CN"/>
        </w:rPr>
        <w:t>（6）</w:t>
      </w:r>
      <w:r>
        <w:rPr>
          <w:rFonts w:hint="eastAsia" w:ascii="宋体" w:hAnsi="宋体" w:eastAsia="宋体" w:cs="Arial"/>
          <w:bCs/>
          <w:sz w:val="21"/>
          <w:szCs w:val="21"/>
          <w:lang w:eastAsia="zh-CN"/>
        </w:rPr>
        <w:t>如本项目未安排项目投标授权代表人的，无需提供投标授权代表人的社保。</w:t>
      </w:r>
    </w:p>
    <w:p w14:paraId="72A4776C">
      <w:pPr>
        <w:widowControl w:val="0"/>
        <w:spacing w:line="360" w:lineRule="auto"/>
        <w:ind w:firstLine="420" w:firstLineChars="200"/>
        <w:jc w:val="both"/>
        <w:rPr>
          <w:rFonts w:ascii="Calibri" w:hAnsi="Calibri" w:eastAsia="宋体"/>
          <w:b/>
          <w:color w:val="FF0000"/>
          <w:kern w:val="2"/>
          <w:sz w:val="21"/>
          <w:szCs w:val="21"/>
          <w:lang w:eastAsia="zh-CN"/>
        </w:rPr>
      </w:pPr>
      <w:r>
        <w:rPr>
          <w:rFonts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071C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4269" w:type="dxa"/>
          </w:tcPr>
          <w:p w14:paraId="5ACC38A9">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34977872">
            <w:pPr>
              <w:widowControl w:val="0"/>
              <w:spacing w:line="360" w:lineRule="auto"/>
              <w:jc w:val="center"/>
              <w:rPr>
                <w:rFonts w:ascii="Calibri" w:hAnsi="Calibri" w:eastAsia="宋体"/>
                <w:b/>
                <w:bCs/>
                <w:kern w:val="2"/>
                <w:szCs w:val="22"/>
                <w:lang w:eastAsia="zh-CN"/>
              </w:rPr>
            </w:pPr>
          </w:p>
          <w:p w14:paraId="2A15BECC">
            <w:pPr>
              <w:widowControl w:val="0"/>
              <w:spacing w:line="360" w:lineRule="auto"/>
              <w:jc w:val="center"/>
              <w:rPr>
                <w:rFonts w:ascii="Calibri" w:hAnsi="Calibri" w:eastAsia="宋体"/>
                <w:kern w:val="2"/>
                <w:szCs w:val="22"/>
                <w:lang w:eastAsia="zh-CN"/>
              </w:rPr>
            </w:pPr>
          </w:p>
        </w:tc>
        <w:tc>
          <w:tcPr>
            <w:tcW w:w="4270" w:type="dxa"/>
          </w:tcPr>
          <w:p w14:paraId="23BB1422">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19890FEB">
            <w:pPr>
              <w:widowControl w:val="0"/>
              <w:spacing w:line="360" w:lineRule="auto"/>
              <w:jc w:val="center"/>
              <w:rPr>
                <w:rFonts w:ascii="Calibri" w:hAnsi="Calibri" w:eastAsia="宋体"/>
                <w:b/>
                <w:bCs/>
                <w:kern w:val="2"/>
                <w:szCs w:val="22"/>
                <w:lang w:eastAsia="zh-CN"/>
              </w:rPr>
            </w:pPr>
          </w:p>
          <w:p w14:paraId="1F193DAB">
            <w:pPr>
              <w:widowControl w:val="0"/>
              <w:spacing w:line="360" w:lineRule="auto"/>
              <w:jc w:val="center"/>
              <w:rPr>
                <w:rFonts w:ascii="Calibri" w:hAnsi="Calibri" w:eastAsia="宋体"/>
                <w:kern w:val="2"/>
                <w:szCs w:val="22"/>
                <w:lang w:eastAsia="zh-CN"/>
              </w:rPr>
            </w:pPr>
          </w:p>
        </w:tc>
      </w:tr>
    </w:tbl>
    <w:p w14:paraId="3D2CFF27">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rPr>
          <w:rFonts w:hint="eastAsia" w:ascii="宋体" w:hAnsi="宋体" w:eastAsia="宋体" w:cs="宋体"/>
          <w:lang w:eastAsia="zh-CN"/>
        </w:rPr>
      </w:pPr>
    </w:p>
    <w:p w14:paraId="68A7434D">
      <w:pPr>
        <w:widowControl w:val="0"/>
        <w:tabs>
          <w:tab w:val="left" w:pos="651"/>
        </w:tabs>
        <w:snapToGrid w:val="0"/>
        <w:jc w:val="center"/>
        <w:rPr>
          <w:rFonts w:ascii="黑体" w:hAnsi="Calibri" w:eastAsia="黑体"/>
          <w:lang w:eastAsia="zh-CN"/>
        </w:rPr>
      </w:pPr>
    </w:p>
    <w:p w14:paraId="68E3B879">
      <w:pPr>
        <w:widowControl w:val="0"/>
        <w:tabs>
          <w:tab w:val="left" w:pos="651"/>
        </w:tabs>
        <w:kinsoku/>
        <w:overflowPunct/>
        <w:topLinePunct w:val="0"/>
        <w:bidi w:val="0"/>
        <w:snapToGrid w:val="0"/>
        <w:spacing w:beforeAutospacing="0" w:afterAutospacing="0" w:line="360" w:lineRule="auto"/>
        <w:ind w:left="0" w:leftChars="0" w:right="0" w:firstLine="0" w:firstLineChars="0"/>
        <w:jc w:val="both"/>
        <w:rPr>
          <w:rFonts w:hint="eastAsia" w:ascii="宋体" w:hAnsi="宋体" w:eastAsia="宋体" w:cs="宋体"/>
          <w:lang w:eastAsia="zh-CN"/>
        </w:rPr>
      </w:pPr>
    </w:p>
    <w:p w14:paraId="363E4F01">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九、</w:t>
      </w:r>
      <w:bookmarkStart w:id="25" w:name="_Hlk72092634"/>
      <w:r>
        <w:rPr>
          <w:rFonts w:hint="eastAsia" w:ascii="宋体" w:hAnsi="宋体" w:eastAsia="宋体" w:cs="宋体"/>
          <w:b/>
          <w:bCs/>
          <w:lang w:eastAsia="zh-CN"/>
        </w:rPr>
        <w:t>实质性条款响应情况表</w:t>
      </w:r>
      <w:bookmarkEnd w:id="25"/>
    </w:p>
    <w:p w14:paraId="42F6D64D">
      <w:pPr>
        <w:widowControl w:val="0"/>
        <w:spacing w:line="360" w:lineRule="auto"/>
        <w:jc w:val="both"/>
        <w:rPr>
          <w:rFonts w:hint="eastAsia" w:ascii="Calibri" w:hAnsi="Calibri" w:eastAsia="宋体"/>
          <w:b/>
          <w:bCs/>
          <w:kern w:val="2"/>
          <w:szCs w:val="22"/>
          <w:lang w:eastAsia="zh-CN"/>
        </w:rPr>
      </w:pPr>
    </w:p>
    <w:p w14:paraId="5EB9DBCA">
      <w:pPr>
        <w:widowControl w:val="0"/>
        <w:kinsoku/>
        <w:overflowPunct/>
        <w:topLinePunct w:val="0"/>
        <w:bidi w:val="0"/>
        <w:snapToGrid w:val="0"/>
        <w:spacing w:beforeAutospacing="0" w:afterAutospacing="0" w:line="360" w:lineRule="auto"/>
        <w:ind w:left="0" w:leftChars="0" w:right="0" w:firstLine="0" w:firstLineChars="0"/>
        <w:jc w:val="both"/>
        <w:rPr>
          <w:rFonts w:hint="eastAsia" w:ascii="宋体" w:hAnsi="宋体" w:eastAsia="宋体" w:cs="宋体"/>
          <w:b/>
          <w:kern w:val="2"/>
          <w:sz w:val="21"/>
          <w:szCs w:val="21"/>
          <w:lang w:eastAsia="zh-CN"/>
        </w:rPr>
      </w:pPr>
      <w:r>
        <w:rPr>
          <w:rFonts w:hint="eastAsia" w:ascii="宋体" w:hAnsi="宋体" w:eastAsia="宋体" w:cs="宋体"/>
          <w:color w:val="000000"/>
          <w:kern w:val="2"/>
          <w:sz w:val="21"/>
          <w:szCs w:val="21"/>
          <w:lang w:eastAsia="zh-CN"/>
        </w:rPr>
        <w:t>投标单位（投标人）名称：</w:t>
      </w:r>
      <w:r>
        <w:rPr>
          <w:rFonts w:hint="eastAsia" w:ascii="宋体" w:hAnsi="宋体" w:eastAsia="宋体" w:cs="宋体"/>
          <w:color w:val="000000"/>
          <w:kern w:val="2"/>
          <w:sz w:val="21"/>
          <w:szCs w:val="21"/>
          <w:u w:val="single"/>
          <w:lang w:eastAsia="zh-CN"/>
        </w:rPr>
        <w:t xml:space="preserve">                         </w:t>
      </w:r>
    </w:p>
    <w:tbl>
      <w:tblPr>
        <w:tblStyle w:val="11"/>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58AABF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3CF66949">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序号</w:t>
            </w:r>
          </w:p>
        </w:tc>
        <w:tc>
          <w:tcPr>
            <w:tcW w:w="3901" w:type="dxa"/>
            <w:vAlign w:val="center"/>
          </w:tcPr>
          <w:p w14:paraId="59980D41">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实质性条款具体内容</w:t>
            </w:r>
          </w:p>
        </w:tc>
        <w:tc>
          <w:tcPr>
            <w:tcW w:w="2176" w:type="dxa"/>
            <w:vAlign w:val="center"/>
          </w:tcPr>
          <w:p w14:paraId="1990C87C">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投标文件响应</w:t>
            </w:r>
          </w:p>
        </w:tc>
        <w:tc>
          <w:tcPr>
            <w:tcW w:w="1732" w:type="dxa"/>
            <w:vAlign w:val="center"/>
          </w:tcPr>
          <w:p w14:paraId="12FBEEF1">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偏离情况</w:t>
            </w:r>
          </w:p>
        </w:tc>
        <w:tc>
          <w:tcPr>
            <w:tcW w:w="992" w:type="dxa"/>
            <w:vAlign w:val="center"/>
          </w:tcPr>
          <w:p w14:paraId="61155CC4">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说明</w:t>
            </w:r>
          </w:p>
        </w:tc>
      </w:tr>
      <w:tr w14:paraId="5DDAD92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765297A4">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1</w:t>
            </w:r>
          </w:p>
        </w:tc>
        <w:tc>
          <w:tcPr>
            <w:tcW w:w="3901" w:type="dxa"/>
            <w:vAlign w:val="center"/>
          </w:tcPr>
          <w:p w14:paraId="35674DEE">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本项目★第三章用户需求书全部内容</w:t>
            </w:r>
          </w:p>
        </w:tc>
        <w:tc>
          <w:tcPr>
            <w:tcW w:w="2176" w:type="dxa"/>
            <w:vAlign w:val="center"/>
          </w:tcPr>
          <w:p w14:paraId="1D56249F">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完全响应</w:t>
            </w:r>
          </w:p>
        </w:tc>
        <w:tc>
          <w:tcPr>
            <w:tcW w:w="1732" w:type="dxa"/>
            <w:vAlign w:val="center"/>
          </w:tcPr>
          <w:p w14:paraId="0A0C79A8">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无偏离</w:t>
            </w:r>
          </w:p>
        </w:tc>
        <w:tc>
          <w:tcPr>
            <w:tcW w:w="992" w:type="dxa"/>
            <w:vAlign w:val="center"/>
          </w:tcPr>
          <w:p w14:paraId="6EA481B9">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color w:val="FF0000"/>
                <w:sz w:val="21"/>
                <w:szCs w:val="21"/>
                <w:lang w:eastAsia="zh-CN"/>
              </w:rPr>
            </w:pPr>
          </w:p>
        </w:tc>
      </w:tr>
    </w:tbl>
    <w:p w14:paraId="24132473">
      <w:pPr>
        <w:widowControl w:val="0"/>
        <w:kinsoku/>
        <w:overflowPunct/>
        <w:topLinePunct w:val="0"/>
        <w:bidi w:val="0"/>
        <w:snapToGrid w:val="0"/>
        <w:spacing w:beforeAutospacing="0" w:afterAutospacing="0" w:line="360" w:lineRule="auto"/>
        <w:ind w:left="0" w:leftChars="0" w:right="0" w:firstLine="0" w:firstLineChars="0"/>
        <w:jc w:val="both"/>
        <w:rPr>
          <w:rFonts w:hint="eastAsia" w:ascii="宋体" w:hAnsi="宋体" w:eastAsia="宋体" w:cs="宋体"/>
          <w:b/>
          <w:kern w:val="2"/>
          <w:sz w:val="21"/>
          <w:szCs w:val="21"/>
          <w:lang w:eastAsia="zh-CN"/>
        </w:rPr>
      </w:pPr>
    </w:p>
    <w:p w14:paraId="401EEDB2">
      <w:pPr>
        <w:widowControl w:val="0"/>
        <w:kinsoku/>
        <w:overflowPunct/>
        <w:topLinePunct w:val="0"/>
        <w:bidi w:val="0"/>
        <w:snapToGrid w:val="0"/>
        <w:spacing w:beforeAutospacing="0" w:afterAutospacing="0" w:line="360" w:lineRule="auto"/>
        <w:ind w:left="0" w:leftChars="0" w:right="0" w:firstLine="0" w:firstLineChars="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填写说明：</w:t>
      </w:r>
    </w:p>
    <w:p w14:paraId="47C7CE59">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1、上表所列各项均为不可负偏离条款。</w:t>
      </w:r>
    </w:p>
    <w:p w14:paraId="27098388">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2、“投标文件响应”一栏应当根据投标人自身实际情况响应，</w:t>
      </w:r>
      <w:r>
        <w:rPr>
          <w:rFonts w:hint="eastAsia" w:ascii="宋体" w:hAnsi="宋体" w:eastAsia="宋体" w:cs="宋体"/>
          <w:b/>
          <w:bCs/>
          <w:kern w:val="2"/>
          <w:sz w:val="21"/>
          <w:szCs w:val="21"/>
          <w:lang w:eastAsia="zh-CN"/>
        </w:rPr>
        <w:t>如完全满足实质性条款具体内容可填写“完全响应”，除招标文件另有注明外，不强制要求逐条列出响应。</w:t>
      </w:r>
    </w:p>
    <w:p w14:paraId="5DD1DA5F">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3、“偏离情况”一栏应填写</w:t>
      </w:r>
      <w:r>
        <w:rPr>
          <w:rFonts w:hint="eastAsia" w:ascii="宋体" w:hAnsi="宋体" w:eastAsia="宋体" w:cs="宋体"/>
          <w:kern w:val="2"/>
          <w:sz w:val="21"/>
          <w:szCs w:val="21"/>
          <w:lang w:eastAsia="zh-CN"/>
        </w:rPr>
        <w:t>“</w:t>
      </w:r>
      <w:r>
        <w:rPr>
          <w:rFonts w:hint="eastAsia" w:ascii="宋体" w:hAnsi="宋体" w:eastAsia="宋体" w:cs="宋体"/>
          <w:b/>
          <w:bCs/>
          <w:kern w:val="2"/>
          <w:sz w:val="21"/>
          <w:szCs w:val="21"/>
          <w:lang w:eastAsia="zh-CN"/>
        </w:rPr>
        <w:t>正偏离</w:t>
      </w:r>
      <w:r>
        <w:rPr>
          <w:rFonts w:hint="eastAsia" w:ascii="宋体" w:hAnsi="宋体" w:eastAsia="宋体" w:cs="宋体"/>
          <w:kern w:val="2"/>
          <w:sz w:val="21"/>
          <w:szCs w:val="21"/>
          <w:lang w:eastAsia="zh-CN"/>
        </w:rPr>
        <w:t>”或“</w:t>
      </w:r>
      <w:r>
        <w:rPr>
          <w:rFonts w:hint="eastAsia" w:ascii="宋体" w:hAnsi="宋体" w:eastAsia="宋体" w:cs="宋体"/>
          <w:b/>
          <w:bCs/>
          <w:kern w:val="2"/>
          <w:sz w:val="21"/>
          <w:szCs w:val="21"/>
          <w:lang w:eastAsia="zh-CN"/>
        </w:rPr>
        <w:t>负偏离</w:t>
      </w:r>
      <w:r>
        <w:rPr>
          <w:rFonts w:hint="eastAsia" w:ascii="宋体" w:hAnsi="宋体" w:eastAsia="宋体" w:cs="宋体"/>
          <w:kern w:val="2"/>
          <w:sz w:val="21"/>
          <w:szCs w:val="21"/>
          <w:lang w:eastAsia="zh-CN"/>
        </w:rPr>
        <w:t>”或“</w:t>
      </w:r>
      <w:r>
        <w:rPr>
          <w:rFonts w:hint="eastAsia" w:ascii="宋体" w:hAnsi="宋体" w:eastAsia="宋体" w:cs="宋体"/>
          <w:b/>
          <w:bCs/>
          <w:kern w:val="2"/>
          <w:sz w:val="21"/>
          <w:szCs w:val="21"/>
          <w:lang w:eastAsia="zh-CN"/>
        </w:rPr>
        <w:t>无偏离</w:t>
      </w:r>
      <w:r>
        <w:rPr>
          <w:rFonts w:hint="eastAsia" w:ascii="宋体" w:hAnsi="宋体" w:eastAsia="宋体" w:cs="宋体"/>
          <w:kern w:val="2"/>
          <w:sz w:val="21"/>
          <w:szCs w:val="21"/>
          <w:lang w:eastAsia="zh-CN"/>
        </w:rPr>
        <w:t>”</w:t>
      </w:r>
      <w:r>
        <w:rPr>
          <w:rFonts w:hint="eastAsia" w:ascii="宋体" w:hAnsi="宋体" w:eastAsia="宋体" w:cs="宋体"/>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14:paraId="15096116">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4、评审委员会有权对投标响应情况作出判断。</w:t>
      </w:r>
    </w:p>
    <w:p w14:paraId="03276F65">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5、实质性响应条款“投标响应情况”与投标文件其它内容冲突的，以实质性响应条款“投标响应情况”为准。</w:t>
      </w:r>
    </w:p>
    <w:p w14:paraId="2A7AC7CC">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6、以上实质性条款中要求提供证明材料，需如实提供证明材料扫描件，在“说明”一栏中列明证明材料的位置，以便评审；未要求提供证明材料的，投标人可以不提供。</w:t>
      </w:r>
    </w:p>
    <w:p w14:paraId="460A1C62">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szCs w:val="20"/>
          <w:lang w:eastAsia="zh-CN"/>
        </w:rPr>
      </w:pPr>
      <w:r>
        <w:rPr>
          <w:rFonts w:hint="eastAsia" w:ascii="宋体" w:hAnsi="宋体" w:eastAsia="宋体" w:cs="宋体"/>
          <w:b/>
          <w:bCs/>
          <w:szCs w:val="20"/>
          <w:lang w:eastAsia="zh-CN"/>
        </w:rPr>
        <w:br w:type="page"/>
      </w:r>
    </w:p>
    <w:p w14:paraId="5E2B81AA">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十、项目整体设想及规划方案</w:t>
      </w:r>
    </w:p>
    <w:p w14:paraId="7F8C2E89">
      <w:pPr>
        <w:keepNext w:val="0"/>
        <w:keepLines w:val="0"/>
        <w:pageBreakBefore w:val="0"/>
        <w:widowControl/>
        <w:kinsoku/>
        <w:wordWrap/>
        <w:overflowPunct/>
        <w:topLinePunct w:val="0"/>
        <w:autoSpaceDE/>
        <w:autoSpaceDN/>
        <w:bidi w:val="0"/>
        <w:adjustRightInd/>
        <w:snapToGrid/>
        <w:ind w:firstLine="3600" w:firstLineChars="1500"/>
        <w:textAlignment w:val="auto"/>
        <w:rPr>
          <w:rFonts w:hint="eastAsia" w:eastAsia="宋体"/>
          <w:lang w:eastAsia="zh-CN"/>
        </w:rPr>
      </w:pPr>
      <w:r>
        <w:rPr>
          <w:rFonts w:hint="eastAsia" w:eastAsia="宋体"/>
          <w:lang w:eastAsia="zh-CN"/>
        </w:rPr>
        <w:t>（格式自拟）</w:t>
      </w:r>
    </w:p>
    <w:p w14:paraId="36005941">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十一、质量保障方案</w:t>
      </w:r>
    </w:p>
    <w:p w14:paraId="492EAC23">
      <w:pPr>
        <w:keepNext w:val="0"/>
        <w:keepLines w:val="0"/>
        <w:pageBreakBefore w:val="0"/>
        <w:widowControl/>
        <w:kinsoku/>
        <w:wordWrap/>
        <w:overflowPunct/>
        <w:topLinePunct w:val="0"/>
        <w:autoSpaceDE/>
        <w:autoSpaceDN/>
        <w:bidi w:val="0"/>
        <w:adjustRightInd/>
        <w:snapToGrid/>
        <w:ind w:firstLine="3840" w:firstLineChars="1600"/>
        <w:textAlignment w:val="auto"/>
        <w:rPr>
          <w:rFonts w:hint="eastAsia" w:eastAsia="宋体"/>
          <w:lang w:eastAsia="zh-CN"/>
        </w:rPr>
      </w:pPr>
      <w:r>
        <w:rPr>
          <w:rFonts w:hint="eastAsia" w:eastAsia="宋体"/>
          <w:lang w:eastAsia="zh-CN"/>
        </w:rPr>
        <w:t>（格式自拟）</w:t>
      </w:r>
    </w:p>
    <w:p w14:paraId="19A64200">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十二、规章管理制度、工作流程等</w:t>
      </w:r>
    </w:p>
    <w:p w14:paraId="396C42FC">
      <w:pPr>
        <w:keepNext w:val="0"/>
        <w:keepLines w:val="0"/>
        <w:pageBreakBefore w:val="0"/>
        <w:widowControl/>
        <w:kinsoku/>
        <w:wordWrap/>
        <w:overflowPunct/>
        <w:topLinePunct w:val="0"/>
        <w:autoSpaceDE/>
        <w:autoSpaceDN/>
        <w:bidi w:val="0"/>
        <w:adjustRightInd/>
        <w:snapToGrid/>
        <w:ind w:firstLine="3840" w:firstLineChars="1600"/>
        <w:textAlignment w:val="auto"/>
        <w:rPr>
          <w:rFonts w:hint="eastAsia" w:eastAsia="宋体"/>
          <w:lang w:eastAsia="zh-CN"/>
        </w:rPr>
      </w:pPr>
      <w:r>
        <w:rPr>
          <w:rFonts w:hint="eastAsia" w:eastAsia="宋体"/>
          <w:lang w:eastAsia="zh-CN"/>
        </w:rPr>
        <w:t>（格式自拟）</w:t>
      </w:r>
    </w:p>
    <w:p w14:paraId="7715A1B6">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十三、应急方案</w:t>
      </w:r>
    </w:p>
    <w:p w14:paraId="7284802E">
      <w:pPr>
        <w:keepNext w:val="0"/>
        <w:keepLines w:val="0"/>
        <w:pageBreakBefore w:val="0"/>
        <w:widowControl/>
        <w:kinsoku/>
        <w:wordWrap/>
        <w:overflowPunct/>
        <w:topLinePunct w:val="0"/>
        <w:autoSpaceDE/>
        <w:autoSpaceDN/>
        <w:bidi w:val="0"/>
        <w:adjustRightInd/>
        <w:snapToGrid/>
        <w:ind w:firstLine="3600" w:firstLineChars="1500"/>
        <w:textAlignment w:val="auto"/>
        <w:rPr>
          <w:rFonts w:hint="eastAsia" w:eastAsia="宋体"/>
          <w:lang w:eastAsia="zh-CN"/>
        </w:rPr>
      </w:pPr>
      <w:r>
        <w:rPr>
          <w:rFonts w:hint="eastAsia" w:eastAsia="宋体"/>
          <w:lang w:eastAsia="zh-CN"/>
        </w:rPr>
        <w:t>（格式自拟）</w:t>
      </w:r>
    </w:p>
    <w:p w14:paraId="331DE769">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十四、体系认证情况</w:t>
      </w:r>
    </w:p>
    <w:p w14:paraId="00164E54">
      <w:pPr>
        <w:keepNext w:val="0"/>
        <w:keepLines w:val="0"/>
        <w:pageBreakBefore w:val="0"/>
        <w:widowControl/>
        <w:kinsoku/>
        <w:wordWrap/>
        <w:overflowPunct/>
        <w:topLinePunct w:val="0"/>
        <w:autoSpaceDE/>
        <w:autoSpaceDN/>
        <w:bidi w:val="0"/>
        <w:adjustRightInd/>
        <w:snapToGrid/>
        <w:ind w:firstLine="3600" w:firstLineChars="1500"/>
        <w:textAlignment w:val="auto"/>
        <w:rPr>
          <w:rFonts w:hint="eastAsia" w:eastAsia="宋体"/>
          <w:lang w:eastAsia="zh-CN"/>
        </w:rPr>
      </w:pPr>
      <w:r>
        <w:rPr>
          <w:rFonts w:hint="eastAsia" w:eastAsia="宋体"/>
          <w:lang w:eastAsia="zh-CN"/>
        </w:rPr>
        <w:t>（格式自拟）</w:t>
      </w:r>
    </w:p>
    <w:p w14:paraId="7C80CEDF">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十五、检验检测报告</w:t>
      </w:r>
    </w:p>
    <w:p w14:paraId="6AB642D7">
      <w:pPr>
        <w:keepNext w:val="0"/>
        <w:keepLines w:val="0"/>
        <w:pageBreakBefore w:val="0"/>
        <w:widowControl/>
        <w:kinsoku/>
        <w:wordWrap/>
        <w:overflowPunct/>
        <w:topLinePunct w:val="0"/>
        <w:autoSpaceDE/>
        <w:autoSpaceDN/>
        <w:bidi w:val="0"/>
        <w:adjustRightInd/>
        <w:snapToGrid/>
        <w:ind w:firstLine="3840" w:firstLineChars="1600"/>
        <w:textAlignment w:val="auto"/>
        <w:rPr>
          <w:rFonts w:hint="eastAsia" w:eastAsia="宋体"/>
          <w:lang w:eastAsia="zh-CN"/>
        </w:rPr>
      </w:pPr>
      <w:r>
        <w:rPr>
          <w:rFonts w:hint="eastAsia" w:eastAsia="宋体"/>
          <w:lang w:eastAsia="zh-CN"/>
        </w:rPr>
        <w:t>（格式自拟）</w:t>
      </w:r>
    </w:p>
    <w:p w14:paraId="070015C8">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十六、投标人获奖情况</w:t>
      </w:r>
    </w:p>
    <w:p w14:paraId="795A5B5E">
      <w:pPr>
        <w:keepNext w:val="0"/>
        <w:keepLines w:val="0"/>
        <w:pageBreakBefore w:val="0"/>
        <w:widowControl/>
        <w:kinsoku/>
        <w:wordWrap/>
        <w:overflowPunct/>
        <w:topLinePunct w:val="0"/>
        <w:autoSpaceDE/>
        <w:autoSpaceDN/>
        <w:bidi w:val="0"/>
        <w:adjustRightInd/>
        <w:snapToGrid/>
        <w:ind w:firstLine="3840" w:firstLineChars="1600"/>
        <w:textAlignment w:val="auto"/>
        <w:rPr>
          <w:rFonts w:hint="eastAsia" w:eastAsia="宋体"/>
          <w:lang w:eastAsia="zh-CN"/>
        </w:rPr>
      </w:pPr>
      <w:r>
        <w:rPr>
          <w:rFonts w:hint="eastAsia" w:eastAsia="宋体"/>
          <w:lang w:eastAsia="zh-CN"/>
        </w:rPr>
        <w:t>（格式自拟）</w:t>
      </w:r>
    </w:p>
    <w:p w14:paraId="632CF27E">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十七、项目负责人情况评价</w:t>
      </w:r>
    </w:p>
    <w:p w14:paraId="7EC6E010">
      <w:pPr>
        <w:keepNext w:val="0"/>
        <w:keepLines w:val="0"/>
        <w:pageBreakBefore w:val="0"/>
        <w:widowControl/>
        <w:kinsoku/>
        <w:wordWrap/>
        <w:overflowPunct/>
        <w:topLinePunct w:val="0"/>
        <w:autoSpaceDE/>
        <w:autoSpaceDN/>
        <w:bidi w:val="0"/>
        <w:adjustRightInd/>
        <w:snapToGrid/>
        <w:ind w:firstLine="3840" w:firstLineChars="1600"/>
        <w:textAlignment w:val="auto"/>
        <w:rPr>
          <w:rFonts w:hint="eastAsia" w:eastAsia="宋体"/>
          <w:lang w:eastAsia="zh-CN"/>
        </w:rPr>
      </w:pPr>
      <w:r>
        <w:rPr>
          <w:rFonts w:hint="eastAsia" w:eastAsia="宋体"/>
          <w:lang w:eastAsia="zh-CN"/>
        </w:rPr>
        <w:t>（格式自拟）</w:t>
      </w:r>
    </w:p>
    <w:p w14:paraId="18C1E779">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十八、配送场所情况</w:t>
      </w:r>
    </w:p>
    <w:p w14:paraId="1C1F961C">
      <w:pPr>
        <w:keepNext w:val="0"/>
        <w:keepLines w:val="0"/>
        <w:pageBreakBefore w:val="0"/>
        <w:widowControl/>
        <w:kinsoku/>
        <w:wordWrap/>
        <w:overflowPunct/>
        <w:topLinePunct w:val="0"/>
        <w:autoSpaceDE/>
        <w:autoSpaceDN/>
        <w:bidi w:val="0"/>
        <w:adjustRightInd/>
        <w:snapToGrid/>
        <w:ind w:firstLine="3840" w:firstLineChars="1600"/>
        <w:textAlignment w:val="auto"/>
        <w:rPr>
          <w:rFonts w:hint="eastAsia" w:eastAsia="宋体"/>
          <w:lang w:eastAsia="zh-CN"/>
        </w:rPr>
      </w:pPr>
      <w:r>
        <w:rPr>
          <w:rFonts w:hint="eastAsia" w:eastAsia="宋体"/>
          <w:lang w:eastAsia="zh-CN"/>
        </w:rPr>
        <w:t>（格式自拟）</w:t>
      </w:r>
    </w:p>
    <w:p w14:paraId="7742EEA7">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十九、检测室以及检测仪器设备</w:t>
      </w:r>
    </w:p>
    <w:p w14:paraId="1B369D85">
      <w:pPr>
        <w:keepNext w:val="0"/>
        <w:keepLines w:val="0"/>
        <w:pageBreakBefore w:val="0"/>
        <w:widowControl/>
        <w:kinsoku/>
        <w:wordWrap/>
        <w:overflowPunct/>
        <w:topLinePunct w:val="0"/>
        <w:autoSpaceDE/>
        <w:autoSpaceDN/>
        <w:bidi w:val="0"/>
        <w:adjustRightInd/>
        <w:snapToGrid/>
        <w:ind w:firstLine="3600" w:firstLineChars="1500"/>
        <w:textAlignment w:val="auto"/>
        <w:rPr>
          <w:rFonts w:hint="eastAsia" w:eastAsia="宋体"/>
          <w:lang w:eastAsia="zh-CN"/>
        </w:rPr>
      </w:pPr>
      <w:r>
        <w:rPr>
          <w:rFonts w:hint="eastAsia" w:eastAsia="宋体"/>
          <w:lang w:eastAsia="zh-CN"/>
        </w:rPr>
        <w:t>（格式自拟）</w:t>
      </w:r>
    </w:p>
    <w:p w14:paraId="22963D9F">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二十、冷库情况</w:t>
      </w:r>
    </w:p>
    <w:p w14:paraId="04A7DAD1">
      <w:pPr>
        <w:keepNext w:val="0"/>
        <w:keepLines w:val="0"/>
        <w:pageBreakBefore w:val="0"/>
        <w:widowControl/>
        <w:kinsoku/>
        <w:wordWrap/>
        <w:overflowPunct/>
        <w:topLinePunct w:val="0"/>
        <w:autoSpaceDE/>
        <w:autoSpaceDN/>
        <w:bidi w:val="0"/>
        <w:adjustRightInd/>
        <w:snapToGrid/>
        <w:ind w:firstLine="3600" w:firstLineChars="1500"/>
        <w:textAlignment w:val="auto"/>
        <w:rPr>
          <w:rFonts w:hint="eastAsia" w:eastAsia="宋体"/>
          <w:lang w:eastAsia="zh-CN"/>
        </w:rPr>
      </w:pPr>
      <w:r>
        <w:rPr>
          <w:rFonts w:hint="eastAsia" w:eastAsia="宋体"/>
          <w:lang w:eastAsia="zh-CN"/>
        </w:rPr>
        <w:t>（格式自拟）</w:t>
      </w:r>
    </w:p>
    <w:p w14:paraId="126E92E4">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二十一、投标人购买公共责任险</w:t>
      </w:r>
    </w:p>
    <w:p w14:paraId="1B5233B5">
      <w:pPr>
        <w:keepNext w:val="0"/>
        <w:keepLines w:val="0"/>
        <w:pageBreakBefore w:val="0"/>
        <w:widowControl/>
        <w:kinsoku/>
        <w:wordWrap/>
        <w:overflowPunct/>
        <w:topLinePunct w:val="0"/>
        <w:autoSpaceDE/>
        <w:autoSpaceDN/>
        <w:bidi w:val="0"/>
        <w:adjustRightInd/>
        <w:snapToGrid/>
        <w:ind w:firstLine="3600" w:firstLineChars="1500"/>
        <w:textAlignment w:val="auto"/>
        <w:rPr>
          <w:rFonts w:hint="eastAsia" w:eastAsia="宋体"/>
          <w:lang w:eastAsia="zh-CN"/>
        </w:rPr>
      </w:pPr>
      <w:r>
        <w:rPr>
          <w:rFonts w:hint="eastAsia" w:eastAsia="宋体"/>
          <w:lang w:eastAsia="zh-CN"/>
        </w:rPr>
        <w:t>（格式自拟）</w:t>
      </w:r>
    </w:p>
    <w:p w14:paraId="6CD51949">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二十二、投标人购买食品安全保险</w:t>
      </w:r>
    </w:p>
    <w:p w14:paraId="72063C7D">
      <w:pPr>
        <w:keepNext w:val="0"/>
        <w:keepLines w:val="0"/>
        <w:pageBreakBefore w:val="0"/>
        <w:widowControl/>
        <w:kinsoku/>
        <w:wordWrap/>
        <w:overflowPunct/>
        <w:topLinePunct w:val="0"/>
        <w:autoSpaceDE/>
        <w:autoSpaceDN/>
        <w:bidi w:val="0"/>
        <w:adjustRightInd/>
        <w:snapToGrid/>
        <w:ind w:firstLine="3600" w:firstLineChars="1500"/>
        <w:textAlignment w:val="auto"/>
        <w:rPr>
          <w:rFonts w:hint="eastAsia" w:eastAsia="宋体"/>
          <w:lang w:eastAsia="zh-CN"/>
        </w:rPr>
      </w:pPr>
      <w:r>
        <w:rPr>
          <w:rFonts w:hint="eastAsia" w:eastAsia="宋体"/>
          <w:lang w:eastAsia="zh-CN"/>
        </w:rPr>
        <w:t>（格式自拟）</w:t>
      </w:r>
    </w:p>
    <w:p w14:paraId="2C7634C3">
      <w:pPr>
        <w:widowControl w:val="0"/>
        <w:tabs>
          <w:tab w:val="left" w:pos="651"/>
        </w:tabs>
        <w:kinsoku/>
        <w:overflowPunct/>
        <w:topLinePunct w:val="0"/>
        <w:bidi w:val="0"/>
        <w:snapToGrid w:val="0"/>
        <w:spacing w:beforeAutospacing="0" w:afterAutospacing="0" w:line="360" w:lineRule="auto"/>
        <w:ind w:left="0" w:leftChars="0" w:right="0" w:firstLine="0" w:firstLineChars="0"/>
        <w:jc w:val="center"/>
        <w:outlineLvl w:val="2"/>
        <w:rPr>
          <w:rFonts w:hint="eastAsia" w:ascii="宋体" w:hAnsi="宋体" w:eastAsia="宋体" w:cs="宋体"/>
          <w:b/>
          <w:bCs/>
          <w:lang w:eastAsia="zh-CN"/>
        </w:rPr>
      </w:pPr>
      <w:r>
        <w:rPr>
          <w:rFonts w:hint="eastAsia" w:ascii="宋体" w:hAnsi="宋体" w:eastAsia="宋体" w:cs="宋体"/>
          <w:b/>
          <w:bCs/>
          <w:lang w:eastAsia="zh-CN"/>
        </w:rPr>
        <w:t>二十三、项目经验满意度评价</w:t>
      </w:r>
    </w:p>
    <w:p w14:paraId="45F534FD">
      <w:pPr>
        <w:keepNext w:val="0"/>
        <w:keepLines w:val="0"/>
        <w:pageBreakBefore w:val="0"/>
        <w:widowControl/>
        <w:kinsoku/>
        <w:wordWrap/>
        <w:overflowPunct/>
        <w:topLinePunct w:val="0"/>
        <w:autoSpaceDE/>
        <w:autoSpaceDN/>
        <w:bidi w:val="0"/>
        <w:adjustRightInd/>
        <w:snapToGrid/>
        <w:ind w:firstLine="3600" w:firstLineChars="1500"/>
        <w:textAlignment w:val="auto"/>
        <w:rPr>
          <w:rFonts w:hint="eastAsia" w:eastAsia="宋体"/>
          <w:lang w:eastAsia="zh-CN"/>
        </w:rPr>
      </w:pPr>
      <w:r>
        <w:rPr>
          <w:rFonts w:hint="eastAsia" w:eastAsia="宋体"/>
          <w:lang w:eastAsia="zh-CN"/>
        </w:rPr>
        <w:t>（格式自拟）</w:t>
      </w:r>
    </w:p>
    <w:p w14:paraId="7C6BA136">
      <w:pPr>
        <w:widowControl w:val="0"/>
        <w:spacing w:line="360" w:lineRule="auto"/>
        <w:jc w:val="both"/>
        <w:rPr>
          <w:rFonts w:hint="eastAsia" w:ascii="Calibri" w:hAnsi="Calibri" w:eastAsia="宋体"/>
          <w:kern w:val="2"/>
          <w:szCs w:val="22"/>
          <w:lang w:eastAsia="zh-CN"/>
        </w:rPr>
      </w:pPr>
    </w:p>
    <w:p w14:paraId="41A8B2A9">
      <w:pPr>
        <w:widowControl w:val="0"/>
        <w:spacing w:line="360" w:lineRule="auto"/>
        <w:jc w:val="both"/>
        <w:rPr>
          <w:rFonts w:hint="eastAsia" w:ascii="Calibri" w:hAnsi="Calibri" w:eastAsia="宋体"/>
          <w:kern w:val="2"/>
          <w:szCs w:val="22"/>
          <w:lang w:eastAsia="zh-CN"/>
        </w:rPr>
      </w:pPr>
    </w:p>
    <w:p w14:paraId="77B4095C">
      <w:pPr>
        <w:widowControl w:val="0"/>
        <w:spacing w:line="360" w:lineRule="auto"/>
        <w:jc w:val="both"/>
        <w:rPr>
          <w:rFonts w:hint="eastAsia" w:ascii="Calibri" w:hAnsi="Calibri" w:eastAsia="宋体"/>
          <w:b/>
          <w:bCs/>
          <w:kern w:val="2"/>
          <w:szCs w:val="22"/>
          <w:lang w:eastAsia="zh-CN"/>
        </w:rPr>
      </w:pPr>
    </w:p>
    <w:p w14:paraId="1BC09F3F">
      <w:pPr>
        <w:keepNext/>
        <w:keepLines/>
        <w:spacing w:before="120" w:after="120" w:line="240" w:lineRule="auto"/>
        <w:jc w:val="center"/>
        <w:outlineLvl w:val="2"/>
        <w:rPr>
          <w:rFonts w:ascii="宋体" w:hAnsi="宋体" w:eastAsia="宋体"/>
          <w:b/>
          <w:color w:val="000000"/>
          <w:sz w:val="21"/>
          <w:szCs w:val="21"/>
        </w:rPr>
      </w:pPr>
      <w:bookmarkStart w:id="26" w:name="_Toc18553"/>
      <w:bookmarkStart w:id="27" w:name="_Toc12084"/>
      <w:r>
        <w:rPr>
          <w:rFonts w:hint="eastAsia" w:ascii="宋体" w:hAnsi="宋体" w:eastAsia="宋体" w:cs="宋体"/>
          <w:b/>
          <w:color w:val="000000"/>
          <w:sz w:val="28"/>
          <w:szCs w:val="28"/>
          <w:lang w:eastAsia="zh-CN"/>
        </w:rPr>
        <w:t>二十四、</w:t>
      </w:r>
      <w:r>
        <w:rPr>
          <w:rFonts w:hint="eastAsia" w:ascii="宋体" w:hAnsi="宋体" w:eastAsia="宋体" w:cs="宋体"/>
          <w:b/>
          <w:color w:val="000000"/>
          <w:sz w:val="28"/>
          <w:szCs w:val="28"/>
        </w:rPr>
        <w:t>诚信承诺函</w:t>
      </w:r>
      <w:bookmarkEnd w:id="26"/>
      <w:bookmarkEnd w:id="27"/>
    </w:p>
    <w:p w14:paraId="4DD2E7EC">
      <w:pPr>
        <w:spacing w:line="360" w:lineRule="auto"/>
        <w:jc w:val="left"/>
        <w:rPr>
          <w:rFonts w:ascii="宋体" w:hAnsi="宋体" w:eastAsia="宋体"/>
          <w:b/>
          <w:color w:val="000000"/>
          <w:szCs w:val="21"/>
        </w:rPr>
      </w:pPr>
      <w:r>
        <w:rPr>
          <w:rFonts w:hint="eastAsia" w:ascii="宋体" w:hAnsi="宋体" w:eastAsia="宋体"/>
          <w:b/>
          <w:color w:val="000000"/>
          <w:szCs w:val="21"/>
        </w:rPr>
        <w:t>致：深圳市千里招标代理有限公司</w:t>
      </w:r>
    </w:p>
    <w:p w14:paraId="4D134D21">
      <w:pPr>
        <w:spacing w:line="360" w:lineRule="auto"/>
        <w:ind w:firstLine="480" w:firstLineChars="200"/>
        <w:jc w:val="left"/>
        <w:rPr>
          <w:rFonts w:ascii="宋体" w:hAnsi="宋体" w:eastAsia="宋体"/>
          <w:color w:val="000000"/>
          <w:szCs w:val="21"/>
        </w:rPr>
      </w:pPr>
      <w:r>
        <w:rPr>
          <w:rFonts w:hint="eastAsia" w:ascii="宋体" w:hAnsi="宋体" w:eastAsia="宋体"/>
          <w:color w:val="000000"/>
          <w:szCs w:val="21"/>
        </w:rPr>
        <w:t>我公司承诺近三年内在政府采购招标投标活动中，不存在以下情形：</w:t>
      </w:r>
    </w:p>
    <w:p w14:paraId="77C6AFFB">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（一）被纪检监察部门立案调查，违法违规事实成立的；</w:t>
      </w:r>
    </w:p>
    <w:p w14:paraId="33C00E8B">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（二）未按本条例规定签订、履行采购合同，造成严重后果的；</w:t>
      </w:r>
    </w:p>
    <w:p w14:paraId="4172A056">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（三）隐瞒真实情况，提供虚假资料的；</w:t>
      </w:r>
    </w:p>
    <w:p w14:paraId="631E144A">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（四）以非法手段排斥其他供应商参与竞争的；</w:t>
      </w:r>
    </w:p>
    <w:p w14:paraId="4928C947">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（五）与其他采购参加人串通投标的；</w:t>
      </w:r>
    </w:p>
    <w:p w14:paraId="166AD7F4">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 xml:space="preserve">（六）在采购活动中应当回避而未回避的； </w:t>
      </w:r>
    </w:p>
    <w:p w14:paraId="709383C9">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 xml:space="preserve">（七）恶意投诉的； </w:t>
      </w:r>
    </w:p>
    <w:p w14:paraId="642AB9E7">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 xml:space="preserve">（八）向采购项目相关人行贿或者提供其他不当利益的； </w:t>
      </w:r>
    </w:p>
    <w:p w14:paraId="235CAD40">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（九）阻碍、抗拒主管部门监督检查的；</w:t>
      </w:r>
    </w:p>
    <w:p w14:paraId="62055579">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（十）履约检查不合格或者评价为差的；</w:t>
      </w:r>
    </w:p>
    <w:p w14:paraId="127C9610">
      <w:pPr>
        <w:tabs>
          <w:tab w:val="left" w:pos="567"/>
        </w:tabs>
        <w:spacing w:line="360" w:lineRule="auto"/>
        <w:ind w:left="420"/>
        <w:jc w:val="left"/>
        <w:rPr>
          <w:rFonts w:ascii="宋体" w:hAnsi="宋体" w:eastAsia="宋体"/>
          <w:color w:val="000000"/>
          <w:sz w:val="21"/>
          <w:szCs w:val="21"/>
        </w:rPr>
      </w:pPr>
      <w:r>
        <w:rPr>
          <w:rFonts w:hint="eastAsia" w:ascii="宋体" w:hAnsi="宋体" w:eastAsia="宋体"/>
          <w:color w:val="000000"/>
          <w:sz w:val="21"/>
          <w:szCs w:val="21"/>
        </w:rPr>
        <w:t>（十一）重大违法犯罪记录和被财政等政府主管部门处以禁止参与政府采购活动的情况；</w:t>
      </w:r>
    </w:p>
    <w:p w14:paraId="266AC778">
      <w:pPr>
        <w:spacing w:line="360" w:lineRule="auto"/>
        <w:ind w:firstLine="480" w:firstLineChars="200"/>
        <w:jc w:val="left"/>
        <w:rPr>
          <w:rFonts w:ascii="宋体" w:hAnsi="宋体" w:eastAsia="宋体"/>
          <w:color w:val="000000"/>
          <w:szCs w:val="21"/>
        </w:rPr>
      </w:pPr>
      <w:r>
        <w:rPr>
          <w:rFonts w:hint="eastAsia" w:ascii="宋体" w:hAnsi="宋体" w:eastAsia="宋体"/>
          <w:color w:val="000000"/>
          <w:szCs w:val="21"/>
        </w:rPr>
        <w:t>（十二）主管部门认定的其他情形。</w:t>
      </w:r>
    </w:p>
    <w:p w14:paraId="03EC9943">
      <w:pPr>
        <w:spacing w:line="360" w:lineRule="auto"/>
        <w:ind w:firstLine="480" w:firstLineChars="200"/>
        <w:jc w:val="left"/>
        <w:rPr>
          <w:rFonts w:ascii="宋体" w:hAnsi="宋体" w:eastAsia="宋体"/>
          <w:color w:val="000000"/>
          <w:szCs w:val="21"/>
        </w:rPr>
      </w:pPr>
      <w:r>
        <w:rPr>
          <w:rFonts w:hint="eastAsia" w:ascii="宋体" w:hAnsi="宋体" w:eastAsia="宋体"/>
          <w:color w:val="000000"/>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4C92EF00">
      <w:pPr>
        <w:spacing w:line="360" w:lineRule="auto"/>
        <w:ind w:firstLine="480" w:firstLineChars="200"/>
        <w:jc w:val="left"/>
        <w:rPr>
          <w:rFonts w:ascii="宋体" w:hAnsi="宋体" w:eastAsia="宋体"/>
          <w:color w:val="000000"/>
          <w:szCs w:val="21"/>
        </w:rPr>
      </w:pPr>
      <w:r>
        <w:rPr>
          <w:rFonts w:hint="eastAsia" w:ascii="宋体" w:hAnsi="宋体" w:eastAsia="宋体"/>
          <w:color w:val="000000"/>
          <w:szCs w:val="21"/>
        </w:rPr>
        <w:t>特此承诺。</w:t>
      </w:r>
    </w:p>
    <w:p w14:paraId="0506C7FE">
      <w:pPr>
        <w:spacing w:line="360" w:lineRule="auto"/>
        <w:jc w:val="right"/>
        <w:rPr>
          <w:rFonts w:ascii="宋体" w:hAnsi="宋体" w:eastAsia="宋体"/>
          <w:color w:val="000000"/>
          <w:szCs w:val="21"/>
        </w:rPr>
      </w:pPr>
    </w:p>
    <w:p w14:paraId="1519EC92">
      <w:pPr>
        <w:spacing w:line="360" w:lineRule="auto"/>
        <w:jc w:val="right"/>
        <w:rPr>
          <w:rFonts w:ascii="宋体" w:hAnsi="宋体" w:eastAsia="宋体"/>
          <w:color w:val="000000"/>
          <w:szCs w:val="21"/>
        </w:rPr>
      </w:pPr>
    </w:p>
    <w:p w14:paraId="41E2FCE8">
      <w:pPr>
        <w:spacing w:line="360" w:lineRule="auto"/>
        <w:ind w:firstLine="3600" w:firstLineChars="1500"/>
        <w:jc w:val="left"/>
        <w:rPr>
          <w:rFonts w:ascii="宋体" w:hAnsi="宋体" w:eastAsia="宋体"/>
          <w:color w:val="000000"/>
          <w:szCs w:val="21"/>
        </w:rPr>
      </w:pPr>
      <w:r>
        <w:rPr>
          <w:rFonts w:hint="eastAsia" w:ascii="宋体" w:hAnsi="宋体" w:eastAsia="宋体"/>
          <w:color w:val="000000"/>
          <w:szCs w:val="21"/>
        </w:rPr>
        <w:t>法定代表人或投标人授权代表</w:t>
      </w:r>
      <w:r>
        <w:rPr>
          <w:rFonts w:hint="eastAsia" w:ascii="宋体" w:hAnsi="宋体" w:eastAsia="宋体" w:cs="Arial"/>
          <w:bCs/>
          <w:color w:val="000000"/>
          <w:szCs w:val="21"/>
        </w:rPr>
        <w:t>（签名/签章）</w:t>
      </w:r>
      <w:r>
        <w:rPr>
          <w:rFonts w:hint="eastAsia" w:ascii="宋体" w:hAnsi="宋体" w:eastAsia="宋体"/>
          <w:color w:val="000000"/>
          <w:szCs w:val="21"/>
        </w:rPr>
        <w:t>：</w:t>
      </w:r>
    </w:p>
    <w:p w14:paraId="199B4F8B">
      <w:pPr>
        <w:spacing w:line="360" w:lineRule="auto"/>
        <w:jc w:val="left"/>
        <w:rPr>
          <w:rFonts w:ascii="宋体" w:hAnsi="宋体" w:eastAsia="宋体"/>
          <w:color w:val="000000"/>
          <w:szCs w:val="21"/>
        </w:rPr>
      </w:pPr>
    </w:p>
    <w:p w14:paraId="5964C9F5">
      <w:pPr>
        <w:spacing w:line="360" w:lineRule="auto"/>
        <w:ind w:firstLine="3600" w:firstLineChars="1500"/>
        <w:jc w:val="left"/>
        <w:rPr>
          <w:rFonts w:ascii="宋体" w:hAnsi="宋体" w:eastAsia="宋体"/>
          <w:color w:val="000000"/>
          <w:szCs w:val="21"/>
        </w:rPr>
      </w:pPr>
      <w:r>
        <w:rPr>
          <w:rFonts w:hint="eastAsia" w:ascii="宋体" w:hAnsi="宋体" w:eastAsia="宋体"/>
          <w:color w:val="000000"/>
          <w:szCs w:val="21"/>
        </w:rPr>
        <w:t>投标单位（</w:t>
      </w:r>
      <w:r>
        <w:rPr>
          <w:rFonts w:hint="eastAsia" w:ascii="宋体" w:hAnsi="宋体" w:eastAsia="宋体"/>
          <w:b/>
          <w:color w:val="000000"/>
          <w:szCs w:val="21"/>
        </w:rPr>
        <w:t>盖公章</w:t>
      </w:r>
      <w:r>
        <w:rPr>
          <w:rFonts w:hint="eastAsia" w:ascii="宋体" w:hAnsi="宋体" w:eastAsia="宋体"/>
          <w:color w:val="000000"/>
          <w:szCs w:val="21"/>
        </w:rPr>
        <w:t>）：</w:t>
      </w:r>
    </w:p>
    <w:p w14:paraId="222E542A">
      <w:pPr>
        <w:spacing w:line="360" w:lineRule="auto"/>
        <w:jc w:val="left"/>
        <w:rPr>
          <w:rFonts w:ascii="宋体" w:hAnsi="宋体" w:eastAsia="宋体"/>
          <w:color w:val="000000"/>
          <w:szCs w:val="21"/>
        </w:rPr>
      </w:pPr>
    </w:p>
    <w:p w14:paraId="23CD5A7B">
      <w:pPr>
        <w:widowControl w:val="0"/>
        <w:spacing w:line="360" w:lineRule="auto"/>
        <w:ind w:firstLine="3840" w:firstLineChars="1600"/>
        <w:jc w:val="both"/>
        <w:rPr>
          <w:rFonts w:hint="eastAsia" w:ascii="Calibri" w:hAnsi="Calibri" w:eastAsia="宋体"/>
          <w:kern w:val="2"/>
          <w:szCs w:val="22"/>
          <w:lang w:eastAsia="zh-CN"/>
        </w:rPr>
      </w:pPr>
      <w:r>
        <w:rPr>
          <w:rFonts w:hint="eastAsia" w:ascii="宋体" w:hAnsi="宋体" w:eastAsia="宋体"/>
          <w:color w:val="000000"/>
          <w:szCs w:val="21"/>
        </w:rPr>
        <w:t>日期：    年  月  日</w:t>
      </w:r>
    </w:p>
    <w:p w14:paraId="5EBACD58">
      <w:pPr>
        <w:widowControl w:val="0"/>
        <w:spacing w:line="360" w:lineRule="auto"/>
        <w:jc w:val="both"/>
        <w:rPr>
          <w:rFonts w:hint="eastAsia" w:ascii="Calibri" w:hAnsi="Calibri" w:eastAsia="宋体"/>
          <w:kern w:val="2"/>
          <w:szCs w:val="22"/>
          <w:lang w:eastAsia="zh-CN"/>
        </w:rPr>
      </w:pPr>
    </w:p>
    <w:p w14:paraId="289500DF">
      <w:pPr>
        <w:widowControl w:val="0"/>
        <w:spacing w:line="360" w:lineRule="auto"/>
        <w:jc w:val="both"/>
        <w:rPr>
          <w:rFonts w:hint="eastAsia" w:ascii="Calibri" w:hAnsi="Calibri" w:eastAsia="宋体"/>
          <w:kern w:val="2"/>
          <w:szCs w:val="22"/>
          <w:lang w:eastAsia="zh-CN"/>
        </w:rPr>
      </w:pPr>
    </w:p>
    <w:p w14:paraId="4F92ED89">
      <w:pPr>
        <w:widowControl w:val="0"/>
        <w:spacing w:line="360" w:lineRule="auto"/>
        <w:jc w:val="both"/>
        <w:rPr>
          <w:rFonts w:hint="eastAsia" w:ascii="Calibri" w:hAnsi="Calibri" w:eastAsia="宋体"/>
          <w:kern w:val="2"/>
          <w:szCs w:val="22"/>
          <w:lang w:eastAsia="zh-CN"/>
        </w:rPr>
      </w:pPr>
    </w:p>
    <w:p w14:paraId="5E51DE3F">
      <w:pPr>
        <w:widowControl w:val="0"/>
        <w:kinsoku/>
        <w:overflowPunct/>
        <w:topLinePunct w:val="0"/>
        <w:bidi w:val="0"/>
        <w:spacing w:beforeAutospacing="0" w:afterAutospacing="0" w:line="480" w:lineRule="auto"/>
        <w:ind w:left="0" w:leftChars="0" w:right="0" w:firstLine="0" w:firstLineChars="0"/>
        <w:jc w:val="center"/>
        <w:rPr>
          <w:rFonts w:hint="eastAsia" w:ascii="宋体" w:hAnsi="宋体" w:eastAsia="宋体" w:cs="宋体"/>
          <w:b/>
          <w:bCs/>
          <w:lang w:eastAsia="zh-CN"/>
        </w:rPr>
      </w:pPr>
      <w:r>
        <w:rPr>
          <w:rFonts w:hint="eastAsia" w:ascii="宋体" w:hAnsi="宋体" w:eastAsia="宋体" w:cs="宋体"/>
          <w:b/>
          <w:bCs/>
          <w:lang w:eastAsia="zh-CN"/>
        </w:rPr>
        <w:t>二十五、投标人认为需要加以说明的其他内容</w:t>
      </w:r>
    </w:p>
    <w:p w14:paraId="4F2D6D5D">
      <w:pPr>
        <w:jc w:val="center"/>
        <w:rPr>
          <w:rFonts w:hint="eastAsia" w:ascii="黑体" w:hAnsi="宋体" w:eastAsia="黑体"/>
          <w:szCs w:val="20"/>
          <w:lang w:eastAsia="zh-CN"/>
        </w:rPr>
      </w:pPr>
      <w:r>
        <w:rPr>
          <w:rFonts w:hint="eastAsia" w:ascii="黑体" w:hAnsi="宋体" w:eastAsia="黑体" w:cstheme="minorBidi"/>
          <w:szCs w:val="20"/>
          <w:lang w:eastAsia="zh-CN"/>
        </w:rPr>
        <w:t>（一）政府采购违法行为风险知悉确认书</w:t>
      </w:r>
    </w:p>
    <w:p w14:paraId="2602168C">
      <w:pPr>
        <w:jc w:val="center"/>
        <w:rPr>
          <w:rFonts w:hint="eastAsia" w:ascii="黑体" w:hAnsi="宋体" w:eastAsia="黑体"/>
          <w:szCs w:val="20"/>
          <w:lang w:eastAsia="zh-CN"/>
        </w:rPr>
      </w:pPr>
    </w:p>
    <w:p w14:paraId="2D5253E0">
      <w:pPr>
        <w:spacing w:after="120" w:afterLines="50" w:line="360" w:lineRule="exact"/>
        <w:ind w:firstLine="482" w:firstLineChars="200"/>
        <w:rPr>
          <w:rFonts w:hint="eastAsia" w:ascii="宋体" w:hAnsi="宋体" w:eastAsia="宋体" w:cs="宋体"/>
          <w:b/>
          <w:bCs/>
          <w:lang w:eastAsia="zh-CN"/>
        </w:rPr>
      </w:pPr>
      <w:r>
        <w:rPr>
          <w:rFonts w:hint="eastAsia" w:ascii="宋体" w:hAnsi="宋体" w:eastAsia="宋体" w:cs="宋体"/>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1F43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4F362F68">
            <w:pPr>
              <w:widowControl w:val="0"/>
              <w:spacing w:line="400" w:lineRule="exact"/>
              <w:jc w:val="center"/>
              <w:rPr>
                <w:rFonts w:hint="eastAsia" w:ascii="宋体" w:hAnsi="宋体" w:eastAsia="宋体" w:cs="宋体"/>
              </w:rPr>
            </w:pPr>
            <w:r>
              <w:rPr>
                <w:rFonts w:hint="eastAsia" w:ascii="宋体" w:hAnsi="宋体" w:eastAsia="宋体" w:cs="宋体"/>
              </w:rPr>
              <w:t>序号</w:t>
            </w:r>
          </w:p>
        </w:tc>
        <w:tc>
          <w:tcPr>
            <w:tcW w:w="7811" w:type="dxa"/>
          </w:tcPr>
          <w:p w14:paraId="7905419D">
            <w:pPr>
              <w:widowControl w:val="0"/>
              <w:spacing w:line="400" w:lineRule="exact"/>
              <w:jc w:val="center"/>
              <w:rPr>
                <w:rFonts w:hint="eastAsia" w:ascii="宋体" w:hAnsi="宋体" w:eastAsia="宋体" w:cs="宋体"/>
                <w:lang w:eastAsia="zh-CN"/>
              </w:rPr>
            </w:pPr>
            <w:r>
              <w:rPr>
                <w:rFonts w:hint="eastAsia" w:ascii="宋体" w:hAnsi="宋体" w:eastAsia="宋体" w:cs="宋体"/>
                <w:b/>
                <w:bCs/>
                <w:lang w:eastAsia="zh-CN"/>
              </w:rPr>
              <w:t>供应商参与投标禁止情形</w:t>
            </w:r>
          </w:p>
        </w:tc>
      </w:tr>
      <w:tr w14:paraId="4D95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B257BE2">
            <w:pPr>
              <w:widowControl w:val="0"/>
              <w:spacing w:line="400" w:lineRule="exact"/>
              <w:jc w:val="center"/>
              <w:rPr>
                <w:rFonts w:hint="eastAsia" w:ascii="宋体" w:hAnsi="宋体" w:eastAsia="宋体" w:cs="宋体"/>
              </w:rPr>
            </w:pPr>
            <w:r>
              <w:rPr>
                <w:rFonts w:hint="eastAsia" w:ascii="宋体" w:hAnsi="宋体" w:eastAsia="宋体" w:cs="宋体"/>
              </w:rPr>
              <w:t>1</w:t>
            </w:r>
          </w:p>
        </w:tc>
        <w:tc>
          <w:tcPr>
            <w:tcW w:w="7811" w:type="dxa"/>
            <w:vAlign w:val="center"/>
          </w:tcPr>
          <w:p w14:paraId="241AC7E2">
            <w:pPr>
              <w:widowControl w:val="0"/>
              <w:spacing w:line="400" w:lineRule="exact"/>
              <w:jc w:val="left"/>
              <w:rPr>
                <w:rFonts w:hint="eastAsia" w:ascii="宋体" w:hAnsi="宋体" w:eastAsia="宋体" w:cs="宋体"/>
                <w:lang w:eastAsia="zh-CN"/>
              </w:rPr>
            </w:pPr>
            <w:r>
              <w:rPr>
                <w:rFonts w:hint="eastAsia" w:ascii="宋体" w:hAnsi="宋体" w:eastAsia="宋体" w:cs="宋体"/>
                <w:lang w:eastAsia="zh-CN"/>
              </w:rPr>
              <w:t>与其他投标供应商的法定代表人、主要经营负责人、投标授权代表人、项目负责人、主要技术人员为</w:t>
            </w:r>
            <w:r>
              <w:rPr>
                <w:rFonts w:hint="eastAsia" w:ascii="宋体" w:hAnsi="宋体" w:eastAsia="宋体" w:cs="宋体"/>
                <w:b/>
                <w:bCs/>
                <w:lang w:eastAsia="zh-CN"/>
              </w:rPr>
              <w:t>同一人、属同一单位或者在同一单位缴纳社会保险</w:t>
            </w:r>
            <w:r>
              <w:rPr>
                <w:rFonts w:hint="eastAsia" w:ascii="宋体" w:hAnsi="宋体" w:eastAsia="宋体" w:cs="宋体"/>
                <w:lang w:eastAsia="zh-CN"/>
              </w:rPr>
              <w:t>。</w:t>
            </w:r>
          </w:p>
        </w:tc>
      </w:tr>
      <w:tr w14:paraId="5AD7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165466A3">
            <w:pPr>
              <w:widowControl w:val="0"/>
              <w:spacing w:line="400" w:lineRule="exact"/>
              <w:jc w:val="center"/>
              <w:rPr>
                <w:rFonts w:hint="eastAsia" w:ascii="宋体" w:hAnsi="宋体" w:eastAsia="宋体" w:cs="宋体"/>
              </w:rPr>
            </w:pPr>
            <w:r>
              <w:rPr>
                <w:rFonts w:hint="eastAsia" w:ascii="宋体" w:hAnsi="宋体" w:eastAsia="宋体" w:cs="宋体"/>
              </w:rPr>
              <w:t>2</w:t>
            </w:r>
          </w:p>
        </w:tc>
        <w:tc>
          <w:tcPr>
            <w:tcW w:w="7811" w:type="dxa"/>
            <w:vAlign w:val="center"/>
          </w:tcPr>
          <w:p w14:paraId="55DEC6AF">
            <w:pPr>
              <w:widowControl w:val="0"/>
              <w:spacing w:line="400" w:lineRule="exact"/>
              <w:jc w:val="left"/>
              <w:rPr>
                <w:rFonts w:hint="eastAsia" w:ascii="宋体" w:hAnsi="宋体" w:eastAsia="宋体" w:cs="宋体"/>
                <w:lang w:eastAsia="zh-CN"/>
              </w:rPr>
            </w:pPr>
            <w:r>
              <w:rPr>
                <w:rFonts w:hint="eastAsia" w:ascii="宋体" w:hAnsi="宋体" w:eastAsia="宋体" w:cs="宋体"/>
                <w:lang w:eastAsia="zh-CN"/>
              </w:rPr>
              <w:t>参与本项目政府采购活动时，与其他投标供应商存在单位负责人为</w:t>
            </w:r>
            <w:r>
              <w:rPr>
                <w:rFonts w:hint="eastAsia" w:ascii="宋体" w:hAnsi="宋体" w:eastAsia="宋体" w:cs="宋体"/>
                <w:b/>
                <w:bCs/>
                <w:lang w:eastAsia="zh-CN"/>
              </w:rPr>
              <w:t>同一人或直接控股、管理关系</w:t>
            </w:r>
            <w:r>
              <w:rPr>
                <w:rFonts w:hint="eastAsia" w:ascii="宋体" w:hAnsi="宋体" w:eastAsia="宋体" w:cs="宋体"/>
                <w:lang w:eastAsia="zh-CN"/>
              </w:rPr>
              <w:t>。</w:t>
            </w:r>
          </w:p>
        </w:tc>
      </w:tr>
      <w:tr w14:paraId="2E67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E2B4AA9">
            <w:pPr>
              <w:widowControl w:val="0"/>
              <w:spacing w:line="400" w:lineRule="exact"/>
              <w:jc w:val="center"/>
              <w:rPr>
                <w:rFonts w:hint="eastAsia" w:ascii="宋体" w:hAnsi="宋体" w:eastAsia="宋体" w:cs="宋体"/>
              </w:rPr>
            </w:pPr>
            <w:r>
              <w:rPr>
                <w:rFonts w:hint="eastAsia" w:ascii="宋体" w:hAnsi="宋体" w:eastAsia="宋体" w:cs="宋体"/>
              </w:rPr>
              <w:t>3</w:t>
            </w:r>
          </w:p>
        </w:tc>
        <w:tc>
          <w:tcPr>
            <w:tcW w:w="7811" w:type="dxa"/>
            <w:vAlign w:val="center"/>
          </w:tcPr>
          <w:p w14:paraId="3D84E480">
            <w:pPr>
              <w:widowControl w:val="0"/>
              <w:spacing w:line="400" w:lineRule="exact"/>
              <w:jc w:val="left"/>
              <w:rPr>
                <w:rFonts w:hint="eastAsia" w:ascii="宋体" w:hAnsi="宋体" w:eastAsia="宋体" w:cs="宋体"/>
                <w:lang w:eastAsia="zh-CN"/>
              </w:rPr>
            </w:pPr>
            <w:r>
              <w:rPr>
                <w:rFonts w:hint="eastAsia" w:ascii="宋体" w:hAnsi="宋体" w:eastAsia="宋体" w:cs="宋体"/>
                <w:lang w:eastAsia="zh-CN"/>
              </w:rPr>
              <w:t>与其他投标供应商的投标文件或部分投标文件</w:t>
            </w:r>
            <w:r>
              <w:rPr>
                <w:rFonts w:hint="eastAsia" w:ascii="宋体" w:hAnsi="宋体" w:eastAsia="宋体" w:cs="宋体"/>
                <w:b/>
                <w:bCs/>
                <w:lang w:eastAsia="zh-CN"/>
              </w:rPr>
              <w:t>相互混装或存在非正常一致</w:t>
            </w:r>
            <w:r>
              <w:rPr>
                <w:rFonts w:hint="eastAsia" w:ascii="宋体" w:hAnsi="宋体" w:eastAsia="宋体" w:cs="宋体"/>
                <w:lang w:eastAsia="zh-CN"/>
              </w:rPr>
              <w:t>。</w:t>
            </w:r>
          </w:p>
        </w:tc>
      </w:tr>
      <w:tr w14:paraId="7FDD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39218D3">
            <w:pPr>
              <w:widowControl w:val="0"/>
              <w:spacing w:line="400" w:lineRule="exact"/>
              <w:jc w:val="center"/>
              <w:rPr>
                <w:rFonts w:hint="eastAsia" w:ascii="宋体" w:hAnsi="宋体" w:eastAsia="宋体" w:cs="宋体"/>
              </w:rPr>
            </w:pPr>
            <w:r>
              <w:rPr>
                <w:rFonts w:hint="eastAsia" w:ascii="宋体" w:hAnsi="宋体" w:eastAsia="宋体" w:cs="宋体"/>
              </w:rPr>
              <w:t>4</w:t>
            </w:r>
          </w:p>
        </w:tc>
        <w:tc>
          <w:tcPr>
            <w:tcW w:w="7811" w:type="dxa"/>
            <w:vAlign w:val="center"/>
          </w:tcPr>
          <w:p w14:paraId="749B1BCA">
            <w:pPr>
              <w:widowControl w:val="0"/>
              <w:spacing w:line="400" w:lineRule="exact"/>
              <w:jc w:val="left"/>
              <w:rPr>
                <w:rFonts w:hint="eastAsia" w:ascii="宋体" w:hAnsi="宋体" w:eastAsia="宋体" w:cs="宋体"/>
                <w:lang w:eastAsia="zh-CN"/>
              </w:rPr>
            </w:pPr>
            <w:r>
              <w:rPr>
                <w:rFonts w:hint="eastAsia" w:ascii="宋体" w:hAnsi="宋体" w:eastAsia="宋体" w:cs="宋体"/>
                <w:lang w:eastAsia="zh-CN"/>
              </w:rPr>
              <w:t>与其他投标供应商的投标文件由</w:t>
            </w:r>
            <w:r>
              <w:rPr>
                <w:rFonts w:hint="eastAsia" w:ascii="宋体" w:hAnsi="宋体" w:eastAsia="宋体" w:cs="宋体"/>
                <w:b/>
                <w:bCs/>
                <w:lang w:eastAsia="zh-CN"/>
              </w:rPr>
              <w:t>同一单位或者同一人编制</w:t>
            </w:r>
            <w:r>
              <w:rPr>
                <w:rFonts w:hint="eastAsia" w:ascii="宋体" w:hAnsi="宋体" w:eastAsia="宋体" w:cs="宋体"/>
                <w:lang w:eastAsia="zh-CN"/>
              </w:rPr>
              <w:t>，或者使用</w:t>
            </w:r>
            <w:r>
              <w:rPr>
                <w:rFonts w:hint="eastAsia" w:ascii="宋体" w:hAnsi="宋体" w:eastAsia="宋体" w:cs="宋体"/>
                <w:b/>
                <w:bCs/>
                <w:lang w:eastAsia="zh-CN"/>
              </w:rPr>
              <w:t>同一设备编制</w:t>
            </w:r>
            <w:r>
              <w:rPr>
                <w:rFonts w:hint="eastAsia" w:ascii="宋体" w:hAnsi="宋体" w:eastAsia="宋体" w:cs="宋体"/>
                <w:lang w:eastAsia="zh-CN"/>
              </w:rPr>
              <w:t>（“文件制作机器码”“文件创建标识码”一致）。</w:t>
            </w:r>
          </w:p>
        </w:tc>
      </w:tr>
      <w:tr w14:paraId="0600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C718EDD">
            <w:pPr>
              <w:widowControl w:val="0"/>
              <w:spacing w:line="400" w:lineRule="exact"/>
              <w:jc w:val="center"/>
              <w:rPr>
                <w:rFonts w:hint="eastAsia" w:ascii="宋体" w:hAnsi="宋体" w:eastAsia="宋体" w:cs="宋体"/>
              </w:rPr>
            </w:pPr>
            <w:r>
              <w:rPr>
                <w:rFonts w:hint="eastAsia" w:ascii="宋体" w:hAnsi="宋体" w:eastAsia="宋体" w:cs="宋体"/>
              </w:rPr>
              <w:t>5</w:t>
            </w:r>
          </w:p>
        </w:tc>
        <w:tc>
          <w:tcPr>
            <w:tcW w:w="7811" w:type="dxa"/>
            <w:vAlign w:val="center"/>
          </w:tcPr>
          <w:p w14:paraId="031D95FE">
            <w:pPr>
              <w:widowControl w:val="0"/>
              <w:spacing w:line="400" w:lineRule="exact"/>
              <w:jc w:val="left"/>
              <w:rPr>
                <w:rFonts w:hint="eastAsia" w:ascii="宋体" w:hAnsi="宋体" w:eastAsia="宋体" w:cs="宋体"/>
                <w:lang w:eastAsia="zh-CN"/>
              </w:rPr>
            </w:pPr>
            <w:r>
              <w:rPr>
                <w:rFonts w:hint="eastAsia" w:ascii="宋体" w:hAnsi="宋体" w:eastAsia="宋体" w:cs="宋体"/>
                <w:lang w:eastAsia="zh-CN"/>
              </w:rPr>
              <w:t>提供</w:t>
            </w:r>
            <w:r>
              <w:rPr>
                <w:rFonts w:hint="eastAsia" w:ascii="宋体" w:hAnsi="宋体" w:eastAsia="宋体" w:cs="宋体"/>
                <w:b/>
                <w:bCs/>
                <w:lang w:eastAsia="zh-CN"/>
              </w:rPr>
              <w:t>未经出具机构核实</w:t>
            </w:r>
            <w:r>
              <w:rPr>
                <w:rFonts w:hint="eastAsia" w:ascii="宋体" w:hAnsi="宋体" w:eastAsia="宋体" w:cs="宋体"/>
                <w:lang w:eastAsia="zh-CN"/>
              </w:rPr>
              <w:t>的虚假的检验检测报告、业绩材料、社保缴纳证明、学历学位证书、职称认证证书等材料。</w:t>
            </w:r>
          </w:p>
        </w:tc>
      </w:tr>
      <w:tr w14:paraId="4599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3737B34">
            <w:pPr>
              <w:widowControl w:val="0"/>
              <w:spacing w:line="400" w:lineRule="exact"/>
              <w:jc w:val="center"/>
              <w:rPr>
                <w:rFonts w:hint="eastAsia" w:ascii="宋体" w:hAnsi="宋体" w:eastAsia="宋体" w:cs="宋体"/>
              </w:rPr>
            </w:pPr>
            <w:r>
              <w:rPr>
                <w:rFonts w:hint="eastAsia" w:ascii="宋体" w:hAnsi="宋体" w:eastAsia="宋体" w:cs="宋体"/>
              </w:rPr>
              <w:t>6</w:t>
            </w:r>
          </w:p>
        </w:tc>
        <w:tc>
          <w:tcPr>
            <w:tcW w:w="7811" w:type="dxa"/>
            <w:vAlign w:val="center"/>
          </w:tcPr>
          <w:p w14:paraId="12E605E6">
            <w:pPr>
              <w:widowControl w:val="0"/>
              <w:spacing w:line="400" w:lineRule="exact"/>
              <w:jc w:val="left"/>
              <w:rPr>
                <w:rFonts w:hint="eastAsia" w:ascii="宋体" w:hAnsi="宋体" w:eastAsia="宋体" w:cs="宋体"/>
                <w:lang w:eastAsia="zh-CN"/>
              </w:rPr>
            </w:pPr>
            <w:r>
              <w:rPr>
                <w:rFonts w:hint="eastAsia" w:ascii="宋体" w:hAnsi="宋体" w:eastAsia="宋体" w:cs="宋体"/>
                <w:lang w:eastAsia="zh-CN"/>
              </w:rPr>
              <w:t>擅自将投标密钥或电子营业执照出借他人使用或未妥善保管。</w:t>
            </w:r>
          </w:p>
        </w:tc>
      </w:tr>
    </w:tbl>
    <w:p w14:paraId="60AB3B06">
      <w:pPr>
        <w:widowControl w:val="0"/>
        <w:spacing w:line="579" w:lineRule="exact"/>
        <w:ind w:firstLine="482" w:firstLineChars="200"/>
        <w:jc w:val="both"/>
        <w:rPr>
          <w:rFonts w:hint="eastAsia" w:ascii="宋体" w:hAnsi="宋体" w:eastAsia="宋体" w:cs="仿宋_GB2312"/>
          <w:kern w:val="2"/>
          <w:lang w:eastAsia="zh-CN"/>
        </w:rPr>
      </w:pPr>
      <w:r>
        <w:rPr>
          <w:rFonts w:hint="eastAsia" w:ascii="宋体" w:hAnsi="宋体" w:eastAsia="宋体" w:cs="仿宋_GB2312"/>
          <w:b/>
          <w:bCs/>
          <w:kern w:val="2"/>
          <w:lang w:eastAsia="zh-CN"/>
        </w:rPr>
        <w:t>一、本公司已充分知悉“隐瞒真实情况，提供虚假资料”的法定情形，相关情形包括但不限于</w:t>
      </w:r>
      <w:r>
        <w:rPr>
          <w:rFonts w:hint="eastAsia" w:ascii="宋体" w:hAnsi="宋体" w:eastAsia="宋体" w:cs="仿宋_GB2312"/>
          <w:kern w:val="2"/>
          <w:lang w:eastAsia="zh-CN"/>
        </w:rPr>
        <w:t>：</w:t>
      </w:r>
    </w:p>
    <w:p w14:paraId="640CBF3A">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（一）通过转让或者租借等方式从其他单位获取资格或者资质证书投标的。</w:t>
      </w:r>
    </w:p>
    <w:p w14:paraId="23753A8B">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（二）由其他单位或者其他单位负责人在投标供应商编制的投标文件上加盖印章或者签字的。</w:t>
      </w:r>
    </w:p>
    <w:p w14:paraId="0570A782">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（三）项目负责人或者主要技术人员不是本单位人员的。</w:t>
      </w:r>
    </w:p>
    <w:p w14:paraId="53E1A879">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（四）投标保证金不是从投标供应商基本账户转出的。</w:t>
      </w:r>
    </w:p>
    <w:p w14:paraId="3D206230">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（五）其他隐瞒真实情况、提供虚假资料的行为。</w:t>
      </w:r>
    </w:p>
    <w:p w14:paraId="4ECFE76B">
      <w:pPr>
        <w:widowControl w:val="0"/>
        <w:spacing w:line="579" w:lineRule="exact"/>
        <w:ind w:firstLine="482" w:firstLineChars="200"/>
        <w:jc w:val="both"/>
        <w:rPr>
          <w:rFonts w:hint="eastAsia" w:ascii="宋体" w:hAnsi="宋体" w:eastAsia="宋体" w:cs="仿宋_GB2312"/>
          <w:kern w:val="2"/>
          <w:lang w:eastAsia="zh-CN"/>
        </w:rPr>
      </w:pPr>
      <w:r>
        <w:rPr>
          <w:rFonts w:hint="eastAsia" w:ascii="宋体" w:hAnsi="宋体" w:eastAsia="宋体" w:cs="仿宋_GB2312"/>
          <w:b/>
          <w:bCs/>
          <w:kern w:val="2"/>
          <w:lang w:eastAsia="zh-CN"/>
        </w:rPr>
        <w:t>二、本公司已充分知悉“与其他采购参加人串通投标”的法定情形，相关情形包括但不限于：</w:t>
      </w:r>
    </w:p>
    <w:p w14:paraId="63EA0982">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（一）投标供应商之间相互约定给予未中标的供应商利益补偿。</w:t>
      </w:r>
    </w:p>
    <w:p w14:paraId="18028BA5">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（二）不同投标供应商的法定代表人、主要经营负责人、项目投标授权代表人、项目负责人、主要技术人员为同一人、属同一单位或者在同一单位缴纳社会保险。</w:t>
      </w:r>
    </w:p>
    <w:p w14:paraId="38A6A154">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（三）不同投标供应商的投标文件由同一单位或者同一人编制，或者由同一人分阶段参与编制的。</w:t>
      </w:r>
    </w:p>
    <w:p w14:paraId="64212766">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（四）不同投标供应商的投标文件或部分投标文件相互混装。</w:t>
      </w:r>
    </w:p>
    <w:p w14:paraId="3F09F029">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（五）不同投标供应商的投标文件内容存在非正常一致。</w:t>
      </w:r>
    </w:p>
    <w:p w14:paraId="5BBEF244">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（六）由同一单位工作人员为两家以上（含两家）供应商进行同一项投标活动的。</w:t>
      </w:r>
    </w:p>
    <w:p w14:paraId="17234866">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（七）不同投标人的投标报价呈规律性差异。</w:t>
      </w:r>
    </w:p>
    <w:p w14:paraId="160EF16E">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（八）不同投标人的投标保证金从同一单位或者个人的账户转出。</w:t>
      </w:r>
    </w:p>
    <w:p w14:paraId="194E3486">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（九）主管部门依照法律、法规认定的其他情形。</w:t>
      </w:r>
    </w:p>
    <w:p w14:paraId="51410DBC">
      <w:pPr>
        <w:widowControl w:val="0"/>
        <w:spacing w:line="579" w:lineRule="exact"/>
        <w:ind w:firstLine="482" w:firstLineChars="200"/>
        <w:jc w:val="both"/>
        <w:rPr>
          <w:rFonts w:hint="eastAsia" w:ascii="宋体" w:hAnsi="宋体" w:eastAsia="宋体" w:cs="仿宋_GB2312"/>
          <w:b/>
          <w:bCs/>
          <w:kern w:val="2"/>
          <w:lang w:eastAsia="zh-CN"/>
        </w:rPr>
      </w:pPr>
      <w:r>
        <w:rPr>
          <w:rFonts w:hint="eastAsia" w:ascii="宋体" w:hAnsi="宋体" w:eastAsia="宋体" w:cs="仿宋_GB2312"/>
          <w:b/>
          <w:bCs/>
          <w:kern w:val="2"/>
          <w:lang w:eastAsia="zh-CN"/>
        </w:rPr>
        <w:t>三、本公司已充分知悉下列情形所对应的法律风险，并在投标前已对相关风险事项进行排查。</w:t>
      </w:r>
    </w:p>
    <w:p w14:paraId="3F32602B">
      <w:pPr>
        <w:widowControl w:val="0"/>
        <w:spacing w:line="579" w:lineRule="exact"/>
        <w:ind w:firstLine="480" w:firstLineChars="200"/>
        <w:jc w:val="both"/>
        <w:rPr>
          <w:rFonts w:hint="eastAsia" w:ascii="宋体" w:hAnsi="宋体" w:eastAsia="宋体" w:cs="仿宋_GB2312"/>
          <w:b/>
          <w:bCs/>
          <w:kern w:val="2"/>
          <w:lang w:eastAsia="zh-CN"/>
        </w:rPr>
      </w:pPr>
      <w:r>
        <w:rPr>
          <w:rFonts w:hint="eastAsia" w:ascii="宋体" w:hAnsi="宋体" w:eastAsia="宋体" w:cs="仿宋_GB2312"/>
          <w:kern w:val="2"/>
          <w:lang w:eastAsia="zh-CN"/>
        </w:rPr>
        <w:t>（一）对于</w:t>
      </w:r>
      <w:r>
        <w:rPr>
          <w:rFonts w:hint="eastAsia" w:ascii="宋体" w:hAnsi="宋体" w:eastAsia="宋体"/>
          <w:kern w:val="2"/>
          <w:lang w:eastAsia="zh-CN"/>
        </w:rPr>
        <w:t>从</w:t>
      </w:r>
      <w:r>
        <w:rPr>
          <w:rFonts w:hint="eastAsia" w:ascii="宋体" w:hAnsi="宋体" w:eastAsia="宋体" w:cs="仿宋_GB2312"/>
          <w:kern w:val="2"/>
          <w:lang w:eastAsia="zh-CN"/>
        </w:rPr>
        <w:t>其他主体</w:t>
      </w:r>
      <w:r>
        <w:rPr>
          <w:rFonts w:hint="eastAsia" w:ascii="宋体" w:hAnsi="宋体" w:eastAsia="宋体"/>
          <w:kern w:val="2"/>
          <w:lang w:eastAsia="zh-CN"/>
        </w:rPr>
        <w:t>获取</w:t>
      </w:r>
      <w:r>
        <w:rPr>
          <w:rFonts w:hint="eastAsia" w:ascii="宋体" w:hAnsi="宋体" w:eastAsia="宋体" w:cs="仿宋_GB2312"/>
          <w:kern w:val="2"/>
          <w:lang w:eastAsia="zh-CN"/>
        </w:rPr>
        <w:t>的投标资料，供应商应审慎核查，确保投标资料的真实性。</w:t>
      </w:r>
      <w:r>
        <w:rPr>
          <w:rFonts w:hint="eastAsia" w:ascii="宋体" w:hAnsi="宋体" w:eastAsia="宋体" w:cs="仿宋_GB2312"/>
          <w:b/>
          <w:bCs/>
          <w:kern w:val="2"/>
          <w:lang w:eastAsia="zh-CN"/>
        </w:rPr>
        <w:t>如主管部门查实投标文件中存在虚假资料的，无论相关资料是否由第三方或本公司员工提供，均不影响主管部门对供应商存在“隐瞒真实情况，提供虚假资料”违法行为的认定。</w:t>
      </w:r>
    </w:p>
    <w:p w14:paraId="0BA92486">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72D56F36">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（三）对于涉及安全生产、特种作业、抢险救灾、防疫等政府采购项目，供应商实施提供虚假资料、串通投标等违法行为的，主管部门将依法从严处理。</w:t>
      </w:r>
    </w:p>
    <w:p w14:paraId="7D2C6F6A">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（四）供应商应严格规范项目授权代表、员工参与招标投标的行为，加强对投标文件的审核。项目授权代表、员工</w:t>
      </w:r>
      <w:r>
        <w:rPr>
          <w:rFonts w:hint="eastAsia" w:ascii="宋体" w:hAnsi="宋体" w:eastAsia="宋体"/>
          <w:kern w:val="2"/>
          <w:lang w:eastAsia="zh-CN"/>
        </w:rPr>
        <w:t>编制、上传</w:t>
      </w:r>
      <w:r>
        <w:rPr>
          <w:rFonts w:hint="eastAsia" w:ascii="宋体" w:hAnsi="宋体" w:eastAsia="宋体" w:cs="仿宋_GB2312"/>
          <w:kern w:val="2"/>
          <w:lang w:eastAsia="zh-CN"/>
        </w:rPr>
        <w:t>投标文件</w:t>
      </w:r>
      <w:r>
        <w:rPr>
          <w:rFonts w:hint="eastAsia" w:ascii="宋体" w:hAnsi="宋体" w:eastAsia="宋体"/>
          <w:kern w:val="2"/>
          <w:lang w:eastAsia="zh-CN"/>
        </w:rPr>
        <w:t>等行为</w:t>
      </w:r>
      <w:r>
        <w:rPr>
          <w:rFonts w:hint="eastAsia" w:ascii="宋体" w:hAnsi="宋体" w:eastAsia="宋体" w:cs="仿宋_GB2312"/>
          <w:kern w:val="2"/>
          <w:lang w:eastAsia="zh-CN"/>
        </w:rPr>
        <w:t>违反政府采购法律法规或招标文件要求的，投标供应商应当依法承担相应法律责任。</w:t>
      </w:r>
    </w:p>
    <w:p w14:paraId="04670365">
      <w:pPr>
        <w:widowControl w:val="0"/>
        <w:spacing w:line="579" w:lineRule="exact"/>
        <w:ind w:firstLine="480" w:firstLineChars="200"/>
        <w:rPr>
          <w:rFonts w:hint="eastAsia" w:ascii="宋体" w:hAnsi="宋体" w:eastAsia="宋体" w:cs="仿宋_GB2312"/>
          <w:kern w:val="2"/>
          <w:lang w:eastAsia="zh-CN"/>
        </w:rPr>
      </w:pPr>
      <w:r>
        <w:rPr>
          <w:rFonts w:hint="eastAsia" w:ascii="宋体" w:hAnsi="宋体" w:eastAsia="宋体" w:cs="仿宋_GB2312"/>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D7D643B">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（六）单位负责人为同一人或者存在直接控股、管理关系的不同供应商，不得参加同一合同项下的政府采购活动。相关情形</w:t>
      </w:r>
      <w:r>
        <w:rPr>
          <w:rFonts w:hint="eastAsia" w:ascii="宋体" w:hAnsi="宋体" w:eastAsia="宋体"/>
          <w:kern w:val="2"/>
          <w:lang w:eastAsia="zh-CN"/>
        </w:rPr>
        <w:t>如</w:t>
      </w:r>
      <w:r>
        <w:rPr>
          <w:rFonts w:hint="eastAsia" w:ascii="宋体" w:hAnsi="宋体" w:eastAsia="宋体" w:cs="仿宋_GB2312"/>
          <w:kern w:val="2"/>
          <w:lang w:eastAsia="zh-CN"/>
        </w:rPr>
        <w:t>查实，依法作投标无效处理；涉嫌串通投标等违法行为的，主管部门将依法调查处理。</w:t>
      </w:r>
    </w:p>
    <w:p w14:paraId="6418F78D">
      <w:pPr>
        <w:widowControl w:val="0"/>
        <w:spacing w:line="579" w:lineRule="exact"/>
        <w:ind w:firstLine="482" w:firstLineChars="200"/>
        <w:jc w:val="both"/>
        <w:rPr>
          <w:rFonts w:hint="eastAsia" w:ascii="宋体" w:hAnsi="宋体" w:eastAsia="宋体" w:cs="仿宋_GB2312"/>
          <w:b/>
          <w:bCs/>
          <w:kern w:val="2"/>
          <w:lang w:eastAsia="zh-CN"/>
        </w:rPr>
      </w:pPr>
      <w:r>
        <w:rPr>
          <w:rFonts w:hint="eastAsia" w:ascii="宋体" w:hAnsi="宋体" w:eastAsia="宋体" w:cs="仿宋_GB2312"/>
          <w:b/>
          <w:bCs/>
          <w:kern w:val="2"/>
          <w:lang w:eastAsia="zh-CN"/>
        </w:rPr>
        <w:t>四、本公司已充分知悉政府采购违法、违规行为的法律后果。</w:t>
      </w:r>
      <w:r>
        <w:rPr>
          <w:rFonts w:hint="eastAsia" w:ascii="宋体" w:hAnsi="宋体" w:eastAsia="宋体" w:cs="仿宋_GB2312"/>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8DD3B82">
      <w:pPr>
        <w:widowControl w:val="0"/>
        <w:spacing w:line="579" w:lineRule="exact"/>
        <w:ind w:firstLine="480" w:firstLineChars="200"/>
        <w:jc w:val="both"/>
        <w:rPr>
          <w:rFonts w:hint="eastAsia" w:ascii="宋体" w:hAnsi="宋体" w:eastAsia="宋体" w:cs="仿宋_GB2312"/>
          <w:color w:val="FF0000"/>
          <w:kern w:val="2"/>
          <w:lang w:eastAsia="zh-CN"/>
        </w:rPr>
      </w:pPr>
      <w:r>
        <w:rPr>
          <w:rFonts w:hint="eastAsia" w:ascii="宋体" w:hAnsi="宋体" w:eastAsia="宋体" w:cs="仿宋_GB2312"/>
          <w:color w:val="FF0000"/>
          <w:kern w:val="2"/>
          <w:lang w:eastAsia="zh-CN"/>
        </w:rPr>
        <w:t>我司已阅读并确认：“本公司已仔细阅读《政府采购违法行为风险知悉确认书》，充分知悉违法行为的法律后果，并承诺将严谨、诚信、依法依规参与政府采购活动”。</w:t>
      </w:r>
    </w:p>
    <w:p w14:paraId="0EDE38FC">
      <w:pPr>
        <w:widowControl w:val="0"/>
        <w:spacing w:line="579" w:lineRule="exact"/>
        <w:jc w:val="both"/>
        <w:rPr>
          <w:rFonts w:hint="eastAsia" w:ascii="宋体" w:hAnsi="宋体" w:eastAsia="宋体" w:cs="仿宋_GB2312"/>
          <w:kern w:val="2"/>
          <w:u w:val="single"/>
          <w:lang w:eastAsia="zh-CN"/>
        </w:rPr>
      </w:pPr>
    </w:p>
    <w:p w14:paraId="45389656">
      <w:pPr>
        <w:widowControl w:val="0"/>
        <w:spacing w:line="560" w:lineRule="exact"/>
        <w:jc w:val="both"/>
        <w:rPr>
          <w:rFonts w:hint="eastAsia" w:ascii="宋体" w:hAnsi="宋体" w:eastAsia="宋体" w:cs="宋体"/>
          <w:kern w:val="2"/>
          <w:sz w:val="18"/>
          <w:szCs w:val="18"/>
          <w:lang w:eastAsia="zh-CN"/>
        </w:rPr>
      </w:pPr>
    </w:p>
    <w:p w14:paraId="0AA32C14">
      <w:pPr>
        <w:widowControl w:val="0"/>
        <w:spacing w:before="60" w:beforeLines="25" w:after="60" w:afterLines="25"/>
        <w:jc w:val="right"/>
        <w:rPr>
          <w:rFonts w:ascii="Calibri" w:hAnsi="Calibri" w:eastAsia="宋体"/>
          <w:kern w:val="2"/>
          <w:sz w:val="21"/>
          <w:szCs w:val="22"/>
          <w:lang w:eastAsia="zh-CN"/>
        </w:rPr>
      </w:pPr>
      <w:r>
        <w:rPr>
          <w:rFonts w:hint="eastAsia" w:ascii="Calibri" w:hAnsi="Calibri" w:eastAsia="宋体" w:cstheme="minorBidi"/>
          <w:kern w:val="2"/>
          <w:sz w:val="21"/>
          <w:szCs w:val="21"/>
          <w:lang w:eastAsia="zh-CN"/>
        </w:rPr>
        <w:t>投标人：</w:t>
      </w:r>
      <w:r>
        <w:rPr>
          <w:rFonts w:hint="eastAsia" w:ascii="宋体" w:hAnsi="宋体" w:eastAsia="宋体" w:cstheme="minorBidi"/>
          <w:kern w:val="2"/>
          <w:sz w:val="21"/>
          <w:szCs w:val="21"/>
          <w:u w:val="single"/>
          <w:lang w:eastAsia="zh-CN"/>
        </w:rPr>
        <w:t xml:space="preserve">                </w:t>
      </w:r>
      <w:r>
        <w:rPr>
          <w:rFonts w:hint="eastAsia" w:ascii="Calibri" w:hAnsi="Calibri" w:eastAsia="宋体" w:cstheme="minorBidi"/>
          <w:color w:val="FFFFFF"/>
          <w:kern w:val="2"/>
          <w:sz w:val="21"/>
          <w:szCs w:val="21"/>
          <w:u w:val="single"/>
          <w:lang w:eastAsia="zh-CN"/>
        </w:rPr>
        <w:t>.</w:t>
      </w:r>
    </w:p>
    <w:p w14:paraId="0459BACB">
      <w:pPr>
        <w:widowControl w:val="0"/>
        <w:ind w:firstLine="645"/>
        <w:jc w:val="righ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5537D81E">
      <w:pPr>
        <w:widowControl w:val="0"/>
        <w:adjustRightInd w:val="0"/>
        <w:snapToGrid w:val="0"/>
        <w:spacing w:line="360" w:lineRule="auto"/>
        <w:ind w:firstLine="494" w:firstLineChars="206"/>
        <w:rPr>
          <w:rFonts w:hint="eastAsia" w:ascii="宋体" w:hAnsi="宋体" w:eastAsia="宋体" w:cs="仿宋_GB2312"/>
          <w:kern w:val="2"/>
          <w:lang w:eastAsia="zh-CN"/>
        </w:rPr>
      </w:pPr>
    </w:p>
    <w:p w14:paraId="7C1FB7E5">
      <w:pPr>
        <w:autoSpaceDE w:val="0"/>
        <w:autoSpaceDN w:val="0"/>
        <w:spacing w:line="400" w:lineRule="exact"/>
        <w:ind w:firstLine="480" w:firstLineChars="200"/>
        <w:rPr>
          <w:rFonts w:hint="eastAsia" w:ascii="宋体" w:hAnsi="宋体" w:eastAsia="宋体" w:cs="仿宋_GB2312"/>
          <w:kern w:val="2"/>
          <w:lang w:eastAsia="zh-CN"/>
        </w:rPr>
      </w:pPr>
      <w:r>
        <w:rPr>
          <w:rFonts w:hint="eastAsia" w:ascii="宋体" w:hAnsi="宋体" w:eastAsia="宋体" w:cs="仿宋_GB2312"/>
          <w:kern w:val="2"/>
          <w:lang w:eastAsia="zh-CN"/>
        </w:rPr>
        <w:t>注：根据《深圳市财政局关于采购文件增加风险告知有关事项的通知》（深财购〔2022〕22号），该风险知悉确认书用于对供应商违法行为的警示，不作为供应商资格性审查及符合性审查条件。</w:t>
      </w:r>
    </w:p>
    <w:p w14:paraId="25E4701A">
      <w:pPr>
        <w:autoSpaceDE w:val="0"/>
        <w:autoSpaceDN w:val="0"/>
        <w:spacing w:line="400" w:lineRule="exact"/>
        <w:ind w:firstLine="480" w:firstLineChars="200"/>
        <w:rPr>
          <w:rFonts w:hint="eastAsia" w:ascii="宋体" w:hAnsi="宋体" w:eastAsia="宋体" w:cs="仿宋_GB2312"/>
          <w:kern w:val="2"/>
          <w:lang w:eastAsia="zh-CN"/>
        </w:rPr>
      </w:pPr>
    </w:p>
    <w:p w14:paraId="41123417">
      <w:pPr>
        <w:autoSpaceDE w:val="0"/>
        <w:autoSpaceDN w:val="0"/>
        <w:spacing w:line="400" w:lineRule="exact"/>
        <w:ind w:firstLine="480" w:firstLineChars="200"/>
        <w:rPr>
          <w:rFonts w:hint="eastAsia" w:ascii="宋体" w:hAnsi="宋体" w:eastAsia="宋体" w:cs="仿宋_GB2312"/>
          <w:kern w:val="2"/>
          <w:lang w:eastAsia="zh-CN"/>
        </w:rPr>
      </w:pPr>
    </w:p>
    <w:p w14:paraId="06C8FD07">
      <w:pPr>
        <w:autoSpaceDE w:val="0"/>
        <w:autoSpaceDN w:val="0"/>
        <w:spacing w:line="400" w:lineRule="exact"/>
        <w:ind w:firstLine="480" w:firstLineChars="200"/>
        <w:rPr>
          <w:rFonts w:hint="eastAsia" w:ascii="宋体" w:hAnsi="宋体" w:eastAsia="宋体" w:cs="仿宋_GB2312"/>
          <w:kern w:val="2"/>
          <w:lang w:eastAsia="zh-CN"/>
        </w:rPr>
      </w:pPr>
    </w:p>
    <w:p w14:paraId="4261D731">
      <w:pPr>
        <w:numPr>
          <w:ilvl w:val="0"/>
          <w:numId w:val="8"/>
        </w:numPr>
        <w:jc w:val="center"/>
        <w:rPr>
          <w:rFonts w:hint="eastAsia" w:ascii="黑体" w:hAnsi="宋体" w:eastAsia="黑体"/>
          <w:szCs w:val="20"/>
          <w:lang w:eastAsia="zh-CN"/>
        </w:rPr>
      </w:pPr>
      <w:r>
        <w:rPr>
          <w:rFonts w:hint="eastAsia" w:ascii="黑体" w:hAnsi="宋体" w:eastAsia="黑体" w:cstheme="minorBidi"/>
          <w:szCs w:val="20"/>
          <w:lang w:eastAsia="zh-CN"/>
        </w:rPr>
        <w:t>投标人认为需要加以说明的其他内容（格式自定）</w:t>
      </w:r>
    </w:p>
    <w:p w14:paraId="56D060A5">
      <w:pPr>
        <w:numPr>
          <w:ilvl w:val="0"/>
          <w:numId w:val="0"/>
        </w:numPr>
        <w:ind w:left="0" w:firstLine="0"/>
        <w:jc w:val="center"/>
        <w:rPr>
          <w:rFonts w:hint="eastAsia" w:ascii="黑体" w:hAnsi="宋体" w:eastAsia="黑体"/>
          <w:szCs w:val="20"/>
          <w:lang w:eastAsia="zh-CN"/>
        </w:rPr>
      </w:pPr>
    </w:p>
    <w:p w14:paraId="68790D5F">
      <w:pPr>
        <w:numPr>
          <w:ilvl w:val="0"/>
          <w:numId w:val="0"/>
        </w:numPr>
        <w:ind w:left="0" w:firstLine="0"/>
        <w:jc w:val="center"/>
        <w:rPr>
          <w:rFonts w:hint="eastAsia" w:ascii="黑体" w:hAnsi="宋体" w:eastAsia="黑体"/>
          <w:szCs w:val="20"/>
          <w:lang w:eastAsia="zh-CN"/>
        </w:rPr>
      </w:pPr>
    </w:p>
    <w:p w14:paraId="2111A892">
      <w:pPr>
        <w:numPr>
          <w:ilvl w:val="0"/>
          <w:numId w:val="0"/>
        </w:numPr>
        <w:ind w:left="0" w:firstLine="0"/>
        <w:jc w:val="center"/>
        <w:rPr>
          <w:rFonts w:hint="eastAsia" w:ascii="黑体" w:hAnsi="宋体" w:eastAsia="黑体"/>
          <w:szCs w:val="20"/>
          <w:lang w:eastAsia="zh-CN"/>
        </w:rPr>
      </w:pPr>
    </w:p>
    <w:p w14:paraId="38EE7AF1">
      <w:pPr>
        <w:numPr>
          <w:ilvl w:val="0"/>
          <w:numId w:val="0"/>
        </w:numPr>
        <w:ind w:left="0" w:firstLine="0"/>
        <w:jc w:val="center"/>
        <w:rPr>
          <w:rFonts w:hint="eastAsia" w:ascii="黑体" w:hAnsi="宋体" w:eastAsia="黑体"/>
          <w:szCs w:val="20"/>
          <w:lang w:eastAsia="zh-CN"/>
        </w:rPr>
      </w:pPr>
    </w:p>
    <w:p w14:paraId="7D061649">
      <w:pPr>
        <w:numPr>
          <w:ilvl w:val="0"/>
          <w:numId w:val="0"/>
        </w:numPr>
        <w:ind w:left="0" w:firstLine="0"/>
        <w:jc w:val="center"/>
        <w:rPr>
          <w:rFonts w:hint="eastAsia" w:ascii="黑体" w:hAnsi="宋体" w:eastAsia="黑体"/>
          <w:szCs w:val="20"/>
          <w:lang w:eastAsia="zh-CN"/>
        </w:rPr>
      </w:pPr>
    </w:p>
    <w:p w14:paraId="40746E9D">
      <w:pPr>
        <w:numPr>
          <w:ilvl w:val="0"/>
          <w:numId w:val="0"/>
        </w:numPr>
        <w:ind w:left="0" w:firstLine="0"/>
        <w:jc w:val="center"/>
        <w:rPr>
          <w:rFonts w:hint="eastAsia" w:ascii="黑体" w:hAnsi="宋体" w:eastAsia="黑体"/>
          <w:szCs w:val="20"/>
          <w:lang w:eastAsia="zh-CN"/>
        </w:rPr>
      </w:pPr>
    </w:p>
    <w:p w14:paraId="5C28FBDE">
      <w:pPr>
        <w:numPr>
          <w:ilvl w:val="0"/>
          <w:numId w:val="0"/>
        </w:numPr>
        <w:ind w:left="0" w:firstLine="0"/>
        <w:jc w:val="center"/>
        <w:rPr>
          <w:rFonts w:hint="eastAsia" w:ascii="黑体" w:hAnsi="宋体" w:eastAsia="黑体"/>
          <w:szCs w:val="20"/>
          <w:lang w:eastAsia="zh-CN"/>
        </w:rPr>
      </w:pPr>
    </w:p>
    <w:p w14:paraId="5E951B5C">
      <w:pPr>
        <w:numPr>
          <w:ilvl w:val="0"/>
          <w:numId w:val="0"/>
        </w:numPr>
        <w:ind w:left="0" w:firstLine="0"/>
        <w:jc w:val="center"/>
        <w:rPr>
          <w:rFonts w:hint="eastAsia" w:ascii="黑体" w:hAnsi="宋体" w:eastAsia="黑体"/>
          <w:szCs w:val="20"/>
          <w:lang w:eastAsia="zh-CN"/>
        </w:rPr>
      </w:pPr>
    </w:p>
    <w:p w14:paraId="7144CFD7">
      <w:pPr>
        <w:numPr>
          <w:ilvl w:val="0"/>
          <w:numId w:val="0"/>
        </w:numPr>
        <w:ind w:left="0" w:firstLine="0"/>
        <w:jc w:val="center"/>
        <w:rPr>
          <w:rFonts w:hint="eastAsia" w:ascii="黑体" w:hAnsi="宋体" w:eastAsia="黑体"/>
          <w:szCs w:val="20"/>
          <w:lang w:eastAsia="zh-CN"/>
        </w:rPr>
      </w:pPr>
    </w:p>
    <w:p w14:paraId="2BD6E2A8">
      <w:pPr>
        <w:numPr>
          <w:ilvl w:val="0"/>
          <w:numId w:val="0"/>
        </w:numPr>
        <w:ind w:left="0" w:firstLine="0"/>
        <w:jc w:val="center"/>
        <w:rPr>
          <w:rFonts w:hint="eastAsia" w:ascii="黑体" w:hAnsi="宋体" w:eastAsia="黑体"/>
          <w:szCs w:val="20"/>
          <w:lang w:eastAsia="zh-CN"/>
        </w:rPr>
      </w:pPr>
    </w:p>
    <w:p w14:paraId="34B32FFB">
      <w:pPr>
        <w:numPr>
          <w:ilvl w:val="0"/>
          <w:numId w:val="0"/>
        </w:numPr>
        <w:ind w:left="0" w:firstLine="0"/>
        <w:jc w:val="center"/>
        <w:rPr>
          <w:rFonts w:hint="eastAsia" w:ascii="黑体" w:hAnsi="宋体" w:eastAsia="黑体"/>
          <w:szCs w:val="20"/>
          <w:lang w:eastAsia="zh-CN"/>
        </w:rPr>
      </w:pPr>
    </w:p>
    <w:p w14:paraId="54002D17">
      <w:pPr>
        <w:numPr>
          <w:ilvl w:val="0"/>
          <w:numId w:val="0"/>
        </w:numPr>
        <w:ind w:left="0" w:firstLine="0"/>
        <w:jc w:val="center"/>
        <w:rPr>
          <w:rFonts w:hint="eastAsia" w:ascii="黑体" w:hAnsi="宋体" w:eastAsia="黑体"/>
          <w:szCs w:val="20"/>
          <w:lang w:eastAsia="zh-CN"/>
        </w:rPr>
      </w:pPr>
    </w:p>
    <w:p w14:paraId="76725200">
      <w:pPr>
        <w:numPr>
          <w:ilvl w:val="0"/>
          <w:numId w:val="0"/>
        </w:numPr>
        <w:ind w:left="0" w:firstLine="0"/>
        <w:jc w:val="center"/>
        <w:rPr>
          <w:rFonts w:hint="eastAsia" w:ascii="黑体" w:hAnsi="宋体" w:eastAsia="黑体"/>
          <w:szCs w:val="20"/>
          <w:lang w:eastAsia="zh-CN"/>
        </w:rPr>
      </w:pPr>
    </w:p>
    <w:p w14:paraId="252B5B40">
      <w:pPr>
        <w:numPr>
          <w:ilvl w:val="0"/>
          <w:numId w:val="0"/>
        </w:numPr>
        <w:ind w:left="0" w:firstLine="0"/>
        <w:jc w:val="center"/>
        <w:rPr>
          <w:rFonts w:hint="eastAsia" w:ascii="黑体" w:hAnsi="宋体" w:eastAsia="黑体"/>
          <w:szCs w:val="20"/>
          <w:lang w:eastAsia="zh-CN"/>
        </w:rPr>
      </w:pPr>
    </w:p>
    <w:p w14:paraId="023DEFDB">
      <w:pPr>
        <w:numPr>
          <w:ilvl w:val="0"/>
          <w:numId w:val="0"/>
        </w:numPr>
        <w:ind w:left="0" w:firstLine="0"/>
        <w:jc w:val="center"/>
        <w:rPr>
          <w:rFonts w:hint="eastAsia" w:ascii="黑体" w:hAnsi="宋体" w:eastAsia="黑体"/>
          <w:szCs w:val="20"/>
          <w:lang w:eastAsia="zh-CN"/>
        </w:rPr>
      </w:pPr>
    </w:p>
    <w:p w14:paraId="10339297">
      <w:pPr>
        <w:numPr>
          <w:ilvl w:val="0"/>
          <w:numId w:val="0"/>
        </w:numPr>
        <w:ind w:left="0" w:firstLine="0"/>
        <w:jc w:val="center"/>
        <w:rPr>
          <w:rFonts w:hint="eastAsia" w:ascii="黑体" w:hAnsi="宋体" w:eastAsia="黑体"/>
          <w:szCs w:val="20"/>
          <w:lang w:eastAsia="zh-CN"/>
        </w:rPr>
      </w:pPr>
    </w:p>
    <w:p w14:paraId="3EBB906A">
      <w:pPr>
        <w:numPr>
          <w:ilvl w:val="0"/>
          <w:numId w:val="0"/>
        </w:numPr>
        <w:ind w:left="0" w:firstLine="0"/>
        <w:jc w:val="center"/>
        <w:rPr>
          <w:rFonts w:hint="eastAsia" w:ascii="黑体" w:hAnsi="宋体" w:eastAsia="黑体"/>
          <w:szCs w:val="20"/>
          <w:lang w:eastAsia="zh-CN"/>
        </w:rPr>
      </w:pPr>
    </w:p>
    <w:p w14:paraId="201E9D31">
      <w:pPr>
        <w:numPr>
          <w:ilvl w:val="0"/>
          <w:numId w:val="0"/>
        </w:numPr>
        <w:ind w:left="0" w:firstLine="0"/>
        <w:jc w:val="center"/>
        <w:rPr>
          <w:rFonts w:hint="eastAsia" w:ascii="黑体" w:hAnsi="宋体" w:eastAsia="黑体"/>
          <w:szCs w:val="20"/>
          <w:lang w:eastAsia="zh-CN"/>
        </w:rPr>
      </w:pPr>
    </w:p>
    <w:p w14:paraId="17186C7B">
      <w:pPr>
        <w:numPr>
          <w:ilvl w:val="0"/>
          <w:numId w:val="0"/>
        </w:numPr>
        <w:ind w:left="0" w:firstLine="0"/>
        <w:jc w:val="center"/>
        <w:rPr>
          <w:rFonts w:hint="eastAsia" w:ascii="黑体" w:hAnsi="宋体" w:eastAsia="黑体"/>
          <w:szCs w:val="20"/>
          <w:lang w:eastAsia="zh-CN"/>
        </w:rPr>
      </w:pPr>
    </w:p>
    <w:p w14:paraId="00DDB4F4">
      <w:pPr>
        <w:numPr>
          <w:ilvl w:val="0"/>
          <w:numId w:val="0"/>
        </w:numPr>
        <w:ind w:left="0" w:firstLine="0"/>
        <w:jc w:val="center"/>
        <w:rPr>
          <w:rFonts w:hint="eastAsia" w:ascii="黑体" w:hAnsi="宋体" w:eastAsia="黑体"/>
          <w:szCs w:val="20"/>
          <w:lang w:eastAsia="zh-CN"/>
        </w:rPr>
      </w:pPr>
    </w:p>
    <w:p w14:paraId="28C4E692">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6ECAF491">
      <w:pPr>
        <w:widowControl w:val="0"/>
        <w:kinsoku/>
        <w:overflowPunct/>
        <w:topLinePunct w:val="0"/>
        <w:bidi w:val="0"/>
        <w:spacing w:beforeAutospacing="0" w:afterAutospacing="0" w:line="360" w:lineRule="auto"/>
        <w:ind w:left="0" w:leftChars="0" w:right="0" w:firstLine="0" w:firstLineChars="0"/>
        <w:jc w:val="center"/>
        <w:rPr>
          <w:rFonts w:hint="eastAsia" w:ascii="宋体" w:hAnsi="宋体" w:eastAsia="宋体" w:cs="宋体"/>
          <w:b/>
          <w:kern w:val="2"/>
          <w:szCs w:val="22"/>
          <w:lang w:eastAsia="zh-CN"/>
        </w:rPr>
      </w:pPr>
      <w:r>
        <w:rPr>
          <w:rFonts w:hint="eastAsia" w:ascii="宋体" w:hAnsi="宋体" w:eastAsia="宋体" w:cs="宋体"/>
          <w:b/>
          <w:kern w:val="2"/>
          <w:szCs w:val="22"/>
          <w:lang w:eastAsia="zh-CN"/>
        </w:rPr>
        <w:t>合同条款</w:t>
      </w:r>
    </w:p>
    <w:p w14:paraId="23C8E350">
      <w:pPr>
        <w:jc w:val="center"/>
        <w:rPr>
          <w:rFonts w:hint="eastAsia" w:ascii="宋体" w:hAnsi="宋体" w:eastAsia="宋体" w:cs="宋体"/>
          <w:b/>
          <w:sz w:val="21"/>
          <w:szCs w:val="21"/>
        </w:rPr>
      </w:pPr>
      <w:r>
        <w:rPr>
          <w:rFonts w:hint="eastAsia" w:ascii="宋体" w:hAnsi="宋体" w:eastAsia="宋体" w:cs="宋体"/>
          <w:b/>
          <w:sz w:val="21"/>
          <w:szCs w:val="21"/>
        </w:rPr>
        <w:t>有专业类别的格式合同范本请选择相应的合同</w:t>
      </w:r>
    </w:p>
    <w:p w14:paraId="39A0DACC">
      <w:pPr>
        <w:jc w:val="center"/>
        <w:rPr>
          <w:rFonts w:hint="eastAsia" w:ascii="宋体" w:hAnsi="宋体" w:eastAsia="宋体" w:cs="宋体"/>
          <w:b/>
          <w:sz w:val="21"/>
          <w:szCs w:val="21"/>
        </w:rPr>
      </w:pPr>
      <w:r>
        <w:rPr>
          <w:rFonts w:hint="eastAsia" w:ascii="宋体" w:hAnsi="宋体" w:eastAsia="宋体" w:cs="宋体"/>
          <w:b/>
          <w:sz w:val="21"/>
          <w:szCs w:val="21"/>
        </w:rPr>
        <w:t>（仅供参考，采购单位需填写项目关键信息和违约责任条款）</w:t>
      </w:r>
    </w:p>
    <w:p w14:paraId="4302CF9B">
      <w:pPr>
        <w:jc w:val="center"/>
        <w:rPr>
          <w:rFonts w:hint="eastAsia" w:ascii="宋体" w:hAnsi="宋体" w:eastAsia="宋体" w:cs="宋体"/>
          <w:sz w:val="21"/>
          <w:szCs w:val="21"/>
        </w:rPr>
      </w:pPr>
      <w:r>
        <w:rPr>
          <w:rFonts w:hint="eastAsia" w:ascii="宋体" w:hAnsi="宋体" w:eastAsia="宋体" w:cs="宋体"/>
          <w:sz w:val="21"/>
          <w:szCs w:val="21"/>
        </w:rPr>
        <w:t>（仅供参考）</w:t>
      </w:r>
    </w:p>
    <w:p w14:paraId="6F75DCEE">
      <w:pPr>
        <w:spacing w:line="360" w:lineRule="auto"/>
        <w:rPr>
          <w:rFonts w:hint="eastAsia" w:ascii="宋体" w:hAnsi="宋体" w:eastAsia="宋体" w:cs="宋体"/>
          <w:sz w:val="21"/>
          <w:szCs w:val="21"/>
        </w:rPr>
      </w:pPr>
      <w:r>
        <w:rPr>
          <w:rFonts w:hint="eastAsia" w:ascii="宋体" w:hAnsi="宋体" w:eastAsia="宋体" w:cs="宋体"/>
          <w:sz w:val="21"/>
          <w:szCs w:val="21"/>
        </w:rPr>
        <w:t>甲方（采购单位）：</w:t>
      </w:r>
    </w:p>
    <w:p w14:paraId="4B0B4EA1">
      <w:pPr>
        <w:spacing w:line="360" w:lineRule="auto"/>
        <w:rPr>
          <w:rFonts w:hint="eastAsia" w:ascii="宋体" w:hAnsi="宋体" w:eastAsia="宋体" w:cs="宋体"/>
          <w:sz w:val="21"/>
          <w:szCs w:val="21"/>
        </w:rPr>
      </w:pPr>
      <w:r>
        <w:rPr>
          <w:rFonts w:hint="eastAsia" w:ascii="宋体" w:hAnsi="宋体" w:eastAsia="宋体" w:cs="宋体"/>
          <w:sz w:val="21"/>
          <w:szCs w:val="21"/>
        </w:rPr>
        <w:t>乙方（服务单位）：</w:t>
      </w:r>
    </w:p>
    <w:p w14:paraId="79A9A05E">
      <w:pPr>
        <w:spacing w:line="360" w:lineRule="auto"/>
        <w:rPr>
          <w:rFonts w:hint="eastAsia" w:ascii="宋体" w:hAnsi="宋体" w:eastAsia="宋体" w:cs="宋体"/>
          <w:sz w:val="21"/>
          <w:szCs w:val="21"/>
        </w:rPr>
      </w:pPr>
    </w:p>
    <w:p w14:paraId="4B9E5B9E">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根据深圳市千里招标代理有限公司（项目编号__________________）招标项目的投标结果，由_______________________单位为中标方。按照《中华人民共和国民法典》，经深圳市_______________________（以下简称甲方）和_______________________单位（以下简称乙方）协商，就_______________________</w:t>
      </w:r>
      <w:r>
        <w:rPr>
          <w:rFonts w:hint="eastAsia" w:ascii="宋体" w:hAnsi="宋体" w:eastAsia="宋体" w:cs="宋体"/>
          <w:bCs/>
          <w:snapToGrid w:val="0"/>
          <w:sz w:val="21"/>
          <w:szCs w:val="21"/>
          <w:lang w:val="zh-CN"/>
        </w:rPr>
        <w:t>服务项目</w:t>
      </w:r>
      <w:r>
        <w:rPr>
          <w:rFonts w:hint="eastAsia" w:ascii="宋体" w:hAnsi="宋体" w:eastAsia="宋体" w:cs="宋体"/>
          <w:sz w:val="21"/>
          <w:szCs w:val="21"/>
        </w:rPr>
        <w:t>，达成以下合同条款：</w:t>
      </w:r>
    </w:p>
    <w:p w14:paraId="5E1381ED">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一、服务内容</w:t>
      </w:r>
    </w:p>
    <w:p w14:paraId="580DF4F7">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二、合同金额</w:t>
      </w:r>
    </w:p>
    <w:p w14:paraId="56BA510D">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本合同金额为（大写）：____________________________________元（￥_______________元）人民币。</w:t>
      </w:r>
    </w:p>
    <w:p w14:paraId="3DA5CBB7">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三、技术资料</w:t>
      </w:r>
    </w:p>
    <w:p w14:paraId="076AB511">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1、乙方应按招标文件规定的时间向甲方提供有关技术资料。</w:t>
      </w:r>
    </w:p>
    <w:p w14:paraId="6EEFFB84">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9806D87">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3、合同履行完毕，未经甲方的书面同意，乙方不得保存在履行合同过程中所获得或接触到的任何内部数据资料。</w:t>
      </w:r>
    </w:p>
    <w:p w14:paraId="433967D2">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四、知识产权</w:t>
      </w:r>
    </w:p>
    <w:p w14:paraId="7E2E7D47">
      <w:pPr>
        <w:snapToGrid w:val="0"/>
        <w:ind w:firstLine="420" w:firstLineChars="200"/>
        <w:rPr>
          <w:rFonts w:hint="eastAsia" w:ascii="宋体" w:hAnsi="宋体" w:eastAsia="宋体" w:cs="宋体"/>
          <w:bCs/>
          <w:sz w:val="21"/>
          <w:szCs w:val="21"/>
        </w:rPr>
      </w:pPr>
      <w:r>
        <w:rPr>
          <w:rFonts w:hint="eastAsia" w:ascii="宋体" w:hAnsi="宋体" w:eastAsia="宋体" w:cs="宋体"/>
          <w:sz w:val="21"/>
          <w:szCs w:val="21"/>
        </w:rPr>
        <w:t>乙方应保证提供服务过程中不会侵犯任何第三方的知识产权</w:t>
      </w:r>
      <w:r>
        <w:rPr>
          <w:rFonts w:hint="eastAsia" w:ascii="宋体" w:hAnsi="宋体" w:eastAsia="宋体" w:cs="宋体"/>
          <w:bCs/>
          <w:sz w:val="21"/>
          <w:szCs w:val="21"/>
        </w:rPr>
        <w:t>。</w:t>
      </w:r>
    </w:p>
    <w:p w14:paraId="3A88E55C">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五、履约保证金</w:t>
      </w:r>
    </w:p>
    <w:p w14:paraId="09D55A8A">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乙方交纳人民币_______________________作为本合同的履约保证金。</w:t>
      </w:r>
    </w:p>
    <w:p w14:paraId="2F938FAD">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六、甲方的权利与义务</w:t>
      </w:r>
    </w:p>
    <w:p w14:paraId="44EE0791">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（一）甲方的权利</w:t>
      </w:r>
    </w:p>
    <w:p w14:paraId="2FE42E37">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1、有权向乙方询问工作进展情况及相关的内容。</w:t>
      </w:r>
    </w:p>
    <w:p w14:paraId="318C585F">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2、有权阐述对具体问题的意见和建议。</w:t>
      </w:r>
    </w:p>
    <w:p w14:paraId="088ECB2B">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3、当甲方认定乙方人员不按合同履行其职责，或与第三人串通给甲方造成经济损失的，甲方有权要求更换人员，直至终止合同并要求乙方承担相应的赔偿责任。</w:t>
      </w:r>
    </w:p>
    <w:p w14:paraId="753DC417">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（二）甲方的义务</w:t>
      </w:r>
    </w:p>
    <w:p w14:paraId="1E37E422">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1、负责与本服务项目有关的第三方的协调，提供开展服务工作的外部条件。</w:t>
      </w:r>
    </w:p>
    <w:p w14:paraId="7FCB3E05">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2、向乙方提供与本项目服务工作有关的资料。</w:t>
      </w:r>
    </w:p>
    <w:p w14:paraId="2A081E4E">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3、负责组织有关专家对项目试验成果评估报告的评审。</w:t>
      </w:r>
    </w:p>
    <w:p w14:paraId="5D900845">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七、乙方的权利与义务</w:t>
      </w:r>
    </w:p>
    <w:p w14:paraId="23E01A5F">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（一）乙方的权利</w:t>
      </w:r>
    </w:p>
    <w:p w14:paraId="1AAC5B60">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1、乙方在本项目服务过程中，如甲方提供的资料不明确时可向甲方提出书面报告。</w:t>
      </w:r>
    </w:p>
    <w:p w14:paraId="323987CF">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2、乙方在本项目服务过程中，有权对第三方提出与本服务业务有关的问题进行核对或查问。</w:t>
      </w:r>
    </w:p>
    <w:p w14:paraId="3B08F56C">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3、乙方在本项目服务过程中，有到活动执行现场勘察的权利。</w:t>
      </w:r>
    </w:p>
    <w:p w14:paraId="6329E423">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（二）乙方的义务</w:t>
      </w:r>
    </w:p>
    <w:p w14:paraId="75CA1B82">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1、应按照招标文件、乙方投标文件要求按期完成本项目服务工作。</w:t>
      </w:r>
    </w:p>
    <w:p w14:paraId="3344B004">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2、负责组织项目的实施，保证项目执行进度，并满足交甲方验收相关标准。</w:t>
      </w:r>
    </w:p>
    <w:p w14:paraId="151EBD64">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3、向甲方提交完整大赛资料，一套电子版文件。</w:t>
      </w:r>
    </w:p>
    <w:p w14:paraId="04C98548">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4、在履行合同期间或合同规定期限内，不得泄露与本合同规定业务活动有关的保密资料。</w:t>
      </w:r>
    </w:p>
    <w:p w14:paraId="10DE78B4">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八、合同履行时间、履行方式及履行地点</w:t>
      </w:r>
    </w:p>
    <w:p w14:paraId="3BF3D527">
      <w:pPr>
        <w:snapToGrid w:val="0"/>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1. </w:t>
      </w:r>
      <w:r>
        <w:rPr>
          <w:rFonts w:hint="eastAsia" w:ascii="宋体" w:hAnsi="宋体" w:eastAsia="宋体" w:cs="宋体"/>
          <w:sz w:val="21"/>
          <w:szCs w:val="21"/>
        </w:rPr>
        <w:t>履行时间</w:t>
      </w:r>
      <w:r>
        <w:rPr>
          <w:rFonts w:hint="eastAsia" w:ascii="宋体" w:hAnsi="宋体" w:eastAsia="宋体" w:cs="宋体"/>
          <w:bCs/>
          <w:sz w:val="21"/>
          <w:szCs w:val="21"/>
        </w:rPr>
        <w:t>：</w:t>
      </w:r>
      <w:r>
        <w:rPr>
          <w:rFonts w:hint="eastAsia" w:ascii="宋体" w:hAnsi="宋体" w:eastAsia="宋体" w:cs="宋体"/>
          <w:sz w:val="21"/>
          <w:szCs w:val="21"/>
        </w:rPr>
        <w:t>_______________________</w:t>
      </w:r>
    </w:p>
    <w:p w14:paraId="67593257">
      <w:pPr>
        <w:snapToGrid w:val="0"/>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2. </w:t>
      </w:r>
      <w:r>
        <w:rPr>
          <w:rFonts w:hint="eastAsia" w:ascii="宋体" w:hAnsi="宋体" w:eastAsia="宋体" w:cs="宋体"/>
          <w:sz w:val="21"/>
          <w:szCs w:val="21"/>
        </w:rPr>
        <w:t>履行方式</w:t>
      </w:r>
      <w:r>
        <w:rPr>
          <w:rFonts w:hint="eastAsia" w:ascii="宋体" w:hAnsi="宋体" w:eastAsia="宋体" w:cs="宋体"/>
          <w:bCs/>
          <w:sz w:val="21"/>
          <w:szCs w:val="21"/>
        </w:rPr>
        <w:t>：</w:t>
      </w:r>
      <w:r>
        <w:rPr>
          <w:rFonts w:hint="eastAsia" w:ascii="宋体" w:hAnsi="宋体" w:eastAsia="宋体" w:cs="宋体"/>
          <w:sz w:val="21"/>
          <w:szCs w:val="21"/>
        </w:rPr>
        <w:t>_______________________</w:t>
      </w:r>
    </w:p>
    <w:p w14:paraId="69F61529">
      <w:pPr>
        <w:snapToGrid w:val="0"/>
        <w:ind w:firstLine="420" w:firstLineChars="200"/>
        <w:rPr>
          <w:rFonts w:hint="eastAsia" w:ascii="宋体" w:hAnsi="宋体" w:eastAsia="宋体" w:cs="宋体"/>
          <w:sz w:val="21"/>
          <w:szCs w:val="21"/>
        </w:rPr>
      </w:pPr>
      <w:r>
        <w:rPr>
          <w:rFonts w:hint="eastAsia" w:ascii="宋体" w:hAnsi="宋体" w:eastAsia="宋体" w:cs="宋体"/>
          <w:bCs/>
          <w:sz w:val="21"/>
          <w:szCs w:val="21"/>
        </w:rPr>
        <w:t xml:space="preserve">3. </w:t>
      </w:r>
      <w:r>
        <w:rPr>
          <w:rFonts w:hint="eastAsia" w:ascii="宋体" w:hAnsi="宋体" w:eastAsia="宋体" w:cs="宋体"/>
          <w:sz w:val="21"/>
          <w:szCs w:val="21"/>
        </w:rPr>
        <w:t>履行地点</w:t>
      </w:r>
      <w:r>
        <w:rPr>
          <w:rFonts w:hint="eastAsia" w:ascii="宋体" w:hAnsi="宋体" w:eastAsia="宋体" w:cs="宋体"/>
          <w:bCs/>
          <w:sz w:val="21"/>
          <w:szCs w:val="21"/>
        </w:rPr>
        <w:t>：</w:t>
      </w:r>
      <w:r>
        <w:rPr>
          <w:rFonts w:hint="eastAsia" w:ascii="宋体" w:hAnsi="宋体" w:eastAsia="宋体" w:cs="宋体"/>
          <w:sz w:val="21"/>
          <w:szCs w:val="21"/>
        </w:rPr>
        <w:t>_______________________</w:t>
      </w:r>
    </w:p>
    <w:p w14:paraId="40ED7764">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九、验收     </w:t>
      </w:r>
    </w:p>
    <w:p w14:paraId="57D8FE6B">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1、下列文件的验收分为______个阶段:</w:t>
      </w:r>
    </w:p>
    <w:p w14:paraId="7F8B87CF">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2、其余文件和工作由用户组织有关技术人员根据国家和行业有关规范、规程、标准和用户需求直接验收。</w:t>
      </w:r>
    </w:p>
    <w:p w14:paraId="0CD706B8">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3、验收依据为_____________号招标文件、乙方投标文件，国家和行业有关规范、规程和标准。</w:t>
      </w:r>
    </w:p>
    <w:p w14:paraId="20913FC3">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十、付款方式和税费</w:t>
      </w:r>
    </w:p>
    <w:p w14:paraId="53B9B762">
      <w:pPr>
        <w:snapToGrid w:val="0"/>
        <w:ind w:firstLine="420" w:firstLineChars="200"/>
        <w:rPr>
          <w:rFonts w:hint="eastAsia" w:ascii="宋体" w:hAnsi="宋体" w:eastAsia="宋体" w:cs="宋体"/>
          <w:bCs/>
          <w:sz w:val="21"/>
          <w:szCs w:val="21"/>
        </w:rPr>
      </w:pPr>
      <w:r>
        <w:rPr>
          <w:rFonts w:hint="eastAsia" w:ascii="宋体" w:hAnsi="宋体" w:eastAsia="宋体" w:cs="宋体"/>
          <w:bCs/>
          <w:sz w:val="21"/>
          <w:szCs w:val="21"/>
        </w:rPr>
        <w:t>1、合同签订后_____天内，甲方向乙方支付合同总价_____%的款项。</w:t>
      </w:r>
    </w:p>
    <w:p w14:paraId="73588128">
      <w:pPr>
        <w:snapToGrid w:val="0"/>
        <w:ind w:firstLine="420" w:firstLineChars="200"/>
        <w:rPr>
          <w:rFonts w:hint="eastAsia" w:ascii="宋体" w:hAnsi="宋体" w:eastAsia="宋体" w:cs="宋体"/>
          <w:bCs/>
          <w:sz w:val="21"/>
          <w:szCs w:val="21"/>
        </w:rPr>
      </w:pPr>
      <w:r>
        <w:rPr>
          <w:rFonts w:hint="eastAsia" w:ascii="宋体" w:hAnsi="宋体" w:eastAsia="宋体" w:cs="宋体"/>
          <w:bCs/>
          <w:sz w:val="21"/>
          <w:szCs w:val="21"/>
        </w:rPr>
        <w:t>2、检测完成并提交评估报告后，甲方向乙方支付合同总价_____%的款项。</w:t>
      </w:r>
    </w:p>
    <w:p w14:paraId="5BEE4D76">
      <w:pPr>
        <w:snapToGrid w:val="0"/>
        <w:ind w:firstLine="420" w:firstLineChars="200"/>
        <w:rPr>
          <w:rFonts w:hint="eastAsia" w:ascii="宋体" w:hAnsi="宋体" w:eastAsia="宋体" w:cs="宋体"/>
          <w:bCs/>
          <w:sz w:val="21"/>
          <w:szCs w:val="21"/>
        </w:rPr>
      </w:pPr>
      <w:r>
        <w:rPr>
          <w:rFonts w:hint="eastAsia" w:ascii="宋体" w:hAnsi="宋体" w:eastAsia="宋体" w:cs="宋体"/>
          <w:bCs/>
          <w:sz w:val="21"/>
          <w:szCs w:val="21"/>
        </w:rPr>
        <w:t>3、报告通过专家评审后，甲方向乙方支付合同总价_____%的款项。</w:t>
      </w:r>
    </w:p>
    <w:p w14:paraId="4B00E3FC">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本合同执行中相关的一切税费均由乙方负担。</w:t>
      </w:r>
    </w:p>
    <w:p w14:paraId="46EFDC28">
      <w:pPr>
        <w:snapToGrid w:val="0"/>
        <w:ind w:firstLine="420" w:firstLineChars="200"/>
        <w:rPr>
          <w:rFonts w:hint="eastAsia" w:ascii="宋体" w:hAnsi="宋体" w:eastAsia="宋体" w:cs="宋体"/>
          <w:bCs/>
          <w:sz w:val="21"/>
          <w:szCs w:val="21"/>
        </w:rPr>
      </w:pPr>
      <w:r>
        <w:rPr>
          <w:rFonts w:hint="eastAsia" w:ascii="宋体" w:hAnsi="宋体" w:eastAsia="宋体" w:cs="宋体"/>
          <w:sz w:val="21"/>
          <w:szCs w:val="21"/>
        </w:rPr>
        <w:t>十一、</w:t>
      </w:r>
      <w:r>
        <w:rPr>
          <w:rFonts w:hint="eastAsia" w:ascii="宋体" w:hAnsi="宋体" w:eastAsia="宋体" w:cs="宋体"/>
          <w:bCs/>
          <w:sz w:val="21"/>
          <w:szCs w:val="21"/>
        </w:rPr>
        <w:t>争议解决办法</w:t>
      </w:r>
    </w:p>
    <w:p w14:paraId="30D6367F">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执行本合同发生的争议，由甲乙双方协商解决。</w:t>
      </w:r>
    </w:p>
    <w:p w14:paraId="3ADBBD17">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十二、违约责任</w:t>
      </w:r>
    </w:p>
    <w:p w14:paraId="533F0FB0">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1、因乙方原因，未能按规定时间完成有关工作的，每延误一天，甲方可在支付合同余款中扣除合同价款千分之一。</w:t>
      </w:r>
    </w:p>
    <w:p w14:paraId="77386DA2">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2、由于乙方原因造成试验成果质量低劣，不能满足大纲要求时，应继续完善试验工作，其费用由乙方承担。</w:t>
      </w:r>
    </w:p>
    <w:p w14:paraId="7AE6E043">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3、如乙方提供的服务文件不符合质量要求，必须在甲方提出要求后7天内无条件修改，其费用由乙方承担。</w:t>
      </w:r>
    </w:p>
    <w:p w14:paraId="3EA62A93">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4、__________方违反本合同__________约定，应当__________。</w:t>
      </w:r>
    </w:p>
    <w:p w14:paraId="78B6CAA2">
      <w:pPr>
        <w:snapToGrid w:val="0"/>
        <w:ind w:firstLine="420" w:firstLineChars="200"/>
        <w:rPr>
          <w:rFonts w:hint="eastAsia" w:ascii="宋体" w:hAnsi="宋体" w:eastAsia="宋体" w:cs="宋体"/>
          <w:bCs/>
          <w:sz w:val="21"/>
          <w:szCs w:val="21"/>
        </w:rPr>
      </w:pPr>
      <w:r>
        <w:rPr>
          <w:rFonts w:hint="eastAsia" w:ascii="宋体" w:hAnsi="宋体" w:eastAsia="宋体" w:cs="宋体"/>
          <w:sz w:val="21"/>
          <w:szCs w:val="21"/>
        </w:rPr>
        <w:t>十三、</w:t>
      </w:r>
      <w:r>
        <w:rPr>
          <w:rFonts w:hint="eastAsia" w:ascii="宋体" w:hAnsi="宋体" w:eastAsia="宋体" w:cs="宋体"/>
          <w:bCs/>
          <w:sz w:val="21"/>
          <w:szCs w:val="21"/>
        </w:rPr>
        <w:t>其他</w:t>
      </w:r>
    </w:p>
    <w:p w14:paraId="02B51F0F">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1、本合同与__________号招标文件、乙方投标文件如有抵触之处，以本合同条款为准。</w:t>
      </w:r>
    </w:p>
    <w:p w14:paraId="27FAAA92">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2、下列文件均为本合同的组成部分：</w:t>
      </w:r>
    </w:p>
    <w:p w14:paraId="523AAC80">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（1）__________号招标文件、答疑及补充通知；</w:t>
      </w:r>
    </w:p>
    <w:p w14:paraId="5D13AC44">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（2）投标文件；</w:t>
      </w:r>
    </w:p>
    <w:p w14:paraId="2EFD44A0">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（3）本合同执行中共同签署的补充与修正文件。</w:t>
      </w:r>
    </w:p>
    <w:p w14:paraId="4B9E6E21">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本合同一式_____份，甲、乙方双方各执_____份，具有同等法律效力。本合同自双方法人代表签字（盖章）认可之日起生效。</w:t>
      </w:r>
    </w:p>
    <w:p w14:paraId="185FDA98">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本合同未尽事宜，双方友好协商，达成解决方案，经双方签字后，可作为本合同的有效附件。</w:t>
      </w:r>
    </w:p>
    <w:p w14:paraId="6A6ED803">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附件：</w:t>
      </w:r>
    </w:p>
    <w:p w14:paraId="5850A5DB">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1、《中标/成交通知书》；</w:t>
      </w:r>
    </w:p>
    <w:p w14:paraId="0CDDA266">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2、《投标文件》；</w:t>
      </w:r>
    </w:p>
    <w:p w14:paraId="1EDA84D7">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3、《招标文件》。</w:t>
      </w:r>
    </w:p>
    <w:p w14:paraId="36FCFB13">
      <w:pPr>
        <w:snapToGrid w:val="0"/>
        <w:ind w:firstLine="420" w:firstLineChars="200"/>
        <w:rPr>
          <w:rFonts w:hint="eastAsia" w:ascii="宋体" w:hAnsi="宋体" w:eastAsia="宋体" w:cs="宋体"/>
          <w:sz w:val="21"/>
          <w:szCs w:val="21"/>
        </w:rPr>
      </w:pPr>
    </w:p>
    <w:p w14:paraId="61534D64">
      <w:pPr>
        <w:snapToGrid w:val="0"/>
        <w:ind w:firstLine="200"/>
        <w:rPr>
          <w:rFonts w:hint="eastAsia" w:ascii="宋体" w:hAnsi="宋体" w:eastAsia="宋体" w:cs="宋体"/>
          <w:sz w:val="21"/>
          <w:szCs w:val="21"/>
        </w:rPr>
      </w:pPr>
      <w:r>
        <w:rPr>
          <w:rFonts w:hint="eastAsia" w:ascii="宋体" w:hAnsi="宋体" w:eastAsia="宋体" w:cs="宋体"/>
          <w:sz w:val="21"/>
          <w:szCs w:val="21"/>
        </w:rPr>
        <w:t xml:space="preserve">    甲方：                                    乙方：</w:t>
      </w:r>
    </w:p>
    <w:p w14:paraId="7AF1EDC2">
      <w:pPr>
        <w:snapToGrid w:val="0"/>
        <w:ind w:firstLine="200"/>
        <w:rPr>
          <w:rFonts w:hint="eastAsia" w:ascii="宋体" w:hAnsi="宋体" w:eastAsia="宋体" w:cs="宋体"/>
          <w:sz w:val="21"/>
          <w:szCs w:val="21"/>
        </w:rPr>
      </w:pPr>
      <w:r>
        <w:rPr>
          <w:rFonts w:hint="eastAsia" w:ascii="宋体" w:hAnsi="宋体" w:eastAsia="宋体" w:cs="宋体"/>
          <w:sz w:val="21"/>
          <w:szCs w:val="21"/>
        </w:rPr>
        <w:t xml:space="preserve">    地址：                                    地址：</w:t>
      </w:r>
    </w:p>
    <w:p w14:paraId="1F4F2B3D">
      <w:pPr>
        <w:snapToGrid w:val="0"/>
        <w:ind w:firstLine="200"/>
        <w:rPr>
          <w:rFonts w:hint="eastAsia" w:ascii="宋体" w:hAnsi="宋体" w:eastAsia="宋体" w:cs="宋体"/>
          <w:sz w:val="21"/>
          <w:szCs w:val="21"/>
        </w:rPr>
      </w:pPr>
      <w:r>
        <w:rPr>
          <w:rFonts w:hint="eastAsia" w:ascii="宋体" w:hAnsi="宋体" w:eastAsia="宋体" w:cs="宋体"/>
          <w:sz w:val="21"/>
          <w:szCs w:val="21"/>
        </w:rPr>
        <w:t xml:space="preserve">    法定代表人：                              法定代表人：</w:t>
      </w:r>
    </w:p>
    <w:p w14:paraId="33474B9A">
      <w:pPr>
        <w:snapToGrid w:val="0"/>
        <w:ind w:firstLine="200"/>
        <w:rPr>
          <w:rFonts w:hint="eastAsia" w:ascii="宋体" w:hAnsi="宋体" w:eastAsia="宋体" w:cs="宋体"/>
          <w:sz w:val="21"/>
          <w:szCs w:val="21"/>
        </w:rPr>
      </w:pPr>
      <w:r>
        <w:rPr>
          <w:rFonts w:hint="eastAsia" w:ascii="宋体" w:hAnsi="宋体" w:eastAsia="宋体" w:cs="宋体"/>
          <w:sz w:val="21"/>
          <w:szCs w:val="21"/>
        </w:rPr>
        <w:t xml:space="preserve">    委托代理人：                              委托代理人：</w:t>
      </w:r>
    </w:p>
    <w:p w14:paraId="742E8D27">
      <w:pPr>
        <w:snapToGrid w:val="0"/>
        <w:ind w:firstLine="200"/>
        <w:rPr>
          <w:rFonts w:hint="eastAsia" w:ascii="宋体" w:hAnsi="宋体" w:eastAsia="宋体" w:cs="宋体"/>
          <w:sz w:val="21"/>
          <w:szCs w:val="21"/>
        </w:rPr>
      </w:pPr>
      <w:r>
        <w:rPr>
          <w:rFonts w:hint="eastAsia" w:ascii="宋体" w:hAnsi="宋体" w:eastAsia="宋体" w:cs="宋体"/>
          <w:sz w:val="21"/>
          <w:szCs w:val="21"/>
        </w:rPr>
        <w:t xml:space="preserve">    电话：                                    电话：</w:t>
      </w:r>
    </w:p>
    <w:p w14:paraId="5FB801AA">
      <w:pPr>
        <w:snapToGrid w:val="0"/>
        <w:ind w:firstLine="200"/>
        <w:rPr>
          <w:rFonts w:hint="eastAsia" w:ascii="宋体" w:hAnsi="宋体" w:eastAsia="宋体" w:cs="宋体"/>
          <w:sz w:val="21"/>
          <w:szCs w:val="21"/>
        </w:rPr>
      </w:pPr>
      <w:r>
        <w:rPr>
          <w:rFonts w:hint="eastAsia" w:ascii="宋体" w:hAnsi="宋体" w:eastAsia="宋体" w:cs="宋体"/>
          <w:sz w:val="21"/>
          <w:szCs w:val="21"/>
        </w:rPr>
        <w:t xml:space="preserve">    开户银行：                                开户银行：</w:t>
      </w:r>
    </w:p>
    <w:p w14:paraId="177F8566">
      <w:pPr>
        <w:snapToGrid w:val="0"/>
        <w:ind w:firstLine="619" w:firstLineChars="295"/>
        <w:rPr>
          <w:rFonts w:hint="eastAsia" w:ascii="宋体" w:hAnsi="宋体" w:eastAsia="宋体" w:cs="宋体"/>
          <w:sz w:val="21"/>
          <w:szCs w:val="21"/>
        </w:rPr>
      </w:pPr>
      <w:r>
        <w:rPr>
          <w:rFonts w:hint="eastAsia" w:ascii="宋体" w:hAnsi="宋体" w:eastAsia="宋体" w:cs="宋体"/>
          <w:sz w:val="21"/>
          <w:szCs w:val="21"/>
        </w:rPr>
        <w:t>帐号：                                    帐号：</w:t>
      </w:r>
    </w:p>
    <w:p w14:paraId="75B07007">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签约地址：                                签约时间：     年   月   日</w:t>
      </w:r>
    </w:p>
    <w:p w14:paraId="7559DB7D">
      <w:pPr>
        <w:spacing w:line="360" w:lineRule="auto"/>
        <w:ind w:left="410" w:leftChars="171" w:firstLine="420" w:firstLineChars="200"/>
        <w:rPr>
          <w:rFonts w:hint="eastAsia" w:ascii="宋体" w:hAnsi="宋体" w:eastAsia="宋体" w:cs="宋体"/>
          <w:sz w:val="21"/>
          <w:szCs w:val="21"/>
        </w:rPr>
      </w:pPr>
    </w:p>
    <w:p w14:paraId="031F4480">
      <w:pPr>
        <w:widowControl/>
        <w:kinsoku/>
        <w:overflowPunct/>
        <w:topLinePunct w:val="0"/>
        <w:bidi w:val="0"/>
        <w:spacing w:beforeAutospacing="0" w:afterAutospacing="0" w:line="360" w:lineRule="auto"/>
        <w:ind w:left="0" w:leftChars="0" w:right="0" w:firstLine="0" w:firstLineChars="0"/>
        <w:jc w:val="left"/>
        <w:rPr>
          <w:rFonts w:hint="eastAsia" w:ascii="宋体" w:hAnsi="宋体" w:eastAsia="宋体" w:cs="宋体"/>
          <w:b/>
          <w:bCs/>
          <w:color w:val="0000FF"/>
          <w:kern w:val="44"/>
          <w:sz w:val="21"/>
          <w:szCs w:val="21"/>
          <w:lang w:eastAsia="zh-CN"/>
        </w:rPr>
      </w:pPr>
      <w:r>
        <w:rPr>
          <w:rFonts w:hint="eastAsia" w:ascii="宋体" w:hAnsi="宋体" w:eastAsia="宋体" w:cs="宋体"/>
          <w:sz w:val="21"/>
          <w:szCs w:val="21"/>
        </w:rPr>
        <w:t>注：本合同样本仅供参考，具体条款内容由采购单位和中标单位协商确定。</w:t>
      </w:r>
    </w:p>
    <w:p w14:paraId="62B74F63">
      <w:pPr>
        <w:widowControl w:val="0"/>
        <w:spacing w:line="360" w:lineRule="auto"/>
        <w:jc w:val="both"/>
        <w:rPr>
          <w:rFonts w:ascii="宋体" w:hAnsi="宋体" w:eastAsia="宋体"/>
          <w:kern w:val="2"/>
          <w:sz w:val="21"/>
          <w:szCs w:val="21"/>
          <w:lang w:eastAsia="zh-CN"/>
        </w:rPr>
      </w:pPr>
    </w:p>
    <w:p w14:paraId="3DAE7844">
      <w:pPr>
        <w:widowControl/>
        <w:jc w:val="center"/>
        <w:rPr>
          <w:rFonts w:ascii="宋体" w:hAnsi="宋体" w:eastAsia="黑体"/>
          <w:bCs/>
          <w:kern w:val="44"/>
          <w:sz w:val="28"/>
          <w:szCs w:val="44"/>
          <w:lang w:eastAsia="zh-CN"/>
        </w:rPr>
      </w:pPr>
    </w:p>
    <w:p w14:paraId="3E14FFB2">
      <w:pPr>
        <w:widowControl w:val="0"/>
        <w:snapToGrid w:val="0"/>
        <w:spacing w:line="300" w:lineRule="auto"/>
        <w:jc w:val="center"/>
        <w:rPr>
          <w:rFonts w:ascii="仿宋" w:hAnsi="仿宋" w:eastAsia="仿宋"/>
          <w:kern w:val="2"/>
          <w:sz w:val="28"/>
          <w:szCs w:val="28"/>
          <w:lang w:eastAsia="zh-CN"/>
        </w:rPr>
      </w:pPr>
    </w:p>
    <w:p w14:paraId="65596086">
      <w:pPr>
        <w:widowControl w:val="0"/>
        <w:snapToGrid w:val="0"/>
        <w:spacing w:line="300" w:lineRule="auto"/>
        <w:jc w:val="center"/>
        <w:rPr>
          <w:rFonts w:ascii="仿宋" w:hAnsi="仿宋" w:eastAsia="仿宋"/>
          <w:kern w:val="2"/>
          <w:sz w:val="28"/>
          <w:szCs w:val="28"/>
          <w:lang w:eastAsia="zh-CN"/>
        </w:rPr>
      </w:pPr>
    </w:p>
    <w:p w14:paraId="079D958D">
      <w:pPr>
        <w:widowControl w:val="0"/>
        <w:snapToGrid w:val="0"/>
        <w:spacing w:line="300" w:lineRule="auto"/>
        <w:jc w:val="center"/>
        <w:rPr>
          <w:rFonts w:ascii="仿宋" w:hAnsi="仿宋" w:eastAsia="仿宋"/>
          <w:kern w:val="2"/>
          <w:sz w:val="28"/>
          <w:szCs w:val="28"/>
          <w:lang w:eastAsia="zh-CN"/>
        </w:rPr>
      </w:pPr>
    </w:p>
    <w:p w14:paraId="45D03118">
      <w:pPr>
        <w:widowControl w:val="0"/>
        <w:snapToGrid w:val="0"/>
        <w:spacing w:line="300" w:lineRule="auto"/>
        <w:jc w:val="center"/>
        <w:rPr>
          <w:rFonts w:ascii="仿宋" w:hAnsi="仿宋" w:eastAsia="仿宋"/>
          <w:kern w:val="2"/>
          <w:sz w:val="28"/>
          <w:szCs w:val="28"/>
          <w:lang w:eastAsia="zh-CN"/>
        </w:rPr>
      </w:pPr>
    </w:p>
    <w:p w14:paraId="24BFFF9A">
      <w:pPr>
        <w:widowControl w:val="0"/>
        <w:snapToGrid w:val="0"/>
        <w:spacing w:line="300" w:lineRule="auto"/>
        <w:jc w:val="center"/>
        <w:rPr>
          <w:rFonts w:ascii="仿宋" w:hAnsi="仿宋" w:eastAsia="仿宋"/>
          <w:kern w:val="2"/>
          <w:sz w:val="28"/>
          <w:szCs w:val="28"/>
          <w:lang w:eastAsia="zh-CN"/>
        </w:rPr>
      </w:pPr>
    </w:p>
    <w:p w14:paraId="4C1B1DAE">
      <w:pPr>
        <w:widowControl w:val="0"/>
        <w:snapToGrid w:val="0"/>
        <w:spacing w:line="300" w:lineRule="auto"/>
        <w:jc w:val="center"/>
        <w:rPr>
          <w:rFonts w:ascii="仿宋" w:hAnsi="仿宋" w:eastAsia="仿宋"/>
          <w:kern w:val="2"/>
          <w:sz w:val="28"/>
          <w:szCs w:val="28"/>
          <w:lang w:eastAsia="zh-CN"/>
        </w:rPr>
      </w:pPr>
    </w:p>
    <w:p w14:paraId="26A31BA9">
      <w:pPr>
        <w:widowControl w:val="0"/>
        <w:snapToGrid w:val="0"/>
        <w:spacing w:line="300" w:lineRule="auto"/>
        <w:jc w:val="center"/>
        <w:rPr>
          <w:rFonts w:ascii="仿宋" w:hAnsi="仿宋" w:eastAsia="仿宋"/>
          <w:kern w:val="2"/>
          <w:sz w:val="28"/>
          <w:szCs w:val="28"/>
          <w:lang w:eastAsia="zh-CN"/>
        </w:rPr>
      </w:pPr>
    </w:p>
    <w:p w14:paraId="2D7BDC50">
      <w:pPr>
        <w:widowControl w:val="0"/>
        <w:snapToGrid w:val="0"/>
        <w:spacing w:line="300" w:lineRule="auto"/>
        <w:jc w:val="center"/>
        <w:rPr>
          <w:rFonts w:ascii="仿宋" w:hAnsi="仿宋" w:eastAsia="仿宋"/>
          <w:kern w:val="2"/>
          <w:sz w:val="28"/>
          <w:szCs w:val="28"/>
          <w:lang w:eastAsia="zh-CN"/>
        </w:rPr>
      </w:pPr>
    </w:p>
    <w:p w14:paraId="6D79D830">
      <w:pPr>
        <w:widowControl w:val="0"/>
        <w:snapToGrid w:val="0"/>
        <w:spacing w:line="300" w:lineRule="auto"/>
        <w:jc w:val="center"/>
        <w:rPr>
          <w:rFonts w:ascii="仿宋" w:hAnsi="仿宋" w:eastAsia="仿宋"/>
          <w:kern w:val="2"/>
          <w:sz w:val="28"/>
          <w:szCs w:val="28"/>
          <w:lang w:eastAsia="zh-CN"/>
        </w:rPr>
      </w:pPr>
    </w:p>
    <w:p w14:paraId="27C90FB9">
      <w:pPr>
        <w:widowControl w:val="0"/>
        <w:snapToGrid w:val="0"/>
        <w:spacing w:line="300" w:lineRule="auto"/>
        <w:jc w:val="center"/>
        <w:rPr>
          <w:rFonts w:ascii="仿宋" w:hAnsi="仿宋" w:eastAsia="仿宋"/>
          <w:kern w:val="2"/>
          <w:sz w:val="28"/>
          <w:szCs w:val="28"/>
          <w:lang w:eastAsia="zh-CN"/>
        </w:rPr>
      </w:pPr>
    </w:p>
    <w:p w14:paraId="68EADEAA">
      <w:pPr>
        <w:widowControl w:val="0"/>
        <w:snapToGrid w:val="0"/>
        <w:spacing w:line="300" w:lineRule="auto"/>
        <w:jc w:val="center"/>
        <w:rPr>
          <w:rFonts w:ascii="仿宋" w:hAnsi="仿宋" w:eastAsia="仿宋"/>
          <w:kern w:val="2"/>
          <w:sz w:val="28"/>
          <w:szCs w:val="28"/>
          <w:lang w:eastAsia="zh-CN"/>
        </w:rPr>
      </w:pPr>
    </w:p>
    <w:p w14:paraId="5CA38B79">
      <w:pPr>
        <w:widowControl w:val="0"/>
        <w:snapToGrid w:val="0"/>
        <w:spacing w:line="300" w:lineRule="auto"/>
        <w:jc w:val="center"/>
        <w:rPr>
          <w:rFonts w:ascii="仿宋" w:hAnsi="仿宋" w:eastAsia="仿宋"/>
          <w:kern w:val="2"/>
          <w:sz w:val="28"/>
          <w:szCs w:val="28"/>
          <w:lang w:eastAsia="zh-CN"/>
        </w:rPr>
      </w:pPr>
    </w:p>
    <w:p w14:paraId="276E9CC8">
      <w:pPr>
        <w:widowControl w:val="0"/>
        <w:snapToGrid w:val="0"/>
        <w:spacing w:line="300" w:lineRule="auto"/>
        <w:jc w:val="center"/>
        <w:rPr>
          <w:rFonts w:ascii="仿宋" w:hAnsi="仿宋" w:eastAsia="仿宋"/>
          <w:kern w:val="2"/>
          <w:sz w:val="28"/>
          <w:szCs w:val="28"/>
          <w:lang w:eastAsia="zh-CN"/>
        </w:rPr>
      </w:pPr>
    </w:p>
    <w:p w14:paraId="6888A50D">
      <w:pPr>
        <w:widowControl w:val="0"/>
        <w:snapToGrid w:val="0"/>
        <w:spacing w:line="300" w:lineRule="auto"/>
        <w:jc w:val="center"/>
        <w:rPr>
          <w:rFonts w:ascii="仿宋" w:hAnsi="仿宋" w:eastAsia="仿宋"/>
          <w:kern w:val="2"/>
          <w:sz w:val="28"/>
          <w:szCs w:val="28"/>
          <w:lang w:eastAsia="zh-CN"/>
        </w:rPr>
      </w:pPr>
    </w:p>
    <w:p w14:paraId="7F7C6138">
      <w:pPr>
        <w:widowControl w:val="0"/>
        <w:snapToGrid w:val="0"/>
        <w:spacing w:line="300" w:lineRule="auto"/>
        <w:jc w:val="center"/>
        <w:rPr>
          <w:rFonts w:ascii="仿宋" w:hAnsi="仿宋" w:eastAsia="仿宋"/>
          <w:kern w:val="2"/>
          <w:sz w:val="28"/>
          <w:szCs w:val="28"/>
          <w:lang w:eastAsia="zh-CN"/>
        </w:rPr>
      </w:pPr>
    </w:p>
    <w:p w14:paraId="3C5EE1D6">
      <w:pPr>
        <w:widowControl w:val="0"/>
        <w:snapToGrid w:val="0"/>
        <w:spacing w:line="300" w:lineRule="auto"/>
        <w:jc w:val="center"/>
        <w:rPr>
          <w:rFonts w:ascii="仿宋" w:hAnsi="仿宋" w:eastAsia="仿宋"/>
          <w:kern w:val="2"/>
          <w:sz w:val="28"/>
          <w:szCs w:val="28"/>
          <w:lang w:eastAsia="zh-CN"/>
        </w:rPr>
      </w:pPr>
    </w:p>
    <w:p w14:paraId="5AF23185">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494330D1">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28" w:name="_Toc1312"/>
      <w:r>
        <w:rPr>
          <w:rFonts w:hint="eastAsia" w:ascii="Arial" w:hAnsi="Arial" w:eastAsia="宋体"/>
          <w:b/>
          <w:kern w:val="2"/>
          <w:sz w:val="32"/>
          <w:lang w:eastAsia="zh-CN"/>
        </w:rPr>
        <w:t>第一章 总则</w:t>
      </w:r>
      <w:bookmarkEnd w:id="28"/>
    </w:p>
    <w:p w14:paraId="329EACEB">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 通用条款说明</w:t>
      </w:r>
    </w:p>
    <w:p w14:paraId="6E0A4BFF">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 采购代理机构发出招标文件通用条款版本，列出深圳市政府采购项目进行招标采购所适用的通用条款内容。如有需要，采购代理机构可以对通用条款的内容进行补充。</w:t>
      </w:r>
    </w:p>
    <w:p w14:paraId="185A3FCD">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 招标文件分为第一册“专用条款”和第二册“通用条款”。</w:t>
      </w:r>
    </w:p>
    <w:p w14:paraId="473E7E2A">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1.3“专用条款 ”是对本次采购项目的具体要求，包含招标公告、对通用条款的补充内容及其他 关键信息、用户需求书、投标文件格式及附件、合同条款及格式等内容。</w:t>
      </w:r>
    </w:p>
    <w:p w14:paraId="728F7425">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1.4“通用条款”是适用于政府采购公开招标项目的基础性条款，具有普遍性和通用性。</w:t>
      </w:r>
    </w:p>
    <w:p w14:paraId="66CFEA1D">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 “专用条款”和“通用条款”表述不一致或有冲突时，以“专用条款”为准。</w:t>
      </w:r>
    </w:p>
    <w:p w14:paraId="05762C55">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2．招标说明</w:t>
      </w:r>
    </w:p>
    <w:p w14:paraId="341BCF64">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本项目参照《深圳经济特区政府采购条例》、《深圳经济特区政府采购条例实施细则》及政府采购其他法律法规，通过公开招标方式确定中标供应商。</w:t>
      </w:r>
    </w:p>
    <w:p w14:paraId="49FA34FD">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3．定义</w:t>
      </w:r>
    </w:p>
    <w:p w14:paraId="4C9AE46F">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招标文件中下列术语应解释为：</w:t>
      </w:r>
    </w:p>
    <w:p w14:paraId="27B518B1">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3.1“采购人”：指利用财政性资金依法进行政府采购的国家机关、事业单位、团体组织；</w:t>
      </w:r>
    </w:p>
    <w:p w14:paraId="19E1C57E">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3.2 “采购代理机构 ”是指</w:t>
      </w:r>
      <w:r>
        <w:rPr>
          <w:rFonts w:ascii="Calibri" w:hAnsi="Calibri" w:eastAsia="宋体" w:cstheme="minorBidi"/>
          <w:spacing w:val="8"/>
          <w:kern w:val="2"/>
          <w:sz w:val="21"/>
          <w:szCs w:val="22"/>
          <w:lang w:eastAsia="zh-CN"/>
        </w:rPr>
        <w:t>根据采购人的委托，代理采购事宜的机构</w:t>
      </w:r>
      <w:r>
        <w:rPr>
          <w:rFonts w:hint="eastAsia" w:ascii="宋体" w:hAnsi="宋体" w:eastAsia="宋体" w:cs="宋体"/>
          <w:kern w:val="2"/>
          <w:sz w:val="21"/>
          <w:szCs w:val="21"/>
          <w:lang w:eastAsia="zh-CN"/>
        </w:rPr>
        <w:t>；本文件所述的“采购代理机构”指深圳市千里招标代理有限公司；</w:t>
      </w:r>
    </w:p>
    <w:p w14:paraId="67B225D3">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3.3“投标人 ”，即供应商，指参加投标竞争并愿意按照招标文件要求向采购人提供货物、工程 或者服务的依法成立的法人、其他组织或者自然人；</w:t>
      </w:r>
    </w:p>
    <w:p w14:paraId="48EBE6A7">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3.4“评审委员会 ”是依据《深圳经济特区政府采购条例》、《深圳经济特区政府采购条例实施 细则》等有关规定组建的专门负责本次招标其评审工作的临时性机构；</w:t>
      </w:r>
    </w:p>
    <w:p w14:paraId="068BA241">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3.5“日期”指公历日；</w:t>
      </w:r>
    </w:p>
    <w:p w14:paraId="6B674881">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3.6“合同”指由本次招标所产生的合同或合约文件；</w:t>
      </w:r>
    </w:p>
    <w:p w14:paraId="3CA696C9">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14:paraId="03BF246E">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3.8“网上投标 ”指通过深圳政府采购自行采购系统网站上传电子投标文件；</w:t>
      </w:r>
    </w:p>
    <w:p w14:paraId="15B4990C">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3.9 招标文件中的标题或题名仅起引导作用，而不应视为对招标文件内容的理解和解释。</w:t>
      </w:r>
    </w:p>
    <w:p w14:paraId="5D421766">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4. 政府采购供应商责任</w:t>
      </w:r>
    </w:p>
    <w:p w14:paraId="18BF1497">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4.1 欢迎诚信、有实力和有社会责任心的供应商参与政府采购事业。</w:t>
      </w:r>
    </w:p>
    <w:p w14:paraId="0D60B9AF">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14:paraId="52013372">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5．投标人参加政府采购的条件</w:t>
      </w:r>
    </w:p>
    <w:p w14:paraId="3E8A60A2">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14:paraId="6677A57F">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5.2 投标人资格要求</w:t>
      </w:r>
    </w:p>
    <w:p w14:paraId="749E0B4D">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参加本项目的投标人应具备的资格条件详见本项目招标公告中 “投标人资格要求 ”（即申请人的资格要求）的内容。</w:t>
      </w:r>
    </w:p>
    <w:p w14:paraId="7C76B9B5">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5.3 联合体投标</w:t>
      </w:r>
    </w:p>
    <w:p w14:paraId="32A03F84">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5.3.1  以下有关联合体投标的条款仅适用于允许投标人组成联合体投标的项目。</w:t>
      </w:r>
    </w:p>
    <w:p w14:paraId="56525035">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5.3.2  由两个或两个以上的自然人、法人或者其他组织可以组成一个联合体，以一个供应商的 身份共同投标时，应符合以下原则：</w:t>
      </w:r>
    </w:p>
    <w:p w14:paraId="2F429E78">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（1）投标联合体各方参加政府采购活动应当具备下列条件：</w:t>
      </w:r>
    </w:p>
    <w:p w14:paraId="2598429A">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1、具有独立承担民事责任的能力；</w:t>
      </w:r>
    </w:p>
    <w:p w14:paraId="1F1BC58D">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2、有良好的商业信誉和健全的财务会计制度；</w:t>
      </w:r>
    </w:p>
    <w:p w14:paraId="07638CC9">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3、具有履行合同所必需的设备和专业技术能力；</w:t>
      </w:r>
    </w:p>
    <w:p w14:paraId="230D2422">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4、有依法缴纳税收和社会保障资金的良好记录；</w:t>
      </w:r>
    </w:p>
    <w:p w14:paraId="44B78E69">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5、参加政府采购活动前三年内，在经营活动中没有重大违法记录；</w:t>
      </w:r>
    </w:p>
    <w:p w14:paraId="7E2BF560">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6、法律、行政法规规定的其他条件。</w:t>
      </w:r>
    </w:p>
    <w:p w14:paraId="6409FE86">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（2）在投标截止前，投标联合体各方均应注册成采购代理机构供应商；</w:t>
      </w:r>
    </w:p>
    <w:p w14:paraId="67375410">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（3）联合体中有同类资质的供应商按照联合体分工承担相同工作的，应当按照资质等级较低的 供应商确定资质等级；</w:t>
      </w:r>
    </w:p>
    <w:p w14:paraId="10E54A27">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14:paraId="63243043">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（5）投标人的投标文件及中标后签署的合同协议对联合体各方均具有法律约束力；</w:t>
      </w:r>
    </w:p>
    <w:p w14:paraId="62C5408A">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（6）联合体各方应当签订联合体投标协议，明确约定各方拟承担的工作和责任，并将该协议随 投标文件一并递交给采购代理机构；</w:t>
      </w:r>
    </w:p>
    <w:p w14:paraId="539C598F">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（7）联合体中标后，联合体各方应当共同与采购人签订合同，就中标项目向采购人承担连带责 任；</w:t>
      </w:r>
    </w:p>
    <w:p w14:paraId="37FE9B86">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14:paraId="3DF5D105">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（9）本通用条款中“投标人”一词亦指联合体各方，专用条款另有规定或说明的除外。</w:t>
      </w:r>
    </w:p>
    <w:p w14:paraId="2F0C6A95">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6．政策导向</w:t>
      </w:r>
    </w:p>
    <w:p w14:paraId="1B7463FD">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6.1  政府采购支持本国产品、支持中小企业、监狱企业和残疾人福利性单位发展， 支持乡村产业振兴，支持创新、节能减排、绿色环保等。</w:t>
      </w:r>
    </w:p>
    <w:p w14:paraId="130D0EAA">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6.2  本项目落实深圳市政府采购供应商诚信管理政策要求。</w:t>
      </w:r>
    </w:p>
    <w:p w14:paraId="5EFCB8D6">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6.3  本项目支持投标人性别平等的相关政策。</w:t>
      </w:r>
    </w:p>
    <w:p w14:paraId="1AEC4AC2">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7. 本项目若涉及采购货物，则合格的货物及相应服务应满足以下要求：</w:t>
      </w:r>
    </w:p>
    <w:p w14:paraId="31950E18">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7.1  必须是全新、未使用过的原装合格正品（包括零部件），如安装或配置了软件的，须为正版软件。</w:t>
      </w:r>
    </w:p>
    <w:p w14:paraId="425C5798">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7.2  国产的货物及其有关服务必须符合中华人民共和国的设计、制造生产标准及行业标准。招标公告有其他要求的，亦应符合其要求。</w:t>
      </w:r>
    </w:p>
    <w:p w14:paraId="43E8B3D3">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85DBA68">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14:paraId="043385E4">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14:paraId="4C26E370">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7.6  工期要求：投标人在投标时对其所投项目应提交交货进度、交货计划等，在合同规定的时 间内完成项目实施工作。</w:t>
      </w:r>
    </w:p>
    <w:p w14:paraId="1126A2DD">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7.7  投标人必须承担的设备运输、安装调试、验收检测和提供设备操作说明书、图纸等其他相关及类似的义务。</w:t>
      </w:r>
    </w:p>
    <w:p w14:paraId="71FE5166">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8．投标费用</w:t>
      </w:r>
    </w:p>
    <w:p w14:paraId="3DE8BCB5">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不论投标结果如何，投标人应承担其编制投标文件与递交投标文件所涉及的一切费用。</w:t>
      </w:r>
    </w:p>
    <w:p w14:paraId="3F8D75D4">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9．踏勘现场</w:t>
      </w:r>
    </w:p>
    <w:p w14:paraId="45A15548">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14:paraId="0274355F">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9.2 投标人及其人员经过采购人的允许，可以进入采购人的项目现场踏勘。若招标文件要求投 标人于统一时间地点踏勘现场的，投标人应当按时前往。</w:t>
      </w:r>
    </w:p>
    <w:p w14:paraId="19D8A648">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9.3 采购人应当通过采购代理机构向投标人提供有关现场的书面资料和数据。</w:t>
      </w:r>
    </w:p>
    <w:p w14:paraId="6576E96F">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9.4 任何人或任何组织在踏勘现场时向投标人提供的任何书面资料或口头承诺，未经采购代理 机构在网上发布或书面通知，均作无效处理。</w:t>
      </w:r>
    </w:p>
    <w:p w14:paraId="0B3440E3">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9.5 未参与踏勘现场不作为否定投标人资格的理由。</w:t>
      </w:r>
    </w:p>
    <w:p w14:paraId="7905D04B">
      <w:pPr>
        <w:widowControl/>
        <w:wordWrap w:val="0"/>
        <w:autoSpaceDE w:val="0"/>
        <w:autoSpaceDN w:val="0"/>
        <w:spacing w:line="400" w:lineRule="exact"/>
        <w:ind w:right="808"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10．标前会议</w:t>
      </w:r>
    </w:p>
    <w:p w14:paraId="2E6D15D3">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采购代理机构另行书面通知（包括采购代理机构网站发布方式，如更正公告等）的时间和地点，参与标前会议。</w:t>
      </w:r>
    </w:p>
    <w:p w14:paraId="1025BDD9">
      <w:pPr>
        <w:widowControl/>
        <w:wordWrap w:val="0"/>
        <w:autoSpaceDE w:val="0"/>
        <w:autoSpaceDN w:val="0"/>
        <w:spacing w:line="360" w:lineRule="auto"/>
        <w:ind w:right="808"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10.2 任何人或任何组织在标前会议时向投标人提供的任何书面资料或口头承诺，未经采购代理 机构在网上发布或书面通知，均作无效处理。</w:t>
      </w:r>
    </w:p>
    <w:p w14:paraId="3A9E1B2B">
      <w:pPr>
        <w:widowControl/>
        <w:wordWrap w:val="0"/>
        <w:autoSpaceDE w:val="0"/>
        <w:autoSpaceDN w:val="0"/>
        <w:spacing w:line="360" w:lineRule="auto"/>
        <w:ind w:right="808" w:firstLine="420" w:firstLineChars="200"/>
        <w:jc w:val="both"/>
        <w:rPr>
          <w:rFonts w:eastAsia="宋体"/>
          <w:b/>
          <w:kern w:val="2"/>
          <w:lang w:eastAsia="zh-CN"/>
        </w:rPr>
      </w:pPr>
      <w:r>
        <w:rPr>
          <w:rFonts w:hint="eastAsia" w:ascii="宋体" w:hAnsi="宋体" w:eastAsia="宋体" w:cs="宋体"/>
          <w:kern w:val="2"/>
          <w:sz w:val="21"/>
          <w:szCs w:val="21"/>
          <w:lang w:eastAsia="zh-CN"/>
        </w:rPr>
        <w:t>10.3 未参与标前会议不作为否定投标人资格的理由。</w:t>
      </w:r>
      <w:r>
        <w:rPr>
          <w:rFonts w:hint="eastAsia" w:eastAsia="宋体"/>
          <w:b/>
          <w:kern w:val="2"/>
          <w:lang w:eastAsia="zh-CN"/>
        </w:rPr>
        <w:br w:type="page"/>
      </w:r>
    </w:p>
    <w:p w14:paraId="6B3F5051">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29" w:name="_Toc696"/>
      <w:r>
        <w:rPr>
          <w:rFonts w:hint="eastAsia" w:ascii="Arial" w:hAnsi="Arial" w:eastAsia="宋体"/>
          <w:b/>
          <w:kern w:val="2"/>
          <w:sz w:val="32"/>
          <w:lang w:eastAsia="zh-CN"/>
        </w:rPr>
        <w:t xml:space="preserve">第二章 </w:t>
      </w:r>
      <w:bookmarkStart w:id="30" w:name="_Toc25500"/>
      <w:bookmarkStart w:id="31" w:name="_Toc16272"/>
      <w:bookmarkStart w:id="32" w:name="_Toc4237"/>
      <w:r>
        <w:rPr>
          <w:rFonts w:hint="eastAsia" w:ascii="Arial" w:hAnsi="Arial" w:eastAsia="宋体"/>
          <w:b/>
          <w:kern w:val="2"/>
          <w:sz w:val="32"/>
          <w:lang w:eastAsia="zh-CN"/>
        </w:rPr>
        <w:t>招标文件</w:t>
      </w:r>
      <w:bookmarkEnd w:id="29"/>
      <w:bookmarkEnd w:id="30"/>
      <w:bookmarkEnd w:id="31"/>
      <w:bookmarkEnd w:id="32"/>
    </w:p>
    <w:p w14:paraId="0C84836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w:t>
      </w:r>
      <w:bookmarkStart w:id="33" w:name="_Hlk72399819"/>
      <w:r>
        <w:rPr>
          <w:rFonts w:hint="eastAsia" w:eastAsia="宋体"/>
          <w:kern w:val="2"/>
          <w:sz w:val="21"/>
          <w:lang w:eastAsia="zh-CN"/>
        </w:rPr>
        <w:t>招标文件的编制与组成</w:t>
      </w:r>
    </w:p>
    <w:p w14:paraId="3A89090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.1招标文件除以下内容外，采购代理机构在招标期间发出的澄清或修改等相关公告或通知内容，均是招标文件的组成部分，对投标人起约束作用；</w:t>
      </w:r>
    </w:p>
    <w:p w14:paraId="5E1983E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招标文件包括下列内容：</w:t>
      </w:r>
    </w:p>
    <w:p w14:paraId="2AA31D7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第一册  专用条款</w:t>
      </w:r>
    </w:p>
    <w:p w14:paraId="0ABA3F2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关键信息</w:t>
      </w:r>
    </w:p>
    <w:p w14:paraId="1EE27C6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第一章  招标公告</w:t>
      </w:r>
    </w:p>
    <w:p w14:paraId="7A8F215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第二章  对通用条款的补充内容及其他关键信息</w:t>
      </w:r>
    </w:p>
    <w:p w14:paraId="7FB1324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第三章  用户需求书</w:t>
      </w:r>
    </w:p>
    <w:p w14:paraId="3C8B17B0">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eastAsia="宋体"/>
          <w:kern w:val="2"/>
          <w:sz w:val="21"/>
          <w:lang w:eastAsia="zh-CN"/>
        </w:rPr>
        <w:t>第四章 投标文件格式及附件</w:t>
      </w:r>
    </w:p>
    <w:p w14:paraId="2D46072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第五章  合同条款及格式</w:t>
      </w:r>
    </w:p>
    <w:p w14:paraId="2CFB5C5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第二册  通用条款</w:t>
      </w:r>
    </w:p>
    <w:p w14:paraId="343A49B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第一章  总则</w:t>
      </w:r>
    </w:p>
    <w:p w14:paraId="5A53448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第二章  招标文件</w:t>
      </w:r>
    </w:p>
    <w:p w14:paraId="22C2ABE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第三章  投标文件的编制</w:t>
      </w:r>
    </w:p>
    <w:p w14:paraId="106F268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第四章  投标文件的递交</w:t>
      </w:r>
    </w:p>
    <w:p w14:paraId="0CA63F9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第五章  开标</w:t>
      </w:r>
    </w:p>
    <w:p w14:paraId="1F3272F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第六章  评审要求</w:t>
      </w:r>
    </w:p>
    <w:p w14:paraId="5F3BEA7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第七章  评审程序及评审方法</w:t>
      </w:r>
    </w:p>
    <w:p w14:paraId="2B36120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第八章  定标及公示</w:t>
      </w:r>
    </w:p>
    <w:p w14:paraId="746C367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第九章  公开招标失败的后续处理</w:t>
      </w:r>
    </w:p>
    <w:p w14:paraId="255ECDE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第十章  合同的授予与备案</w:t>
      </w:r>
    </w:p>
    <w:p w14:paraId="1400728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第十一章  质疑处理</w:t>
      </w:r>
    </w:p>
    <w:p w14:paraId="7F1A212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2157363">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hint="eastAsia" w:eastAsia="宋体"/>
          <w:kern w:val="2"/>
          <w:sz w:val="21"/>
          <w:szCs w:val="21"/>
          <w:lang w:eastAsia="zh-CN"/>
        </w:rPr>
        <w:t>1</w:t>
      </w:r>
      <w:r>
        <w:rPr>
          <w:rFonts w:eastAsia="宋体"/>
          <w:kern w:val="2"/>
          <w:sz w:val="21"/>
          <w:szCs w:val="21"/>
          <w:lang w:eastAsia="zh-CN"/>
        </w:rPr>
        <w:t>1</w:t>
      </w:r>
      <w:r>
        <w:rPr>
          <w:rFonts w:hint="eastAsia" w:eastAsia="宋体"/>
          <w:kern w:val="2"/>
          <w:sz w:val="21"/>
          <w:szCs w:val="21"/>
          <w:lang w:eastAsia="zh-CN"/>
        </w:rPr>
        <w:t>.3</w:t>
      </w:r>
      <w:r>
        <w:rPr>
          <w:rFonts w:hint="eastAsia" w:eastAsia="宋体"/>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467E4A0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．招标文件的澄清</w:t>
      </w:r>
    </w:p>
    <w:p w14:paraId="78FC2E3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.1招标文件澄清的目的是澄清、解答投标人在查阅招标文件后或现场踏勘中可能提出的与投标有关的疑问或询问。</w:t>
      </w:r>
    </w:p>
    <w:p w14:paraId="05A9C43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.2投标人如对招标文件内容有疑问，应当在招标公告规定的澄清（提问）截止时间前以网上提问的形式通过网上政府采购系统提交采购代理机构。</w:t>
      </w:r>
    </w:p>
    <w:p w14:paraId="336339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hint="eastAsia" w:eastAsia="宋体"/>
          <w:kern w:val="2"/>
          <w:sz w:val="21"/>
          <w:lang w:eastAsia="zh-CN"/>
        </w:rPr>
        <w:t>、1</w:t>
      </w:r>
      <w:r>
        <w:rPr>
          <w:rFonts w:eastAsia="宋体"/>
          <w:kern w:val="2"/>
          <w:sz w:val="21"/>
          <w:lang w:eastAsia="zh-CN"/>
        </w:rPr>
        <w:t>3.4</w:t>
      </w:r>
      <w:r>
        <w:rPr>
          <w:rFonts w:hint="eastAsia" w:eastAsia="宋体"/>
          <w:kern w:val="2"/>
          <w:sz w:val="21"/>
          <w:lang w:eastAsia="zh-CN"/>
        </w:rPr>
        <w:t>款规定执行。</w:t>
      </w:r>
    </w:p>
    <w:p w14:paraId="57E3E128">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3．招标文件的修改</w:t>
      </w:r>
    </w:p>
    <w:p w14:paraId="49DF1F55">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3.1招标文件发出后，在投标截止日期前任何时候，确需要变更招标文件内容的，采购代理机构可主动或在解答投标人提出的澄清问题时对招标文件进行修改。</w:t>
      </w:r>
    </w:p>
    <w:p w14:paraId="45F27514">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3.2招标文件的修改以书面形式（包括采购代理机构网站发布方式，如更正公告等）发送给所有投标人，招标文件的修改内容作为招标文件的组成部分，并具有约束力。</w:t>
      </w:r>
    </w:p>
    <w:p w14:paraId="60AAA8E8">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319A92B8">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3"/>
    </w:p>
    <w:p w14:paraId="32E7D01E">
      <w:pPr>
        <w:widowControl/>
        <w:wordWrap w:val="0"/>
        <w:autoSpaceDE w:val="0"/>
        <w:autoSpaceDN w:val="0"/>
        <w:spacing w:line="360" w:lineRule="auto"/>
        <w:ind w:right="808" w:firstLine="482" w:firstLineChars="200"/>
        <w:jc w:val="both"/>
        <w:rPr>
          <w:rFonts w:eastAsia="宋体"/>
          <w:b/>
          <w:kern w:val="2"/>
          <w:lang w:eastAsia="zh-CN"/>
        </w:rPr>
      </w:pPr>
    </w:p>
    <w:p w14:paraId="734A5161">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34" w:name="_Toc17279"/>
      <w:bookmarkStart w:id="35" w:name="_Toc13741"/>
      <w:bookmarkStart w:id="36" w:name="_Toc18814"/>
      <w:bookmarkStart w:id="37" w:name="_Toc31413"/>
      <w:r>
        <w:rPr>
          <w:rFonts w:hint="eastAsia" w:ascii="Arial" w:hAnsi="Arial" w:eastAsia="宋体"/>
          <w:b/>
          <w:kern w:val="2"/>
          <w:sz w:val="32"/>
          <w:lang w:eastAsia="zh-CN"/>
        </w:rPr>
        <w:t>第三章 投标文件的编制</w:t>
      </w:r>
      <w:bookmarkEnd w:id="34"/>
      <w:bookmarkEnd w:id="35"/>
      <w:bookmarkEnd w:id="36"/>
      <w:bookmarkEnd w:id="37"/>
    </w:p>
    <w:p w14:paraId="5AE4911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w:t>
      </w:r>
      <w:bookmarkStart w:id="38" w:name="_Hlk72400236"/>
      <w:r>
        <w:rPr>
          <w:rFonts w:hint="eastAsia" w:eastAsia="宋体"/>
          <w:kern w:val="2"/>
          <w:sz w:val="21"/>
          <w:lang w:eastAsia="zh-CN"/>
        </w:rPr>
        <w:t>投标文件的语言及度量单位</w:t>
      </w:r>
    </w:p>
    <w:p w14:paraId="47FE172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CD0CDE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14.2 除技术规范另有规定外，投标文件使用的度量单位，均采用中华人民共和国法定计量单位。</w:t>
      </w:r>
    </w:p>
    <w:bookmarkEnd w:id="38"/>
    <w:p w14:paraId="4DAE16A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15．</w:t>
      </w:r>
      <w:bookmarkStart w:id="39" w:name="_Hlk72401567"/>
      <w:r>
        <w:rPr>
          <w:rFonts w:hint="eastAsia" w:eastAsia="宋体"/>
          <w:kern w:val="2"/>
          <w:sz w:val="21"/>
          <w:lang w:eastAsia="zh-CN"/>
        </w:rPr>
        <w:t>投标文件的组成</w:t>
      </w:r>
    </w:p>
    <w:p w14:paraId="3BBFAA4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具体内容在招标文件专用条款中进行规定。</w:t>
      </w:r>
    </w:p>
    <w:p w14:paraId="721CA1FA">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14:paraId="7D9753E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投标文件包括本通用条款第</w:t>
      </w:r>
      <w:r>
        <w:rPr>
          <w:rFonts w:eastAsia="宋体"/>
          <w:kern w:val="2"/>
          <w:sz w:val="21"/>
          <w:lang w:eastAsia="zh-CN"/>
        </w:rPr>
        <w:t>15条中规定的内容。如招标文件提供了投标文件格式，则</w:t>
      </w:r>
      <w:r>
        <w:rPr>
          <w:rFonts w:hint="eastAsia" w:eastAsia="宋体"/>
          <w:b/>
          <w:bCs/>
          <w:kern w:val="2"/>
          <w:sz w:val="21"/>
          <w:lang w:eastAsia="zh-CN"/>
        </w:rPr>
        <w:t>投标人提交的投标文件应毫无例外地使用招标文件所提供的相应格式</w:t>
      </w:r>
      <w:r>
        <w:rPr>
          <w:rFonts w:hint="eastAsia" w:eastAsia="宋体"/>
          <w:kern w:val="2"/>
          <w:sz w:val="21"/>
          <w:lang w:eastAsia="zh-CN"/>
        </w:rPr>
        <w:t>（表格均可按同样格式扩展）。</w:t>
      </w:r>
    </w:p>
    <w:p w14:paraId="6E31330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17．投标货币</w:t>
      </w:r>
    </w:p>
    <w:p w14:paraId="2E37D8B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本项目的投标报价应以人民币计。</w:t>
      </w:r>
    </w:p>
    <w:bookmarkEnd w:id="39"/>
    <w:p w14:paraId="4BC88D1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w:t>
      </w:r>
      <w:bookmarkStart w:id="40" w:name="_Hlk72401735"/>
      <w:r>
        <w:rPr>
          <w:rFonts w:hint="eastAsia" w:eastAsia="宋体"/>
          <w:kern w:val="2"/>
          <w:sz w:val="21"/>
          <w:lang w:eastAsia="zh-CN"/>
        </w:rPr>
        <w:t>证明投标文件投标技术方案的合格性和符合招标文件规定的文件要求</w:t>
      </w:r>
    </w:p>
    <w:p w14:paraId="72AE97C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w:t>
      </w:r>
      <w:r>
        <w:rPr>
          <w:rFonts w:eastAsia="宋体"/>
          <w:kern w:val="2"/>
          <w:sz w:val="21"/>
          <w:lang w:eastAsia="zh-CN"/>
        </w:rPr>
        <w:t xml:space="preserve">.1 </w:t>
      </w:r>
      <w:r>
        <w:rPr>
          <w:rFonts w:hint="eastAsia" w:eastAsia="宋体"/>
          <w:kern w:val="2"/>
          <w:sz w:val="21"/>
          <w:lang w:eastAsia="zh-CN"/>
        </w:rPr>
        <w:t>投标人应提交证明文件，证明其投标技术方案项下的货物和服务的合格性符合招标文件规定。该投标技术方案及其证明文件均作为投标文件组成部分。</w:t>
      </w:r>
    </w:p>
    <w:p w14:paraId="00F9A264">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8</w:t>
      </w:r>
      <w:r>
        <w:rPr>
          <w:rFonts w:eastAsia="宋体"/>
          <w:kern w:val="2"/>
          <w:sz w:val="21"/>
          <w:lang w:eastAsia="zh-CN"/>
        </w:rPr>
        <w:t xml:space="preserve">.2 </w:t>
      </w:r>
      <w:r>
        <w:rPr>
          <w:rFonts w:hint="eastAsia" w:eastAsia="宋体"/>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2E197E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18.2.1主要技术指标和性能的详细说明。</w:t>
      </w:r>
    </w:p>
    <w:p w14:paraId="1913C08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w:t>
      </w:r>
      <w:r>
        <w:rPr>
          <w:rFonts w:eastAsia="宋体"/>
          <w:kern w:val="2"/>
          <w:sz w:val="21"/>
          <w:lang w:eastAsia="zh-CN"/>
        </w:rPr>
        <w:t>2</w:t>
      </w:r>
      <w:r>
        <w:rPr>
          <w:rFonts w:hint="eastAsia" w:eastAsia="宋体"/>
          <w:kern w:val="2"/>
          <w:sz w:val="21"/>
          <w:lang w:eastAsia="zh-CN"/>
        </w:rPr>
        <w:t>投标产品从采购人开始使用至招标文件中规定的周期内正常、连续地使用所必须的备件和专用工具清单，包括备件和专用工具的货源及现行价格。</w:t>
      </w:r>
    </w:p>
    <w:p w14:paraId="2400E0E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w:t>
      </w:r>
      <w:r>
        <w:rPr>
          <w:rFonts w:eastAsia="宋体"/>
          <w:kern w:val="2"/>
          <w:sz w:val="21"/>
          <w:lang w:eastAsia="zh-CN"/>
        </w:rPr>
        <w:t>3</w:t>
      </w:r>
      <w:r>
        <w:rPr>
          <w:rFonts w:hint="eastAsia" w:eastAsia="宋体"/>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BABD72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458A94C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67C2E8E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18.3相关资料不符合18.2款要求的，评审委员会有权认定为投标技术方案不合格响应，其相关分数予以扣减或作投标无效处理。</w:t>
      </w:r>
    </w:p>
    <w:p w14:paraId="68D7D45C">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8</w:t>
      </w:r>
      <w:r>
        <w:rPr>
          <w:rFonts w:eastAsia="宋体"/>
          <w:kern w:val="2"/>
          <w:sz w:val="21"/>
          <w:lang w:eastAsia="zh-CN"/>
        </w:rPr>
        <w:t>.</w:t>
      </w:r>
      <w:r>
        <w:rPr>
          <w:rFonts w:hint="eastAsia" w:eastAsia="宋体"/>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44C46C8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18.5除非另有规定或说明，投标人对同一项目投标时，不得同时提供两套或两套以上的投标方案。</w:t>
      </w:r>
    </w:p>
    <w:bookmarkEnd w:id="40"/>
    <w:p w14:paraId="718912B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19．</w:t>
      </w:r>
      <w:bookmarkStart w:id="41" w:name="_Hlk72402034"/>
      <w:r>
        <w:rPr>
          <w:rFonts w:hint="eastAsia" w:eastAsia="宋体"/>
          <w:kern w:val="2"/>
          <w:sz w:val="21"/>
          <w:lang w:eastAsia="zh-CN"/>
        </w:rPr>
        <w:t>投标文件其他证明文件的要求</w:t>
      </w:r>
    </w:p>
    <w:p w14:paraId="6F654855">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hint="eastAsia" w:eastAsia="宋体"/>
          <w:kern w:val="2"/>
          <w:sz w:val="21"/>
          <w:lang w:eastAsia="zh-CN"/>
        </w:rPr>
        <w:t>19.1</w:t>
      </w:r>
      <w:bookmarkStart w:id="42" w:name="_Hlk71407299"/>
      <w:r>
        <w:rPr>
          <w:rFonts w:hint="eastAsia" w:eastAsia="宋体"/>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2"/>
    <w:p w14:paraId="256196F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1BF89B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20．投标有效期</w:t>
      </w:r>
    </w:p>
    <w:bookmarkEnd w:id="41"/>
    <w:p w14:paraId="3E99512B">
      <w:pPr>
        <w:widowControl/>
        <w:wordWrap w:val="0"/>
        <w:autoSpaceDE w:val="0"/>
        <w:autoSpaceDN w:val="0"/>
        <w:spacing w:line="400" w:lineRule="exact"/>
        <w:ind w:right="808" w:firstLine="420" w:firstLineChars="200"/>
        <w:jc w:val="both"/>
        <w:rPr>
          <w:rFonts w:eastAsia="宋体"/>
          <w:kern w:val="2"/>
          <w:sz w:val="21"/>
          <w:lang w:eastAsia="zh-CN"/>
        </w:rPr>
      </w:pPr>
      <w:bookmarkStart w:id="43" w:name="_Hlk72402214"/>
      <w:r>
        <w:rPr>
          <w:rFonts w:hint="eastAsia" w:eastAsia="宋体"/>
          <w:kern w:val="2"/>
          <w:sz w:val="21"/>
          <w:lang w:eastAsia="zh-CN"/>
        </w:rPr>
        <w:t>20.1 投标有效期为</w:t>
      </w:r>
      <w:r>
        <w:rPr>
          <w:rFonts w:hint="eastAsia" w:ascii="Arial" w:hAnsi="Arial" w:eastAsia="宋体" w:cs="Arial"/>
          <w:kern w:val="2"/>
          <w:sz w:val="21"/>
          <w:lang w:eastAsia="zh-CN"/>
        </w:rPr>
        <w:t>从投标截止之日算起的日历天数。</w:t>
      </w:r>
      <w:r>
        <w:rPr>
          <w:rFonts w:hint="eastAsia" w:eastAsia="宋体"/>
          <w:kern w:val="2"/>
          <w:sz w:val="21"/>
          <w:lang w:eastAsia="zh-CN"/>
        </w:rPr>
        <w:t>在此期限内，所有投标文件均保持有效。</w:t>
      </w:r>
    </w:p>
    <w:p w14:paraId="649B45F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7C080A9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w:t>
      </w:r>
      <w:r>
        <w:rPr>
          <w:rFonts w:eastAsia="宋体"/>
          <w:kern w:val="2"/>
          <w:sz w:val="21"/>
          <w:lang w:eastAsia="zh-CN"/>
        </w:rPr>
        <w:t>.3</w:t>
      </w:r>
      <w:r>
        <w:rPr>
          <w:rFonts w:hint="eastAsia" w:eastAsia="宋体"/>
          <w:kern w:val="2"/>
          <w:sz w:val="21"/>
          <w:lang w:eastAsia="zh-CN"/>
        </w:rPr>
        <w:t xml:space="preserve"> 中标供应商的投标文件有效期，截止于完成本招标文件规定的全部项目内容，并通过竣工验收及保修期结束。</w:t>
      </w:r>
    </w:p>
    <w:bookmarkEnd w:id="43"/>
    <w:p w14:paraId="77C9F06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21．</w:t>
      </w:r>
      <w:bookmarkStart w:id="44" w:name="_Hlk72402325"/>
      <w:r>
        <w:rPr>
          <w:rFonts w:hint="eastAsia" w:eastAsia="宋体"/>
          <w:kern w:val="2"/>
          <w:sz w:val="21"/>
          <w:lang w:eastAsia="zh-CN"/>
        </w:rPr>
        <w:t xml:space="preserve">关于投标保证金 </w:t>
      </w:r>
    </w:p>
    <w:p w14:paraId="08772941">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eastAsia="宋体"/>
          <w:kern w:val="2"/>
          <w:sz w:val="21"/>
          <w:lang w:eastAsia="zh-CN"/>
        </w:rPr>
        <w:t>21.1 根据《深圳市财政局关于调整政府采购投标（响应）保证金管理政策的通知》（深财购〔2021〕51号）文的规定，本项目不收取投标保证金。</w:t>
      </w:r>
    </w:p>
    <w:p w14:paraId="7A88965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22．投标人的替代方案</w:t>
      </w:r>
    </w:p>
    <w:p w14:paraId="025A83C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22.1 投标人所提交的投标文件应完全满足招标文件（包括图纸和技术规范所示的基本技术设计）的要求。除非项目明确允许投标人提交替代方案，否则投标人有关替代方案的条款将初审不通过，作投标无效处理。</w:t>
      </w:r>
    </w:p>
    <w:p w14:paraId="5902E04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4"/>
    <w:p w14:paraId="464E0D7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w:t>
      </w:r>
      <w:bookmarkStart w:id="45" w:name="_Hlk72402860"/>
      <w:r>
        <w:rPr>
          <w:rFonts w:eastAsia="宋体"/>
          <w:kern w:val="2"/>
          <w:sz w:val="21"/>
          <w:lang w:eastAsia="zh-CN"/>
        </w:rPr>
        <w:t>投标文件的</w:t>
      </w:r>
      <w:r>
        <w:rPr>
          <w:rFonts w:hint="eastAsia" w:eastAsia="宋体"/>
          <w:kern w:val="2"/>
          <w:sz w:val="21"/>
          <w:lang w:eastAsia="zh-CN"/>
        </w:rPr>
        <w:t>制作</w:t>
      </w:r>
      <w:r>
        <w:rPr>
          <w:rFonts w:eastAsia="宋体"/>
          <w:kern w:val="2"/>
          <w:sz w:val="21"/>
          <w:lang w:eastAsia="zh-CN"/>
        </w:rPr>
        <w:t>要求</w:t>
      </w:r>
    </w:p>
    <w:p w14:paraId="614FDA7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23.1投标人应准备所投项目的电子投标文件一份。</w:t>
      </w:r>
    </w:p>
    <w:p w14:paraId="2504213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23.2投标人在使用《投标书编制软件》编制投标书时须注意：</w:t>
      </w:r>
    </w:p>
    <w:p w14:paraId="7547538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14:paraId="7CB89A0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23.2.2不能用非本公司的电子密钥加密本公司的投标文件，或者用其它公司的登录用户上传本公司的投标文件。</w:t>
      </w:r>
    </w:p>
    <w:p w14:paraId="6671F04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23.2.3要求用《投标书编制软件》编制投标书的包，不能用其它方式编制投标书。编制投标文件时，电脑须连通互联网。</w:t>
      </w:r>
    </w:p>
    <w:p w14:paraId="75FDE20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23.2.4投标文件不能带病毒。采购代理机构将用专业杀毒软件对投标文件进行病毒检测，如果这两种软件均报告发现病毒，则采购代理机构认为该投标文件带病毒。</w:t>
      </w:r>
    </w:p>
    <w:p w14:paraId="45DDBC1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23.2.6投标人在编辑投标文件时，在投标文件目录中属于本节点内容的必须在本节点中填写，填写到其他节点或附件，一切后果由供应商自行承担。</w:t>
      </w:r>
    </w:p>
    <w:p w14:paraId="0684AC6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23.2.7投标文件编写完成后，必须用属于投标人的电子密钥或电子营业执照进行加密，否则视同未盖公章，将导致投标文件无效。</w:t>
      </w:r>
    </w:p>
    <w:p w14:paraId="79F478D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33E066A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23.2.9如果开标时出现网络故障、技术故障，影响了政府采购活动，采购代理机构有权采取措施如延期、接受无法从网上上传的投标书等，以保障政府采购活动的公开、公平和公正。</w:t>
      </w:r>
    </w:p>
    <w:p w14:paraId="375C6ED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23.3电报、电话、传真形式的投标概不接受。</w:t>
      </w:r>
    </w:p>
    <w:p w14:paraId="6072790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23.4经投标人电子密钥或电子营业执照加密的投标文件无须盖章或签字，专用条款另有要求的除外。</w:t>
      </w:r>
    </w:p>
    <w:p w14:paraId="2C8CFC62">
      <w:pPr>
        <w:widowControl/>
        <w:wordWrap w:val="0"/>
        <w:autoSpaceDE w:val="0"/>
        <w:autoSpaceDN w:val="0"/>
        <w:spacing w:line="400" w:lineRule="exact"/>
        <w:ind w:right="808" w:firstLine="422" w:firstLineChars="200"/>
        <w:jc w:val="both"/>
        <w:rPr>
          <w:rFonts w:eastAsia="宋体"/>
          <w:kern w:val="2"/>
          <w:sz w:val="21"/>
          <w:lang w:eastAsia="zh-CN"/>
        </w:rPr>
      </w:pPr>
      <w:r>
        <w:rPr>
          <w:rFonts w:hint="eastAsia" w:eastAsia="宋体"/>
          <w:b/>
          <w:kern w:val="2"/>
          <w:sz w:val="21"/>
          <w:lang w:eastAsia="zh-CN"/>
        </w:rPr>
        <w:t>23.5</w:t>
      </w:r>
      <w:r>
        <w:rPr>
          <w:rFonts w:hint="eastAsia" w:eastAsia="宋体"/>
          <w:kern w:val="2"/>
          <w:sz w:val="21"/>
          <w:lang w:eastAsia="zh-CN"/>
        </w:rPr>
        <w:t xml:space="preserve"> 各类资格（资质）文件提供扫描件，专用条款另有要求的除外。</w:t>
      </w:r>
      <w:bookmarkEnd w:id="45"/>
    </w:p>
    <w:p w14:paraId="42E2F8C5">
      <w:pPr>
        <w:widowControl/>
        <w:wordWrap w:val="0"/>
        <w:autoSpaceDE w:val="0"/>
        <w:autoSpaceDN w:val="0"/>
        <w:spacing w:line="360" w:lineRule="auto"/>
        <w:ind w:right="808" w:firstLine="482" w:firstLineChars="200"/>
        <w:jc w:val="both"/>
        <w:rPr>
          <w:rFonts w:eastAsia="宋体"/>
          <w:b/>
          <w:kern w:val="2"/>
          <w:lang w:eastAsia="zh-CN"/>
        </w:rPr>
      </w:pPr>
    </w:p>
    <w:p w14:paraId="19D64DCD">
      <w:pPr>
        <w:widowControl/>
        <w:wordWrap w:val="0"/>
        <w:autoSpaceDE w:val="0"/>
        <w:autoSpaceDN w:val="0"/>
        <w:spacing w:line="360" w:lineRule="auto"/>
        <w:ind w:right="808" w:firstLine="482" w:firstLineChars="200"/>
        <w:jc w:val="both"/>
        <w:rPr>
          <w:rFonts w:eastAsia="宋体"/>
          <w:b/>
          <w:kern w:val="2"/>
          <w:lang w:eastAsia="zh-CN"/>
        </w:rPr>
      </w:pPr>
    </w:p>
    <w:p w14:paraId="69D1135B">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46" w:name="_Toc18062"/>
      <w:bookmarkStart w:id="47" w:name="_Toc26761"/>
      <w:bookmarkStart w:id="48" w:name="_Toc28552"/>
      <w:bookmarkStart w:id="49" w:name="_Toc21427"/>
      <w:r>
        <w:rPr>
          <w:rFonts w:hint="eastAsia" w:ascii="Arial" w:hAnsi="Arial" w:eastAsia="宋体"/>
          <w:b/>
          <w:kern w:val="2"/>
          <w:sz w:val="32"/>
          <w:lang w:eastAsia="zh-CN"/>
        </w:rPr>
        <w:t xml:space="preserve">第四章 </w:t>
      </w:r>
      <w:bookmarkStart w:id="50" w:name="_Toc30105"/>
      <w:r>
        <w:rPr>
          <w:rFonts w:hint="eastAsia" w:ascii="Arial" w:hAnsi="Arial" w:eastAsia="宋体"/>
          <w:b/>
          <w:kern w:val="2"/>
          <w:sz w:val="32"/>
          <w:lang w:eastAsia="zh-CN"/>
        </w:rPr>
        <w:t>投标文件的</w:t>
      </w:r>
      <w:bookmarkEnd w:id="46"/>
      <w:r>
        <w:rPr>
          <w:rFonts w:hint="eastAsia" w:ascii="Arial" w:hAnsi="Arial" w:eastAsia="宋体"/>
          <w:b/>
          <w:kern w:val="2"/>
          <w:sz w:val="32"/>
          <w:lang w:eastAsia="zh-CN"/>
        </w:rPr>
        <w:t>递交</w:t>
      </w:r>
      <w:bookmarkEnd w:id="47"/>
      <w:bookmarkEnd w:id="48"/>
      <w:bookmarkEnd w:id="49"/>
      <w:bookmarkEnd w:id="50"/>
    </w:p>
    <w:p w14:paraId="5A746AA6">
      <w:pPr>
        <w:widowControl/>
        <w:wordWrap w:val="0"/>
        <w:autoSpaceDE w:val="0"/>
        <w:autoSpaceDN w:val="0"/>
        <w:spacing w:line="400" w:lineRule="exact"/>
        <w:ind w:right="808" w:firstLine="420" w:firstLineChars="200"/>
        <w:jc w:val="both"/>
        <w:rPr>
          <w:rFonts w:eastAsia="宋体"/>
          <w:kern w:val="2"/>
          <w:sz w:val="21"/>
          <w:lang w:eastAsia="zh-CN"/>
        </w:rPr>
      </w:pPr>
      <w:bookmarkStart w:id="51" w:name="_Hlk72405459"/>
      <w:r>
        <w:rPr>
          <w:rFonts w:hint="eastAsia" w:eastAsia="宋体"/>
          <w:kern w:val="2"/>
          <w:sz w:val="21"/>
          <w:lang w:eastAsia="zh-CN"/>
        </w:rPr>
        <w:t>24．投标文件的保密</w:t>
      </w:r>
    </w:p>
    <w:p w14:paraId="40503DE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3CB5AC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24.2若采购项目出现延期情况：</w:t>
      </w:r>
    </w:p>
    <w:p w14:paraId="649F81E6">
      <w:pPr>
        <w:widowControl/>
        <w:wordWrap w:val="0"/>
        <w:autoSpaceDE w:val="0"/>
        <w:autoSpaceDN w:val="0"/>
        <w:spacing w:line="400" w:lineRule="exact"/>
        <w:ind w:right="808" w:firstLine="420" w:firstLineChars="200"/>
        <w:jc w:val="both"/>
        <w:rPr>
          <w:rFonts w:ascii="黑体" w:eastAsia="黑体"/>
          <w:kern w:val="2"/>
          <w:lang w:eastAsia="zh-CN"/>
        </w:rPr>
      </w:pPr>
      <w:r>
        <w:rPr>
          <w:rFonts w:hint="eastAsia" w:eastAsia="宋体"/>
          <w:kern w:val="2"/>
          <w:sz w:val="21"/>
          <w:lang w:eastAsia="zh-CN"/>
        </w:rPr>
        <w:t>如果供下载的招标文件有更新，投标人必须重新下载招标文件、重新制作投标文件、重新加密投标文件、重新上传投标文件。</w:t>
      </w:r>
    </w:p>
    <w:p w14:paraId="6363823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25．上传投标文件及投标截止日期</w:t>
      </w:r>
    </w:p>
    <w:p w14:paraId="0AA5514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w:t>
      </w:r>
      <w:r>
        <w:rPr>
          <w:rFonts w:eastAsia="宋体"/>
          <w:kern w:val="2"/>
          <w:sz w:val="21"/>
          <w:lang w:eastAsia="zh-CN"/>
        </w:rPr>
        <w:t>.</w:t>
      </w:r>
      <w:r>
        <w:rPr>
          <w:rFonts w:hint="eastAsia" w:eastAsia="宋体"/>
          <w:kern w:val="2"/>
          <w:sz w:val="21"/>
          <w:lang w:eastAsia="zh-CN"/>
        </w:rPr>
        <w:t>1实行网上投标，</w:t>
      </w:r>
      <w:r>
        <w:rPr>
          <w:rFonts w:eastAsia="宋体"/>
          <w:kern w:val="2"/>
          <w:sz w:val="21"/>
          <w:lang w:eastAsia="zh-CN"/>
        </w:rPr>
        <w:t>投标人必须</w:t>
      </w:r>
      <w:r>
        <w:rPr>
          <w:rFonts w:hint="eastAsia" w:eastAsia="宋体"/>
          <w:kern w:val="2"/>
          <w:sz w:val="21"/>
          <w:lang w:eastAsia="zh-CN"/>
        </w:rPr>
        <w:t>在招标</w:t>
      </w:r>
      <w:r>
        <w:rPr>
          <w:rFonts w:eastAsia="宋体"/>
          <w:kern w:val="2"/>
          <w:sz w:val="21"/>
          <w:lang w:eastAsia="zh-CN"/>
        </w:rPr>
        <w:t>文件规定的投标截止时间前</w:t>
      </w:r>
      <w:r>
        <w:rPr>
          <w:rFonts w:hint="eastAsia" w:eastAsia="宋体"/>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eastAsia="宋体"/>
          <w:b/>
          <w:bCs/>
          <w:kern w:val="2"/>
          <w:sz w:val="21"/>
          <w:szCs w:val="21"/>
          <w:lang w:eastAsia="zh-CN"/>
        </w:rPr>
        <w:t>深圳市千里招标代理有限公司服务大厅协助上传，但上传过程中投标截止时间到达仍无法上传成功的，由投标人自行负责。</w:t>
      </w:r>
    </w:p>
    <w:p w14:paraId="4E6CEC9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2B58627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w:t>
      </w:r>
      <w:r>
        <w:rPr>
          <w:rFonts w:eastAsia="宋体"/>
          <w:kern w:val="2"/>
          <w:sz w:val="21"/>
          <w:lang w:eastAsia="zh-CN"/>
        </w:rPr>
        <w:t>.</w:t>
      </w:r>
      <w:r>
        <w:rPr>
          <w:rFonts w:hint="eastAsia" w:eastAsia="宋体"/>
          <w:kern w:val="2"/>
          <w:sz w:val="21"/>
          <w:lang w:eastAsia="zh-CN"/>
        </w:rPr>
        <w:t>3投标截止时间以后不得上传投标文件。</w:t>
      </w:r>
    </w:p>
    <w:bookmarkEnd w:id="51"/>
    <w:p w14:paraId="74481DE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26. 样品、现场演示、方案讲解</w:t>
      </w:r>
    </w:p>
    <w:p w14:paraId="1CA76EB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26.1 样品、现场演示、方案讲解等事项在招标文件专用条款中进行规定。</w:t>
      </w:r>
    </w:p>
    <w:p w14:paraId="0D8157D8">
      <w:pPr>
        <w:widowControl/>
        <w:wordWrap w:val="0"/>
        <w:autoSpaceDE w:val="0"/>
        <w:autoSpaceDN w:val="0"/>
        <w:spacing w:line="400" w:lineRule="exact"/>
        <w:ind w:right="808" w:firstLine="420" w:firstLineChars="200"/>
        <w:jc w:val="both"/>
        <w:rPr>
          <w:rFonts w:eastAsia="宋体"/>
          <w:kern w:val="2"/>
          <w:sz w:val="21"/>
          <w:lang w:eastAsia="zh-CN"/>
        </w:rPr>
      </w:pPr>
      <w:bookmarkStart w:id="52" w:name="_Hlk72428346"/>
      <w:r>
        <w:rPr>
          <w:rFonts w:eastAsia="宋体"/>
          <w:kern w:val="2"/>
          <w:sz w:val="21"/>
          <w:lang w:eastAsia="zh-CN"/>
        </w:rPr>
        <w:t>2</w:t>
      </w:r>
      <w:r>
        <w:rPr>
          <w:rFonts w:hint="eastAsia" w:eastAsia="宋体"/>
          <w:kern w:val="2"/>
          <w:sz w:val="21"/>
          <w:lang w:eastAsia="zh-CN"/>
        </w:rPr>
        <w:t>7．</w:t>
      </w:r>
      <w:r>
        <w:rPr>
          <w:rFonts w:eastAsia="宋体"/>
          <w:kern w:val="2"/>
          <w:sz w:val="21"/>
          <w:lang w:eastAsia="zh-CN"/>
        </w:rPr>
        <w:t>投标文件的修改和撤销</w:t>
      </w:r>
    </w:p>
    <w:p w14:paraId="46E09375">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1</w:t>
      </w:r>
      <w:r>
        <w:rPr>
          <w:rFonts w:eastAsia="宋体"/>
          <w:kern w:val="2"/>
          <w:sz w:val="21"/>
          <w:lang w:eastAsia="zh-CN"/>
        </w:rPr>
        <w:t>投标方在提交投标文件后可对其投标文件进行修改</w:t>
      </w:r>
      <w:r>
        <w:rPr>
          <w:rFonts w:hint="eastAsia" w:eastAsia="宋体"/>
          <w:kern w:val="2"/>
          <w:sz w:val="21"/>
          <w:lang w:eastAsia="zh-CN"/>
        </w:rPr>
        <w:t>并重新上传投标文件</w:t>
      </w:r>
      <w:r>
        <w:rPr>
          <w:rFonts w:eastAsia="宋体"/>
          <w:kern w:val="2"/>
          <w:sz w:val="21"/>
          <w:lang w:eastAsia="zh-CN"/>
        </w:rPr>
        <w:t>或</w:t>
      </w:r>
      <w:r>
        <w:rPr>
          <w:rFonts w:hint="eastAsia" w:eastAsia="宋体"/>
          <w:kern w:val="2"/>
          <w:sz w:val="21"/>
          <w:lang w:eastAsia="zh-CN"/>
        </w:rPr>
        <w:t>在网上进行</w:t>
      </w:r>
      <w:r>
        <w:rPr>
          <w:rFonts w:eastAsia="宋体"/>
          <w:kern w:val="2"/>
          <w:sz w:val="21"/>
          <w:lang w:eastAsia="zh-CN"/>
        </w:rPr>
        <w:t>撤销</w:t>
      </w:r>
      <w:r>
        <w:rPr>
          <w:rFonts w:hint="eastAsia" w:eastAsia="宋体"/>
          <w:kern w:val="2"/>
          <w:sz w:val="21"/>
          <w:lang w:eastAsia="zh-CN"/>
        </w:rPr>
        <w:t>投标的操作</w:t>
      </w:r>
      <w:r>
        <w:rPr>
          <w:rFonts w:eastAsia="宋体"/>
          <w:kern w:val="2"/>
          <w:sz w:val="21"/>
          <w:lang w:eastAsia="zh-CN"/>
        </w:rPr>
        <w:t>。</w:t>
      </w:r>
    </w:p>
    <w:p w14:paraId="1C32AD07">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2</w:t>
      </w:r>
      <w:r>
        <w:rPr>
          <w:rFonts w:eastAsia="宋体"/>
          <w:kern w:val="2"/>
          <w:sz w:val="21"/>
          <w:lang w:eastAsia="zh-CN"/>
        </w:rPr>
        <w:t>投标截止时间以后不得修改投标文件。</w:t>
      </w:r>
    </w:p>
    <w:p w14:paraId="1E42E067">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3从投标截止期至投标人在投标文件中确定的投标有效期之间的这段时间内，投标人不得撤回其投标。</w:t>
      </w:r>
    </w:p>
    <w:p w14:paraId="20E0B22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27.4采购代理机构不退还投标文件，专用条款另有规定的除外。</w:t>
      </w:r>
    </w:p>
    <w:bookmarkEnd w:id="52"/>
    <w:p w14:paraId="29E15A4B">
      <w:pPr>
        <w:widowControl/>
        <w:wordWrap w:val="0"/>
        <w:autoSpaceDE w:val="0"/>
        <w:autoSpaceDN w:val="0"/>
        <w:spacing w:line="360" w:lineRule="auto"/>
        <w:ind w:right="808" w:firstLine="482" w:firstLineChars="200"/>
        <w:jc w:val="both"/>
        <w:rPr>
          <w:rFonts w:eastAsia="宋体"/>
          <w:b/>
          <w:kern w:val="2"/>
          <w:lang w:eastAsia="zh-CN"/>
        </w:rPr>
      </w:pPr>
    </w:p>
    <w:p w14:paraId="79A09E60">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53" w:name="第五章1"/>
      <w:bookmarkEnd w:id="53"/>
      <w:bookmarkStart w:id="54" w:name="_Toc73518144"/>
      <w:bookmarkStart w:id="55" w:name="_Toc73517666"/>
      <w:bookmarkStart w:id="56" w:name="_Toc2041"/>
      <w:bookmarkStart w:id="57" w:name="_Toc100052391"/>
      <w:bookmarkStart w:id="58" w:name="_Toc13806"/>
      <w:bookmarkStart w:id="59" w:name="_Toc1658"/>
      <w:bookmarkStart w:id="60" w:name="_Toc101074881"/>
      <w:bookmarkStart w:id="61" w:name="_Toc14713"/>
      <w:r>
        <w:rPr>
          <w:rFonts w:hint="eastAsia" w:ascii="Arial" w:hAnsi="Arial" w:eastAsia="宋体"/>
          <w:b/>
          <w:kern w:val="2"/>
          <w:sz w:val="32"/>
          <w:lang w:eastAsia="zh-CN"/>
        </w:rPr>
        <w:t xml:space="preserve">第五章 </w:t>
      </w:r>
      <w:bookmarkStart w:id="62" w:name="_Toc4434"/>
      <w:r>
        <w:rPr>
          <w:rFonts w:hint="eastAsia" w:ascii="Arial" w:hAnsi="Arial" w:eastAsia="宋体"/>
          <w:b/>
          <w:kern w:val="2"/>
          <w:sz w:val="32"/>
          <w:lang w:eastAsia="zh-CN"/>
        </w:rPr>
        <w:t>开标</w:t>
      </w:r>
      <w:bookmarkEnd w:id="54"/>
      <w:bookmarkEnd w:id="55"/>
      <w:bookmarkEnd w:id="56"/>
      <w:bookmarkEnd w:id="57"/>
      <w:bookmarkEnd w:id="58"/>
      <w:bookmarkEnd w:id="59"/>
      <w:bookmarkEnd w:id="60"/>
      <w:bookmarkEnd w:id="61"/>
      <w:bookmarkEnd w:id="62"/>
    </w:p>
    <w:p w14:paraId="30511A50">
      <w:pPr>
        <w:widowControl/>
        <w:wordWrap w:val="0"/>
        <w:autoSpaceDE w:val="0"/>
        <w:autoSpaceDN w:val="0"/>
        <w:spacing w:line="400" w:lineRule="exact"/>
        <w:ind w:right="808" w:firstLine="420" w:firstLineChars="200"/>
        <w:jc w:val="both"/>
        <w:rPr>
          <w:rFonts w:eastAsia="宋体"/>
          <w:kern w:val="2"/>
          <w:sz w:val="21"/>
          <w:lang w:eastAsia="zh-CN"/>
        </w:rPr>
      </w:pPr>
      <w:bookmarkStart w:id="63" w:name="_Toc73517668"/>
      <w:bookmarkStart w:id="64" w:name="_Toc73518146"/>
      <w:bookmarkStart w:id="65" w:name="_Toc101074882"/>
      <w:bookmarkStart w:id="66" w:name="_Toc100052393"/>
      <w:r>
        <w:rPr>
          <w:rFonts w:hint="eastAsia" w:eastAsia="宋体"/>
          <w:kern w:val="2"/>
          <w:sz w:val="21"/>
          <w:lang w:eastAsia="zh-CN"/>
        </w:rPr>
        <w:t>28．开标</w:t>
      </w:r>
    </w:p>
    <w:p w14:paraId="554733C3">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8</w:t>
      </w:r>
      <w:r>
        <w:rPr>
          <w:rFonts w:eastAsia="宋体"/>
          <w:kern w:val="2"/>
          <w:sz w:val="21"/>
          <w:lang w:eastAsia="zh-CN"/>
        </w:rPr>
        <w:t>.</w:t>
      </w:r>
      <w:r>
        <w:rPr>
          <w:rFonts w:hint="eastAsia" w:eastAsia="宋体"/>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DE05DF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78B56622">
      <w:pPr>
        <w:widowControl/>
        <w:wordWrap w:val="0"/>
        <w:autoSpaceDE w:val="0"/>
        <w:autoSpaceDN w:val="0"/>
        <w:spacing w:line="360" w:lineRule="auto"/>
        <w:ind w:right="808" w:firstLine="482" w:firstLineChars="200"/>
        <w:jc w:val="both"/>
        <w:rPr>
          <w:rFonts w:eastAsia="宋体"/>
          <w:b/>
          <w:kern w:val="2"/>
          <w:lang w:eastAsia="zh-CN"/>
        </w:rPr>
      </w:pPr>
    </w:p>
    <w:bookmarkEnd w:id="63"/>
    <w:bookmarkEnd w:id="64"/>
    <w:p w14:paraId="4B1E5008">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67" w:name="第六章1"/>
      <w:bookmarkEnd w:id="67"/>
      <w:bookmarkStart w:id="68" w:name="_Toc7319"/>
      <w:bookmarkStart w:id="69" w:name="_Toc29197"/>
      <w:bookmarkStart w:id="70" w:name="_Toc27869"/>
      <w:bookmarkStart w:id="71" w:name="_Toc20179"/>
      <w:r>
        <w:rPr>
          <w:rFonts w:hint="eastAsia" w:ascii="Arial" w:hAnsi="Arial" w:eastAsia="宋体"/>
          <w:b/>
          <w:kern w:val="2"/>
          <w:sz w:val="32"/>
          <w:lang w:eastAsia="zh-CN"/>
        </w:rPr>
        <w:t xml:space="preserve">第六章 </w:t>
      </w:r>
      <w:bookmarkStart w:id="72" w:name="_Toc29225"/>
      <w:r>
        <w:rPr>
          <w:rFonts w:hint="eastAsia" w:ascii="Arial" w:hAnsi="Arial" w:eastAsia="宋体"/>
          <w:b/>
          <w:kern w:val="2"/>
          <w:sz w:val="32"/>
          <w:lang w:eastAsia="zh-CN"/>
        </w:rPr>
        <w:t>评审要求</w:t>
      </w:r>
      <w:bookmarkEnd w:id="65"/>
      <w:bookmarkEnd w:id="66"/>
      <w:bookmarkEnd w:id="68"/>
      <w:bookmarkEnd w:id="69"/>
      <w:bookmarkEnd w:id="70"/>
      <w:bookmarkEnd w:id="71"/>
      <w:bookmarkEnd w:id="72"/>
    </w:p>
    <w:p w14:paraId="34862DFE">
      <w:pPr>
        <w:widowControl/>
        <w:wordWrap w:val="0"/>
        <w:autoSpaceDE w:val="0"/>
        <w:autoSpaceDN w:val="0"/>
        <w:spacing w:line="400" w:lineRule="exact"/>
        <w:ind w:right="808" w:firstLine="420" w:firstLineChars="200"/>
        <w:jc w:val="both"/>
        <w:rPr>
          <w:rFonts w:eastAsia="宋体"/>
          <w:kern w:val="2"/>
          <w:sz w:val="21"/>
          <w:lang w:eastAsia="zh-CN"/>
        </w:rPr>
      </w:pPr>
      <w:bookmarkStart w:id="73" w:name="第七章1"/>
      <w:bookmarkEnd w:id="73"/>
      <w:bookmarkStart w:id="74" w:name="_Toc101074883"/>
      <w:bookmarkStart w:id="75" w:name="_Toc1296"/>
      <w:bookmarkStart w:id="76" w:name="_Toc19125"/>
      <w:bookmarkStart w:id="77" w:name="_Toc20125"/>
      <w:bookmarkStart w:id="78" w:name="_Toc100052397"/>
      <w:r>
        <w:rPr>
          <w:rFonts w:hint="eastAsia" w:eastAsia="宋体"/>
          <w:kern w:val="2"/>
          <w:sz w:val="21"/>
          <w:lang w:eastAsia="zh-CN"/>
        </w:rPr>
        <w:t>29．评审委员会组成</w:t>
      </w:r>
    </w:p>
    <w:p w14:paraId="0AC9CE8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29.1网上开标结束后召开评审会议，</w:t>
      </w:r>
      <w:r>
        <w:rPr>
          <w:rFonts w:hint="eastAsia" w:eastAsia="宋体"/>
          <w:kern w:val="2"/>
          <w:sz w:val="21"/>
          <w:szCs w:val="21"/>
          <w:lang w:eastAsia="zh-CN"/>
        </w:rPr>
        <w:t>评审委员会</w:t>
      </w:r>
      <w:r>
        <w:rPr>
          <w:rFonts w:hint="eastAsia" w:eastAsia="宋体"/>
          <w:kern w:val="2"/>
          <w:sz w:val="21"/>
          <w:lang w:eastAsia="zh-CN"/>
        </w:rPr>
        <w:t>由采购代理机构依法组建，负责评审活动。</w:t>
      </w:r>
    </w:p>
    <w:p w14:paraId="280FA78A">
      <w:pPr>
        <w:widowControl/>
        <w:wordWrap w:val="0"/>
        <w:autoSpaceDE w:val="0"/>
        <w:autoSpaceDN w:val="0"/>
        <w:spacing w:line="400" w:lineRule="exact"/>
        <w:ind w:right="808" w:firstLine="420" w:firstLineChars="200"/>
        <w:jc w:val="both"/>
        <w:rPr>
          <w:rFonts w:eastAsia="宋体"/>
          <w:kern w:val="2"/>
          <w:sz w:val="21"/>
          <w:lang w:eastAsia="zh-CN"/>
        </w:rPr>
      </w:pPr>
      <w:bookmarkStart w:id="79" w:name="_Hlk72436580"/>
      <w:r>
        <w:rPr>
          <w:rFonts w:hint="eastAsia" w:eastAsia="宋体"/>
          <w:kern w:val="2"/>
          <w:sz w:val="21"/>
          <w:lang w:eastAsia="zh-CN"/>
        </w:rPr>
        <w:t>评审委员会由采购人代表和评审专家组成，成员人数应当为5人以上单数（部分条件下为7人以上单数），其中评审专家不得少于成员总数的三分之二。</w:t>
      </w:r>
      <w:bookmarkEnd w:id="79"/>
      <w:r>
        <w:rPr>
          <w:rFonts w:hint="eastAsia" w:eastAsia="宋体"/>
          <w:kern w:val="2"/>
          <w:sz w:val="21"/>
          <w:lang w:eastAsia="zh-CN"/>
        </w:rPr>
        <w:t>评定分离项目</w:t>
      </w:r>
      <w:r>
        <w:rPr>
          <w:rFonts w:eastAsia="宋体"/>
          <w:kern w:val="2"/>
          <w:sz w:val="21"/>
          <w:lang w:eastAsia="zh-CN"/>
        </w:rPr>
        <w:t>评审专家</w:t>
      </w:r>
      <w:r>
        <w:rPr>
          <w:rFonts w:hint="eastAsia" w:eastAsia="宋体"/>
          <w:kern w:val="2"/>
          <w:sz w:val="21"/>
          <w:lang w:eastAsia="zh-CN"/>
        </w:rPr>
        <w:t>均</w:t>
      </w:r>
      <w:r>
        <w:rPr>
          <w:rFonts w:eastAsia="宋体"/>
          <w:kern w:val="2"/>
          <w:sz w:val="21"/>
          <w:lang w:eastAsia="zh-CN"/>
        </w:rPr>
        <w:t>由</w:t>
      </w:r>
      <w:r>
        <w:rPr>
          <w:rFonts w:hint="eastAsia" w:eastAsia="宋体"/>
          <w:kern w:val="2"/>
          <w:sz w:val="21"/>
          <w:lang w:eastAsia="zh-CN"/>
        </w:rPr>
        <w:t>评审专家组成。</w:t>
      </w:r>
      <w:r>
        <w:rPr>
          <w:rFonts w:hint="eastAsia" w:eastAsia="宋体"/>
          <w:kern w:val="2"/>
          <w:sz w:val="21"/>
          <w:szCs w:val="21"/>
          <w:lang w:eastAsia="zh-CN"/>
        </w:rPr>
        <w:t>评审专家一般是</w:t>
      </w:r>
      <w:r>
        <w:rPr>
          <w:rFonts w:hint="eastAsia" w:eastAsia="宋体"/>
          <w:kern w:val="2"/>
          <w:sz w:val="21"/>
          <w:lang w:eastAsia="zh-CN"/>
        </w:rPr>
        <w:t>从深圳市政府采购评审专家库中随机抽取。采购人代表须持本单位签发的《评审授权书》参加评审。</w:t>
      </w:r>
    </w:p>
    <w:p w14:paraId="5E0A954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29.2评审定标应当遵循公平、公正、科学、择优的原则。</w:t>
      </w:r>
    </w:p>
    <w:p w14:paraId="121901C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29.3评审活动依法进行，任何单位和个人不得非法干预评标过程和结果。</w:t>
      </w:r>
    </w:p>
    <w:p w14:paraId="5D32329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29.4评审过程中不允许违背评标程序或采用招标文件未载明的评标方法或评标因素进行评标。</w:t>
      </w:r>
    </w:p>
    <w:p w14:paraId="2035C3A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14:paraId="6385D30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30．向评审委员会提供的资料</w:t>
      </w:r>
    </w:p>
    <w:p w14:paraId="650A5DE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30.1公开发布的招标文件，包括图纸、服务清单、答疑文件等；</w:t>
      </w:r>
    </w:p>
    <w:p w14:paraId="53D3A97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30.2其他评标必须的资料。</w:t>
      </w:r>
    </w:p>
    <w:p w14:paraId="448004B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30.3</w:t>
      </w:r>
      <w:r>
        <w:rPr>
          <w:rFonts w:hint="eastAsia" w:eastAsia="宋体"/>
          <w:kern w:val="2"/>
          <w:sz w:val="21"/>
          <w:szCs w:val="21"/>
          <w:lang w:eastAsia="zh-CN"/>
        </w:rPr>
        <w:t>评审委员会</w:t>
      </w:r>
      <w:r>
        <w:rPr>
          <w:rFonts w:hint="eastAsia" w:eastAsia="宋体"/>
          <w:kern w:val="2"/>
          <w:sz w:val="21"/>
          <w:lang w:eastAsia="zh-CN"/>
        </w:rPr>
        <w:t>应当认真研究招标文件，至少应了解熟悉以下内容：</w:t>
      </w:r>
    </w:p>
    <w:p w14:paraId="699C496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（1）招标的目的；</w:t>
      </w:r>
    </w:p>
    <w:p w14:paraId="2BD6F6D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（2）招标项目需求的范围和性质；</w:t>
      </w:r>
    </w:p>
    <w:p w14:paraId="277A60A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（3）招标文件规定的投标人的资格、财政预算限额、商务条款；</w:t>
      </w:r>
    </w:p>
    <w:p w14:paraId="0786139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（4）招标文件规定的评标程序、评标方法和评标因素；</w:t>
      </w:r>
    </w:p>
    <w:p w14:paraId="715D6D0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（5）招标文件所列示的资格性审查表及符合性审查表。</w:t>
      </w:r>
    </w:p>
    <w:p w14:paraId="20B6060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31．独立评审</w:t>
      </w:r>
    </w:p>
    <w:p w14:paraId="4E6D38D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1</w:t>
      </w:r>
      <w:r>
        <w:rPr>
          <w:rFonts w:hint="eastAsia" w:eastAsia="宋体"/>
          <w:kern w:val="2"/>
          <w:sz w:val="21"/>
          <w:lang w:eastAsia="zh-CN"/>
        </w:rPr>
        <w:t>.1</w:t>
      </w:r>
      <w:r>
        <w:rPr>
          <w:rFonts w:hint="eastAsia" w:eastAsia="宋体"/>
          <w:kern w:val="2"/>
          <w:sz w:val="21"/>
          <w:szCs w:val="21"/>
          <w:lang w:eastAsia="zh-CN"/>
        </w:rPr>
        <w:t>评审委员会</w:t>
      </w:r>
      <w:r>
        <w:rPr>
          <w:rFonts w:hint="eastAsia" w:eastAsia="宋体"/>
          <w:kern w:val="2"/>
          <w:sz w:val="21"/>
          <w:lang w:eastAsia="zh-CN"/>
        </w:rPr>
        <w:t>成员的评标活动应当独立进行，并应遵循投标文件初审、澄清有关问题、比较与评价、确定中标供应商、编写评审报告的工作程序。</w:t>
      </w:r>
    </w:p>
    <w:p w14:paraId="6D77E695">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80" w:name="_Toc18761"/>
      <w:r>
        <w:rPr>
          <w:rFonts w:hint="eastAsia" w:ascii="Arial" w:hAnsi="Arial" w:eastAsia="宋体"/>
          <w:b/>
          <w:kern w:val="2"/>
          <w:sz w:val="32"/>
          <w:lang w:eastAsia="zh-CN"/>
        </w:rPr>
        <w:t xml:space="preserve">第七章 </w:t>
      </w:r>
      <w:bookmarkStart w:id="81" w:name="_Toc26636"/>
      <w:r>
        <w:rPr>
          <w:rFonts w:hint="eastAsia" w:ascii="Arial" w:hAnsi="Arial" w:eastAsia="宋体"/>
          <w:b/>
          <w:kern w:val="2"/>
          <w:sz w:val="32"/>
          <w:lang w:eastAsia="zh-CN"/>
        </w:rPr>
        <w:t>评审程序</w:t>
      </w:r>
      <w:bookmarkStart w:id="82" w:name="_Toc73517671"/>
      <w:bookmarkStart w:id="83" w:name="_Toc73518149"/>
      <w:r>
        <w:rPr>
          <w:rFonts w:hint="eastAsia" w:ascii="Arial" w:hAnsi="Arial" w:eastAsia="宋体"/>
          <w:b/>
          <w:kern w:val="2"/>
          <w:sz w:val="32"/>
          <w:lang w:eastAsia="zh-CN"/>
        </w:rPr>
        <w:t>及评审方法</w:t>
      </w:r>
      <w:bookmarkEnd w:id="74"/>
      <w:bookmarkEnd w:id="75"/>
      <w:bookmarkEnd w:id="76"/>
      <w:bookmarkEnd w:id="77"/>
      <w:bookmarkEnd w:id="78"/>
      <w:bookmarkEnd w:id="80"/>
      <w:bookmarkEnd w:id="81"/>
    </w:p>
    <w:bookmarkEnd w:id="82"/>
    <w:bookmarkEnd w:id="83"/>
    <w:p w14:paraId="62D5EC4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32．投标文件初审</w:t>
      </w:r>
    </w:p>
    <w:p w14:paraId="370581A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32.1投标文件初审包括资格性审查和符合性审查。</w:t>
      </w:r>
    </w:p>
    <w:p w14:paraId="62F01EF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资格性审查：依据法律法规和招标文件的规定，对投标文件中的资格证明等进行审查，以确定投标供应商是否具备投标资格。</w:t>
      </w:r>
    </w:p>
    <w:p w14:paraId="1E38C9C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符合性审查：依据招标文件的规定，对投标文件的有效性、完整性和对招标文件的响应程度进行审查，以确定是否满足符合性审查的要求。</w:t>
      </w:r>
    </w:p>
    <w:p w14:paraId="5C686E7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32.2 投标文件初审内容请详见《资格性审查表》和《符合性审查表》部分。投标人若有一条审查不通过则按投标无效处理。</w:t>
      </w:r>
    </w:p>
    <w:p w14:paraId="251C0F5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 投标文件初审中关于供应商家数的计算：</w:t>
      </w:r>
    </w:p>
    <w:p w14:paraId="5A3E013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92F7A0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eastAsia="宋体"/>
          <w:kern w:val="2"/>
          <w:sz w:val="21"/>
          <w:szCs w:val="21"/>
          <w:lang w:eastAsia="zh-CN"/>
        </w:rPr>
        <w:t>评审委员会</w:t>
      </w:r>
      <w:r>
        <w:rPr>
          <w:rFonts w:hint="eastAsia" w:eastAsia="宋体"/>
          <w:kern w:val="2"/>
          <w:sz w:val="21"/>
          <w:lang w:eastAsia="zh-CN"/>
        </w:rPr>
        <w:t>按照招标文件规定的方式确定一个投标人获得中标人推荐资格，招标文件未规定的采取随机抽取方式确定，其他同品牌投标人不作为中标候选人。</w:t>
      </w:r>
    </w:p>
    <w:p w14:paraId="3524BD1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14:paraId="20A3197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32.4投标人投标文件作无效处理的情形，具体包括但不限于以下：</w:t>
      </w:r>
    </w:p>
    <w:p w14:paraId="2B0C8AD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ascii="宋体" w:hAnsi="宋体" w:eastAsia="宋体"/>
          <w:kern w:val="2"/>
          <w:sz w:val="21"/>
          <w:lang w:eastAsia="zh-CN"/>
        </w:rPr>
        <w:t>32.4.1</w:t>
      </w:r>
      <w:r>
        <w:rPr>
          <w:rFonts w:hint="eastAsia" w:eastAsia="宋体"/>
          <w:kern w:val="2"/>
          <w:sz w:val="21"/>
          <w:lang w:eastAsia="zh-CN"/>
        </w:rPr>
        <w:t>不同投标人的投标文件由同一单位或者同一个人编制，或者由同一个人分阶段参与编制；</w:t>
      </w:r>
    </w:p>
    <w:p w14:paraId="187186FC">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hAnsi="宋体" w:eastAsia="宋体"/>
          <w:kern w:val="2"/>
          <w:sz w:val="21"/>
          <w:lang w:eastAsia="zh-CN"/>
        </w:rPr>
        <w:t>32.4.</w:t>
      </w:r>
      <w:r>
        <w:rPr>
          <w:rFonts w:hint="eastAsia" w:ascii="宋体" w:hAnsi="宋体" w:eastAsia="宋体"/>
          <w:kern w:val="2"/>
          <w:sz w:val="21"/>
          <w:lang w:eastAsia="zh-CN"/>
        </w:rPr>
        <w:t>2</w:t>
      </w:r>
      <w:r>
        <w:rPr>
          <w:rFonts w:hint="eastAsia" w:eastAsia="宋体"/>
          <w:kern w:val="2"/>
          <w:sz w:val="21"/>
          <w:lang w:eastAsia="zh-CN"/>
        </w:rPr>
        <w:t>不同投标人委托同一单位或者个人办理投标事宜；</w:t>
      </w:r>
    </w:p>
    <w:p w14:paraId="086FED3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32.4.3不同投标人的投标文件载明的项目管理成员或者联系人员为同一人；</w:t>
      </w:r>
    </w:p>
    <w:p w14:paraId="0B77997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32.4.4不同投标人的投标文件异常一致或者投标报价呈规律性差异；</w:t>
      </w:r>
    </w:p>
    <w:p w14:paraId="727212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32.4.5</w:t>
      </w:r>
      <w:r>
        <w:rPr>
          <w:rFonts w:eastAsia="宋体"/>
          <w:kern w:val="2"/>
          <w:sz w:val="21"/>
          <w:lang w:eastAsia="zh-CN"/>
        </w:rPr>
        <w:t>不同投标供应商的投标文件或部分投标文件相互混装</w:t>
      </w:r>
      <w:r>
        <w:rPr>
          <w:rFonts w:hint="eastAsia" w:eastAsia="宋体"/>
          <w:kern w:val="2"/>
          <w:sz w:val="21"/>
          <w:lang w:eastAsia="zh-CN"/>
        </w:rPr>
        <w:t>；</w:t>
      </w:r>
    </w:p>
    <w:p w14:paraId="0D50EF4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32.4.6投标供应商之间相互约定给予未中标的供应商利益补偿；</w:t>
      </w:r>
    </w:p>
    <w:p w14:paraId="27C64A2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32.4.7不同投标供应商的法定代表人、主要经营负责人、项目投标授权代表人、项目负责人、主要技术人员为同一人、属同一单位或者同一单位缴纳社会保险；</w:t>
      </w:r>
    </w:p>
    <w:p w14:paraId="2129CAC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32.4.8不同投标供应商的投标文件内容存在非正常一致；</w:t>
      </w:r>
    </w:p>
    <w:p w14:paraId="171D6C3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32.4.9在同一单位工作人员为两家以上（含两家）供应商进行同一项投标活动；</w:t>
      </w:r>
    </w:p>
    <w:p w14:paraId="7E6778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32.4.10主管部门依照法律、法规认定的其他情形。</w:t>
      </w:r>
    </w:p>
    <w:p w14:paraId="609B537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32.5对不属于《资格性审查表》和《符合性审查表》所列的其他情形，除专用条款另有规定和32.4条款所列情形外，不得作为投标无效的理由。</w:t>
      </w:r>
    </w:p>
    <w:p w14:paraId="1F4EF24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33．澄清有关问题</w:t>
      </w:r>
    </w:p>
    <w:p w14:paraId="15B44C9A">
      <w:pPr>
        <w:widowControl/>
        <w:wordWrap w:val="0"/>
        <w:autoSpaceDE w:val="0"/>
        <w:autoSpaceDN w:val="0"/>
        <w:spacing w:line="400" w:lineRule="exact"/>
        <w:ind w:right="808" w:firstLine="420" w:firstLineChars="200"/>
        <w:jc w:val="both"/>
        <w:rPr>
          <w:rFonts w:eastAsia="宋体"/>
          <w:kern w:val="2"/>
          <w:sz w:val="21"/>
          <w:lang w:eastAsia="zh-CN"/>
        </w:rPr>
      </w:pPr>
      <w:bookmarkStart w:id="84" w:name="_Hlk71407321"/>
      <w:r>
        <w:rPr>
          <w:rFonts w:hint="eastAsia" w:eastAsia="宋体"/>
          <w:kern w:val="2"/>
          <w:sz w:val="21"/>
          <w:lang w:eastAsia="zh-CN"/>
        </w:rPr>
        <w:t>3</w:t>
      </w:r>
      <w:r>
        <w:rPr>
          <w:rFonts w:eastAsia="宋体"/>
          <w:kern w:val="2"/>
          <w:sz w:val="21"/>
          <w:lang w:eastAsia="zh-CN"/>
        </w:rPr>
        <w:t>3.1</w:t>
      </w:r>
      <w:r>
        <w:rPr>
          <w:rFonts w:hint="eastAsia" w:eastAsia="宋体"/>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eastAsia="宋体"/>
          <w:kern w:val="2"/>
          <w:sz w:val="21"/>
          <w:lang w:eastAsia="zh-CN"/>
        </w:rPr>
        <w:t>，评审委员会有权进行评判，但对同一条款的评判应适用于每个投标人。</w:t>
      </w:r>
      <w:bookmarkEnd w:id="84"/>
    </w:p>
    <w:p w14:paraId="71B58D5D">
      <w:pPr>
        <w:widowControl/>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3.2</w:t>
      </w:r>
      <w:r>
        <w:rPr>
          <w:rFonts w:eastAsia="宋体"/>
          <w:kern w:val="2"/>
          <w:sz w:val="21"/>
          <w:lang w:eastAsia="zh-CN"/>
        </w:rPr>
        <w:t>评</w:t>
      </w:r>
      <w:r>
        <w:rPr>
          <w:rFonts w:hint="eastAsia" w:eastAsia="宋体"/>
          <w:kern w:val="2"/>
          <w:sz w:val="21"/>
          <w:lang w:eastAsia="zh-CN"/>
        </w:rPr>
        <w:t>审</w:t>
      </w:r>
      <w:r>
        <w:rPr>
          <w:rFonts w:eastAsia="宋体"/>
          <w:kern w:val="2"/>
          <w:sz w:val="21"/>
          <w:lang w:eastAsia="zh-CN"/>
        </w:rPr>
        <w:t>委员会发现招标文件存在歧义、重大缺陷导致评</w:t>
      </w:r>
      <w:r>
        <w:rPr>
          <w:rFonts w:hint="eastAsia" w:eastAsia="宋体"/>
          <w:kern w:val="2"/>
          <w:sz w:val="21"/>
          <w:lang w:eastAsia="zh-CN"/>
        </w:rPr>
        <w:t>审</w:t>
      </w:r>
      <w:r>
        <w:rPr>
          <w:rFonts w:eastAsia="宋体"/>
          <w:kern w:val="2"/>
          <w:sz w:val="21"/>
          <w:lang w:eastAsia="zh-CN"/>
        </w:rPr>
        <w:t>工作无法进行，或者招标文件内容违反国家有关强制性规定的，应当停止评</w:t>
      </w:r>
      <w:r>
        <w:rPr>
          <w:rFonts w:hint="eastAsia" w:eastAsia="宋体"/>
          <w:kern w:val="2"/>
          <w:sz w:val="21"/>
          <w:lang w:eastAsia="zh-CN"/>
        </w:rPr>
        <w:t>审</w:t>
      </w:r>
      <w:r>
        <w:rPr>
          <w:rFonts w:eastAsia="宋体"/>
          <w:kern w:val="2"/>
          <w:sz w:val="21"/>
          <w:lang w:eastAsia="zh-CN"/>
        </w:rPr>
        <w:t>工作，与</w:t>
      </w:r>
      <w:r>
        <w:rPr>
          <w:rFonts w:hint="eastAsia" w:eastAsia="宋体"/>
          <w:kern w:val="2"/>
          <w:sz w:val="21"/>
          <w:lang w:eastAsia="zh-CN"/>
        </w:rPr>
        <w:t>采购代理机构</w:t>
      </w:r>
      <w:r>
        <w:rPr>
          <w:rFonts w:eastAsia="宋体"/>
          <w:kern w:val="2"/>
          <w:sz w:val="21"/>
          <w:lang w:eastAsia="zh-CN"/>
        </w:rPr>
        <w:t>沟通并作书面记录。</w:t>
      </w:r>
      <w:r>
        <w:rPr>
          <w:rFonts w:hint="eastAsia" w:eastAsia="宋体"/>
          <w:kern w:val="2"/>
          <w:sz w:val="21"/>
          <w:lang w:eastAsia="zh-CN"/>
        </w:rPr>
        <w:t>经</w:t>
      </w:r>
      <w:r>
        <w:rPr>
          <w:rFonts w:eastAsia="宋体"/>
          <w:kern w:val="2"/>
          <w:sz w:val="21"/>
          <w:lang w:eastAsia="zh-CN"/>
        </w:rPr>
        <w:t>确认后，</w:t>
      </w:r>
      <w:r>
        <w:rPr>
          <w:rFonts w:hint="eastAsia" w:eastAsia="宋体"/>
          <w:kern w:val="2"/>
          <w:sz w:val="21"/>
          <w:lang w:eastAsia="zh-CN"/>
        </w:rPr>
        <w:t>项目</w:t>
      </w:r>
      <w:r>
        <w:rPr>
          <w:rFonts w:eastAsia="宋体"/>
          <w:kern w:val="2"/>
          <w:sz w:val="21"/>
          <w:lang w:eastAsia="zh-CN"/>
        </w:rPr>
        <w:t>应当修改招标文件，重新组织采购活动。</w:t>
      </w:r>
    </w:p>
    <w:p w14:paraId="219E58EE">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hint="eastAsia" w:eastAsia="宋体"/>
          <w:kern w:val="2"/>
          <w:sz w:val="21"/>
          <w:lang w:eastAsia="zh-CN"/>
        </w:rPr>
        <w:t>对于投标文件中含义不明确、同类问题表述不一致或者有明显文字和计算错误的内容，评审委员会应当以书面形式要求投标人作出必要的澄清、说明或者补正。</w:t>
      </w:r>
    </w:p>
    <w:p w14:paraId="13A8D83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0FEAC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根据本通用条款第34条，凡属于评审委员会在评审中发现的算术错误进行核实的修改不在此列。</w:t>
      </w:r>
    </w:p>
    <w:p w14:paraId="7156EEE2">
      <w:pPr>
        <w:widowControl/>
        <w:wordWrap w:val="0"/>
        <w:autoSpaceDE w:val="0"/>
        <w:autoSpaceDN w:val="0"/>
        <w:spacing w:line="400" w:lineRule="exact"/>
        <w:ind w:right="808" w:firstLine="420" w:firstLineChars="200"/>
        <w:jc w:val="both"/>
        <w:rPr>
          <w:rFonts w:eastAsia="宋体"/>
          <w:kern w:val="2"/>
          <w:sz w:val="21"/>
          <w:lang w:eastAsia="zh-CN"/>
        </w:rPr>
      </w:pPr>
      <w:bookmarkStart w:id="85" w:name="_Toc73521581"/>
      <w:bookmarkStart w:id="86" w:name="_Toc100052400"/>
      <w:bookmarkStart w:id="87" w:name="_Toc73521669"/>
      <w:bookmarkStart w:id="88" w:name="_Toc73517673"/>
      <w:bookmarkStart w:id="89" w:name="_Toc73518151"/>
      <w:r>
        <w:rPr>
          <w:rFonts w:hint="eastAsia" w:eastAsia="宋体"/>
          <w:kern w:val="2"/>
          <w:sz w:val="21"/>
          <w:lang w:eastAsia="zh-CN"/>
        </w:rPr>
        <w:t>34．错误的修正</w:t>
      </w:r>
      <w:bookmarkEnd w:id="85"/>
      <w:bookmarkEnd w:id="86"/>
      <w:bookmarkEnd w:id="87"/>
      <w:bookmarkEnd w:id="88"/>
      <w:bookmarkEnd w:id="89"/>
    </w:p>
    <w:p w14:paraId="7C83ED2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投标文件报价出现前后不一致的，除专用条款另有规定外，按照下列规定修正：</w:t>
      </w:r>
    </w:p>
    <w:p w14:paraId="4C378C0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34.1投标文件中开标一览表投标报价内容与投标文件中投标报价相应内容不一致的，以开标一览表为准；</w:t>
      </w:r>
    </w:p>
    <w:p w14:paraId="3CFB31B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34.2大写金额和小写金额不一致的，以大写金额为准；</w:t>
      </w:r>
    </w:p>
    <w:p w14:paraId="2143FCE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34.3单价金额小数点或者百分比有明显错位，以开标一览表的总价为准，并修改单价；</w:t>
      </w:r>
    </w:p>
    <w:p w14:paraId="688C0AD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34.4总价金额与按单价汇总金额不一致的，以单价金额计算结果为准。</w:t>
      </w:r>
    </w:p>
    <w:p w14:paraId="3CF32F9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34.5同时出现两种以上不一致的，按照前款规定的顺序修正。修正后的报价按照本通用条款33条的规定，经投标人确认后产生约束力，投标人不确认的，其投标无效。</w:t>
      </w:r>
    </w:p>
    <w:p w14:paraId="0F5310F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35．投标文件的比较与评价</w:t>
      </w:r>
    </w:p>
    <w:p w14:paraId="2918E0B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DFE6BB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评审委员会成员对需要共同认定的事项存在争议的，应当按照少数服从多数的原则作出结论。持不同意见的评审委员会成员应当书面作出说明，否则视为无异议。</w:t>
      </w:r>
    </w:p>
    <w:p w14:paraId="47CB61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36. 实地考察或资料查验</w:t>
      </w:r>
    </w:p>
    <w:p w14:paraId="2002887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36.1在评审过程中，评审委员会有权决定是否对本项目投标人进行实地考察或资料查验（原件）。投标人应随时做好接受实地考察或资料查验的准备。</w:t>
      </w:r>
    </w:p>
    <w:p w14:paraId="0776872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37．评审方法</w:t>
      </w:r>
    </w:p>
    <w:p w14:paraId="47B95937">
      <w:pPr>
        <w:widowControl/>
        <w:wordWrap w:val="0"/>
        <w:autoSpaceDE w:val="0"/>
        <w:autoSpaceDN w:val="0"/>
        <w:spacing w:line="400" w:lineRule="exact"/>
        <w:ind w:right="808" w:firstLine="420" w:firstLineChars="200"/>
        <w:jc w:val="both"/>
        <w:rPr>
          <w:rFonts w:eastAsia="宋体"/>
          <w:kern w:val="2"/>
          <w:sz w:val="21"/>
          <w:lang w:eastAsia="zh-CN"/>
        </w:rPr>
      </w:pPr>
      <w:bookmarkStart w:id="90" w:name="_Hlk72438142"/>
      <w:r>
        <w:rPr>
          <w:rFonts w:hint="eastAsia" w:eastAsia="宋体"/>
          <w:kern w:val="2"/>
          <w:sz w:val="21"/>
          <w:lang w:eastAsia="zh-CN"/>
        </w:rPr>
        <w:t>37.1.1最低价法</w:t>
      </w:r>
    </w:p>
    <w:p w14:paraId="1A09FD9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最低价法，是指完全满足招标文件实质性要求，按照报价由低到高的顺序，依据招标文件中规定的数量或者比例推荐候选中标供应商。</w:t>
      </w:r>
    </w:p>
    <w:p w14:paraId="783EF67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37.1.2综合评分法</w:t>
      </w:r>
    </w:p>
    <w:bookmarkEnd w:id="90"/>
    <w:p w14:paraId="2B60A3C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p>
    <w:p w14:paraId="7DF9924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37.2 本项目采用的评审方法见本项目招标文件第一册“专用条款”的相关内容。</w:t>
      </w:r>
    </w:p>
    <w:p w14:paraId="15059E8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37.3重新评审的情形</w:t>
      </w:r>
    </w:p>
    <w:p w14:paraId="6660BE8C">
      <w:pPr>
        <w:widowControl/>
        <w:wordWrap w:val="0"/>
        <w:autoSpaceDE w:val="0"/>
        <w:autoSpaceDN w:val="0"/>
        <w:spacing w:line="400" w:lineRule="exact"/>
        <w:ind w:right="808" w:firstLine="420" w:firstLineChars="200"/>
        <w:jc w:val="both"/>
        <w:rPr>
          <w:rFonts w:eastAsia="宋体"/>
          <w:b/>
          <w:bCs/>
          <w:kern w:val="2"/>
          <w:sz w:val="21"/>
          <w:lang w:eastAsia="zh-CN"/>
        </w:rPr>
      </w:pPr>
      <w:r>
        <w:rPr>
          <w:rFonts w:hint="eastAsia" w:eastAsia="宋体"/>
          <w:sz w:val="21"/>
          <w:lang w:eastAsia="zh-CN"/>
        </w:rPr>
        <w:t>评审结果汇总完成后，除下列情形外，任何人不得修改评审结果：</w:t>
      </w:r>
    </w:p>
    <w:p w14:paraId="2065E2F8">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37.3.1分值汇总计算错误的；</w:t>
      </w:r>
    </w:p>
    <w:p w14:paraId="4244E4AC">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37.3.2分项评分超出评分标准范围的；</w:t>
      </w:r>
    </w:p>
    <w:p w14:paraId="73AB5EE4">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37.3.3评审委员会成员对客观评审因素评分不一致的；</w:t>
      </w:r>
    </w:p>
    <w:p w14:paraId="572E74D4">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37.3.4经评审委员会认定评分畸高、畸低的。</w:t>
      </w:r>
    </w:p>
    <w:p w14:paraId="7C2C693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9C340DA">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投标人对本条第一款情形提出质疑的，采购人或者采购代理机构可以组织原评审委员会进行重新评审，重新评审改变评审结果的，应当书面报告本级财政部门。</w:t>
      </w:r>
    </w:p>
    <w:p w14:paraId="726E4E5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 xml:space="preserve"> 37.4重新组建评审委员会的情形</w:t>
      </w:r>
    </w:p>
    <w:p w14:paraId="5E1C2C42">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评审委员会或者其成员存在下列情形导致评审结果无效的，重新组建评审委员会进行评标，并书面报告本级财政部门：</w:t>
      </w:r>
    </w:p>
    <w:p w14:paraId="11AECCA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37.4.1评审委员会组成不符合《政府采购货物和服务招标投标管理办法》规定的；</w:t>
      </w:r>
    </w:p>
    <w:p w14:paraId="7E9AFD9B">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37.4.2有《政府采购货物和服务招标投标管理办法》第六十二条第一至五项情形的；</w:t>
      </w:r>
    </w:p>
    <w:p w14:paraId="76385F4C">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37.4.3评审委员会及其成员独立评标受到非法干预的；</w:t>
      </w:r>
    </w:p>
    <w:p w14:paraId="5EDAEC6D">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37.4.4有政府采购法实施条例第七十五条规定的违法行为的。</w:t>
      </w:r>
    </w:p>
    <w:p w14:paraId="5B80F97B">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有违法违规行为的原评审委员会成员不得参加重新组建的评审委员会。</w:t>
      </w:r>
    </w:p>
    <w:p w14:paraId="3D0C70A3">
      <w:pPr>
        <w:widowControl/>
        <w:wordWrap w:val="0"/>
        <w:autoSpaceDE w:val="0"/>
        <w:autoSpaceDN w:val="0"/>
        <w:spacing w:line="360" w:lineRule="auto"/>
        <w:ind w:right="808" w:firstLine="482" w:firstLineChars="200"/>
        <w:jc w:val="both"/>
        <w:rPr>
          <w:rFonts w:eastAsia="宋体"/>
          <w:b/>
          <w:kern w:val="2"/>
          <w:lang w:eastAsia="zh-CN"/>
        </w:rPr>
      </w:pPr>
    </w:p>
    <w:p w14:paraId="50499C10">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91" w:name="第八章1"/>
      <w:bookmarkEnd w:id="91"/>
      <w:bookmarkStart w:id="92" w:name="_Toc30568"/>
      <w:bookmarkStart w:id="93" w:name="_Toc13341"/>
      <w:bookmarkStart w:id="94" w:name="_Toc1513"/>
      <w:bookmarkStart w:id="95" w:name="_Toc26094"/>
      <w:r>
        <w:rPr>
          <w:rFonts w:hint="eastAsia" w:ascii="Arial" w:hAnsi="Arial" w:eastAsia="宋体"/>
          <w:b/>
          <w:kern w:val="2"/>
          <w:sz w:val="32"/>
          <w:lang w:eastAsia="zh-CN"/>
        </w:rPr>
        <w:t xml:space="preserve">第八章 </w:t>
      </w:r>
      <w:bookmarkStart w:id="96" w:name="_Toc24537"/>
      <w:r>
        <w:rPr>
          <w:rFonts w:hint="eastAsia" w:ascii="Arial" w:hAnsi="Arial" w:eastAsia="宋体"/>
          <w:b/>
          <w:kern w:val="2"/>
          <w:sz w:val="32"/>
          <w:lang w:eastAsia="zh-CN"/>
        </w:rPr>
        <w:t>定标及公示</w:t>
      </w:r>
      <w:bookmarkEnd w:id="92"/>
      <w:bookmarkEnd w:id="93"/>
      <w:bookmarkEnd w:id="94"/>
      <w:bookmarkEnd w:id="95"/>
      <w:bookmarkEnd w:id="96"/>
    </w:p>
    <w:p w14:paraId="5FC6864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38．定标方法</w:t>
      </w:r>
    </w:p>
    <w:p w14:paraId="5BCDB333">
      <w:pPr>
        <w:widowControl/>
        <w:wordWrap w:val="0"/>
        <w:autoSpaceDE w:val="0"/>
        <w:autoSpaceDN w:val="0"/>
        <w:spacing w:line="400" w:lineRule="exact"/>
        <w:ind w:right="808" w:firstLine="420" w:firstLineChars="200"/>
        <w:jc w:val="both"/>
        <w:rPr>
          <w:rFonts w:eastAsia="宋体"/>
          <w:kern w:val="2"/>
          <w:sz w:val="21"/>
          <w:lang w:eastAsia="zh-CN"/>
        </w:rPr>
      </w:pPr>
      <w:bookmarkStart w:id="97" w:name="_Hlk73782795"/>
      <w:r>
        <w:rPr>
          <w:rFonts w:hint="eastAsia" w:eastAsia="宋体"/>
          <w:kern w:val="2"/>
          <w:sz w:val="21"/>
          <w:lang w:eastAsia="zh-CN"/>
        </w:rPr>
        <w:t>38.1非评定分离项目定标方法</w:t>
      </w:r>
    </w:p>
    <w:p w14:paraId="03A513E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w:t>
      </w:r>
      <w:r>
        <w:rPr>
          <w:rFonts w:eastAsia="宋体"/>
          <w:kern w:val="2"/>
          <w:sz w:val="21"/>
          <w:lang w:eastAsia="zh-CN"/>
        </w:rPr>
        <w:t>.</w:t>
      </w:r>
      <w:r>
        <w:rPr>
          <w:rFonts w:hint="eastAsia" w:eastAsia="宋体"/>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27EE18B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14:paraId="0F02AA9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A2463E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38.2评定分离项目定标方法</w:t>
      </w:r>
    </w:p>
    <w:p w14:paraId="40EE12E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67C14A0">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hAnsi="宋体" w:eastAsia="宋体"/>
          <w:kern w:val="2"/>
          <w:sz w:val="21"/>
          <w:szCs w:val="21"/>
          <w:lang w:eastAsia="zh-CN"/>
        </w:rPr>
        <w:t xml:space="preserve">38.2.2 </w:t>
      </w:r>
      <w:bookmarkStart w:id="98" w:name="_Hlk71469733"/>
      <w:r>
        <w:rPr>
          <w:rFonts w:eastAsia="宋体"/>
          <w:kern w:val="2"/>
          <w:sz w:val="21"/>
          <w:lang w:eastAsia="zh-CN"/>
        </w:rPr>
        <w:t>适用评定分离的政府采购项目，采用综合评分法评</w:t>
      </w:r>
      <w:r>
        <w:rPr>
          <w:rFonts w:hint="eastAsia" w:eastAsia="宋体"/>
          <w:kern w:val="2"/>
          <w:sz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lang w:eastAsia="zh-CN"/>
        </w:rPr>
        <w:t>三个合格的候选中标供应商。</w:t>
      </w:r>
    </w:p>
    <w:p w14:paraId="436CEC0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38.2.3</w:t>
      </w:r>
      <w:bookmarkStart w:id="99" w:name="_Hlk71469688"/>
      <w:r>
        <w:rPr>
          <w:rFonts w:eastAsia="宋体"/>
          <w:kern w:val="2"/>
          <w:sz w:val="21"/>
          <w:lang w:eastAsia="zh-CN"/>
        </w:rPr>
        <w:t>适用评定分离的政府采购项目，</w:t>
      </w:r>
      <w:r>
        <w:rPr>
          <w:rFonts w:hint="eastAsia" w:eastAsia="宋体"/>
          <w:kern w:val="2"/>
          <w:sz w:val="21"/>
          <w:lang w:eastAsia="zh-CN"/>
        </w:rPr>
        <w:t>按照自定法确定中标供应商：自定法是指采购人组织定标委员会，由定标委员会在三家候选中标供应商中确定中标供应商。</w:t>
      </w:r>
      <w:bookmarkEnd w:id="98"/>
      <w:bookmarkEnd w:id="99"/>
    </w:p>
    <w:p w14:paraId="3312AEF8">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hint="eastAsia" w:eastAsia="宋体"/>
          <w:kern w:val="2"/>
          <w:sz w:val="21"/>
          <w:lang w:eastAsia="zh-CN"/>
        </w:rPr>
        <w:t>采购代理机构。具体定标程序及相关要求以按照《</w:t>
      </w:r>
      <w:r>
        <w:rPr>
          <w:rFonts w:eastAsia="宋体"/>
          <w:kern w:val="2"/>
          <w:sz w:val="21"/>
          <w:lang w:eastAsia="zh-CN"/>
        </w:rPr>
        <w:t>深圳市财政局关于印发</w:t>
      </w:r>
      <w:r>
        <w:rPr>
          <w:rFonts w:hint="eastAsia" w:ascii="宋体" w:hAnsi="宋体" w:eastAsia="宋体"/>
          <w:kern w:val="2"/>
          <w:sz w:val="21"/>
          <w:lang w:eastAsia="zh-CN"/>
        </w:rPr>
        <w:t>〈</w:t>
      </w:r>
      <w:r>
        <w:rPr>
          <w:rFonts w:eastAsia="宋体"/>
          <w:kern w:val="2"/>
          <w:sz w:val="21"/>
          <w:lang w:eastAsia="zh-CN"/>
        </w:rPr>
        <w:t>深圳市政府采购评标定标分离管理办法</w:t>
      </w:r>
      <w:r>
        <w:rPr>
          <w:rFonts w:hint="eastAsia" w:ascii="宋体" w:hAnsi="宋体" w:eastAsia="宋体"/>
          <w:kern w:val="2"/>
          <w:sz w:val="21"/>
          <w:lang w:eastAsia="zh-CN"/>
        </w:rPr>
        <w:t>〉</w:t>
      </w:r>
      <w:r>
        <w:rPr>
          <w:rFonts w:eastAsia="宋体"/>
          <w:kern w:val="2"/>
          <w:sz w:val="21"/>
          <w:lang w:eastAsia="zh-CN"/>
        </w:rPr>
        <w:t>的通知</w:t>
      </w:r>
      <w:r>
        <w:rPr>
          <w:rFonts w:hint="eastAsia" w:eastAsia="宋体"/>
          <w:kern w:val="2"/>
          <w:sz w:val="21"/>
          <w:lang w:eastAsia="zh-CN"/>
        </w:rPr>
        <w:t>》（深财规【2</w:t>
      </w:r>
      <w:r>
        <w:rPr>
          <w:rFonts w:eastAsia="宋体"/>
          <w:kern w:val="2"/>
          <w:sz w:val="21"/>
          <w:lang w:eastAsia="zh-CN"/>
        </w:rPr>
        <w:t>020</w:t>
      </w:r>
      <w:r>
        <w:rPr>
          <w:rFonts w:hint="eastAsia" w:eastAsia="宋体"/>
          <w:kern w:val="2"/>
          <w:sz w:val="21"/>
          <w:lang w:eastAsia="zh-CN"/>
        </w:rPr>
        <w:t>】1号）执行。</w:t>
      </w:r>
    </w:p>
    <w:p w14:paraId="4B5EAE5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说明：采购人及投标供应商应按照上述方法提前做好相关准备。</w:t>
      </w:r>
    </w:p>
    <w:p w14:paraId="2596F14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38.3专用条款另有规定的，按专用条款相关要求定标。</w:t>
      </w:r>
      <w:bookmarkEnd w:id="97"/>
    </w:p>
    <w:p w14:paraId="79DD07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39．编写评审报告</w:t>
      </w:r>
    </w:p>
    <w:p w14:paraId="055BAE1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2DCD0A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40．中标公告</w:t>
      </w:r>
    </w:p>
    <w:p w14:paraId="6911EEB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40.1</w:t>
      </w:r>
      <w:bookmarkStart w:id="100" w:name="_Hlk72438709"/>
      <w:r>
        <w:rPr>
          <w:rFonts w:hint="eastAsia" w:eastAsia="宋体"/>
          <w:kern w:val="2"/>
          <w:sz w:val="21"/>
          <w:lang w:eastAsia="zh-CN"/>
        </w:rPr>
        <w:t>为体现“公开、公平、公正”的原则，评审结束后经采购人确认（确定）评审结果，采购代理机构将在</w:t>
      </w:r>
      <w:r>
        <w:rPr>
          <w:rFonts w:hint="eastAsia" w:eastAsia="宋体"/>
          <w:b/>
          <w:bCs/>
          <w:kern w:val="2"/>
          <w:sz w:val="21"/>
          <w:lang w:eastAsia="zh-CN"/>
        </w:rPr>
        <w:t>深圳政府采购自行采购系统（https://zxcg.szggzy.com/home/index.html）</w:t>
      </w:r>
      <w:r>
        <w:rPr>
          <w:rFonts w:hint="eastAsia" w:eastAsia="宋体"/>
          <w:kern w:val="2"/>
          <w:sz w:val="21"/>
          <w:lang w:eastAsia="zh-CN"/>
        </w:rPr>
        <w:t>上发布中标结果公告。</w:t>
      </w:r>
      <w:bookmarkEnd w:id="100"/>
      <w:bookmarkStart w:id="101" w:name="_Hlk72438751"/>
      <w:r>
        <w:rPr>
          <w:rFonts w:hint="eastAsia" w:eastAsia="宋体"/>
          <w:kern w:val="2"/>
          <w:sz w:val="21"/>
          <w:lang w:eastAsia="zh-CN"/>
        </w:rPr>
        <w:t>供应商如对评审结果有异议，</w:t>
      </w:r>
      <w:r>
        <w:rPr>
          <w:rFonts w:eastAsia="宋体"/>
          <w:kern w:val="2"/>
          <w:sz w:val="21"/>
          <w:lang w:eastAsia="zh-CN"/>
        </w:rPr>
        <w:t>可在发布公示日期起</w:t>
      </w:r>
      <w:r>
        <w:rPr>
          <w:rFonts w:hint="eastAsia" w:eastAsia="宋体"/>
          <w:kern w:val="2"/>
          <w:sz w:val="21"/>
          <w:lang w:eastAsia="zh-CN"/>
        </w:rPr>
        <w:t>七</w:t>
      </w:r>
      <w:r>
        <w:rPr>
          <w:rFonts w:eastAsia="宋体"/>
          <w:kern w:val="2"/>
          <w:sz w:val="21"/>
          <w:lang w:eastAsia="zh-CN"/>
        </w:rPr>
        <w:t>个工作日内向</w:t>
      </w:r>
      <w:r>
        <w:rPr>
          <w:rFonts w:hint="eastAsia" w:eastAsia="宋体"/>
          <w:kern w:val="2"/>
          <w:sz w:val="21"/>
          <w:lang w:eastAsia="zh-CN"/>
        </w:rPr>
        <w:t>采购代理机构</w:t>
      </w:r>
      <w:r>
        <w:rPr>
          <w:rFonts w:eastAsia="宋体"/>
          <w:kern w:val="2"/>
          <w:sz w:val="21"/>
          <w:lang w:eastAsia="zh-CN"/>
        </w:rPr>
        <w:t>提出。 监督电话：0755-21070507。</w:t>
      </w:r>
      <w:r>
        <w:rPr>
          <w:rFonts w:hint="eastAsia" w:eastAsia="宋体"/>
          <w:kern w:val="2"/>
          <w:sz w:val="21"/>
          <w:lang w:eastAsia="zh-CN"/>
        </w:rPr>
        <w:t>若在公示期内未提出质疑，则视为认同该评审结果。</w:t>
      </w:r>
    </w:p>
    <w:bookmarkEnd w:id="101"/>
    <w:p w14:paraId="1F62F98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40.2质疑、投诉供应商应保证质疑、投诉内容的真实性和可靠性，并承担相应的法律责任。</w:t>
      </w:r>
    </w:p>
    <w:p w14:paraId="2B5A452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41．中标通知书</w:t>
      </w:r>
    </w:p>
    <w:p w14:paraId="5C76E9AE">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hint="eastAsia" w:eastAsia="宋体"/>
          <w:kern w:val="2"/>
          <w:sz w:val="21"/>
          <w:szCs w:val="21"/>
          <w:lang w:eastAsia="zh-CN"/>
        </w:rPr>
        <w:t>41</w:t>
      </w:r>
      <w:r>
        <w:rPr>
          <w:rFonts w:eastAsia="宋体"/>
          <w:kern w:val="2"/>
          <w:sz w:val="21"/>
          <w:szCs w:val="21"/>
          <w:lang w:eastAsia="zh-CN"/>
        </w:rPr>
        <w:t>.</w:t>
      </w:r>
      <w:r>
        <w:rPr>
          <w:rFonts w:hint="eastAsia" w:eastAsia="宋体"/>
          <w:kern w:val="2"/>
          <w:sz w:val="21"/>
          <w:szCs w:val="21"/>
          <w:lang w:eastAsia="zh-CN"/>
        </w:rPr>
        <w:t>1</w:t>
      </w:r>
      <w:bookmarkStart w:id="102" w:name="_Hlk72438863"/>
      <w:r>
        <w:rPr>
          <w:rFonts w:hint="eastAsia" w:eastAsia="宋体"/>
          <w:kern w:val="2"/>
          <w:sz w:val="21"/>
          <w:szCs w:val="21"/>
          <w:lang w:eastAsia="zh-CN"/>
        </w:rPr>
        <w:t>中标公告公布以后无异常的情况下，中标供应商和采购人可自行登录</w:t>
      </w:r>
      <w:r>
        <w:rPr>
          <w:rFonts w:hint="eastAsia" w:eastAsia="宋体"/>
          <w:b/>
          <w:bCs/>
          <w:kern w:val="2"/>
          <w:sz w:val="21"/>
          <w:szCs w:val="21"/>
          <w:lang w:eastAsia="zh-CN"/>
        </w:rPr>
        <w:t>“</w:t>
      </w:r>
      <w:r>
        <w:rPr>
          <w:rFonts w:hint="eastAsia" w:eastAsia="宋体"/>
          <w:kern w:val="2"/>
          <w:sz w:val="21"/>
          <w:lang w:eastAsia="zh-CN"/>
        </w:rPr>
        <w:t>深圳政府采购自行采购系统（https://trade.szggzy.com/ggzy/center/#/login）</w:t>
      </w:r>
      <w:r>
        <w:rPr>
          <w:rFonts w:hint="eastAsia" w:eastAsia="宋体"/>
          <w:b/>
          <w:bCs/>
          <w:kern w:val="2"/>
          <w:sz w:val="21"/>
          <w:szCs w:val="21"/>
          <w:lang w:eastAsia="zh-CN"/>
        </w:rPr>
        <w:t>”</w:t>
      </w:r>
      <w:r>
        <w:rPr>
          <w:rFonts w:hint="eastAsia" w:eastAsia="宋体"/>
          <w:kern w:val="2"/>
          <w:sz w:val="21"/>
          <w:szCs w:val="21"/>
          <w:lang w:eastAsia="zh-CN"/>
        </w:rPr>
        <w:t>上打印</w:t>
      </w:r>
      <w:r>
        <w:rPr>
          <w:rFonts w:hint="eastAsia" w:eastAsia="宋体"/>
          <w:b/>
          <w:kern w:val="2"/>
          <w:sz w:val="21"/>
          <w:szCs w:val="21"/>
          <w:lang w:eastAsia="zh-CN"/>
        </w:rPr>
        <w:t>《数字中标通知书》</w:t>
      </w:r>
      <w:r>
        <w:rPr>
          <w:rFonts w:hint="eastAsia" w:eastAsia="宋体"/>
          <w:kern w:val="2"/>
          <w:sz w:val="21"/>
          <w:szCs w:val="21"/>
          <w:lang w:eastAsia="zh-CN"/>
        </w:rPr>
        <w:t>。</w:t>
      </w:r>
      <w:bookmarkEnd w:id="102"/>
    </w:p>
    <w:p w14:paraId="719AADC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41</w:t>
      </w:r>
      <w:r>
        <w:rPr>
          <w:rFonts w:eastAsia="宋体"/>
          <w:kern w:val="2"/>
          <w:sz w:val="21"/>
          <w:lang w:eastAsia="zh-CN"/>
        </w:rPr>
        <w:t>.2</w:t>
      </w:r>
      <w:r>
        <w:rPr>
          <w:rFonts w:hint="eastAsia" w:eastAsia="宋体"/>
          <w:kern w:val="2"/>
          <w:sz w:val="21"/>
          <w:lang w:eastAsia="zh-CN"/>
        </w:rPr>
        <w:t>中标通知书是合同的重要组成部分。</w:t>
      </w:r>
    </w:p>
    <w:p w14:paraId="4C723199">
      <w:pPr>
        <w:widowControl/>
        <w:wordWrap w:val="0"/>
        <w:autoSpaceDE w:val="0"/>
        <w:autoSpaceDN w:val="0"/>
        <w:spacing w:line="400" w:lineRule="exact"/>
        <w:ind w:right="808" w:firstLine="420" w:firstLineChars="200"/>
        <w:jc w:val="both"/>
        <w:rPr>
          <w:rFonts w:eastAsia="宋体"/>
          <w:kern w:val="2"/>
          <w:sz w:val="21"/>
          <w:lang w:eastAsia="zh-CN"/>
        </w:rPr>
      </w:pPr>
      <w:bookmarkStart w:id="103" w:name="_Hlk71407340"/>
      <w:r>
        <w:rPr>
          <w:rFonts w:hint="eastAsia" w:eastAsia="宋体"/>
          <w:kern w:val="2"/>
          <w:sz w:val="21"/>
          <w:lang w:eastAsia="zh-CN"/>
        </w:rPr>
        <w:t>41.3因质疑投诉或其它原因导致项目结果变更或采购终止的，采购代理机构有权吊销中标通知书。</w:t>
      </w:r>
    </w:p>
    <w:bookmarkEnd w:id="103"/>
    <w:p w14:paraId="7BC3324C">
      <w:pPr>
        <w:widowControl/>
        <w:wordWrap w:val="0"/>
        <w:autoSpaceDE w:val="0"/>
        <w:autoSpaceDN w:val="0"/>
        <w:spacing w:line="360" w:lineRule="auto"/>
        <w:ind w:right="808" w:firstLine="482" w:firstLineChars="200"/>
        <w:jc w:val="both"/>
        <w:rPr>
          <w:rFonts w:eastAsia="宋体"/>
          <w:b/>
          <w:kern w:val="2"/>
          <w:lang w:eastAsia="zh-CN"/>
        </w:rPr>
      </w:pPr>
    </w:p>
    <w:p w14:paraId="62E0C3B2">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04" w:name="第九章1"/>
      <w:bookmarkEnd w:id="104"/>
      <w:bookmarkStart w:id="105" w:name="_Toc17412"/>
      <w:bookmarkStart w:id="106" w:name="_Toc11736"/>
      <w:bookmarkStart w:id="107" w:name="_Toc25733"/>
      <w:bookmarkStart w:id="108" w:name="_Toc20277"/>
      <w:bookmarkStart w:id="109" w:name="_Toc24474"/>
      <w:bookmarkStart w:id="110" w:name="_Toc101074884"/>
      <w:bookmarkStart w:id="111" w:name="_Toc73517678"/>
      <w:bookmarkStart w:id="112" w:name="_Toc100052407"/>
      <w:r>
        <w:rPr>
          <w:rFonts w:hint="eastAsia" w:ascii="Arial" w:hAnsi="Arial" w:eastAsia="宋体"/>
          <w:b/>
          <w:kern w:val="2"/>
          <w:sz w:val="32"/>
          <w:lang w:eastAsia="zh-CN"/>
        </w:rPr>
        <w:t>第九章 公开采购失败的后续处理</w:t>
      </w:r>
      <w:bookmarkEnd w:id="105"/>
      <w:bookmarkEnd w:id="106"/>
      <w:bookmarkEnd w:id="107"/>
      <w:bookmarkEnd w:id="108"/>
      <w:bookmarkEnd w:id="109"/>
    </w:p>
    <w:p w14:paraId="5CF7E43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42．公开招标失败的处理</w:t>
      </w:r>
    </w:p>
    <w:p w14:paraId="0632049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szCs w:val="21"/>
          <w:lang w:eastAsia="zh-CN"/>
        </w:rPr>
        <w:t>42.1本项目公开招标过程中若由于投标截止后</w:t>
      </w:r>
      <w:r>
        <w:rPr>
          <w:rFonts w:hint="eastAsia" w:eastAsia="宋体"/>
          <w:kern w:val="2"/>
          <w:sz w:val="21"/>
          <w:lang w:eastAsia="zh-CN"/>
        </w:rPr>
        <w:t>实际递交</w:t>
      </w:r>
      <w:r>
        <w:rPr>
          <w:rFonts w:eastAsia="宋体"/>
          <w:kern w:val="2"/>
          <w:sz w:val="21"/>
          <w:lang w:eastAsia="zh-CN"/>
        </w:rPr>
        <w:t>投标</w:t>
      </w:r>
      <w:r>
        <w:rPr>
          <w:rFonts w:hint="eastAsia" w:eastAsia="宋体"/>
          <w:kern w:val="2"/>
          <w:sz w:val="21"/>
          <w:lang w:eastAsia="zh-CN"/>
        </w:rPr>
        <w:t>文件的供应商数量不足、经</w:t>
      </w:r>
      <w:r>
        <w:rPr>
          <w:rFonts w:hint="eastAsia" w:eastAsia="宋体"/>
          <w:kern w:val="2"/>
          <w:sz w:val="21"/>
          <w:szCs w:val="21"/>
          <w:lang w:eastAsia="zh-CN"/>
        </w:rPr>
        <w:t>评审委员会</w:t>
      </w:r>
      <w:r>
        <w:rPr>
          <w:rFonts w:hint="eastAsia" w:eastAsia="宋体"/>
          <w:kern w:val="2"/>
          <w:sz w:val="21"/>
          <w:lang w:eastAsia="zh-CN"/>
        </w:rPr>
        <w:t>评审对招标文件作实质响应的供应商不足等原因造成公开招标失败，可由</w:t>
      </w:r>
      <w:r>
        <w:rPr>
          <w:rFonts w:hint="eastAsia" w:eastAsia="宋体" w:cs="宋体"/>
          <w:kern w:val="2"/>
          <w:sz w:val="21"/>
          <w:lang w:eastAsia="zh-CN"/>
        </w:rPr>
        <w:t>采购代理机构</w:t>
      </w:r>
      <w:r>
        <w:rPr>
          <w:rFonts w:hint="eastAsia" w:eastAsia="宋体"/>
          <w:kern w:val="2"/>
          <w:sz w:val="21"/>
          <w:lang w:eastAsia="zh-CN"/>
        </w:rPr>
        <w:t>重新组织采购。</w:t>
      </w:r>
    </w:p>
    <w:p w14:paraId="5287A6B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42.2对公开招标失败的项目，评审委员会在出具该项目招标失败结论的同时，可以提出重新采购组织形式的建议，以及进一步完善招标文件的资格、技术、商务要求的修改建议。</w:t>
      </w:r>
    </w:p>
    <w:p w14:paraId="0953C78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42.3重新组织采购有以下两种组织形式：</w:t>
      </w:r>
    </w:p>
    <w:p w14:paraId="0F7286F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（1）由采购代理机构重新组织公开招标；</w:t>
      </w:r>
    </w:p>
    <w:p w14:paraId="7D09EEB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（2）根据实际情况需要向同级财政部门提出非公开招标方式申请，经同级财政部门批准，公开招标失败采购项目可转为竞争性谈判或单一来源谈判方式采购。</w:t>
      </w:r>
    </w:p>
    <w:p w14:paraId="4CD8D05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42.4公开招标失败的采购项目重新组织公开招标，由采购代理机构重新按公开招标流程组织采购活动。</w:t>
      </w:r>
    </w:p>
    <w:p w14:paraId="231B7E3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42.5公开招标失败的采购项目经同级财政部门批准转为竞争性谈判或单一来源谈判方式采购的，按规定要求组织政府采购工作。</w:t>
      </w:r>
    </w:p>
    <w:p w14:paraId="3E423266">
      <w:pPr>
        <w:widowControl/>
        <w:wordWrap w:val="0"/>
        <w:autoSpaceDE w:val="0"/>
        <w:autoSpaceDN w:val="0"/>
        <w:spacing w:line="360" w:lineRule="auto"/>
        <w:ind w:right="808" w:firstLine="482" w:firstLineChars="200"/>
        <w:jc w:val="both"/>
        <w:rPr>
          <w:rFonts w:eastAsia="宋体"/>
          <w:b/>
          <w:kern w:val="2"/>
          <w:lang w:eastAsia="zh-CN"/>
        </w:rPr>
      </w:pPr>
    </w:p>
    <w:bookmarkEnd w:id="110"/>
    <w:bookmarkEnd w:id="111"/>
    <w:bookmarkEnd w:id="112"/>
    <w:p w14:paraId="4ECCCCD3">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13" w:name="第十章1"/>
      <w:bookmarkEnd w:id="113"/>
      <w:bookmarkStart w:id="114" w:name="_Toc9122"/>
      <w:bookmarkStart w:id="115" w:name="_Toc13677"/>
      <w:bookmarkStart w:id="116" w:name="_Toc26432"/>
      <w:bookmarkStart w:id="117" w:name="_Toc26814"/>
      <w:bookmarkStart w:id="118" w:name="_Toc27904"/>
      <w:r>
        <w:rPr>
          <w:rFonts w:hint="eastAsia" w:ascii="Arial" w:hAnsi="Arial" w:eastAsia="宋体"/>
          <w:b/>
          <w:kern w:val="2"/>
          <w:sz w:val="32"/>
          <w:lang w:eastAsia="zh-CN"/>
        </w:rPr>
        <w:t>第十章 合同的授予与备案</w:t>
      </w:r>
      <w:bookmarkEnd w:id="114"/>
      <w:bookmarkEnd w:id="115"/>
      <w:bookmarkEnd w:id="116"/>
      <w:bookmarkEnd w:id="117"/>
      <w:bookmarkEnd w:id="118"/>
    </w:p>
    <w:p w14:paraId="4165A5B4">
      <w:pPr>
        <w:widowControl/>
        <w:wordWrap w:val="0"/>
        <w:autoSpaceDE w:val="0"/>
        <w:autoSpaceDN w:val="0"/>
        <w:spacing w:line="400" w:lineRule="exact"/>
        <w:ind w:right="808" w:firstLine="420" w:firstLineChars="200"/>
        <w:jc w:val="both"/>
        <w:rPr>
          <w:rFonts w:eastAsia="宋体"/>
          <w:kern w:val="2"/>
          <w:sz w:val="21"/>
          <w:lang w:eastAsia="zh-CN"/>
        </w:rPr>
      </w:pPr>
      <w:bookmarkStart w:id="119" w:name="_33._合同授予标准"/>
      <w:bookmarkEnd w:id="119"/>
      <w:bookmarkStart w:id="120" w:name="_Toc73521674"/>
      <w:bookmarkStart w:id="121" w:name="_Toc73521586"/>
      <w:bookmarkStart w:id="122" w:name="_Toc73517679"/>
      <w:bookmarkStart w:id="123" w:name="_Toc100052408"/>
      <w:bookmarkStart w:id="124" w:name="_Toc73518157"/>
      <w:bookmarkStart w:id="125" w:name="_Hlk72439088"/>
      <w:r>
        <w:rPr>
          <w:rFonts w:hint="eastAsia" w:eastAsia="宋体"/>
          <w:kern w:val="2"/>
          <w:sz w:val="21"/>
          <w:lang w:eastAsia="zh-CN"/>
        </w:rPr>
        <w:t>43．合同授予标准</w:t>
      </w:r>
      <w:bookmarkEnd w:id="120"/>
      <w:bookmarkEnd w:id="121"/>
      <w:bookmarkEnd w:id="122"/>
      <w:bookmarkEnd w:id="123"/>
      <w:bookmarkEnd w:id="124"/>
    </w:p>
    <w:p w14:paraId="0FBA720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本项目的合同将授予经本招标文件规定评审确定的中标供应商。</w:t>
      </w:r>
    </w:p>
    <w:p w14:paraId="4B243C17">
      <w:pPr>
        <w:widowControl/>
        <w:wordWrap w:val="0"/>
        <w:autoSpaceDE w:val="0"/>
        <w:autoSpaceDN w:val="0"/>
        <w:spacing w:line="400" w:lineRule="exact"/>
        <w:ind w:right="808" w:firstLine="420" w:firstLineChars="200"/>
        <w:jc w:val="both"/>
        <w:rPr>
          <w:rFonts w:eastAsia="宋体"/>
          <w:kern w:val="2"/>
          <w:sz w:val="21"/>
          <w:lang w:eastAsia="zh-CN"/>
        </w:rPr>
      </w:pPr>
      <w:bookmarkStart w:id="126" w:name="_Toc73517680"/>
      <w:bookmarkStart w:id="127" w:name="_Toc100052409"/>
      <w:bookmarkStart w:id="128" w:name="_Toc73521587"/>
      <w:bookmarkStart w:id="129" w:name="_Toc73518158"/>
      <w:bookmarkStart w:id="130" w:name="_Toc73521675"/>
      <w:r>
        <w:rPr>
          <w:rFonts w:hint="eastAsia" w:eastAsia="宋体"/>
          <w:kern w:val="2"/>
          <w:sz w:val="21"/>
          <w:lang w:eastAsia="zh-CN"/>
        </w:rPr>
        <w:t>44．</w:t>
      </w:r>
      <w:bookmarkEnd w:id="126"/>
      <w:bookmarkEnd w:id="127"/>
      <w:bookmarkEnd w:id="128"/>
      <w:bookmarkEnd w:id="129"/>
      <w:bookmarkEnd w:id="130"/>
      <w:r>
        <w:rPr>
          <w:rFonts w:hint="eastAsia" w:eastAsia="宋体"/>
          <w:kern w:val="2"/>
          <w:sz w:val="21"/>
          <w:lang w:eastAsia="zh-CN"/>
        </w:rPr>
        <w:t>接受和拒绝任何或所有投标的权力</w:t>
      </w:r>
    </w:p>
    <w:p w14:paraId="6BBF985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2FC64B3C">
      <w:pPr>
        <w:widowControl/>
        <w:wordWrap w:val="0"/>
        <w:autoSpaceDE w:val="0"/>
        <w:autoSpaceDN w:val="0"/>
        <w:spacing w:line="400" w:lineRule="exact"/>
        <w:ind w:right="808" w:firstLine="420" w:firstLineChars="200"/>
        <w:jc w:val="both"/>
        <w:rPr>
          <w:rFonts w:eastAsia="宋体"/>
          <w:kern w:val="2"/>
          <w:sz w:val="21"/>
          <w:lang w:eastAsia="zh-CN"/>
        </w:rPr>
      </w:pPr>
      <w:bookmarkStart w:id="131" w:name="_Toc73521677"/>
      <w:bookmarkStart w:id="132" w:name="_Toc73518160"/>
      <w:bookmarkStart w:id="133" w:name="_Toc73517682"/>
      <w:bookmarkStart w:id="134" w:name="_Toc100052410"/>
      <w:bookmarkStart w:id="135" w:name="_Toc73521589"/>
      <w:r>
        <w:rPr>
          <w:rFonts w:hint="eastAsia" w:eastAsia="宋体"/>
          <w:kern w:val="2"/>
          <w:sz w:val="21"/>
          <w:lang w:eastAsia="zh-CN"/>
        </w:rPr>
        <w:t>45．合同的签订</w:t>
      </w:r>
      <w:bookmarkEnd w:id="131"/>
      <w:bookmarkEnd w:id="132"/>
      <w:bookmarkEnd w:id="133"/>
      <w:bookmarkEnd w:id="134"/>
      <w:bookmarkEnd w:id="135"/>
    </w:p>
    <w:p w14:paraId="69B11A2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45.1中标人将于中标通知书发出之日起十个工作日内，按照采购文件（招标文件和投标文件等）内容与采购人签订政府采购合同；合同的实质性内容应当符合招标文件的规定；</w:t>
      </w:r>
    </w:p>
    <w:p w14:paraId="038F0AF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45.2中标人如不按本通用条款第45</w:t>
      </w:r>
      <w:r>
        <w:rPr>
          <w:rFonts w:eastAsia="宋体"/>
          <w:kern w:val="2"/>
          <w:sz w:val="21"/>
          <w:lang w:eastAsia="zh-CN"/>
        </w:rPr>
        <w:t>.1</w:t>
      </w:r>
      <w:r>
        <w:rPr>
          <w:rFonts w:hint="eastAsia" w:eastAsia="宋体"/>
          <w:kern w:val="2"/>
          <w:sz w:val="21"/>
          <w:lang w:eastAsia="zh-CN"/>
        </w:rPr>
        <w:t>款的规定与采购人签订合同，</w:t>
      </w:r>
      <w:r>
        <w:rPr>
          <w:rFonts w:eastAsia="宋体" w:cs="宋体"/>
          <w:sz w:val="21"/>
          <w:lang w:eastAsia="zh-CN"/>
        </w:rPr>
        <w:t>情节严重的，由</w:t>
      </w:r>
      <w:r>
        <w:rPr>
          <w:rFonts w:hint="eastAsia" w:eastAsia="宋体" w:cs="宋体"/>
          <w:sz w:val="21"/>
          <w:lang w:eastAsia="zh-CN"/>
        </w:rPr>
        <w:t>同级财政</w:t>
      </w:r>
      <w:r>
        <w:rPr>
          <w:rFonts w:eastAsia="宋体" w:cs="宋体"/>
          <w:sz w:val="21"/>
          <w:lang w:eastAsia="zh-CN"/>
        </w:rPr>
        <w:t>部门记入供应商诚信档案，予以通报</w:t>
      </w:r>
      <w:r>
        <w:rPr>
          <w:rFonts w:hint="eastAsia" w:eastAsia="宋体"/>
          <w:kern w:val="2"/>
          <w:sz w:val="21"/>
          <w:lang w:eastAsia="zh-CN"/>
        </w:rPr>
        <w:t>；</w:t>
      </w:r>
    </w:p>
    <w:p w14:paraId="4D99C1D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45.3中标人应当按照合同约定履行义务，完成中标项目，不得将中标项目转让（转包）给他人。</w:t>
      </w:r>
    </w:p>
    <w:p w14:paraId="16C3BF4D">
      <w:pPr>
        <w:widowControl/>
        <w:wordWrap w:val="0"/>
        <w:autoSpaceDE w:val="0"/>
        <w:autoSpaceDN w:val="0"/>
        <w:spacing w:line="400" w:lineRule="exact"/>
        <w:ind w:right="808" w:firstLine="420" w:firstLineChars="200"/>
        <w:jc w:val="both"/>
        <w:rPr>
          <w:rFonts w:eastAsia="宋体"/>
          <w:kern w:val="2"/>
          <w:sz w:val="21"/>
          <w:lang w:eastAsia="zh-CN"/>
        </w:rPr>
      </w:pPr>
      <w:bookmarkStart w:id="136" w:name="_Toc100052411"/>
      <w:bookmarkStart w:id="137" w:name="_Toc73521678"/>
      <w:bookmarkStart w:id="138" w:name="_Toc73517683"/>
      <w:bookmarkStart w:id="139" w:name="_Toc73521590"/>
      <w:bookmarkStart w:id="140" w:name="_Toc73518161"/>
      <w:r>
        <w:rPr>
          <w:rFonts w:hint="eastAsia" w:eastAsia="宋体"/>
          <w:kern w:val="2"/>
          <w:sz w:val="21"/>
          <w:lang w:eastAsia="zh-CN"/>
        </w:rPr>
        <w:t>46．履约担保</w:t>
      </w:r>
      <w:bookmarkEnd w:id="136"/>
      <w:bookmarkEnd w:id="137"/>
      <w:bookmarkEnd w:id="138"/>
      <w:bookmarkEnd w:id="139"/>
      <w:bookmarkEnd w:id="140"/>
    </w:p>
    <w:p w14:paraId="5E2DC9E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46.1在签订项目合同的同时，中标人应按“对通用条款的补充内容”中规定的金额向采购人提交履约担保；</w:t>
      </w:r>
    </w:p>
    <w:p w14:paraId="495EF259">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lang w:eastAsia="zh-CN"/>
        </w:rPr>
        <w:t>中标</w:t>
      </w:r>
      <w:r>
        <w:rPr>
          <w:rFonts w:hint="eastAsia" w:eastAsia="宋体"/>
          <w:kern w:val="2"/>
          <w:sz w:val="21"/>
          <w:lang w:eastAsia="zh-CN"/>
        </w:rPr>
        <w:t>人</w:t>
      </w:r>
      <w:r>
        <w:rPr>
          <w:rFonts w:eastAsia="宋体"/>
          <w:kern w:val="2"/>
          <w:sz w:val="21"/>
          <w:lang w:eastAsia="zh-CN"/>
        </w:rPr>
        <w:t>提交履约</w:t>
      </w:r>
      <w:r>
        <w:rPr>
          <w:rFonts w:hint="eastAsia" w:eastAsia="宋体"/>
          <w:kern w:val="2"/>
          <w:sz w:val="21"/>
          <w:lang w:eastAsia="zh-CN"/>
        </w:rPr>
        <w:t>担保不是</w:t>
      </w:r>
      <w:r>
        <w:rPr>
          <w:rFonts w:eastAsia="宋体"/>
          <w:kern w:val="2"/>
          <w:sz w:val="21"/>
          <w:lang w:eastAsia="zh-CN"/>
        </w:rPr>
        <w:t>合同签订的</w:t>
      </w:r>
      <w:r>
        <w:rPr>
          <w:rFonts w:hint="eastAsia" w:eastAsia="宋体"/>
          <w:kern w:val="2"/>
          <w:sz w:val="21"/>
          <w:lang w:eastAsia="zh-CN"/>
        </w:rPr>
        <w:t>前提</w:t>
      </w:r>
      <w:r>
        <w:rPr>
          <w:rFonts w:eastAsia="宋体"/>
          <w:kern w:val="2"/>
          <w:sz w:val="21"/>
          <w:lang w:eastAsia="zh-CN"/>
        </w:rPr>
        <w:t>条件，不要求中标</w:t>
      </w:r>
      <w:r>
        <w:rPr>
          <w:rFonts w:hint="eastAsia" w:eastAsia="宋体"/>
          <w:kern w:val="2"/>
          <w:sz w:val="21"/>
          <w:lang w:eastAsia="zh-CN"/>
        </w:rPr>
        <w:t>人</w:t>
      </w:r>
      <w:r>
        <w:rPr>
          <w:rFonts w:eastAsia="宋体"/>
          <w:kern w:val="2"/>
          <w:sz w:val="21"/>
          <w:lang w:eastAsia="zh-CN"/>
        </w:rPr>
        <w:t>提供除法律、法规明确规定外的其他担保</w:t>
      </w:r>
      <w:r>
        <w:rPr>
          <w:rFonts w:hint="eastAsia" w:eastAsia="宋体"/>
          <w:kern w:val="2"/>
          <w:sz w:val="21"/>
          <w:lang w:eastAsia="zh-CN"/>
        </w:rPr>
        <w:t>。</w:t>
      </w:r>
    </w:p>
    <w:p w14:paraId="0B1C9DB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47. 合同备案</w:t>
      </w:r>
    </w:p>
    <w:p w14:paraId="6DFDC633">
      <w:pPr>
        <w:widowControl/>
        <w:wordWrap w:val="0"/>
        <w:autoSpaceDE w:val="0"/>
        <w:autoSpaceDN w:val="0"/>
        <w:spacing w:line="400" w:lineRule="exact"/>
        <w:ind w:right="808" w:firstLine="420" w:firstLineChars="200"/>
        <w:jc w:val="both"/>
        <w:rPr>
          <w:rFonts w:hint="eastAsia" w:eastAsia="宋体"/>
          <w:kern w:val="2"/>
          <w:sz w:val="21"/>
          <w:lang w:eastAsia="zh-CN"/>
        </w:rPr>
      </w:pPr>
      <w:r>
        <w:rPr>
          <w:rFonts w:hint="eastAsia" w:eastAsia="宋体"/>
          <w:kern w:val="2"/>
          <w:sz w:val="21"/>
          <w:lang w:eastAsia="zh-CN"/>
        </w:rPr>
        <w:t>采购人与中标供应商自中标通知书发出之日起10个工作日内签订政府采购合同，并按财政部门规定提交备案。</w:t>
      </w:r>
    </w:p>
    <w:p w14:paraId="055AC752">
      <w:pPr>
        <w:widowControl/>
        <w:wordWrap w:val="0"/>
        <w:autoSpaceDE w:val="0"/>
        <w:autoSpaceDN w:val="0"/>
        <w:spacing w:line="400" w:lineRule="exact"/>
        <w:ind w:right="808" w:firstLine="420" w:firstLineChars="200"/>
        <w:jc w:val="both"/>
        <w:rPr>
          <w:rFonts w:hint="eastAsia" w:eastAsia="宋体"/>
          <w:kern w:val="2"/>
          <w:sz w:val="21"/>
          <w:lang w:eastAsia="zh-CN"/>
        </w:rPr>
      </w:pPr>
      <w:r>
        <w:rPr>
          <w:rFonts w:hint="eastAsia" w:eastAsia="宋体"/>
          <w:kern w:val="2"/>
          <w:sz w:val="21"/>
          <w:lang w:eastAsia="zh-CN"/>
        </w:rPr>
        <w:t>48. 合同变更</w:t>
      </w:r>
    </w:p>
    <w:p w14:paraId="3315EE8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合同变更事宜按《深圳市财政局关于优化政府采购合同备案的通知》（深财发保〔2022〕2号）相关规定执行。</w:t>
      </w:r>
    </w:p>
    <w:p w14:paraId="2B5C865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49. 项目验收</w:t>
      </w:r>
    </w:p>
    <w:p w14:paraId="73C0C23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49.1采购人应当按照招标文件和合同规定的标准和方法，及时组织验收。</w:t>
      </w:r>
    </w:p>
    <w:p w14:paraId="5BAB536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50. 宣传</w:t>
      </w:r>
    </w:p>
    <w:p w14:paraId="36C8D79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凡与政府采购活动有关的宣传或广告，若当中提及政府采购，</w:t>
      </w:r>
      <w:r>
        <w:rPr>
          <w:rFonts w:eastAsia="宋体"/>
          <w:kern w:val="2"/>
          <w:sz w:val="21"/>
          <w:lang w:eastAsia="zh-CN"/>
        </w:rPr>
        <w:t>必须事先将具体对外宣传方案报</w:t>
      </w:r>
      <w:r>
        <w:rPr>
          <w:rFonts w:hint="eastAsia" w:eastAsia="宋体"/>
          <w:kern w:val="2"/>
          <w:sz w:val="21"/>
          <w:lang w:eastAsia="zh-CN"/>
        </w:rPr>
        <w:t>同级财政部门</w:t>
      </w:r>
      <w:r>
        <w:rPr>
          <w:rFonts w:eastAsia="宋体"/>
          <w:kern w:val="2"/>
          <w:sz w:val="21"/>
          <w:lang w:eastAsia="zh-CN"/>
        </w:rPr>
        <w:t>和</w:t>
      </w:r>
      <w:r>
        <w:rPr>
          <w:rFonts w:hint="eastAsia" w:eastAsia="宋体"/>
          <w:kern w:val="2"/>
          <w:sz w:val="21"/>
          <w:lang w:eastAsia="zh-CN"/>
        </w:rPr>
        <w:t>采购代理机构</w:t>
      </w:r>
      <w:r>
        <w:rPr>
          <w:rFonts w:eastAsia="宋体"/>
          <w:kern w:val="2"/>
          <w:sz w:val="21"/>
          <w:lang w:eastAsia="zh-CN"/>
        </w:rPr>
        <w:t>，并征得其同意。对外市场宣传包括但不限于以下形式：</w:t>
      </w:r>
    </w:p>
    <w:p w14:paraId="413ED7E1">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14:paraId="4309FA84">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14:paraId="7864CF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c.工作</w:t>
      </w:r>
      <w:r>
        <w:rPr>
          <w:rFonts w:eastAsia="宋体"/>
          <w:kern w:val="2"/>
          <w:sz w:val="21"/>
          <w:lang w:eastAsia="zh-CN"/>
        </w:rPr>
        <w:t>人员向其他消费群体宣传。</w:t>
      </w:r>
    </w:p>
    <w:p w14:paraId="165CBD7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51. 供应商违法责任</w:t>
      </w:r>
    </w:p>
    <w:p w14:paraId="4E6FCD3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1.1</w:t>
      </w:r>
      <w:r>
        <w:rPr>
          <w:rFonts w:hint="eastAsia" w:eastAsia="宋体"/>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4EF52F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（1）在采购活动中应当回避而未回避的；</w:t>
      </w:r>
    </w:p>
    <w:p w14:paraId="3AC6D54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（2）未按本条例规定签订、履行采购合同，造成严重后果的；</w:t>
      </w:r>
    </w:p>
    <w:p w14:paraId="2809D2D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（3）隐瞒真实情况，提供虚假资料的；</w:t>
      </w:r>
    </w:p>
    <w:p w14:paraId="5595BB1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（4）以非法手段排斥其他供应商参与竞争的；</w:t>
      </w:r>
    </w:p>
    <w:p w14:paraId="558D9A2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（5）与其他采购参加人串通投标的；</w:t>
      </w:r>
    </w:p>
    <w:p w14:paraId="5AD85A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（6）恶意投诉的；</w:t>
      </w:r>
    </w:p>
    <w:p w14:paraId="635C376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（7）向采购项目相关人行贿或者提供其他不当利益的；</w:t>
      </w:r>
    </w:p>
    <w:p w14:paraId="2BDF7F8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（8）阻碍、抗拒主管部门监督检查的；</w:t>
      </w:r>
    </w:p>
    <w:p w14:paraId="75A3173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（9）其他违反本条例规定的行为。</w:t>
      </w:r>
    </w:p>
    <w:p w14:paraId="17BAB26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 xml:space="preserve">1.2 </w:t>
      </w:r>
      <w:r>
        <w:rPr>
          <w:rFonts w:hint="eastAsia" w:eastAsia="宋体"/>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41" w:name="_Hlk72440769"/>
      <w:r>
        <w:rPr>
          <w:rFonts w:hint="eastAsia" w:eastAsia="宋体"/>
          <w:kern w:val="2"/>
          <w:sz w:val="21"/>
          <w:lang w:eastAsia="zh-CN"/>
        </w:rPr>
        <w:t>采购代理机构或采购人不予退还其交纳的谈判保证金，情节严重的，并由主管部门</w:t>
      </w:r>
      <w:bookmarkEnd w:id="141"/>
      <w:r>
        <w:rPr>
          <w:rFonts w:hint="eastAsia" w:eastAsia="宋体"/>
          <w:kern w:val="2"/>
          <w:sz w:val="21"/>
          <w:lang w:eastAsia="zh-CN"/>
        </w:rPr>
        <w:t>记入供应商诚信档案，予以通报：</w:t>
      </w:r>
    </w:p>
    <w:p w14:paraId="5F4366F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）投标截止后，撤销投标的；</w:t>
      </w:r>
    </w:p>
    <w:p w14:paraId="7AFEB37F">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2</w:t>
      </w:r>
      <w:r>
        <w:rPr>
          <w:rFonts w:eastAsia="宋体"/>
          <w:kern w:val="2"/>
          <w:sz w:val="21"/>
          <w:lang w:eastAsia="zh-CN"/>
        </w:rPr>
        <w:t>）中标后无正当理由未在规定期限内签订合同的；</w:t>
      </w:r>
    </w:p>
    <w:p w14:paraId="565FC176">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14:paraId="6DDFADE0">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4</w:t>
      </w:r>
      <w:r>
        <w:rPr>
          <w:rFonts w:eastAsia="宋体"/>
          <w:kern w:val="2"/>
          <w:sz w:val="21"/>
          <w:lang w:eastAsia="zh-CN"/>
        </w:rPr>
        <w:t>）拒绝履行合同义务的</w:t>
      </w:r>
      <w:r>
        <w:rPr>
          <w:rFonts w:hint="eastAsia" w:eastAsia="宋体"/>
          <w:kern w:val="2"/>
          <w:sz w:val="21"/>
          <w:lang w:eastAsia="zh-CN"/>
        </w:rPr>
        <w:t>。</w:t>
      </w:r>
    </w:p>
    <w:bookmarkEnd w:id="125"/>
    <w:p w14:paraId="51368C62">
      <w:pPr>
        <w:widowControl/>
        <w:wordWrap w:val="0"/>
        <w:autoSpaceDE w:val="0"/>
        <w:autoSpaceDN w:val="0"/>
        <w:spacing w:line="360" w:lineRule="auto"/>
        <w:ind w:right="808" w:firstLine="482" w:firstLineChars="200"/>
        <w:jc w:val="both"/>
        <w:rPr>
          <w:rFonts w:eastAsia="宋体"/>
          <w:b/>
          <w:kern w:val="2"/>
          <w:lang w:eastAsia="zh-CN"/>
        </w:rPr>
      </w:pPr>
    </w:p>
    <w:p w14:paraId="4EC828C2">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42" w:name="_Toc19433"/>
      <w:r>
        <w:rPr>
          <w:rFonts w:hint="eastAsia" w:ascii="Arial" w:hAnsi="Arial" w:eastAsia="宋体"/>
          <w:b/>
          <w:kern w:val="2"/>
          <w:sz w:val="32"/>
          <w:lang w:eastAsia="zh-CN"/>
        </w:rPr>
        <w:t>第十一章 质疑处理</w:t>
      </w:r>
      <w:bookmarkEnd w:id="142"/>
    </w:p>
    <w:p w14:paraId="4FDD3BB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52.质疑提出与答复</w:t>
      </w:r>
    </w:p>
    <w:p w14:paraId="3D8EF2A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 xml:space="preserve">    52.1提出质疑</w:t>
      </w:r>
    </w:p>
    <w:p w14:paraId="1DCADCA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14:paraId="0D0416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 xml:space="preserve">    52.2</w:t>
      </w:r>
      <w:r>
        <w:rPr>
          <w:rFonts w:eastAsia="宋体"/>
          <w:kern w:val="2"/>
          <w:sz w:val="21"/>
          <w:lang w:eastAsia="zh-CN"/>
        </w:rPr>
        <w:t>法律依据</w:t>
      </w:r>
    </w:p>
    <w:p w14:paraId="7544FE2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 xml:space="preserve">    《中华人民共和国政府采购法》、《中华人民共和国政府采购法实施条例》、</w:t>
      </w:r>
      <w:r>
        <w:rPr>
          <w:rFonts w:eastAsia="宋体"/>
          <w:kern w:val="2"/>
          <w:sz w:val="21"/>
          <w:lang w:eastAsia="zh-CN"/>
        </w:rPr>
        <w:t>《</w:t>
      </w:r>
      <w:r>
        <w:rPr>
          <w:rFonts w:hint="eastAsia" w:eastAsia="宋体"/>
          <w:kern w:val="2"/>
          <w:sz w:val="21"/>
          <w:lang w:eastAsia="zh-CN"/>
        </w:rPr>
        <w:t>深圳经济特区政府采购</w:t>
      </w:r>
      <w:r>
        <w:rPr>
          <w:rFonts w:eastAsia="宋体"/>
          <w:kern w:val="2"/>
          <w:sz w:val="21"/>
          <w:lang w:eastAsia="zh-CN"/>
        </w:rPr>
        <w:t>条例</w:t>
      </w:r>
      <w:r>
        <w:rPr>
          <w:rFonts w:hint="eastAsia" w:eastAsia="宋体"/>
          <w:kern w:val="2"/>
          <w:sz w:val="21"/>
          <w:lang w:eastAsia="zh-CN"/>
        </w:rPr>
        <w:t>》、《深圳经济特区政府采购条例实施细则》、《政府采购质疑和投诉办法》（财政部令第94号）和其他有关法律法规规定。</w:t>
      </w:r>
    </w:p>
    <w:p w14:paraId="402660D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52.3质疑条件</w:t>
      </w:r>
    </w:p>
    <w:p w14:paraId="3F69986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 xml:space="preserve">    52.3.1提出质疑的供应商应当是参与所质疑项目采购活动的供应商；</w:t>
      </w:r>
      <w:bookmarkStart w:id="143" w:name="_Hlk75374941"/>
      <w:r>
        <w:rPr>
          <w:rFonts w:hint="eastAsia" w:eastAsia="宋体"/>
          <w:kern w:val="2"/>
          <w:sz w:val="21"/>
          <w:lang w:eastAsia="zh-CN"/>
        </w:rPr>
        <w:t>以联合体形式参与的，质疑应当由组成联合体的所有成员共同提出</w:t>
      </w:r>
      <w:bookmarkEnd w:id="143"/>
      <w:r>
        <w:rPr>
          <w:rFonts w:hint="eastAsia" w:eastAsia="宋体"/>
          <w:kern w:val="2"/>
          <w:sz w:val="21"/>
          <w:lang w:eastAsia="zh-CN"/>
        </w:rPr>
        <w:t>；</w:t>
      </w:r>
    </w:p>
    <w:p w14:paraId="20AE87E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B9E72F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52.3.3应提交书面质疑函，质疑函应当包括以下内容：</w:t>
      </w:r>
    </w:p>
    <w:p w14:paraId="4ED7EF1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（1）供应商的名称（或者姓名）、地址、邮编、邮箱、联系人及联系电话；</w:t>
      </w:r>
    </w:p>
    <w:p w14:paraId="7E09EDB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（2）质疑项目的名称、编号；</w:t>
      </w:r>
    </w:p>
    <w:p w14:paraId="3CFFD7F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（3）具体、明确的质疑对象、质疑事项和质疑请求；</w:t>
      </w:r>
    </w:p>
    <w:p w14:paraId="767E2FB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（4）因质疑事项而受损害的权益；</w:t>
      </w:r>
    </w:p>
    <w:p w14:paraId="3CF3365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（5）事实依据；</w:t>
      </w:r>
    </w:p>
    <w:p w14:paraId="7B4EDEC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（6）必要的法律依据；</w:t>
      </w:r>
    </w:p>
    <w:p w14:paraId="7180531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（7）提出质疑的日期。</w:t>
      </w:r>
    </w:p>
    <w:p w14:paraId="067EB12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供应商为自然人的，应当由本人签字；供应商为法人或者其他组织的，应当由法定代表人（负责人），或者其授权代理人签字或者盖章，并加盖公章。</w:t>
      </w:r>
    </w:p>
    <w:p w14:paraId="1828FE4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52.4提交</w:t>
      </w:r>
      <w:r>
        <w:rPr>
          <w:rFonts w:eastAsia="宋体"/>
          <w:kern w:val="2"/>
          <w:sz w:val="21"/>
          <w:lang w:eastAsia="zh-CN"/>
        </w:rPr>
        <w:t>材料</w:t>
      </w:r>
    </w:p>
    <w:p w14:paraId="496481B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53D32D7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0FFFC0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52.5收文地点</w:t>
      </w:r>
    </w:p>
    <w:p w14:paraId="105E300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地址：深圳市千里招标代理有限公司（地址：深圳市龙华区和平路21号振华时代广场8层802）。</w:t>
      </w:r>
    </w:p>
    <w:p w14:paraId="1470DAF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52.6收文办理</w:t>
      </w:r>
      <w:r>
        <w:rPr>
          <w:rFonts w:eastAsia="宋体"/>
          <w:kern w:val="2"/>
          <w:sz w:val="21"/>
          <w:lang w:eastAsia="zh-CN"/>
        </w:rPr>
        <w:t>程序</w:t>
      </w:r>
    </w:p>
    <w:p w14:paraId="44A5BC2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41CFBC88">
      <w:pPr>
        <w:widowControl/>
        <w:wordWrap w:val="0"/>
        <w:autoSpaceDE w:val="0"/>
        <w:autoSpaceDN w:val="0"/>
        <w:spacing w:line="400" w:lineRule="exact"/>
        <w:ind w:right="808" w:firstLine="420" w:firstLineChars="200"/>
        <w:jc w:val="both"/>
        <w:rPr>
          <w:rFonts w:ascii="仿宋" w:hAnsi="仿宋" w:eastAsia="仿宋"/>
          <w:kern w:val="2"/>
          <w:sz w:val="28"/>
          <w:szCs w:val="28"/>
          <w:lang w:eastAsia="zh-CN"/>
        </w:rPr>
      </w:pPr>
      <w:r>
        <w:rPr>
          <w:rFonts w:hint="eastAsia" w:eastAsia="宋体"/>
          <w:kern w:val="2"/>
          <w:sz w:val="21"/>
          <w:lang w:eastAsia="zh-CN"/>
        </w:rPr>
        <w:t>52.6.2供应商提交的质疑材料不符合质疑条件的，视情况处理：</w:t>
      </w:r>
    </w:p>
    <w:p w14:paraId="732EF68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供应商提交的质疑材料不全或者未按要求签字或者盖章的，采购代理机构应当一次性告知供应商需补正的内容和补正期限。</w:t>
      </w:r>
    </w:p>
    <w:p w14:paraId="72D693F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供应商提交的质疑存在下列情形之一的，不予受理：</w:t>
      </w:r>
    </w:p>
    <w:p w14:paraId="59CEF34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（1）质疑主体不满足要求的；</w:t>
      </w:r>
    </w:p>
    <w:p w14:paraId="3F31BF4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（2）供应商自身权益未受到损害的；</w:t>
      </w:r>
    </w:p>
    <w:p w14:paraId="049069F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（3）供应商未在法定质疑期限内提出质疑的；</w:t>
      </w:r>
    </w:p>
    <w:p w14:paraId="644817C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（4）质疑材料不全或者未按要求签字或者盖章的情况下，要求补正后，逾期未补正或者补正后仍不符合规定的；</w:t>
      </w:r>
    </w:p>
    <w:p w14:paraId="5056B5E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（5）其他不符合受理条件情形的。</w:t>
      </w:r>
    </w:p>
    <w:p w14:paraId="5C53EE2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质疑事项不予受理的，采购代理机构应当向供应商出具不符合质疑条件告知书。</w:t>
      </w:r>
    </w:p>
    <w:p w14:paraId="363F4C5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52.7质疑答复时限</w:t>
      </w:r>
    </w:p>
    <w:p w14:paraId="471C31B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自收文之日起七个工作日内。</w:t>
      </w:r>
    </w:p>
    <w:p w14:paraId="2BCF80A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52.8投诉</w:t>
      </w:r>
    </w:p>
    <w:p w14:paraId="745E6BB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对质疑答复不满意或者未在规定时间内答复的，提出质疑的供应商可以在答复期满后15个工作日内向本项目预算主管单位投诉。</w:t>
      </w:r>
    </w:p>
    <w:p w14:paraId="376C737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53. 质疑后续处理</w:t>
      </w:r>
    </w:p>
    <w:p w14:paraId="2E45E32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53.1供应商质疑不成立，或者成立但未对中标、成交结果构成影响的，继续开展采购活动。</w:t>
      </w:r>
    </w:p>
    <w:p w14:paraId="5957F21D">
      <w:pPr>
        <w:widowControl/>
        <w:wordWrap w:val="0"/>
        <w:autoSpaceDE w:val="0"/>
        <w:autoSpaceDN w:val="0"/>
        <w:spacing w:line="400" w:lineRule="exact"/>
        <w:ind w:right="808" w:firstLine="420" w:firstLineChars="200"/>
        <w:jc w:val="both"/>
        <w:rPr>
          <w:rFonts w:ascii="微软雅黑" w:hAnsi="微软雅黑" w:eastAsia="微软雅黑" w:cs="微软雅黑"/>
          <w:color w:val="333333"/>
          <w:lang w:val="en" w:eastAsia="en"/>
        </w:rPr>
        <w:sectPr>
          <w:headerReference r:id="rId7" w:type="default"/>
          <w:footerReference r:id="rId8" w:type="default"/>
          <w:pgMar w:top="1440" w:right="1800" w:bottom="1440" w:left="1800" w:header="708" w:footer="708" w:gutter="0"/>
          <w:cols w:space="708" w:num="1"/>
        </w:sectPr>
      </w:pPr>
      <w:r>
        <w:rPr>
          <w:rFonts w:hint="eastAsia" w:eastAsia="宋体"/>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9D01096">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12BCB2E3">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深圳市龙华高级中学教育集团（大浪校区）学生食材配送服务-A</w:t>
      </w:r>
    </w:p>
    <w:tbl>
      <w:tblPr>
        <w:tblStyle w:val="2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2F83BB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7D1B6E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547C6F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27598D9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24A59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D053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185D8C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BEF6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25DF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龙华区教育局自行采购投标及履约承诺函</w:t>
            </w:r>
          </w:p>
        </w:tc>
      </w:tr>
      <w:tr w14:paraId="43E6FF5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79C9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167D3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6226A6C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A2869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EEB88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04057D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68774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C53D9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分项报价清单</w:t>
            </w:r>
          </w:p>
        </w:tc>
      </w:tr>
      <w:tr w14:paraId="2C2704F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24BF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00FC1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股东构成审查表</w:t>
            </w:r>
          </w:p>
        </w:tc>
      </w:tr>
      <w:tr w14:paraId="1709B5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EB3D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3849C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697A23C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12512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3557B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5A73A8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249FD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6F2A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0205B68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53BE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7C2AC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项目整体设想及规划方案</w:t>
            </w:r>
          </w:p>
        </w:tc>
      </w:tr>
      <w:tr w14:paraId="333D640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D1B59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929BF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w:t>
            </w:r>
          </w:p>
        </w:tc>
      </w:tr>
      <w:tr w14:paraId="0C1E458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25E3F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249E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规章管理制度、工作流程等</w:t>
            </w:r>
          </w:p>
        </w:tc>
      </w:tr>
      <w:tr w14:paraId="11B2635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10C4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9A2A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应急方案</w:t>
            </w:r>
          </w:p>
        </w:tc>
      </w:tr>
      <w:tr w14:paraId="73B8C1B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264A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F7F3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体系认证情况</w:t>
            </w:r>
          </w:p>
        </w:tc>
      </w:tr>
      <w:tr w14:paraId="0E17A06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665F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3DC6C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检验检测报告</w:t>
            </w:r>
          </w:p>
        </w:tc>
      </w:tr>
      <w:tr w14:paraId="07C63E7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C472A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4120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投标人获奖情况</w:t>
            </w:r>
          </w:p>
        </w:tc>
      </w:tr>
      <w:tr w14:paraId="10544D8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A3560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66C4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项目负责人情况评价</w:t>
            </w:r>
          </w:p>
        </w:tc>
      </w:tr>
      <w:tr w14:paraId="122C9D9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E8E1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67436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配送场所情况</w:t>
            </w:r>
          </w:p>
        </w:tc>
      </w:tr>
      <w:tr w14:paraId="187FCBC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CBE7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AC7A3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检测室以及检测仪器设备</w:t>
            </w:r>
          </w:p>
        </w:tc>
      </w:tr>
      <w:tr w14:paraId="3B57CA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7AB2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0FD2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冷库情况</w:t>
            </w:r>
          </w:p>
        </w:tc>
      </w:tr>
      <w:tr w14:paraId="569BD38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7449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DDA1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投标人购买公共责任险</w:t>
            </w:r>
          </w:p>
        </w:tc>
      </w:tr>
      <w:tr w14:paraId="2ABB0E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EEB81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62A51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投标人购买食品安全保险</w:t>
            </w:r>
          </w:p>
        </w:tc>
      </w:tr>
      <w:tr w14:paraId="460A32A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7EA2D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9367B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项目经验满意度评价</w:t>
            </w:r>
          </w:p>
        </w:tc>
      </w:tr>
      <w:tr w14:paraId="6417E64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5FCE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302A6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诚信承诺函</w:t>
            </w:r>
          </w:p>
        </w:tc>
      </w:tr>
      <w:tr w14:paraId="42D233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9B96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AC8B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47350F20">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7F9E9B78">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423CD13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6CC271E6">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LHAZXDL-2025-00564-001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深圳市龙华高级中学教育集团（大浪校区）学生食材配送服务-A</w:t>
      </w:r>
      <w:r>
        <w:rPr>
          <w:rFonts w:ascii="仿宋" w:hAnsi="仿宋" w:eastAsia="仿宋" w:cs="仿宋"/>
          <w:color w:val="333333"/>
          <w:u w:val="single" w:color="333333"/>
          <w:lang w:val="en" w:eastAsia="en"/>
        </w:rPr>
        <w:br w:type="textWrapping"/>
      </w:r>
    </w:p>
    <w:p w14:paraId="558F54F5">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358C3FC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212A920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40F674C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2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77CAE65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166AEE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704309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447534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39C78F0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B31C5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0845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8BB1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90465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F6D1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CA14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3FE4B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7BE6A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8495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CF1C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D7C5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7209940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7641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3EC6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7947E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A240C2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A8D5B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8CED8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BB65B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203CFA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C439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DB468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BD893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A2078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2CEC3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8C50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8BBB3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4E67405E">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24BDD293">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696D79A1">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按分项手工汇总</w:t>
      </w:r>
      <w:r>
        <w:rPr>
          <w:rFonts w:ascii="微软雅黑" w:hAnsi="微软雅黑" w:eastAsia="微软雅黑" w:cs="微软雅黑"/>
          <w:color w:val="333333"/>
          <w:lang w:val="en" w:eastAsia="en"/>
        </w:rPr>
        <w:t xml:space="preserve"> </w:t>
      </w:r>
    </w:p>
    <w:tbl>
      <w:tblPr>
        <w:tblStyle w:val="2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AE286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9BD0BE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012B7A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FBE3B5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690C9AA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F829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1B6F2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302F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具有独立法人资格或具有独立承担民事责任的能力的其它组织（提供营业执照或事业单位法人证等法人证明扫描件，原件备查）。：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具有独立法人资格或具有独立承担民事责任的能力的其它组织（提供营业执照或事业单位法人证等法人证明扫描件，原件备查）。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9、本项目不属于专门面向中小微企业采购项目。：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9、本项目不属于专门面向中小微企业采购项目。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10、本项目不接受联合体投标，不接受进口产品参与投标，不允许转包、分包。（由供应商在《龙华区教育局自行采购投标及履约承诺函》中作出承诺）。：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10、本项目不接受联合体投标，不接受进口产品参与投标，不允许转包、分包。（由供应商在《龙华区教育局自行采购投标及履约承诺函》中作出承诺）。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12、投标人须具有食品药品监督管理部门（或市场监督管理部门）颁发的有效《食品经营许可证》。：</w:t>
            </w:r>
            <w:r>
              <w:rPr>
                <w:rFonts w:ascii="仿宋" w:hAnsi="仿宋" w:eastAsia="仿宋" w:cs="仿宋"/>
                <w:color w:val="666666"/>
                <w:lang w:val="en" w:eastAsia="en"/>
              </w:rPr>
              <w:br w:type="textWrapping"/>
            </w:r>
            <w:r>
              <w:rPr>
                <w:rFonts w:ascii="仿宋" w:hAnsi="仿宋" w:eastAsia="仿宋" w:cs="仿宋"/>
                <w:color w:val="666666"/>
                <w:lang w:val="en" w:eastAsia="en"/>
              </w:rPr>
              <w:t>12、投标人须具有食品药品监督管理部门（或市场监督管理部门）颁发的有效《食品经营许可证》。</w:t>
            </w:r>
          </w:p>
        </w:tc>
      </w:tr>
    </w:tbl>
    <w:p w14:paraId="620ADEB8">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按分项手工汇总</w:t>
      </w:r>
      <w:r>
        <w:rPr>
          <w:rFonts w:ascii="微软雅黑" w:hAnsi="微软雅黑" w:eastAsia="微软雅黑" w:cs="微软雅黑"/>
          <w:color w:val="333333"/>
          <w:lang w:val="en" w:eastAsia="en"/>
        </w:rPr>
        <w:t xml:space="preserve"> </w:t>
      </w:r>
    </w:p>
    <w:tbl>
      <w:tblPr>
        <w:tblStyle w:val="2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0609D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446D80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987116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0608D9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D6423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FE661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A9A5B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19B2D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B1377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FA2F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B7039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331A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690D95D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D859C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23B58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3CCC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55AC43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552B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8F429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本项目投标报价以折扣率方式进行报价，折扣率缺填、漏填的, 或填报2个（或以上）的折扣率，折扣率≤0%或折扣率＞100%的，投标人将作投标无效处理；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218B0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本项目投标报价以折扣率方式进行报价，折扣率缺填、漏填的, 或填报2个（或以上）的折扣率，折扣率≤0%或折扣率＞100%的，投标人将作投标无效处理；</w:t>
            </w:r>
          </w:p>
        </w:tc>
      </w:tr>
      <w:tr w14:paraId="3BD7CF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4D12F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C609C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F0816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3851A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88D9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A17B8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DC49E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51EE5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6461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5F47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A769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14:paraId="1EDD5FE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C79E3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064EA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投标报价有缺漏项目,或者对招标文件规定的项目需求内容或者需求数量进行修改，评审委员会判定投标响应不满足采购需求；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FC28E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投标报价有缺漏项目,或者对招标文件规定的项目需求内容或者需求数量进行修改，评审委员会判定投标响应不满足采购需求；</w:t>
            </w:r>
          </w:p>
        </w:tc>
      </w:tr>
      <w:tr w14:paraId="340942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0F34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5685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190B5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27DE1B5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E86B7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2411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4AA86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r>
      <w:tr w14:paraId="69A504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845F5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6772E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60B3A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21F94EF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7EBCE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C5D3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9E2F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4624099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A61D0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6A9F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FAD5D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06AB7266">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2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26FC81B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358142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A45654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E1AD7F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A2E43C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F5B441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0B0350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370F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6E75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108E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CCC48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77316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615A2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DAD39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11733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项目整体设想及规划方案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52542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考察针对本项目的项目整体设想及规划方案，方案内容包括以下内容： 1、专项服务小组人员配备（至少包括人员配置、职责分工）； 2、质量安全控制措施（至少包括食品来源、供应商管理制度、入库及出库等全过程的检测与监管措施）； 3、配送服务计划（至少包括配送流程、客户沟通方案、项目重点难点分析、专业性意见及合理化建议）。 （二）评分依据： 1、提供以上3点内容得30%分，缺项不得分。 2、在此基础上，专家根据各供应商的具体响应内容进一步评审： （1）评审为优（项目整体设想及规划方案符合实际情况且人员配备及质量安全控制措施完善，且配送服务计划的可操作性强）的，评价为优得70%分。 （2）评审为良（项目整体设想及规划方案较符合实际情况且人员配备及质量安全控制措施较完善，且配送服务计划的可操作性较强）的，评价为良得30%分。 （3）评审为中（项目整体设想及规划方案不符合实际情况且人员配备及质量安全控制措施不完善，且配送服务计划的可操作性一般）的，评价为中得10%分。 （4）评审为差（项目整体设想及规划方案不符合实际情况且人员配备及质量安全控制措施不完善，且配送服务计划的可操作性差）的，评价为差不得分。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3CA2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298F8D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14:paraId="270905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09F6A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939A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ADA1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考察投标人针对本项目提供的质量保障方案，包括以下内容 1、食品安全控制方案（包括但不限于食品入库、出库的检测与监管措施、食品安全保障制度等）； 2、品质监控方案（包括但不限于食材品质的监控和质量管控措施、食材采购索证验收管理制度、操作规程等）； 3、服务质量保障方案（包括但不限于服务标准与目标，服务稳定性保障措施，主要管理人员素质等)。 （二）评审标准： 1.提供以上3点内容得30%分，缺项不得分。 在此基础上，专家根据内容的合理性进行评分： 评审为优方案符合实际、完整、详细、规范、思路清晰，内容合理性强，评价为优得70%分。 评审为良方案较符合实际、较完整规范、思路较清晰，内容合理性较强，评价为良得30%分。 评审为中方案较普通、完整性规范性一般，思路不够清晰，内容合理性一般评价为中得10%分。 评审为差：方案不完整、不规范，思路不清晰，内容合理性较差或未提供评价为差不得分。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C3B588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B5735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14:paraId="35B6D17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60C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1073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规章管理制度、工作流程等</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E391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考察针对本项目的项目规章管理制度、工作流程等，包括以下内容： 1.食品安全保障制度； 2.人员岗位职责； 3.操作规程； 4.劳动纪律和奖惩办法； 5.客户投诉反馈管理制度。 （二）评分依据： 提供以上5点内容得50%分，缺项不得分。在此基础上，专家根据内容的合理性进行评分： 优评分标准：规章管理制度、工作流程详细具体、针对性强、科学合理、可操作性强，评价为优得50%分。 良评分标准：规章管理制度、工作流程较为详细具体、针对性较强、较为科学合理、可操作性较强，评价为良得30%分。 中评分标准：规章管理制度、工作流程不够全面具体、针对性一般、科学合理性一般、可操作性一般，评价为中得10%分。 差评分标准：规章管理制度、工作流程无针对性、不科学合理、可操作性差，评价为差不得分。 未提供方案不得分。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583C6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F1E38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62B4F1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81FDB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04B25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应急方案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EC00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考察针对本项目的应急方案，方案包括以下内容： 1、投标人应急服务能力介绍； 2、应急服务队伍配置情况； 3、应急情况分析； 4、项目应急保障措施。 （二）评分依据： 1、提供以上4点内容得40%分，缺项不得分。 2、在此基础上，专家根据各供应商的具体响应内容进一步评审： （1）评审为优（应急方案清晰，应急服务队伍配置完善，且项目应急保障措施的可操作性强）的，评价为优得60%分。 （2）评审为良（应急方案较清晰，应急服务队伍配置较完善，且项目应急保障措施的可操作性较强）的，评价为良得30%分。 （3）评审为中（应急方案一般清晰，应急服务队伍配置一般完善，且项目应急保障措施的可操作性一般）的，评价为中得10%分。 （4）评审为差（应急方案不清晰，应急服务队伍配置不完善，且项目应急保障措施的可操作性差）的，评价为差不得分。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7773D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CD01A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54B15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8C6E2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9F89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24A28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168B83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B8FA60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BAC0B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BE11B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716A1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体系认证情况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B65BB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（一）评分内容：投标人具有下述认证证书 1、通过质量管理体系认证得20%分； 2、通过环境管理体系认证得20%分； 3、通过职业健康安全管理体系认证得20%分； 4、通过食品安全管理体系认证证书得20%分； 5、通过HACCP危害分析与关健控制点认证证书得20%分； 以上累计得分，最高得100%分。 （二）证明文件：提供有效的认证证书作为得分依据；认证证书需同时提供在全国认证认可信息公共服务平台（认e云）查询有效的截图（httpcx.cnca.cn）且编号一致，资料不完整的不得该项分。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25AFE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FB917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483C1A6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2B040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50B5B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检验检测报告</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65EA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 xml:space="preserve">考察内容： 投标人提供2024年1月1日至本项目投标截止之日前，具有CMA认证资质的检测机构出具的检测报告： ①大米类检测项目至少需包含铬(以Cr计),加工精度),苯并[a]芘,不完善粒含量,六六六,滴滴涕,；②小麦粉或面粉类检测项目至少需包含赭曲霉毒素A,玉米赤霉烯酮,铅(以Pb计),镉(以Cd计),苯并[a]芘,毒死蜱； ③食用油类检测项目至少需包含庚烯磷,氯磺隆,甲磺隆,茚草酮,特乐酚,三氟硝草醚； ④乳制品类检测项目至少需包含苯甲酸及其钠盐(以苯甲酸计),糖精钠(以糖精计),铅(以Pb计),蛋白质,脂肪,总汞(以Hg计)； ⑤鲜蛋类检测项目至少需包含铅(以Pb计),总汞(以Hg计),镉(以Cd计),甲硝唑,六六六,滴滴涕； ⑥调味品类检测项目至少需包含脱氢乙酸及其钠盐(以脱氢乙酸计),铅(以Pb计),汞,镉,滑石粉,氨基酸态氮(以氮计)； ⑦畜肉类检测项目至少需包含五氯酚酸钠(以五氯酚计),氯霉素,甲氧苄啶,克伦特罗,沙丁胺醇,莱克多巴胺； ⑧冻品类检测项目至少需包含镉(以Cd计),铬(以Cr计),甲硝唑,五氯酚酸钠(以五氯酚计),氯霉素,甲氧苄啶； ⑨蔬菜类检测项目至少需包含敌敌畏,倍硫磷,敌百虫,水胺硫磷,灭多威,氟虫腈； ⑩干货类检测项目至少需包含总砷,山梨酸及其钾盐(以山梨酸计),苯甲酸及其钠盐(以苯甲酸计),糖精钠(以糖精计),脱氢乙酸及其钠盐(以脱氢乙酸计),蛋白质； </w:t>
            </w:r>
            <w:r>
              <w:rPr>
                <w:rFonts w:ascii="Cambria Math" w:hAnsi="Cambria Math" w:eastAsia="Cambria Math" w:cs="Cambria Math"/>
                <w:color w:val="666666"/>
                <w:lang w:val="en" w:eastAsia="en"/>
              </w:rPr>
              <w:t>⑪</w:t>
            </w:r>
            <w:r>
              <w:rPr>
                <w:rFonts w:ascii="仿宋" w:hAnsi="仿宋" w:eastAsia="仿宋" w:cs="仿宋"/>
                <w:color w:val="666666"/>
                <w:lang w:val="en" w:eastAsia="en"/>
              </w:rPr>
              <w:t xml:space="preserve">豆制品类检测项目至少需包含苯甲酸及其钠盐(以苯甲酸计),糖精钠(以糖精计),铅(以Pb计),水分,蛋白质,汞； </w:t>
            </w:r>
            <w:r>
              <w:rPr>
                <w:rFonts w:ascii="Cambria Math" w:hAnsi="Cambria Math" w:eastAsia="Cambria Math" w:cs="Cambria Math"/>
                <w:color w:val="666666"/>
                <w:lang w:val="en" w:eastAsia="en"/>
              </w:rPr>
              <w:t>⑫</w:t>
            </w:r>
            <w:r>
              <w:rPr>
                <w:rFonts w:ascii="仿宋" w:hAnsi="仿宋" w:eastAsia="仿宋" w:cs="仿宋"/>
                <w:color w:val="666666"/>
                <w:lang w:val="en" w:eastAsia="en"/>
              </w:rPr>
              <w:t xml:space="preserve">水果类检测项目至少需包含铅(以Pb计),镉(以Cd计),甲胺磷,毒死蜱,六六六,滴滴涕,； </w:t>
            </w:r>
            <w:r>
              <w:rPr>
                <w:rFonts w:ascii="Cambria Math" w:hAnsi="Cambria Math" w:eastAsia="Cambria Math" w:cs="Cambria Math"/>
                <w:color w:val="666666"/>
                <w:lang w:val="en" w:eastAsia="en"/>
              </w:rPr>
              <w:t>⑬</w:t>
            </w:r>
            <w:r>
              <w:rPr>
                <w:rFonts w:ascii="仿宋" w:hAnsi="仿宋" w:eastAsia="仿宋" w:cs="仿宋"/>
                <w:color w:val="666666"/>
                <w:lang w:val="en" w:eastAsia="en"/>
              </w:rPr>
              <w:t xml:space="preserve">水产类检测项目至少需包含氯霉素,地西泮,甲氧苄啶,诺氟沙星,氧氟沙星,呋喃唑酮代谢物(3-氨基-2-恶唑酮)； </w:t>
            </w:r>
            <w:r>
              <w:rPr>
                <w:rFonts w:ascii="Cambria Math" w:hAnsi="Cambria Math" w:eastAsia="Cambria Math" w:cs="Cambria Math"/>
                <w:color w:val="666666"/>
                <w:lang w:val="en" w:eastAsia="en"/>
              </w:rPr>
              <w:t>⑭</w:t>
            </w:r>
            <w:r>
              <w:rPr>
                <w:rFonts w:ascii="仿宋" w:hAnsi="仿宋" w:eastAsia="仿宋" w:cs="仿宋"/>
                <w:color w:val="666666"/>
                <w:lang w:val="en" w:eastAsia="en"/>
              </w:rPr>
              <w:t>家禽类检测项目至少需包含呋喃它酮代谢物(5-甲基吗啉-3-氨基-2-恶唑烷基酮),呋喃西林代谢物(氨基脲),呋喃妥因代谢物(1-氨基-乙内酰脲),多西环素,恩诺沙星(恩诺沙星与环丙沙星之和),氟苯尼考； 投标人提供的以上任意品类的每个检测报告均检测项数量10个或以上的： 1、每提供一个种类连续三个月（每个月需提供一份）的检测报告的得7.5%分，最高得100%分； 2、每提供一个种类连续两个月（每个月需提供一份）的检测报告的得5%分，最高得70%分； 3、每提供一个种类任意一个月（提供一份）的得3.5%分，最高得50%分； 同一种类不可重复得分。 证明文件： 1、提供具有在检验检测机构资质认定证书规定的能力范围内出具合格或达标等同等意义表述的检验检测报告（带有CMA认证标志）；若检测报告注明检测事项不在实施该项检测的机构许可（认可）CMA资质范围内的，则该检测报告视为不满足招标文件要求，对于无法判断机构检测范围的，投标人需提供“检测报告载明的检测事项未超出本机构检测范围”的承诺函（格式自拟）。 2、同时提供查询截图，检测报告应在检测机构官网或者全国认证认可信息公共服务平台（httpcx.cnca.cn）上进行查询且编号一致； 3、检验检测报告的委托单位需为投标人，如委托第三方检测的需提供对应月份（覆盖检测月份亦可）的检测费用发票或转账凭证； 4、截止投标日前，如果投标人为新成立的单位且成立时间不足三个月的，每任意一个品类提供连续二个月（每个月需提供一份）的检测报告可得7.5%分，最高得100%分。 如果投标人为新成立的单位且成立时间不足二个月的，每任意一个品类提供任意一个月的检测报告可得7.5%分，最高得100%分。 如果投标人为新成立的单位且成立时间不足一个月的，每任意一个品类提供成立之月或开标当月的检测报告可得7.5%分，最高得100%分。 投标人成立时间以营业执照的成立日期为准。 5、未提供或未按要求提供或提供的不清晰导致专家无法判断的，不得分。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67CE5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F4D032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r>
      <w:tr w14:paraId="739D9CB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442F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2C25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8CB4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投标人具有省级或以上（含副省级城市）政府部门或事业单位或协会或机构颁发的餐饮服务类或供应链类或农业类荣誉的，每提供一个得50%分，最高得100%分； 同一类证书不可重复得分，按得分高项计分。 （二）证明文件： 1.要求提供有效期内的获奖（荣誉）证书或红头文件或获奖信息的官网截图证明材料作为得分依据，若只提供牌匾形式的，须同时提供政府部门获奖信息的官网截图扫描件或提供颁发部门公章的证明材料，原件备查。 2.由协会或机构颁发的荣誉还需要同时提供该协会或机构在中国社会组织政务服务平台（网址httpschinanpo.mca.gov.cn)的查询“正常”页面截图。 3.以上资料均要求提供扫描件，原件备查。 备注：评分中出现无证明资料或专家无法凭所提供资料判断是否得分的情况，一律作不得分处理。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D65D8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DAB24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389B0B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85A1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0522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项目负责人情况评价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D643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拟安排项目负责人（仅限一人）须为投标人自有员工： 具有高级食品安全管理员培训考核合格证明（或高级食品质量管理师证书）的得100%分。 证明文件： 1、提供相关证书或证书官网查询截图，原件备查。由协会或机构颁发的荣誉还需要同时提供该协会或机构在中国社会组织政务服务平台（网址httpschinanpo.mca.gov.cn)的查询“正常”页面截图。 2、提供投标单位缴纳的载有社保部门公章的近一个月社保缴交证明材料(如开标日上一个月的社保材料因社保部门原因暂时无法取得，则可以往前顺延一个月；如投标人为新成立企业且成立时间不足一个月可提供加盖公章的情况说明或证明材料)，原件备查。未按以上要求提供相关材料或不清晰导致无法识别的不计得分。 未按以上要求提供相关材料或不清晰导致无法识别的不计得分。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0CDF48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00237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6AD701A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A0FE7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34ACA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配送场所情况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1F1A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投标人拟投入本项目的自有或租赁的的配送场所面积： 1、配送场所面积≥4000平方米的，得100%分； 2、3000平方米≤配送场所面积＜4000平方米的，得70%分； 2、2000平方米≤配送场所面积＜3000平方米的，得50%分； 3、1000平方米≤配送场所面积＜2000平方米的，得20%分； 5、0平方米＜配送场所面积＜1000平方米的，得0%分。 不具备或不提供的不得分，提供多个配送场所面积可累计。 （二）证明文件： 1、自有配送场所提供自有房产证明，且至少需体现配送场所面积、投标人信息等评分内容关键性内容；若证明材料无法体现面积的，投标人须同时提供换算为面积（平方米）的证明材料或者其他能体现面积信息的合法有效证明材料； 2、租赁的配送场所提供租赁合同关键页（包括但不限于：合同名称页、合同主要内容页、合同签订日期页、合同双方签字盖章页），租赁合同日期须涵盖本项目投标截止日期；同时须体现面积。若证明材料无法体现面积的，投标人须同时提供换算为面积（平方米）的证明材料或者其他能体现面积信息的合法有效证明材料； 3、以上资料均提供扫描件，原件备查，评分中出现无证明资料或者专家无法凭所提供资料判断是否得分的情况，一律做不得分处理。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D576FB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121D0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4F56A57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6B7D7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E85B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检测室以及检测仪器设备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9671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投标人具有（含自有或租赁）检测室，在此基础上，考察检测室具有（含自有或租赁）仪器（设备）的情况： 1、具有农药残留检测设备的，得25%分； 2、具有微生物检测设备的，得25%分； 3、具有食品添加剂检测设备的，得25%分； 4、具有多功能食品安全综合分析检测仪的，得25%分； 如一个仪器（设备）同时具备（满足）以上第1至4项检测仪器（设备）中多个检测仪器（设备）的检测功能，可同时获得对应仪器（设备）的得分。 同一类仪器（设备）只计一次分，不重复计分。 本小项累计最高得4分（仪器（设备）名称如有出入，需提供说明书扫描件或相关功能性证明材料证明功能可以满足对应检测仪器（设备）的功能亦可得分）。 （二）证明文件： 1、检测室须同时提供： （1）检测室建设合同或有效的租赁合同关键页，且至少需体现投标人信息等评分内容关键性内容； （2）投标人须承诺检测室满足服务过程中食材入库、出库等过程检测便捷需要（如检测室与配送场所位于同一楼栋、同一工业园区等），提供承诺函，格式自拟； （3）检测室内景照片。 2、检测仪器（设备）须同时提供： （1）以投标人名称为抬头的仪器（设备）购置发票，或有效的租赁合同（至少需体现投标人信息等评分内容关键性内容）； （2）仪器（设备）照片； （3）同时满足多项检测功能的设备（同一设备具备多种检测功能的仪器），以及第4项仪器（多功能食品安全综合分析检测仪）需同时提供说明书扫描件或相关功能性证明材料。 3、以上资料均提供扫描件，原件备查，评分中出现无证明资料或者专家无法凭所提供资料判断是否得分的情况，一律做不得分处理。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BBC33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EB561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036D160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162B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B8743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冷库情况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F257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根据投标人拟投入本项目的自有或租赁冷库（含冷冻和冷藏）面积进行评分： 1、冷库面积≥1000平方米，得100%分； 2、800平方米≤冷库面积＜1000平方米的，得70%分； 3、600平方米≤冷库面积＜800平方米的，得30%分； 4、0平方米＜冷库面积＜200平方米的，得0%分。 不具备或不提供的不得分，提供多个冷库面积可累计。 （二）证明文件： 1、（1）自有冷库同时提供冷库工程竣工验收报告或冷库建设合同或冷库安装合同或冷库转让合同；且至少需体现冷库面积、投标人信息等评分内容关键性内容；若证明材料无法体现面积的，投标人须同时提供换算为面积（平方米）的证明材料或者其他能体现面积信息的合法有效证明材料；（2）提供冷库正门全景照片和内景照片各一张；（3）提供2025年1月1日（含当日）至本项目投标截止日（含当日）期间第三方机构出具的冷库温度校准报告（须包括冷藏库和冷冻库），且温度检测结论为合格（或者同等意义表述）。 2、租赁冷库同时提供冷库有效的租赁合同，租赁合同日期应涵盖本项目投标截止日期（含当日）；且至少需体现冷库面积、投标人信息等评分内容关键性内容；若证明材料无法体现面积的，投标人须同时提供换算为面积（平方米）的证明材料或者其他能体现面积信息的合法有效证明材料（2）提供冷库正门全景照片和内景照片各一张；（3）提供2025年1月1日（含当日）至本项目投标截止日（含当日）期间第三方机构出具的冷库温度校准报告（须包括冷藏库和冷冻库），且温度检测结论为合格（或者同等意义表述）。 3、投标人提供多个冷库的，每个冷库均需按照以上评分依据1-2的要求提供证明材料； 4、以上资料均提供扫描件，原件备查，评分中出现无证明资料或者专家无法凭所提供资料判断是否得分的情况，一律做不得分处理。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DEB90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56BFE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604FD4F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1EA2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C326C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投标人购买公共责任险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2AAFA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投标人购买相关食品安全责任险： 1、累计赔偿限额≥2亿元的，得100%分； 2、1亿元≤累计赔偿限额＜2亿元的，得70%分； 3、5000万元≤累计赔偿限额＜1亿元的，得40%分； 4、3000万元≤累计赔偿限额＜5000万元的，得10%分； 5、0万元＜累计赔偿限额＜3000万元的，不得分。 提供多个保险的累计赔偿限额不累计得分。 （二）评分依据： 1、同时提供保险购置发票和保险保单（或保险合同），保单（或保险合同）保险期限须涵盖本项目投标截止日期当日。 2、以上资料均提供扫描件，原件备查，评分中出现无证明资料或者专家无法凭所提供资料判断是否得分的情况，一律做不得分处理。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DF181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67051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2775C6C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BA53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51BD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投标人购买食品安全保险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1998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投标人购买相关公众责任险： 1、累计赔偿限额≥2亿元的，得100%分； 2、1亿元≤累计赔偿限额＜2亿元的，得70分%； 3、5000万元≤累计赔偿限额＜1亿元的，得40%分； 4、3000万元≤累计赔偿限额＜5000万元的，得10%分； 5、0万元＜累计赔偿限额＜3000万元的，不得分。 提供多个保险的累计赔偿限额不累计得分。 （二）评分依据： 1、同时提供保险购置发票和保险保单（或保险合同），保单（或保险合同）保险期限须涵盖本项目投标截止日期当日。 2、以上资料均提供扫描件，原件备查，评分中出现无证明资料或者专家无法凭所提供资料判断是否得分的情况，一律做不得分处理。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2C2CA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17AE32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1E22240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F6C1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B285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项目经验满意度评价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B2FDE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2022年1月1日至本项目投标截止时间（以合同签订日期为准），具有本项目同类型业绩经验的，且经服务单位评价为满意或优秀或履约评价最高等级的，每提供一个得50%分，最高得100%分。同一项目的续签合同（或补充合同）不重复计分。 （二）证明文件： 提供合同关键页（含签订合同双方的单位名称、签订合同双方的落款盖章、签订日期、等内容）及加盖被服务单位公章（业务章）的履约评价表；未按以上要求提供相关材料或不清晰导致无法识别的不计得分。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EEBFB1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99C8B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4627B8A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4DF06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DA93F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18BE4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投标人承诺在参与自行采购活动中未出现诚信或安全相关问题且不在相关主管部门处理措施实施期限内的本项得100%分，否则不得分。 （二）评审依据： 投标人须提供《诚信承诺函》，按采购文件格式要求提供，不提供或提供的不符合要求或提供不清晰导致专家无法判断的均不得分。如被认定提供的陈述与事实不符受到行政处罚的，依法追究其责任。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500D4A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F6003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7DC0177C">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7113F4C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CC"/>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29F1">
    <w:pPr>
      <w:framePr w:wrap="around" w:vAnchor="text" w:hAnchor="margin" w:xAlign="center" w:y="1"/>
      <w:tabs>
        <w:tab w:val="center" w:pos="4153"/>
        <w:tab w:val="right" w:pos="8306"/>
      </w:tabs>
      <w:rPr>
        <w:rStyle w:val="14"/>
      </w:rPr>
    </w:pPr>
    <w:r>
      <w:t xml:space="preserve">- </w:t>
    </w:r>
    <w:r>
      <w:fldChar w:fldCharType="begin"/>
    </w:r>
    <w:r>
      <w:instrText xml:space="preserve"> PAGE </w:instrText>
    </w:r>
    <w:r>
      <w:fldChar w:fldCharType="separate"/>
    </w:r>
    <w:r>
      <w:t>39</w:t>
    </w:r>
    <w:r>
      <w:fldChar w:fldCharType="end"/>
    </w:r>
    <w:r>
      <w:t xml:space="preserve"> -</w:t>
    </w:r>
  </w:p>
  <w:p w14:paraId="5E11E194">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D49C">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66EB">
    <w:pPr>
      <w:pStyle w:val="9"/>
      <w:jc w:val="center"/>
    </w:pPr>
  </w:p>
  <w:p w14:paraId="62F0D813">
    <w:pPr>
      <w:pStyle w:val="9"/>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C18F">
    <w:pPr>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31DC">
    <w:pPr>
      <w:tabs>
        <w:tab w:val="center" w:pos="4153"/>
        <w:tab w:val="right" w:pos="8306"/>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2E49">
    <w:pPr>
      <w:pStyle w:val="10"/>
      <w:pBdr>
        <w:bottom w:val="none" w:color="auto" w:sz="0" w:space="1"/>
      </w:pBd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ED28E58"/>
    <w:multiLevelType w:val="singleLevel"/>
    <w:tmpl w:val="BED28E58"/>
    <w:lvl w:ilvl="0" w:tentative="0">
      <w:start w:val="1"/>
      <w:numFmt w:val="decimal"/>
      <w:suff w:val="nothing"/>
      <w:lvlText w:val="%1、"/>
      <w:lvlJc w:val="left"/>
    </w:lvl>
  </w:abstractNum>
  <w:abstractNum w:abstractNumId="3">
    <w:nsid w:val="D10345FF"/>
    <w:multiLevelType w:val="singleLevel"/>
    <w:tmpl w:val="D10345FF"/>
    <w:lvl w:ilvl="0" w:tentative="0">
      <w:start w:val="1"/>
      <w:numFmt w:val="decimal"/>
      <w:suff w:val="nothing"/>
      <w:lvlText w:val="%1、"/>
      <w:lvlJc w:val="left"/>
    </w:lvl>
  </w:abstractNum>
  <w:abstractNum w:abstractNumId="4">
    <w:nsid w:val="DBF99973"/>
    <w:multiLevelType w:val="singleLevel"/>
    <w:tmpl w:val="DBF99973"/>
    <w:lvl w:ilvl="0" w:tentative="0">
      <w:start w:val="2"/>
      <w:numFmt w:val="chineseCounting"/>
      <w:suff w:val="nothing"/>
      <w:lvlText w:val="（%1）"/>
      <w:lvlJc w:val="left"/>
      <w:rPr>
        <w:rFonts w:hint="eastAsia"/>
      </w:rPr>
    </w:lvl>
  </w:abstractNum>
  <w:abstractNum w:abstractNumId="5">
    <w:nsid w:val="387BC339"/>
    <w:multiLevelType w:val="singleLevel"/>
    <w:tmpl w:val="387BC339"/>
    <w:lvl w:ilvl="0" w:tentative="0">
      <w:start w:val="1"/>
      <w:numFmt w:val="chineseCounting"/>
      <w:suff w:val="nothing"/>
      <w:lvlText w:val="%1、"/>
      <w:lvlJc w:val="left"/>
      <w:pPr>
        <w:ind w:left="0" w:firstLine="420"/>
      </w:pPr>
      <w:rPr>
        <w:rFonts w:hint="eastAsia"/>
      </w:rPr>
    </w:lvl>
  </w:abstractNum>
  <w:abstractNum w:abstractNumId="6">
    <w:nsid w:val="3C656922"/>
    <w:multiLevelType w:val="singleLevel"/>
    <w:tmpl w:val="3C656922"/>
    <w:lvl w:ilvl="0" w:tentative="0">
      <w:start w:val="1"/>
      <w:numFmt w:val="chineseCounting"/>
      <w:suff w:val="nothing"/>
      <w:lvlText w:val="（%1）"/>
      <w:lvlJc w:val="left"/>
      <w:rPr>
        <w:rFonts w:hint="eastAsia"/>
      </w:rPr>
    </w:lvl>
  </w:abstractNum>
  <w:abstractNum w:abstractNumId="7">
    <w:nsid w:val="481452E2"/>
    <w:multiLevelType w:val="singleLevel"/>
    <w:tmpl w:val="481452E2"/>
    <w:lvl w:ilvl="0" w:tentative="0">
      <w:start w:val="2"/>
      <w:numFmt w:val="chineseCounting"/>
      <w:suff w:val="nothing"/>
      <w:lvlText w:val="（%1）"/>
      <w:lvlJc w:val="left"/>
      <w:rPr>
        <w:rFonts w:hint="eastAsia"/>
      </w:rPr>
    </w:lvl>
  </w:abstractNum>
  <w:num w:numId="1">
    <w:abstractNumId w:val="6"/>
  </w:num>
  <w:num w:numId="2">
    <w:abstractNumId w:val="3"/>
  </w:num>
  <w:num w:numId="3">
    <w:abstractNumId w:val="2"/>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4DA1B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4"/>
    <w:next w:val="1"/>
    <w:qFormat/>
    <w:uiPriority w:val="0"/>
    <w:pPr>
      <w:spacing w:before="260" w:after="260" w:line="240" w:lineRule="auto"/>
      <w:outlineLvl w:val="2"/>
    </w:pPr>
    <w:rPr>
      <w:rFonts w:ascii="宋体" w:hAnsi="宋体"/>
      <w:bCs w:val="0"/>
      <w:szCs w:val="32"/>
    </w:rPr>
  </w:style>
  <w:style w:type="paragraph" w:styleId="4">
    <w:name w:val="heading 4"/>
    <w:basedOn w:val="1"/>
    <w:next w:val="1"/>
    <w:qFormat/>
    <w:uiPriority w:val="0"/>
    <w:pPr>
      <w:keepNext/>
      <w:keepLines/>
      <w:spacing w:before="280" w:after="290" w:line="376" w:lineRule="auto"/>
      <w:outlineLvl w:val="3"/>
    </w:pPr>
    <w:rPr>
      <w:rFonts w:ascii="Calibri Light" w:hAnsi="Calibri Light" w:eastAsia="宋体"/>
      <w:b/>
      <w:bCs/>
      <w:sz w:val="28"/>
      <w:szCs w:val="28"/>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style>
  <w:style w:type="paragraph" w:styleId="7">
    <w:name w:val="Body Text"/>
    <w:basedOn w:val="1"/>
    <w:link w:val="15"/>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8">
    <w:name w:val="Plain Text"/>
    <w:basedOn w:val="1"/>
    <w:qFormat/>
    <w:uiPriority w:val="0"/>
    <w:rPr>
      <w:rFonts w:ascii="宋体" w:hAnsi="Courier New"/>
      <w:szCs w:val="20"/>
    </w:rPr>
  </w:style>
  <w:style w:type="paragraph" w:styleId="9">
    <w:name w:val="footer"/>
    <w:basedOn w:val="1"/>
    <w:link w:val="1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10">
    <w:name w:val="header"/>
    <w:basedOn w:val="1"/>
    <w:link w:val="1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正文文本 Char"/>
    <w:link w:val="7"/>
    <w:qFormat/>
    <w:uiPriority w:val="0"/>
    <w:rPr>
      <w:rFonts w:asciiTheme="minorHAnsi" w:hAnsiTheme="minorHAnsi" w:eastAsiaTheme="minorEastAsia" w:cstheme="minorBidi"/>
      <w:b/>
      <w:bCs/>
      <w:kern w:val="2"/>
      <w:sz w:val="24"/>
      <w:szCs w:val="22"/>
    </w:rPr>
  </w:style>
  <w:style w:type="paragraph" w:customStyle="1" w:styleId="16">
    <w:name w:val="Table Paragraph"/>
    <w:basedOn w:val="1"/>
    <w:qFormat/>
    <w:uiPriority w:val="1"/>
    <w:rPr>
      <w:rFonts w:ascii="宋体" w:hAnsi="宋体" w:cs="宋体"/>
      <w:lang w:val="zh-CN" w:bidi="zh-CN"/>
    </w:rPr>
  </w:style>
  <w:style w:type="character" w:customStyle="1" w:styleId="17">
    <w:name w:val="页眉 Char"/>
    <w:basedOn w:val="13"/>
    <w:link w:val="10"/>
    <w:qFormat/>
    <w:uiPriority w:val="99"/>
    <w:rPr>
      <w:rFonts w:eastAsia="宋体"/>
      <w:sz w:val="18"/>
      <w:szCs w:val="18"/>
    </w:rPr>
  </w:style>
  <w:style w:type="character" w:customStyle="1" w:styleId="18">
    <w:name w:val="页脚 Char"/>
    <w:basedOn w:val="13"/>
    <w:link w:val="9"/>
    <w:qFormat/>
    <w:uiPriority w:val="99"/>
    <w:rPr>
      <w:rFonts w:eastAsia="宋体"/>
      <w:sz w:val="18"/>
      <w:szCs w:val="18"/>
    </w:rPr>
  </w:style>
  <w:style w:type="paragraph" w:customStyle="1" w:styleId="19">
    <w:name w:val="USE 1"/>
    <w:basedOn w:val="1"/>
    <w:qFormat/>
    <w:uiPriority w:val="0"/>
    <w:pPr>
      <w:spacing w:line="200" w:lineRule="atLeast"/>
    </w:pPr>
    <w:rPr>
      <w:rFonts w:ascii="宋体" w:hAnsi="宋体"/>
      <w:b/>
      <w:szCs w:val="28"/>
    </w:rPr>
  </w:style>
  <w:style w:type="table" w:customStyle="1" w:styleId="20">
    <w:name w:val="typo_table"/>
    <w:basedOn w:val="11"/>
    <w:qFormat/>
    <w:uiPriority w:val="0"/>
  </w:style>
  <w:style w:type="paragraph" w:customStyle="1" w:styleId="21">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22">
    <w:name w:val="base"/>
    <w:basedOn w:val="13"/>
    <w:qFormat/>
    <w:uiPriority w:val="0"/>
    <w:rPr>
      <w:rFonts w:ascii="仿宋" w:hAnsi="仿宋" w:eastAsia="仿宋" w:cs="仿宋"/>
      <w:b/>
      <w:bCs/>
      <w:sz w:val="28"/>
      <w:szCs w:val="28"/>
    </w:rPr>
  </w:style>
  <w:style w:type="paragraph" w:customStyle="1" w:styleId="23">
    <w:name w:val="typo_p"/>
    <w:basedOn w:val="1"/>
    <w:qFormat/>
    <w:uiPriority w:val="0"/>
    <w:pPr>
      <w:spacing w:line="432" w:lineRule="atLeast"/>
    </w:pPr>
    <w:rPr>
      <w:rFonts w:ascii="微软雅黑" w:hAnsi="微软雅黑" w:eastAsia="微软雅黑" w:cs="微软雅黑"/>
      <w:color w:val="333333"/>
    </w:rPr>
  </w:style>
  <w:style w:type="character" w:customStyle="1" w:styleId="24">
    <w:name w:val="span"/>
    <w:basedOn w:val="13"/>
    <w:qFormat/>
    <w:uiPriority w:val="0"/>
    <w:rPr>
      <w:rFonts w:ascii="仿宋" w:hAnsi="仿宋" w:eastAsia="仿宋" w:cs="仿宋"/>
    </w:rPr>
  </w:style>
  <w:style w:type="character" w:customStyle="1" w:styleId="25">
    <w:name w:val="underline"/>
    <w:basedOn w:val="13"/>
    <w:qFormat/>
    <w:uiPriority w:val="0"/>
  </w:style>
  <w:style w:type="paragraph" w:customStyle="1" w:styleId="26">
    <w:name w:val="div"/>
    <w:basedOn w:val="1"/>
    <w:qFormat/>
    <w:uiPriority w:val="0"/>
    <w:pPr>
      <w:keepLines/>
      <w:spacing w:line="432" w:lineRule="atLeast"/>
    </w:pPr>
    <w:rPr>
      <w:rFonts w:ascii="微软雅黑" w:hAnsi="微软雅黑" w:eastAsia="微软雅黑" w:cs="微软雅黑"/>
      <w:color w:val="333333"/>
    </w:rPr>
  </w:style>
  <w:style w:type="character" w:customStyle="1" w:styleId="27">
    <w:name w:val="step-methods_step-item_label"/>
    <w:basedOn w:val="13"/>
    <w:qFormat/>
    <w:uiPriority w:val="0"/>
  </w:style>
  <w:style w:type="table" w:customStyle="1" w:styleId="28">
    <w:name w:val="typo_table_0"/>
    <w:basedOn w:val="11"/>
    <w:qFormat/>
    <w:uiPriority w:val="0"/>
  </w:style>
  <w:style w:type="character" w:customStyle="1" w:styleId="29">
    <w:name w:val="strong"/>
    <w:basedOn w:val="13"/>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110</Pages>
  <Words>5152</Words>
  <Characters>5428</Characters>
  <Lines>1</Lines>
  <Paragraphs>1</Paragraphs>
  <TotalTime>2</TotalTime>
  <ScaleCrop>false</ScaleCrop>
  <LinksUpToDate>false</LinksUpToDate>
  <CharactersWithSpaces>5440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2025-08-27T02:30:56Z</dcterms:created>
  <dc:creator>Administrator</dc:creator>
  <cp:lastModifiedBy>景山</cp:lastModifiedBy>
  <dcterms:modified xsi:type="dcterms:W3CDTF">2025-08-27T02:33:20Z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eyJoZGlkIjoiZTUzNDRlOTBkNTc5N2M2NzRiZjZlMGY0NzJmMzgxZGUiLCJ1c2VySWQiOiI1NzMwMDk5MjMifQ==</vt:lpwstr>
  </property>
  <property fmtid="{D5CDD505-2E9C-101B-9397-08002B2CF9AE}" pid="3" name="KSOProductBuildVer">
    <vt:lpwstr>2052-12.1.0.22529</vt:lpwstr>
  </property>
  <property fmtid="{D5CDD505-2E9C-101B-9397-08002B2CF9AE}" pid="4" name="ICV">
    <vt:lpwstr>F3AEDB340F26483E8005D7E778177247_12</vt:lpwstr>
  </property>
</Properties>
</file>