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sz w:val="40"/>
          <w:szCs w:val="40"/>
          <w:lang w:eastAsia="zh-CN"/>
        </w:rPr>
      </w:pPr>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36" w:type="dxa"/>
          <w:left w:w="36" w:type="dxa"/>
          <w:bottom w:w="36" w:type="dxa"/>
          <w:right w:w="36" w:type="dxa"/>
        </w:tblCellMar>
      </w:tblPr>
      <w:tblGrid>
        <w:gridCol w:w="2987"/>
        <w:gridCol w:w="5725"/>
      </w:tblGrid>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项目编号：</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LHAZXDL-2025-00035</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项目名称：</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特色课程服务</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包    号：</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A</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项目类型：</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服务类</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采购方式：</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公开招标</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货币类型：</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人民币</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评标方法：</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综合评分法</w:t>
            </w:r>
          </w:p>
        </w:tc>
      </w:tr>
    </w:tbl>
    <w:p>
      <w:pPr>
        <w:widowControl w:val="0"/>
        <w:tabs>
          <w:tab w:val="left" w:pos="2790"/>
        </w:tabs>
        <w:snapToGrid w:val="0"/>
        <w:spacing w:line="440" w:lineRule="exact"/>
        <w:jc w:val="left"/>
        <w:rPr>
          <w:rFonts w:ascii="宋体" w:eastAsia="宋体" w:hAnsi="宋体"/>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730"/>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投标报价得分=(评标基准价／投标报价)×100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评标总得分＝F1×A1＋F2×A2＋……＋Fn×An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F1、F2……Fn分别为各项评审因素的得分；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A1、A2、……An 分别为各项评审因素所占的权重(A1＋A2＋……＋An＝1)。 </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p>
      <w:pPr>
        <w:widowControl w:val="0"/>
        <w:jc w:val="both"/>
        <w:rPr>
          <w:rFonts w:ascii="Calibri" w:eastAsia="宋体" w:hAnsi="Calibri"/>
          <w:kern w:val="2"/>
          <w:sz w:val="21"/>
          <w:szCs w:val="22"/>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
      <w:tblGrid>
        <w:gridCol w:w="592"/>
        <w:gridCol w:w="637"/>
        <w:gridCol w:w="1438"/>
        <w:gridCol w:w="955"/>
        <w:gridCol w:w="523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jc w:val="center"/>
        </w:trPr>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序号</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评分项</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1</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价格</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10</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val="restart"/>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技术部分</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58</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43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95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523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实施方案</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spacing w:line="360" w:lineRule="auto"/>
              <w:rPr>
                <w:rFonts w:ascii="宋体" w:eastAsia="宋体" w:hAnsi="宋体" w:cs="宋体" w:hint="eastAsia"/>
                <w:sz w:val="21"/>
                <w:szCs w:val="21"/>
              </w:rPr>
            </w:pPr>
            <w:r>
              <w:rPr>
                <w:rFonts w:ascii="宋体" w:eastAsia="宋体" w:hAnsi="宋体" w:cs="宋体" w:hint="eastAsia"/>
                <w:b/>
                <w:bCs/>
                <w:sz w:val="21"/>
                <w:szCs w:val="21"/>
                <w:lang w:eastAsia="zh-CN"/>
              </w:rPr>
              <w:t>考察内容</w:t>
            </w:r>
            <w:r>
              <w:rPr>
                <w:rFonts w:ascii="宋体" w:eastAsia="宋体" w:hAnsi="宋体" w:cs="宋体" w:hint="eastAsia"/>
                <w:sz w:val="21"/>
                <w:szCs w:val="21"/>
              </w:rPr>
              <w:t>：</w:t>
            </w:r>
          </w:p>
          <w:p>
            <w:pPr>
              <w:spacing w:line="360" w:lineRule="auto"/>
              <w:rPr>
                <w:rFonts w:ascii="宋体" w:eastAsia="宋体" w:hAnsi="宋体" w:cs="宋体" w:hint="eastAsia"/>
                <w:sz w:val="21"/>
                <w:szCs w:val="21"/>
              </w:rPr>
            </w:pPr>
            <w:r>
              <w:rPr>
                <w:rFonts w:ascii="宋体" w:eastAsia="宋体" w:hAnsi="宋体" w:cs="宋体" w:hint="eastAsia"/>
                <w:sz w:val="21"/>
                <w:szCs w:val="21"/>
                <w:lang w:eastAsia="zh-CN"/>
              </w:rPr>
              <w:t>投标人需针对本项目提供</w:t>
            </w:r>
            <w:r>
              <w:rPr>
                <w:rFonts w:ascii="宋体" w:eastAsia="宋体" w:hAnsi="宋体" w:cs="宋体" w:hint="eastAsia"/>
                <w:kern w:val="2"/>
                <w:sz w:val="21"/>
                <w:szCs w:val="21"/>
                <w:lang w:eastAsia="zh-CN"/>
              </w:rPr>
              <w:t>实施方案</w:t>
            </w:r>
            <w:r>
              <w:rPr>
                <w:rFonts w:ascii="宋体" w:eastAsia="宋体" w:hAnsi="宋体" w:cs="宋体" w:hint="eastAsia"/>
                <w:sz w:val="21"/>
                <w:szCs w:val="21"/>
              </w:rPr>
              <w:t>，内容</w:t>
            </w:r>
            <w:r>
              <w:rPr>
                <w:rFonts w:ascii="宋体" w:eastAsia="宋体" w:hAnsi="宋体" w:cs="宋体" w:hint="eastAsia"/>
                <w:sz w:val="21"/>
                <w:szCs w:val="21"/>
                <w:lang w:eastAsia="zh-CN"/>
              </w:rPr>
              <w:t>需</w:t>
            </w:r>
            <w:r>
              <w:rPr>
                <w:rFonts w:ascii="宋体" w:eastAsia="宋体" w:hAnsi="宋体" w:cs="宋体" w:hint="eastAsia"/>
                <w:sz w:val="21"/>
                <w:szCs w:val="21"/>
              </w:rPr>
              <w:t>包括：</w:t>
            </w:r>
          </w:p>
          <w:p>
            <w:pPr>
              <w:numPr>
                <w:ilvl w:val="0"/>
                <w:numId w:val="0"/>
              </w:numPr>
              <w:spacing w:line="360" w:lineRule="auto"/>
              <w:ind w:left="0" w:firstLine="0"/>
              <w:rPr>
                <w:rFonts w:ascii="宋体" w:eastAsia="宋体" w:hAnsi="宋体" w:cs="宋体" w:hint="eastAsia"/>
                <w:sz w:val="21"/>
                <w:szCs w:val="21"/>
                <w:lang w:eastAsia="zh-CN"/>
              </w:rPr>
            </w:pPr>
            <w:r>
              <w:rPr>
                <w:rFonts w:ascii="宋体" w:eastAsia="宋体" w:hAnsi="宋体" w:cs="宋体" w:hint="eastAsia"/>
                <w:sz w:val="21"/>
                <w:szCs w:val="21"/>
                <w:lang w:eastAsia="zh-CN"/>
              </w:rPr>
              <w:t>（1）工作措施；</w:t>
            </w:r>
          </w:p>
          <w:p>
            <w:pPr>
              <w:numPr>
                <w:ilvl w:val="0"/>
                <w:numId w:val="0"/>
              </w:numPr>
              <w:spacing w:line="360" w:lineRule="auto"/>
              <w:ind w:left="0" w:firstLine="0"/>
              <w:rPr>
                <w:rFonts w:ascii="宋体" w:eastAsia="宋体" w:hAnsi="宋体" w:cs="宋体" w:hint="eastAsia"/>
                <w:sz w:val="21"/>
                <w:szCs w:val="21"/>
              </w:rPr>
            </w:pPr>
            <w:r>
              <w:rPr>
                <w:rFonts w:ascii="宋体" w:eastAsia="宋体" w:hAnsi="宋体" w:cs="宋体" w:hint="eastAsia"/>
                <w:sz w:val="21"/>
                <w:szCs w:val="21"/>
                <w:lang w:eastAsia="zh-CN"/>
              </w:rPr>
              <w:t>（2）工作方法；</w:t>
            </w:r>
          </w:p>
          <w:p>
            <w:pPr>
              <w:numPr>
                <w:ilvl w:val="0"/>
                <w:numId w:val="0"/>
              </w:numPr>
              <w:spacing w:line="360" w:lineRule="auto"/>
              <w:ind w:left="0" w:firstLine="0"/>
              <w:rPr>
                <w:rFonts w:ascii="宋体" w:eastAsia="宋体" w:hAnsi="宋体" w:cs="宋体" w:hint="eastAsia"/>
                <w:sz w:val="21"/>
                <w:szCs w:val="21"/>
              </w:rPr>
            </w:pPr>
            <w:r>
              <w:rPr>
                <w:rFonts w:ascii="宋体" w:eastAsia="宋体" w:hAnsi="宋体" w:cs="宋体" w:hint="eastAsia"/>
                <w:sz w:val="21"/>
                <w:szCs w:val="21"/>
                <w:lang w:eastAsia="zh-CN"/>
              </w:rPr>
              <w:t>（3）工作手段</w:t>
            </w:r>
            <w:r>
              <w:rPr>
                <w:rFonts w:ascii="宋体" w:eastAsia="宋体" w:hAnsi="宋体" w:cs="宋体" w:hint="eastAsia"/>
                <w:sz w:val="21"/>
                <w:szCs w:val="21"/>
              </w:rPr>
              <w:t>；</w:t>
            </w:r>
          </w:p>
          <w:p>
            <w:pPr>
              <w:numPr>
                <w:ilvl w:val="0"/>
                <w:numId w:val="0"/>
              </w:numPr>
              <w:spacing w:line="360" w:lineRule="auto"/>
              <w:ind w:left="0" w:firstLine="0"/>
              <w:rPr>
                <w:rFonts w:ascii="宋体" w:eastAsia="宋体" w:hAnsi="宋体" w:cs="宋体" w:hint="eastAsia"/>
                <w:sz w:val="21"/>
                <w:szCs w:val="21"/>
              </w:rPr>
            </w:pPr>
            <w:r>
              <w:rPr>
                <w:rFonts w:ascii="宋体" w:eastAsia="宋体" w:hAnsi="宋体" w:cs="宋体" w:hint="eastAsia"/>
                <w:sz w:val="21"/>
                <w:szCs w:val="21"/>
                <w:lang w:eastAsia="zh-CN"/>
              </w:rPr>
              <w:t>（4）工作流程。</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评审标准</w:t>
            </w:r>
            <w:r>
              <w:rPr>
                <w:rFonts w:ascii="宋体" w:eastAsia="宋体" w:hAnsi="宋体" w:cs="宋体" w:hint="eastAsia"/>
                <w:b/>
                <w:bCs/>
                <w:sz w:val="21"/>
                <w:szCs w:val="21"/>
              </w:rPr>
              <w:t>：</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1.同时满足以上四项要求得20分；满足以上三项要求得15分；满足以上两项要求得10分；满足以上一项要求得5分；内容不满足不得分。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2.在此基础上，根据采购文件的需求和响应文件响应情况进行分档评分：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优：内容详细、完整，表述清晰、严谨，科学合理、可行性强的加80分；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良：内容较详细、较完整，表述较清晰、较严谨，较科学合理、可行性较强的加50分；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中：内容不够详细、不够完整，表述不够清晰、不够严谨，不够合理、可行性一般的加20分；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差：内容不详细、不完整，表述不清晰、不严谨不合理、可行性差，的加0分。</w:t>
            </w:r>
          </w:p>
          <w:p>
            <w:pPr>
              <w:spacing w:line="360" w:lineRule="auto"/>
              <w:rPr>
                <w:rFonts w:ascii="Calibri" w:eastAsia="宋体" w:hAnsi="Calibri"/>
                <w:b/>
                <w:bCs/>
                <w:kern w:val="2"/>
                <w:szCs w:val="22"/>
                <w:lang w:eastAsia="zh-CN"/>
              </w:rPr>
            </w:pPr>
            <w:r>
              <w:rPr>
                <w:rFonts w:ascii="宋体" w:eastAsia="宋体" w:hAnsi="宋体" w:cs="宋体" w:hint="eastAsia"/>
                <w:sz w:val="21"/>
                <w:szCs w:val="21"/>
                <w:lang w:eastAsia="zh-CN"/>
              </w:rPr>
              <w:t>未提供不得分。</w:t>
            </w:r>
          </w:p>
        </w:tc>
      </w:tr>
      <w:tr>
        <w:tblPrEx>
          <w:tblW w:w="5000" w:type="pct"/>
          <w:jc w:val="center"/>
          <w:shd w:val="clear" w:color="auto" w:fill="FFFFFF"/>
          <w:tblLayout w:type="fixed"/>
          <w:tblCellMar>
            <w:top w:w="20" w:type="dxa"/>
            <w:left w:w="108" w:type="dxa"/>
            <w:bottom w:w="20" w:type="dxa"/>
            <w:right w:w="108" w:type="dxa"/>
          </w:tblCellMar>
        </w:tblPrEx>
        <w:trPr>
          <w:trHeight w:val="1235"/>
          <w:jc w:val="center"/>
        </w:trPr>
        <w:tc>
          <w:tcPr>
            <w:tcW w:w="5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sz w:val="21"/>
                <w:szCs w:val="21"/>
                <w:lang w:eastAsia="zh-CN"/>
              </w:rPr>
            </w:pPr>
            <w:r>
              <w:rPr>
                <w:rFonts w:ascii="宋体" w:eastAsia="宋体" w:hAnsi="宋体" w:cs="宋体" w:hint="eastAsia"/>
                <w:sz w:val="21"/>
                <w:szCs w:val="21"/>
              </w:rPr>
              <w:t>项目重点难点分析、应对措施及相关的合理化建议</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rPr>
              <w:t>：</w:t>
            </w:r>
          </w:p>
          <w:p>
            <w:pPr>
              <w:spacing w:line="360" w:lineRule="auto"/>
              <w:rPr>
                <w:rFonts w:ascii="宋体" w:eastAsia="宋体" w:hAnsi="宋体" w:cs="宋体" w:hint="eastAsia"/>
                <w:sz w:val="21"/>
                <w:szCs w:val="21"/>
              </w:rPr>
            </w:pPr>
            <w:r>
              <w:rPr>
                <w:rFonts w:ascii="宋体" w:eastAsia="宋体" w:hAnsi="宋体" w:cs="宋体" w:hint="eastAsia"/>
                <w:sz w:val="21"/>
                <w:szCs w:val="21"/>
                <w:lang w:eastAsia="zh-CN"/>
              </w:rPr>
              <w:t>投标人需</w:t>
            </w:r>
            <w:r>
              <w:rPr>
                <w:rFonts w:ascii="宋体" w:eastAsia="宋体" w:hAnsi="宋体" w:cs="宋体" w:hint="eastAsia"/>
                <w:sz w:val="21"/>
                <w:szCs w:val="21"/>
              </w:rPr>
              <w:t>针</w:t>
            </w:r>
            <w:r>
              <w:rPr>
                <w:rFonts w:ascii="宋体" w:eastAsia="宋体" w:hAnsi="宋体" w:cs="宋体" w:hint="eastAsia"/>
                <w:sz w:val="21"/>
                <w:szCs w:val="21"/>
                <w:lang w:eastAsia="zh-CN"/>
              </w:rPr>
              <w:t>对</w:t>
            </w:r>
            <w:r>
              <w:rPr>
                <w:rFonts w:ascii="宋体" w:eastAsia="宋体" w:hAnsi="宋体" w:cs="宋体" w:hint="eastAsia"/>
                <w:sz w:val="21"/>
                <w:szCs w:val="21"/>
              </w:rPr>
              <w:t>项目重点难点</w:t>
            </w:r>
            <w:r>
              <w:rPr>
                <w:rFonts w:ascii="宋体" w:eastAsia="宋体" w:hAnsi="宋体" w:cs="宋体" w:hint="eastAsia"/>
                <w:sz w:val="21"/>
                <w:szCs w:val="21"/>
                <w:lang w:eastAsia="zh-CN"/>
              </w:rPr>
              <w:t>进行</w:t>
            </w:r>
            <w:r>
              <w:rPr>
                <w:rFonts w:ascii="宋体" w:eastAsia="宋体" w:hAnsi="宋体" w:cs="宋体" w:hint="eastAsia"/>
                <w:sz w:val="21"/>
                <w:szCs w:val="21"/>
              </w:rPr>
              <w:t>分析</w:t>
            </w:r>
            <w:r>
              <w:rPr>
                <w:rFonts w:ascii="宋体" w:eastAsia="宋体" w:hAnsi="宋体" w:cs="宋体" w:hint="eastAsia"/>
                <w:sz w:val="21"/>
                <w:szCs w:val="21"/>
                <w:lang w:eastAsia="zh-CN"/>
              </w:rPr>
              <w:t>，</w:t>
            </w:r>
            <w:r>
              <w:rPr>
                <w:rFonts w:ascii="宋体" w:eastAsia="宋体" w:hAnsi="宋体" w:cs="宋体" w:hint="eastAsia"/>
                <w:sz w:val="21"/>
                <w:szCs w:val="21"/>
                <w:lang w:eastAsia="zh-CN"/>
              </w:rPr>
              <w:t>提供相应的</w:t>
            </w:r>
            <w:r>
              <w:rPr>
                <w:rFonts w:ascii="宋体" w:eastAsia="宋体" w:hAnsi="宋体" w:cs="宋体" w:hint="eastAsia"/>
                <w:sz w:val="21"/>
                <w:szCs w:val="21"/>
              </w:rPr>
              <w:t>应对措施及合理化建议</w:t>
            </w:r>
            <w:r>
              <w:rPr>
                <w:rFonts w:ascii="宋体" w:eastAsia="宋体" w:hAnsi="宋体" w:cs="宋体" w:hint="eastAsia"/>
                <w:sz w:val="21"/>
                <w:szCs w:val="21"/>
              </w:rPr>
              <w:t>，内容</w:t>
            </w:r>
            <w:r>
              <w:rPr>
                <w:rFonts w:ascii="宋体" w:eastAsia="宋体" w:hAnsi="宋体" w:cs="宋体" w:hint="eastAsia"/>
                <w:sz w:val="21"/>
                <w:szCs w:val="21"/>
                <w:lang w:eastAsia="zh-CN"/>
              </w:rPr>
              <w:t>需</w:t>
            </w:r>
            <w:r>
              <w:rPr>
                <w:rFonts w:ascii="宋体" w:eastAsia="宋体" w:hAnsi="宋体" w:cs="宋体" w:hint="eastAsia"/>
                <w:sz w:val="21"/>
                <w:szCs w:val="21"/>
              </w:rPr>
              <w:t>包括：</w:t>
            </w:r>
          </w:p>
          <w:p>
            <w:pPr>
              <w:numPr>
                <w:ilvl w:val="0"/>
                <w:numId w:val="1"/>
              </w:numPr>
              <w:tabs>
                <w:tab w:val="left" w:pos="312"/>
              </w:tabs>
              <w:spacing w:line="360" w:lineRule="auto"/>
              <w:rPr>
                <w:rFonts w:ascii="宋体" w:eastAsia="宋体" w:hAnsi="宋体" w:cs="宋体" w:hint="eastAsia"/>
                <w:sz w:val="21"/>
                <w:szCs w:val="21"/>
                <w:lang w:eastAsia="zh-CN"/>
              </w:rPr>
            </w:pPr>
            <w:r>
              <w:rPr>
                <w:rFonts w:ascii="宋体" w:eastAsia="宋体" w:hAnsi="宋体" w:cs="宋体" w:hint="eastAsia"/>
                <w:sz w:val="21"/>
                <w:szCs w:val="21"/>
              </w:rPr>
              <w:t>重点难点</w:t>
            </w:r>
            <w:r>
              <w:rPr>
                <w:rFonts w:ascii="宋体" w:eastAsia="宋体" w:hAnsi="宋体" w:cs="宋体" w:hint="eastAsia"/>
                <w:sz w:val="21"/>
                <w:szCs w:val="21"/>
                <w:lang w:eastAsia="zh-CN"/>
              </w:rPr>
              <w:t>进行</w:t>
            </w:r>
            <w:r>
              <w:rPr>
                <w:rFonts w:ascii="宋体" w:eastAsia="宋体" w:hAnsi="宋体" w:cs="宋体" w:hint="eastAsia"/>
                <w:sz w:val="21"/>
                <w:szCs w:val="21"/>
              </w:rPr>
              <w:t>分析</w:t>
            </w:r>
            <w:r>
              <w:rPr>
                <w:rFonts w:ascii="宋体" w:eastAsia="宋体" w:hAnsi="宋体" w:cs="宋体" w:hint="eastAsia"/>
                <w:sz w:val="21"/>
                <w:szCs w:val="21"/>
                <w:lang w:eastAsia="zh-CN"/>
              </w:rPr>
              <w:t>；</w:t>
            </w:r>
          </w:p>
          <w:p>
            <w:pPr>
              <w:numPr>
                <w:ilvl w:val="0"/>
                <w:numId w:val="1"/>
              </w:numPr>
              <w:tabs>
                <w:tab w:val="left" w:pos="312"/>
              </w:tabs>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相应的</w:t>
            </w:r>
            <w:r>
              <w:rPr>
                <w:rFonts w:ascii="宋体" w:eastAsia="宋体" w:hAnsi="宋体" w:cs="宋体" w:hint="eastAsia"/>
                <w:sz w:val="21"/>
                <w:szCs w:val="21"/>
              </w:rPr>
              <w:t>应对措施及合理化建议</w:t>
            </w:r>
            <w:r>
              <w:rPr>
                <w:rFonts w:ascii="宋体" w:eastAsia="宋体" w:hAnsi="宋体" w:cs="宋体" w:hint="eastAsia"/>
                <w:sz w:val="21"/>
                <w:szCs w:val="21"/>
                <w:lang w:eastAsia="zh-CN"/>
              </w:rPr>
              <w:t>。</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评审标准</w:t>
            </w:r>
            <w:r>
              <w:rPr>
                <w:rFonts w:ascii="宋体" w:eastAsia="宋体" w:hAnsi="宋体" w:cs="宋体" w:hint="eastAsia"/>
                <w:b/>
                <w:bCs/>
                <w:sz w:val="21"/>
                <w:szCs w:val="21"/>
              </w:rPr>
              <w:t>：</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1.同时满足以上两项要求得20分；满足以上一项要求得10分；内容不满足不得分。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2.在此基础上，根据采购文件的需求和响应文件响应情况进行分档评分：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优：内容详细、完整，表述清晰、严谨，科学合理、可行性强的加80分；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良：内容较详细、较完整，表述较清晰、较严谨，较科学合理、可行性较强的加50分；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中：内容不够详细、不够完整，表述不够清晰、不够严谨，不够合理、可行性一般的加20分；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差：内容不详细、不完整，表述不清晰、不严谨不合理、可行性差，的加0分。</w:t>
            </w:r>
          </w:p>
          <w:p>
            <w:pPr>
              <w:tabs>
                <w:tab w:val="left" w:pos="426"/>
              </w:tabs>
              <w:spacing w:line="360" w:lineRule="auto"/>
              <w:rPr>
                <w:rFonts w:ascii="宋体" w:eastAsia="宋体" w:hAnsi="宋体" w:cs="Calibri"/>
                <w:b/>
                <w:bCs/>
                <w:kern w:val="2"/>
                <w:sz w:val="21"/>
                <w:szCs w:val="21"/>
                <w:lang w:eastAsia="zh-CN"/>
              </w:rPr>
            </w:pPr>
            <w:r>
              <w:rPr>
                <w:rFonts w:ascii="宋体" w:eastAsia="宋体" w:hAnsi="宋体" w:cs="宋体" w:hint="eastAsia"/>
                <w:sz w:val="21"/>
                <w:szCs w:val="21"/>
                <w:lang w:eastAsia="zh-CN"/>
              </w:rPr>
              <w:t>未提供不得分。</w:t>
            </w:r>
          </w:p>
        </w:tc>
      </w:tr>
      <w:tr>
        <w:tblPrEx>
          <w:tblW w:w="5000" w:type="pct"/>
          <w:jc w:val="center"/>
          <w:shd w:val="clear" w:color="auto" w:fill="FFFFFF"/>
          <w:tblLayout w:type="fixed"/>
          <w:tblCellMar>
            <w:top w:w="20" w:type="dxa"/>
            <w:left w:w="108" w:type="dxa"/>
            <w:bottom w:w="20" w:type="dxa"/>
            <w:right w:w="108" w:type="dxa"/>
          </w:tblCellMar>
        </w:tblPrEx>
        <w:trPr>
          <w:trHeight w:val="1522"/>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质量</w:t>
            </w:r>
            <w:r>
              <w:rPr>
                <w:rFonts w:ascii="宋体" w:eastAsia="宋体" w:hAnsi="宋体" w:cs="宋体" w:hint="eastAsia"/>
                <w:sz w:val="21"/>
                <w:szCs w:val="21"/>
              </w:rPr>
              <w:t>保障措施</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rPr>
              <w:t>：</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投标人需针对本项目提供质量保障措施，内容需包括：</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（1）项目进度保障；</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（2）人员培训计划。</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评审标准</w:t>
            </w:r>
            <w:r>
              <w:rPr>
                <w:rFonts w:ascii="宋体" w:eastAsia="宋体" w:hAnsi="宋体" w:cs="宋体" w:hint="eastAsia"/>
                <w:b/>
                <w:bCs/>
                <w:sz w:val="21"/>
                <w:szCs w:val="21"/>
              </w:rPr>
              <w:t>：</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1.同时满足以上两项要求得20分；满足以上一项要求得10分；内容不满足不得分。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2.在此基础上，根据采购文件的需求和响应文件响应情况进行分档评分：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优：内容详细、完整，表述清晰、严谨，科学合理、可行性强的加80分；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良：内容较详细、较完整，表述较清晰、较严谨，较科学合理、可行性较强的加50分；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中：内容不够详细、不够完整，表述不够清晰、不够严谨，不够合理、可行性一般的加20分；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差：内容不详细、不完整，表述不清晰、不严谨不合理、可行性差，的加0分。</w:t>
            </w:r>
          </w:p>
          <w:p>
            <w:pPr>
              <w:wordWrap/>
              <w:spacing w:line="360" w:lineRule="auto"/>
              <w:jc w:val="left"/>
              <w:rPr>
                <w:rFonts w:ascii="宋体" w:eastAsia="宋体" w:hAnsi="宋体" w:cs="宋体"/>
                <w:kern w:val="2"/>
                <w:sz w:val="21"/>
                <w:szCs w:val="21"/>
                <w:lang w:eastAsia="zh-CN"/>
              </w:rPr>
            </w:pPr>
            <w:r>
              <w:rPr>
                <w:rFonts w:ascii="宋体" w:eastAsia="宋体" w:hAnsi="宋体" w:cs="宋体" w:hint="eastAsia"/>
                <w:sz w:val="21"/>
                <w:szCs w:val="21"/>
                <w:lang w:eastAsia="zh-CN"/>
              </w:rPr>
              <w:t>未提供不得分。</w:t>
            </w:r>
          </w:p>
        </w:tc>
      </w:tr>
      <w:tr>
        <w:tblPrEx>
          <w:tblW w:w="5000" w:type="pct"/>
          <w:jc w:val="center"/>
          <w:shd w:val="clear" w:color="auto" w:fill="FFFFFF"/>
          <w:tblLayout w:type="fixed"/>
          <w:tblCellMar>
            <w:top w:w="20" w:type="dxa"/>
            <w:left w:w="108" w:type="dxa"/>
            <w:bottom w:w="20" w:type="dxa"/>
            <w:right w:w="108" w:type="dxa"/>
          </w:tblCellMar>
        </w:tblPrEx>
        <w:trPr>
          <w:trHeight w:val="858"/>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项目管理方案</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rPr>
              <w:t>：</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投标人需针对本项目提供项目管理方案，内容需包括：</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（1）组织架构；</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（2）管理目标及方案。</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评审标准</w:t>
            </w:r>
            <w:r>
              <w:rPr>
                <w:rFonts w:ascii="宋体" w:eastAsia="宋体" w:hAnsi="宋体" w:cs="宋体" w:hint="eastAsia"/>
                <w:b/>
                <w:bCs/>
                <w:sz w:val="21"/>
                <w:szCs w:val="21"/>
              </w:rPr>
              <w:t>：</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1.同时满足以上两项要求得20分；满足以上一项要求得10分；内容不满足不得分。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2.在此基础上，根据采购文件的需求和响应文件响应情况进行分档评分：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优：内容详细、完整，表述清晰、严谨，科学合理、可行性强的加80分；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良：内容较详细、较完整，表述较清晰、较严谨，较科学合理、可行性较强的加50分；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中：内容不够详细、不够完整，表述不够清晰、不够严谨，不够合理、可行性一般的加20分；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差：内容不详细、不完整，表述不清晰、不严谨不合理、可行性差，的加0分。</w:t>
            </w:r>
          </w:p>
          <w:p>
            <w:pPr>
              <w:wordWrap/>
              <w:spacing w:line="360"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未提供不得分。</w:t>
            </w:r>
          </w:p>
        </w:tc>
      </w:tr>
      <w:tr>
        <w:tblPrEx>
          <w:tblW w:w="5000" w:type="pct"/>
          <w:jc w:val="center"/>
          <w:shd w:val="clear" w:color="auto" w:fill="FFFFFF"/>
          <w:tblLayout w:type="fixed"/>
          <w:tblCellMar>
            <w:top w:w="20" w:type="dxa"/>
            <w:left w:w="108" w:type="dxa"/>
            <w:bottom w:w="20" w:type="dxa"/>
            <w:right w:w="108" w:type="dxa"/>
          </w:tblCellMar>
        </w:tblPrEx>
        <w:trPr>
          <w:trHeight w:val="317"/>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rPr>
              <w:t>拟安排的项目负责人情况（仅限一人）</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8</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keepNext w:val="0"/>
              <w:keepLines w:val="0"/>
              <w:pageBreakBefore w:val="0"/>
              <w:kinsoku/>
              <w:overflowPunct/>
              <w:topLinePunct w:val="0"/>
              <w:autoSpaceDE/>
              <w:autoSpaceDN/>
              <w:bidi w:val="0"/>
              <w:adjustRightInd/>
              <w:spacing w:line="360" w:lineRule="auto"/>
              <w:textAlignment w:val="auto"/>
              <w:rPr>
                <w:rFonts w:ascii="宋体" w:eastAsia="宋体" w:hAnsi="宋体" w:cs="宋体" w:hint="eastAsia"/>
                <w:b/>
                <w:bCs/>
                <w:sz w:val="21"/>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rPr>
              <w:t>：</w:t>
            </w:r>
          </w:p>
          <w:p>
            <w:pPr>
              <w:keepNext w:val="0"/>
              <w:keepLines w:val="0"/>
              <w:pageBreakBefore w:val="0"/>
              <w:widowControl/>
              <w:kinsoku/>
              <w:overflowPunct/>
              <w:topLinePunct w:val="0"/>
              <w:autoSpaceDE/>
              <w:autoSpaceDN/>
              <w:bidi w:val="0"/>
              <w:adjustRightInd/>
              <w:snapToGrid/>
              <w:spacing w:line="360" w:lineRule="auto"/>
              <w:ind w:firstLine="0" w:firstLineChars="0"/>
              <w:jc w:val="left"/>
              <w:textAlignment w:val="auto"/>
              <w:rPr>
                <w:rFonts w:ascii="宋体" w:eastAsia="宋体" w:hAnsi="宋体" w:cs="宋体" w:hint="eastAsia"/>
                <w:sz w:val="21"/>
                <w:szCs w:val="21"/>
                <w:lang w:eastAsia="zh-CN"/>
              </w:rPr>
            </w:pPr>
            <w:r>
              <w:rPr>
                <w:rFonts w:ascii="宋体" w:eastAsia="宋体" w:hAnsi="宋体" w:cs="宋体" w:hint="eastAsia"/>
                <w:sz w:val="21"/>
                <w:szCs w:val="21"/>
              </w:rPr>
              <w:t>拟安排项目负责人为投标</w:t>
            </w:r>
            <w:r>
              <w:rPr>
                <w:rFonts w:ascii="宋体" w:eastAsia="宋体" w:hAnsi="宋体" w:cs="宋体" w:hint="eastAsia"/>
                <w:sz w:val="21"/>
                <w:szCs w:val="21"/>
                <w:lang w:eastAsia="zh-CN"/>
              </w:rPr>
              <w:t>人自有</w:t>
            </w:r>
            <w:r>
              <w:rPr>
                <w:rFonts w:ascii="宋体" w:eastAsia="宋体" w:hAnsi="宋体" w:cs="宋体" w:hint="eastAsia"/>
                <w:sz w:val="21"/>
                <w:szCs w:val="21"/>
              </w:rPr>
              <w:t>员工，否则本项不得分</w:t>
            </w:r>
            <w:r>
              <w:rPr>
                <w:rFonts w:ascii="宋体" w:eastAsia="宋体" w:hAnsi="宋体" w:cs="宋体" w:hint="eastAsia"/>
                <w:sz w:val="21"/>
                <w:szCs w:val="21"/>
                <w:lang w:eastAsia="zh-CN"/>
              </w:rPr>
              <w:t>，</w:t>
            </w:r>
            <w:r>
              <w:rPr>
                <w:rFonts w:ascii="宋体" w:eastAsia="宋体" w:hAnsi="宋体" w:cs="宋体" w:hint="eastAsia"/>
                <w:sz w:val="21"/>
                <w:szCs w:val="21"/>
                <w:lang w:eastAsia="zh-CN"/>
              </w:rPr>
              <w:t>在此基础上</w:t>
            </w:r>
            <w:r>
              <w:rPr>
                <w:rFonts w:ascii="宋体" w:eastAsia="宋体" w:hAnsi="宋体" w:cs="宋体" w:hint="eastAsia"/>
                <w:sz w:val="21"/>
                <w:szCs w:val="21"/>
                <w:lang w:eastAsia="zh-CN"/>
              </w:rPr>
              <w:t>：</w:t>
            </w:r>
          </w:p>
          <w:p>
            <w:pPr>
              <w:keepNext w:val="0"/>
              <w:keepLines w:val="0"/>
              <w:pageBreakBefore w:val="0"/>
              <w:widowControl/>
              <w:kinsoku/>
              <w:overflowPunct/>
              <w:topLinePunct w:val="0"/>
              <w:autoSpaceDE/>
              <w:autoSpaceDN/>
              <w:bidi w:val="0"/>
              <w:adjustRightInd/>
              <w:snapToGrid/>
              <w:spacing w:line="360" w:lineRule="auto"/>
              <w:ind w:firstLine="0" w:firstLineChars="0"/>
              <w:jc w:val="left"/>
              <w:textAlignment w:val="auto"/>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具有</w:t>
            </w:r>
            <w:r>
              <w:rPr>
                <w:rFonts w:ascii="宋体" w:eastAsia="宋体" w:hAnsi="宋体" w:cs="宋体" w:hint="eastAsia"/>
                <w:sz w:val="21"/>
                <w:szCs w:val="21"/>
                <w:lang w:eastAsia="zh-CN"/>
              </w:rPr>
              <w:t>本科</w:t>
            </w:r>
            <w:r>
              <w:rPr>
                <w:rFonts w:ascii="宋体" w:eastAsia="宋体" w:hAnsi="宋体" w:cs="宋体" w:hint="eastAsia"/>
                <w:sz w:val="21"/>
                <w:szCs w:val="21"/>
              </w:rPr>
              <w:t>（或以上）学历</w:t>
            </w:r>
            <w:r>
              <w:rPr>
                <w:rFonts w:ascii="宋体" w:eastAsia="宋体" w:hAnsi="宋体" w:cs="宋体" w:hint="eastAsia"/>
                <w:sz w:val="21"/>
                <w:szCs w:val="21"/>
                <w:lang w:eastAsia="zh-CN"/>
              </w:rPr>
              <w:t>的，</w:t>
            </w:r>
            <w:r>
              <w:rPr>
                <w:rFonts w:ascii="宋体" w:eastAsia="宋体" w:hAnsi="宋体" w:cs="宋体" w:hint="eastAsia"/>
                <w:sz w:val="21"/>
                <w:szCs w:val="21"/>
              </w:rPr>
              <w:t>得</w:t>
            </w:r>
            <w:r>
              <w:rPr>
                <w:rFonts w:ascii="宋体" w:eastAsia="宋体" w:hAnsi="宋体" w:cs="宋体" w:hint="eastAsia"/>
                <w:sz w:val="21"/>
                <w:szCs w:val="21"/>
                <w:lang w:eastAsia="zh-CN"/>
              </w:rPr>
              <w:t>100分</w:t>
            </w:r>
            <w:r>
              <w:rPr>
                <w:rFonts w:ascii="宋体" w:eastAsia="宋体" w:hAnsi="宋体" w:cs="宋体" w:hint="eastAsia"/>
                <w:sz w:val="21"/>
                <w:szCs w:val="21"/>
              </w:rPr>
              <w:t>，</w:t>
            </w:r>
            <w:r>
              <w:rPr>
                <w:rFonts w:ascii="宋体" w:eastAsia="宋体" w:hAnsi="宋体" w:cs="宋体" w:hint="eastAsia"/>
                <w:sz w:val="21"/>
                <w:szCs w:val="21"/>
                <w:lang w:eastAsia="zh-CN"/>
              </w:rPr>
              <w:t>其他情况不得分</w:t>
            </w:r>
            <w:r>
              <w:rPr>
                <w:rFonts w:ascii="宋体" w:eastAsia="宋体" w:hAnsi="宋体" w:cs="宋体" w:hint="eastAsia"/>
                <w:sz w:val="21"/>
                <w:szCs w:val="21"/>
              </w:rPr>
              <w:t>；</w:t>
            </w:r>
          </w:p>
          <w:p>
            <w:pPr>
              <w:keepNext w:val="0"/>
              <w:keepLines w:val="0"/>
              <w:pageBreakBefore w:val="0"/>
              <w:kinsoku/>
              <w:overflowPunct/>
              <w:topLinePunct w:val="0"/>
              <w:autoSpaceDE/>
              <w:autoSpaceDN/>
              <w:bidi w:val="0"/>
              <w:adjustRightInd/>
              <w:spacing w:line="360" w:lineRule="auto"/>
              <w:textAlignment w:val="auto"/>
              <w:rPr>
                <w:rFonts w:ascii="宋体" w:eastAsia="宋体" w:hAnsi="宋体" w:cs="宋体" w:hint="eastAsia"/>
                <w:b/>
                <w:bCs/>
                <w:sz w:val="21"/>
                <w:szCs w:val="21"/>
              </w:rPr>
            </w:pPr>
            <w:r>
              <w:rPr>
                <w:rFonts w:ascii="宋体" w:eastAsia="宋体" w:hAnsi="宋体" w:cs="宋体" w:hint="eastAsia"/>
                <w:b/>
                <w:bCs/>
                <w:sz w:val="21"/>
                <w:szCs w:val="21"/>
                <w:lang w:eastAsia="zh-CN"/>
              </w:rPr>
              <w:t>证明文件</w:t>
            </w:r>
            <w:r>
              <w:rPr>
                <w:rFonts w:ascii="宋体" w:eastAsia="宋体" w:hAnsi="宋体" w:cs="宋体" w:hint="eastAsia"/>
                <w:b/>
                <w:bCs/>
                <w:sz w:val="21"/>
                <w:szCs w:val="21"/>
              </w:rPr>
              <w:t>:</w:t>
            </w:r>
          </w:p>
          <w:p>
            <w:pPr>
              <w:wordWrap/>
              <w:spacing w:line="360" w:lineRule="auto"/>
              <w:jc w:val="left"/>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rPr>
              <w:t>.</w:t>
            </w:r>
            <w:r>
              <w:rPr>
                <w:rFonts w:ascii="Calibri" w:eastAsia="宋体" w:hAnsi="Calibri" w:cstheme="minorBidi" w:hint="eastAsia"/>
                <w:kern w:val="2"/>
                <w:sz w:val="21"/>
                <w:szCs w:val="22"/>
                <w:lang w:eastAsia="zh-CN"/>
              </w:rPr>
              <w:t>涉及到学历的，提供项目负责人的学历证书扫描件和学信网（https://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r>
              <w:rPr>
                <w:rFonts w:ascii="宋体" w:eastAsia="宋体" w:hAnsi="宋体" w:cs="宋体" w:hint="eastAsia"/>
                <w:sz w:val="21"/>
                <w:szCs w:val="21"/>
                <w:lang w:eastAsia="zh-CN"/>
              </w:rPr>
              <w:t>；</w:t>
            </w:r>
          </w:p>
          <w:p>
            <w:pPr>
              <w:wordWrap/>
              <w:spacing w:line="360"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rPr>
              <w:t>提供开标日前由投标人为</w:t>
            </w:r>
            <w:r>
              <w:rPr>
                <w:rFonts w:ascii="宋体" w:eastAsia="宋体" w:hAnsi="宋体" w:cs="宋体" w:hint="eastAsia"/>
                <w:sz w:val="21"/>
                <w:szCs w:val="21"/>
                <w:lang w:eastAsia="zh-CN"/>
              </w:rPr>
              <w:t>拟投入本项目的负责人</w:t>
            </w:r>
            <w:r>
              <w:rPr>
                <w:rFonts w:ascii="宋体" w:eastAsia="宋体" w:hAnsi="宋体" w:cs="宋体" w:hint="eastAsia"/>
                <w:sz w:val="21"/>
                <w:szCs w:val="21"/>
              </w:rPr>
              <w:t>缴交的载有</w:t>
            </w:r>
            <w:r>
              <w:rPr>
                <w:rFonts w:ascii="宋体" w:eastAsia="宋体" w:hAnsi="宋体" w:cs="宋体" w:hint="eastAsia"/>
                <w:sz w:val="21"/>
                <w:szCs w:val="21"/>
                <w:lang w:eastAsia="zh-CN"/>
              </w:rPr>
              <w:t>政府</w:t>
            </w:r>
            <w:r>
              <w:rPr>
                <w:rFonts w:ascii="宋体" w:eastAsia="宋体" w:hAnsi="宋体" w:cs="宋体" w:hint="eastAsia"/>
                <w:sz w:val="21"/>
                <w:szCs w:val="21"/>
              </w:rPr>
              <w:t>部门公章</w:t>
            </w:r>
            <w:r>
              <w:rPr>
                <w:rFonts w:ascii="宋体" w:eastAsia="宋体" w:hAnsi="宋体" w:cs="宋体" w:hint="eastAsia"/>
                <w:sz w:val="21"/>
                <w:szCs w:val="21"/>
                <w:lang w:eastAsia="zh-CN"/>
              </w:rPr>
              <w:t>（或专用章）</w:t>
            </w:r>
            <w:r>
              <w:rPr>
                <w:rFonts w:ascii="宋体" w:eastAsia="宋体" w:hAnsi="宋体" w:cs="宋体" w:hint="eastAsia"/>
                <w:sz w:val="21"/>
                <w:szCs w:val="21"/>
              </w:rPr>
              <w:t>的</w:t>
            </w:r>
            <w:r>
              <w:rPr>
                <w:rFonts w:ascii="宋体" w:eastAsia="宋体" w:hAnsi="宋体" w:cs="宋体" w:hint="eastAsia"/>
                <w:sz w:val="21"/>
                <w:szCs w:val="21"/>
                <w:lang w:eastAsia="zh-CN"/>
              </w:rPr>
              <w:t>2024年10-12月</w:t>
            </w:r>
            <w:r>
              <w:rPr>
                <w:rFonts w:ascii="宋体" w:eastAsia="宋体" w:hAnsi="宋体" w:cs="宋体" w:hint="eastAsia"/>
                <w:sz w:val="21"/>
                <w:szCs w:val="21"/>
                <w:lang w:eastAsia="zh-CN"/>
              </w:rPr>
              <w:t>的</w:t>
            </w:r>
            <w:r>
              <w:rPr>
                <w:rFonts w:ascii="宋体" w:eastAsia="宋体" w:hAnsi="宋体" w:cs="宋体" w:hint="eastAsia"/>
                <w:sz w:val="21"/>
                <w:szCs w:val="21"/>
              </w:rPr>
              <w:t>社保缴交证明材料</w:t>
            </w:r>
            <w:r>
              <w:rPr>
                <w:rFonts w:ascii="宋体" w:eastAsia="宋体" w:hAnsi="宋体" w:cs="宋体" w:hint="eastAsia"/>
                <w:sz w:val="21"/>
                <w:szCs w:val="21"/>
                <w:lang w:eastAsia="zh-CN"/>
              </w:rPr>
              <w:t>或劳动合同</w:t>
            </w:r>
            <w:r>
              <w:rPr>
                <w:rFonts w:ascii="宋体" w:eastAsia="宋体" w:hAnsi="宋体" w:cs="宋体" w:hint="eastAsia"/>
                <w:sz w:val="21"/>
                <w:szCs w:val="21"/>
                <w:lang w:eastAsia="zh-CN"/>
              </w:rPr>
              <w:t>，</w:t>
            </w:r>
            <w:r>
              <w:rPr>
                <w:rFonts w:ascii="宋体" w:eastAsia="宋体" w:hAnsi="宋体" w:cs="宋体" w:hint="eastAsia"/>
                <w:sz w:val="21"/>
                <w:szCs w:val="21"/>
              </w:rPr>
              <w:t>如开标日上一个月的社保材料因</w:t>
            </w:r>
            <w:r>
              <w:rPr>
                <w:rFonts w:ascii="宋体" w:eastAsia="宋体" w:hAnsi="宋体" w:cs="宋体" w:hint="eastAsia"/>
                <w:sz w:val="21"/>
                <w:szCs w:val="21"/>
                <w:lang w:eastAsia="zh-CN"/>
              </w:rPr>
              <w:t>政府</w:t>
            </w:r>
            <w:r>
              <w:rPr>
                <w:rFonts w:ascii="宋体" w:eastAsia="宋体" w:hAnsi="宋体" w:cs="宋体" w:hint="eastAsia"/>
                <w:sz w:val="21"/>
                <w:szCs w:val="21"/>
              </w:rPr>
              <w:t>部门原因暂时无法取得，则可以往前顺延一个月；社保资料至少显示缴交养老保险信息，未显示该信息的该社保资料则不符合要求，原件备查</w:t>
            </w:r>
            <w:r>
              <w:rPr>
                <w:rFonts w:ascii="宋体" w:eastAsia="宋体" w:hAnsi="宋体" w:cs="宋体" w:hint="eastAsia"/>
                <w:sz w:val="21"/>
                <w:szCs w:val="21"/>
              </w:rPr>
              <w:t>。若供应商成立不足</w:t>
            </w:r>
            <w:r>
              <w:rPr>
                <w:rFonts w:ascii="宋体" w:eastAsia="宋体" w:hAnsi="宋体" w:cs="宋体" w:hint="eastAsia"/>
                <w:sz w:val="21"/>
                <w:szCs w:val="21"/>
                <w:lang w:eastAsia="zh-CN"/>
              </w:rPr>
              <w:t>一</w:t>
            </w:r>
            <w:r>
              <w:rPr>
                <w:rFonts w:ascii="宋体" w:eastAsia="宋体" w:hAnsi="宋体" w:cs="宋体" w:hint="eastAsia"/>
                <w:sz w:val="21"/>
                <w:szCs w:val="21"/>
              </w:rPr>
              <w:t>个月的，需提供成立情况说明函（格式自拟），无需提供相关人员社保，亦可得分；若为退休返聘人员，需提供说明函（格式自拟），无需提供相关人员社保，亦可得分。以上资料均要求提供</w:t>
            </w:r>
            <w:r>
              <w:rPr>
                <w:rFonts w:ascii="宋体" w:eastAsia="宋体" w:hAnsi="宋体" w:cs="宋体" w:hint="eastAsia"/>
                <w:sz w:val="21"/>
                <w:szCs w:val="21"/>
                <w:lang w:eastAsia="zh-CN"/>
              </w:rPr>
              <w:t>复印件</w:t>
            </w:r>
            <w:r>
              <w:rPr>
                <w:rFonts w:ascii="宋体" w:eastAsia="宋体" w:hAnsi="宋体" w:cs="宋体" w:hint="eastAsia"/>
                <w:sz w:val="21"/>
                <w:szCs w:val="21"/>
              </w:rPr>
              <w:t>，原件备查。评分中出现无证明资料或专家无法凭所提供资料判断是否得分的情况，一律作不得分处理。</w:t>
            </w:r>
          </w:p>
        </w:tc>
      </w:tr>
      <w:tr>
        <w:tblPrEx>
          <w:tblW w:w="5000" w:type="pct"/>
          <w:jc w:val="center"/>
          <w:shd w:val="clear" w:color="auto" w:fill="FFFFFF"/>
          <w:tblLayout w:type="fixed"/>
          <w:tblCellMar>
            <w:top w:w="20" w:type="dxa"/>
            <w:left w:w="108" w:type="dxa"/>
            <w:bottom w:w="20" w:type="dxa"/>
            <w:right w:w="108" w:type="dxa"/>
          </w:tblCellMar>
        </w:tblPrEx>
        <w:trPr>
          <w:trHeight w:val="317"/>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rPr>
              <w:t>拟安排的项目</w:t>
            </w:r>
            <w:r>
              <w:rPr>
                <w:rFonts w:ascii="宋体" w:eastAsia="宋体" w:hAnsi="宋体" w:cs="宋体" w:hint="eastAsia"/>
                <w:sz w:val="21"/>
                <w:szCs w:val="21"/>
                <w:lang w:eastAsia="zh-CN"/>
              </w:rPr>
              <w:t>团队</w:t>
            </w:r>
            <w:r>
              <w:rPr>
                <w:rFonts w:ascii="宋体" w:eastAsia="宋体" w:hAnsi="宋体" w:cs="宋体" w:hint="eastAsia"/>
                <w:sz w:val="21"/>
                <w:szCs w:val="21"/>
              </w:rPr>
              <w:t>情况（</w:t>
            </w:r>
            <w:r>
              <w:rPr>
                <w:rFonts w:ascii="宋体" w:eastAsia="宋体" w:hAnsi="宋体" w:cs="宋体" w:hint="eastAsia"/>
                <w:sz w:val="21"/>
                <w:szCs w:val="21"/>
                <w:lang w:eastAsia="zh-CN"/>
              </w:rPr>
              <w:t>项目负责人除外</w:t>
            </w:r>
            <w:r>
              <w:rPr>
                <w:rFonts w:ascii="宋体" w:eastAsia="宋体" w:hAnsi="宋体" w:cs="宋体" w:hint="eastAsia"/>
                <w:sz w:val="21"/>
                <w:szCs w:val="21"/>
              </w:rPr>
              <w:t>）</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keepNext w:val="0"/>
              <w:keepLines w:val="0"/>
              <w:pageBreakBefore w:val="0"/>
              <w:kinsoku/>
              <w:overflowPunct/>
              <w:topLinePunct w:val="0"/>
              <w:autoSpaceDE/>
              <w:autoSpaceDN/>
              <w:bidi w:val="0"/>
              <w:adjustRightInd/>
              <w:spacing w:line="360" w:lineRule="auto"/>
              <w:textAlignment w:val="auto"/>
              <w:rPr>
                <w:rFonts w:ascii="宋体" w:eastAsia="宋体" w:hAnsi="宋体" w:cs="宋体" w:hint="eastAsia"/>
                <w:b/>
                <w:bCs/>
                <w:sz w:val="21"/>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rPr>
              <w:t>：</w:t>
            </w:r>
          </w:p>
          <w:p>
            <w:pPr>
              <w:keepNext w:val="0"/>
              <w:keepLines w:val="0"/>
              <w:pageBreakBefore w:val="0"/>
              <w:widowControl/>
              <w:kinsoku/>
              <w:overflowPunct/>
              <w:topLinePunct w:val="0"/>
              <w:autoSpaceDE/>
              <w:autoSpaceDN/>
              <w:bidi w:val="0"/>
              <w:adjustRightInd/>
              <w:snapToGrid/>
              <w:spacing w:line="360" w:lineRule="auto"/>
              <w:ind w:firstLine="0" w:firstLineChars="0"/>
              <w:jc w:val="left"/>
              <w:textAlignment w:val="auto"/>
              <w:rPr>
                <w:rFonts w:ascii="宋体" w:eastAsia="宋体" w:hAnsi="宋体" w:cs="宋体" w:hint="eastAsia"/>
                <w:sz w:val="21"/>
                <w:szCs w:val="21"/>
                <w:lang w:eastAsia="zh-CN"/>
              </w:rPr>
            </w:pPr>
            <w:r>
              <w:rPr>
                <w:rFonts w:ascii="宋体" w:eastAsia="宋体" w:hAnsi="宋体" w:cs="宋体" w:hint="eastAsia"/>
                <w:sz w:val="21"/>
                <w:szCs w:val="21"/>
              </w:rPr>
              <w:t>拟安排</w:t>
            </w:r>
            <w:r>
              <w:rPr>
                <w:rFonts w:ascii="宋体" w:eastAsia="宋体" w:hAnsi="宋体" w:cs="宋体" w:hint="eastAsia"/>
                <w:sz w:val="21"/>
                <w:szCs w:val="21"/>
                <w:lang w:eastAsia="zh-CN"/>
              </w:rPr>
              <w:t>项目团队成员</w:t>
            </w:r>
            <w:r>
              <w:rPr>
                <w:rFonts w:ascii="宋体" w:eastAsia="宋体" w:hAnsi="宋体" w:cs="宋体" w:hint="eastAsia"/>
                <w:sz w:val="21"/>
                <w:szCs w:val="21"/>
              </w:rPr>
              <w:t>为投标</w:t>
            </w:r>
            <w:r>
              <w:rPr>
                <w:rFonts w:ascii="宋体" w:eastAsia="宋体" w:hAnsi="宋体" w:cs="宋体" w:hint="eastAsia"/>
                <w:sz w:val="21"/>
                <w:szCs w:val="21"/>
                <w:lang w:eastAsia="zh-CN"/>
              </w:rPr>
              <w:t>人自有</w:t>
            </w:r>
            <w:r>
              <w:rPr>
                <w:rFonts w:ascii="宋体" w:eastAsia="宋体" w:hAnsi="宋体" w:cs="宋体" w:hint="eastAsia"/>
                <w:sz w:val="21"/>
                <w:szCs w:val="21"/>
              </w:rPr>
              <w:t>员工，否则本项不得分</w:t>
            </w:r>
            <w:r>
              <w:rPr>
                <w:rFonts w:ascii="宋体" w:eastAsia="宋体" w:hAnsi="宋体" w:cs="宋体" w:hint="eastAsia"/>
                <w:sz w:val="21"/>
                <w:szCs w:val="21"/>
                <w:lang w:eastAsia="zh-CN"/>
              </w:rPr>
              <w:t>，</w:t>
            </w:r>
            <w:r>
              <w:rPr>
                <w:rFonts w:ascii="宋体" w:eastAsia="宋体" w:hAnsi="宋体" w:cs="宋体" w:hint="eastAsia"/>
                <w:sz w:val="21"/>
                <w:szCs w:val="21"/>
                <w:lang w:eastAsia="zh-CN"/>
              </w:rPr>
              <w:t>在此基础上</w:t>
            </w:r>
            <w:r>
              <w:rPr>
                <w:rFonts w:ascii="宋体" w:eastAsia="宋体" w:hAnsi="宋体" w:cs="宋体" w:hint="eastAsia"/>
                <w:sz w:val="21"/>
                <w:szCs w:val="21"/>
                <w:lang w:eastAsia="zh-CN"/>
              </w:rPr>
              <w:t>：</w:t>
            </w:r>
          </w:p>
          <w:p>
            <w:pPr>
              <w:keepNext w:val="0"/>
              <w:keepLines w:val="0"/>
              <w:pageBreakBefore w:val="0"/>
              <w:widowControl/>
              <w:kinsoku/>
              <w:overflowPunct/>
              <w:topLinePunct w:val="0"/>
              <w:autoSpaceDE/>
              <w:autoSpaceDN/>
              <w:bidi w:val="0"/>
              <w:adjustRightInd/>
              <w:snapToGrid/>
              <w:spacing w:line="360" w:lineRule="auto"/>
              <w:ind w:firstLine="0" w:firstLineChars="0"/>
              <w:jc w:val="left"/>
              <w:textAlignment w:val="auto"/>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具有</w:t>
            </w:r>
            <w:r>
              <w:rPr>
                <w:rFonts w:ascii="宋体" w:eastAsia="宋体" w:hAnsi="宋体" w:cs="宋体" w:hint="eastAsia"/>
                <w:sz w:val="21"/>
                <w:szCs w:val="21"/>
                <w:lang w:eastAsia="zh-CN"/>
              </w:rPr>
              <w:t>本科</w:t>
            </w:r>
            <w:r>
              <w:rPr>
                <w:rFonts w:ascii="宋体" w:eastAsia="宋体" w:hAnsi="宋体" w:cs="宋体" w:hint="eastAsia"/>
                <w:sz w:val="21"/>
                <w:szCs w:val="21"/>
              </w:rPr>
              <w:t>（或以上）学历</w:t>
            </w:r>
            <w:r>
              <w:rPr>
                <w:rFonts w:ascii="宋体" w:eastAsia="宋体" w:hAnsi="宋体" w:cs="宋体" w:hint="eastAsia"/>
                <w:sz w:val="21"/>
                <w:szCs w:val="21"/>
                <w:lang w:eastAsia="zh-CN"/>
              </w:rPr>
              <w:t>的，</w:t>
            </w:r>
            <w:r>
              <w:rPr>
                <w:rFonts w:ascii="宋体" w:eastAsia="宋体" w:hAnsi="宋体" w:cs="宋体" w:hint="eastAsia"/>
                <w:sz w:val="21"/>
                <w:szCs w:val="21"/>
                <w:lang w:eastAsia="zh-CN"/>
              </w:rPr>
              <w:t>每提供1人得50分，最高</w:t>
            </w:r>
            <w:r>
              <w:rPr>
                <w:rFonts w:ascii="宋体" w:eastAsia="宋体" w:hAnsi="宋体" w:cs="宋体" w:hint="eastAsia"/>
                <w:sz w:val="21"/>
                <w:szCs w:val="21"/>
              </w:rPr>
              <w:t>得</w:t>
            </w:r>
            <w:r>
              <w:rPr>
                <w:rFonts w:ascii="宋体" w:eastAsia="宋体" w:hAnsi="宋体" w:cs="宋体" w:hint="eastAsia"/>
                <w:sz w:val="21"/>
                <w:szCs w:val="21"/>
                <w:lang w:eastAsia="zh-CN"/>
              </w:rPr>
              <w:t>100分</w:t>
            </w:r>
            <w:r>
              <w:rPr>
                <w:rFonts w:ascii="宋体" w:eastAsia="宋体" w:hAnsi="宋体" w:cs="宋体" w:hint="eastAsia"/>
                <w:sz w:val="21"/>
                <w:szCs w:val="21"/>
              </w:rPr>
              <w:t>，</w:t>
            </w:r>
            <w:r>
              <w:rPr>
                <w:rFonts w:ascii="宋体" w:eastAsia="宋体" w:hAnsi="宋体" w:cs="宋体" w:hint="eastAsia"/>
                <w:sz w:val="21"/>
                <w:szCs w:val="21"/>
                <w:lang w:eastAsia="zh-CN"/>
              </w:rPr>
              <w:t>其他情况不得分</w:t>
            </w:r>
            <w:r>
              <w:rPr>
                <w:rFonts w:ascii="宋体" w:eastAsia="宋体" w:hAnsi="宋体" w:cs="宋体" w:hint="eastAsia"/>
                <w:sz w:val="21"/>
                <w:szCs w:val="21"/>
              </w:rPr>
              <w:t>；</w:t>
            </w:r>
          </w:p>
          <w:p>
            <w:pPr>
              <w:keepNext w:val="0"/>
              <w:keepLines w:val="0"/>
              <w:pageBreakBefore w:val="0"/>
              <w:kinsoku/>
              <w:overflowPunct/>
              <w:topLinePunct w:val="0"/>
              <w:autoSpaceDE/>
              <w:autoSpaceDN/>
              <w:bidi w:val="0"/>
              <w:adjustRightInd/>
              <w:spacing w:line="360" w:lineRule="auto"/>
              <w:textAlignment w:val="auto"/>
              <w:rPr>
                <w:rFonts w:ascii="宋体" w:eastAsia="宋体" w:hAnsi="宋体" w:cs="宋体" w:hint="eastAsia"/>
                <w:b/>
                <w:bCs/>
                <w:sz w:val="21"/>
                <w:szCs w:val="21"/>
              </w:rPr>
            </w:pPr>
            <w:r>
              <w:rPr>
                <w:rFonts w:ascii="宋体" w:eastAsia="宋体" w:hAnsi="宋体" w:cs="宋体" w:hint="eastAsia"/>
                <w:b/>
                <w:bCs/>
                <w:sz w:val="21"/>
                <w:szCs w:val="21"/>
                <w:lang w:eastAsia="zh-CN"/>
              </w:rPr>
              <w:t>证明文件</w:t>
            </w:r>
            <w:r>
              <w:rPr>
                <w:rFonts w:ascii="宋体" w:eastAsia="宋体" w:hAnsi="宋体" w:cs="宋体" w:hint="eastAsia"/>
                <w:b/>
                <w:bCs/>
                <w:sz w:val="21"/>
                <w:szCs w:val="21"/>
              </w:rPr>
              <w:t>:</w:t>
            </w:r>
          </w:p>
          <w:p>
            <w:pPr>
              <w:wordWrap/>
              <w:spacing w:line="360" w:lineRule="auto"/>
              <w:jc w:val="left"/>
              <w:rPr>
                <w:rFonts w:ascii="宋体" w:eastAsia="宋体" w:hAnsi="宋体" w:cs="宋体" w:hint="eastAsia"/>
                <w:sz w:val="21"/>
                <w:szCs w:val="21"/>
                <w:lang w:eastAsia="zh-CN"/>
              </w:rPr>
            </w:pPr>
            <w:r>
              <w:rPr>
                <w:rFonts w:ascii="宋体" w:eastAsia="宋体" w:hAnsi="宋体" w:cs="宋体" w:hint="eastAsia"/>
                <w:sz w:val="21"/>
                <w:szCs w:val="21"/>
              </w:rPr>
              <w:t>1.</w:t>
            </w:r>
            <w:r>
              <w:rPr>
                <w:rFonts w:ascii="Calibri" w:eastAsia="宋体" w:hAnsi="Calibri" w:cstheme="minorBidi" w:hint="eastAsia"/>
                <w:kern w:val="2"/>
                <w:sz w:val="21"/>
                <w:szCs w:val="22"/>
                <w:lang w:eastAsia="zh-CN"/>
              </w:rPr>
              <w:t>涉及到学历的，提供项目负责人的学历证书扫描件和学信网（https://www.chsi.c</w:t>
            </w:r>
            <w:bookmarkStart w:id="1" w:name="_GoBack"/>
            <w:bookmarkEnd w:id="1"/>
            <w:r>
              <w:rPr>
                <w:rFonts w:ascii="Calibri" w:eastAsia="宋体" w:hAnsi="Calibri" w:cstheme="minorBidi" w:hint="eastAsia"/>
                <w:kern w:val="2"/>
                <w:sz w:val="21"/>
                <w:szCs w:val="22"/>
                <w:lang w:eastAsia="zh-CN"/>
              </w:rPr>
              <w:t>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r>
              <w:rPr>
                <w:rFonts w:ascii="宋体" w:eastAsia="宋体" w:hAnsi="宋体" w:cs="宋体" w:hint="eastAsia"/>
                <w:sz w:val="21"/>
                <w:szCs w:val="21"/>
                <w:lang w:eastAsia="zh-CN"/>
              </w:rPr>
              <w:t>；</w:t>
            </w:r>
          </w:p>
          <w:p>
            <w:pPr>
              <w:wordWrap/>
              <w:spacing w:line="360" w:lineRule="auto"/>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rPr>
              <w:t>2.</w:t>
            </w:r>
            <w:r>
              <w:rPr>
                <w:rFonts w:ascii="宋体" w:eastAsia="宋体" w:hAnsi="宋体" w:cs="宋体" w:hint="eastAsia"/>
                <w:sz w:val="21"/>
                <w:szCs w:val="21"/>
              </w:rPr>
              <w:t>提供开标日前由投标人为</w:t>
            </w:r>
            <w:r>
              <w:rPr>
                <w:rFonts w:ascii="宋体" w:eastAsia="宋体" w:hAnsi="宋体" w:cs="宋体" w:hint="eastAsia"/>
                <w:sz w:val="21"/>
                <w:szCs w:val="21"/>
                <w:lang w:eastAsia="zh-CN"/>
              </w:rPr>
              <w:t>拟投入本项目的负责人</w:t>
            </w:r>
            <w:r>
              <w:rPr>
                <w:rFonts w:ascii="宋体" w:eastAsia="宋体" w:hAnsi="宋体" w:cs="宋体" w:hint="eastAsia"/>
                <w:sz w:val="21"/>
                <w:szCs w:val="21"/>
              </w:rPr>
              <w:t>缴交的载有</w:t>
            </w:r>
            <w:r>
              <w:rPr>
                <w:rFonts w:ascii="宋体" w:eastAsia="宋体" w:hAnsi="宋体" w:cs="宋体" w:hint="eastAsia"/>
                <w:sz w:val="21"/>
                <w:szCs w:val="21"/>
                <w:lang w:eastAsia="zh-CN"/>
              </w:rPr>
              <w:t>政府</w:t>
            </w:r>
            <w:r>
              <w:rPr>
                <w:rFonts w:ascii="宋体" w:eastAsia="宋体" w:hAnsi="宋体" w:cs="宋体" w:hint="eastAsia"/>
                <w:sz w:val="21"/>
                <w:szCs w:val="21"/>
              </w:rPr>
              <w:t>部门公章</w:t>
            </w:r>
            <w:r>
              <w:rPr>
                <w:rFonts w:ascii="宋体" w:eastAsia="宋体" w:hAnsi="宋体" w:cs="宋体" w:hint="eastAsia"/>
                <w:sz w:val="21"/>
                <w:szCs w:val="21"/>
                <w:lang w:eastAsia="zh-CN"/>
              </w:rPr>
              <w:t>（或专用章）</w:t>
            </w:r>
            <w:r>
              <w:rPr>
                <w:rFonts w:ascii="宋体" w:eastAsia="宋体" w:hAnsi="宋体" w:cs="宋体" w:hint="eastAsia"/>
                <w:sz w:val="21"/>
                <w:szCs w:val="21"/>
              </w:rPr>
              <w:t>的</w:t>
            </w:r>
            <w:r>
              <w:rPr>
                <w:rFonts w:ascii="宋体" w:eastAsia="宋体" w:hAnsi="宋体" w:cs="宋体" w:hint="eastAsia"/>
                <w:sz w:val="21"/>
                <w:szCs w:val="21"/>
                <w:lang w:eastAsia="zh-CN"/>
              </w:rPr>
              <w:t>2024年10-12月</w:t>
            </w:r>
            <w:r>
              <w:rPr>
                <w:rFonts w:ascii="宋体" w:eastAsia="宋体" w:hAnsi="宋体" w:cs="宋体" w:hint="eastAsia"/>
                <w:sz w:val="21"/>
                <w:szCs w:val="21"/>
                <w:lang w:eastAsia="zh-CN"/>
              </w:rPr>
              <w:t>的</w:t>
            </w:r>
            <w:r>
              <w:rPr>
                <w:rFonts w:ascii="宋体" w:eastAsia="宋体" w:hAnsi="宋体" w:cs="宋体" w:hint="eastAsia"/>
                <w:sz w:val="21"/>
                <w:szCs w:val="21"/>
              </w:rPr>
              <w:t>社保缴交证明材料</w:t>
            </w:r>
            <w:r>
              <w:rPr>
                <w:rFonts w:ascii="宋体" w:eastAsia="宋体" w:hAnsi="宋体" w:cs="宋体" w:hint="eastAsia"/>
                <w:sz w:val="21"/>
                <w:szCs w:val="21"/>
                <w:lang w:eastAsia="zh-CN"/>
              </w:rPr>
              <w:t>或劳动合同</w:t>
            </w:r>
            <w:r>
              <w:rPr>
                <w:rFonts w:ascii="宋体" w:eastAsia="宋体" w:hAnsi="宋体" w:cs="宋体" w:hint="eastAsia"/>
                <w:sz w:val="21"/>
                <w:szCs w:val="21"/>
                <w:lang w:eastAsia="zh-CN"/>
              </w:rPr>
              <w:t>，</w:t>
            </w:r>
            <w:r>
              <w:rPr>
                <w:rFonts w:ascii="宋体" w:eastAsia="宋体" w:hAnsi="宋体" w:cs="宋体" w:hint="eastAsia"/>
                <w:sz w:val="21"/>
                <w:szCs w:val="21"/>
              </w:rPr>
              <w:t>如开标日上一个月的社保材料因</w:t>
            </w:r>
            <w:r>
              <w:rPr>
                <w:rFonts w:ascii="宋体" w:eastAsia="宋体" w:hAnsi="宋体" w:cs="宋体" w:hint="eastAsia"/>
                <w:sz w:val="21"/>
                <w:szCs w:val="21"/>
                <w:lang w:eastAsia="zh-CN"/>
              </w:rPr>
              <w:t>政府</w:t>
            </w:r>
            <w:r>
              <w:rPr>
                <w:rFonts w:ascii="宋体" w:eastAsia="宋体" w:hAnsi="宋体" w:cs="宋体" w:hint="eastAsia"/>
                <w:sz w:val="21"/>
                <w:szCs w:val="21"/>
              </w:rPr>
              <w:t>部门原因暂时无法取得，则可以往前顺延一个月；社保资料至少显示缴交养老保险信息，未显示该信息的该社保资料则不符合要求，原件备查</w:t>
            </w:r>
            <w:r>
              <w:rPr>
                <w:rFonts w:ascii="宋体" w:eastAsia="宋体" w:hAnsi="宋体" w:cs="宋体" w:hint="eastAsia"/>
                <w:sz w:val="21"/>
                <w:szCs w:val="21"/>
              </w:rPr>
              <w:t>。若供应商成立不足</w:t>
            </w:r>
            <w:r>
              <w:rPr>
                <w:rFonts w:ascii="宋体" w:eastAsia="宋体" w:hAnsi="宋体" w:cs="宋体" w:hint="eastAsia"/>
                <w:sz w:val="21"/>
                <w:szCs w:val="21"/>
                <w:lang w:eastAsia="zh-CN"/>
              </w:rPr>
              <w:t>一</w:t>
            </w:r>
            <w:r>
              <w:rPr>
                <w:rFonts w:ascii="宋体" w:eastAsia="宋体" w:hAnsi="宋体" w:cs="宋体" w:hint="eastAsia"/>
                <w:sz w:val="21"/>
                <w:szCs w:val="21"/>
              </w:rPr>
              <w:t>个月的，需提供成立情况说明函（格式自拟），无需提供相关人员社保，亦可得分；若为退休返聘人员，需提供说明函（格式自拟），无需提供相关人员社保，亦可得分。以上资料均要求提供</w:t>
            </w:r>
            <w:r>
              <w:rPr>
                <w:rFonts w:ascii="宋体" w:eastAsia="宋体" w:hAnsi="宋体" w:cs="宋体" w:hint="eastAsia"/>
                <w:sz w:val="21"/>
                <w:szCs w:val="21"/>
                <w:lang w:eastAsia="zh-CN"/>
              </w:rPr>
              <w:t>复印件</w:t>
            </w:r>
            <w:r>
              <w:rPr>
                <w:rFonts w:ascii="宋体" w:eastAsia="宋体" w:hAnsi="宋体" w:cs="宋体" w:hint="eastAsia"/>
                <w:sz w:val="21"/>
                <w:szCs w:val="21"/>
              </w:rPr>
              <w:t>，原件备查。评分中出现无证明资料或专家无法凭所提供资料判断是否得分的情况，一律作不得分处理。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val="restart"/>
            <w:tcBorders>
              <w:top w:val="single" w:sz="8" w:space="0" w:color="000000"/>
              <w:left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商务部分</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32</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43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95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523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应急预案</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rPr>
              <w:t>：</w:t>
            </w:r>
          </w:p>
          <w:p>
            <w:pPr>
              <w:spacing w:line="360" w:lineRule="auto"/>
              <w:rPr>
                <w:rFonts w:ascii="宋体" w:eastAsia="宋体" w:hAnsi="宋体" w:cs="宋体" w:hint="eastAsia"/>
                <w:sz w:val="21"/>
                <w:szCs w:val="21"/>
              </w:rPr>
            </w:pPr>
            <w:r>
              <w:rPr>
                <w:rFonts w:ascii="宋体" w:eastAsia="宋体" w:hAnsi="宋体" w:cs="宋体" w:hint="eastAsia"/>
                <w:sz w:val="21"/>
                <w:szCs w:val="21"/>
                <w:lang w:eastAsia="zh-CN"/>
              </w:rPr>
              <w:t>投标人需针对本项目提供应急预案，内容需包括</w:t>
            </w:r>
            <w:r>
              <w:rPr>
                <w:rFonts w:ascii="宋体" w:eastAsia="宋体" w:hAnsi="宋体" w:cs="宋体" w:hint="eastAsia"/>
                <w:sz w:val="21"/>
                <w:szCs w:val="21"/>
              </w:rPr>
              <w:t>：</w:t>
            </w:r>
          </w:p>
          <w:p>
            <w:pPr>
              <w:numPr>
                <w:ilvl w:val="0"/>
                <w:numId w:val="0"/>
              </w:numPr>
              <w:spacing w:line="360" w:lineRule="auto"/>
              <w:ind w:left="0" w:firstLine="0"/>
              <w:rPr>
                <w:rFonts w:ascii="宋体" w:eastAsia="宋体" w:hAnsi="宋体" w:cs="宋体" w:hint="eastAsia"/>
                <w:sz w:val="21"/>
                <w:szCs w:val="21"/>
                <w:lang w:eastAsia="zh-CN"/>
              </w:rPr>
            </w:pPr>
            <w:r>
              <w:rPr>
                <w:rFonts w:ascii="宋体" w:eastAsia="宋体" w:hAnsi="宋体" w:cs="宋体" w:hint="eastAsia"/>
                <w:sz w:val="21"/>
                <w:szCs w:val="21"/>
                <w:lang w:eastAsia="zh-CN"/>
              </w:rPr>
              <w:t>（1）人员突然离岗预案；</w:t>
            </w:r>
          </w:p>
          <w:p>
            <w:pPr>
              <w:numPr>
                <w:ilvl w:val="0"/>
                <w:numId w:val="0"/>
              </w:numPr>
              <w:spacing w:line="360" w:lineRule="auto"/>
              <w:ind w:left="0" w:firstLine="0"/>
              <w:rPr>
                <w:rFonts w:ascii="宋体" w:eastAsia="宋体" w:hAnsi="宋体" w:cs="宋体" w:hint="eastAsia"/>
                <w:sz w:val="21"/>
                <w:szCs w:val="21"/>
              </w:rPr>
            </w:pPr>
            <w:r>
              <w:rPr>
                <w:rFonts w:ascii="宋体" w:eastAsia="宋体" w:hAnsi="宋体" w:cs="宋体" w:hint="eastAsia"/>
                <w:sz w:val="21"/>
                <w:szCs w:val="21"/>
                <w:lang w:eastAsia="zh-CN"/>
              </w:rPr>
              <w:t>（2）人员无法胜任岗位要求预案</w:t>
            </w:r>
            <w:r>
              <w:rPr>
                <w:rFonts w:ascii="宋体" w:eastAsia="宋体" w:hAnsi="宋体" w:cs="宋体" w:hint="eastAsia"/>
                <w:sz w:val="21"/>
                <w:szCs w:val="21"/>
              </w:rPr>
              <w:t>。</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评审标准</w:t>
            </w:r>
            <w:r>
              <w:rPr>
                <w:rFonts w:ascii="宋体" w:eastAsia="宋体" w:hAnsi="宋体" w:cs="宋体" w:hint="eastAsia"/>
                <w:b/>
                <w:bCs/>
                <w:sz w:val="21"/>
                <w:szCs w:val="21"/>
              </w:rPr>
              <w:t>：</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1.同时满足以上两项要求得20分；满足以上一项要求得10分；内容不满足不得分。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2.在此基础上，根据采购文件的需求和响应文件响应情况进行分档评分：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优：内容详细、完整，表述清晰、严谨，科学合理、可行性强的加80分；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良：内容较详细、较完整，表述较清晰、较严谨，较科学合理、可行性较强的加50分；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中：内容不够详细、不够完整，表述不够清晰、不够严谨，不够合理、可行性一般的加20分；</w:t>
            </w:r>
          </w:p>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差：内容不详细、不完整，表述不清晰、不严谨不合理、可行性差，的加0分。</w:t>
            </w:r>
          </w:p>
          <w:p>
            <w:pPr>
              <w:wordWrap/>
              <w:spacing w:line="360" w:lineRule="auto"/>
              <w:jc w:val="left"/>
              <w:rPr>
                <w:rFonts w:ascii="Calibri" w:eastAsia="宋体" w:hAnsi="Calibri"/>
                <w:kern w:val="2"/>
                <w:sz w:val="21"/>
                <w:szCs w:val="22"/>
                <w:lang w:eastAsia="zh-CN"/>
              </w:rPr>
            </w:pPr>
            <w:r>
              <w:rPr>
                <w:rFonts w:ascii="宋体" w:eastAsia="宋体" w:hAnsi="宋体" w:cs="宋体" w:hint="eastAsia"/>
                <w:sz w:val="21"/>
                <w:szCs w:val="21"/>
                <w:lang w:eastAsia="zh-CN"/>
              </w:rPr>
              <w:t>未提供不得分。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rPr>
              <w:t>违约承诺</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wordWrap/>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6</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rPr>
              <w:t>：</w:t>
            </w:r>
          </w:p>
          <w:p>
            <w:pPr>
              <w:spacing w:line="360" w:lineRule="auto"/>
              <w:rPr>
                <w:rFonts w:ascii="宋体" w:eastAsia="宋体" w:hAnsi="宋体" w:cs="宋体" w:hint="eastAsia"/>
                <w:sz w:val="21"/>
                <w:szCs w:val="21"/>
              </w:rPr>
            </w:pPr>
            <w:r>
              <w:rPr>
                <w:rFonts w:ascii="宋体" w:eastAsia="宋体" w:hAnsi="宋体" w:cs="宋体" w:hint="eastAsia"/>
                <w:sz w:val="21"/>
                <w:szCs w:val="21"/>
                <w:lang w:eastAsia="zh-CN"/>
              </w:rPr>
              <w:t>投标人书面承诺：需在合同签订之日起7个工作日内，按时开展该合同服务，包括人员派遣、课程计划、实施方案等相关工作。如未能</w:t>
            </w:r>
            <w:r>
              <w:rPr>
                <w:rFonts w:ascii="宋体" w:eastAsia="宋体" w:hAnsi="宋体" w:cs="宋体" w:hint="eastAsia"/>
                <w:sz w:val="21"/>
                <w:szCs w:val="21"/>
                <w:lang w:eastAsia="zh-CN" w:bidi="ar"/>
              </w:rPr>
              <w:t>按时开展，将视为根本违约，采购方有权立即解除与其签订的采购合同，且中选方还需向采购方支付中选价的5%的违约金并赔偿其他损失</w:t>
            </w:r>
            <w:r>
              <w:rPr>
                <w:rFonts w:ascii="宋体" w:eastAsia="宋体" w:hAnsi="宋体" w:cs="宋体" w:hint="eastAsia"/>
                <w:sz w:val="21"/>
                <w:szCs w:val="21"/>
              </w:rPr>
              <w:t>。</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证明文件</w:t>
            </w:r>
            <w:r>
              <w:rPr>
                <w:rFonts w:ascii="宋体" w:eastAsia="宋体" w:hAnsi="宋体" w:cs="宋体" w:hint="eastAsia"/>
                <w:b/>
                <w:bCs/>
                <w:sz w:val="21"/>
                <w:szCs w:val="21"/>
              </w:rPr>
              <w:t>：</w:t>
            </w:r>
          </w:p>
          <w:p>
            <w:pPr>
              <w:wordWrap/>
              <w:spacing w:line="360" w:lineRule="auto"/>
              <w:jc w:val="left"/>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须提供违约承诺函（格式自拟），按要求提供得满分，未提供或提供信息不全不得分。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项目完成（服务期满）后的服务承诺</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6</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rPr>
              <w:t>：</w:t>
            </w:r>
          </w:p>
          <w:p>
            <w:pPr>
              <w:spacing w:line="360" w:lineRule="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投标人需承诺以下2项内容，按要求提供承诺函的得满分，否则本项不得分，格式自拟：</w:t>
            </w:r>
          </w:p>
          <w:p>
            <w:pPr>
              <w:numPr>
                <w:ilvl w:val="0"/>
                <w:numId w:val="0"/>
              </w:numPr>
              <w:spacing w:line="360" w:lineRule="auto"/>
              <w:ind w:left="0" w:firstLine="0"/>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1.服务期满后主动与后续服务公司办理交接手续的承诺；</w:t>
            </w:r>
          </w:p>
          <w:p>
            <w:pPr>
              <w:numPr>
                <w:ilvl w:val="0"/>
                <w:numId w:val="0"/>
              </w:numPr>
              <w:spacing w:line="360" w:lineRule="auto"/>
              <w:ind w:left="0" w:firstLine="0"/>
              <w:rPr>
                <w:rFonts w:ascii="宋体" w:eastAsia="宋体" w:hAnsi="宋体" w:cs="宋体" w:hint="eastAsia"/>
                <w:sz w:val="21"/>
                <w:szCs w:val="21"/>
              </w:rPr>
            </w:pPr>
            <w:r>
              <w:rPr>
                <w:rFonts w:ascii="宋体" w:eastAsia="宋体" w:hAnsi="宋体" w:cs="宋体" w:hint="eastAsia"/>
                <w:sz w:val="21"/>
                <w:szCs w:val="21"/>
                <w:lang w:eastAsia="zh-CN" w:bidi="ar"/>
              </w:rPr>
              <w:t xml:space="preserve">2.服务期满，后续服务公司未到位前，仍按原合同服务承诺提供服务的承诺。 </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lang w:eastAsia="zh-CN"/>
              </w:rPr>
              <w:t>证明文件</w:t>
            </w:r>
            <w:r>
              <w:rPr>
                <w:rFonts w:ascii="宋体" w:eastAsia="宋体" w:hAnsi="宋体" w:cs="宋体" w:hint="eastAsia"/>
                <w:b/>
                <w:bCs/>
                <w:sz w:val="21"/>
                <w:szCs w:val="21"/>
              </w:rPr>
              <w:t>：</w:t>
            </w:r>
          </w:p>
          <w:p>
            <w:pPr>
              <w:spacing w:line="360" w:lineRule="auto"/>
              <w:jc w:val="left"/>
              <w:rPr>
                <w:rFonts w:ascii="宋体" w:eastAsia="宋体" w:hAnsi="宋体" w:cs="宋体" w:hint="eastAsia"/>
                <w:b/>
                <w:sz w:val="21"/>
                <w:szCs w:val="21"/>
                <w:lang w:eastAsia="zh-CN"/>
              </w:rPr>
            </w:pPr>
            <w:r>
              <w:rPr>
                <w:rFonts w:ascii="宋体" w:eastAsia="宋体" w:hAnsi="宋体" w:cs="宋体" w:hint="eastAsia"/>
                <w:sz w:val="21"/>
                <w:szCs w:val="21"/>
                <w:lang w:eastAsia="zh-CN" w:bidi="ar"/>
              </w:rPr>
              <w:t>须提供承诺函（格式自拟），按要求提供得满分，未提供或提供信息不全不得分。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服务网点</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5</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left"/>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考察内容：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在深圳市有固定服务网点（即投标人注册地在深圳市范围内或投标人设有能提供本项目售后服务分公司等合法注册的分支机构）或投标人承诺中选后30日内在深圳市范围内设定固定服务网点的得100分,其他不得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证明文件：</w:t>
            </w:r>
          </w:p>
          <w:p>
            <w:pPr>
              <w:snapToGrid/>
              <w:spacing w:line="360" w:lineRule="auto"/>
              <w:ind w:firstLine="0" w:firstLine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提供工商局或市场监督管理局出具的有效证明文件扫描件或承诺函（格式自拟），未提供或不清晰无法判断的不得分。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诚信情况</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5</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top"/>
          </w:tcPr>
          <w:p>
            <w:pPr>
              <w:wordWrap w:val="0"/>
              <w:spacing w:line="360" w:lineRule="auto"/>
              <w:rPr>
                <w:rFonts w:ascii="宋体" w:eastAsia="宋体" w:hAnsi="宋体" w:cs="宋体" w:hint="eastAsia"/>
                <w:kern w:val="2"/>
                <w:sz w:val="21"/>
                <w:szCs w:val="21"/>
                <w:lang w:eastAsia="zh-CN"/>
              </w:rPr>
            </w:pPr>
            <w:r>
              <w:rPr>
                <w:rFonts w:ascii="宋体" w:eastAsia="宋体" w:hAnsi="宋体" w:cs="宋体" w:hint="eastAsia"/>
                <w:sz w:val="21"/>
                <w:szCs w:val="21"/>
              </w:rPr>
              <w:t>根据《深圳市财政委员会关于加强招投标评审环节诚信管理的通知》（深财购[2013]27号）的要求，投标人在参与政府采购活动中存在诚信相关问题且在主管部门相关处理措施实施期限内的，本项不得分，否则得满分。投标人无需提供任何证明材料，由工作人员向评审委员会提供相关信息。</w:t>
            </w: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52"/>
          <w:szCs w:val="52"/>
          <w:lang w:eastAsia="zh-CN"/>
        </w:rPr>
      </w:pPr>
      <w:r>
        <w:rPr>
          <w:rFonts w:ascii="宋体" w:eastAsia="宋体" w:hAnsi="宋体" w:cs="宋体" w:hint="eastAsia"/>
          <w:b/>
          <w:kern w:val="2"/>
          <w:sz w:val="52"/>
          <w:szCs w:val="52"/>
          <w:lang w:eastAsia="zh-CN"/>
        </w:rPr>
        <w:t>（服务类）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w:t>
      </w:r>
      <w:r>
        <w:rPr>
          <w:rFonts w:ascii="Calibri" w:eastAsia="宋体" w:hAnsi="Calibri" w:cstheme="minorBidi" w:hint="eastAsia"/>
          <w:b/>
          <w:kern w:val="2"/>
          <w:sz w:val="44"/>
          <w:szCs w:val="44"/>
          <w:lang w:eastAsia="zh-CN"/>
        </w:rPr>
        <w:t>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2"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2"/>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注：该风险知悉确认书用于对供应商违法行为的警示，不作为供应商资格性审查及符合性审查条件。</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kinsoku/>
        <w:overflowPunct/>
        <w:topLinePunct w:val="0"/>
        <w:bidi w:val="0"/>
        <w:spacing w:beforeAutospacing="0" w:afterAutospacing="0" w:line="360" w:lineRule="auto"/>
        <w:ind w:left="0" w:right="0" w:firstLine="0" w:leftChars="0" w:firstLineChars="0"/>
        <w:jc w:val="center"/>
        <w:outlineLvl w:val="0"/>
        <w:rPr>
          <w:rFonts w:ascii="宋体" w:eastAsia="宋体" w:hAnsi="宋体" w:cs="宋体" w:hint="eastAsia"/>
          <w:b/>
          <w:bCs/>
          <w:kern w:val="44"/>
          <w:sz w:val="32"/>
          <w:szCs w:val="32"/>
          <w:lang w:eastAsia="zh-CN"/>
        </w:rPr>
      </w:pPr>
      <w:r>
        <w:rPr>
          <w:rFonts w:ascii="Calibri" w:eastAsia="宋体" w:hAnsi="Calibri" w:cstheme="minorBidi"/>
          <w:kern w:val="2"/>
          <w:sz w:val="21"/>
          <w:szCs w:val="22"/>
          <w:lang w:eastAsia="zh-CN"/>
        </w:rPr>
        <w:br w:type="page"/>
      </w:r>
      <w:r>
        <w:rPr>
          <w:rFonts w:ascii="宋体" w:eastAsia="宋体" w:hAnsi="宋体" w:cs="宋体" w:hint="eastAsia"/>
          <w:b/>
          <w:bCs/>
          <w:kern w:val="44"/>
          <w:sz w:val="32"/>
          <w:szCs w:val="32"/>
          <w:lang w:eastAsia="zh-CN"/>
        </w:rPr>
        <w:t>目   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第一册  专用条款</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对通用条款的补充内容及其他关键信息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用户需求书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投标文件组成要求及格式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第二册  通用条款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评审要求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评审程序及评审方法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第九章  公开招标失败的后续处理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合同的授予与备案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第十一章  质疑处理</w:t>
      </w: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1、具有独立法人资格或具有独立承担民事责任的能力的其它组织（提供营业执照或事业单位法人证等法人证明扫描件，原件备查）。</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2、参与本项目投标前三年内，在经营活动中没有重大违法记录（由供应商在《龙华区教育局自行采购投标及履约承诺函》中作出声明）。</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3、参与本项目政府采购活动时不存在被有关部门禁止参与政府采购活动且在有效期内的情况（由供应商在《龙华区教育局自行采购投标及履约承诺函》中作出声明）。</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4、具备《中华人民共和国政府采购法》第二十二条第一款的条件（由供应商在《龙华区教育局自行采购投标及履约承诺函》中作出声明）。</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5、参与本项目政府采购活动时未被列入失信被执行人、重大税收违法失信主体、政府采购严重违法失信行为记录名单（由供应商在《龙华区教育局自行采购投标及履约承诺函》中作出承诺）。</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“深圳市政府采购监管网”为供应商信用信息的查询渠道，相关信息以开标当日的代理机构查询结果为准。</w:t>
      </w:r>
    </w:p>
    <w:p>
      <w:pPr>
        <w:widowControl w:val="0"/>
        <w:spacing w:after="60" w:afterLines="25"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6、为采购项目提供整体设计、规范编制或者项目管理、监理、检测等服务的供应商，不得再参加该采购项目同一合同项下的其他采购活动。（由供应商在《龙华区教育局自行采购投标及履约承诺函》中作出承诺）。</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7、单位负责人为同一人或者存在直接控股、管理关系的不同供应商，不得参加同一合同项下的政府采购活动。（由供应商在《龙华区教育局自行采购投标及履约承诺函》中作出承诺）。</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8、落实政府采购政策需满足的资格要求：本</w:t>
      </w:r>
      <w:r>
        <w:rPr>
          <w:rFonts w:ascii="宋体" w:eastAsia="宋体" w:hAnsi="宋体" w:cs="宋体" w:hint="eastAsia"/>
          <w:sz w:val="21"/>
          <w:szCs w:val="21"/>
          <w:shd w:val="clear" w:color="auto" w:fill="FFFFFF"/>
        </w:rPr>
        <w:t>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9、本项目不接受联合体投标，不接受进口产品参与投标，不允许转包、分包。（由供应商在《龙华区教育局自行采购投标及履约承诺函》中作出承诺）。</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10、投标人须具有《中华人民共和国民办学校办学许可证》(提供有效的证书扫描件，原件备查)。</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3" w:name="_Hlk71926094"/>
      <w:r>
        <w:rPr>
          <w:rFonts w:ascii="宋体" w:eastAsia="宋体" w:hAnsi="宋体" w:hint="eastAsia"/>
          <w:b/>
          <w:bCs/>
          <w:sz w:val="28"/>
          <w:szCs w:val="28"/>
          <w:lang w:eastAsia="zh-CN"/>
        </w:rPr>
        <w:t>对通用条款的补充内容及其他关键信息</w:t>
      </w:r>
      <w:bookmarkEnd w:id="3"/>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4" w:name="_Toc73517639"/>
      <w:bookmarkStart w:id="5" w:name="_Toc73521547"/>
      <w:bookmarkStart w:id="6" w:name="_Toc60560625"/>
      <w:bookmarkStart w:id="7" w:name="_Toc60631620"/>
      <w:bookmarkStart w:id="8" w:name="_Toc73521635"/>
      <w:bookmarkStart w:id="9" w:name="_Toc100052364"/>
      <w:bookmarkStart w:id="10" w:name="_Toc73518117"/>
      <w:bookmarkStart w:id="11" w:name="_Toc101074876"/>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深圳市龙华科技实验高级中学</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不晚于投标截止日三日前，投标人有义务在招标期间在深圳政府采购自行采购系统网站浏览与本项目有关的澄清和修改信息。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2" w:name="_Hlk71664860"/>
            <w:r>
              <w:rPr>
                <w:rFonts w:ascii="宋体" w:eastAsia="宋体" w:hAnsi="宋体" w:cstheme="minorBidi" w:hint="eastAsia"/>
                <w:kern w:val="2"/>
                <w:sz w:val="21"/>
                <w:szCs w:val="21"/>
                <w:lang w:eastAsia="zh-CN"/>
              </w:rPr>
              <w:t>样品、现场演示、方案讲解</w:t>
            </w:r>
            <w:bookmarkEnd w:id="12"/>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4"/>
      <w:bookmarkEnd w:id="5"/>
      <w:bookmarkEnd w:id="6"/>
      <w:bookmarkEnd w:id="7"/>
      <w:bookmarkEnd w:id="8"/>
      <w:bookmarkEnd w:id="9"/>
      <w:bookmarkEnd w:id="10"/>
      <w:bookmarkEnd w:id="11"/>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（一）与“对通用条款的补充内容”章节相关的事项</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bCs/>
          <w:kern w:val="2"/>
          <w:sz w:val="21"/>
          <w:szCs w:val="21"/>
          <w:lang w:eastAsia="zh-CN"/>
        </w:rPr>
      </w:pP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（二）其他事项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专门面向中小企业采购的项目，不再执行价格扣除比例。</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2</w:t>
      </w:r>
      <w:r>
        <w:rPr>
          <w:rFonts w:ascii="宋体" w:eastAsia="宋体" w:hAnsi="宋体" w:cs="宋体" w:hint="eastAsia"/>
          <w:sz w:val="21"/>
          <w:szCs w:val="21"/>
        </w:rPr>
        <w:t>）</w:t>
      </w:r>
      <w:r>
        <w:rPr>
          <w:rFonts w:ascii="宋体" w:eastAsia="宋体" w:hAnsi="宋体" w:cs="宋体" w:hint="eastAsia"/>
          <w:sz w:val="21"/>
          <w:szCs w:val="21"/>
          <w:lang w:eastAsia="zh-CN"/>
        </w:rPr>
        <w:t>非专门面向中小企业采购的项目，应执行价格扣除比例：供应商</w:t>
      </w:r>
      <w:r>
        <w:rPr>
          <w:rFonts w:ascii="宋体" w:eastAsia="宋体" w:hAnsi="宋体" w:cs="宋体" w:hint="eastAsia"/>
          <w:sz w:val="21"/>
          <w:szCs w:val="21"/>
        </w:rPr>
        <w:t>提供的服务全部由优惠主体承接，则对其投标总价给予</w:t>
      </w:r>
      <w:r>
        <w:rPr>
          <w:rFonts w:ascii="宋体" w:eastAsia="宋体" w:hAnsi="宋体" w:cs="宋体" w:hint="eastAsia"/>
          <w:color w:val="FF0000"/>
          <w:sz w:val="21"/>
          <w:szCs w:val="21"/>
          <w:u w:val="single"/>
        </w:rPr>
        <w:t xml:space="preserve"> </w:t>
      </w:r>
      <w:r>
        <w:rPr>
          <w:rFonts w:ascii="宋体" w:eastAsia="宋体" w:hAnsi="宋体" w:cs="宋体" w:hint="eastAsia"/>
          <w:color w:val="FF0000"/>
          <w:sz w:val="21"/>
          <w:szCs w:val="21"/>
          <w:u w:val="single"/>
          <w:lang w:eastAsia="zh-CN"/>
        </w:rPr>
        <w:t>10</w:t>
      </w:r>
      <w:r>
        <w:rPr>
          <w:rFonts w:ascii="宋体" w:eastAsia="宋体" w:hAnsi="宋体" w:cs="宋体" w:hint="eastAsia"/>
          <w:color w:val="FF0000"/>
          <w:sz w:val="21"/>
          <w:szCs w:val="21"/>
          <w:u w:val="single"/>
        </w:rPr>
        <w:t xml:space="preserve"> %</w:t>
      </w:r>
      <w:r>
        <w:rPr>
          <w:rFonts w:ascii="宋体" w:eastAsia="宋体" w:hAnsi="宋体" w:cs="宋体" w:hint="eastAsia"/>
          <w:color w:val="000000"/>
          <w:sz w:val="21"/>
          <w:szCs w:val="21"/>
          <w:lang w:eastAsia="zh-CN"/>
        </w:rPr>
        <w:t>（10%~20%）</w:t>
      </w:r>
      <w:r>
        <w:rPr>
          <w:rFonts w:ascii="宋体" w:eastAsia="宋体" w:hAnsi="宋体" w:cs="宋体" w:hint="eastAsia"/>
          <w:sz w:val="21"/>
          <w:szCs w:val="21"/>
        </w:rPr>
        <w:t>的扣除，用扣除后的价格参与评审。满足多项优惠政策的企业，不重复享受多项价格扣除政策。</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keepNext w:val="0"/>
        <w:keepLines w:val="0"/>
        <w:pageBreakBefore w:val="0"/>
        <w:widowControl/>
        <w:numPr>
          <w:ilvl w:val="0"/>
          <w:numId w:val="2"/>
        </w:numPr>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b/>
          <w:bCs/>
          <w:color w:val="FF0000"/>
          <w:sz w:val="21"/>
          <w:szCs w:val="21"/>
        </w:rPr>
        <w:t>《中小企业声明函》中相关企业所属行业应当与采购标的所属行业相一致。</w:t>
      </w:r>
      <w:r>
        <w:rPr>
          <w:rFonts w:ascii="宋体" w:eastAsia="宋体" w:hAnsi="宋体" w:cs="宋体" w:hint="eastAsia"/>
          <w:sz w:val="21"/>
          <w:szCs w:val="21"/>
        </w:rPr>
        <w:t>本项目采购标的（</w:t>
      </w:r>
      <w:r>
        <w:rPr>
          <w:rFonts w:ascii="宋体" w:eastAsia="宋体" w:hAnsi="宋体" w:cs="宋体" w:hint="eastAsia"/>
          <w:sz w:val="21"/>
          <w:szCs w:val="21"/>
          <w:lang w:eastAsia="zh-CN"/>
        </w:rPr>
        <w:t>服务需求</w:t>
      </w:r>
      <w:r>
        <w:rPr>
          <w:rFonts w:ascii="宋体" w:eastAsia="宋体" w:hAnsi="宋体" w:cs="宋体" w:hint="eastAsia"/>
          <w:sz w:val="21"/>
          <w:szCs w:val="21"/>
        </w:rPr>
        <w:t>）对应的中小企业划分标准所属行业为</w:t>
      </w:r>
      <w:r>
        <w:rPr>
          <w:rFonts w:ascii="宋体" w:eastAsia="宋体" w:hAnsi="宋体" w:cs="宋体" w:hint="eastAsia"/>
          <w:b/>
          <w:bCs/>
          <w:color w:val="FF0000"/>
          <w:sz w:val="21"/>
          <w:szCs w:val="21"/>
          <w:u w:val="single"/>
        </w:rPr>
        <w:t>其他未列明行业。</w:t>
      </w:r>
    </w:p>
    <w:p>
      <w:pPr>
        <w:keepNext w:val="0"/>
        <w:keepLines w:val="0"/>
        <w:pageBreakBefore w:val="0"/>
        <w:widowControl/>
        <w:numPr>
          <w:ilvl w:val="0"/>
          <w:numId w:val="2"/>
        </w:numPr>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第</w:t>
      </w:r>
      <w:r>
        <w:rPr>
          <w:rFonts w:ascii="宋体" w:eastAsia="宋体" w:hAnsi="宋体" w:cs="宋体" w:hint="eastAsia"/>
          <w:sz w:val="21"/>
          <w:szCs w:val="21"/>
          <w:lang w:eastAsia="zh-CN"/>
        </w:rPr>
        <w:t>四</w:t>
      </w:r>
      <w:r>
        <w:rPr>
          <w:rFonts w:ascii="宋体" w:eastAsia="宋体" w:hAnsi="宋体" w:cs="宋体" w:hint="eastAsia"/>
          <w:sz w:val="21"/>
          <w:szCs w:val="21"/>
        </w:rPr>
        <w:t>章“投标文件组成要求及格式”中“</w:t>
      </w:r>
      <w:r>
        <w:rPr>
          <w:rFonts w:ascii="宋体" w:eastAsia="宋体" w:hAnsi="宋体" w:cs="宋体" w:hint="eastAsia"/>
          <w:sz w:val="21"/>
          <w:szCs w:val="21"/>
          <w:lang w:eastAsia="zh-CN"/>
        </w:rPr>
        <w:t>四、投标人情况及资格证明文件</w:t>
      </w:r>
      <w:r>
        <w:rPr>
          <w:rFonts w:ascii="宋体" w:eastAsia="宋体" w:hAnsi="宋体" w:cs="宋体" w:hint="eastAsia"/>
          <w:sz w:val="21"/>
          <w:szCs w:val="21"/>
        </w:rPr>
        <w:t>”章节提供的格式）。</w:t>
      </w:r>
    </w:p>
    <w:p>
      <w:pPr>
        <w:keepNext w:val="0"/>
        <w:keepLines w:val="0"/>
        <w:pageBreakBefore w:val="0"/>
        <w:widowControl/>
        <w:numPr>
          <w:ilvl w:val="0"/>
          <w:numId w:val="2"/>
        </w:numPr>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rPr>
        <w:t>享受价格扣除获得政府采购合同的，小微企业不得将合同分包给大中型企业。</w:t>
      </w: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黑体" w:eastAsia="黑体" w:hAnsi="宋体"/>
          <w:kern w:val="2"/>
          <w:szCs w:val="22"/>
          <w:lang w:eastAsia="zh-CN"/>
        </w:rPr>
      </w:pPr>
      <w:r>
        <w:rPr>
          <w:rFonts w:ascii="宋体" w:eastAsia="宋体" w:hAnsi="宋体" w:cs="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spacing w:line="360" w:lineRule="auto"/>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宋体" w:hint="eastAsia"/>
          <w:b/>
          <w:bCs/>
          <w:color w:val="FF0000"/>
          <w:kern w:val="2"/>
          <w:sz w:val="21"/>
          <w:szCs w:val="21"/>
          <w:highlight w:val="yellow"/>
          <w:u w:val="single"/>
          <w:lang w:eastAsia="zh-CN"/>
        </w:rPr>
        <w:t>服务采购</w:t>
      </w:r>
      <w:r>
        <w:rPr>
          <w:rFonts w:ascii="宋体" w:eastAsia="宋体" w:hAnsi="宋体" w:cs="宋体" w:hint="eastAsia"/>
          <w:kern w:val="2"/>
          <w:sz w:val="21"/>
          <w:szCs w:val="21"/>
          <w:lang w:eastAsia="zh-CN"/>
        </w:rPr>
        <w:t>：</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360" w:lineRule="auto"/>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 万元（含）-500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1.1%</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0.8%</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500 万元（含）-1000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0.8%</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0.45%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1000 万元（含）-5000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5000 万元（含）-1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0.1%</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 亿元（含）-5 亿</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color w:val="333333"/>
                <w:sz w:val="21"/>
                <w:szCs w:val="21"/>
                <w:lang w:eastAsia="zh-CN"/>
              </w:rPr>
              <w:t>5 亿元（含）-10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 亿元（含）-50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 亿元（含）-100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 亿元（含）以</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r>
    </w:tbl>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（2）招标代理服务收费按差额定率累进法计算。</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100万元×1.5%=1.5万元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（500-100）万元×0.8%=3.2万元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（600-500）万元×0.45%=0.45万元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合计收费=1.5+3.2+0.45=5.15万元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备注：最低收费不低于人民币7000元。代理服务费用超过7000元，则按国家计费规定收取代理服务费。</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收款单位：深圳市千里招标代理有限公司</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开户银行：中国平安银行深圳创业路支行</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中标人须在中标公告公示期结束后，领取《中标通知书》前，向招标（采购）代理机构缴纳招标代理服务费。</w:t>
      </w:r>
    </w:p>
    <w:p>
      <w:pPr>
        <w:widowControl/>
        <w:spacing w:line="360" w:lineRule="auto"/>
        <w:ind w:firstLine="42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招标代理服务费以转账、银行汇票形式交付。</w:t>
      </w: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jc w:val="left"/>
        <w:rPr>
          <w:rFonts w:ascii="宋体" w:eastAsia="宋体" w:hAnsi="宋体" w:cs="宋体" w:hint="eastAsia"/>
          <w:sz w:val="21"/>
          <w:szCs w:val="21"/>
          <w:lang w:eastAsia="zh-CN"/>
        </w:rPr>
      </w:pPr>
    </w:p>
    <w:p>
      <w:pPr>
        <w:keepNext/>
        <w:keepLines/>
        <w:widowControl w:val="0"/>
        <w:kinsoku/>
        <w:overflowPunct/>
        <w:topLinePunct w:val="0"/>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color w:val="FF0000"/>
          <w:sz w:val="28"/>
          <w:szCs w:val="28"/>
          <w:lang w:eastAsia="zh-CN"/>
        </w:rPr>
      </w:pPr>
      <w:r>
        <w:rPr>
          <w:rFonts w:ascii="宋体" w:eastAsia="宋体" w:hAnsi="宋体" w:cs="宋体" w:hint="eastAsia"/>
          <w:b/>
          <w:color w:val="FF0000"/>
          <w:kern w:val="2"/>
          <w:sz w:val="32"/>
          <w:szCs w:val="32"/>
          <w:lang w:eastAsia="zh-CN"/>
        </w:rPr>
        <w:t>★</w:t>
      </w:r>
      <w:r>
        <w:rPr>
          <w:rFonts w:ascii="宋体" w:eastAsia="宋体" w:hAnsi="宋体" w:cs="宋体" w:hint="eastAsia"/>
          <w:b/>
          <w:bCs/>
          <w:color w:val="FF0000"/>
          <w:sz w:val="28"/>
          <w:szCs w:val="28"/>
          <w:lang w:eastAsia="zh-CN"/>
        </w:rPr>
        <w:t>第三章 用户需求书</w:t>
      </w:r>
    </w:p>
    <w:p>
      <w:pPr>
        <w:keepNext/>
        <w:keepLines/>
        <w:widowControl w:val="0"/>
        <w:tabs>
          <w:tab w:val="left" w:pos="1680"/>
        </w:tabs>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353"/>
        <w:gridCol w:w="2605"/>
        <w:gridCol w:w="1904"/>
        <w:gridCol w:w="1904"/>
        <w:gridCol w:w="1904"/>
      </w:tblGrid>
      <w:tr>
        <w:tblPrEx>
          <w:tblW w:w="5000" w:type="pct"/>
          <w:jc w:val="center"/>
          <w:tblLayout w:type="fixed"/>
          <w:tblCellMar>
            <w:top w:w="15" w:type="dxa"/>
            <w:left w:w="15" w:type="dxa"/>
            <w:bottom w:w="15" w:type="dxa"/>
            <w:right w:w="15" w:type="dxa"/>
          </w:tblCellMar>
        </w:tblPrEx>
        <w:trPr>
          <w:trHeight w:val="966"/>
          <w:jc w:val="center"/>
        </w:trPr>
        <w:tc>
          <w:tcPr>
            <w:tcW w:w="405"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3032"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采购项目名称（标的名称）</w:t>
            </w:r>
          </w:p>
        </w:tc>
        <w:tc>
          <w:tcPr>
            <w:tcW w:w="2214"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财政预算限额（元）</w:t>
            </w:r>
          </w:p>
        </w:tc>
        <w:tc>
          <w:tcPr>
            <w:tcW w:w="2214"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最高限价（元）</w:t>
            </w:r>
          </w:p>
        </w:tc>
        <w:tc>
          <w:tcPr>
            <w:tcW w:w="2214"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所属行业</w:t>
            </w:r>
          </w:p>
        </w:tc>
      </w:tr>
      <w:tr>
        <w:tblPrEx>
          <w:tblW w:w="5000" w:type="pct"/>
          <w:jc w:val="center"/>
          <w:tblLayout w:type="fixed"/>
          <w:tblCellMar>
            <w:top w:w="15" w:type="dxa"/>
            <w:left w:w="15" w:type="dxa"/>
            <w:bottom w:w="15" w:type="dxa"/>
            <w:right w:w="15" w:type="dxa"/>
          </w:tblCellMar>
        </w:tblPrEx>
        <w:trPr>
          <w:trHeight w:val="772"/>
          <w:jc w:val="center"/>
        </w:trPr>
        <w:tc>
          <w:tcPr>
            <w:tcW w:w="405"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3032"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Calibri" w:eastAsia="宋体" w:hAnsi="Calibri" w:cstheme="minorBidi" w:hint="eastAsia"/>
                <w:bCs/>
                <w:kern w:val="2"/>
                <w:sz w:val="21"/>
                <w:szCs w:val="21"/>
                <w:lang w:eastAsia="zh-CN"/>
              </w:rPr>
              <w:t>特色课程服务</w:t>
            </w:r>
          </w:p>
        </w:tc>
        <w:tc>
          <w:tcPr>
            <w:tcW w:w="2214"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500,000.00</w:t>
            </w:r>
          </w:p>
        </w:tc>
        <w:tc>
          <w:tcPr>
            <w:tcW w:w="2214"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499</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800.00</w:t>
            </w:r>
          </w:p>
        </w:tc>
        <w:tc>
          <w:tcPr>
            <w:tcW w:w="2214"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b/>
                <w:bCs/>
                <w:color w:val="FF0000"/>
                <w:kern w:val="2"/>
                <w:sz w:val="21"/>
                <w:szCs w:val="21"/>
                <w:lang w:eastAsia="zh-CN"/>
              </w:rPr>
              <w:t>其他未列明行业</w:t>
            </w:r>
          </w:p>
        </w:tc>
      </w:tr>
    </w:tbl>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r>
        <w:rPr>
          <w:rFonts w:ascii="宋体" w:eastAsia="宋体" w:hAnsi="宋体" w:cs="宋体" w:hint="eastAsia"/>
          <w:b/>
          <w:color w:val="FF0000"/>
          <w:kern w:val="2"/>
          <w:lang w:eastAsia="zh-CN"/>
        </w:rPr>
        <w:t>本项目最高限价为人民币499,800.00元，投标报价超出最高限价将作投标无效处理。</w:t>
      </w: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28"/>
          <w:szCs w:val="32"/>
          <w:lang w:eastAsia="zh-CN"/>
        </w:rPr>
      </w:pPr>
      <w:r>
        <w:rPr>
          <w:rFonts w:ascii="宋体" w:eastAsia="宋体" w:hAnsi="宋体" w:cs="宋体" w:hint="eastAsia"/>
          <w:b/>
          <w:bCs/>
          <w:kern w:val="2"/>
          <w:sz w:val="32"/>
          <w:szCs w:val="32"/>
          <w:lang w:eastAsia="zh-CN"/>
        </w:rPr>
        <w:t>二</w:t>
      </w:r>
      <w:r>
        <w:rPr>
          <w:rFonts w:ascii="宋体" w:eastAsia="宋体" w:hAnsi="宋体" w:cs="宋体" w:hint="eastAsia"/>
          <w:b/>
          <w:bCs/>
          <w:kern w:val="2"/>
          <w:sz w:val="28"/>
          <w:szCs w:val="32"/>
          <w:lang w:eastAsia="zh-CN"/>
        </w:rPr>
        <w:t>、实质性条款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2"/>
        <w:gridCol w:w="809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4"/>
          <w:jc w:val="center"/>
        </w:trPr>
        <w:tc>
          <w:tcPr>
            <w:tcW w:w="761"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序号</w:t>
            </w:r>
          </w:p>
        </w:tc>
        <w:tc>
          <w:tcPr>
            <w:tcW w:w="80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trHeight w:val="495"/>
          <w:jc w:val="center"/>
        </w:trPr>
        <w:tc>
          <w:tcPr>
            <w:tcW w:w="761" w:type="dxa"/>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w:t>
            </w:r>
          </w:p>
        </w:tc>
        <w:tc>
          <w:tcPr>
            <w:tcW w:w="8078" w:type="dxa"/>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本项目</w:t>
            </w:r>
            <w:r>
              <w:rPr>
                <w:rFonts w:ascii="宋体" w:eastAsia="宋体" w:hAnsi="宋体" w:cs="宋体" w:hint="eastAsia"/>
                <w:color w:val="FF0000"/>
                <w:kern w:val="2"/>
                <w:sz w:val="21"/>
                <w:szCs w:val="22"/>
                <w:lang w:eastAsia="zh-CN"/>
              </w:rPr>
              <w:t>★第三章用户需求书</w:t>
            </w:r>
            <w:r>
              <w:rPr>
                <w:rFonts w:ascii="宋体" w:eastAsia="宋体" w:hAnsi="宋体" w:cs="宋体" w:hint="eastAsia"/>
                <w:kern w:val="2"/>
                <w:sz w:val="21"/>
                <w:szCs w:val="22"/>
                <w:lang w:eastAsia="zh-CN"/>
              </w:rPr>
              <w:t>全部内容</w:t>
            </w:r>
          </w:p>
        </w:tc>
      </w:tr>
    </w:tbl>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2"/>
          <w:lang w:eastAsia="zh-CN"/>
        </w:rPr>
      </w:pPr>
      <w:r>
        <w:rPr>
          <w:rFonts w:ascii="宋体" w:eastAsia="宋体" w:hAnsi="宋体" w:cs="宋体" w:hint="eastAsia"/>
          <w:b/>
          <w:color w:val="FF0000"/>
          <w:kern w:val="2"/>
          <w:sz w:val="21"/>
          <w:szCs w:val="22"/>
          <w:lang w:eastAsia="zh-CN"/>
        </w:rPr>
        <w:t>注</w:t>
      </w:r>
      <w:r>
        <w:rPr>
          <w:rFonts w:ascii="宋体" w:eastAsia="宋体" w:hAnsi="宋体" w:cs="宋体" w:hint="eastAsia"/>
          <w:kern w:val="2"/>
          <w:sz w:val="21"/>
          <w:szCs w:val="22"/>
          <w:lang w:eastAsia="zh-CN"/>
        </w:rPr>
        <w:t>：</w:t>
      </w:r>
      <w:r>
        <w:rPr>
          <w:rFonts w:ascii="宋体" w:eastAsia="宋体" w:hAnsi="宋体" w:cs="宋体" w:hint="eastAsia"/>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keepNext/>
        <w:keepLines/>
        <w:widowControl w:val="0"/>
        <w:numPr>
          <w:ilvl w:val="0"/>
          <w:numId w:val="3"/>
        </w:numPr>
        <w:spacing w:before="340" w:after="60" w:afterLines="25" w:line="578" w:lineRule="auto"/>
        <w:ind w:left="0" w:firstLine="0"/>
        <w:jc w:val="center"/>
        <w:outlineLvl w:val="0"/>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服务需求明细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441"/>
        <w:gridCol w:w="1166"/>
        <w:gridCol w:w="578"/>
        <w:gridCol w:w="630"/>
        <w:gridCol w:w="1014"/>
        <w:gridCol w:w="1261"/>
        <w:gridCol w:w="1056"/>
        <w:gridCol w:w="1275"/>
        <w:gridCol w:w="127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454"/>
          <w:jc w:val="center"/>
        </w:trPr>
        <w:tc>
          <w:tcPr>
            <w:tcW w:w="555" w:type="dxa"/>
            <w:vMerge w:val="restart"/>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sz w:val="21"/>
                <w:szCs w:val="21"/>
              </w:rPr>
            </w:pPr>
            <w:r>
              <w:rPr>
                <w:rFonts w:ascii="宋体" w:eastAsia="宋体" w:hAnsi="宋体" w:cs="宋体" w:hint="eastAsia"/>
                <w:bCs/>
                <w:sz w:val="21"/>
                <w:szCs w:val="21"/>
              </w:rPr>
              <w:t>序号</w:t>
            </w:r>
          </w:p>
        </w:tc>
        <w:tc>
          <w:tcPr>
            <w:tcW w:w="1502" w:type="dxa"/>
            <w:vMerge w:val="restart"/>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sz w:val="21"/>
                <w:szCs w:val="21"/>
              </w:rPr>
            </w:pPr>
            <w:r>
              <w:rPr>
                <w:rFonts w:ascii="宋体" w:eastAsia="宋体" w:hAnsi="宋体" w:cs="宋体" w:hint="eastAsia"/>
                <w:bCs/>
                <w:sz w:val="21"/>
                <w:szCs w:val="21"/>
              </w:rPr>
              <w:t>服务事项名称</w:t>
            </w:r>
          </w:p>
        </w:tc>
        <w:tc>
          <w:tcPr>
            <w:tcW w:w="732" w:type="dxa"/>
            <w:vMerge w:val="restart"/>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sz w:val="21"/>
                <w:szCs w:val="21"/>
              </w:rPr>
            </w:pPr>
            <w:r>
              <w:rPr>
                <w:rFonts w:ascii="宋体" w:eastAsia="宋体" w:hAnsi="宋体" w:cs="宋体" w:hint="eastAsia"/>
                <w:bCs/>
                <w:sz w:val="21"/>
                <w:szCs w:val="21"/>
              </w:rPr>
              <w:t>数量</w:t>
            </w:r>
          </w:p>
        </w:tc>
        <w:tc>
          <w:tcPr>
            <w:tcW w:w="800" w:type="dxa"/>
            <w:vMerge w:val="restart"/>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sz w:val="21"/>
                <w:szCs w:val="21"/>
              </w:rPr>
            </w:pPr>
            <w:r>
              <w:rPr>
                <w:rFonts w:ascii="宋体" w:eastAsia="宋体" w:hAnsi="宋体" w:cs="宋体" w:hint="eastAsia"/>
                <w:bCs/>
                <w:sz w:val="21"/>
                <w:szCs w:val="21"/>
              </w:rPr>
              <w:t>单位</w:t>
            </w:r>
          </w:p>
        </w:tc>
        <w:tc>
          <w:tcPr>
            <w:tcW w:w="2929" w:type="dxa"/>
            <w:gridSpan w:val="2"/>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color w:val="FF0000"/>
                <w:sz w:val="21"/>
                <w:szCs w:val="21"/>
              </w:rPr>
            </w:pPr>
            <w:r>
              <w:rPr>
                <w:rFonts w:ascii="宋体" w:eastAsia="宋体" w:hAnsi="宋体" w:cs="宋体" w:hint="eastAsia"/>
                <w:sz w:val="21"/>
                <w:szCs w:val="21"/>
                <w:lang w:eastAsia="zh-CN"/>
              </w:rPr>
              <w:t>单价限额（元）</w:t>
            </w:r>
          </w:p>
        </w:tc>
        <w:tc>
          <w:tcPr>
            <w:tcW w:w="1358" w:type="dxa"/>
            <w:vMerge w:val="restart"/>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
                <w:bCs/>
                <w:color w:val="FF0000"/>
                <w:sz w:val="21"/>
                <w:szCs w:val="21"/>
              </w:rPr>
            </w:pPr>
            <w:r>
              <w:rPr>
                <w:rFonts w:ascii="宋体" w:eastAsia="宋体" w:hAnsi="宋体" w:cs="宋体" w:hint="eastAsia"/>
                <w:b/>
                <w:bCs/>
                <w:color w:val="FF0000"/>
                <w:sz w:val="21"/>
                <w:szCs w:val="21"/>
              </w:rPr>
              <w:t>备注</w:t>
            </w:r>
          </w:p>
        </w:tc>
        <w:tc>
          <w:tcPr>
            <w:tcW w:w="1644" w:type="dxa"/>
            <w:vMerge w:val="restart"/>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
                <w:bCs/>
                <w:color w:val="FF0000"/>
                <w:sz w:val="21"/>
                <w:szCs w:val="21"/>
              </w:rPr>
            </w:pPr>
            <w:r>
              <w:rPr>
                <w:rFonts w:ascii="宋体" w:eastAsia="宋体" w:hAnsi="宋体" w:cs="宋体" w:hint="eastAsia"/>
                <w:b/>
                <w:bCs/>
                <w:color w:val="FF0000"/>
                <w:sz w:val="21"/>
                <w:szCs w:val="21"/>
              </w:rPr>
              <w:t>财政预算限额（元）</w:t>
            </w:r>
          </w:p>
        </w:tc>
        <w:tc>
          <w:tcPr>
            <w:tcW w:w="1644" w:type="dxa"/>
            <w:vMerge w:val="restart"/>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
                <w:bCs/>
                <w:color w:val="FF0000"/>
                <w:sz w:val="21"/>
                <w:szCs w:val="21"/>
              </w:rPr>
            </w:pPr>
            <w:r>
              <w:rPr>
                <w:rFonts w:ascii="宋体" w:eastAsia="宋体" w:hAnsi="宋体" w:cs="宋体" w:hint="eastAsia"/>
                <w:b/>
                <w:bCs/>
                <w:color w:val="FF0000"/>
                <w:sz w:val="21"/>
                <w:szCs w:val="21"/>
              </w:rPr>
              <w:t>最高限价</w:t>
            </w:r>
          </w:p>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
                <w:bCs/>
                <w:color w:val="FF0000"/>
                <w:sz w:val="21"/>
                <w:szCs w:val="21"/>
              </w:rPr>
            </w:pPr>
            <w:r>
              <w:rPr>
                <w:rFonts w:ascii="宋体" w:eastAsia="宋体" w:hAnsi="宋体" w:cs="宋体" w:hint="eastAsia"/>
                <w:b/>
                <w:bCs/>
                <w:color w:val="FF0000"/>
                <w:sz w:val="21"/>
                <w:szCs w:val="21"/>
              </w:rPr>
              <w:t>（元）</w:t>
            </w:r>
          </w:p>
        </w:tc>
      </w:tr>
      <w:tr>
        <w:tblPrEx>
          <w:tblW w:w="5000" w:type="pct"/>
          <w:jc w:val="center"/>
          <w:tblLayout w:type="fixed"/>
          <w:tblCellMar>
            <w:top w:w="28" w:type="dxa"/>
            <w:left w:w="28" w:type="dxa"/>
            <w:bottom w:w="28" w:type="dxa"/>
            <w:right w:w="28" w:type="dxa"/>
          </w:tblCellMar>
        </w:tblPrEx>
        <w:trPr>
          <w:trHeight w:val="454"/>
          <w:jc w:val="center"/>
        </w:trPr>
        <w:tc>
          <w:tcPr>
            <w:tcW w:w="555"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sz w:val="21"/>
                <w:szCs w:val="21"/>
              </w:rPr>
            </w:pPr>
          </w:p>
        </w:tc>
        <w:tc>
          <w:tcPr>
            <w:tcW w:w="1502"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kern w:val="2"/>
                <w:sz w:val="21"/>
                <w:szCs w:val="21"/>
                <w:lang w:eastAsia="zh-CN"/>
              </w:rPr>
            </w:pPr>
          </w:p>
        </w:tc>
        <w:tc>
          <w:tcPr>
            <w:tcW w:w="732"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kern w:val="2"/>
                <w:sz w:val="21"/>
                <w:szCs w:val="21"/>
                <w:lang w:eastAsia="zh-CN"/>
              </w:rPr>
            </w:pPr>
          </w:p>
        </w:tc>
        <w:tc>
          <w:tcPr>
            <w:tcW w:w="800"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kern w:val="2"/>
                <w:sz w:val="21"/>
                <w:szCs w:val="21"/>
                <w:lang w:eastAsia="zh-CN"/>
              </w:rPr>
            </w:pPr>
          </w:p>
        </w:tc>
        <w:tc>
          <w:tcPr>
            <w:tcW w:w="130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单价</w:t>
            </w:r>
          </w:p>
        </w:tc>
        <w:tc>
          <w:tcPr>
            <w:tcW w:w="162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单项总额（单价乘以数量）</w:t>
            </w:r>
          </w:p>
        </w:tc>
        <w:tc>
          <w:tcPr>
            <w:tcW w:w="1358"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
                <w:bCs/>
                <w:kern w:val="2"/>
                <w:sz w:val="21"/>
                <w:szCs w:val="21"/>
                <w:lang w:eastAsia="zh-CN"/>
              </w:rPr>
            </w:pPr>
          </w:p>
        </w:tc>
        <w:tc>
          <w:tcPr>
            <w:tcW w:w="1644"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kern w:val="2"/>
                <w:sz w:val="21"/>
                <w:szCs w:val="21"/>
                <w:lang w:eastAsia="zh-CN"/>
              </w:rPr>
            </w:pPr>
          </w:p>
        </w:tc>
        <w:tc>
          <w:tcPr>
            <w:tcW w:w="1644"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kern w:val="2"/>
                <w:sz w:val="21"/>
                <w:szCs w:val="21"/>
                <w:lang w:eastAsia="zh-CN"/>
              </w:rPr>
            </w:pPr>
          </w:p>
        </w:tc>
      </w:tr>
      <w:tr>
        <w:tblPrEx>
          <w:tblW w:w="5000" w:type="pct"/>
          <w:jc w:val="center"/>
          <w:tblLayout w:type="fixed"/>
          <w:tblCellMar>
            <w:top w:w="28" w:type="dxa"/>
            <w:left w:w="28" w:type="dxa"/>
            <w:bottom w:w="28" w:type="dxa"/>
            <w:right w:w="28" w:type="dxa"/>
          </w:tblCellMar>
        </w:tblPrEx>
        <w:trPr>
          <w:trHeight w:val="454"/>
          <w:jc w:val="center"/>
        </w:trPr>
        <w:tc>
          <w:tcPr>
            <w:tcW w:w="555" w:type="dxa"/>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sz w:val="21"/>
                <w:szCs w:val="21"/>
              </w:rPr>
            </w:pPr>
            <w:r>
              <w:rPr>
                <w:rFonts w:ascii="宋体" w:eastAsia="宋体" w:hAnsi="宋体" w:cs="宋体" w:hint="eastAsia"/>
                <w:bCs/>
                <w:sz w:val="21"/>
                <w:szCs w:val="21"/>
              </w:rPr>
              <w:t>1</w:t>
            </w:r>
          </w:p>
        </w:tc>
        <w:tc>
          <w:tcPr>
            <w:tcW w:w="1502" w:type="dxa"/>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逻辑分析</w:t>
            </w:r>
          </w:p>
        </w:tc>
        <w:tc>
          <w:tcPr>
            <w:tcW w:w="732"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sz w:val="21"/>
                <w:szCs w:val="21"/>
                <w:lang w:eastAsia="zh-CN"/>
              </w:rPr>
              <w:t>416</w:t>
            </w:r>
          </w:p>
        </w:tc>
        <w:tc>
          <w:tcPr>
            <w:tcW w:w="800"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sz w:val="21"/>
                <w:szCs w:val="21"/>
                <w:lang w:eastAsia="zh-CN"/>
              </w:rPr>
              <w:t>节</w:t>
            </w:r>
          </w:p>
        </w:tc>
        <w:tc>
          <w:tcPr>
            <w:tcW w:w="1303" w:type="dxa"/>
            <w:noWrap w:val="0"/>
            <w:vAlign w:val="center"/>
          </w:tcPr>
          <w:p>
            <w:pPr>
              <w:jc w:val="center"/>
              <w:rPr>
                <w:rFonts w:ascii="宋体" w:eastAsia="宋体" w:hAnsi="宋体" w:cs="宋体" w:hint="eastAsia"/>
                <w:color w:val="000000"/>
                <w:sz w:val="21"/>
                <w:szCs w:val="21"/>
                <w:lang w:eastAsia="zh-CN" w:bidi="ar"/>
              </w:rPr>
            </w:pPr>
            <w:r>
              <w:rPr>
                <w:rFonts w:ascii="宋体" w:eastAsia="宋体" w:hAnsi="宋体" w:cs="宋体" w:hint="eastAsia"/>
                <w:sz w:val="21"/>
                <w:szCs w:val="21"/>
                <w:lang w:eastAsia="zh-CN"/>
              </w:rPr>
              <w:t>300</w:t>
            </w:r>
          </w:p>
        </w:tc>
        <w:tc>
          <w:tcPr>
            <w:tcW w:w="1626" w:type="dxa"/>
            <w:noWrap w:val="0"/>
            <w:vAlign w:val="center"/>
          </w:tcPr>
          <w:p>
            <w:pPr>
              <w:jc w:val="center"/>
              <w:rPr>
                <w:rFonts w:ascii="宋体" w:eastAsia="宋体" w:hAnsi="宋体" w:cs="宋体" w:hint="eastAsia"/>
                <w:color w:val="000000"/>
                <w:sz w:val="21"/>
                <w:szCs w:val="21"/>
                <w:lang w:eastAsia="zh-CN" w:bidi="ar"/>
              </w:rPr>
            </w:pPr>
            <w:r>
              <w:rPr>
                <w:rFonts w:ascii="宋体" w:eastAsia="宋体" w:hAnsi="宋体" w:cs="宋体" w:hint="eastAsia"/>
                <w:sz w:val="21"/>
                <w:szCs w:val="21"/>
                <w:lang w:eastAsia="zh-CN"/>
              </w:rPr>
              <w:t>124800</w:t>
            </w:r>
          </w:p>
        </w:tc>
        <w:tc>
          <w:tcPr>
            <w:tcW w:w="1358" w:type="dxa"/>
            <w:noWrap w:val="0"/>
            <w:vAlign w:val="center"/>
          </w:tcPr>
          <w:p>
            <w:pPr>
              <w:jc w:val="center"/>
              <w:rPr>
                <w:rFonts w:ascii="宋体" w:eastAsia="宋体" w:hAnsi="宋体" w:cs="宋体" w:hint="eastAsia"/>
                <w:b/>
                <w:bCs/>
                <w:kern w:val="2"/>
                <w:sz w:val="21"/>
                <w:szCs w:val="21"/>
                <w:lang w:eastAsia="zh-CN"/>
              </w:rPr>
            </w:pPr>
            <w:r>
              <w:rPr>
                <w:rFonts w:ascii="宋体" w:eastAsia="宋体" w:hAnsi="宋体" w:cs="宋体" w:hint="eastAsia"/>
                <w:sz w:val="21"/>
                <w:szCs w:val="21"/>
                <w:lang w:eastAsia="zh-CN"/>
              </w:rPr>
              <w:t>拒绝进口</w:t>
            </w:r>
          </w:p>
        </w:tc>
        <w:tc>
          <w:tcPr>
            <w:tcW w:w="1644" w:type="dxa"/>
            <w:vMerge w:val="restart"/>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500,0</w:t>
            </w:r>
            <w:r>
              <w:rPr>
                <w:rFonts w:ascii="宋体" w:eastAsia="宋体" w:hAnsi="宋体" w:cs="宋体" w:hint="eastAsia"/>
                <w:sz w:val="21"/>
                <w:szCs w:val="21"/>
              </w:rPr>
              <w:t>00.00</w:t>
            </w:r>
          </w:p>
        </w:tc>
        <w:tc>
          <w:tcPr>
            <w:tcW w:w="1644" w:type="dxa"/>
            <w:vMerge w:val="restart"/>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499,8</w:t>
            </w:r>
            <w:r>
              <w:rPr>
                <w:rFonts w:ascii="宋体" w:eastAsia="宋体" w:hAnsi="宋体" w:cs="宋体" w:hint="eastAsia"/>
                <w:sz w:val="21"/>
                <w:szCs w:val="21"/>
              </w:rPr>
              <w:t>00.00</w:t>
            </w:r>
          </w:p>
        </w:tc>
      </w:tr>
      <w:tr>
        <w:tblPrEx>
          <w:tblW w:w="5000" w:type="pct"/>
          <w:jc w:val="center"/>
          <w:tblLayout w:type="fixed"/>
          <w:tblCellMar>
            <w:top w:w="28" w:type="dxa"/>
            <w:left w:w="28" w:type="dxa"/>
            <w:bottom w:w="28" w:type="dxa"/>
            <w:right w:w="28" w:type="dxa"/>
          </w:tblCellMar>
        </w:tblPrEx>
        <w:trPr>
          <w:trHeight w:val="454"/>
          <w:jc w:val="center"/>
        </w:trPr>
        <w:tc>
          <w:tcPr>
            <w:tcW w:w="555" w:type="dxa"/>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2</w:t>
            </w:r>
          </w:p>
        </w:tc>
        <w:tc>
          <w:tcPr>
            <w:tcW w:w="1502"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lang w:eastAsia="zh-CN"/>
              </w:rPr>
              <w:t>名著欣赏</w:t>
            </w:r>
          </w:p>
        </w:tc>
        <w:tc>
          <w:tcPr>
            <w:tcW w:w="732"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sz w:val="21"/>
                <w:szCs w:val="21"/>
                <w:lang w:eastAsia="zh-CN"/>
              </w:rPr>
              <w:t>416</w:t>
            </w:r>
          </w:p>
        </w:tc>
        <w:tc>
          <w:tcPr>
            <w:tcW w:w="800"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sz w:val="21"/>
                <w:szCs w:val="21"/>
                <w:lang w:eastAsia="zh-CN"/>
              </w:rPr>
              <w:t>节</w:t>
            </w:r>
          </w:p>
        </w:tc>
        <w:tc>
          <w:tcPr>
            <w:tcW w:w="1303" w:type="dxa"/>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300</w:t>
            </w:r>
          </w:p>
        </w:tc>
        <w:tc>
          <w:tcPr>
            <w:tcW w:w="1626" w:type="dxa"/>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124800</w:t>
            </w:r>
          </w:p>
        </w:tc>
        <w:tc>
          <w:tcPr>
            <w:tcW w:w="1358" w:type="dxa"/>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拒绝进口</w:t>
            </w:r>
          </w:p>
        </w:tc>
        <w:tc>
          <w:tcPr>
            <w:tcW w:w="1644"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sz w:val="21"/>
                <w:szCs w:val="21"/>
                <w:lang w:eastAsia="zh-CN"/>
              </w:rPr>
            </w:pPr>
          </w:p>
        </w:tc>
        <w:tc>
          <w:tcPr>
            <w:tcW w:w="1644"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sz w:val="21"/>
                <w:szCs w:val="21"/>
                <w:lang w:eastAsia="zh-CN"/>
              </w:rPr>
            </w:pPr>
          </w:p>
        </w:tc>
      </w:tr>
      <w:tr>
        <w:tblPrEx>
          <w:tblW w:w="5000" w:type="pct"/>
          <w:jc w:val="center"/>
          <w:tblLayout w:type="fixed"/>
          <w:tblCellMar>
            <w:top w:w="28" w:type="dxa"/>
            <w:left w:w="28" w:type="dxa"/>
            <w:bottom w:w="28" w:type="dxa"/>
            <w:right w:w="28" w:type="dxa"/>
          </w:tblCellMar>
        </w:tblPrEx>
        <w:trPr>
          <w:trHeight w:val="454"/>
          <w:jc w:val="center"/>
        </w:trPr>
        <w:tc>
          <w:tcPr>
            <w:tcW w:w="555" w:type="dxa"/>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3</w:t>
            </w:r>
          </w:p>
        </w:tc>
        <w:tc>
          <w:tcPr>
            <w:tcW w:w="1502"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lang w:eastAsia="zh-CN"/>
              </w:rPr>
              <w:t>经典电影赏析</w:t>
            </w:r>
          </w:p>
        </w:tc>
        <w:tc>
          <w:tcPr>
            <w:tcW w:w="732"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sz w:val="21"/>
                <w:szCs w:val="21"/>
                <w:lang w:eastAsia="zh-CN"/>
              </w:rPr>
              <w:t>417</w:t>
            </w:r>
          </w:p>
        </w:tc>
        <w:tc>
          <w:tcPr>
            <w:tcW w:w="800"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sz w:val="21"/>
                <w:szCs w:val="21"/>
                <w:lang w:eastAsia="zh-CN"/>
              </w:rPr>
              <w:t>节</w:t>
            </w:r>
          </w:p>
        </w:tc>
        <w:tc>
          <w:tcPr>
            <w:tcW w:w="1303" w:type="dxa"/>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300</w:t>
            </w:r>
          </w:p>
        </w:tc>
        <w:tc>
          <w:tcPr>
            <w:tcW w:w="1626" w:type="dxa"/>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125100</w:t>
            </w:r>
          </w:p>
        </w:tc>
        <w:tc>
          <w:tcPr>
            <w:tcW w:w="1358" w:type="dxa"/>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拒绝进口</w:t>
            </w:r>
          </w:p>
        </w:tc>
        <w:tc>
          <w:tcPr>
            <w:tcW w:w="1644"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sz w:val="21"/>
                <w:szCs w:val="21"/>
                <w:lang w:eastAsia="zh-CN"/>
              </w:rPr>
            </w:pPr>
          </w:p>
        </w:tc>
        <w:tc>
          <w:tcPr>
            <w:tcW w:w="1644"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sz w:val="21"/>
                <w:szCs w:val="21"/>
                <w:lang w:eastAsia="zh-CN"/>
              </w:rPr>
            </w:pPr>
          </w:p>
        </w:tc>
      </w:tr>
      <w:tr>
        <w:tblPrEx>
          <w:tblW w:w="5000" w:type="pct"/>
          <w:jc w:val="center"/>
          <w:tblLayout w:type="fixed"/>
          <w:tblCellMar>
            <w:top w:w="28" w:type="dxa"/>
            <w:left w:w="28" w:type="dxa"/>
            <w:bottom w:w="28" w:type="dxa"/>
            <w:right w:w="28" w:type="dxa"/>
          </w:tblCellMar>
        </w:tblPrEx>
        <w:trPr>
          <w:trHeight w:val="454"/>
          <w:jc w:val="center"/>
        </w:trPr>
        <w:tc>
          <w:tcPr>
            <w:tcW w:w="555" w:type="dxa"/>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4</w:t>
            </w:r>
          </w:p>
        </w:tc>
        <w:tc>
          <w:tcPr>
            <w:tcW w:w="1502"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lang w:eastAsia="zh-CN"/>
              </w:rPr>
              <w:t>魅力反应堆</w:t>
            </w:r>
          </w:p>
        </w:tc>
        <w:tc>
          <w:tcPr>
            <w:tcW w:w="732"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sz w:val="21"/>
                <w:szCs w:val="21"/>
                <w:lang w:eastAsia="zh-CN"/>
              </w:rPr>
              <w:t>417</w:t>
            </w:r>
          </w:p>
        </w:tc>
        <w:tc>
          <w:tcPr>
            <w:tcW w:w="800"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sz w:val="21"/>
                <w:szCs w:val="21"/>
                <w:lang w:eastAsia="zh-CN"/>
              </w:rPr>
              <w:t>节</w:t>
            </w:r>
          </w:p>
        </w:tc>
        <w:tc>
          <w:tcPr>
            <w:tcW w:w="1303" w:type="dxa"/>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300</w:t>
            </w:r>
          </w:p>
        </w:tc>
        <w:tc>
          <w:tcPr>
            <w:tcW w:w="1626" w:type="dxa"/>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125100</w:t>
            </w:r>
          </w:p>
        </w:tc>
        <w:tc>
          <w:tcPr>
            <w:tcW w:w="1358" w:type="dxa"/>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拒绝进口</w:t>
            </w:r>
          </w:p>
        </w:tc>
        <w:tc>
          <w:tcPr>
            <w:tcW w:w="1644"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sz w:val="21"/>
                <w:szCs w:val="21"/>
                <w:lang w:eastAsia="zh-CN"/>
              </w:rPr>
            </w:pPr>
          </w:p>
        </w:tc>
        <w:tc>
          <w:tcPr>
            <w:tcW w:w="1644" w:type="dxa"/>
            <w:vMerge/>
            <w:noWrap w:val="0"/>
            <w:vAlign w:val="center"/>
          </w:tcPr>
          <w:p>
            <w:pPr>
              <w:keepNext w:val="0"/>
              <w:keepLines w:val="0"/>
              <w:pageBreakBefore w:val="0"/>
              <w:kinsoku/>
              <w:wordWrap/>
              <w:overflowPunct/>
              <w:topLinePunct w:val="0"/>
              <w:autoSpaceDE/>
              <w:autoSpaceDN/>
              <w:bidi w:val="0"/>
              <w:adjustRightInd/>
              <w:snapToGrid/>
              <w:jc w:val="center"/>
              <w:textAlignment w:val="auto"/>
              <w:rPr>
                <w:rFonts w:ascii="宋体" w:eastAsia="宋体" w:hAnsi="宋体" w:cs="宋体" w:hint="eastAsia"/>
                <w:sz w:val="21"/>
                <w:szCs w:val="21"/>
                <w:lang w:eastAsia="zh-CN"/>
              </w:rPr>
            </w:pPr>
          </w:p>
        </w:tc>
      </w:tr>
    </w:tbl>
    <w:p>
      <w:pPr>
        <w:numPr>
          <w:ilvl w:val="0"/>
          <w:numId w:val="0"/>
        </w:numPr>
        <w:spacing w:line="360" w:lineRule="auto"/>
        <w:ind w:left="0" w:firstLine="0"/>
        <w:rPr>
          <w:rFonts w:ascii="宋体" w:eastAsia="宋体" w:hAnsi="宋体" w:cs="宋体" w:hint="eastAsia"/>
          <w:b/>
          <w:bCs/>
          <w:color w:val="FF0000"/>
          <w:kern w:val="2"/>
          <w:sz w:val="21"/>
          <w:szCs w:val="21"/>
          <w:lang w:eastAsia="zh-CN"/>
        </w:rPr>
      </w:pPr>
      <w:r>
        <w:rPr>
          <w:rFonts w:ascii="宋体" w:eastAsia="宋体" w:hAnsi="宋体" w:cs="宋体" w:hint="eastAsia"/>
          <w:b/>
          <w:bCs/>
          <w:color w:val="FF0000"/>
          <w:kern w:val="2"/>
          <w:sz w:val="21"/>
          <w:szCs w:val="21"/>
          <w:lang w:eastAsia="zh-CN"/>
        </w:rPr>
        <w:t>备注：本项目预算为500,000.00元，最高限价为499,800.00元。投标总价不得超过项目最高限价；设置最高单价限价的，分项报价不得超过相应单价限额，否则将导致投标无效。</w:t>
      </w:r>
    </w:p>
    <w:p>
      <w:pPr>
        <w:keepNext/>
        <w:keepLines/>
        <w:widowControl w:val="0"/>
        <w:numPr>
          <w:ilvl w:val="0"/>
          <w:numId w:val="3"/>
        </w:numPr>
        <w:spacing w:before="340" w:after="60" w:afterLines="25" w:line="578" w:lineRule="auto"/>
        <w:ind w:left="0" w:firstLine="0"/>
        <w:jc w:val="center"/>
        <w:outlineLvl w:val="0"/>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服务需求内容表述</w:t>
      </w:r>
    </w:p>
    <w:p>
      <w:pPr>
        <w:widowControl w:val="0"/>
        <w:spacing w:before="60" w:beforeLines="25" w:after="60" w:afterLines="25" w:line="360" w:lineRule="auto"/>
        <w:ind w:firstLine="42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3.1项目概况</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深圳市龙华科技实验高级中学是“十四五”期间深圳市政府高起点规划、高水平设计、高规格建设的全寄宿制公办高中。为响应国家加快建设教育强国、科技强国、人才强国的政策，深圳市龙华科技实验高级中学以“未来胜任力”为核心教育理念，凸显科技教育办学特色，致力于培养“具有责任担当和未来胜任力的身心健康、个性舒展的创造性人才”。学校立足现实放眼未来，为学生筑牢全面发展特长突出的素养基石，增强未来胜任力。学校不仅传授关键知识，培养必备能力，更为注重培养学生拥抱未来勇于担当的勇气和本领及其核心价值。现根据学校需要，计划公开招标购买特色课程服务项目。</w:t>
      </w:r>
    </w:p>
    <w:p>
      <w:pPr>
        <w:widowControl w:val="0"/>
        <w:spacing w:before="60" w:beforeLines="25" w:after="60" w:afterLines="25" w:line="360" w:lineRule="auto"/>
        <w:ind w:firstLine="42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3.2项目服务内容及服务要求</w:t>
      </w:r>
    </w:p>
    <w:p>
      <w:pPr>
        <w:numPr>
          <w:ilvl w:val="0"/>
          <w:numId w:val="0"/>
        </w:numPr>
        <w:spacing w:line="360" w:lineRule="auto"/>
        <w:ind w:left="0" w:firstLine="0"/>
        <w:rPr>
          <w:rFonts w:ascii="宋体" w:eastAsia="宋体" w:hAnsi="宋体" w:cs="宋体" w:hint="eastAsia"/>
          <w:b/>
          <w:bCs/>
          <w:sz w:val="21"/>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一</w:t>
      </w:r>
      <w:r>
        <w:rPr>
          <w:rFonts w:ascii="宋体" w:eastAsia="宋体" w:hAnsi="宋体" w:cs="宋体" w:hint="eastAsia"/>
          <w:b/>
          <w:bCs/>
          <w:sz w:val="21"/>
          <w:szCs w:val="21"/>
          <w:lang w:eastAsia="zh-CN"/>
        </w:rPr>
        <w:t>）</w:t>
      </w:r>
      <w:r>
        <w:rPr>
          <w:rFonts w:ascii="宋体" w:eastAsia="宋体" w:hAnsi="宋体" w:cs="宋体" w:hint="eastAsia"/>
          <w:b/>
          <w:bCs/>
          <w:sz w:val="21"/>
          <w:szCs w:val="21"/>
        </w:rPr>
        <w:t>服务内容</w:t>
      </w:r>
    </w:p>
    <w:p>
      <w:pPr>
        <w:spacing w:after="0" w:afterLines="0" w:line="360" w:lineRule="auto"/>
        <w:ind w:firstLine="420"/>
        <w:rPr>
          <w:rFonts w:ascii="宋体" w:eastAsia="宋体" w:hAnsi="宋体" w:cs="宋体" w:hint="eastAsia"/>
          <w:sz w:val="21"/>
          <w:szCs w:val="21"/>
        </w:rPr>
      </w:pPr>
      <w:r>
        <w:rPr>
          <w:rFonts w:ascii="宋体" w:eastAsia="宋体" w:hAnsi="宋体" w:cs="宋体" w:hint="eastAsia"/>
          <w:sz w:val="21"/>
          <w:szCs w:val="21"/>
        </w:rPr>
        <w:t>为了培养学生综合素质，据学校课程需求，开展特色课程服务。至少提供</w:t>
      </w:r>
      <w:r>
        <w:rPr>
          <w:rFonts w:ascii="宋体" w:eastAsia="宋体" w:hAnsi="宋体" w:cs="宋体" w:hint="eastAsia"/>
          <w:sz w:val="21"/>
          <w:szCs w:val="21"/>
          <w:lang w:eastAsia="zh-CN"/>
        </w:rPr>
        <w:t>4</w:t>
      </w:r>
      <w:r>
        <w:rPr>
          <w:rFonts w:ascii="宋体" w:eastAsia="宋体" w:hAnsi="宋体" w:cs="宋体" w:hint="eastAsia"/>
          <w:sz w:val="21"/>
          <w:szCs w:val="21"/>
        </w:rPr>
        <w:t>名课程老师驻校服务，为班级学生提供逻辑</w:t>
      </w:r>
      <w:r>
        <w:rPr>
          <w:rFonts w:ascii="宋体" w:eastAsia="宋体" w:hAnsi="宋体" w:cs="宋体" w:hint="eastAsia"/>
          <w:sz w:val="21"/>
          <w:szCs w:val="21"/>
          <w:lang w:eastAsia="zh-CN"/>
        </w:rPr>
        <w:t>分析、</w:t>
      </w:r>
      <w:r>
        <w:rPr>
          <w:rFonts w:ascii="宋体" w:eastAsia="宋体" w:hAnsi="宋体" w:cs="宋体" w:hint="eastAsia"/>
          <w:sz w:val="21"/>
          <w:szCs w:val="21"/>
        </w:rPr>
        <w:t>名著欣赏</w:t>
      </w:r>
      <w:r>
        <w:rPr>
          <w:rFonts w:ascii="宋体" w:eastAsia="宋体" w:hAnsi="宋体" w:cs="宋体" w:hint="eastAsia"/>
          <w:sz w:val="21"/>
          <w:szCs w:val="21"/>
          <w:lang w:eastAsia="zh-CN"/>
        </w:rPr>
        <w:t>、</w:t>
      </w:r>
      <w:r>
        <w:rPr>
          <w:rFonts w:ascii="宋体" w:eastAsia="宋体" w:hAnsi="宋体" w:cs="宋体" w:hint="eastAsia"/>
          <w:sz w:val="21"/>
          <w:szCs w:val="21"/>
        </w:rPr>
        <w:t>经典电影赏析</w:t>
      </w:r>
      <w:r>
        <w:rPr>
          <w:rFonts w:ascii="宋体" w:eastAsia="宋体" w:hAnsi="宋体" w:cs="宋体" w:hint="eastAsia"/>
          <w:sz w:val="21"/>
          <w:szCs w:val="21"/>
          <w:lang w:eastAsia="zh-CN"/>
        </w:rPr>
        <w:t>、</w:t>
      </w:r>
      <w:r>
        <w:rPr>
          <w:rFonts w:ascii="宋体" w:eastAsia="宋体" w:hAnsi="宋体" w:cs="宋体" w:hint="eastAsia"/>
          <w:sz w:val="21"/>
          <w:szCs w:val="21"/>
        </w:rPr>
        <w:t>魅力反应堆课程，</w:t>
      </w:r>
      <w:r>
        <w:rPr>
          <w:rFonts w:ascii="宋体" w:eastAsia="宋体" w:hAnsi="宋体" w:cs="宋体" w:hint="eastAsia"/>
          <w:sz w:val="21"/>
          <w:szCs w:val="21"/>
          <w:lang w:eastAsia="zh-CN"/>
        </w:rPr>
        <w:t>提供</w:t>
      </w:r>
      <w:r>
        <w:rPr>
          <w:rFonts w:ascii="宋体" w:eastAsia="宋体" w:hAnsi="宋体" w:cs="宋体" w:hint="eastAsia"/>
          <w:sz w:val="21"/>
          <w:szCs w:val="21"/>
        </w:rPr>
        <w:t>至少</w:t>
      </w:r>
      <w:r>
        <w:rPr>
          <w:rFonts w:ascii="宋体" w:eastAsia="宋体" w:hAnsi="宋体" w:cs="宋体" w:hint="eastAsia"/>
          <w:sz w:val="21"/>
          <w:szCs w:val="21"/>
          <w:lang w:eastAsia="zh-CN"/>
        </w:rPr>
        <w:t>1242</w:t>
      </w:r>
      <w:r>
        <w:rPr>
          <w:rFonts w:ascii="宋体" w:eastAsia="宋体" w:hAnsi="宋体" w:cs="宋体" w:hint="eastAsia"/>
          <w:sz w:val="21"/>
          <w:szCs w:val="21"/>
        </w:rPr>
        <w:t>节课。</w:t>
      </w:r>
    </w:p>
    <w:p>
      <w:pPr>
        <w:numPr>
          <w:ilvl w:val="0"/>
          <w:numId w:val="0"/>
        </w:numPr>
        <w:spacing w:after="0" w:afterLines="0" w:line="360" w:lineRule="auto"/>
        <w:ind w:left="0"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为学校提供精确的专业服务人员。</w:t>
      </w:r>
    </w:p>
    <w:p>
      <w:pPr>
        <w:numPr>
          <w:ilvl w:val="0"/>
          <w:numId w:val="0"/>
        </w:numPr>
        <w:spacing w:after="0" w:afterLines="0" w:line="360" w:lineRule="auto"/>
        <w:ind w:left="0"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2、</w:t>
      </w:r>
      <w:r>
        <w:rPr>
          <w:rFonts w:ascii="宋体" w:eastAsia="宋体" w:hAnsi="宋体" w:cs="宋体" w:hint="eastAsia"/>
          <w:sz w:val="21"/>
          <w:szCs w:val="21"/>
        </w:rPr>
        <w:t>根据学校需求提供相对应的课程服务。</w:t>
      </w:r>
    </w:p>
    <w:p>
      <w:pPr>
        <w:numPr>
          <w:ilvl w:val="0"/>
          <w:numId w:val="0"/>
        </w:numPr>
        <w:spacing w:after="0" w:afterLines="0" w:line="360" w:lineRule="auto"/>
        <w:ind w:left="0"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3、</w:t>
      </w:r>
      <w:r>
        <w:rPr>
          <w:rFonts w:ascii="宋体" w:eastAsia="宋体" w:hAnsi="宋体" w:cs="宋体" w:hint="eastAsia"/>
          <w:sz w:val="21"/>
          <w:szCs w:val="21"/>
        </w:rPr>
        <w:t>建立完善的劳务员工管理制度，确保校园课程正常运行。</w:t>
      </w:r>
    </w:p>
    <w:p>
      <w:pPr>
        <w:numPr>
          <w:ilvl w:val="0"/>
          <w:numId w:val="0"/>
        </w:numPr>
        <w:spacing w:after="0" w:afterLines="0" w:line="360" w:lineRule="auto"/>
        <w:ind w:left="0"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4、</w:t>
      </w:r>
      <w:r>
        <w:rPr>
          <w:rFonts w:ascii="宋体" w:eastAsia="宋体" w:hAnsi="宋体" w:cs="宋体" w:hint="eastAsia"/>
          <w:sz w:val="21"/>
          <w:szCs w:val="21"/>
        </w:rPr>
        <w:t>根据学校课程需求，及时补充和招聘相关人员。</w:t>
      </w:r>
    </w:p>
    <w:p>
      <w:pPr>
        <w:numPr>
          <w:ilvl w:val="0"/>
          <w:numId w:val="0"/>
        </w:numPr>
        <w:spacing w:after="0" w:afterLines="0" w:line="360" w:lineRule="auto"/>
        <w:ind w:left="0"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5、</w:t>
      </w:r>
      <w:r>
        <w:rPr>
          <w:rFonts w:ascii="宋体" w:eastAsia="宋体" w:hAnsi="宋体" w:cs="宋体" w:hint="eastAsia"/>
          <w:sz w:val="21"/>
          <w:szCs w:val="21"/>
        </w:rPr>
        <w:t>服务人员要求有教师资格证或者相关的教练证。</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（二）服务要求</w:t>
      </w:r>
    </w:p>
    <w:p>
      <w:pPr>
        <w:spacing w:line="360" w:lineRule="auto"/>
        <w:ind w:left="0" w:firstLine="420" w:leftChars="0" w:firstLineChars="200"/>
        <w:rPr>
          <w:rFonts w:ascii="宋体" w:eastAsia="宋体" w:hAnsi="宋体" w:cs="宋体" w:hint="eastAsia"/>
          <w:sz w:val="21"/>
          <w:szCs w:val="21"/>
        </w:rPr>
      </w:pPr>
      <w:r>
        <w:rPr>
          <w:rFonts w:ascii="宋体" w:eastAsia="宋体" w:hAnsi="宋体" w:cs="宋体" w:hint="eastAsia"/>
          <w:sz w:val="21"/>
          <w:szCs w:val="21"/>
        </w:rPr>
        <w:t>1、中标供应商负责招聘工作，根据学校需求于签订合同后7个工作日内按学校要求提供相关人员，派遣人员按照学校规章制度和相关岗位职责，有效开展工作。</w:t>
      </w:r>
    </w:p>
    <w:p>
      <w:pPr>
        <w:spacing w:line="360" w:lineRule="auto"/>
        <w:ind w:left="0" w:firstLine="420" w:leftChars="0" w:firstLineChars="200"/>
        <w:rPr>
          <w:rFonts w:ascii="宋体" w:eastAsia="宋体" w:hAnsi="宋体" w:cs="宋体" w:hint="eastAsia"/>
          <w:sz w:val="21"/>
          <w:szCs w:val="21"/>
        </w:rPr>
      </w:pPr>
      <w:r>
        <w:rPr>
          <w:rFonts w:ascii="宋体" w:eastAsia="宋体" w:hAnsi="宋体" w:cs="宋体" w:hint="eastAsia"/>
          <w:sz w:val="21"/>
          <w:szCs w:val="21"/>
        </w:rPr>
        <w:t>2、中标供应商负责所有服务人员的人事、劳资、社会保险、住房公积金、计生等人事劳资管理工作，并提供为购买服务人员办理劳动用工手续、结算发放工资、缴纳社会保险、住房公积金、处理保险理赔、发放经济补偿金、管理人事档案等方面的管理服务。</w:t>
      </w:r>
    </w:p>
    <w:p>
      <w:pPr>
        <w:spacing w:line="360" w:lineRule="auto"/>
        <w:ind w:left="0" w:firstLine="420" w:leftChars="0" w:firstLineChars="200"/>
        <w:rPr>
          <w:rFonts w:ascii="宋体" w:eastAsia="宋体" w:hAnsi="宋体" w:cs="宋体" w:hint="eastAsia"/>
          <w:sz w:val="21"/>
          <w:szCs w:val="21"/>
        </w:rPr>
      </w:pPr>
      <w:r>
        <w:rPr>
          <w:rFonts w:ascii="宋体" w:eastAsia="宋体" w:hAnsi="宋体" w:cs="宋体" w:hint="eastAsia"/>
          <w:sz w:val="21"/>
          <w:szCs w:val="21"/>
        </w:rPr>
        <w:t>3、中标供应商负责按照合同约定时间和经学校核准的发放标准，向全体购买服务人员按时发放工资和其他薪酬。非经学校的书面通知，不得扣发服务人员工资和其他薪酬，不得缩减或变更服务人员社会保险、住房公积金等的缴付金额和险种。</w:t>
      </w:r>
    </w:p>
    <w:p>
      <w:pPr>
        <w:spacing w:line="360" w:lineRule="auto"/>
        <w:ind w:left="0" w:firstLine="420" w:leftChars="0" w:firstLineChars="200"/>
        <w:rPr>
          <w:rFonts w:ascii="宋体" w:eastAsia="宋体" w:hAnsi="宋体" w:cs="宋体" w:hint="eastAsia"/>
          <w:sz w:val="21"/>
          <w:szCs w:val="21"/>
        </w:rPr>
      </w:pPr>
      <w:r>
        <w:rPr>
          <w:rFonts w:ascii="宋体" w:eastAsia="宋体" w:hAnsi="宋体" w:cs="宋体" w:hint="eastAsia"/>
          <w:sz w:val="21"/>
          <w:szCs w:val="21"/>
        </w:rPr>
        <w:t>4、中标供应商按照劳动法的规定合法规范用工，负责处理劳动人事纠纷等涉及劳动关系的所有事宜。</w:t>
      </w:r>
    </w:p>
    <w:p>
      <w:pPr>
        <w:spacing w:line="360" w:lineRule="auto"/>
        <w:ind w:left="0" w:firstLine="420" w:leftChars="0" w:firstLineChars="200"/>
        <w:rPr>
          <w:rFonts w:ascii="宋体" w:eastAsia="宋体" w:hAnsi="宋体" w:cs="宋体" w:hint="eastAsia"/>
          <w:sz w:val="21"/>
          <w:szCs w:val="21"/>
        </w:rPr>
      </w:pPr>
      <w:r>
        <w:rPr>
          <w:rFonts w:ascii="宋体" w:eastAsia="宋体" w:hAnsi="宋体" w:cs="宋体" w:hint="eastAsia"/>
          <w:sz w:val="21"/>
          <w:szCs w:val="21"/>
        </w:rPr>
        <w:t>5、服务人员发生工伤事故的，中标供应商接到学校通知后，按相关保险条例妥善处理，并负责办理申报和理赔事宜。</w:t>
      </w:r>
    </w:p>
    <w:p>
      <w:pPr>
        <w:spacing w:line="360" w:lineRule="auto"/>
        <w:ind w:left="0" w:firstLine="420" w:leftChars="0" w:firstLineChars="200"/>
        <w:rPr>
          <w:rFonts w:ascii="宋体" w:eastAsia="宋体" w:hAnsi="宋体" w:cs="宋体" w:hint="eastAsia"/>
          <w:sz w:val="21"/>
          <w:szCs w:val="21"/>
        </w:rPr>
      </w:pPr>
      <w:r>
        <w:rPr>
          <w:rFonts w:ascii="宋体" w:eastAsia="宋体" w:hAnsi="宋体" w:cs="宋体" w:hint="eastAsia"/>
          <w:sz w:val="21"/>
          <w:szCs w:val="21"/>
        </w:rPr>
        <w:t>6、全体服务人员工作时间由学校根据国家有关规定及实际工作需要具体安排。</w:t>
      </w:r>
    </w:p>
    <w:p>
      <w:pPr>
        <w:spacing w:line="360" w:lineRule="auto"/>
        <w:ind w:left="0" w:firstLine="420" w:leftChars="0" w:firstLineChars="200"/>
        <w:rPr>
          <w:rFonts w:ascii="宋体" w:eastAsia="宋体" w:hAnsi="宋体" w:cs="宋体" w:hint="eastAsia"/>
          <w:sz w:val="21"/>
          <w:szCs w:val="21"/>
        </w:rPr>
      </w:pPr>
      <w:r>
        <w:rPr>
          <w:rFonts w:ascii="宋体" w:eastAsia="宋体" w:hAnsi="宋体" w:cs="宋体" w:hint="eastAsia"/>
          <w:sz w:val="21"/>
          <w:szCs w:val="21"/>
        </w:rPr>
        <w:t>7、因派遣人员工作失职、故意行为、违法犯罪行为造成采购人损失的，供应商积极协助采购人对派遣人员进行处理；因供应商自身原因导致纠纷扩大或未能减少采购人相关损失的，由供应商承担相应责任；因供应商自身原因所引发的一切纠纷，由供应商负完全责任；服务人员在工作时间和非工作时间内发生的人身意外或其他纠纷，由供应商按相关法律法规负责处理。</w:t>
      </w:r>
    </w:p>
    <w:p>
      <w:pPr>
        <w:widowControl w:val="0"/>
        <w:spacing w:before="60" w:beforeLines="25" w:after="60" w:afterLines="25" w:line="360" w:lineRule="auto"/>
        <w:ind w:firstLine="42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四、服务期限</w:t>
      </w:r>
      <w:r>
        <w:rPr>
          <w:rFonts w:ascii="宋体" w:eastAsia="宋体" w:hAnsi="宋体" w:cs="宋体" w:hint="eastAsia"/>
          <w:b/>
          <w:bCs/>
          <w:color w:val="FF0000"/>
          <w:kern w:val="2"/>
          <w:sz w:val="21"/>
          <w:szCs w:val="21"/>
          <w:lang w:eastAsia="zh-CN"/>
        </w:rPr>
        <w:t>(具体以合同签订时间为准)</w:t>
      </w:r>
    </w:p>
    <w:p>
      <w:pPr>
        <w:widowControl w:val="0"/>
        <w:spacing w:before="60" w:beforeLines="25" w:after="60" w:afterLines="25" w:line="360"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本项目服务期限为：自合同签订之日起至</w:t>
      </w:r>
      <w:r>
        <w:rPr>
          <w:rFonts w:ascii="宋体" w:eastAsia="宋体" w:hAnsi="宋体" w:cs="宋体" w:hint="eastAsia"/>
          <w:kern w:val="2"/>
          <w:sz w:val="21"/>
          <w:szCs w:val="21"/>
          <w:u w:val="single"/>
          <w:lang w:eastAsia="zh-CN"/>
        </w:rPr>
        <w:t>2025</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7</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31</w:t>
      </w:r>
      <w:r>
        <w:rPr>
          <w:rFonts w:ascii="宋体" w:eastAsia="宋体" w:hAnsi="宋体" w:cs="宋体" w:hint="eastAsia"/>
          <w:kern w:val="2"/>
          <w:sz w:val="21"/>
          <w:szCs w:val="21"/>
          <w:lang w:eastAsia="zh-CN"/>
        </w:rPr>
        <w:t>日。</w:t>
      </w:r>
    </w:p>
    <w:p>
      <w:pPr>
        <w:widowControl w:val="0"/>
        <w:spacing w:before="60" w:beforeLines="25" w:after="60" w:afterLines="25" w:line="360" w:lineRule="auto"/>
        <w:ind w:firstLine="42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五、付款方式</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1、按月支付：次月10日前结算当月服务费用，服务费用据实结算，凭乙方完税发票，由甲方签署付款凭证，办理付款手续。</w:t>
      </w:r>
    </w:p>
    <w:p>
      <w:pPr>
        <w:widowControl w:val="0"/>
        <w:spacing w:before="60" w:beforeLines="25" w:after="60" w:afterLines="25"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六、投标报价要求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本项目服务费采用包干制，应包括服务成本、法定税费和利润。由投标人根据采购文件所提供的资料自行测算投标报价；一经中选，投标报价总价作为中选单位与采购单位签定的合同金额，合同期限内不做调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标小组应将其作为无效投标处理。若评审小组对是否须由投标人作出报价合理性说明，以及书面说明是否采纳等判断不一致的，按照“少数服从多数”的原则确定评审小组的意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3、投标人的投标报价不得超过财政预算限额，如设投标最高限价的，报价不得超过最高限价；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4、投标人的投标报价，应是本项目采购范围和采购文件及合同条款上所列的各项内容中所述的全部，不得以任何理由予以重复，并以投标人在中提出的综合单价或总价为依据；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除非深圳政府采购自行采购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6、投标人应先到项目地点踏勘以充分了解项目的位置、情况、道路及任何其它足以影响投标报价的情况，任何因忽视或误解项目情况而导致的索赔或服务期限延长申请将不获批准；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bCs/>
          <w:sz w:val="28"/>
          <w:szCs w:val="28"/>
          <w:lang w:eastAsia="zh-CN"/>
        </w:rPr>
      </w:pPr>
      <w:r>
        <w:rPr>
          <w:rFonts w:ascii="宋体" w:eastAsia="宋体" w:hAnsi="宋体" w:cs="宋体" w:hint="eastAsia"/>
          <w:bCs/>
          <w:kern w:val="2"/>
          <w:sz w:val="21"/>
          <w:szCs w:val="21"/>
          <w:lang w:eastAsia="zh-CN"/>
        </w:rPr>
        <w:t>7、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七、注意事项</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1、中标人不得将项目非法分包或转包给任何单位和个人。否则，采购单位有权即刻终止合同，并要求中标人赔偿相应损失。</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2、投标人使用的标准必须是国际公认或国家、或地方政府颁布的同等或更高的标准，如投标人使用的标准低于上述标准,评标小组将有权不予接受，投标人必须列表将明显的差异详细说明。</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3、投标人须在质疑期内一次性提出针对同一采购程序环节的质疑。</w:t>
      </w:r>
    </w:p>
    <w:p>
      <w:pPr>
        <w:widowControl w:val="0"/>
        <w:spacing w:line="360" w:lineRule="auto"/>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4、本项目按照深圳市龙华区教育局的相关采购规定执行，招标文件未明确的事项，参照政府采购有关法律法规执行。</w:t>
      </w: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jc w:val="both"/>
        <w:rPr>
          <w:rFonts w:ascii="宋体" w:eastAsia="宋体" w:hAnsi="宋体"/>
          <w:b/>
          <w:bCs/>
          <w:sz w:val="28"/>
          <w:szCs w:val="28"/>
          <w:lang w:eastAsia="zh-CN"/>
        </w:rPr>
      </w:pPr>
      <w:r>
        <w:rPr>
          <w:rFonts w:ascii="宋体" w:eastAsia="宋体" w:hAnsi="宋体" w:hint="eastAsia"/>
          <w:b/>
          <w:bCs/>
          <w:sz w:val="28"/>
          <w:szCs w:val="28"/>
          <w:lang w:eastAsia="zh-CN"/>
        </w:rPr>
        <w:br w:type="page"/>
      </w: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3" w:name="_Hlk72257167"/>
    </w:p>
    <w:bookmarkEnd w:id="13"/>
    <w:p>
      <w:pPr>
        <w:widowControl/>
        <w:spacing w:line="320" w:lineRule="atLeast"/>
        <w:jc w:val="left"/>
        <w:outlineLvl w:val="2"/>
        <w:rPr>
          <w:rFonts w:ascii="宋体" w:eastAsia="黑体" w:hAnsi="宋体"/>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bookmarkStart w:id="14" w:name="_Hlk72257771"/>
      <w:r>
        <w:rPr>
          <w:rFonts w:hint="eastAsia"/>
        </w:rPr>
        <w:t>（1）投标函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（2）龙华区教育局自行采购投标及履约承诺函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（9）实施方案</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（10）项目重点难点分析、应对措施及相关的合理化建议</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（11）质量保障措施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（12）项目管理方案</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（13）拟安排的项目负责人情况（仅限一人）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（14）拟安排的项目团队情况（项目负责人除外）</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（15）应急预案</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（16）违约承诺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（17）项目完成（服务期满）后的服务承诺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（18）服务网点</w:t>
      </w:r>
    </w:p>
    <w:p>
      <w:pPr>
        <w:keepNext w:val="0"/>
        <w:keepLines w:val="0"/>
        <w:pageBreakBefore w:val="0"/>
        <w:widowControl/>
        <w:kinsoku/>
        <w:wordWrap/>
        <w:overflowPunct/>
        <w:topLinePunct w:val="0"/>
        <w:autoSpaceDE/>
        <w:autoSpaceDN/>
        <w:bidi w:val="0"/>
        <w:adjustRightInd/>
        <w:snapToGrid/>
        <w:ind w:firstLine="1440" w:firstLineChars="600"/>
        <w:textAlignment w:val="auto"/>
      </w:pPr>
      <w:r>
        <w:rPr>
          <w:rFonts w:hint="eastAsia"/>
        </w:rPr>
        <w:t>（</w:t>
      </w:r>
      <w:r>
        <w:rPr>
          <w:rFonts w:eastAsia="宋体" w:hint="eastAsia"/>
          <w:lang w:eastAsia="zh-CN"/>
        </w:rPr>
        <w:t>19</w:t>
      </w:r>
      <w:r>
        <w:rPr>
          <w:rFonts w:hint="eastAsia"/>
        </w:rPr>
        <w:t>）投标人认为需要加以说明的其他内容</w:t>
      </w:r>
    </w:p>
    <w:p>
      <w:pPr>
        <w:widowControl w:val="0"/>
        <w:ind w:left="821" w:firstLine="1470" w:leftChars="342" w:firstLineChars="700"/>
        <w:jc w:val="both"/>
        <w:rPr>
          <w:rFonts w:ascii="Calibri" w:eastAsia="宋体" w:hAnsi="Calibri" w:hint="eastAsia"/>
          <w:kern w:val="2"/>
          <w:sz w:val="21"/>
          <w:szCs w:val="22"/>
          <w:lang w:eastAsia="zh-CN"/>
        </w:rPr>
      </w:pPr>
    </w:p>
    <w:p>
      <w:pPr>
        <w:widowControl w:val="0"/>
        <w:ind w:left="821" w:leftChars="342"/>
        <w:jc w:val="both"/>
        <w:rPr>
          <w:rFonts w:ascii="Calibri" w:eastAsia="宋体" w:hAnsi="Calibri" w:hint="eastAsia"/>
          <w:kern w:val="2"/>
          <w:sz w:val="21"/>
          <w:szCs w:val="21"/>
          <w:highlight w:val="yellow"/>
          <w:lang w:eastAsia="zh-CN"/>
        </w:rPr>
      </w:pPr>
    </w:p>
    <w:p>
      <w:pPr>
        <w:widowControl w:val="0"/>
        <w:spacing w:line="320" w:lineRule="atLeast"/>
        <w:jc w:val="both"/>
        <w:rPr>
          <w:rFonts w:ascii="宋体" w:eastAsia="宋体" w:hAnsi="宋体"/>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5" w:name="_Hlk72263559"/>
      <w:r>
        <w:rPr>
          <w:rFonts w:ascii="宋体" w:eastAsia="宋体" w:hAnsi="宋体" w:cstheme="minorBidi" w:hint="eastAsia"/>
          <w:b/>
          <w:kern w:val="2"/>
          <w:lang w:eastAsia="zh-CN"/>
        </w:rPr>
        <w:t>2.关于填写“开标一览表”的说明：“开标一览表”中除“投标总价”外，其他信息不作评审依据。</w:t>
      </w:r>
      <w:bookmarkEnd w:id="14"/>
      <w:bookmarkEnd w:id="15"/>
      <w:r>
        <w:rPr>
          <w:rFonts w:ascii="宋体" w:eastAsia="黑体" w:hAnsi="宋体"/>
          <w:bCs/>
          <w:kern w:val="44"/>
          <w:sz w:val="32"/>
          <w:szCs w:val="32"/>
          <w:lang w:eastAsia="zh-CN"/>
        </w:rPr>
        <w:br w:type="page"/>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16"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bookmarkStart w:id="17" w:name="_Hlk73818812"/>
      <w:r>
        <w:rPr>
          <w:rFonts w:ascii="宋体" w:eastAsia="宋体" w:hAnsi="宋体" w:cs="宋体" w:hint="eastAsia"/>
          <w:kern w:val="2"/>
          <w:sz w:val="21"/>
          <w:szCs w:val="21"/>
          <w:lang w:eastAsia="zh-CN"/>
        </w:rPr>
        <w:t>1、根据已收到贵单位的项目编号为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kern w:val="2"/>
          <w:sz w:val="21"/>
          <w:szCs w:val="21"/>
          <w:u w:val="thick"/>
          <w:lang w:eastAsia="zh-CN"/>
        </w:rPr>
        <w:t xml:space="preserve">   （项目名称）   </w:t>
      </w:r>
      <w:r>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18" w:name="_Hlk72263588"/>
      <w:r>
        <w:rPr>
          <w:rFonts w:ascii="宋体" w:eastAsia="宋体" w:hAnsi="宋体" w:cs="宋体" w:hint="eastAsia"/>
          <w:kern w:val="2"/>
          <w:sz w:val="21"/>
          <w:szCs w:val="21"/>
          <w:lang w:eastAsia="zh-CN"/>
        </w:rPr>
        <w:t>愿意按照招标文件要求承包上述项目并修补其任何缺陷。</w:t>
      </w:r>
      <w:bookmarkEnd w:id="18"/>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bookmarkStart w:id="19" w:name="_Hlk73819847"/>
      <w:r>
        <w:rPr>
          <w:rFonts w:ascii="宋体" w:eastAsia="宋体" w:hAnsi="宋体" w:cs="宋体" w:hint="eastAsia"/>
          <w:kern w:val="2"/>
          <w:sz w:val="21"/>
          <w:szCs w:val="21"/>
          <w:lang w:eastAsia="zh-CN"/>
        </w:rPr>
        <w:t>投标价格见投标书编制软件中《开标一览表》中填写的投标总价。</w:t>
      </w:r>
      <w:bookmarkEnd w:id="19"/>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bookmarkEnd w:id="17"/>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7、如我单位提交样品，且未在规定时间内取回样品的，视同放弃取回，同意深圳市千里招标代理有限公司对我单位提交的样品进行清理。</w:t>
      </w:r>
    </w:p>
    <w:p>
      <w:pPr>
        <w:widowControl w:val="0"/>
        <w:ind w:left="480" w:firstLine="210" w:leftChars="200" w:firstLineChars="100"/>
        <w:jc w:val="both"/>
        <w:rPr>
          <w:rFonts w:ascii="Calibri" w:eastAsia="宋体" w:hAnsi="Calibri"/>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单位地址：</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法定代表人（负责人）或其授权委托代理人：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开户银行名称：</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开户银行账号：</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邮政编码：</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电话：</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传真：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w:t>
      </w:r>
    </w:p>
    <w:p>
      <w:pPr>
        <w:widowControl w:val="0"/>
        <w:jc w:val="both"/>
        <w:rPr>
          <w:rFonts w:ascii="黑体" w:eastAsia="黑体" w:hAnsi="宋体"/>
          <w:kern w:val="2"/>
          <w:sz w:val="21"/>
          <w:szCs w:val="22"/>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日</w:t>
      </w:r>
      <w:r>
        <w:rPr>
          <w:rFonts w:ascii="宋体" w:eastAsia="宋体" w:hAnsi="宋体" w:cs="宋体" w:hint="eastAsia"/>
          <w:kern w:val="2"/>
          <w:szCs w:val="22"/>
          <w:lang w:eastAsia="zh-CN"/>
        </w:rPr>
        <w:t xml:space="preserve">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6"/>
    <w:p>
      <w:pPr>
        <w:keepNext/>
        <w:keepLines/>
        <w:widowControl w:val="0"/>
        <w:spacing w:line="360" w:lineRule="auto"/>
        <w:jc w:val="center"/>
        <w:outlineLvl w:val="2"/>
        <w:rPr>
          <w:rFonts w:ascii="宋体" w:eastAsia="宋体" w:hAnsi="宋体" w:cs="宋体"/>
          <w:b/>
          <w:kern w:val="2"/>
          <w:sz w:val="28"/>
          <w:lang w:eastAsia="zh-CN"/>
        </w:rPr>
      </w:pPr>
      <w:r>
        <w:rPr>
          <w:rFonts w:ascii="宋体" w:eastAsia="宋体" w:hAnsi="宋体" w:cs="宋体" w:hint="eastAsia"/>
          <w:b/>
          <w:kern w:val="2"/>
          <w:sz w:val="28"/>
          <w:lang w:eastAsia="zh-CN"/>
        </w:rPr>
        <w:t>二、龙华区教育局自行采购投标及履约承诺函</w:t>
      </w:r>
    </w:p>
    <w:p>
      <w:pPr>
        <w:widowControl w:val="0"/>
        <w:spacing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我单位承诺：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1.我单位本招标项目所提供的货物或服务未侵犯知识产权。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2.我单位参与本项目投标前三年内，在经营活动中没有重大违法记录。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3.我单位参与本项目政府采购活动时不存在被有关部门禁止参与政府采购活动且在有效期内的情况。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4.我单位具备《中华人民共和国政府采购法》第二十二条第一款规定的六项条件。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5.我单位未被列入失信被执行人、重大税收违法案件当事人名单（税收违法黑名单）、政府采购严重违法失信行为记录名单。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 mac 地址与其他投标人相同的情形。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 xml:space="preserve"> 我单位承诺参与本项目非联合体投标，不选用进口产品参与投标，中标后项目不转包，未经采购人同意不进行分包。</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11.我单位保证，若所投货物涉及《财政部生态环境部关于印发节能产品政府采购品目清单的通知》（财库〔2019〕19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13.我单位承诺，符合《中华人民共和国政府采购法实施条例》第十八条第一款规定，不存在我单位与其他供应商的负责人为同一人或者存在直接控股、管理关系的情况。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14.所投标（响应）的货物、工程或服务，不存在侵犯知识产权的情况；已知悉并同意中标（成交）结果信息公示（公开）的内容。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15.本单位（公司）不存在《深圳市财政局政府采购供应商信用信息管理办法》（深财规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360" w:lineRule="auto"/>
        <w:jc w:val="both"/>
        <w:rPr>
          <w:rFonts w:ascii="宋体" w:eastAsia="宋体" w:hAnsi="宋体" w:cs="宋体"/>
          <w:kern w:val="2"/>
          <w:sz w:val="18"/>
          <w:szCs w:val="18"/>
          <w:lang w:eastAsia="zh-CN"/>
        </w:rPr>
      </w:pPr>
    </w:p>
    <w:p>
      <w:pPr>
        <w:widowControl w:val="0"/>
        <w:spacing w:line="360" w:lineRule="auto"/>
        <w:ind w:firstLine="645"/>
        <w:jc w:val="right"/>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投标人：</w:t>
      </w:r>
    </w:p>
    <w:p>
      <w:pPr>
        <w:widowControl w:val="0"/>
        <w:wordWrap w:val="0"/>
        <w:spacing w:line="360" w:lineRule="auto"/>
        <w:ind w:firstLine="645"/>
        <w:jc w:val="right"/>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日期：年月日</w:t>
      </w:r>
    </w:p>
    <w:p>
      <w:pPr>
        <w:widowControl w:val="0"/>
        <w:spacing w:line="360" w:lineRule="auto"/>
        <w:jc w:val="both"/>
        <w:rPr>
          <w:rFonts w:ascii="宋体" w:eastAsia="宋体" w:hAnsi="宋体" w:cs="宋体"/>
          <w:b/>
          <w:bCs/>
          <w:color w:val="FF0000"/>
          <w:kern w:val="2"/>
          <w:sz w:val="21"/>
          <w:szCs w:val="21"/>
          <w:lang w:eastAsia="zh-CN"/>
        </w:rPr>
      </w:pPr>
    </w:p>
    <w:p>
      <w:pPr>
        <w:widowControl w:val="0"/>
        <w:spacing w:line="360" w:lineRule="auto"/>
        <w:jc w:val="both"/>
        <w:rPr>
          <w:rFonts w:ascii="宋体" w:eastAsia="宋体" w:hAnsi="宋体"/>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三、投标人情况及资格证明文件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szCs w:val="32"/>
          <w:lang w:eastAsia="zh-CN"/>
        </w:rPr>
      </w:pPr>
      <w:bookmarkStart w:id="20" w:name="_Hlk72257590"/>
      <w:r>
        <w:rPr>
          <w:rFonts w:ascii="宋体" w:eastAsia="宋体" w:hAnsi="宋体" w:cs="宋体" w:hint="eastAsia"/>
          <w:bCs/>
          <w:szCs w:val="32"/>
          <w:lang w:eastAsia="zh-CN"/>
        </w:rPr>
        <w:t>（一）投标人资格证明文件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lang w:eastAsia="zh-CN"/>
        </w:rPr>
      </w:pPr>
      <w:r>
        <w:rPr>
          <w:rFonts w:ascii="宋体" w:eastAsia="宋体" w:hAnsi="宋体" w:cs="宋体"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szCs w:val="32"/>
          <w:lang w:eastAsia="zh-CN"/>
        </w:rPr>
      </w:pPr>
      <w:bookmarkStart w:id="21" w:name="_Hlk72257908"/>
      <w:r>
        <w:rPr>
          <w:rFonts w:ascii="宋体" w:eastAsia="宋体" w:hAnsi="宋体" w:cs="宋体" w:hint="eastAsia"/>
          <w:bCs/>
          <w:szCs w:val="32"/>
          <w:lang w:eastAsia="zh-CN"/>
        </w:rPr>
        <w:t>（二）中小企业声明函、残疾人福利性单位声明函及监狱企业声明函</w:t>
      </w:r>
      <w:bookmarkEnd w:id="20"/>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填写指引：</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bCs/>
          <w:color w:val="FF0000"/>
          <w:sz w:val="21"/>
          <w:szCs w:val="21"/>
          <w:lang w:eastAsia="zh-CN"/>
        </w:rPr>
        <w:t>1、该部分内容由投标人根据自身实际情况填写，不符合要求的投标人可以不填写或直接删除相应的声明函。</w:t>
      </w:r>
      <w:r>
        <w:rPr>
          <w:rFonts w:ascii="宋体" w:eastAsia="宋体" w:hAnsi="宋体" w:cs="宋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2、该部分内容填写需要参考的相关文件：</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(1)财政部《政府采购促进中小企业发展管理办法》（财库〔2020〕46号）；</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(2)《工业和信息化部、国家统计局、国家发展和改革委员会、财政部关于印发中小企业划型标准规定的通知》（工信部联企业〔2011〕300 号，以下简称300号文）；</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(3)《统计上大中小微型企业划分办法(2017)》（国统字〔2017〕213 号）；</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(4)《关于促进残疾人就业政府采购政策的通知》（财库〔2017〕141号）；</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(5)《关于政府采购支持监狱企业发展有关问题的通知》（财库〔2014〕68号）</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3、请依照提供的格式和内容填写声明函，不要随意变更格式；声明函不需要盖章或签字；</w:t>
      </w:r>
      <w:r>
        <w:rPr>
          <w:rFonts w:ascii="宋体" w:eastAsia="宋体" w:hAnsi="宋体" w:cs="宋体" w:hint="eastAsia"/>
          <w:color w:val="FF0000"/>
          <w:kern w:val="2"/>
          <w:sz w:val="21"/>
          <w:szCs w:val="21"/>
          <w:lang w:eastAsia="zh-CN"/>
        </w:rPr>
        <w:t>满足多项优惠政策的投标人，不重复享受多项价格扣除政策。</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4、声明函具体填写要求：</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（1）声明是中小企业须填写《中小企业声明函》的以下内容：</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第一处，在“单位名称”下划线处如实填写采购人名称（深圳公共资源交易中心不是本项目的采购人，而是组织实施机构）；</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第二处，在“项目名称”下划线处如实填写采购项目名称；</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如为服务类项目直接填写项目名称即可。</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（2）声明是残疾人福利性单位须填写《残疾人福利性单位声明函》的相关内容，具体参照以上《中小企业声明函》填写要求执行。</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（3）声明是监狱企业须填写《监狱企业声明函》的三项内容（填写位置的字体已加粗），具体参照以上《中小企业声明函》填写要求执行。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kern w:val="2"/>
          <w:szCs w:val="21"/>
          <w:lang w:eastAsia="zh-CN"/>
        </w:rPr>
      </w:pPr>
    </w:p>
    <w:p>
      <w:pPr>
        <w:widowControl w:val="0"/>
        <w:spacing w:line="360" w:lineRule="auto"/>
        <w:ind w:firstLine="240" w:firstLineChars="100"/>
        <w:jc w:val="both"/>
        <w:rPr>
          <w:rFonts w:ascii="宋体" w:eastAsia="宋体" w:hAnsi="宋体" w:cs="宋体" w:hint="eastAsia"/>
          <w:b/>
          <w:bCs/>
          <w:color w:val="FF0000"/>
          <w:kern w:val="2"/>
          <w:szCs w:val="21"/>
          <w:lang w:eastAsia="zh-CN"/>
        </w:rPr>
      </w:pPr>
    </w:p>
    <w:p>
      <w:pPr>
        <w:widowControl w:val="0"/>
        <w:spacing w:line="360" w:lineRule="auto"/>
        <w:jc w:val="both"/>
        <w:rPr>
          <w:rFonts w:ascii="宋体" w:eastAsia="宋体" w:hAnsi="宋体" w:cs="宋体" w:hint="eastAsia"/>
          <w:b/>
          <w:bCs/>
          <w:color w:val="FF0000"/>
          <w:kern w:val="2"/>
          <w:szCs w:val="21"/>
          <w:lang w:eastAsia="zh-CN"/>
        </w:rPr>
      </w:pPr>
    </w:p>
    <w:p>
      <w:pPr>
        <w:widowControl w:val="0"/>
        <w:spacing w:line="360" w:lineRule="auto"/>
        <w:ind w:firstLine="240" w:firstLineChars="100"/>
        <w:jc w:val="both"/>
        <w:rPr>
          <w:rFonts w:ascii="宋体" w:eastAsia="宋体" w:hAnsi="宋体" w:cs="宋体" w:hint="eastAsia"/>
          <w:b/>
          <w:bCs/>
          <w:color w:val="FF0000"/>
          <w:kern w:val="2"/>
          <w:szCs w:val="21"/>
          <w:lang w:eastAsia="zh-CN"/>
        </w:rPr>
      </w:pPr>
    </w:p>
    <w:p>
      <w:pPr>
        <w:widowControl w:val="0"/>
        <w:spacing w:line="360" w:lineRule="auto"/>
        <w:jc w:val="both"/>
        <w:rPr>
          <w:rFonts w:ascii="Calibri" w:eastAsia="宋体" w:hAnsi="Calibri"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bookmarkEnd w:id="21"/>
    <w:p>
      <w:pPr>
        <w:widowControl w:val="0"/>
        <w:numPr>
          <w:ilvl w:val="0"/>
          <w:numId w:val="4"/>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w:t>
      </w:r>
      <w:r>
        <w:rPr>
          <w:rFonts w:ascii="Calibri" w:eastAsia="宋体" w:hAnsi="Calibri" w:cstheme="minorBidi" w:hint="eastAsia"/>
          <w:b/>
          <w:kern w:val="2"/>
          <w:szCs w:val="22"/>
          <w:lang w:eastAsia="zh-CN"/>
        </w:rPr>
        <w:t>服务</w:t>
      </w:r>
      <w:r>
        <w:rPr>
          <w:rFonts w:ascii="Calibri" w:eastAsia="宋体" w:hAnsi="Calibri" w:cstheme="minorBidi"/>
          <w:b/>
          <w:kern w:val="2"/>
          <w:szCs w:val="22"/>
          <w:lang w:eastAsia="zh-CN"/>
        </w:rPr>
        <w:t>）</w:t>
      </w:r>
    </w:p>
    <w:p>
      <w:pPr>
        <w:widowControl w:val="0"/>
        <w:numPr>
          <w:ilvl w:val="0"/>
          <w:numId w:val="0"/>
        </w:numPr>
        <w:spacing w:line="360" w:lineRule="auto"/>
        <w:ind w:left="0" w:firstLine="0"/>
        <w:jc w:val="both"/>
        <w:rPr>
          <w:rFonts w:ascii="Calibri" w:eastAsia="宋体" w:hAnsi="Calibri"/>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本公司郑重声明，根据《政府采购促进中小企业发展管理办法》（财库﹝2020﹞46号）的规定，本公司参加</w:t>
      </w:r>
      <w:r>
        <w:rPr>
          <w:rFonts w:ascii="宋体" w:eastAsia="宋体" w:hAnsi="宋体" w:cs="宋体" w:hint="eastAsia"/>
          <w:b/>
          <w:b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行业；承接企业为</w:t>
      </w:r>
      <w:r>
        <w:rPr>
          <w:rFonts w:ascii="宋体" w:eastAsia="宋体" w:hAnsi="宋体" w:cs="宋体" w:hint="eastAsia"/>
          <w:b/>
          <w:bCs/>
          <w:kern w:val="2"/>
          <w:sz w:val="21"/>
          <w:szCs w:val="21"/>
          <w:u w:val="single"/>
          <w:lang w:eastAsia="zh-CN"/>
        </w:rPr>
        <w:t xml:space="preserve">    （企业名称）    </w:t>
      </w:r>
      <w:r>
        <w:rPr>
          <w:rFonts w:ascii="宋体" w:eastAsia="宋体" w:hAnsi="宋体" w:cs="宋体" w:hint="eastAsia"/>
          <w:kern w:val="2"/>
          <w:sz w:val="21"/>
          <w:szCs w:val="21"/>
          <w:lang w:eastAsia="zh-CN"/>
        </w:rPr>
        <w:t>，从业人员</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bookmarkStart w:id="22"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2"/>
    </w:p>
    <w:p>
      <w:pPr>
        <w:widowControl w:val="0"/>
        <w:ind w:firstLine="420" w:firstLineChars="200"/>
        <w:jc w:val="both"/>
        <w:rPr>
          <w:rFonts w:ascii="Calibri" w:eastAsia="宋体" w:hAnsi="Calibri"/>
          <w:kern w:val="2"/>
          <w:sz w:val="21"/>
          <w:szCs w:val="22"/>
          <w:lang w:eastAsia="zh-CN"/>
        </w:rPr>
      </w:pPr>
    </w:p>
    <w:p>
      <w:pPr>
        <w:widowControl w:val="0"/>
        <w:jc w:val="center"/>
        <w:outlineLvl w:val="3"/>
        <w:rPr>
          <w:rFonts w:ascii="Calibri" w:eastAsia="宋体" w:hAnsi="Calibri" w:hint="eastAsia"/>
          <w:b/>
          <w:kern w:val="2"/>
          <w:szCs w:val="22"/>
          <w:lang w:eastAsia="zh-CN"/>
        </w:rPr>
      </w:pPr>
      <w:r>
        <w:rPr>
          <w:rFonts w:ascii="Calibri" w:eastAsia="宋体" w:hAnsi="Calibri" w:cstheme="minorBidi" w:hint="eastAsia"/>
          <w:b/>
          <w:kern w:val="2"/>
          <w:szCs w:val="22"/>
          <w:lang w:eastAsia="zh-CN"/>
        </w:rPr>
        <w:t>2、残疾人福利性单位声明函（服务类）</w:t>
      </w:r>
    </w:p>
    <w:p>
      <w:pPr>
        <w:widowControl w:val="0"/>
        <w:spacing w:line="360" w:lineRule="auto"/>
        <w:jc w:val="both"/>
        <w:rPr>
          <w:rFonts w:ascii="Calibri" w:eastAsia="宋体" w:hAnsi="Calibri"/>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3、监狱企业声明函【服务类，监狱企业如需享受优惠政策，还须另行提供省级以上监狱管理局、戒毒管理局（含新疆生产建设兵团）出具的监狱企业证明文件】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采购人</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kern w:val="2"/>
          <w:sz w:val="21"/>
          <w:szCs w:val="21"/>
          <w:u w:val="single"/>
          <w:lang w:eastAsia="zh-CN"/>
        </w:rPr>
        <w:t>（项目名称）</w:t>
      </w:r>
      <w:r>
        <w:rPr>
          <w:rFonts w:ascii="宋体" w:eastAsia="宋体" w:hAnsi="宋体" w:cstheme="minorBidi"/>
          <w:kern w:val="2"/>
          <w:sz w:val="21"/>
          <w:szCs w:val="21"/>
          <w:lang w:eastAsia="zh-CN"/>
        </w:rPr>
        <w:t>采购活动，</w:t>
      </w:r>
      <w:r>
        <w:rPr>
          <w:rFonts w:ascii="宋体" w:eastAsia="宋体" w:hAnsi="宋体" w:cstheme="minorBidi" w:hint="eastAsia"/>
          <w:kern w:val="2"/>
          <w:sz w:val="21"/>
          <w:szCs w:val="21"/>
          <w:lang w:eastAsia="zh-CN"/>
        </w:rPr>
        <w:t>服务</w:t>
      </w:r>
      <w:r>
        <w:rPr>
          <w:rFonts w:ascii="宋体" w:eastAsia="宋体" w:hAnsi="宋体" w:cstheme="minorBidi"/>
          <w:kern w:val="2"/>
          <w:sz w:val="21"/>
          <w:szCs w:val="21"/>
          <w:lang w:eastAsia="zh-CN"/>
        </w:rPr>
        <w:t>全部由符合政策要求的</w:t>
      </w:r>
      <w:r>
        <w:rPr>
          <w:rFonts w:ascii="宋体" w:eastAsia="宋体" w:hAnsi="宋体" w:cstheme="minorBidi" w:hint="eastAsia"/>
          <w:kern w:val="2"/>
          <w:sz w:val="21"/>
          <w:szCs w:val="21"/>
          <w:lang w:eastAsia="zh-CN"/>
        </w:rPr>
        <w:t>监狱企业承接</w:t>
      </w:r>
      <w:r>
        <w:rPr>
          <w:rFonts w:ascii="宋体" w:eastAsia="宋体" w:hAnsi="宋体" w:cstheme="minorBidi"/>
          <w:kern w:val="2"/>
          <w:sz w:val="21"/>
          <w:szCs w:val="21"/>
          <w:lang w:eastAsia="zh-CN"/>
        </w:rPr>
        <w:t>。相关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b/>
          <w:bCs/>
          <w:kern w:val="2"/>
          <w:sz w:val="21"/>
          <w:szCs w:val="21"/>
          <w:u w:val="single"/>
          <w:lang w:eastAsia="zh-CN"/>
        </w:rPr>
        <w:t>）</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，承接单位</w:t>
      </w:r>
      <w:r>
        <w:rPr>
          <w:rFonts w:ascii="宋体" w:eastAsia="宋体" w:hAnsi="宋体" w:cstheme="minorBidi"/>
          <w:kern w:val="2"/>
          <w:sz w:val="21"/>
          <w:szCs w:val="21"/>
          <w:lang w:eastAsia="zh-CN"/>
        </w:rPr>
        <w:t>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i/>
          <w:i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outlineLvl w:val="3"/>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p>
    <w:p>
      <w:pPr>
        <w:widowControl w:val="0"/>
        <w:spacing w:line="360" w:lineRule="auto"/>
        <w:ind w:firstLine="420" w:firstLineChars="200"/>
        <w:jc w:val="both"/>
        <w:rPr>
          <w:rFonts w:ascii="Calibri" w:eastAsia="宋体" w:hAnsi="Calibri"/>
          <w:b/>
          <w:bCs/>
          <w:color w:val="FF0000"/>
          <w:kern w:val="2"/>
          <w:sz w:val="21"/>
          <w:szCs w:val="21"/>
          <w:lang w:eastAsia="zh-CN"/>
        </w:rPr>
      </w:pPr>
    </w:p>
    <w:p>
      <w:pPr>
        <w:keepNext/>
        <w:keepLines/>
        <w:pageBreakBefore/>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hint="eastAsia"/>
          <w:b/>
          <w:bCs/>
          <w:szCs w:val="20"/>
          <w:lang w:eastAsia="zh-CN"/>
        </w:rPr>
        <w:t>四、分项报价清单</w:t>
      </w:r>
    </w:p>
    <w:p>
      <w:pPr>
        <w:widowControl/>
        <w:wordWrap w:val="0"/>
        <w:autoSpaceDE w:val="0"/>
        <w:autoSpaceDN w:val="0"/>
        <w:spacing w:line="400" w:lineRule="exact"/>
        <w:ind w:right="808" w:firstLine="420" w:firstLineChars="200"/>
        <w:jc w:val="both"/>
        <w:rPr>
          <w:rFonts w:eastAsia="宋体"/>
          <w:kern w:val="2"/>
          <w:sz w:val="21"/>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701"/>
        <w:gridCol w:w="2743"/>
        <w:gridCol w:w="1197"/>
        <w:gridCol w:w="1244"/>
        <w:gridCol w:w="1244"/>
        <w:gridCol w:w="1720"/>
        <w:gridCol w:w="7"/>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36"/>
          <w:jc w:val="center"/>
        </w:trPr>
        <w:tc>
          <w:tcPr>
            <w:tcW w:w="732" w:type="dxa"/>
            <w:vAlign w:val="center"/>
          </w:tcPr>
          <w:p>
            <w:pPr>
              <w:snapToGrid w:val="0"/>
              <w:spacing w:after="60" w:afterLines="25"/>
              <w:jc w:val="center"/>
              <w:rPr>
                <w:rFonts w:ascii="宋体" w:hAnsi="宋体" w:cs="Arial"/>
              </w:rPr>
            </w:pPr>
            <w:r>
              <w:rPr>
                <w:rFonts w:ascii="宋体" w:hAnsi="宋体" w:cs="Arial" w:hint="eastAsia"/>
              </w:rPr>
              <w:t>序号</w:t>
            </w:r>
          </w:p>
        </w:tc>
        <w:tc>
          <w:tcPr>
            <w:tcW w:w="2905" w:type="dxa"/>
            <w:vAlign w:val="center"/>
          </w:tcPr>
          <w:p>
            <w:pPr>
              <w:snapToGrid w:val="0"/>
              <w:spacing w:after="60" w:afterLines="25"/>
              <w:jc w:val="center"/>
              <w:rPr>
                <w:rFonts w:ascii="宋体" w:hAnsi="宋体" w:cs="Arial"/>
              </w:rPr>
            </w:pPr>
            <w:r>
              <w:rPr>
                <w:rFonts w:ascii="宋体" w:hAnsi="宋体" w:cs="Arial" w:hint="eastAsia"/>
              </w:rPr>
              <w:t>服务事项名称</w:t>
            </w:r>
          </w:p>
        </w:tc>
        <w:tc>
          <w:tcPr>
            <w:tcW w:w="1259" w:type="dxa"/>
            <w:vAlign w:val="center"/>
          </w:tcPr>
          <w:p>
            <w:pPr>
              <w:snapToGrid w:val="0"/>
              <w:spacing w:after="60" w:afterLines="25"/>
              <w:jc w:val="center"/>
              <w:rPr>
                <w:rFonts w:ascii="宋体" w:eastAsia="宋体" w:hAnsi="宋体" w:cs="Arial" w:hint="eastAsia"/>
                <w:lang w:eastAsia="zh-CN"/>
              </w:rPr>
            </w:pPr>
            <w:r>
              <w:rPr>
                <w:rFonts w:ascii="宋体" w:hAnsi="宋体" w:cs="Arial" w:hint="eastAsia"/>
              </w:rPr>
              <w:t>数量</w:t>
            </w:r>
          </w:p>
        </w:tc>
        <w:tc>
          <w:tcPr>
            <w:tcW w:w="1309" w:type="dxa"/>
            <w:vAlign w:val="center"/>
          </w:tcPr>
          <w:p>
            <w:pPr>
              <w:snapToGrid w:val="0"/>
              <w:spacing w:after="60" w:afterLines="25"/>
              <w:jc w:val="center"/>
              <w:rPr>
                <w:rFonts w:ascii="宋体" w:eastAsia="宋体" w:hAnsi="宋体" w:cs="Arial" w:hint="eastAsia"/>
                <w:lang w:eastAsia="zh-CN"/>
              </w:rPr>
            </w:pPr>
            <w:r>
              <w:rPr>
                <w:rFonts w:ascii="宋体" w:eastAsia="宋体" w:hAnsi="宋体" w:cs="Arial" w:hint="eastAsia"/>
                <w:lang w:eastAsia="zh-CN"/>
              </w:rPr>
              <w:t>单位</w:t>
            </w:r>
          </w:p>
        </w:tc>
        <w:tc>
          <w:tcPr>
            <w:tcW w:w="1309" w:type="dxa"/>
            <w:vAlign w:val="center"/>
          </w:tcPr>
          <w:p>
            <w:pPr>
              <w:snapToGrid w:val="0"/>
              <w:spacing w:after="60" w:afterLines="25"/>
              <w:jc w:val="center"/>
              <w:rPr>
                <w:rFonts w:ascii="宋体" w:hAnsi="宋体" w:cs="Arial"/>
              </w:rPr>
            </w:pPr>
            <w:r>
              <w:rPr>
                <w:rFonts w:ascii="宋体" w:hAnsi="宋体" w:cs="Arial" w:hint="eastAsia"/>
              </w:rPr>
              <w:t>单价（元）</w:t>
            </w:r>
          </w:p>
        </w:tc>
        <w:tc>
          <w:tcPr>
            <w:tcW w:w="1823" w:type="dxa"/>
            <w:gridSpan w:val="2"/>
            <w:vAlign w:val="center"/>
          </w:tcPr>
          <w:p>
            <w:pPr>
              <w:snapToGrid w:val="0"/>
              <w:spacing w:after="60" w:afterLines="25"/>
              <w:jc w:val="center"/>
              <w:rPr>
                <w:rFonts w:ascii="宋体" w:hAnsi="宋体" w:cs="Arial"/>
              </w:rPr>
            </w:pPr>
            <w:r>
              <w:rPr>
                <w:rFonts w:ascii="宋体" w:hAnsi="宋体" w:cs="Arial" w:hint="eastAsia"/>
              </w:rPr>
              <w:t>总价（元）</w:t>
            </w:r>
          </w:p>
        </w:tc>
      </w:tr>
      <w:tr>
        <w:tblPrEx>
          <w:tblW w:w="5000" w:type="pct"/>
          <w:jc w:val="center"/>
          <w:tblLayout w:type="fixed"/>
          <w:tblCellMar>
            <w:top w:w="0" w:type="dxa"/>
            <w:left w:w="108" w:type="dxa"/>
            <w:bottom w:w="0" w:type="dxa"/>
            <w:right w:w="108" w:type="dxa"/>
          </w:tblCellMar>
        </w:tblPrEx>
        <w:trPr>
          <w:trHeight w:val="536"/>
          <w:jc w:val="center"/>
        </w:trPr>
        <w:tc>
          <w:tcPr>
            <w:tcW w:w="732" w:type="dxa"/>
            <w:vAlign w:val="center"/>
          </w:tcPr>
          <w:p>
            <w:pPr>
              <w:snapToGrid w:val="0"/>
              <w:spacing w:after="60" w:afterLines="25"/>
              <w:jc w:val="center"/>
              <w:rPr>
                <w:rFonts w:ascii="宋体" w:hAnsi="宋体" w:cs="Arial"/>
              </w:rPr>
            </w:pPr>
            <w:r>
              <w:rPr>
                <w:rFonts w:ascii="宋体" w:hAnsi="宋体" w:cs="Arial" w:hint="eastAsia"/>
              </w:rPr>
              <w:t>1</w:t>
            </w:r>
          </w:p>
        </w:tc>
        <w:tc>
          <w:tcPr>
            <w:tcW w:w="2905" w:type="dxa"/>
            <w:vAlign w:val="center"/>
          </w:tcPr>
          <w:p>
            <w:pPr>
              <w:snapToGrid w:val="0"/>
              <w:spacing w:after="60" w:afterLines="25"/>
              <w:jc w:val="center"/>
              <w:rPr>
                <w:rFonts w:ascii="宋体" w:eastAsia="宋体" w:hAnsi="宋体" w:cs="宋体" w:hint="eastAsia"/>
                <w:kern w:val="44"/>
                <w:sz w:val="21"/>
                <w:szCs w:val="21"/>
              </w:rPr>
            </w:pPr>
          </w:p>
        </w:tc>
        <w:tc>
          <w:tcPr>
            <w:tcW w:w="1259" w:type="dxa"/>
            <w:vAlign w:val="center"/>
          </w:tcPr>
          <w:p>
            <w:pPr>
              <w:snapToGrid w:val="0"/>
              <w:spacing w:after="60" w:afterLines="25"/>
              <w:jc w:val="center"/>
              <w:rPr>
                <w:rFonts w:ascii="宋体" w:eastAsia="宋体" w:hAnsi="宋体" w:cs="宋体" w:hint="eastAsia"/>
                <w:kern w:val="44"/>
                <w:sz w:val="21"/>
                <w:szCs w:val="21"/>
              </w:rPr>
            </w:pPr>
          </w:p>
        </w:tc>
        <w:tc>
          <w:tcPr>
            <w:tcW w:w="1309" w:type="dxa"/>
            <w:vAlign w:val="center"/>
          </w:tcPr>
          <w:p>
            <w:pPr>
              <w:snapToGrid w:val="0"/>
              <w:spacing w:after="60" w:afterLines="25"/>
              <w:jc w:val="center"/>
              <w:rPr>
                <w:rFonts w:ascii="宋体" w:eastAsia="黑体" w:hAnsi="宋体" w:cs="Arial"/>
                <w:b/>
                <w:bCs/>
                <w:kern w:val="44"/>
              </w:rPr>
            </w:pPr>
          </w:p>
        </w:tc>
        <w:tc>
          <w:tcPr>
            <w:tcW w:w="1309" w:type="dxa"/>
            <w:vAlign w:val="center"/>
          </w:tcPr>
          <w:p>
            <w:pPr>
              <w:snapToGrid w:val="0"/>
              <w:spacing w:after="60" w:afterLines="25"/>
              <w:jc w:val="center"/>
              <w:rPr>
                <w:rFonts w:ascii="宋体" w:eastAsia="黑体" w:hAnsi="宋体" w:cs="Arial"/>
                <w:b/>
                <w:bCs/>
                <w:kern w:val="44"/>
              </w:rPr>
            </w:pPr>
          </w:p>
        </w:tc>
        <w:tc>
          <w:tcPr>
            <w:tcW w:w="1823" w:type="dxa"/>
            <w:gridSpan w:val="2"/>
            <w:vAlign w:val="center"/>
          </w:tcPr>
          <w:p>
            <w:pPr>
              <w:snapToGrid w:val="0"/>
              <w:spacing w:after="60" w:afterLines="25"/>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trHeight w:val="536"/>
          <w:jc w:val="center"/>
        </w:trPr>
        <w:tc>
          <w:tcPr>
            <w:tcW w:w="732" w:type="dxa"/>
            <w:vAlign w:val="center"/>
          </w:tcPr>
          <w:p>
            <w:pPr>
              <w:snapToGrid w:val="0"/>
              <w:spacing w:after="60" w:afterLines="25"/>
              <w:jc w:val="center"/>
              <w:rPr>
                <w:rFonts w:ascii="宋体" w:hAnsi="宋体" w:cs="Arial"/>
              </w:rPr>
            </w:pPr>
            <w:r>
              <w:rPr>
                <w:rFonts w:ascii="宋体" w:hAnsi="宋体" w:cs="Arial" w:hint="eastAsia"/>
              </w:rPr>
              <w:t>2</w:t>
            </w:r>
          </w:p>
        </w:tc>
        <w:tc>
          <w:tcPr>
            <w:tcW w:w="2905" w:type="dxa"/>
            <w:vAlign w:val="center"/>
          </w:tcPr>
          <w:p>
            <w:pPr>
              <w:snapToGrid w:val="0"/>
              <w:spacing w:after="60" w:afterLines="25"/>
              <w:jc w:val="center"/>
              <w:rPr>
                <w:rFonts w:ascii="宋体" w:eastAsia="宋体" w:hAnsi="宋体" w:cs="宋体" w:hint="eastAsia"/>
                <w:kern w:val="44"/>
                <w:sz w:val="21"/>
                <w:szCs w:val="21"/>
              </w:rPr>
            </w:pPr>
          </w:p>
        </w:tc>
        <w:tc>
          <w:tcPr>
            <w:tcW w:w="1259" w:type="dxa"/>
            <w:vAlign w:val="center"/>
          </w:tcPr>
          <w:p>
            <w:pPr>
              <w:snapToGrid w:val="0"/>
              <w:spacing w:after="60" w:afterLines="25"/>
              <w:jc w:val="center"/>
              <w:rPr>
                <w:rFonts w:ascii="宋体" w:eastAsia="宋体" w:hAnsi="宋体" w:cs="宋体" w:hint="eastAsia"/>
                <w:kern w:val="44"/>
                <w:sz w:val="21"/>
                <w:szCs w:val="21"/>
              </w:rPr>
            </w:pPr>
          </w:p>
        </w:tc>
        <w:tc>
          <w:tcPr>
            <w:tcW w:w="1309" w:type="dxa"/>
            <w:vAlign w:val="center"/>
          </w:tcPr>
          <w:p>
            <w:pPr>
              <w:snapToGrid w:val="0"/>
              <w:spacing w:after="60" w:afterLines="25"/>
              <w:jc w:val="center"/>
              <w:rPr>
                <w:rFonts w:ascii="宋体" w:eastAsia="黑体" w:hAnsi="宋体" w:cs="Arial"/>
                <w:b/>
                <w:bCs/>
                <w:kern w:val="44"/>
              </w:rPr>
            </w:pPr>
          </w:p>
        </w:tc>
        <w:tc>
          <w:tcPr>
            <w:tcW w:w="1309" w:type="dxa"/>
            <w:vAlign w:val="center"/>
          </w:tcPr>
          <w:p>
            <w:pPr>
              <w:snapToGrid w:val="0"/>
              <w:spacing w:after="60" w:afterLines="25"/>
              <w:jc w:val="center"/>
              <w:rPr>
                <w:rFonts w:ascii="宋体" w:eastAsia="黑体" w:hAnsi="宋体" w:cs="Arial"/>
                <w:b/>
                <w:bCs/>
                <w:kern w:val="44"/>
              </w:rPr>
            </w:pPr>
          </w:p>
        </w:tc>
        <w:tc>
          <w:tcPr>
            <w:tcW w:w="1823" w:type="dxa"/>
            <w:gridSpan w:val="2"/>
            <w:vAlign w:val="center"/>
          </w:tcPr>
          <w:p>
            <w:pPr>
              <w:snapToGrid w:val="0"/>
              <w:spacing w:after="60" w:afterLines="25"/>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trHeight w:val="536"/>
          <w:jc w:val="center"/>
        </w:trPr>
        <w:tc>
          <w:tcPr>
            <w:tcW w:w="732" w:type="dxa"/>
            <w:vAlign w:val="center"/>
          </w:tcPr>
          <w:p>
            <w:pPr>
              <w:snapToGrid w:val="0"/>
              <w:spacing w:after="60" w:afterLines="25"/>
              <w:jc w:val="center"/>
              <w:rPr>
                <w:rFonts w:ascii="宋体" w:hAnsi="宋体" w:cs="Arial"/>
              </w:rPr>
            </w:pPr>
            <w:r>
              <w:rPr>
                <w:rFonts w:ascii="宋体" w:hAnsi="宋体" w:cs="Arial" w:hint="eastAsia"/>
              </w:rPr>
              <w:t>3</w:t>
            </w:r>
          </w:p>
        </w:tc>
        <w:tc>
          <w:tcPr>
            <w:tcW w:w="2905" w:type="dxa"/>
            <w:vAlign w:val="center"/>
          </w:tcPr>
          <w:p>
            <w:pPr>
              <w:snapToGrid w:val="0"/>
              <w:spacing w:after="60" w:afterLines="25"/>
              <w:jc w:val="center"/>
              <w:rPr>
                <w:rFonts w:ascii="宋体" w:eastAsia="宋体" w:hAnsi="宋体" w:cs="宋体" w:hint="eastAsia"/>
                <w:kern w:val="44"/>
                <w:sz w:val="21"/>
                <w:szCs w:val="21"/>
              </w:rPr>
            </w:pPr>
          </w:p>
        </w:tc>
        <w:tc>
          <w:tcPr>
            <w:tcW w:w="1259" w:type="dxa"/>
            <w:vAlign w:val="center"/>
          </w:tcPr>
          <w:p>
            <w:pPr>
              <w:snapToGrid w:val="0"/>
              <w:spacing w:after="60" w:afterLines="25"/>
              <w:jc w:val="center"/>
              <w:rPr>
                <w:rFonts w:ascii="宋体" w:eastAsia="宋体" w:hAnsi="宋体" w:cs="宋体" w:hint="eastAsia"/>
                <w:kern w:val="44"/>
                <w:sz w:val="21"/>
                <w:szCs w:val="21"/>
              </w:rPr>
            </w:pPr>
          </w:p>
        </w:tc>
        <w:tc>
          <w:tcPr>
            <w:tcW w:w="1309" w:type="dxa"/>
            <w:vAlign w:val="center"/>
          </w:tcPr>
          <w:p>
            <w:pPr>
              <w:snapToGrid w:val="0"/>
              <w:spacing w:after="60" w:afterLines="25"/>
              <w:jc w:val="center"/>
              <w:rPr>
                <w:rFonts w:ascii="宋体" w:eastAsia="黑体" w:hAnsi="宋体" w:cs="Arial"/>
                <w:b/>
                <w:bCs/>
                <w:kern w:val="44"/>
              </w:rPr>
            </w:pPr>
          </w:p>
        </w:tc>
        <w:tc>
          <w:tcPr>
            <w:tcW w:w="1309" w:type="dxa"/>
            <w:vAlign w:val="center"/>
          </w:tcPr>
          <w:p>
            <w:pPr>
              <w:snapToGrid w:val="0"/>
              <w:spacing w:after="60" w:afterLines="25"/>
              <w:jc w:val="center"/>
              <w:rPr>
                <w:rFonts w:ascii="宋体" w:eastAsia="黑体" w:hAnsi="宋体" w:cs="Arial"/>
                <w:b/>
                <w:bCs/>
                <w:kern w:val="44"/>
              </w:rPr>
            </w:pPr>
          </w:p>
        </w:tc>
        <w:tc>
          <w:tcPr>
            <w:tcW w:w="1823" w:type="dxa"/>
            <w:gridSpan w:val="2"/>
            <w:vAlign w:val="center"/>
          </w:tcPr>
          <w:p>
            <w:pPr>
              <w:snapToGrid w:val="0"/>
              <w:spacing w:after="60" w:afterLines="25"/>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trHeight w:val="536"/>
          <w:jc w:val="center"/>
        </w:trPr>
        <w:tc>
          <w:tcPr>
            <w:tcW w:w="732" w:type="dxa"/>
            <w:vAlign w:val="center"/>
          </w:tcPr>
          <w:p>
            <w:pPr>
              <w:snapToGrid w:val="0"/>
              <w:spacing w:after="60" w:afterLines="25"/>
              <w:jc w:val="center"/>
              <w:rPr>
                <w:rFonts w:ascii="宋体" w:hAnsi="宋体" w:cs="Arial"/>
              </w:rPr>
            </w:pPr>
            <w:r>
              <w:rPr>
                <w:rFonts w:ascii="宋体" w:hAnsi="宋体" w:cs="Arial" w:hint="eastAsia"/>
              </w:rPr>
              <w:t>……</w:t>
            </w:r>
          </w:p>
        </w:tc>
        <w:tc>
          <w:tcPr>
            <w:tcW w:w="2905" w:type="dxa"/>
            <w:vAlign w:val="center"/>
          </w:tcPr>
          <w:p>
            <w:pPr>
              <w:snapToGrid w:val="0"/>
              <w:spacing w:after="60" w:afterLines="25"/>
              <w:jc w:val="center"/>
              <w:rPr>
                <w:rFonts w:ascii="宋体" w:eastAsia="黑体" w:hAnsi="宋体" w:cs="Arial"/>
                <w:b/>
                <w:bCs/>
                <w:kern w:val="44"/>
              </w:rPr>
            </w:pPr>
          </w:p>
        </w:tc>
        <w:tc>
          <w:tcPr>
            <w:tcW w:w="1259" w:type="dxa"/>
            <w:vAlign w:val="center"/>
          </w:tcPr>
          <w:p>
            <w:pPr>
              <w:snapToGrid w:val="0"/>
              <w:spacing w:after="60" w:afterLines="25"/>
              <w:jc w:val="center"/>
              <w:rPr>
                <w:rFonts w:ascii="宋体" w:eastAsia="黑体" w:hAnsi="宋体" w:cs="Arial"/>
                <w:b/>
                <w:bCs/>
                <w:kern w:val="44"/>
              </w:rPr>
            </w:pPr>
          </w:p>
        </w:tc>
        <w:tc>
          <w:tcPr>
            <w:tcW w:w="1309" w:type="dxa"/>
            <w:vAlign w:val="center"/>
          </w:tcPr>
          <w:p>
            <w:pPr>
              <w:snapToGrid w:val="0"/>
              <w:spacing w:after="60" w:afterLines="25"/>
              <w:jc w:val="center"/>
              <w:rPr>
                <w:rFonts w:ascii="宋体" w:eastAsia="黑体" w:hAnsi="宋体" w:cs="Arial"/>
                <w:b/>
                <w:bCs/>
                <w:kern w:val="44"/>
              </w:rPr>
            </w:pPr>
          </w:p>
        </w:tc>
        <w:tc>
          <w:tcPr>
            <w:tcW w:w="1309" w:type="dxa"/>
            <w:vAlign w:val="center"/>
          </w:tcPr>
          <w:p>
            <w:pPr>
              <w:snapToGrid w:val="0"/>
              <w:spacing w:after="60" w:afterLines="25"/>
              <w:jc w:val="center"/>
              <w:rPr>
                <w:rFonts w:ascii="宋体" w:eastAsia="黑体" w:hAnsi="宋体" w:cs="Arial"/>
                <w:b/>
                <w:bCs/>
                <w:kern w:val="44"/>
              </w:rPr>
            </w:pPr>
          </w:p>
        </w:tc>
        <w:tc>
          <w:tcPr>
            <w:tcW w:w="1823" w:type="dxa"/>
            <w:gridSpan w:val="2"/>
            <w:vAlign w:val="center"/>
          </w:tcPr>
          <w:p>
            <w:pPr>
              <w:snapToGrid w:val="0"/>
              <w:spacing w:after="60" w:afterLines="25"/>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gridAfter w:val="1"/>
          <w:wAfter w:w="7" w:type="dxa"/>
          <w:cantSplit/>
          <w:trHeight w:val="776"/>
          <w:jc w:val="center"/>
        </w:trPr>
        <w:tc>
          <w:tcPr>
            <w:tcW w:w="7514" w:type="dxa"/>
            <w:gridSpan w:val="5"/>
            <w:vAlign w:val="center"/>
          </w:tcPr>
          <w:p>
            <w:pPr>
              <w:snapToGrid w:val="0"/>
              <w:spacing w:after="60" w:afterLines="25"/>
              <w:jc w:val="center"/>
              <w:rPr>
                <w:rFonts w:ascii="宋体" w:hAnsi="宋体" w:cs="Arial"/>
                <w:b/>
              </w:rPr>
            </w:pPr>
            <w:r>
              <w:rPr>
                <w:rFonts w:ascii="宋体" w:hAnsi="宋体" w:cs="Arial" w:hint="eastAsia"/>
                <w:b/>
              </w:rPr>
              <w:t>投标总价</w:t>
            </w:r>
            <w:r>
              <w:rPr>
                <w:rFonts w:ascii="宋体" w:hAnsi="宋体" w:hint="eastAsia"/>
              </w:rPr>
              <w:t>（币种：人民币；单位：元）</w:t>
            </w:r>
          </w:p>
        </w:tc>
        <w:tc>
          <w:tcPr>
            <w:tcW w:w="1816" w:type="dxa"/>
            <w:vAlign w:val="center"/>
          </w:tcPr>
          <w:p>
            <w:pPr>
              <w:snapToGrid w:val="0"/>
              <w:spacing w:after="60" w:afterLines="25"/>
              <w:jc w:val="center"/>
              <w:rPr>
                <w:rFonts w:ascii="宋体" w:eastAsia="黑体" w:hAnsi="宋体" w:cs="Arial"/>
                <w:b/>
                <w:bCs/>
                <w:kern w:val="44"/>
              </w:rPr>
            </w:pPr>
          </w:p>
        </w:tc>
      </w:tr>
    </w:tbl>
    <w:p>
      <w:pPr>
        <w:widowControl/>
        <w:wordWrap w:val="0"/>
        <w:autoSpaceDE w:val="0"/>
        <w:autoSpaceDN w:val="0"/>
        <w:spacing w:line="400" w:lineRule="exact"/>
        <w:ind w:right="808" w:firstLine="420" w:firstLineChars="200"/>
        <w:jc w:val="both"/>
        <w:rPr>
          <w:rFonts w:eastAsia="宋体" w:hint="eastAsia"/>
          <w:kern w:val="2"/>
          <w:sz w:val="21"/>
          <w:lang w:eastAsia="zh-CN"/>
        </w:rPr>
      </w:pP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b/>
          <w:bCs/>
          <w:kern w:val="2"/>
          <w:sz w:val="21"/>
          <w:lang w:eastAsia="zh-CN"/>
        </w:rPr>
        <w:t>上述表格格式仅供参考，投标人可根据实际情况自行调整。</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bCs/>
          <w:kern w:val="2"/>
          <w:sz w:val="21"/>
          <w:szCs w:val="22"/>
          <w:lang w:eastAsia="zh-CN"/>
        </w:rPr>
      </w:pPr>
      <w:r>
        <w:rPr>
          <w:rFonts w:ascii="宋体" w:eastAsia="宋体" w:hAnsi="宋体" w:cs="宋体" w:hint="eastAsia"/>
          <w:b/>
          <w:bCs/>
          <w:kern w:val="2"/>
          <w:lang w:eastAsia="zh-CN"/>
        </w:rPr>
        <w:t>五、股东构成审查表</w:t>
      </w:r>
    </w:p>
    <w:p>
      <w:pPr>
        <w:keepNext/>
        <w:keepLines/>
        <w:widowControl w:val="0"/>
        <w:numPr>
          <w:ilvl w:val="0"/>
          <w:numId w:val="5"/>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lang w:eastAsia="zh-CN"/>
        </w:rPr>
      </w:pPr>
      <w:r>
        <w:rPr>
          <w:rFonts w:ascii="宋体" w:eastAsia="宋体" w:hAnsi="宋体" w:cs="宋体" w:hint="eastAsia"/>
          <w:kern w:val="2"/>
          <w:sz w:val="21"/>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2"/>
        <w:rPr>
          <w:rFonts w:ascii="宋体" w:eastAsia="宋体" w:hAnsi="宋体" w:cs="宋体" w:hint="eastAsia"/>
          <w:kern w:val="2"/>
          <w:sz w:val="21"/>
          <w:lang w:eastAsia="zh-CN"/>
        </w:rPr>
      </w:pPr>
      <w:r>
        <w:rPr>
          <w:rFonts w:ascii="宋体" w:eastAsia="宋体" w:hAnsi="宋体" w:cs="宋体" w:hint="eastAsia"/>
          <w:b/>
          <w:bCs/>
          <w:kern w:val="2"/>
          <w:sz w:val="21"/>
          <w:lang w:eastAsia="zh-CN"/>
        </w:rPr>
        <w:t>参考示例1：</w:t>
      </w:r>
      <w:r>
        <w:rPr>
          <w:rFonts w:ascii="宋体" w:eastAsia="宋体" w:hAnsi="宋体" w:cs="宋体" w:hint="eastAsia"/>
          <w:kern w:val="2"/>
          <w:sz w:val="21"/>
          <w:lang w:eastAsia="zh-CN"/>
        </w:rPr>
        <w:t>“深圳市市场监督管理局——商事登记簿查询（商事主体登记及备案信息查询）：</w:t>
      </w:r>
      <w:hyperlink r:id="rId4" w:history="1">
        <w:r>
          <w:rPr>
            <w:rFonts w:ascii="宋体" w:eastAsia="宋体" w:hAnsi="宋体" w:cs="宋体" w:hint="eastAsia"/>
            <w:color w:val="0000FF"/>
            <w:kern w:val="2"/>
            <w:sz w:val="21"/>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eastAsia="宋体"/>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w:t>
      </w:r>
      <w:r>
        <w:rPr>
          <w:rFonts w:ascii="宋体" w:eastAsia="宋体" w:hAnsi="宋体" w:cs="宋体" w:hint="eastAsia"/>
          <w:b/>
          <w:bCs/>
          <w:color w:val="FF0000"/>
          <w:kern w:val="2"/>
          <w:sz w:val="21"/>
          <w:szCs w:val="21"/>
          <w:lang w:eastAsia="zh-CN"/>
        </w:rPr>
        <w:t>（需体现股东及出资信息）</w:t>
      </w:r>
      <w:r>
        <w:rPr>
          <w:rFonts w:ascii="宋体" w:eastAsia="宋体" w:hAnsi="宋体" w:cs="宋体" w:hint="eastAsia"/>
          <w:kern w:val="2"/>
          <w:sz w:val="21"/>
          <w:szCs w:val="21"/>
          <w:lang w:eastAsia="zh-CN"/>
        </w:rPr>
        <w:t>。网址：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Cs w:val="22"/>
          <w:lang w:eastAsia="zh-CN"/>
        </w:rPr>
      </w:pPr>
      <w:r>
        <w:rPr>
          <w:rFonts w:ascii="宋体" w:eastAsia="宋体" w:hAnsi="宋体" w:cstheme="minorBidi" w:hint="eastAsia"/>
          <w:b/>
          <w:color w:val="FF0000"/>
          <w:kern w:val="2"/>
          <w:szCs w:val="22"/>
          <w:lang w:eastAsia="zh-CN"/>
        </w:rPr>
        <w:t xml:space="preserve">注： </w:t>
      </w:r>
      <w:r>
        <w:rPr>
          <w:rFonts w:ascii="宋体" w:eastAsia="宋体" w:hAnsi="宋体" w:cstheme="minorBidi" w:hint="eastAsia"/>
          <w:b/>
          <w:color w:val="FF0000"/>
          <w:kern w:val="2"/>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lang w:eastAsia="zh-CN"/>
        </w:rPr>
      </w:pPr>
      <w:r>
        <w:rPr>
          <w:rFonts w:ascii="宋体" w:eastAsia="宋体" w:hAnsi="宋体" w:cs="宋体" w:hint="eastAsia"/>
          <w:kern w:val="2"/>
          <w:sz w:val="21"/>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□是，其控股股东为：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其他主要股东及其股份占比：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□是，该单位为：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□是，与招标人的关系为：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sz w:val="21"/>
          <w:szCs w:val="21"/>
          <w:lang w:eastAsia="zh-CN"/>
        </w:rPr>
      </w:pPr>
    </w:p>
    <w:p>
      <w:pPr>
        <w:widowControl w:val="0"/>
        <w:spacing w:after="60" w:afterLines="25" w:line="300" w:lineRule="auto"/>
        <w:jc w:val="center"/>
        <w:rPr>
          <w:rFonts w:ascii="Arial" w:eastAsia="宋体" w:hAnsi="Arial"/>
          <w:b/>
          <w:kern w:val="2"/>
          <w:lang w:eastAsia="zh-CN"/>
        </w:rPr>
      </w:pPr>
    </w:p>
    <w:p>
      <w:pPr>
        <w:widowControl/>
        <w:jc w:val="center"/>
        <w:rPr>
          <w:rFonts w:ascii="Arial" w:eastAsia="宋体" w:hAnsi="Arial"/>
          <w:kern w:val="2"/>
          <w:sz w:val="21"/>
          <w:lang w:eastAsia="zh-CN"/>
        </w:rPr>
      </w:pPr>
      <w:r>
        <w:rPr>
          <w:rFonts w:ascii="Arial" w:eastAsia="宋体" w:hAnsi="Arial"/>
          <w:kern w:val="2"/>
          <w:sz w:val="21"/>
          <w:lang w:eastAsia="zh-CN"/>
        </w:rPr>
        <w:br w:type="page"/>
      </w:r>
    </w:p>
    <w:p>
      <w:pPr>
        <w:keepNext/>
        <w:keepLines/>
        <w:widowControl w:val="0"/>
        <w:spacing w:before="260" w:after="260" w:line="240" w:lineRule="auto"/>
        <w:jc w:val="center"/>
        <w:outlineLvl w:val="2"/>
        <w:rPr>
          <w:rFonts w:ascii="宋体" w:eastAsia="宋体" w:hAnsi="宋体" w:hint="eastAsia"/>
          <w:b/>
          <w:bCs/>
          <w:szCs w:val="20"/>
          <w:lang w:eastAsia="zh-CN"/>
        </w:rPr>
      </w:pPr>
      <w:r>
        <w:rPr>
          <w:rFonts w:ascii="宋体" w:eastAsia="宋体" w:hAnsi="宋体" w:hint="eastAsia"/>
          <w:b/>
          <w:bCs/>
          <w:szCs w:val="20"/>
          <w:lang w:eastAsia="zh-CN"/>
        </w:rPr>
        <w:t>六、</w:t>
      </w:r>
      <w:bookmarkStart w:id="23" w:name="_Hlk72092499"/>
      <w:r>
        <w:rPr>
          <w:rFonts w:ascii="宋体" w:eastAsia="宋体" w:hAnsi="宋体" w:hint="eastAsia"/>
          <w:b/>
          <w:bCs/>
          <w:szCs w:val="20"/>
          <w:lang w:eastAsia="zh-CN"/>
        </w:rPr>
        <w:t>法定代表人（负责人）证明书</w:t>
      </w:r>
      <w:bookmarkEnd w:id="23"/>
    </w:p>
    <w:p>
      <w:pPr>
        <w:widowControl w:val="0"/>
        <w:jc w:val="both"/>
        <w:rPr>
          <w:rFonts w:ascii="Calibri" w:eastAsia="宋体" w:hAnsi="Calibri"/>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（姓名），现任我单位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职务，为法定代表人（负责人），身份证件号为：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特此证明。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说明：1、法定代表人为投标人（企业事业单位、国家机关、社会团体）的主要行政负责人。</w:t>
      </w:r>
    </w:p>
    <w:p>
      <w:pPr>
        <w:widowControl w:val="0"/>
        <w:numPr>
          <w:ilvl w:val="0"/>
          <w:numId w:val="6"/>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本证明书要供法定代表人（负责人）</w:t>
      </w:r>
      <w:r>
        <w:rPr>
          <w:rFonts w:ascii="宋体" w:eastAsia="宋体" w:hAnsi="宋体" w:cs="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6"/>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本项目投标授权代表为法定代表人（负责人）的，无需提供</w:t>
      </w:r>
      <w:r>
        <w:rPr>
          <w:rFonts w:ascii="宋体" w:eastAsia="宋体" w:hAnsi="宋体" w:cs="宋体" w:hint="eastAsia"/>
          <w:kern w:val="2"/>
          <w:sz w:val="21"/>
          <w:szCs w:val="21"/>
          <w:lang w:eastAsia="zh-CN"/>
        </w:rPr>
        <w:t>《投标文件签署授权委托书》</w:t>
      </w:r>
      <w:r>
        <w:rPr>
          <w:rFonts w:ascii="宋体" w:eastAsia="宋体" w:hAnsi="宋体" w:cs="宋体" w:hint="eastAsia"/>
          <w:kern w:val="2"/>
          <w:sz w:val="21"/>
          <w:szCs w:val="21"/>
          <w:lang w:eastAsia="zh-Hans"/>
        </w:rPr>
        <w:t>。</w:t>
      </w:r>
    </w:p>
    <w:p>
      <w:pPr>
        <w:widowControl w:val="0"/>
        <w:numPr>
          <w:ilvl w:val="0"/>
          <w:numId w:val="6"/>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99"/>
        </w:trPr>
        <w:tc>
          <w:tcPr>
            <w:tcW w:w="4259"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c>
          <w:tcPr>
            <w:tcW w:w="4260"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r>
    </w:tbl>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260" w:after="260" w:line="240" w:lineRule="auto"/>
        <w:jc w:val="center"/>
        <w:outlineLvl w:val="2"/>
        <w:rPr>
          <w:rFonts w:ascii="宋体" w:eastAsia="宋体" w:hAnsi="宋体" w:hint="eastAsia"/>
          <w:b/>
          <w:bCs/>
          <w:szCs w:val="20"/>
          <w:lang w:eastAsia="zh-CN"/>
        </w:rPr>
      </w:pPr>
      <w:r>
        <w:rPr>
          <w:rFonts w:ascii="宋体" w:eastAsia="宋体" w:hAnsi="宋体" w:hint="eastAsia"/>
          <w:b/>
          <w:bCs/>
          <w:szCs w:val="20"/>
          <w:lang w:eastAsia="zh-CN"/>
        </w:rPr>
        <w:t>七、投标文件签署授权委托书</w:t>
      </w:r>
    </w:p>
    <w:p>
      <w:pPr>
        <w:widowControl w:val="0"/>
        <w:numPr>
          <w:ilvl w:val="0"/>
          <w:numId w:val="0"/>
        </w:numPr>
        <w:ind w:left="0" w:firstLine="0"/>
        <w:jc w:val="both"/>
        <w:rPr>
          <w:rFonts w:ascii="Calibri" w:eastAsia="宋体" w:hAnsi="Calibri"/>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身份证件号：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，手机：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，电子邮箱：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1"/>
        </w:trPr>
        <w:tc>
          <w:tcPr>
            <w:tcW w:w="4249"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c>
          <w:tcPr>
            <w:tcW w:w="4250"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r>
    </w:tbl>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rPr>
          <w:rFonts w:ascii="宋体" w:eastAsia="宋体" w:hAnsi="宋体" w:cs="宋体" w:hint="eastAsia"/>
          <w:lang w:eastAsia="zh-CN"/>
        </w:rPr>
      </w:pPr>
    </w:p>
    <w:p>
      <w:pPr>
        <w:widowControl w:val="0"/>
        <w:tabs>
          <w:tab w:val="left" w:pos="651"/>
        </w:tabs>
        <w:snapToGrid w:val="0"/>
        <w:jc w:val="center"/>
        <w:rPr>
          <w:rFonts w:ascii="黑体" w:eastAsia="黑体" w:hAnsi="Calibri"/>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八、</w:t>
      </w:r>
      <w:bookmarkStart w:id="24" w:name="_Hlk72092634"/>
      <w:r>
        <w:rPr>
          <w:rFonts w:ascii="宋体" w:eastAsia="宋体" w:hAnsi="宋体" w:cs="宋体" w:hint="eastAsia"/>
          <w:b/>
          <w:bCs/>
          <w:lang w:eastAsia="zh-CN"/>
        </w:rPr>
        <w:t>实质性条款响应情况表</w:t>
      </w:r>
      <w:bookmarkEnd w:id="24"/>
    </w:p>
    <w:p>
      <w:pPr>
        <w:widowControl w:val="0"/>
        <w:spacing w:line="360" w:lineRule="auto"/>
        <w:jc w:val="both"/>
        <w:rPr>
          <w:rFonts w:ascii="Calibri" w:eastAsia="宋体" w:hAnsi="Calibri" w:hint="eastAsia"/>
          <w:b/>
          <w:bCs/>
          <w:kern w:val="2"/>
          <w:szCs w:val="22"/>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投标单位（投标人）名称：</w:t>
      </w:r>
      <w:r>
        <w:rPr>
          <w:rFonts w:ascii="宋体" w:eastAsia="宋体" w:hAnsi="宋体" w:cs="宋体" w:hint="eastAsia"/>
          <w:color w:val="000000"/>
          <w:kern w:val="2"/>
          <w:sz w:val="21"/>
          <w:szCs w:val="21"/>
          <w:u w:val="single"/>
          <w:lang w:eastAsia="zh-CN"/>
        </w:rPr>
        <w:t xml:space="preserve">                         </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实质性条款具体内容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投标文件响应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偏离情况</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1</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本项目★第三章用户需求书全部内容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完全响应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无偏离</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p>
        </w:tc>
      </w:tr>
    </w:tbl>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填写说明：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2、“投标文件响应”一栏应当根据投标人自身实际情况响应，</w:t>
      </w:r>
      <w:r>
        <w:rPr>
          <w:rFonts w:ascii="宋体" w:eastAsia="宋体" w:hAnsi="宋体" w:cs="宋体" w:hint="eastAsia"/>
          <w:b/>
          <w:bCs/>
          <w:kern w:val="2"/>
          <w:sz w:val="21"/>
          <w:szCs w:val="21"/>
          <w:lang w:eastAsia="zh-CN"/>
        </w:rPr>
        <w:t>如完全满足实质性条款具体内容可填写“完全响应”，除招标文件另有注明外，不强制要求逐条列出响应。</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正偏离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负偏离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无偏离</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4、评审委员会有权对投标响应情况作出判断。</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szCs w:val="20"/>
          <w:lang w:eastAsia="zh-CN"/>
        </w:rPr>
      </w:pPr>
      <w:r>
        <w:rPr>
          <w:rFonts w:ascii="宋体" w:eastAsia="宋体" w:hAnsi="宋体" w:cs="宋体" w:hint="eastAsia"/>
          <w:b/>
          <w:bCs/>
          <w:szCs w:val="20"/>
          <w:lang w:eastAsia="zh-CN"/>
        </w:rPr>
        <w:br w:type="page"/>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九、实施方案</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color w:val="FF0000"/>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十、项目重点难点分析、应对措施及相关的合理化建议</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十一、质量保障措施</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十二、项目管理方案</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十三、拟安排的项目负责人情况（仅限一人）</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十四、拟安排的项目团队情况（项目负责人除外）</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十五、应急预案</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color w:val="FF0000"/>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十六、违约承诺</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十七、项目完成（服务期满）后的服务承诺</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十八、服务网点</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kinsoku/>
        <w:overflowPunct/>
        <w:topLinePunct w:val="0"/>
        <w:bidi w:val="0"/>
        <w:spacing w:beforeAutospacing="0" w:afterAutospacing="0" w:line="48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十九、投标人认为需要加以说明的其他内容</w:t>
      </w:r>
    </w:p>
    <w:p>
      <w:pPr>
        <w:widowControl/>
        <w:kinsoku/>
        <w:overflowPunct/>
        <w:topLinePunct w:val="0"/>
        <w:bidi w:val="0"/>
        <w:spacing w:beforeAutospacing="0" w:afterAutospacing="0" w:line="480" w:lineRule="auto"/>
        <w:ind w:left="0" w:right="0" w:firstLine="0" w:leftChars="0" w:firstLineChars="0"/>
        <w:jc w:val="center"/>
        <w:rPr>
          <w:rFonts w:ascii="宋体" w:eastAsia="宋体" w:hAnsi="宋体" w:cs="宋体" w:hint="eastAsia"/>
          <w:szCs w:val="20"/>
          <w:lang w:eastAsia="zh-CN"/>
        </w:rPr>
      </w:pPr>
      <w:r>
        <w:rPr>
          <w:rFonts w:ascii="宋体" w:eastAsia="宋体" w:hAnsi="宋体" w:cs="宋体" w:hint="eastAsia"/>
          <w:szCs w:val="20"/>
          <w:lang w:eastAsia="zh-CN"/>
        </w:rPr>
        <w:t>（一）政府采购违法行为风险知悉确认书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一、本公司已充分知悉“隐瞒真实情况，提供虚假资料”的法定情形，相关情形包括但不限于：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（一）通过转让或者租借等方式从其他单位获取资格或者资质证书投标的。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（二）由其他单位或者其他单位负责人在投标供应商编制的投标文件上加盖印章或者签字的。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（三）项目负责人或者主要技术人员不是本单位人员的。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（四）投标保证金不是从投标供应商基本账户转出的。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（五）其他隐瞒真实情况、提供虚假资料的行为。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二、本公司已充分知悉“与其他采购参加人串通投标”的法定情形，相关情形包括但不限于：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（一）投标供应商之间相互约定给予未中标的供应商利益补偿。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（三）不同投标供应商的投标文件由同一单位或者同一人编制，或者由同一人分阶段参与编制的。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（四）不同投标供应商的投标文件或部分投标文件相互混装。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（五）不同投标供应商的投标文件内容存在非正常一致。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（六）由同一单位工作人员为两家以上（含两家）供应商进行同一项投标活动的。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（七）不同投标人的投标报价呈规律性差异。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（八）不同投标人的投标保证金从同一单位或者个人的账户转出。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（九）主管部门依照法律、法规认定的其他情形。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三、本公司已充分知悉下列情形所对应的法律风险，并在投标前已对相关风险事项进行排查。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kern w:val="2"/>
          <w:sz w:val="21"/>
          <w:szCs w:val="22"/>
          <w:lang w:eastAsia="zh-CN"/>
        </w:rPr>
        <w:t>（一）对于从其他主体获取的投标资料，供应商应审慎核查，确保投标资料的真实性。</w:t>
      </w:r>
      <w:r>
        <w:rPr>
          <w:rFonts w:ascii="宋体" w:eastAsia="宋体" w:hAnsi="宋体" w:cs="宋体"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（三）对于涉及安全生产、特种作业、抢险救灾、防疫等政府采购项目，供应商实施提供虚假资料、串通投标等违法行为的，主管部门将依法从严处理。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四、本公司已充分知悉政府采购违法、违规行为的法律后果。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我单位确认：“本公司已仔细阅读《政府采购违法行为风险知悉确认书》，充分知悉违法行为的法律后果，并承诺将严谨、诚信、依法依规参与政府采购活动”。</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lang w:eastAsia="zh-CN"/>
        </w:rPr>
      </w:pP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投标单位：</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 xml:space="preserve">     </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1.</w:t>
      </w:r>
      <w:r>
        <w:rPr>
          <w:rFonts w:ascii="宋体" w:eastAsia="宋体" w:hAnsi="宋体" w:cs="宋体" w:hint="eastAsia"/>
          <w:kern w:val="2"/>
          <w:sz w:val="21"/>
          <w:szCs w:val="22"/>
          <w:lang w:eastAsia="zh-CN"/>
        </w:rPr>
        <w:t xml:space="preserve"> </w:t>
      </w:r>
      <w:r>
        <w:rPr>
          <w:rFonts w:ascii="宋体" w:eastAsia="宋体" w:hAnsi="宋体" w:cs="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kinsoku/>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zCs w:val="22"/>
          <w:lang w:eastAsia="zh-CN"/>
        </w:rPr>
      </w:pPr>
    </w:p>
    <w:p>
      <w:pPr>
        <w:widowControl/>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szCs w:val="20"/>
          <w:lang w:eastAsia="zh-CN"/>
        </w:rPr>
      </w:pPr>
      <w:r>
        <w:rPr>
          <w:rFonts w:ascii="宋体" w:eastAsia="宋体" w:hAnsi="宋体" w:cs="宋体" w:hint="eastAsia"/>
          <w:b/>
          <w:bCs/>
          <w:szCs w:val="20"/>
          <w:lang w:eastAsia="zh-CN"/>
        </w:rPr>
        <w:t>（二）投标人认为需要加以说明的其他内容（格式自定）</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Cs w:val="22"/>
          <w:lang w:eastAsia="zh-CN"/>
        </w:rPr>
      </w:pPr>
      <w:r>
        <w:rPr>
          <w:rFonts w:ascii="宋体" w:eastAsia="宋体" w:hAnsi="宋体" w:cs="宋体" w:hint="eastAsia"/>
          <w:b/>
          <w:kern w:val="2"/>
          <w:szCs w:val="22"/>
          <w:lang w:eastAsia="zh-CN"/>
        </w:rPr>
        <w:t>合同条款</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b/>
          <w:kern w:val="2"/>
          <w:szCs w:val="22"/>
          <w:lang w:eastAsia="zh-CN"/>
        </w:rPr>
        <w:t>（仅供参考，项目具体要求以采购项目需求为准）</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甲方：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统一社会信用代码：</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法定代表人：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联系人：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联系方式：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地址：</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乙方：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统一社会信用代码：</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法定代表人：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联系人：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联系方式：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地址：</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根据深圳市龙华区</w:t>
      </w:r>
      <w:r>
        <w:rPr>
          <w:rFonts w:ascii="宋体" w:eastAsia="宋体" w:hAnsi="宋体" w:cs="宋体" w:hint="eastAsia"/>
          <w:color w:val="FF0000"/>
          <w:kern w:val="2"/>
          <w:sz w:val="21"/>
          <w:szCs w:val="21"/>
          <w:lang w:eastAsia="zh-CN"/>
        </w:rPr>
        <w:t>******</w:t>
      </w:r>
      <w:r>
        <w:rPr>
          <w:rFonts w:ascii="宋体" w:eastAsia="宋体" w:hAnsi="宋体" w:cs="宋体" w:hint="eastAsia"/>
          <w:kern w:val="2"/>
          <w:sz w:val="21"/>
          <w:szCs w:val="21"/>
          <w:lang w:eastAsia="zh-CN"/>
        </w:rPr>
        <w:t>采购项目的响应结果，由单位为中选方。按照有关规定，经深圳市（以下简称甲方）和单位（以下简称乙方）协商，就甲方委托乙方承担</w:t>
      </w:r>
      <w:r>
        <w:rPr>
          <w:rFonts w:ascii="宋体" w:eastAsia="宋体" w:hAnsi="宋体" w:cs="宋体" w:hint="eastAsia"/>
          <w:b/>
          <w:bCs/>
          <w:snapToGrid w:val="0"/>
          <w:sz w:val="21"/>
          <w:szCs w:val="21"/>
          <w:u w:val="single"/>
          <w:lang w:val="zh-CN" w:eastAsia="zh-CN"/>
        </w:rPr>
        <w:t xml:space="preserve">                      服务项目</w:t>
      </w:r>
      <w:r>
        <w:rPr>
          <w:rFonts w:ascii="宋体" w:eastAsia="宋体" w:hAnsi="宋体" w:cs="宋体" w:hint="eastAsia"/>
          <w:kern w:val="2"/>
          <w:sz w:val="21"/>
          <w:szCs w:val="21"/>
          <w:lang w:eastAsia="zh-CN"/>
        </w:rPr>
        <w:t>，达成以下合同条款：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第一条　项目概况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项目名称：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项目内容：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服务时间：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合同价款：合同总价为元，含一切税、费。</w:t>
      </w:r>
      <w:r>
        <w:rPr>
          <w:rFonts w:ascii="宋体" w:eastAsia="宋体" w:hAnsi="宋体" w:cs="宋体" w:hint="eastAsia"/>
          <w:kern w:val="2"/>
          <w:sz w:val="21"/>
          <w:szCs w:val="22"/>
          <w:lang w:eastAsia="zh-CN"/>
        </w:rPr>
        <w:t>本合同总价包括</w:t>
      </w:r>
      <w:r>
        <w:rPr>
          <w:rFonts w:ascii="宋体" w:eastAsia="宋体" w:hAnsi="宋体" w:cs="宋体" w:hint="eastAsia"/>
          <w:kern w:val="2"/>
          <w:sz w:val="21"/>
          <w:szCs w:val="21"/>
          <w:lang w:eastAsia="zh-CN"/>
        </w:rPr>
        <w:t>乙方为实施本项目所需的设备仪器费、车辆租赁费、</w:t>
      </w:r>
      <w:r>
        <w:rPr>
          <w:rFonts w:ascii="宋体" w:eastAsia="宋体" w:hAnsi="宋体" w:cs="宋体" w:hint="eastAsia"/>
          <w:kern w:val="2"/>
          <w:sz w:val="21"/>
          <w:szCs w:val="22"/>
          <w:lang w:eastAsia="zh-CN"/>
        </w:rPr>
        <w:t>服务和技术费用等，为固定不变价格，且不随通货膨胀的影响而波动。合同总价包括</w:t>
      </w:r>
      <w:r>
        <w:rPr>
          <w:rFonts w:ascii="宋体" w:eastAsia="宋体" w:hAnsi="宋体" w:cs="宋体" w:hint="eastAsia"/>
          <w:kern w:val="2"/>
          <w:sz w:val="21"/>
          <w:szCs w:val="21"/>
          <w:lang w:eastAsia="zh-CN"/>
        </w:rPr>
        <w:t>乙方</w:t>
      </w:r>
      <w:r>
        <w:rPr>
          <w:rFonts w:ascii="宋体" w:eastAsia="宋体" w:hAnsi="宋体" w:cs="宋体" w:hint="eastAsia"/>
          <w:kern w:val="2"/>
          <w:sz w:val="21"/>
          <w:szCs w:val="22"/>
          <w:lang w:eastAsia="zh-CN"/>
        </w:rPr>
        <w:t>履行本合同义务所发生的一切费用和支出和以各种方式寄送技术资料到甲方办公室所发生的费用。如发生本合同规定的不可抗力，合同总价可经双方友好协商予以调整。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支付方式：分期支付。</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第二条  服务范围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3、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 其他合同未明示的相关工作。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第三条  时间要求及阶段成果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1、合同签订天内完成项目实施的准备工作，包括工作大纲和试验细则的编制；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第四条  服务资料归属(若有)</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1、所有提交给甲方的服务文件及相关的资料的最后文本，包括为履行服务范围所编制的设计图纸、计划和证明资料等，都属于甲方的财产，</w:t>
      </w:r>
      <w:r>
        <w:rPr>
          <w:rFonts w:ascii="宋体" w:eastAsia="宋体" w:hAnsi="宋体" w:cs="宋体" w:hint="eastAsia"/>
          <w:kern w:val="2"/>
          <w:sz w:val="21"/>
          <w:szCs w:val="21"/>
          <w:lang w:eastAsia="zh-CN"/>
        </w:rPr>
        <w:t>乙</w:t>
      </w:r>
      <w:r>
        <w:rPr>
          <w:rFonts w:ascii="宋体" w:eastAsia="宋体" w:hAnsi="宋体" w:cs="宋体" w:hint="eastAsia"/>
          <w:kern w:val="2"/>
          <w:sz w:val="21"/>
          <w:szCs w:val="22"/>
          <w:lang w:eastAsia="zh-CN"/>
        </w:rPr>
        <w:t>方在提交给甲方之前应将上述资料进行整理归类和编制索引。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w:t>
      </w:r>
      <w:r>
        <w:rPr>
          <w:rFonts w:ascii="宋体" w:eastAsia="宋体" w:hAnsi="宋体" w:cs="宋体" w:hint="eastAsia"/>
          <w:kern w:val="2"/>
          <w:sz w:val="21"/>
          <w:szCs w:val="21"/>
          <w:lang w:eastAsia="zh-CN"/>
        </w:rPr>
        <w:t>乙</w:t>
      </w:r>
      <w:r>
        <w:rPr>
          <w:rFonts w:ascii="宋体" w:eastAsia="宋体" w:hAnsi="宋体" w:cs="宋体" w:hint="eastAsia"/>
          <w:kern w:val="2"/>
          <w:sz w:val="21"/>
          <w:szCs w:val="22"/>
          <w:lang w:eastAsia="zh-CN"/>
        </w:rPr>
        <w:t>方未经甲方的书面同意，不得将上述资料用于与本服务项目之外的任何项目。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3、合同履行完毕，未经甲方的书面同意，</w:t>
      </w:r>
      <w:r>
        <w:rPr>
          <w:rFonts w:ascii="宋体" w:eastAsia="宋体" w:hAnsi="宋体" w:cs="宋体" w:hint="eastAsia"/>
          <w:kern w:val="2"/>
          <w:sz w:val="21"/>
          <w:szCs w:val="21"/>
          <w:lang w:eastAsia="zh-CN"/>
        </w:rPr>
        <w:t>乙</w:t>
      </w:r>
      <w:r>
        <w:rPr>
          <w:rFonts w:ascii="宋体" w:eastAsia="宋体" w:hAnsi="宋体" w:cs="宋体" w:hint="eastAsia"/>
          <w:kern w:val="2"/>
          <w:sz w:val="21"/>
          <w:szCs w:val="22"/>
          <w:lang w:eastAsia="zh-CN"/>
        </w:rPr>
        <w:t>方不得保存在履行合同过程中所获得或接触到的任何</w:t>
      </w:r>
      <w:r>
        <w:rPr>
          <w:rFonts w:ascii="宋体" w:eastAsia="宋体" w:hAnsi="宋体" w:cs="宋体" w:hint="eastAsia"/>
          <w:kern w:val="2"/>
          <w:sz w:val="21"/>
          <w:szCs w:val="21"/>
          <w:lang w:eastAsia="zh-CN"/>
        </w:rPr>
        <w:t>内部数据资料。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第五条  甲方的义务</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1、负责与本服务项目有关的第三方的协调，提供开展服务工作的外部条件。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2、向乙方提供与本项目服务工作有关的资料。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第六条　乙方的义务</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１、应按照号采购文件、乙方响应文件要求按期完成本项目服务工作。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2、负责组织项目的实施，保证服务效率及工作质量，并符合招标文件和行业相关标准。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3、在履行合同期间或合同规定期限内，不得泄露与本合同规定业务活动有关的保密资料。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第七条  甲方的权利</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1、有权向乙方询问工作进展情况及相关的内容。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2、有权阐述对具体问题的意见和建议。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3、当甲方认定乙方人员不按合同履行其职责，或与第三人串通给甲方造成经济损失的，甲方有权要求更换人员，直至终止合同并要求乙方承担相应的赔偿责任。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第八条  乙方的权利</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1、乙方在本项目服务过程中，如甲方提供的资料不明确时可向甲方提出书面报告。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2、乙方在本项目服务过程中，有权对第三方提出与本项目服务业务有关的问题进行核对或查问。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3、乙方在本项目服务过程中，可根据项目需求现场勘查。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第九条  甲方的责任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1、应当履行本合同约定的义务，如有违反则应当承担违约责任，赔偿给乙方造成的损失。</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2、甲方向乙方提出赔偿要求不能成立时，则应补偿由于该赔偿或其他要求所导致乙方的各种费用的支出。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第十条  乙方的责任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2、乙方的责任期内，应当履行本合同中约定的义务，因乙方的单方过失造成的经济损失，应当向甲方进行赔偿。</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3、乙方对甲方或第三方所提出的问题不能及时核对或答复，导致合同不能全部或部分履行，乙方应承担责任。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4、乙方向甲方提出赔偿要求不能成立时，则应补偿由于该赔偿或其他要求所导致甲方的各种费用的支出。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第十一条  人员要求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1、参加本项目服务人员必须具有招标文件及国家有关部门规定的相应资质。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 参加本项目的服务人员的配置必须与响应文件中的服务承诺书和项目组织实施方案一致。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3、必须以直属服务人员参与本项目服务，不得使用挂靠队伍。</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第十二条  乙方服务工具要求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1、乙方应配备中选项目所需的足够数量的仪器、仪表以及工具等设备。用户不需向乙方提供施工工具和仪器、仪表。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2、乙方在提供服务过程中应自备车辆。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第十三条  保密要求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2、乙方在履行合同过程中所获得或接触到的任何内部数据资料，未经甲方同意，不得向第三方透露。</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3、乙方实施项目的一切程序都应符合国家安全、保密的有关规定和标准。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4、乙方参加项目的有关人员均需同甲方签订保密协议。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第十四条  验收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1、下列文件的验收分为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个阶段: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2、其余文件和工作由用户组织有关技术人员根据国家和行业有关规范、规程、标准和用户需求直接验收。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3、验收依据为号采购文件、乙方响应文件，国家和行业有关规范、规程和标准。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第十五条  付款方式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1、合同签订后天内，甲方向乙方支付合同总价%的款项。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2、全部服务完成并经甲方验收合格后，甲方向乙方支付合同总价%的款项。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第十六条  争议解决办法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执行本合同发生的争议，</w:t>
      </w:r>
      <w:r>
        <w:rPr>
          <w:rFonts w:ascii="宋体" w:eastAsia="宋体" w:hAnsi="宋体" w:cs="宋体" w:hint="eastAsia"/>
          <w:sz w:val="22"/>
          <w:szCs w:val="22"/>
          <w:lang w:eastAsia="zh-CN"/>
        </w:rPr>
        <w:t>由甲乙双方协商解决；协商不成，</w:t>
      </w:r>
      <w:r>
        <w:rPr>
          <w:rFonts w:ascii="宋体" w:eastAsia="宋体" w:hAnsi="宋体" w:cs="宋体" w:hint="eastAsia"/>
          <w:kern w:val="2"/>
          <w:sz w:val="21"/>
          <w:szCs w:val="21"/>
          <w:lang w:eastAsia="zh-CN"/>
        </w:rPr>
        <w:t>由甲方所在地人民法院管辖。</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第十七条  风险责任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１、乙方应完全地按照号采购文件的要求和乙方响应文件的承诺完成本项目，出于自身财务、技术、人力等原因导致项目失败的，应承担全部责任。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2、乙方在服务过程中应对自身的安全生产负责，若由乙方原因发生的各种事故甲方不承担任何责任。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第十八条  违约责任</w:t>
      </w:r>
    </w:p>
    <w:p>
      <w:pPr>
        <w:widowControl/>
        <w:kinsoku/>
        <w:overflowPunct/>
        <w:topLinePunct w:val="0"/>
        <w:bidi w:val="0"/>
        <w:spacing w:before="0" w:beforeAutospacing="0" w:afterAutospacing="0" w:line="360" w:lineRule="auto"/>
        <w:ind w:left="0" w:righ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投标人若未按照招投标文件及本合同要求履约，则需对履约不足的部分支付违约金，但最高不超过中标总额的10％。</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第十九条  其他</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1、下列文件均为本合同的重要组成部分：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（1）本项目的采购文件、答疑及补充通知；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（2）本项目中选的响应文件；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（3）本合同执行中共同签署的补充与修正文件。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r>
        <w:rPr>
          <w:rFonts w:ascii="宋体" w:eastAsia="宋体" w:hAnsi="宋体" w:cs="宋体" w:hint="eastAsia"/>
          <w:kern w:val="2"/>
          <w:sz w:val="21"/>
          <w:szCs w:val="21"/>
          <w:lang w:eastAsia="zh-CN"/>
        </w:rPr>
        <w:t>以上文件互为补充，如果出现内容冲突的情况，为准的优先顺序为（2）、（1）、（3）。</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2、本合同一式___份，甲、乙方双方各执份，具有同等法律效力。本合同自双方法定代表人或委托代理人签字并盖章认可之日起生效。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3、本合同未尽事宜，双方友好协商，达成解决方案，经双方签字后，可作为本合同的有效附件。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本合同未尽事宜，双方友好协商，达成解决方案，经双方签字后，可作为本合同的有效附件。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甲方：                              乙方：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（签章）                         （签章）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地址：                        地址：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法定代表人：（签章）           法定代表人：（签章）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开户行：                      开户行：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人民币账号：                  人民币账号：</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联系人：                      联系人：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电话：                        电话：</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日期：                        日期：</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b/>
          <w:bCs/>
          <w:color w:val="0000FF"/>
          <w:kern w:val="44"/>
          <w:sz w:val="36"/>
          <w:szCs w:val="44"/>
          <w:lang w:eastAsia="zh-CN"/>
        </w:rPr>
      </w:pPr>
    </w:p>
    <w:p>
      <w:pPr>
        <w:widowControl w:val="0"/>
        <w:spacing w:line="360" w:lineRule="auto"/>
        <w:jc w:val="both"/>
        <w:rPr>
          <w:rFonts w:ascii="宋体" w:eastAsia="宋体" w:hAnsi="宋体"/>
          <w:kern w:val="2"/>
          <w:sz w:val="21"/>
          <w:szCs w:val="21"/>
          <w:lang w:eastAsia="zh-CN"/>
        </w:rPr>
      </w:pPr>
    </w:p>
    <w:p>
      <w:pPr>
        <w:widowControl/>
        <w:jc w:val="both"/>
        <w:rPr>
          <w:rFonts w:ascii="Calibri" w:eastAsia="宋体" w:hAnsi="Calibri"/>
          <w:b/>
          <w:kern w:val="2"/>
          <w:szCs w:val="22"/>
          <w:lang w:eastAsia="zh-CN"/>
        </w:rPr>
      </w:pPr>
      <w:r>
        <w:rPr>
          <w:rFonts w:ascii="宋体" w:eastAsia="宋体" w:hAnsi="宋体" w:hint="eastAsia"/>
          <w:b/>
          <w:kern w:val="2"/>
          <w:sz w:val="21"/>
          <w:szCs w:val="21"/>
          <w:lang w:eastAsia="zh-CN"/>
        </w:rPr>
        <w:t>注：本合同样本仅供参考，具体条款内容由采购单位和中标单位协商确定。</w:t>
      </w:r>
    </w:p>
    <w:p>
      <w:pPr>
        <w:widowControl/>
        <w:jc w:val="center"/>
        <w:rPr>
          <w:rFonts w:ascii="宋体" w:eastAsia="黑体" w:hAnsi="宋体"/>
          <w:bCs/>
          <w:kern w:val="44"/>
          <w:sz w:val="28"/>
          <w:szCs w:val="44"/>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25" w:name="_Toc1312"/>
      <w:r>
        <w:rPr>
          <w:rFonts w:ascii="Arial" w:eastAsia="宋体" w:hAnsi="Arial" w:hint="eastAsia"/>
          <w:b/>
          <w:kern w:val="2"/>
          <w:sz w:val="32"/>
          <w:lang w:eastAsia="zh-CN"/>
        </w:rPr>
        <w:t>第一章 总则</w:t>
      </w:r>
      <w:bookmarkEnd w:id="25"/>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 通用条款说明</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 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 招标文件分为第一册“专用条款”和第二册“通用条款”。</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1.3“专用条款 ”是对本次采购项目的具体要求，包含招标公告、对通用条款的补充内容及其他 关键信息、用户需求书、投标文件格式及附件、合同条款及格式等内容。</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1.4“通用条款”是适用于政府采购公开招标项目的基础性条款，具有普遍性和通用性。</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 “专用条款”和“通用条款”表述不一致或有冲突时，以“专用条款”为准。</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2．招标说明</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本项目参照《深圳经济特区政府采购条例》、《深圳经济特区政府采购条例实施细则》及政府采购其他法律法规，通过公开招标方式确定中标供应商。</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3．定义</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招标文件中下列术语应解释为：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3.1“采购人”：指利用财政性资金依法进行政府采购的国家机关、事业单位、团体组织；</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3.2 “采购代理机构 ”是指</w:t>
      </w:r>
      <w:r>
        <w:rPr>
          <w:rFonts w:ascii="Calibri" w:eastAsia="宋体" w:hAnsi="Calibri" w:cstheme="minorBidi"/>
          <w:spacing w:val="8"/>
          <w:kern w:val="2"/>
          <w:sz w:val="21"/>
          <w:szCs w:val="22"/>
          <w:lang w:eastAsia="zh-CN"/>
        </w:rPr>
        <w:t>根据采购人的委托，代理采购事宜的机构</w:t>
      </w:r>
      <w:r>
        <w:rPr>
          <w:rFonts w:ascii="宋体" w:eastAsia="宋体" w:hAnsi="宋体" w:cs="宋体" w:hint="eastAsia"/>
          <w:kern w:val="2"/>
          <w:sz w:val="21"/>
          <w:szCs w:val="21"/>
          <w:lang w:eastAsia="zh-CN"/>
        </w:rPr>
        <w:t>；本文件所述的“采购代理机构”指深圳市千里招标代理有限公司；</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3.3“投标人 ”，即供应商，指参加投标竞争并愿意按照招标文件要求向采购人提供货物、工程 或者服务的依法成立的法人、其他组织或者自然人；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3.4“评审委员会 ”是依据《深圳经济特区政府采购条例》、《深圳经济特区政府采购条例实施 细则》等有关规定组建的专门负责本次招标其评审工作的临时性机构；</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3.5“日期”指公历日；</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3.6“合同”指由本次招标所产生的合同或合约文件；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3.7“电子投标文件 ”指利用深圳市自行采购系统网站提供的深圳市自行采购系统投标文件制作专用软件（以下简称：投标文件制作软件）制作并加密的 投 标 文 件 , 适 用 于 网 上 投 标 ； （投 标 文 件 制 作 软 件 可 从 “ 下 载 地 址 ： https://zxcg.szggzy.com/home/index.html 深圳市自行采购系统投标文件编制工具”下载）</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3.8“网上投标 ”指通过深圳政府采购自行采购系统网站上传电子投标文件；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3.9 招标文件中的标题或题名仅起引导作用，而不应视为对招标文件内容的理解和解释。</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4. 政府采购供应商责任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 欢迎诚信、有实力和有社会责任心的供应商参与政府采购事业。</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 投标人应当遵循公平竞争的原则，不得恶意串通，不得妨碍其他投标人的竞争行为，不得 损害采购人或者其他投标人的合法权益。如违反上述要求，经核实后，供应商的投标无效。</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5．投标人参加政府采购的条件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5.1 投标人应在投标前到深圳交易集团有限公司政府采购业务分公司进行注册并办理电子密钥。《供应商注册及信息变更指引》详见 www.szggzy.com 网站“交易服务指南-政府采购”。</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 投标人资格要求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参加本项目的投标人应具备的资格条件详见本项目招标公告中 “投标人资格要求 ”（即申请人的资格要求）的内容。</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 联合体投标</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5.3.1  以下有关联合体投标的条款仅适用于允许投标人组成联合体投标的项目。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5.3.2  由两个或两个以上的自然人、法人或者其他组织可以组成一个联合体，以一个供应商的 身份共同投标时，应符合以下原则：</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（1）投标联合体各方参加政府采购活动应当具备下列条件：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1、具有独立承担民事责任的能力；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2、有良好的商业信誉和健全的财务会计制度；</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3、具有履行合同所必需的设备和专业技术能力；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4、有依法缴纳税收和社会保障资金的良好记录；</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5、参加政府采购活动前三年内，在经营活动中没有重大违法记录；</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6、法律、行政法规规定的其他条件。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（2）在投标截止前，投标联合体各方均应注册成采购代理机构供应商；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（3）联合体中有同类资质的供应商按照联合体分工承担相同工作的，应当按照资质等级较低的 供应商确定资质等级；</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（4）是否允许联合体参加投标，应当由采购人和采购代理机构根据项目的实际情况和潜在供应 商的数量自主决定，如果决定接受联合体投标则应当在招标公告中明示；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（5）投标人的投标文件及中标后签署的合同协议对联合体各方均具有法律约束力；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（6）联合体各方应当签订联合体投标协议，明确约定各方拟承担的工作和责任，并将该协议随 投标文件一并递交给采购代理机构；</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（7）联合体中标后，联合体各方应当共同与采购人签订合同，就中标项目向采购人承担连带责 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（9）本通用条款中“投标人”一词亦指联合体各方，专用条款另有规定或说明的除外。</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6．政策导向</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6.1  政府采购支持本国产品、支持中小企业、监狱企业和残疾人福利性单位发展， 支持乡村产业振兴，支持创新、节能减排、绿色环保等。</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6.2  本项目落实深圳市政府采购供应商诚信管理政策要求。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6.3  本项目支持投标人性别平等的相关政策。</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7. 本项目若涉及采购货物，则合格的货物及相应服务应满足以下要求：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7.1  必须是全新、未使用过的原装合格正品（包括零部件），如安装或配置了软件的，须为正版软件。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7.2  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7.4  投标人应保证，其所提供的货物通过合法正规渠道供货，在提供给采购人前具有完全的所有权，采购人在中华人民共和国使用该货物或货物的任何一部分时，不会产生因第三方提出的包括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7.5  投标人应保证，其所提供的货物符合国家强制性标准要求；符合相关行业标准（如具备行 政主管部门颁发的资质证书或国家质量监督部门的产品《检验报告》等）。设备到货验收时，还必 须提供设备的产品合格证、质量保证文件。若中标后，除非另有约定，投标人必须按合同规定完成 设备的安装，并达到验收标准。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7.6  工期要求：投标人在投标时对其所投项目应提交交货进度、交货计划等，在合同规定的时 间内完成项目实施工作。</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7.7  投标人必须承担的设备运输、安装调试、验收检测和提供设备操作说明书、图纸等其他相关及类似的义务。</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8．投标费用</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不论投标结果如何，投标人应承担其编制投标文件与递交投标文件所涉及的一切费用。</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9．踏勘现场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9.1 如有需要（详见专用条款），采购人或采购代理机构将组织投标人对项目现场及周围环境 进行踏勘，以便投标人获取有关编制投标文件和签署合同所需的资料。踏勘现场所发生的费用由投 标人自行承担。投标人应按招标文件所约定的时间、地点踏勘现场。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9.2 投标人及其人员经过采购人的允许，可以进入采购人的项目现场踏勘。若招标文件要求投 标人于统一时间地点踏勘现场的，投标人应当按时前往。</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9.3 采购人应当通过采购代理机构向投标人提供有关现场的书面资料和数据。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9.4 任何人或任何组织在踏勘现场时向投标人提供的任何书面资料或口头承诺，未经采购代理 机构在网上发布或书面通知，均作无效处理。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9.5 未参与踏勘现场不作为否定投标人资格的理由。</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10．标前会议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10.1 如采购人或采购代理机构认为有必要组织标前会议，投标人应按照招标文件规定的时间或 采购代理机构另行书面通知（包括采购代理机构网站发布方式，如更正公告等）的时间和地点，参与标前会议。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10.2 任何人或任何组织在标前会议时向投标人提供的任何书面资料或口头承诺，未经采购代理 机构在网上发布或书面通知，均作无效处理。</w:t>
      </w:r>
    </w:p>
    <w:p>
      <w:pPr>
        <w:widowControl/>
        <w:wordWrap w:val="0"/>
        <w:autoSpaceDE w:val="0"/>
        <w:autoSpaceDN w:val="0"/>
        <w:spacing w:line="360" w:lineRule="auto"/>
        <w:ind w:right="808" w:firstLine="420" w:firstLineChars="200"/>
        <w:jc w:val="both"/>
        <w:rPr>
          <w:rFonts w:eastAsia="宋体"/>
          <w:b/>
          <w:kern w:val="2"/>
          <w:lang w:eastAsia="zh-CN"/>
        </w:rPr>
      </w:pPr>
      <w:r>
        <w:rPr>
          <w:rFonts w:ascii="宋体" w:eastAsia="宋体" w:hAnsi="宋体" w:cs="宋体" w:hint="eastAsia"/>
          <w:kern w:val="2"/>
          <w:sz w:val="21"/>
          <w:szCs w:val="21"/>
          <w:lang w:eastAsia="zh-CN"/>
        </w:rPr>
        <w:t>10.3 未参与标前会议不作为否定投标人资格的理由。</w:t>
      </w:r>
      <w:r>
        <w:rPr>
          <w:rFonts w:eastAsia="宋体" w:hint="eastAsia"/>
          <w:b/>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26" w:name="_Toc696"/>
      <w:r>
        <w:rPr>
          <w:rFonts w:ascii="Arial" w:eastAsia="宋体" w:hAnsi="Arial" w:hint="eastAsia"/>
          <w:b/>
          <w:kern w:val="2"/>
          <w:sz w:val="32"/>
          <w:lang w:eastAsia="zh-CN"/>
        </w:rPr>
        <w:t xml:space="preserve">第二章 </w:t>
      </w:r>
      <w:bookmarkStart w:id="27" w:name="_Toc25500"/>
      <w:bookmarkStart w:id="28" w:name="_Toc16272"/>
      <w:bookmarkStart w:id="29" w:name="_Toc4237"/>
      <w:r>
        <w:rPr>
          <w:rFonts w:ascii="Arial" w:eastAsia="宋体" w:hAnsi="Arial" w:hint="eastAsia"/>
          <w:b/>
          <w:kern w:val="2"/>
          <w:sz w:val="32"/>
          <w:lang w:eastAsia="zh-CN"/>
        </w:rPr>
        <w:t>招标文件</w:t>
      </w:r>
      <w:bookmarkEnd w:id="26"/>
      <w:bookmarkEnd w:id="27"/>
      <w:bookmarkEnd w:id="28"/>
      <w:bookmarkEnd w:id="2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0"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第一册  专用条款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关键信息</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第一章  招标公告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第二章  对通用条款的补充内容及其他关键信息</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第三章  用户需求书</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eastAsia="宋体" w:hint="eastAsia"/>
          <w:kern w:val="2"/>
          <w:sz w:val="21"/>
          <w:lang w:eastAsia="zh-CN"/>
        </w:rPr>
        <w:t>第四章 投标文件格式及附件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第五章  合同条款及格式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第二册  通用条款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第一章  总则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第二章  招标文件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第三章  投标文件的编制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第四章  投标文件的递交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第五章  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第六章  评审要求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第七章  评审程序及评审方法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第八章  定标及公示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第九章  公开招标失败的后续处理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第十章  合同的授予与备案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0"/>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1" w:name="_Toc31413"/>
      <w:bookmarkStart w:id="32" w:name="_Toc17279"/>
      <w:bookmarkStart w:id="33" w:name="_Toc18814"/>
      <w:bookmarkStart w:id="34" w:name="_Toc13741"/>
      <w:r>
        <w:rPr>
          <w:rFonts w:ascii="Arial" w:eastAsia="宋体" w:hAnsi="Arial" w:hint="eastAsia"/>
          <w:b/>
          <w:kern w:val="2"/>
          <w:sz w:val="32"/>
          <w:lang w:eastAsia="zh-CN"/>
        </w:rPr>
        <w:t>第三章 投标文件的编制</w:t>
      </w:r>
      <w:bookmarkEnd w:id="31"/>
      <w:bookmarkEnd w:id="32"/>
      <w:bookmarkEnd w:id="33"/>
      <w:bookmarkEnd w:id="3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35"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 除技术规范另有规定外，投标文件使用的度量单位，均采用中华人民共和国法定计量单位。</w:t>
      </w:r>
    </w:p>
    <w:bookmarkEnd w:id="3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36"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3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37"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 xml:space="preserve">.1 </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 xml:space="preserve">.2 </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3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38"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39"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3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38"/>
    <w:p>
      <w:pPr>
        <w:widowControl/>
        <w:wordWrap w:val="0"/>
        <w:autoSpaceDE w:val="0"/>
        <w:autoSpaceDN w:val="0"/>
        <w:spacing w:line="400" w:lineRule="exact"/>
        <w:ind w:right="808" w:firstLine="420" w:firstLineChars="200"/>
        <w:jc w:val="both"/>
        <w:rPr>
          <w:rFonts w:eastAsia="宋体"/>
          <w:kern w:val="2"/>
          <w:sz w:val="21"/>
          <w:lang w:eastAsia="zh-CN"/>
        </w:rPr>
      </w:pPr>
      <w:bookmarkStart w:id="40" w:name="_Hlk72402214"/>
      <w:r>
        <w:rPr>
          <w:rFonts w:eastAsia="宋体" w:hint="eastAsia"/>
          <w:kern w:val="2"/>
          <w:sz w:val="21"/>
          <w:lang w:eastAsia="zh-CN"/>
        </w:rPr>
        <w:t>20.1 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 xml:space="preserve"> 中标供应商的投标文件有效期，截止于完成本招标文件规定的全部项目内容，并通过竣工验收及保修期结束。</w:t>
      </w:r>
    </w:p>
    <w:bookmarkEnd w:id="4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21．</w:t>
      </w:r>
      <w:bookmarkStart w:id="41" w:name="_Hlk72402325"/>
      <w:r>
        <w:rPr>
          <w:rFonts w:eastAsia="宋体" w:hint="eastAsia"/>
          <w:kern w:val="2"/>
          <w:sz w:val="21"/>
          <w:lang w:eastAsia="zh-CN"/>
        </w:rPr>
        <w:t xml:space="preserve">关于投标保证金 </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eastAsia="宋体" w:hint="eastAsia"/>
          <w:kern w:val="2"/>
          <w:sz w:val="21"/>
          <w:lang w:eastAsia="zh-CN"/>
        </w:rPr>
        <w:t>21.1 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 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2"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 xml:space="preserve"> 各类资格（资质）文件提供扫描件，专用条款另有要求的除外。</w:t>
      </w:r>
      <w:bookmarkEnd w:id="42"/>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3" w:name="_Toc18062"/>
      <w:bookmarkStart w:id="44" w:name="_Toc26761"/>
      <w:bookmarkStart w:id="45" w:name="_Toc28552"/>
      <w:bookmarkStart w:id="46" w:name="_Toc21427"/>
      <w:r>
        <w:rPr>
          <w:rFonts w:ascii="Arial" w:eastAsia="宋体" w:hAnsi="Arial" w:hint="eastAsia"/>
          <w:b/>
          <w:kern w:val="2"/>
          <w:sz w:val="32"/>
          <w:lang w:eastAsia="zh-CN"/>
        </w:rPr>
        <w:t xml:space="preserve">第四章 </w:t>
      </w:r>
      <w:bookmarkStart w:id="47" w:name="_Toc30105"/>
      <w:r>
        <w:rPr>
          <w:rFonts w:ascii="Arial" w:eastAsia="宋体" w:hAnsi="Arial" w:hint="eastAsia"/>
          <w:b/>
          <w:kern w:val="2"/>
          <w:sz w:val="32"/>
          <w:lang w:eastAsia="zh-CN"/>
        </w:rPr>
        <w:t>投标文件的</w:t>
      </w:r>
      <w:bookmarkEnd w:id="43"/>
      <w:r>
        <w:rPr>
          <w:rFonts w:ascii="Arial" w:eastAsia="宋体" w:hAnsi="Arial" w:hint="eastAsia"/>
          <w:b/>
          <w:kern w:val="2"/>
          <w:sz w:val="32"/>
          <w:lang w:eastAsia="zh-CN"/>
        </w:rPr>
        <w:t>递交</w:t>
      </w:r>
      <w:bookmarkEnd w:id="44"/>
      <w:bookmarkEnd w:id="45"/>
      <w:bookmarkEnd w:id="46"/>
      <w:bookmarkEnd w:id="47"/>
    </w:p>
    <w:p>
      <w:pPr>
        <w:widowControl/>
        <w:wordWrap w:val="0"/>
        <w:autoSpaceDE w:val="0"/>
        <w:autoSpaceDN w:val="0"/>
        <w:spacing w:line="400" w:lineRule="exact"/>
        <w:ind w:right="808" w:firstLine="420" w:firstLineChars="200"/>
        <w:jc w:val="both"/>
        <w:rPr>
          <w:rFonts w:eastAsia="宋体"/>
          <w:kern w:val="2"/>
          <w:sz w:val="21"/>
          <w:lang w:eastAsia="zh-CN"/>
        </w:rPr>
      </w:pPr>
      <w:bookmarkStart w:id="48"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eastAsia="宋体" w:hint="eastAsia"/>
          <w:b/>
          <w:bCs/>
          <w:kern w:val="2"/>
          <w:sz w:val="21"/>
          <w:szCs w:val="21"/>
          <w:lang w:eastAsia="zh-CN"/>
        </w:rPr>
        <w:t>深圳市千里招标代理有限公司服务大厅协助上传，但上传过程中投标截止时间到达仍无法上传成功的，由投标人自行负责。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4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 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 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49"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49"/>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0" w:name="第五章1"/>
      <w:bookmarkEnd w:id="50"/>
      <w:bookmarkStart w:id="51" w:name="_Toc73518144"/>
      <w:bookmarkStart w:id="52" w:name="_Toc73517666"/>
      <w:bookmarkStart w:id="53" w:name="_Toc2041"/>
      <w:bookmarkStart w:id="54" w:name="_Toc100052391"/>
      <w:bookmarkStart w:id="55" w:name="_Toc13806"/>
      <w:bookmarkStart w:id="56" w:name="_Toc1658"/>
      <w:bookmarkStart w:id="57" w:name="_Toc101074881"/>
      <w:bookmarkStart w:id="58" w:name="_Toc14713"/>
      <w:r>
        <w:rPr>
          <w:rFonts w:ascii="Arial" w:eastAsia="宋体" w:hAnsi="Arial" w:hint="eastAsia"/>
          <w:b/>
          <w:kern w:val="2"/>
          <w:sz w:val="32"/>
          <w:lang w:eastAsia="zh-CN"/>
        </w:rPr>
        <w:t xml:space="preserve">第五章 </w:t>
      </w:r>
      <w:bookmarkStart w:id="59" w:name="_Toc4434"/>
      <w:r>
        <w:rPr>
          <w:rFonts w:ascii="Arial" w:eastAsia="宋体" w:hAnsi="Arial" w:hint="eastAsia"/>
          <w:b/>
          <w:kern w:val="2"/>
          <w:sz w:val="32"/>
          <w:lang w:eastAsia="zh-CN"/>
        </w:rPr>
        <w:t>开标</w:t>
      </w:r>
      <w:bookmarkEnd w:id="51"/>
      <w:bookmarkEnd w:id="52"/>
      <w:bookmarkEnd w:id="53"/>
      <w:bookmarkEnd w:id="54"/>
      <w:bookmarkEnd w:id="55"/>
      <w:bookmarkEnd w:id="56"/>
      <w:bookmarkEnd w:id="57"/>
      <w:bookmarkEnd w:id="58"/>
      <w:bookmarkEnd w:id="59"/>
    </w:p>
    <w:p>
      <w:pPr>
        <w:widowControl/>
        <w:wordWrap w:val="0"/>
        <w:autoSpaceDE w:val="0"/>
        <w:autoSpaceDN w:val="0"/>
        <w:spacing w:line="400" w:lineRule="exact"/>
        <w:ind w:right="808" w:firstLine="420" w:firstLineChars="200"/>
        <w:jc w:val="both"/>
        <w:rPr>
          <w:rFonts w:eastAsia="宋体"/>
          <w:kern w:val="2"/>
          <w:sz w:val="21"/>
          <w:lang w:eastAsia="zh-CN"/>
        </w:rPr>
      </w:pPr>
      <w:bookmarkStart w:id="60" w:name="_Toc73517668"/>
      <w:bookmarkStart w:id="61" w:name="_Toc73518146"/>
      <w:bookmarkStart w:id="62" w:name="_Toc101074882"/>
      <w:bookmarkStart w:id="63"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0"/>
    <w:bookmarkEnd w:id="61"/>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64" w:name="第六章1"/>
      <w:bookmarkEnd w:id="64"/>
      <w:bookmarkStart w:id="65" w:name="_Toc27869"/>
      <w:bookmarkStart w:id="66" w:name="_Toc7319"/>
      <w:bookmarkStart w:id="67" w:name="_Toc20179"/>
      <w:bookmarkStart w:id="68" w:name="_Toc29197"/>
      <w:r>
        <w:rPr>
          <w:rFonts w:ascii="Arial" w:eastAsia="宋体" w:hAnsi="Arial" w:hint="eastAsia"/>
          <w:b/>
          <w:kern w:val="2"/>
          <w:sz w:val="32"/>
          <w:lang w:eastAsia="zh-CN"/>
        </w:rPr>
        <w:t xml:space="preserve">第六章 </w:t>
      </w:r>
      <w:bookmarkStart w:id="69" w:name="_Toc29225"/>
      <w:r>
        <w:rPr>
          <w:rFonts w:ascii="Arial" w:eastAsia="宋体" w:hAnsi="Arial" w:hint="eastAsia"/>
          <w:b/>
          <w:kern w:val="2"/>
          <w:sz w:val="32"/>
          <w:lang w:eastAsia="zh-CN"/>
        </w:rPr>
        <w:t>评审要求</w:t>
      </w:r>
      <w:bookmarkEnd w:id="62"/>
      <w:bookmarkEnd w:id="63"/>
      <w:bookmarkEnd w:id="65"/>
      <w:bookmarkEnd w:id="66"/>
      <w:bookmarkEnd w:id="67"/>
      <w:bookmarkEnd w:id="68"/>
      <w:bookmarkEnd w:id="69"/>
    </w:p>
    <w:p>
      <w:pPr>
        <w:widowControl/>
        <w:wordWrap w:val="0"/>
        <w:autoSpaceDE w:val="0"/>
        <w:autoSpaceDN w:val="0"/>
        <w:spacing w:line="400" w:lineRule="exact"/>
        <w:ind w:right="808" w:firstLine="420" w:firstLineChars="200"/>
        <w:jc w:val="both"/>
        <w:rPr>
          <w:rFonts w:eastAsia="宋体"/>
          <w:kern w:val="2"/>
          <w:sz w:val="21"/>
          <w:lang w:eastAsia="zh-CN"/>
        </w:rPr>
      </w:pPr>
      <w:bookmarkStart w:id="70" w:name="第七章1"/>
      <w:bookmarkEnd w:id="70"/>
      <w:bookmarkStart w:id="71" w:name="_Toc19125"/>
      <w:bookmarkStart w:id="72" w:name="_Toc20125"/>
      <w:bookmarkStart w:id="73" w:name="_Toc1296"/>
      <w:bookmarkStart w:id="74" w:name="_Toc101074883"/>
      <w:bookmarkStart w:id="75" w:name="_Toc100052397"/>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76"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76"/>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 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7" w:name="_Toc18761"/>
      <w:r>
        <w:rPr>
          <w:rFonts w:ascii="Arial" w:eastAsia="宋体" w:hAnsi="Arial" w:hint="eastAsia"/>
          <w:b/>
          <w:kern w:val="2"/>
          <w:sz w:val="32"/>
          <w:lang w:eastAsia="zh-CN"/>
        </w:rPr>
        <w:t xml:space="preserve">第七章 </w:t>
      </w:r>
      <w:bookmarkStart w:id="78" w:name="_Toc26636"/>
      <w:r>
        <w:rPr>
          <w:rFonts w:ascii="Arial" w:eastAsia="宋体" w:hAnsi="Arial" w:hint="eastAsia"/>
          <w:b/>
          <w:kern w:val="2"/>
          <w:sz w:val="32"/>
          <w:lang w:eastAsia="zh-CN"/>
        </w:rPr>
        <w:t>评审程序</w:t>
      </w:r>
      <w:bookmarkStart w:id="79" w:name="_Toc73518149"/>
      <w:bookmarkStart w:id="80" w:name="_Toc73517671"/>
      <w:r>
        <w:rPr>
          <w:rFonts w:ascii="Arial" w:eastAsia="宋体" w:hAnsi="Arial" w:hint="eastAsia"/>
          <w:b/>
          <w:kern w:val="2"/>
          <w:sz w:val="32"/>
          <w:lang w:eastAsia="zh-CN"/>
        </w:rPr>
        <w:t>及评审方法</w:t>
      </w:r>
      <w:bookmarkEnd w:id="71"/>
      <w:bookmarkEnd w:id="72"/>
      <w:bookmarkEnd w:id="73"/>
      <w:bookmarkEnd w:id="74"/>
      <w:bookmarkEnd w:id="75"/>
      <w:bookmarkEnd w:id="77"/>
      <w:bookmarkEnd w:id="78"/>
    </w:p>
    <w:bookmarkEnd w:id="79"/>
    <w:bookmarkEnd w:id="8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 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 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1"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1"/>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2" w:name="_Toc73521581"/>
      <w:bookmarkStart w:id="83" w:name="_Toc100052400"/>
      <w:bookmarkStart w:id="84" w:name="_Toc73521669"/>
      <w:bookmarkStart w:id="85" w:name="_Toc73517673"/>
      <w:bookmarkStart w:id="86" w:name="_Toc73518151"/>
      <w:r>
        <w:rPr>
          <w:rFonts w:eastAsia="宋体" w:hint="eastAsia"/>
          <w:kern w:val="2"/>
          <w:sz w:val="21"/>
          <w:lang w:eastAsia="zh-CN"/>
        </w:rPr>
        <w:t>34．错误的修正</w:t>
      </w:r>
      <w:bookmarkEnd w:id="82"/>
      <w:bookmarkEnd w:id="83"/>
      <w:bookmarkEnd w:id="84"/>
      <w:bookmarkEnd w:id="85"/>
      <w:bookmarkEnd w:id="8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 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7"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8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 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8" w:name="第八章1"/>
      <w:bookmarkEnd w:id="88"/>
      <w:bookmarkStart w:id="89" w:name="_Toc30568"/>
      <w:bookmarkStart w:id="90" w:name="_Toc13341"/>
      <w:bookmarkStart w:id="91" w:name="_Toc1513"/>
      <w:bookmarkStart w:id="92" w:name="_Toc26094"/>
      <w:r>
        <w:rPr>
          <w:rFonts w:ascii="Arial" w:eastAsia="宋体" w:hAnsi="Arial" w:hint="eastAsia"/>
          <w:b/>
          <w:kern w:val="2"/>
          <w:sz w:val="32"/>
          <w:lang w:eastAsia="zh-CN"/>
        </w:rPr>
        <w:t xml:space="preserve">第八章 </w:t>
      </w:r>
      <w:bookmarkStart w:id="93" w:name="_Toc24537"/>
      <w:r>
        <w:rPr>
          <w:rFonts w:ascii="Arial" w:eastAsia="宋体" w:hAnsi="Arial" w:hint="eastAsia"/>
          <w:b/>
          <w:kern w:val="2"/>
          <w:sz w:val="32"/>
          <w:lang w:eastAsia="zh-CN"/>
        </w:rPr>
        <w:t>定标及公示</w:t>
      </w:r>
      <w:bookmarkEnd w:id="89"/>
      <w:bookmarkEnd w:id="90"/>
      <w:bookmarkEnd w:id="91"/>
      <w:bookmarkEnd w:id="92"/>
      <w:bookmarkEnd w:id="9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4"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 xml:space="preserve">38.2.2 </w:t>
      </w:r>
      <w:bookmarkStart w:id="95"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96"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95"/>
      <w:bookmarkEnd w:id="96"/>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9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97"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97"/>
      <w:bookmarkStart w:id="98"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 监督电话：0755-21070507。</w:t>
      </w:r>
      <w:r>
        <w:rPr>
          <w:rFonts w:eastAsia="宋体" w:hint="eastAsia"/>
          <w:kern w:val="2"/>
          <w:sz w:val="21"/>
          <w:lang w:eastAsia="zh-CN"/>
        </w:rPr>
        <w:t>若在公示期内未提出质疑，则视为认同该评审结果。</w:t>
      </w:r>
    </w:p>
    <w:bookmarkEnd w:id="9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99"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9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0" w:name="_Hlk71407340"/>
      <w:r>
        <w:rPr>
          <w:rFonts w:eastAsia="宋体" w:hint="eastAsia"/>
          <w:kern w:val="2"/>
          <w:sz w:val="21"/>
          <w:lang w:eastAsia="zh-CN"/>
        </w:rPr>
        <w:t>41.3因质疑投诉或其它原因导致项目结果变更或采购终止的，采购代理机构有权吊销中标通知书。</w:t>
      </w:r>
    </w:p>
    <w:bookmarkEnd w:id="100"/>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1" w:name="第九章1"/>
      <w:bookmarkEnd w:id="101"/>
      <w:bookmarkStart w:id="102" w:name="_Toc11736"/>
      <w:bookmarkStart w:id="103" w:name="_Toc25733"/>
      <w:bookmarkStart w:id="104" w:name="_Toc17412"/>
      <w:bookmarkStart w:id="105" w:name="_Toc24474"/>
      <w:bookmarkStart w:id="106" w:name="_Toc20277"/>
      <w:bookmarkStart w:id="107" w:name="_Toc101074884"/>
      <w:bookmarkStart w:id="108" w:name="_Toc73517678"/>
      <w:bookmarkStart w:id="109" w:name="_Toc100052407"/>
      <w:r>
        <w:rPr>
          <w:rFonts w:ascii="Arial" w:eastAsia="宋体" w:hAnsi="Arial" w:hint="eastAsia"/>
          <w:b/>
          <w:kern w:val="2"/>
          <w:sz w:val="32"/>
          <w:lang w:eastAsia="zh-CN"/>
        </w:rPr>
        <w:t>第九章 公开采购失败的后续处理</w:t>
      </w:r>
      <w:bookmarkEnd w:id="102"/>
      <w:bookmarkEnd w:id="103"/>
      <w:bookmarkEnd w:id="104"/>
      <w:bookmarkEnd w:id="105"/>
      <w:bookmarkEnd w:id="10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07"/>
    <w:bookmarkEnd w:id="108"/>
    <w:bookmarkEnd w:id="109"/>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0" w:name="第十章1"/>
      <w:bookmarkEnd w:id="110"/>
      <w:bookmarkStart w:id="111" w:name="_Toc9122"/>
      <w:bookmarkStart w:id="112" w:name="_Toc27904"/>
      <w:bookmarkStart w:id="113" w:name="_Toc26432"/>
      <w:bookmarkStart w:id="114" w:name="_Toc13677"/>
      <w:bookmarkStart w:id="115" w:name="_Toc26814"/>
      <w:r>
        <w:rPr>
          <w:rFonts w:ascii="Arial" w:eastAsia="宋体" w:hAnsi="Arial" w:hint="eastAsia"/>
          <w:b/>
          <w:kern w:val="2"/>
          <w:sz w:val="32"/>
          <w:lang w:eastAsia="zh-CN"/>
        </w:rPr>
        <w:t>第十章 合同的授予与备案</w:t>
      </w:r>
      <w:bookmarkEnd w:id="111"/>
      <w:bookmarkEnd w:id="112"/>
      <w:bookmarkEnd w:id="113"/>
      <w:bookmarkEnd w:id="114"/>
      <w:bookmarkEnd w:id="115"/>
    </w:p>
    <w:p>
      <w:pPr>
        <w:widowControl/>
        <w:wordWrap w:val="0"/>
        <w:autoSpaceDE w:val="0"/>
        <w:autoSpaceDN w:val="0"/>
        <w:spacing w:line="400" w:lineRule="exact"/>
        <w:ind w:right="808" w:firstLine="420" w:firstLineChars="200"/>
        <w:jc w:val="both"/>
        <w:rPr>
          <w:rFonts w:eastAsia="宋体"/>
          <w:kern w:val="2"/>
          <w:sz w:val="21"/>
          <w:lang w:eastAsia="zh-CN"/>
        </w:rPr>
      </w:pPr>
      <w:bookmarkStart w:id="116" w:name="_33._合同授予标准"/>
      <w:bookmarkEnd w:id="116"/>
      <w:bookmarkStart w:id="117" w:name="_Toc73518157"/>
      <w:bookmarkStart w:id="118" w:name="_Toc73521586"/>
      <w:bookmarkStart w:id="119" w:name="_Toc73517679"/>
      <w:bookmarkStart w:id="120" w:name="_Toc73521674"/>
      <w:bookmarkStart w:id="121" w:name="_Toc100052408"/>
      <w:bookmarkStart w:id="122" w:name="_Hlk72439088"/>
      <w:r>
        <w:rPr>
          <w:rFonts w:eastAsia="宋体" w:hint="eastAsia"/>
          <w:kern w:val="2"/>
          <w:sz w:val="21"/>
          <w:lang w:eastAsia="zh-CN"/>
        </w:rPr>
        <w:t>43．合同授予标准</w:t>
      </w:r>
      <w:bookmarkEnd w:id="117"/>
      <w:bookmarkEnd w:id="118"/>
      <w:bookmarkEnd w:id="119"/>
      <w:bookmarkEnd w:id="120"/>
      <w:bookmarkEnd w:id="12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23" w:name="_Toc73521675"/>
      <w:bookmarkStart w:id="124" w:name="_Toc73518158"/>
      <w:bookmarkStart w:id="125" w:name="_Toc73517680"/>
      <w:bookmarkStart w:id="126" w:name="_Toc100052409"/>
      <w:bookmarkStart w:id="127" w:name="_Toc73521587"/>
      <w:r>
        <w:rPr>
          <w:rFonts w:eastAsia="宋体" w:hint="eastAsia"/>
          <w:kern w:val="2"/>
          <w:sz w:val="21"/>
          <w:lang w:eastAsia="zh-CN"/>
        </w:rPr>
        <w:t>44．</w:t>
      </w:r>
      <w:bookmarkEnd w:id="123"/>
      <w:bookmarkEnd w:id="124"/>
      <w:bookmarkEnd w:id="125"/>
      <w:bookmarkEnd w:id="126"/>
      <w:bookmarkEnd w:id="127"/>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28" w:name="_Toc73518160"/>
      <w:bookmarkStart w:id="129" w:name="_Toc100052410"/>
      <w:bookmarkStart w:id="130" w:name="_Toc73521677"/>
      <w:bookmarkStart w:id="131" w:name="_Toc73517682"/>
      <w:bookmarkStart w:id="132" w:name="_Toc73521589"/>
      <w:r>
        <w:rPr>
          <w:rFonts w:eastAsia="宋体" w:hint="eastAsia"/>
          <w:kern w:val="2"/>
          <w:sz w:val="21"/>
          <w:lang w:eastAsia="zh-CN"/>
        </w:rPr>
        <w:t>45．合同的签订</w:t>
      </w:r>
      <w:bookmarkEnd w:id="128"/>
      <w:bookmarkEnd w:id="129"/>
      <w:bookmarkEnd w:id="130"/>
      <w:bookmarkEnd w:id="131"/>
      <w:bookmarkEnd w:id="13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3" w:name="_Toc73517683"/>
      <w:bookmarkStart w:id="134" w:name="_Toc100052411"/>
      <w:bookmarkStart w:id="135" w:name="_Toc73521678"/>
      <w:bookmarkStart w:id="136" w:name="_Toc73518161"/>
      <w:bookmarkStart w:id="137" w:name="_Toc73521590"/>
      <w:r>
        <w:rPr>
          <w:rFonts w:eastAsia="宋体" w:hint="eastAsia"/>
          <w:kern w:val="2"/>
          <w:sz w:val="21"/>
          <w:lang w:eastAsia="zh-CN"/>
        </w:rPr>
        <w:t>46．履约担保</w:t>
      </w:r>
      <w:bookmarkEnd w:id="133"/>
      <w:bookmarkEnd w:id="134"/>
      <w:bookmarkEnd w:id="135"/>
      <w:bookmarkEnd w:id="136"/>
      <w:bookmarkEnd w:id="13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 合同备案</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采购人与中标供应商自中标通知书发出之日起10个工作日内签订政府采购合同，并按财政部门规定提交备案。</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48. 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 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 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 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 xml:space="preserve">1.2 </w:t>
      </w:r>
      <w:r>
        <w:rPr>
          <w:rFonts w:eastAsia="宋体" w:hint="eastAsia"/>
          <w:kern w:val="2"/>
          <w:sz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38" w:name="_Hlk72440769"/>
      <w:r>
        <w:rPr>
          <w:rFonts w:eastAsia="宋体" w:hint="eastAsia"/>
          <w:kern w:val="2"/>
          <w:sz w:val="21"/>
          <w:lang w:eastAsia="zh-CN"/>
        </w:rPr>
        <w:t>采购代理机构或采购人不予退还其交纳的谈判保证金，情节严重的，并由主管部门</w:t>
      </w:r>
      <w:bookmarkEnd w:id="138"/>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2"/>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39" w:name="_Toc19433"/>
      <w:r>
        <w:rPr>
          <w:rFonts w:ascii="Arial" w:eastAsia="宋体" w:hAnsi="Arial" w:hint="eastAsia"/>
          <w:b/>
          <w:kern w:val="2"/>
          <w:sz w:val="32"/>
          <w:lang w:eastAsia="zh-CN"/>
        </w:rPr>
        <w:t>第十一章 质疑处理</w:t>
      </w:r>
      <w:bookmarkEnd w:id="13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52.3.1提出质疑的供应商应当是参与所质疑项目采购活动的供应商；</w:t>
      </w:r>
      <w:bookmarkStart w:id="140" w:name="_Hlk75374941"/>
      <w:r>
        <w:rPr>
          <w:rFonts w:eastAsia="宋体" w:hint="eastAsia"/>
          <w:kern w:val="2"/>
          <w:sz w:val="21"/>
          <w:lang w:eastAsia="zh-CN"/>
        </w:rPr>
        <w:t>以联合体形式参与的，质疑应当由组成联合体的所有成员共同提出</w:t>
      </w:r>
      <w:bookmarkEnd w:id="140"/>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 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9"/>
          <w:footerReference w:type="default" r:id="rId1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特色课程服务-A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其他招标文件要求或投标人认为需要补充的内容（公开）</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项目管理方案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拟安排的项目团队情况（项目负责人除外）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应急预案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LHAZXDL-2025-00035-001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特色课程服务-A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代理机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代理机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投标人须具有《中华人民共和国民办学校办学许可证》(提供有效的证书扫描件，原件备查)。：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投标人须具有《中华人民共和国民办学校办学许可证》(提供有效的证书扫描件，原件备查)。</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投标人需针对本项目提供实施方案，内容需包括： （1）工作措施； （2）工作方法； （3）工作手段； （4）工作流程。 评审标准： 1.同时满足以上四项要求得20分；满足以上三项要求得15分；满足以上两项要求得10分；满足以上一项要求得5分；内容不满足不得分。 2.在此基础上，根据采购文件的需求和响应文件响应情况进行分档评分： 优：内容详细、完整，表述清晰、严谨，科学合理、可行性强的加80分； 良：内容较详细、较完整，表述较清晰、较严谨，较科学合理、可行性较强的加50分； 中：内容不够详细、不够完整，表述不够清晰、不够严谨，不够合理、可行性一般的加20分； 差：内容不详细、不完整，表述不清晰、不严谨不合理、可行性差，的加0分。 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投标人需针对项目重点难点进行分析，提供相应的应对措施及合理化建议，内容需包括： 1.重点难点进行分析； 2.相应的应对措施及合理化建议。 评审标准： 1.同时满足以上两项要求得20分；满足以上一项要求得10分；内容不满足不得分。 2.在此基础上，根据采购文件的需求和响应文件响应情况进行分档评分： 优：内容详细、完整，表述清晰、严谨，科学合理、可行性强的加80分； 良：内容较详细、较完整，表述较清晰、较严谨，较科学合理、可行性较强的加50分； 中：内容不够详细、不够完整，表述不够清晰、不够严谨，不够合理、可行性一般的加20分； 差：内容不详细、不完整，表述不清晰、不严谨不合理、可行性差，的加0分。 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投标人需针对本项目提供质量保障措施，内容需包括： （1）项目进度保障； （2）人员培训计划。 评审标准： 1.同时满足以上两项要求得20分；满足以上一项要求得10分；内容不满足不得分。 2.在此基础上，根据采购文件的需求和响应文件响应情况进行分档评分： 优：内容详细、完整，表述清晰、严谨，科学合理、可行性强的加80分； 良：内容较详细、较完整，表述较清晰、较严谨，较科学合理、可行性较强的加50分； 中：内容不够详细、不够完整，表述不够清晰、不够严谨，不够合理、可行性一般的加20分； 差：内容不详细、不完整，表述不清晰、不严谨不合理、可行性差，的加0分。 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项目管理方案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投标人需针对本项目提供项目管理方案，内容需包括： （1）组织架构； （2）管理目标及方案。 评审标准： 1.同时满足以上两项要求得20分；满足以上一项要求得10分；内容不满足不得分。 2.在此基础上，根据采购文件的需求和响应文件响应情况进行分档评分： 优：内容详细、完整，表述清晰、严谨，科学合理、可行性强的加80分； 良：内容较详细、较完整，表述较清晰、较严谨，较科学合理、可行性较强的加50分； 中：内容不够详细、不够完整，表述不够清晰、不够严谨，不够合理、可行性一般的加20分； 差：内容不详细、不完整，表述不清晰、不严谨不合理、可行性差，的加0分。 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拟安排项目负责人为投标人自有员工，否则本项不得分，在此基础上： 1.具有本科（或以上）学历的，得100分，其他情况不得分； 证明文件 1.涉及到学历的，提供项目负责人的学历证书扫描件和学信网（https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 2.提供开标日前由投标人为拟投入本项目的负责人缴交的载有政府部门公章（或专用章）的2024年10-12月的社保缴交证明材料或劳动合同，如开标日上一个月的社保材料因政府部门原因暂时无法取得，则可以往前顺延一个月；社保资料至少显示缴交养老保险信息，未显示该信息的该社保资料则不符合要求，原件备查。若供应商成立不足一个月的，需提供成立情况说明函（格式自拟），无需提供相关人员社保，亦可得分；若为退休返聘人员，需提供说明函（格式自拟），无需提供相关人员社保，亦可得分。以上资料均要求提供复印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拟安排项目团队成员为投标人自有员工，否则本项不得分，在此基础上： 1.具有本科（或以上）学历的，每提供1人得50分，最高得100分，其他情况不得分； 证明文件 1.涉及到学历的，提供项目负责人的学历证书扫描件和学信网（https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 2.提供开标日前由投标人为拟投入本项目的负责人缴交的载有政府部门公章（或专用章）的2024年10-12月的社保缴交证明材料或劳动合同，如开标日上一个月的社保材料因政府部门原因暂时无法取得，则可以往前顺延一个月；社保资料至少显示缴交养老保险信息，未显示该信息的该社保资料则不符合要求，原件备查。若供应商成立不足一个月的，需提供成立情况说明函（格式自拟），无需提供相关人员社保，亦可得分；若为退休返聘人员，需提供说明函（格式自拟），无需提供相关人员社保，亦可得分。以上资料均要求提供复印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应急预案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投标人需针对本项目提供应急预案，内容需包括： （1）人员突然离岗预案； （2）人员无法胜任岗位要求预案。 评审标准： 1.同时满足以上两项要求得20分；满足以上一项要求得10分；内容不满足不得分。 2.在此基础上，根据采购文件的需求和响应文件响应情况进行分档评分： 优：内容详细、完整，表述清晰、严谨，科学合理、可行性强的加80分； 良：内容较详细、较完整，表述较清晰、较严谨，较科学合理、可行性较强的加50分； 中：内容不够详细、不够完整，表述不够清晰、不够严谨，不够合理、可行性一般的加20分； 差：内容不详细、不完整，表述不清晰、不严谨不合理、可行性差，的加0分。 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书面承诺：需在合同签订之日起7个工作日内，按时开展该合同服务，包括人员派遣、课程计划、实施方案等相关工作。如未能按时开展，将视为根本违约，采购方有权立即解除与其签订的采购合同，且中选方还需向采购方支付中选价的5%的违约金并赔偿其他损失。 证明文件： 须提供违约承诺函（格式自拟），按要求提供得满分，未提供或提供信息不全不得分。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投标人需承诺以下2项内容，按要求提供承诺函的得满分，否则本项不得分，格式自拟： 1.服务期满后主动与后续服务公司办理交接手续的承诺； 2.服务期满，后续服务公司未到位前，仍按原合同服务承诺提供服务的承诺。 证明文件： 须提供承诺函（格式自拟），按要求提供得满分，未提供或提供信息不全不得分。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在深圳市有固定服务网点（即投标人注册地在深圳市范围内或投标人设有能提供本项目售后服务分公司等合法注册的分支机构）或投标人承诺中选后30日内在深圳市范围内设定固定服务网点的得100分,其他不得分。 证明文件： 提供工商局或市场监督管理局出具的有效证明文件扫描件或承诺函（格式自拟），未提供或不清晰无法判断的不得分。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根据《深圳市财政委员会关于加强招投标评审环节诚信管理的通知》（深财购[2013]27号）的要求，投标人在参与政府采购活动中存在诚信相关问题且在主管部门相关处理措施实施期限内的，本项不得分，否则得满分。投标人无需提供任何证明材料，由工作人员向评审委员会提供相关信息。</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85D7C5"/>
    <w:multiLevelType w:val="singleLevel"/>
    <w:tmpl w:val="8B85D7C5"/>
    <w:lvl w:ilvl="0">
      <w:start w:val="3"/>
      <w:numFmt w:val="chineseCounting"/>
      <w:suff w:val="nothing"/>
      <w:lvlText w:val="%1、"/>
      <w:lvlJc w:val="left"/>
      <w:rPr>
        <w:rFonts w:hint="eastAsia"/>
      </w:rPr>
    </w:lvl>
  </w:abstractNum>
  <w:abstractNum w:abstractNumId="1">
    <w:nsid w:val="A702A6DD"/>
    <w:multiLevelType w:val="singleLevel"/>
    <w:tmpl w:val="A702A6DD"/>
    <w:lvl w:ilvl="0">
      <w:start w:val="1"/>
      <w:numFmt w:val="decimal"/>
      <w:suff w:val="nothing"/>
      <w:lvlText w:val="%1、"/>
      <w:lvlJc w:val="left"/>
    </w:lvl>
  </w:abstractNum>
  <w:abstractNum w:abstractNumId="2">
    <w:nsid w:val="B4F30691"/>
    <w:multiLevelType w:val="singleLevel"/>
    <w:tmpl w:val="B4F30691"/>
    <w:lvl w:ilvl="0">
      <w:start w:val="3"/>
      <w:numFmt w:val="decimal"/>
      <w:suff w:val="nothing"/>
      <w:lvlText w:val="（%1）"/>
      <w:lvlJc w:val="left"/>
    </w:lvl>
  </w:abstractNum>
  <w:abstractNum w:abstractNumId="3">
    <w:nsid w:val="B9358C2E"/>
    <w:multiLevelType w:val="singleLevel"/>
    <w:tmpl w:val="B9358C2E"/>
    <w:lvl w:ilvl="0">
      <w:start w:val="2"/>
      <w:numFmt w:val="decimal"/>
      <w:suff w:val="nothing"/>
      <w:lvlText w:val="%1、"/>
      <w:lvlJc w:val="left"/>
    </w:lvl>
  </w:abstractNum>
  <w:abstractNum w:abstractNumId="4">
    <w:nsid w:val="6AC61098"/>
    <w:multiLevelType w:val="singleLevel"/>
    <w:tmpl w:val="6AC61098"/>
    <w:lvl w:ilvl="0">
      <w:start w:val="1"/>
      <w:numFmt w:val="decimal"/>
      <w:lvlText w:val="%1."/>
      <w:lvlJc w:val="left"/>
      <w:pPr>
        <w:tabs>
          <w:tab w:val="left" w:pos="312"/>
        </w:tabs>
      </w:pPr>
    </w:lvl>
  </w:abstractNum>
  <w:abstractNum w:abstractNumId="5">
    <w:nsid w:val="721CBBE0"/>
    <w:multiLevelType w:val="singleLevel"/>
    <w:tmpl w:val="721CBBE0"/>
    <w:lvl w:ilvl="0">
      <w:start w:val="1"/>
      <w:numFmt w:val="decimal"/>
      <w:suff w:val="nothing"/>
      <w:lvlText w:val="%1、"/>
      <w:lvlJc w:val="left"/>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paragraph" w:styleId="BodyText">
    <w:name w:val="Body Text"/>
    <w:basedOn w:val="Normal"/>
    <w:next w:val="BodyTextFirstIndent"/>
    <w:link w:val="Char1"/>
    <w:qFormat/>
    <w:pPr>
      <w:widowControl w:val="0"/>
      <w:spacing w:line="360" w:lineRule="auto"/>
      <w:jc w:val="both"/>
    </w:pPr>
    <w:rPr>
      <w:rFonts w:asciiTheme="minorHAnsi" w:eastAsiaTheme="minorEastAsia" w:hAnsiTheme="minorHAnsi" w:cstheme="minorBidi"/>
      <w:b/>
      <w:bCs/>
      <w:kern w:val="2"/>
      <w:szCs w:val="22"/>
      <w:lang w:eastAsia="zh-CN"/>
    </w:rPr>
  </w:style>
  <w:style w:type="paragraph" w:styleId="BodyTextFirstIndent">
    <w:name w:val="Body Text First Indent"/>
    <w:basedOn w:val="BodyText"/>
    <w:next w:val="BodyText"/>
    <w:qFormat/>
    <w:pPr>
      <w:ind w:firstLine="420" w:firstLineChars="100"/>
    </w:pPr>
    <w:rPr>
      <w:rFonts w:asciiTheme="minorHAnsi" w:eastAsiaTheme="minorEastAsia" w:hAnsiTheme="minorHAnsi" w:cstheme="minorBidi"/>
    </w:rPr>
  </w:style>
  <w:style w:type="character" w:customStyle="1" w:styleId="Char1">
    <w:name w:val="正文文本 Char"/>
    <w:link w:val="BodyText"/>
    <w:qFormat/>
    <w:rPr>
      <w:rFonts w:asciiTheme="minorHAnsi" w:eastAsiaTheme="minorEastAsia" w:hAnsiTheme="minorHAnsi" w:cstheme="minorBidi"/>
      <w:b/>
      <w:bCs/>
      <w:kern w:val="2"/>
      <w:sz w:val="24"/>
      <w:szCs w:val="22"/>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semiHidden/>
    <w:qFormat/>
    <w:rPr>
      <w:sz w:val="18"/>
      <w:szCs w:val="18"/>
    </w:rPr>
  </w:style>
  <w:style w:type="paragraph" w:styleId="BodyTextIndent2">
    <w:name w:val="Body Text Indent 2"/>
    <w:basedOn w:val="Normal"/>
    <w:next w:val="Normal"/>
    <w:qFormat/>
    <w:pPr>
      <w:spacing w:line="500" w:lineRule="exact"/>
      <w:ind w:left="397" w:firstLine="539"/>
    </w:pPr>
    <w:rPr>
      <w:rFonts w:ascii="宋体" w:hAnsi="华文中宋"/>
      <w:sz w:val="26"/>
      <w:szCs w:val="20"/>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