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1880C">
      <w:pPr>
        <w:widowControl/>
        <w:spacing w:before="0" w:beforeAutospacing="1" w:after="0" w:afterAutospacing="1"/>
        <w:jc w:val="center"/>
        <w:outlineLvl w:val="0"/>
        <w:rPr>
          <w:rFonts w:hint="eastAsia" w:ascii="黑体" w:hAnsi="宋体" w:eastAsia="黑体" w:cs="黑体"/>
          <w:sz w:val="40"/>
          <w:szCs w:val="40"/>
          <w:lang w:eastAsia="zh-CN"/>
        </w:rPr>
      </w:pPr>
      <w:r>
        <w:rPr>
          <w:rFonts w:hint="eastAsia" w:ascii="黑体" w:hAnsi="宋体" w:eastAsia="黑体" w:cs="黑体"/>
          <w:sz w:val="40"/>
          <w:szCs w:val="40"/>
          <w:lang w:eastAsia="zh-CN"/>
        </w:rPr>
        <w:t>招标文件信息</w:t>
      </w:r>
    </w:p>
    <w:p w14:paraId="41B4ABA7">
      <w:pPr>
        <w:widowControl w:val="0"/>
        <w:tabs>
          <w:tab w:val="left" w:pos="2790"/>
        </w:tabs>
        <w:snapToGrid w:val="0"/>
        <w:jc w:val="center"/>
        <w:outlineLvl w:val="0"/>
        <w:rPr>
          <w:rFonts w:hint="eastAsia" w:ascii="黑体" w:hAnsi="黑体" w:eastAsia="黑体"/>
          <w:kern w:val="2"/>
          <w:sz w:val="40"/>
          <w:szCs w:val="40"/>
          <w:lang w:eastAsia="zh-CN"/>
        </w:rPr>
      </w:pPr>
    </w:p>
    <w:p w14:paraId="3C43FD1C">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项目编号：</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LHAZXDL-2024-00161</w:t>
      </w:r>
    </w:p>
    <w:p w14:paraId="2F846096">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项目名称：</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观澜校区物化实验AI考评系统采购</w:t>
      </w:r>
    </w:p>
    <w:p w14:paraId="163FFE9C">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包号：</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A</w:t>
      </w:r>
    </w:p>
    <w:p w14:paraId="295F79B7">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项目类型：</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货物类</w:t>
      </w:r>
    </w:p>
    <w:p w14:paraId="55196F45">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采购方式：</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公开招标</w:t>
      </w:r>
    </w:p>
    <w:p w14:paraId="7D913F9C">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货币类型：</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人民币</w:t>
      </w:r>
    </w:p>
    <w:p w14:paraId="457E792B">
      <w:pPr>
        <w:widowControl w:val="0"/>
        <w:tabs>
          <w:tab w:val="left" w:pos="2790"/>
        </w:tabs>
        <w:snapToGrid w:val="0"/>
        <w:jc w:val="both"/>
        <w:outlineLvl w:val="0"/>
        <w:rPr>
          <w:rFonts w:hint="eastAsia" w:ascii="宋体" w:hAnsi="宋体" w:eastAsia="宋体" w:cs="宋体"/>
          <w:kern w:val="2"/>
          <w:sz w:val="32"/>
          <w:szCs w:val="32"/>
          <w:lang w:eastAsia="zh-CN"/>
        </w:rPr>
      </w:pPr>
      <w:r>
        <w:rPr>
          <w:rFonts w:hint="eastAsia" w:ascii="宋体" w:hAnsi="宋体" w:eastAsia="宋体" w:cs="宋体"/>
          <w:kern w:val="2"/>
          <w:sz w:val="32"/>
          <w:szCs w:val="32"/>
          <w:lang w:eastAsia="zh-CN"/>
        </w:rPr>
        <w:t>评标方法：</w:t>
      </w:r>
      <w:r>
        <w:rPr>
          <w:rFonts w:hint="eastAsia" w:ascii="宋体" w:hAnsi="宋体" w:eastAsia="宋体" w:cs="宋体"/>
          <w:kern w:val="2"/>
          <w:sz w:val="32"/>
          <w:szCs w:val="32"/>
          <w:lang w:eastAsia="zh-CN"/>
        </w:rPr>
        <w:tab/>
      </w:r>
      <w:r>
        <w:rPr>
          <w:rFonts w:hint="eastAsia" w:ascii="宋体" w:hAnsi="宋体" w:eastAsia="宋体" w:cs="宋体"/>
          <w:kern w:val="2"/>
          <w:sz w:val="32"/>
          <w:szCs w:val="32"/>
          <w:lang w:eastAsia="zh-CN"/>
        </w:rPr>
        <w:t>综合评分法</w:t>
      </w:r>
    </w:p>
    <w:p w14:paraId="0E452707">
      <w:pPr>
        <w:widowControl w:val="0"/>
        <w:spacing w:line="360" w:lineRule="auto"/>
        <w:jc w:val="both"/>
        <w:rPr>
          <w:rFonts w:hint="eastAsia" w:ascii="Calibri" w:hAnsi="Calibri" w:eastAsia="宋体"/>
          <w:b/>
          <w:bCs/>
          <w:kern w:val="2"/>
          <w:szCs w:val="22"/>
          <w:lang w:eastAsia="zh-CN"/>
        </w:rPr>
      </w:pPr>
    </w:p>
    <w:p w14:paraId="0915020C">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6"/>
        <w:gridCol w:w="8100"/>
      </w:tblGrid>
      <w:tr w14:paraId="4C69FD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55FC8AA">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序号</w:t>
            </w:r>
          </w:p>
        </w:tc>
        <w:tc>
          <w:tcPr>
            <w:tcW w:w="8669"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BB4700E">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14:paraId="405FD6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CD5AE01">
            <w:pPr>
              <w:widowControl w:val="0"/>
              <w:spacing w:line="290" w:lineRule="exact"/>
              <w:jc w:val="center"/>
              <w:rPr>
                <w:rFonts w:ascii="宋体" w:hAnsi="宋体" w:eastAsia="宋体" w:cs="宋体"/>
                <w:kern w:val="2"/>
                <w:sz w:val="21"/>
                <w:szCs w:val="21"/>
                <w:lang w:eastAsia="zh-CN"/>
              </w:rPr>
            </w:pPr>
            <w:r>
              <w:rPr>
                <w:rFonts w:ascii="宋体" w:hAnsi="宋体" w:eastAsia="宋体"/>
                <w:kern w:val="2"/>
                <w:sz w:val="21"/>
                <w:szCs w:val="21"/>
                <w:lang w:eastAsia="zh-CN"/>
              </w:rPr>
              <w:t>1</w:t>
            </w:r>
          </w:p>
        </w:tc>
        <w:tc>
          <w:tcPr>
            <w:tcW w:w="8669" w:type="dxa"/>
            <w:tcBorders>
              <w:top w:val="single" w:color="000000" w:sz="8" w:space="0"/>
              <w:left w:val="single" w:color="000000" w:sz="8" w:space="0"/>
              <w:bottom w:val="single" w:color="000000" w:sz="8" w:space="0"/>
              <w:right w:val="single" w:color="000000" w:sz="8" w:space="0"/>
            </w:tcBorders>
          </w:tcPr>
          <w:p w14:paraId="495B4752">
            <w:pPr>
              <w:widowControl w:val="0"/>
              <w:spacing w:line="290" w:lineRule="exact"/>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资格要求，或未提交相应的资格证明资料（详见招标公告</w:t>
            </w:r>
            <w:r>
              <w:rPr>
                <w:rFonts w:hint="eastAsia" w:ascii="宋体" w:hAnsi="宋体" w:eastAsia="宋体"/>
                <w:kern w:val="2"/>
                <w:sz w:val="21"/>
                <w:szCs w:val="21"/>
                <w:lang w:eastAsia="zh-CN"/>
              </w:rPr>
              <w:t>投标人资格要求，即申请人的资格要求</w:t>
            </w:r>
            <w:r>
              <w:rPr>
                <w:rFonts w:ascii="宋体" w:hAnsi="宋体" w:eastAsia="宋体" w:cs="宋体"/>
                <w:sz w:val="21"/>
                <w:szCs w:val="21"/>
                <w:lang w:eastAsia="zh-CN"/>
              </w:rPr>
              <w:t>）。</w:t>
            </w:r>
          </w:p>
        </w:tc>
      </w:tr>
    </w:tbl>
    <w:p w14:paraId="5AE41EF0">
      <w:pPr>
        <w:widowControl w:val="0"/>
        <w:tabs>
          <w:tab w:val="left" w:pos="2790"/>
        </w:tabs>
        <w:snapToGrid w:val="0"/>
        <w:jc w:val="center"/>
        <w:rPr>
          <w:rFonts w:ascii="黑体" w:hAnsi="黑体" w:eastAsia="黑体"/>
          <w:kern w:val="2"/>
          <w:sz w:val="40"/>
          <w:szCs w:val="40"/>
          <w:lang w:eastAsia="zh-CN"/>
        </w:rPr>
      </w:pPr>
    </w:p>
    <w:p w14:paraId="3E7EF189">
      <w:pPr>
        <w:widowControl w:val="0"/>
        <w:tabs>
          <w:tab w:val="left" w:pos="2790"/>
        </w:tabs>
        <w:snapToGrid w:val="0"/>
        <w:jc w:val="center"/>
        <w:outlineLvl w:val="0"/>
        <w:rPr>
          <w:rFonts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9"/>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47"/>
        <w:gridCol w:w="8109"/>
      </w:tblGrid>
      <w:tr w14:paraId="55700F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97FB78D">
            <w:pPr>
              <w:widowControl/>
              <w:jc w:val="center"/>
              <w:rPr>
                <w:rFonts w:ascii="宋体" w:hAnsi="宋体" w:eastAsia="宋体"/>
                <w:kern w:val="2"/>
                <w:sz w:val="21"/>
                <w:szCs w:val="21"/>
                <w:lang w:eastAsia="zh-CN"/>
              </w:rPr>
            </w:pPr>
            <w:r>
              <w:rPr>
                <w:rFonts w:ascii="宋体" w:hAnsi="宋体" w:eastAsia="宋体" w:cs="宋体"/>
                <w:sz w:val="21"/>
                <w:szCs w:val="21"/>
                <w:lang w:eastAsia="zh-CN"/>
              </w:rPr>
              <w:t>序号</w:t>
            </w:r>
          </w:p>
        </w:tc>
        <w:tc>
          <w:tcPr>
            <w:tcW w:w="8647"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F77E9BC">
            <w:pPr>
              <w:widowControl/>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14:paraId="277ED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D916E4">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1</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62BB4E1D">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不得将一个包的内容拆开投标；</w:t>
            </w:r>
          </w:p>
        </w:tc>
      </w:tr>
      <w:tr w14:paraId="2255AB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905E0">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2</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25A27F3D">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对同一项目投标时，不得提供两套以上的投标方案（招标文件另有规定的除外）；</w:t>
            </w:r>
          </w:p>
        </w:tc>
      </w:tr>
      <w:tr w14:paraId="04927A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5B5519">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3</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0C9092FB">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分项报价或投标总价不得高于</w:t>
            </w:r>
            <w:bookmarkStart w:id="0" w:name="_Hlk71832186"/>
            <w:r>
              <w:rPr>
                <w:rFonts w:hint="eastAsia" w:ascii="宋体" w:hAnsi="宋体" w:eastAsia="宋体" w:cstheme="minorBidi"/>
                <w:kern w:val="2"/>
                <w:sz w:val="21"/>
                <w:szCs w:val="21"/>
                <w:lang w:eastAsia="zh-CN"/>
              </w:rPr>
              <w:t>相应预算金额（或设定的预算金额下的最高限价）</w:t>
            </w:r>
            <w:bookmarkEnd w:id="0"/>
            <w:r>
              <w:rPr>
                <w:rFonts w:hint="eastAsia" w:ascii="宋体" w:hAnsi="宋体" w:eastAsia="宋体" w:cstheme="minorBidi"/>
                <w:kern w:val="2"/>
                <w:sz w:val="21"/>
                <w:szCs w:val="21"/>
                <w:lang w:eastAsia="zh-CN"/>
              </w:rPr>
              <w:t>；</w:t>
            </w:r>
          </w:p>
        </w:tc>
      </w:tr>
      <w:tr w14:paraId="334DB4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C2769E">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4</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332E7F2A">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9B611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98F55">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5</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59145977">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1BC735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5751E7">
            <w:pPr>
              <w:widowControl/>
              <w:jc w:val="center"/>
              <w:textAlignment w:val="top"/>
              <w:rPr>
                <w:rFonts w:ascii="宋体" w:hAnsi="宋体" w:eastAsia="宋体"/>
                <w:kern w:val="2"/>
                <w:sz w:val="21"/>
                <w:szCs w:val="21"/>
                <w:lang w:eastAsia="zh-CN"/>
              </w:rPr>
            </w:pPr>
            <w:r>
              <w:rPr>
                <w:rFonts w:ascii="宋体" w:hAnsi="宋体" w:eastAsia="宋体" w:cs="宋体"/>
                <w:sz w:val="21"/>
                <w:szCs w:val="21"/>
                <w:lang w:eastAsia="zh-CN"/>
              </w:rPr>
              <w:t>6</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6227968F">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14:paraId="25FFDE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F57AB">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7</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1CD8BDA2">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14:paraId="6167F3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1224D6">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8</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3ED216A4">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投标文件电子文档不得带病毒；</w:t>
            </w:r>
          </w:p>
        </w:tc>
      </w:tr>
      <w:tr w14:paraId="41CE53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249F4">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9</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05DC6E5F">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投标文件用不属于本公司的电子密钥进行加密的；</w:t>
            </w:r>
          </w:p>
        </w:tc>
      </w:tr>
      <w:tr w14:paraId="66E813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80" w:hRule="atLeast"/>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A60637">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10</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348D2787">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不同投标供应商投标文件“文件制作机器码”一致；</w:t>
            </w:r>
          </w:p>
        </w:tc>
      </w:tr>
      <w:tr w14:paraId="017F17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2A86884">
            <w:pPr>
              <w:widowControl/>
              <w:jc w:val="center"/>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11</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6FCF52D7">
            <w:pPr>
              <w:widowControl/>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不同投标供应商投标文件“文件创建标识码”一致；</w:t>
            </w:r>
          </w:p>
        </w:tc>
      </w:tr>
      <w:tr w14:paraId="670419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8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47EE9C">
            <w:pPr>
              <w:widowControl/>
              <w:jc w:val="center"/>
              <w:textAlignment w:val="top"/>
              <w:rPr>
                <w:rFonts w:ascii="宋体" w:hAnsi="宋体" w:eastAsia="宋体"/>
                <w:kern w:val="2"/>
                <w:sz w:val="21"/>
                <w:szCs w:val="21"/>
                <w:lang w:eastAsia="zh-CN"/>
              </w:rPr>
            </w:pPr>
            <w:r>
              <w:rPr>
                <w:rFonts w:hint="eastAsia" w:ascii="宋体" w:hAnsi="宋体" w:eastAsia="宋体" w:cs="宋体"/>
                <w:sz w:val="21"/>
                <w:szCs w:val="21"/>
                <w:lang w:eastAsia="zh-CN"/>
              </w:rPr>
              <w:t>12</w:t>
            </w:r>
          </w:p>
        </w:tc>
        <w:tc>
          <w:tcPr>
            <w:tcW w:w="8647" w:type="dxa"/>
            <w:tcBorders>
              <w:top w:val="single" w:color="000000" w:sz="8" w:space="0"/>
              <w:left w:val="single" w:color="000000" w:sz="8" w:space="0"/>
              <w:bottom w:val="single" w:color="000000" w:sz="8" w:space="0"/>
              <w:right w:val="single" w:color="000000" w:sz="8" w:space="0"/>
            </w:tcBorders>
            <w:shd w:val="clear" w:color="auto" w:fill="auto"/>
          </w:tcPr>
          <w:p w14:paraId="639EDA54">
            <w:pPr>
              <w:widowControl/>
              <w:jc w:val="left"/>
              <w:textAlignment w:val="top"/>
              <w:rPr>
                <w:rFonts w:ascii="宋体" w:hAnsi="宋体" w:eastAsia="宋体"/>
                <w:kern w:val="2"/>
                <w:sz w:val="21"/>
                <w:szCs w:val="21"/>
                <w:lang w:eastAsia="zh-CN"/>
              </w:rPr>
            </w:pPr>
            <w:r>
              <w:rPr>
                <w:rFonts w:hint="eastAsia" w:ascii="宋体" w:hAnsi="宋体" w:eastAsia="宋体" w:cstheme="minorBidi"/>
                <w:kern w:val="2"/>
                <w:sz w:val="21"/>
                <w:szCs w:val="21"/>
                <w:lang w:eastAsia="zh-CN"/>
              </w:rPr>
              <w:t>法律、法规、规章、规范性文件规定的其他情形。</w:t>
            </w:r>
          </w:p>
        </w:tc>
      </w:tr>
    </w:tbl>
    <w:p w14:paraId="1E4AC3F9">
      <w:pPr>
        <w:widowControl w:val="0"/>
        <w:tabs>
          <w:tab w:val="left" w:pos="2790"/>
        </w:tabs>
        <w:snapToGrid w:val="0"/>
        <w:jc w:val="left"/>
        <w:rPr>
          <w:rFonts w:ascii="Calibri" w:hAnsi="Calibri" w:eastAsia="宋体"/>
          <w:kern w:val="2"/>
          <w:lang w:eastAsia="zh-CN"/>
        </w:rPr>
      </w:pPr>
    </w:p>
    <w:p w14:paraId="2BA71C10">
      <w:pPr>
        <w:widowControl w:val="0"/>
        <w:tabs>
          <w:tab w:val="left" w:pos="2790"/>
        </w:tabs>
        <w:snapToGrid w:val="0"/>
        <w:jc w:val="left"/>
        <w:rPr>
          <w:rFonts w:ascii="Calibri" w:hAnsi="Calibri" w:eastAsia="宋体"/>
          <w:kern w:val="2"/>
          <w:lang w:eastAsia="zh-CN"/>
        </w:rPr>
      </w:pPr>
    </w:p>
    <w:p w14:paraId="60AA6139">
      <w:pPr>
        <w:widowControl w:val="0"/>
        <w:tabs>
          <w:tab w:val="left" w:pos="2790"/>
        </w:tabs>
        <w:snapToGrid w:val="0"/>
        <w:jc w:val="left"/>
        <w:rPr>
          <w:rFonts w:ascii="Calibri" w:hAnsi="Calibri" w:eastAsia="宋体"/>
          <w:kern w:val="2"/>
          <w:lang w:eastAsia="zh-CN"/>
        </w:rPr>
      </w:pPr>
    </w:p>
    <w:p w14:paraId="0878996E">
      <w:pPr>
        <w:widowControl w:val="0"/>
        <w:tabs>
          <w:tab w:val="left" w:pos="2790"/>
        </w:tabs>
        <w:snapToGrid w:val="0"/>
        <w:jc w:val="left"/>
        <w:rPr>
          <w:rFonts w:ascii="Calibri" w:hAnsi="Calibri" w:eastAsia="宋体"/>
          <w:kern w:val="2"/>
          <w:lang w:eastAsia="zh-CN"/>
        </w:rPr>
      </w:pPr>
    </w:p>
    <w:p w14:paraId="77042C0C">
      <w:pPr>
        <w:widowControl w:val="0"/>
        <w:tabs>
          <w:tab w:val="left" w:pos="2790"/>
        </w:tabs>
        <w:snapToGrid w:val="0"/>
        <w:jc w:val="left"/>
        <w:rPr>
          <w:rFonts w:ascii="Calibri" w:hAnsi="Calibri" w:eastAsia="宋体"/>
          <w:kern w:val="2"/>
          <w:lang w:eastAsia="zh-CN"/>
        </w:rPr>
      </w:pPr>
    </w:p>
    <w:p w14:paraId="78B05531">
      <w:pPr>
        <w:widowControl w:val="0"/>
        <w:tabs>
          <w:tab w:val="left" w:pos="2790"/>
        </w:tabs>
        <w:snapToGrid w:val="0"/>
        <w:jc w:val="left"/>
        <w:rPr>
          <w:rFonts w:ascii="Calibri" w:hAnsi="Calibri" w:eastAsia="宋体"/>
          <w:kern w:val="2"/>
          <w:lang w:eastAsia="zh-CN"/>
        </w:rPr>
      </w:pPr>
    </w:p>
    <w:p w14:paraId="7199247C">
      <w:pPr>
        <w:widowControl w:val="0"/>
        <w:tabs>
          <w:tab w:val="left" w:pos="2790"/>
        </w:tabs>
        <w:snapToGrid w:val="0"/>
        <w:jc w:val="left"/>
        <w:rPr>
          <w:rFonts w:ascii="Calibri" w:hAnsi="Calibri" w:eastAsia="宋体"/>
          <w:kern w:val="2"/>
          <w:lang w:eastAsia="zh-CN"/>
        </w:rPr>
      </w:pPr>
    </w:p>
    <w:p w14:paraId="22EEA19A">
      <w:pPr>
        <w:widowControl w:val="0"/>
        <w:tabs>
          <w:tab w:val="left" w:pos="2790"/>
        </w:tabs>
        <w:snapToGrid w:val="0"/>
        <w:jc w:val="left"/>
        <w:rPr>
          <w:rFonts w:ascii="Calibri" w:hAnsi="Calibri" w:eastAsia="宋体"/>
          <w:kern w:val="2"/>
          <w:lang w:eastAsia="zh-CN"/>
        </w:rPr>
      </w:pPr>
    </w:p>
    <w:p w14:paraId="4B43BAF7">
      <w:pPr>
        <w:widowControl w:val="0"/>
        <w:tabs>
          <w:tab w:val="left" w:pos="2790"/>
        </w:tabs>
        <w:snapToGrid w:val="0"/>
        <w:jc w:val="left"/>
        <w:rPr>
          <w:rFonts w:ascii="Calibri" w:hAnsi="Calibri" w:eastAsia="宋体"/>
          <w:kern w:val="2"/>
          <w:lang w:eastAsia="zh-CN"/>
        </w:rPr>
      </w:pPr>
    </w:p>
    <w:p w14:paraId="1EDACA64">
      <w:pPr>
        <w:widowControl w:val="0"/>
        <w:tabs>
          <w:tab w:val="left" w:pos="2790"/>
        </w:tabs>
        <w:snapToGrid w:val="0"/>
        <w:jc w:val="left"/>
        <w:rPr>
          <w:rFonts w:ascii="Calibri" w:hAnsi="Calibri" w:eastAsia="宋体"/>
          <w:kern w:val="2"/>
          <w:lang w:eastAsia="zh-CN"/>
        </w:rPr>
      </w:pPr>
    </w:p>
    <w:p w14:paraId="755B1611">
      <w:pPr>
        <w:widowControl w:val="0"/>
        <w:tabs>
          <w:tab w:val="left" w:pos="2790"/>
        </w:tabs>
        <w:snapToGrid w:val="0"/>
        <w:jc w:val="left"/>
        <w:rPr>
          <w:rFonts w:ascii="Calibri" w:hAnsi="Calibri" w:eastAsia="宋体"/>
          <w:kern w:val="2"/>
          <w:lang w:eastAsia="zh-CN"/>
        </w:rPr>
      </w:pPr>
    </w:p>
    <w:p w14:paraId="5FA5115B">
      <w:pPr>
        <w:widowControl w:val="0"/>
        <w:tabs>
          <w:tab w:val="left" w:pos="2790"/>
        </w:tabs>
        <w:snapToGrid w:val="0"/>
        <w:jc w:val="left"/>
        <w:rPr>
          <w:rFonts w:ascii="Calibri" w:hAnsi="Calibri" w:eastAsia="宋体"/>
          <w:kern w:val="2"/>
          <w:lang w:eastAsia="zh-CN"/>
        </w:rPr>
      </w:pPr>
    </w:p>
    <w:p w14:paraId="36CA8268">
      <w:pPr>
        <w:widowControl w:val="0"/>
        <w:tabs>
          <w:tab w:val="left" w:pos="2790"/>
        </w:tabs>
        <w:snapToGrid w:val="0"/>
        <w:jc w:val="left"/>
        <w:rPr>
          <w:rFonts w:ascii="Calibri" w:hAnsi="Calibri" w:eastAsia="宋体"/>
          <w:kern w:val="2"/>
          <w:lang w:eastAsia="zh-CN"/>
        </w:rPr>
      </w:pPr>
    </w:p>
    <w:p w14:paraId="701A2319">
      <w:pPr>
        <w:widowControl w:val="0"/>
        <w:tabs>
          <w:tab w:val="left" w:pos="2790"/>
        </w:tabs>
        <w:snapToGrid w:val="0"/>
        <w:jc w:val="left"/>
        <w:rPr>
          <w:rFonts w:ascii="Calibri" w:hAnsi="Calibri" w:eastAsia="宋体"/>
          <w:kern w:val="2"/>
          <w:lang w:eastAsia="zh-CN"/>
        </w:rPr>
      </w:pPr>
    </w:p>
    <w:p w14:paraId="06B9D496">
      <w:pPr>
        <w:widowControl w:val="0"/>
        <w:tabs>
          <w:tab w:val="left" w:pos="2790"/>
        </w:tabs>
        <w:snapToGrid w:val="0"/>
        <w:jc w:val="left"/>
        <w:rPr>
          <w:rFonts w:ascii="Calibri" w:hAnsi="Calibri" w:eastAsia="宋体"/>
          <w:kern w:val="2"/>
          <w:lang w:eastAsia="zh-CN"/>
        </w:rPr>
      </w:pPr>
    </w:p>
    <w:p w14:paraId="1D931909">
      <w:pPr>
        <w:widowControl w:val="0"/>
        <w:tabs>
          <w:tab w:val="left" w:pos="2790"/>
        </w:tabs>
        <w:snapToGrid w:val="0"/>
        <w:jc w:val="left"/>
        <w:rPr>
          <w:rFonts w:ascii="Calibri" w:hAnsi="Calibri" w:eastAsia="宋体"/>
          <w:kern w:val="2"/>
          <w:lang w:eastAsia="zh-CN"/>
        </w:rPr>
      </w:pPr>
    </w:p>
    <w:p w14:paraId="2C68C638">
      <w:pPr>
        <w:widowControl w:val="0"/>
        <w:tabs>
          <w:tab w:val="left" w:pos="2790"/>
        </w:tabs>
        <w:snapToGrid w:val="0"/>
        <w:jc w:val="left"/>
        <w:rPr>
          <w:rFonts w:ascii="Calibri" w:hAnsi="Calibri" w:eastAsia="宋体"/>
          <w:kern w:val="2"/>
          <w:lang w:eastAsia="zh-CN"/>
        </w:rPr>
      </w:pPr>
    </w:p>
    <w:p w14:paraId="13B45736">
      <w:pPr>
        <w:widowControl w:val="0"/>
        <w:tabs>
          <w:tab w:val="left" w:pos="2790"/>
        </w:tabs>
        <w:snapToGrid w:val="0"/>
        <w:jc w:val="left"/>
        <w:rPr>
          <w:rFonts w:ascii="Calibri" w:hAnsi="Calibri" w:eastAsia="宋体"/>
          <w:kern w:val="2"/>
          <w:lang w:eastAsia="zh-CN"/>
        </w:rPr>
      </w:pPr>
    </w:p>
    <w:p w14:paraId="5A81AE02">
      <w:pPr>
        <w:widowControl w:val="0"/>
        <w:tabs>
          <w:tab w:val="left" w:pos="2790"/>
        </w:tabs>
        <w:snapToGrid w:val="0"/>
        <w:jc w:val="left"/>
        <w:rPr>
          <w:rFonts w:ascii="Calibri" w:hAnsi="Calibri" w:eastAsia="宋体"/>
          <w:kern w:val="2"/>
          <w:lang w:eastAsia="zh-CN"/>
        </w:rPr>
      </w:pPr>
    </w:p>
    <w:p w14:paraId="33167200">
      <w:pPr>
        <w:widowControl w:val="0"/>
        <w:tabs>
          <w:tab w:val="left" w:pos="2790"/>
        </w:tabs>
        <w:snapToGrid w:val="0"/>
        <w:jc w:val="left"/>
        <w:rPr>
          <w:rFonts w:ascii="Calibri" w:hAnsi="Calibri" w:eastAsia="宋体"/>
          <w:kern w:val="2"/>
          <w:lang w:eastAsia="zh-CN"/>
        </w:rPr>
      </w:pPr>
    </w:p>
    <w:p w14:paraId="4FB46EEA">
      <w:pPr>
        <w:widowControl w:val="0"/>
        <w:tabs>
          <w:tab w:val="left" w:pos="2790"/>
        </w:tabs>
        <w:snapToGrid w:val="0"/>
        <w:jc w:val="left"/>
        <w:rPr>
          <w:rFonts w:ascii="Calibri" w:hAnsi="Calibri" w:eastAsia="宋体"/>
          <w:kern w:val="2"/>
          <w:lang w:eastAsia="zh-CN"/>
        </w:rPr>
      </w:pPr>
    </w:p>
    <w:p w14:paraId="4F4E298A">
      <w:pPr>
        <w:widowControl w:val="0"/>
        <w:tabs>
          <w:tab w:val="left" w:pos="2790"/>
        </w:tabs>
        <w:snapToGrid w:val="0"/>
        <w:jc w:val="left"/>
        <w:rPr>
          <w:rFonts w:ascii="Calibri" w:hAnsi="Calibri" w:eastAsia="宋体"/>
          <w:kern w:val="2"/>
          <w:lang w:eastAsia="zh-CN"/>
        </w:rPr>
      </w:pPr>
    </w:p>
    <w:p w14:paraId="2BEF2AEE">
      <w:pPr>
        <w:widowControl w:val="0"/>
        <w:tabs>
          <w:tab w:val="left" w:pos="2790"/>
        </w:tabs>
        <w:snapToGrid w:val="0"/>
        <w:jc w:val="left"/>
        <w:rPr>
          <w:rFonts w:ascii="Calibri" w:hAnsi="Calibri" w:eastAsia="宋体"/>
          <w:kern w:val="2"/>
          <w:lang w:eastAsia="zh-CN"/>
        </w:rPr>
      </w:pPr>
    </w:p>
    <w:p w14:paraId="6F290CB8">
      <w:pPr>
        <w:widowControl w:val="0"/>
        <w:tabs>
          <w:tab w:val="left" w:pos="2790"/>
        </w:tabs>
        <w:snapToGrid w:val="0"/>
        <w:jc w:val="left"/>
        <w:rPr>
          <w:rFonts w:ascii="Calibri" w:hAnsi="Calibri" w:eastAsia="宋体"/>
          <w:kern w:val="2"/>
          <w:lang w:eastAsia="zh-CN"/>
        </w:rPr>
      </w:pPr>
    </w:p>
    <w:p w14:paraId="2A3D286E">
      <w:pPr>
        <w:widowControl w:val="0"/>
        <w:tabs>
          <w:tab w:val="left" w:pos="2790"/>
        </w:tabs>
        <w:snapToGrid w:val="0"/>
        <w:jc w:val="left"/>
        <w:rPr>
          <w:rFonts w:ascii="Calibri" w:hAnsi="Calibri" w:eastAsia="宋体"/>
          <w:kern w:val="2"/>
          <w:lang w:eastAsia="zh-CN"/>
        </w:rPr>
      </w:pPr>
    </w:p>
    <w:p w14:paraId="6910ADE7">
      <w:pPr>
        <w:widowControl w:val="0"/>
        <w:tabs>
          <w:tab w:val="left" w:pos="2790"/>
        </w:tabs>
        <w:snapToGrid w:val="0"/>
        <w:jc w:val="left"/>
        <w:rPr>
          <w:rFonts w:ascii="Calibri" w:hAnsi="Calibri" w:eastAsia="宋体"/>
          <w:kern w:val="2"/>
          <w:lang w:eastAsia="zh-CN"/>
        </w:rPr>
      </w:pPr>
    </w:p>
    <w:p w14:paraId="42F65244">
      <w:pPr>
        <w:widowControl w:val="0"/>
        <w:tabs>
          <w:tab w:val="left" w:pos="2790"/>
        </w:tabs>
        <w:snapToGrid w:val="0"/>
        <w:jc w:val="left"/>
        <w:rPr>
          <w:rFonts w:ascii="Calibri" w:hAnsi="Calibri" w:eastAsia="宋体"/>
          <w:kern w:val="2"/>
          <w:lang w:eastAsia="zh-CN"/>
        </w:rPr>
      </w:pPr>
    </w:p>
    <w:p w14:paraId="2FF42B1E">
      <w:pPr>
        <w:widowControl w:val="0"/>
        <w:tabs>
          <w:tab w:val="left" w:pos="2790"/>
        </w:tabs>
        <w:snapToGrid w:val="0"/>
        <w:jc w:val="left"/>
        <w:rPr>
          <w:rFonts w:ascii="Calibri" w:hAnsi="Calibri" w:eastAsia="宋体"/>
          <w:kern w:val="2"/>
          <w:lang w:eastAsia="zh-CN"/>
        </w:rPr>
      </w:pPr>
    </w:p>
    <w:p w14:paraId="0C789A10">
      <w:pPr>
        <w:widowControl w:val="0"/>
        <w:tabs>
          <w:tab w:val="left" w:pos="2790"/>
        </w:tabs>
        <w:snapToGrid w:val="0"/>
        <w:jc w:val="left"/>
        <w:rPr>
          <w:rFonts w:ascii="Calibri" w:hAnsi="Calibri" w:eastAsia="宋体"/>
          <w:kern w:val="2"/>
          <w:lang w:eastAsia="zh-CN"/>
        </w:rPr>
      </w:pPr>
    </w:p>
    <w:p w14:paraId="2CC0D91D">
      <w:pPr>
        <w:widowControl w:val="0"/>
        <w:tabs>
          <w:tab w:val="left" w:pos="2790"/>
        </w:tabs>
        <w:snapToGrid w:val="0"/>
        <w:jc w:val="left"/>
        <w:rPr>
          <w:rFonts w:ascii="Calibri" w:hAnsi="Calibri" w:eastAsia="宋体"/>
          <w:kern w:val="2"/>
          <w:lang w:eastAsia="zh-CN"/>
        </w:rPr>
      </w:pPr>
    </w:p>
    <w:p w14:paraId="1D11DFC3">
      <w:pPr>
        <w:widowControl w:val="0"/>
        <w:tabs>
          <w:tab w:val="left" w:pos="2790"/>
        </w:tabs>
        <w:snapToGrid w:val="0"/>
        <w:jc w:val="left"/>
        <w:rPr>
          <w:rFonts w:ascii="Calibri" w:hAnsi="Calibri" w:eastAsia="宋体"/>
          <w:kern w:val="2"/>
          <w:lang w:eastAsia="zh-CN"/>
        </w:rPr>
      </w:pPr>
    </w:p>
    <w:p w14:paraId="5F4A57E2">
      <w:pPr>
        <w:widowControl w:val="0"/>
        <w:tabs>
          <w:tab w:val="left" w:pos="2790"/>
        </w:tabs>
        <w:snapToGrid w:val="0"/>
        <w:jc w:val="left"/>
        <w:rPr>
          <w:rFonts w:ascii="Calibri" w:hAnsi="Calibri" w:eastAsia="宋体"/>
          <w:kern w:val="2"/>
          <w:lang w:eastAsia="zh-CN"/>
        </w:rPr>
      </w:pPr>
    </w:p>
    <w:p w14:paraId="27538CDB">
      <w:pPr>
        <w:widowControl w:val="0"/>
        <w:tabs>
          <w:tab w:val="left" w:pos="2790"/>
        </w:tabs>
        <w:snapToGrid w:val="0"/>
        <w:jc w:val="left"/>
        <w:rPr>
          <w:rFonts w:ascii="Calibri" w:hAnsi="Calibri" w:eastAsia="宋体"/>
          <w:kern w:val="2"/>
          <w:lang w:eastAsia="zh-CN"/>
        </w:rPr>
      </w:pPr>
    </w:p>
    <w:p w14:paraId="542951EC">
      <w:pPr>
        <w:widowControl w:val="0"/>
        <w:tabs>
          <w:tab w:val="left" w:pos="2790"/>
        </w:tabs>
        <w:snapToGrid w:val="0"/>
        <w:jc w:val="left"/>
        <w:rPr>
          <w:rFonts w:ascii="Calibri" w:hAnsi="Calibri" w:eastAsia="宋体"/>
          <w:kern w:val="2"/>
          <w:lang w:eastAsia="zh-CN"/>
        </w:rPr>
      </w:pPr>
    </w:p>
    <w:p w14:paraId="7C654F60">
      <w:pPr>
        <w:widowControl w:val="0"/>
        <w:tabs>
          <w:tab w:val="left" w:pos="2790"/>
        </w:tabs>
        <w:snapToGrid w:val="0"/>
        <w:jc w:val="left"/>
        <w:rPr>
          <w:rFonts w:hint="eastAsia" w:ascii="Calibri" w:hAnsi="Calibri" w:eastAsia="宋体"/>
          <w:kern w:val="2"/>
          <w:lang w:eastAsia="zh-CN"/>
        </w:rPr>
      </w:pPr>
    </w:p>
    <w:p w14:paraId="42A9567C">
      <w:pPr>
        <w:widowControl w:val="0"/>
        <w:spacing w:line="360" w:lineRule="auto"/>
        <w:jc w:val="both"/>
        <w:rPr>
          <w:rFonts w:hint="eastAsia" w:ascii="Calibri" w:hAnsi="Calibri" w:eastAsia="宋体"/>
          <w:b/>
          <w:bCs/>
          <w:kern w:val="2"/>
          <w:lang w:eastAsia="zh-CN"/>
        </w:rPr>
      </w:pPr>
    </w:p>
    <w:p w14:paraId="243F8D1D">
      <w:pPr>
        <w:widowControl w:val="0"/>
        <w:spacing w:line="360" w:lineRule="auto"/>
        <w:jc w:val="both"/>
        <w:rPr>
          <w:rFonts w:hint="eastAsia" w:ascii="Calibri" w:hAnsi="Calibri" w:eastAsia="宋体"/>
          <w:b/>
          <w:bCs/>
          <w:kern w:val="2"/>
          <w:lang w:eastAsia="zh-CN"/>
        </w:rPr>
      </w:pPr>
    </w:p>
    <w:p w14:paraId="3F1D95ED">
      <w:pPr>
        <w:widowControl/>
        <w:spacing w:before="100" w:beforeAutospacing="1" w:afterAutospacing="1"/>
        <w:jc w:val="center"/>
        <w:outlineLvl w:val="0"/>
        <w:rPr>
          <w:rFonts w:ascii="黑体" w:hAnsi="宋体" w:eastAsia="黑体"/>
          <w:kern w:val="2"/>
          <w:sz w:val="40"/>
          <w:szCs w:val="40"/>
          <w:lang w:eastAsia="zh-CN"/>
        </w:rPr>
      </w:pPr>
      <w:r>
        <w:rPr>
          <w:rFonts w:hint="eastAsia" w:ascii="黑体" w:hAnsi="黑体" w:eastAsia="黑体" w:cstheme="minorBidi"/>
          <w:kern w:val="2"/>
          <w:sz w:val="40"/>
          <w:szCs w:val="40"/>
          <w:lang w:eastAsia="zh-CN"/>
        </w:rPr>
        <w:t>评标信息</w:t>
      </w:r>
    </w:p>
    <w:tbl>
      <w:tblPr>
        <w:tblStyle w:val="9"/>
        <w:tblW w:w="5000" w:type="pct"/>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8730"/>
      </w:tblGrid>
      <w:tr w14:paraId="41681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022139D5">
            <w:pPr>
              <w:widowControl w:val="0"/>
              <w:jc w:val="left"/>
              <w:rPr>
                <w:rFonts w:ascii="宋体" w:hAnsi="Calibri" w:eastAsia="宋体"/>
                <w:b/>
                <w:bCs/>
                <w:kern w:val="2"/>
                <w:szCs w:val="22"/>
                <w:lang w:eastAsia="zh-CN"/>
              </w:rPr>
            </w:pPr>
            <w:r>
              <w:rPr>
                <w:rFonts w:ascii="Calibri" w:hAnsi="Calibri" w:eastAsia="宋体" w:cstheme="minorBidi"/>
                <w:b/>
                <w:bCs/>
                <w:kern w:val="2"/>
                <w:sz w:val="21"/>
                <w:szCs w:val="22"/>
                <w:lang w:eastAsia="zh-CN"/>
              </w:rPr>
              <w:t>评标方法：综合评分法</w:t>
            </w:r>
          </w:p>
        </w:tc>
      </w:tr>
      <w:tr w14:paraId="0BA34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tblCellSpacing w:w="0" w:type="dxa"/>
          <w:jc w:val="center"/>
        </w:trPr>
        <w:tc>
          <w:tcPr>
            <w:tcW w:w="9078" w:type="dxa"/>
            <w:shd w:val="clear" w:color="auto" w:fill="auto"/>
            <w:vAlign w:val="center"/>
          </w:tcPr>
          <w:p w14:paraId="4CD87EDE">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综合评分法，</w:t>
            </w:r>
            <w:r>
              <w:rPr>
                <w:rFonts w:hint="eastAsia" w:ascii="Calibri" w:hAnsi="Calibri" w:eastAsia="宋体" w:cstheme="minorBidi"/>
                <w:kern w:val="2"/>
                <w:sz w:val="21"/>
                <w:szCs w:val="21"/>
                <w:lang w:eastAsia="zh-CN"/>
              </w:rPr>
              <w:t>是指投标文件满足招标文件全部实质性要求，且按照评审因素的量化指标评审得分排名前列</w:t>
            </w:r>
            <w:r>
              <w:rPr>
                <w:rFonts w:ascii="Calibri" w:hAnsi="Calibri" w:eastAsia="宋体" w:cstheme="minorBidi"/>
                <w:kern w:val="2"/>
                <w:sz w:val="21"/>
                <w:szCs w:val="21"/>
                <w:lang w:eastAsia="zh-CN"/>
              </w:rPr>
              <w:t>的投标人为中标候选人的评标方法。</w:t>
            </w:r>
          </w:p>
          <w:p w14:paraId="490E3FB1">
            <w:pPr>
              <w:widowControl w:val="0"/>
              <w:ind w:firstLine="420"/>
              <w:jc w:val="both"/>
              <w:rPr>
                <w:rFonts w:ascii="Calibri" w:hAnsi="Calibri" w:eastAsia="宋体"/>
                <w:kern w:val="2"/>
                <w:sz w:val="21"/>
                <w:szCs w:val="22"/>
                <w:lang w:eastAsia="zh-CN"/>
              </w:rPr>
            </w:pPr>
          </w:p>
          <w:p w14:paraId="7EC5E5B5">
            <w:pPr>
              <w:widowControl w:val="0"/>
              <w:ind w:firstLine="420"/>
              <w:jc w:val="both"/>
              <w:rPr>
                <w:rFonts w:ascii="Calibri" w:hAnsi="Calibri" w:eastAsia="宋体"/>
                <w:kern w:val="2"/>
                <w:sz w:val="21"/>
                <w:szCs w:val="21"/>
                <w:lang w:eastAsia="zh-CN"/>
              </w:rPr>
            </w:pPr>
            <w:r>
              <w:rPr>
                <w:rFonts w:ascii="Calibri" w:hAnsi="Calibri" w:eastAsia="宋体" w:cstheme="minorBidi"/>
                <w:kern w:val="2"/>
                <w:sz w:val="21"/>
                <w:szCs w:val="21"/>
                <w:lang w:eastAsia="zh-CN"/>
              </w:rPr>
              <w:t>价格分计算方法：</w:t>
            </w:r>
          </w:p>
          <w:p w14:paraId="4C878021">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采用低价优先法计算，即满足招标文件要求且投标价格最低的投标报价为评标基准价，其价格分为满分。其他投标人的价格分统一按照下列公式计算：</w:t>
            </w:r>
          </w:p>
          <w:p w14:paraId="54554EFB">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投标报价得分=(评标基准价／投标报价)×100</w:t>
            </w:r>
          </w:p>
          <w:p w14:paraId="1F5C3CC2">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评标总得分＝F1×A1＋F2×A2＋……＋Fn×An</w:t>
            </w:r>
          </w:p>
          <w:p w14:paraId="03244DBC">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F1、F2……Fn分别为各项评审因素的得分；</w:t>
            </w:r>
          </w:p>
          <w:p w14:paraId="4CF10046">
            <w:pPr>
              <w:widowControl/>
              <w:spacing w:before="100" w:beforeAutospacing="0" w:afterAutospacing="0"/>
              <w:ind w:left="420"/>
              <w:jc w:val="left"/>
              <w:rPr>
                <w:rFonts w:hint="eastAsia" w:ascii="宋体" w:hAnsi="宋体" w:eastAsia="宋体"/>
                <w:kern w:val="2"/>
                <w:sz w:val="21"/>
                <w:szCs w:val="21"/>
                <w:lang w:eastAsia="zh-CN"/>
              </w:rPr>
            </w:pPr>
            <w:r>
              <w:rPr>
                <w:rFonts w:ascii="宋体" w:hAnsi="宋体" w:eastAsia="宋体" w:cstheme="minorBidi"/>
                <w:kern w:val="2"/>
                <w:sz w:val="21"/>
                <w:szCs w:val="21"/>
                <w:lang w:eastAsia="zh-CN"/>
              </w:rPr>
              <w:t>A1、A2、……An分别为各项评审因素所占的权重(A1＋A2＋……＋An＝1)。</w:t>
            </w:r>
          </w:p>
          <w:p w14:paraId="30256227">
            <w:pPr>
              <w:widowControl/>
              <w:spacing w:before="100" w:beforeAutospacing="0" w:afterAutospacing="0"/>
              <w:ind w:left="420"/>
              <w:jc w:val="left"/>
              <w:rPr>
                <w:rFonts w:ascii="宋体" w:hAnsi="宋体" w:eastAsia="宋体"/>
                <w:kern w:val="2"/>
                <w:sz w:val="21"/>
                <w:szCs w:val="21"/>
                <w:lang w:eastAsia="zh-CN"/>
              </w:rPr>
            </w:pPr>
            <w:r>
              <w:rPr>
                <w:rFonts w:ascii="宋体" w:hAnsi="宋体" w:eastAsia="宋体" w:cstheme="minorBidi"/>
                <w:kern w:val="2"/>
                <w:sz w:val="21"/>
                <w:szCs w:val="21"/>
                <w:lang w:eastAsia="zh-CN"/>
              </w:rPr>
              <w:t>评标过程中，不得去掉报价中的最高报价和最低报价。</w:t>
            </w:r>
          </w:p>
          <w:p w14:paraId="177DF138">
            <w:pPr>
              <w:widowControl/>
              <w:spacing w:before="100" w:beforeAutospacing="0" w:afterAutospacing="0"/>
              <w:ind w:left="420"/>
              <w:jc w:val="left"/>
              <w:rPr>
                <w:rFonts w:ascii="宋体" w:hAnsi="宋体" w:eastAsia="宋体"/>
                <w:kern w:val="2"/>
                <w:lang w:eastAsia="zh-CN"/>
              </w:rPr>
            </w:pPr>
            <w:r>
              <w:rPr>
                <w:rFonts w:hint="eastAsia" w:ascii="宋体" w:hAnsi="宋体" w:eastAsia="宋体" w:cstheme="minorBidi"/>
                <w:kern w:val="2"/>
                <w:sz w:val="21"/>
                <w:szCs w:val="21"/>
                <w:lang w:eastAsia="zh-CN"/>
              </w:rPr>
              <w:t>因落实政府采购政策进行价格调整的，以调整后的价格计算评标基准价和投标报价。</w:t>
            </w:r>
          </w:p>
        </w:tc>
      </w:tr>
    </w:tbl>
    <w:p w14:paraId="663A0E82">
      <w:pPr>
        <w:widowControl w:val="0"/>
        <w:jc w:val="both"/>
        <w:rPr>
          <w:rFonts w:ascii="Calibri" w:hAnsi="Calibri" w:eastAsia="宋体"/>
          <w:kern w:val="2"/>
          <w:sz w:val="21"/>
          <w:szCs w:val="22"/>
          <w:lang w:eastAsia="zh-CN"/>
        </w:rPr>
      </w:pPr>
    </w:p>
    <w:tbl>
      <w:tblPr>
        <w:tblStyle w:val="9"/>
        <w:tblW w:w="5000" w:type="pct"/>
        <w:jc w:val="center"/>
        <w:tblCellSpacing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884"/>
        <w:gridCol w:w="842"/>
        <w:gridCol w:w="1916"/>
        <w:gridCol w:w="915"/>
        <w:gridCol w:w="4339"/>
      </w:tblGrid>
      <w:tr w14:paraId="4A27C81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3144593">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206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1092EFD">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评分项</w:t>
            </w:r>
          </w:p>
        </w:tc>
        <w:tc>
          <w:tcPr>
            <w:tcW w:w="24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65A1A5">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权重(%)</w:t>
            </w:r>
          </w:p>
        </w:tc>
      </w:tr>
      <w:tr w14:paraId="0B0160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12292B7">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1</w:t>
            </w:r>
          </w:p>
        </w:tc>
        <w:tc>
          <w:tcPr>
            <w:tcW w:w="206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515C3E5">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价格</w:t>
            </w:r>
          </w:p>
        </w:tc>
        <w:tc>
          <w:tcPr>
            <w:tcW w:w="24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E59B79A">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30</w:t>
            </w:r>
          </w:p>
        </w:tc>
      </w:tr>
      <w:tr w14:paraId="799628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vMerge w:val="restart"/>
            <w:tcBorders>
              <w:top w:val="single" w:color="000000" w:sz="8" w:space="0"/>
              <w:left w:val="single" w:color="000000" w:sz="8" w:space="0"/>
              <w:right w:val="single" w:color="000000" w:sz="8" w:space="0"/>
            </w:tcBorders>
            <w:shd w:val="clear" w:color="auto" w:fill="auto"/>
            <w:vAlign w:val="center"/>
          </w:tcPr>
          <w:p w14:paraId="58B1965C">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206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AD60E89">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技术部分</w:t>
            </w:r>
          </w:p>
        </w:tc>
        <w:tc>
          <w:tcPr>
            <w:tcW w:w="24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1F5018">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49</w:t>
            </w:r>
          </w:p>
        </w:tc>
      </w:tr>
      <w:tr w14:paraId="1E501C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vMerge w:val="continue"/>
            <w:tcBorders>
              <w:left w:val="single" w:color="000000" w:sz="8" w:space="0"/>
              <w:right w:val="single" w:color="000000" w:sz="8" w:space="0"/>
            </w:tcBorders>
            <w:shd w:val="clear" w:color="auto" w:fill="auto"/>
            <w:vAlign w:val="center"/>
          </w:tcPr>
          <w:p w14:paraId="205F3091">
            <w:pPr>
              <w:spacing w:line="360" w:lineRule="auto"/>
              <w:jc w:val="center"/>
              <w:rPr>
                <w:rFonts w:hint="eastAsia" w:ascii="宋体" w:hAnsi="宋体" w:eastAsia="宋体" w:cs="宋体"/>
                <w:b/>
                <w:bCs/>
                <w:sz w:val="21"/>
                <w:szCs w:val="21"/>
              </w:rPr>
            </w:pPr>
          </w:p>
        </w:tc>
        <w:tc>
          <w:tcPr>
            <w:tcW w:w="473" w:type="pct"/>
            <w:tcBorders>
              <w:top w:val="outset" w:color="000000" w:sz="6" w:space="0"/>
              <w:left w:val="outset" w:color="000000" w:sz="6" w:space="0"/>
              <w:bottom w:val="outset" w:color="000000" w:sz="6" w:space="0"/>
              <w:right w:val="outset" w:color="000000" w:sz="6" w:space="0"/>
            </w:tcBorders>
            <w:shd w:val="clear" w:color="auto" w:fill="auto"/>
            <w:vAlign w:val="center"/>
          </w:tcPr>
          <w:p w14:paraId="69965864">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077" w:type="pct"/>
            <w:tcBorders>
              <w:top w:val="outset" w:color="000000" w:sz="6" w:space="0"/>
              <w:left w:val="outset" w:color="000000" w:sz="6" w:space="0"/>
              <w:bottom w:val="outset" w:color="000000" w:sz="6" w:space="0"/>
              <w:right w:val="outset" w:color="000000" w:sz="6" w:space="0"/>
            </w:tcBorders>
            <w:shd w:val="clear" w:color="auto" w:fill="auto"/>
            <w:vAlign w:val="center"/>
          </w:tcPr>
          <w:p w14:paraId="699D3BEA">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514" w:type="pct"/>
            <w:tcBorders>
              <w:top w:val="outset" w:color="000000" w:sz="6" w:space="0"/>
              <w:left w:val="outset" w:color="000000" w:sz="6" w:space="0"/>
              <w:bottom w:val="outset" w:color="000000" w:sz="6" w:space="0"/>
              <w:right w:val="outset" w:color="000000" w:sz="6" w:space="0"/>
            </w:tcBorders>
            <w:shd w:val="clear" w:color="auto" w:fill="auto"/>
            <w:vAlign w:val="center"/>
          </w:tcPr>
          <w:p w14:paraId="382DA919">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权重(%)</w:t>
            </w:r>
          </w:p>
        </w:tc>
        <w:tc>
          <w:tcPr>
            <w:tcW w:w="2439" w:type="pct"/>
            <w:tcBorders>
              <w:top w:val="outset" w:color="000000" w:sz="6" w:space="0"/>
              <w:left w:val="outset" w:color="000000" w:sz="6" w:space="0"/>
              <w:bottom w:val="outset" w:color="000000" w:sz="6" w:space="0"/>
              <w:right w:val="outset" w:color="000000" w:sz="6" w:space="0"/>
            </w:tcBorders>
            <w:shd w:val="clear" w:color="auto" w:fill="auto"/>
            <w:vAlign w:val="center"/>
          </w:tcPr>
          <w:p w14:paraId="3F77C47C">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7597F8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vMerge w:val="continue"/>
            <w:tcBorders>
              <w:left w:val="single" w:color="000000" w:sz="8" w:space="0"/>
              <w:right w:val="single" w:color="000000" w:sz="8" w:space="0"/>
            </w:tcBorders>
            <w:shd w:val="clear" w:color="auto" w:fill="auto"/>
            <w:vAlign w:val="center"/>
          </w:tcPr>
          <w:p w14:paraId="76697649">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02B65D1">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0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CBA06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技术保障措施</w:t>
            </w:r>
          </w:p>
        </w:tc>
        <w:tc>
          <w:tcPr>
            <w:tcW w:w="5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A9B98E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439" w:type="pct"/>
            <w:tcBorders>
              <w:top w:val="single" w:color="000000" w:sz="8" w:space="0"/>
              <w:left w:val="single" w:color="000000" w:sz="8" w:space="0"/>
              <w:bottom w:val="single" w:color="000000" w:sz="8" w:space="0"/>
              <w:right w:val="single" w:color="000000" w:sz="8" w:space="0"/>
            </w:tcBorders>
            <w:shd w:val="clear" w:color="auto" w:fill="auto"/>
          </w:tcPr>
          <w:p w14:paraId="5C58677D">
            <w:pPr>
              <w:jc w:val="left"/>
              <w:rPr>
                <w:rFonts w:hint="eastAsia" w:ascii="宋体" w:hAnsi="宋体" w:eastAsia="宋体" w:cs="宋体"/>
                <w:b/>
                <w:bCs/>
                <w:sz w:val="21"/>
                <w:szCs w:val="21"/>
              </w:rPr>
            </w:pPr>
            <w:r>
              <w:rPr>
                <w:rFonts w:hint="eastAsia" w:ascii="宋体" w:hAnsi="宋体" w:eastAsia="宋体" w:cs="宋体"/>
                <w:b/>
                <w:bCs/>
                <w:sz w:val="21"/>
                <w:szCs w:val="21"/>
              </w:rPr>
              <w:t>（一）评审内容：</w:t>
            </w:r>
          </w:p>
          <w:p w14:paraId="5DB6468E">
            <w:pPr>
              <w:rPr>
                <w:rFonts w:hint="eastAsia" w:ascii="宋体" w:hAnsi="宋体" w:eastAsia="宋体" w:cs="宋体"/>
                <w:sz w:val="21"/>
                <w:szCs w:val="21"/>
                <w:lang w:bidi="ar"/>
              </w:rPr>
            </w:pPr>
            <w:r>
              <w:rPr>
                <w:rFonts w:hint="eastAsia" w:ascii="宋体" w:hAnsi="宋体" w:eastAsia="宋体" w:cs="宋体"/>
                <w:sz w:val="21"/>
                <w:szCs w:val="21"/>
                <w:lang w:bidi="ar"/>
              </w:rPr>
              <w:t>投标人针对本项目的需求制定技术保障措施，内容包含但不限于：</w:t>
            </w:r>
          </w:p>
          <w:p w14:paraId="45417B6B">
            <w:pPr>
              <w:rPr>
                <w:rFonts w:hint="eastAsia" w:ascii="宋体" w:hAnsi="宋体" w:eastAsia="宋体" w:cs="宋体"/>
                <w:sz w:val="21"/>
                <w:szCs w:val="21"/>
                <w:lang w:bidi="ar"/>
              </w:rPr>
            </w:pPr>
            <w:r>
              <w:rPr>
                <w:rFonts w:hint="eastAsia" w:ascii="宋体" w:hAnsi="宋体" w:eastAsia="宋体" w:cs="宋体"/>
                <w:sz w:val="21"/>
                <w:szCs w:val="21"/>
                <w:lang w:bidi="ar"/>
              </w:rPr>
              <w:t>1.技术方案；</w:t>
            </w:r>
          </w:p>
          <w:p w14:paraId="770235B4">
            <w:pPr>
              <w:rPr>
                <w:rFonts w:hint="eastAsia" w:ascii="宋体" w:hAnsi="宋体" w:eastAsia="宋体" w:cs="宋体"/>
                <w:sz w:val="21"/>
                <w:szCs w:val="21"/>
                <w:lang w:bidi="ar"/>
              </w:rPr>
            </w:pPr>
            <w:r>
              <w:rPr>
                <w:rFonts w:hint="eastAsia" w:ascii="宋体" w:hAnsi="宋体" w:eastAsia="宋体" w:cs="宋体"/>
                <w:sz w:val="21"/>
                <w:szCs w:val="21"/>
                <w:lang w:bidi="ar"/>
              </w:rPr>
              <w:t>2.项目管理方案；</w:t>
            </w:r>
          </w:p>
          <w:p w14:paraId="27A90B04">
            <w:pPr>
              <w:rPr>
                <w:rFonts w:hint="eastAsia" w:ascii="宋体" w:hAnsi="宋体" w:eastAsia="宋体" w:cs="宋体"/>
                <w:sz w:val="21"/>
                <w:szCs w:val="21"/>
                <w:lang w:bidi="ar"/>
              </w:rPr>
            </w:pPr>
            <w:r>
              <w:rPr>
                <w:rFonts w:hint="eastAsia" w:ascii="宋体" w:hAnsi="宋体" w:eastAsia="宋体" w:cs="宋体"/>
                <w:sz w:val="21"/>
                <w:szCs w:val="21"/>
                <w:lang w:bidi="ar"/>
              </w:rPr>
              <w:t>3.培训方案。</w:t>
            </w:r>
          </w:p>
          <w:p w14:paraId="1AC4503D">
            <w:pPr>
              <w:rPr>
                <w:rFonts w:hint="eastAsia" w:ascii="宋体" w:hAnsi="宋体" w:eastAsia="宋体" w:cs="宋体"/>
                <w:b/>
                <w:bCs/>
                <w:sz w:val="21"/>
                <w:szCs w:val="21"/>
                <w:lang w:bidi="ar"/>
              </w:rPr>
            </w:pPr>
            <w:r>
              <w:rPr>
                <w:rFonts w:hint="eastAsia" w:ascii="宋体" w:hAnsi="宋体" w:eastAsia="宋体" w:cs="宋体"/>
                <w:b/>
                <w:bCs/>
                <w:sz w:val="21"/>
                <w:szCs w:val="21"/>
                <w:lang w:bidi="ar"/>
              </w:rPr>
              <w:t>（二）评分标准：</w:t>
            </w:r>
          </w:p>
          <w:p w14:paraId="469BC2E0">
            <w:pPr>
              <w:wordWrap w:val="0"/>
              <w:rPr>
                <w:rFonts w:hint="eastAsia" w:ascii="宋体" w:hAnsi="宋体" w:eastAsia="宋体" w:cs="宋体"/>
                <w:sz w:val="21"/>
                <w:szCs w:val="21"/>
                <w:lang w:bidi="ar"/>
              </w:rPr>
            </w:pPr>
            <w:r>
              <w:rPr>
                <w:rFonts w:hint="eastAsia" w:ascii="宋体" w:hAnsi="宋体" w:eastAsia="宋体" w:cs="宋体"/>
                <w:sz w:val="21"/>
                <w:szCs w:val="21"/>
                <w:lang w:bidi="ar"/>
              </w:rPr>
              <w:t>1.</w:t>
            </w:r>
            <w:r>
              <w:rPr>
                <w:rFonts w:hint="eastAsia" w:ascii="宋体" w:hAnsi="宋体" w:eastAsia="宋体" w:cs="宋体"/>
                <w:sz w:val="21"/>
                <w:szCs w:val="21"/>
              </w:rPr>
              <w:t>满足以上3项要求得10分，满足以上2项要求得5分，满足以上1项要求得1分，其他不得分。</w:t>
            </w:r>
          </w:p>
          <w:p w14:paraId="249B6C16">
            <w:pPr>
              <w:rPr>
                <w:rFonts w:hint="eastAsia" w:ascii="宋体" w:hAnsi="宋体" w:eastAsia="宋体" w:cs="宋体"/>
                <w:sz w:val="21"/>
                <w:szCs w:val="21"/>
                <w:lang w:bidi="ar"/>
              </w:rPr>
            </w:pPr>
            <w:r>
              <w:rPr>
                <w:rFonts w:hint="eastAsia" w:ascii="宋体" w:hAnsi="宋体" w:eastAsia="宋体" w:cs="宋体"/>
                <w:sz w:val="21"/>
                <w:szCs w:val="21"/>
                <w:lang w:bidi="ar"/>
              </w:rPr>
              <w:t>2.在此基础上，评审委员会根据采购文件的需求和投标文件响应情况进一步评审：</w:t>
            </w:r>
          </w:p>
          <w:p w14:paraId="34C082F2">
            <w:pPr>
              <w:rPr>
                <w:rFonts w:hint="eastAsia" w:ascii="宋体" w:hAnsi="宋体" w:eastAsia="宋体" w:cs="宋体"/>
                <w:sz w:val="21"/>
                <w:szCs w:val="21"/>
                <w:lang w:bidi="ar"/>
              </w:rPr>
            </w:pPr>
            <w:r>
              <w:rPr>
                <w:rFonts w:hint="eastAsia" w:ascii="宋体" w:hAnsi="宋体" w:eastAsia="宋体" w:cs="宋体"/>
                <w:sz w:val="21"/>
                <w:szCs w:val="21"/>
                <w:lang w:bidi="ar"/>
              </w:rPr>
              <w:t>（1）优：项目技术保障措施内容全面、具体，对用户需求理解程度高，数据准确详实，符合项目需求的，</w:t>
            </w:r>
            <w:r>
              <w:rPr>
                <w:rFonts w:hint="eastAsia" w:ascii="宋体" w:hAnsi="宋体" w:eastAsia="宋体" w:cs="宋体"/>
                <w:sz w:val="21"/>
                <w:szCs w:val="21"/>
              </w:rPr>
              <w:t>加</w:t>
            </w:r>
            <w:r>
              <w:rPr>
                <w:rFonts w:hint="eastAsia" w:ascii="宋体" w:hAnsi="宋体" w:eastAsia="宋体" w:cs="宋体"/>
                <w:sz w:val="21"/>
                <w:szCs w:val="21"/>
                <w:lang w:bidi="ar"/>
              </w:rPr>
              <w:t>90分；</w:t>
            </w:r>
          </w:p>
          <w:p w14:paraId="589220B7">
            <w:pPr>
              <w:rPr>
                <w:rFonts w:hint="eastAsia" w:ascii="宋体" w:hAnsi="宋体" w:eastAsia="宋体" w:cs="宋体"/>
                <w:sz w:val="21"/>
                <w:szCs w:val="21"/>
                <w:lang w:bidi="ar"/>
              </w:rPr>
            </w:pPr>
            <w:r>
              <w:rPr>
                <w:rFonts w:hint="eastAsia" w:ascii="宋体" w:hAnsi="宋体" w:eastAsia="宋体" w:cs="宋体"/>
                <w:sz w:val="21"/>
                <w:szCs w:val="21"/>
                <w:lang w:bidi="ar"/>
              </w:rPr>
              <w:t>（2）良：项目技术保障措施内容较为全面、具体，对用户需求理解程度较高，数据准确较详实，较符合项目需求的，</w:t>
            </w:r>
            <w:r>
              <w:rPr>
                <w:rFonts w:hint="eastAsia" w:ascii="宋体" w:hAnsi="宋体" w:eastAsia="宋体" w:cs="宋体"/>
                <w:sz w:val="21"/>
                <w:szCs w:val="21"/>
              </w:rPr>
              <w:t>加</w:t>
            </w:r>
            <w:r>
              <w:rPr>
                <w:rFonts w:hint="eastAsia" w:ascii="宋体" w:hAnsi="宋体" w:eastAsia="宋体" w:cs="宋体"/>
                <w:sz w:val="21"/>
                <w:szCs w:val="21"/>
                <w:lang w:bidi="ar"/>
              </w:rPr>
              <w:t>50分；</w:t>
            </w:r>
          </w:p>
          <w:p w14:paraId="2C0BCA9A">
            <w:pPr>
              <w:rPr>
                <w:rFonts w:hint="eastAsia" w:ascii="宋体" w:hAnsi="宋体" w:eastAsia="宋体" w:cs="宋体"/>
                <w:sz w:val="21"/>
                <w:szCs w:val="21"/>
                <w:lang w:bidi="ar"/>
              </w:rPr>
            </w:pPr>
            <w:r>
              <w:rPr>
                <w:rFonts w:hint="eastAsia" w:ascii="宋体" w:hAnsi="宋体" w:eastAsia="宋体" w:cs="宋体"/>
                <w:sz w:val="21"/>
                <w:szCs w:val="21"/>
                <w:lang w:bidi="ar"/>
              </w:rPr>
              <w:t>（3）中：项目技术保障措施内容基本满足要求，对用户需求理解程度一般，数据基本准确，基本符合项目需求的，</w:t>
            </w:r>
            <w:r>
              <w:rPr>
                <w:rFonts w:hint="eastAsia" w:ascii="宋体" w:hAnsi="宋体" w:eastAsia="宋体" w:cs="宋体"/>
                <w:sz w:val="21"/>
                <w:szCs w:val="21"/>
              </w:rPr>
              <w:t>加</w:t>
            </w:r>
            <w:r>
              <w:rPr>
                <w:rFonts w:hint="eastAsia" w:ascii="宋体" w:hAnsi="宋体" w:eastAsia="宋体" w:cs="宋体"/>
                <w:sz w:val="21"/>
                <w:szCs w:val="21"/>
                <w:lang w:bidi="ar"/>
              </w:rPr>
              <w:t>10分。</w:t>
            </w:r>
          </w:p>
          <w:p w14:paraId="4B99BB3D">
            <w:pPr>
              <w:rPr>
                <w:rFonts w:hint="eastAsia" w:ascii="宋体" w:hAnsi="宋体" w:eastAsia="宋体" w:cs="宋体"/>
                <w:sz w:val="21"/>
                <w:szCs w:val="21"/>
                <w:lang w:bidi="ar"/>
              </w:rPr>
            </w:pPr>
            <w:r>
              <w:rPr>
                <w:rFonts w:hint="eastAsia" w:ascii="宋体" w:hAnsi="宋体" w:eastAsia="宋体" w:cs="宋体"/>
                <w:sz w:val="21"/>
                <w:szCs w:val="21"/>
                <w:lang w:bidi="ar"/>
              </w:rPr>
              <w:t>（4）差：项目技术保障措施评价为差或未提供者不得分。</w:t>
            </w:r>
          </w:p>
          <w:p w14:paraId="644BEA39">
            <w:pPr>
              <w:spacing w:line="360" w:lineRule="auto"/>
              <w:rPr>
                <w:rFonts w:hint="eastAsia" w:ascii="宋体" w:hAnsi="宋体" w:eastAsia="宋体" w:cs="宋体"/>
                <w:bCs/>
                <w:sz w:val="21"/>
                <w:szCs w:val="21"/>
              </w:rPr>
            </w:pPr>
            <w:r>
              <w:rPr>
                <w:rFonts w:hint="eastAsia" w:ascii="宋体" w:hAnsi="宋体" w:eastAsia="宋体" w:cs="宋体"/>
                <w:sz w:val="21"/>
                <w:szCs w:val="21"/>
              </w:rPr>
              <w:t>本项最高得100分。</w:t>
            </w:r>
          </w:p>
        </w:tc>
      </w:tr>
      <w:tr w14:paraId="478008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tcBorders>
              <w:left w:val="single" w:color="000000" w:sz="8" w:space="0"/>
              <w:right w:val="single" w:color="000000" w:sz="8" w:space="0"/>
            </w:tcBorders>
            <w:shd w:val="clear" w:color="auto" w:fill="auto"/>
            <w:vAlign w:val="center"/>
          </w:tcPr>
          <w:p w14:paraId="697AF8D0">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48E8BC">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0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A0BAE6">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售后服务方案</w:t>
            </w:r>
          </w:p>
        </w:tc>
        <w:tc>
          <w:tcPr>
            <w:tcW w:w="5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6D23E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8</w:t>
            </w:r>
          </w:p>
        </w:tc>
        <w:tc>
          <w:tcPr>
            <w:tcW w:w="2439" w:type="pct"/>
            <w:tcBorders>
              <w:top w:val="single" w:color="000000" w:sz="8" w:space="0"/>
              <w:left w:val="single" w:color="000000" w:sz="8" w:space="0"/>
              <w:bottom w:val="single" w:color="000000" w:sz="8" w:space="0"/>
              <w:right w:val="single" w:color="000000" w:sz="8" w:space="0"/>
            </w:tcBorders>
            <w:shd w:val="clear" w:color="auto" w:fill="auto"/>
          </w:tcPr>
          <w:p w14:paraId="710E41A2">
            <w:pPr>
              <w:wordWrap w:val="0"/>
              <w:rPr>
                <w:rFonts w:hint="eastAsia" w:ascii="宋体" w:hAnsi="宋体" w:eastAsia="宋体" w:cs="宋体"/>
                <w:sz w:val="21"/>
                <w:szCs w:val="21"/>
              </w:rPr>
            </w:pPr>
            <w:r>
              <w:rPr>
                <w:rFonts w:hint="eastAsia" w:ascii="宋体" w:hAnsi="宋体" w:eastAsia="宋体" w:cs="宋体"/>
                <w:b/>
                <w:bCs/>
                <w:sz w:val="21"/>
                <w:szCs w:val="21"/>
              </w:rPr>
              <w:t>评审内容：</w:t>
            </w:r>
          </w:p>
          <w:p w14:paraId="45EEDBAF">
            <w:pPr>
              <w:wordWrap w:val="0"/>
              <w:rPr>
                <w:rFonts w:hint="eastAsia" w:ascii="宋体" w:hAnsi="宋体" w:eastAsia="宋体" w:cs="宋体"/>
                <w:sz w:val="21"/>
                <w:szCs w:val="21"/>
              </w:rPr>
            </w:pPr>
            <w:r>
              <w:rPr>
                <w:rFonts w:hint="eastAsia" w:ascii="宋体" w:hAnsi="宋体" w:eastAsia="宋体" w:cs="宋体"/>
                <w:sz w:val="21"/>
                <w:szCs w:val="21"/>
              </w:rPr>
              <w:t>投标人应在投标文件中针对本项目详细说明售后服务方案，方案应包括：</w:t>
            </w:r>
          </w:p>
          <w:p w14:paraId="58F787B9">
            <w:pPr>
              <w:wordWrap w:val="0"/>
              <w:rPr>
                <w:rFonts w:hint="eastAsia" w:ascii="宋体" w:hAnsi="宋体" w:eastAsia="宋体" w:cs="宋体"/>
                <w:sz w:val="21"/>
                <w:szCs w:val="21"/>
              </w:rPr>
            </w:pPr>
            <w:r>
              <w:rPr>
                <w:rFonts w:hint="eastAsia" w:ascii="宋体" w:hAnsi="宋体" w:eastAsia="宋体" w:cs="宋体"/>
                <w:sz w:val="21"/>
                <w:szCs w:val="21"/>
              </w:rPr>
              <w:t>(1)售后服务期间应急响应时间、服务网点及能力；</w:t>
            </w:r>
          </w:p>
          <w:p w14:paraId="3443BC0B">
            <w:pPr>
              <w:wordWrap w:val="0"/>
              <w:rPr>
                <w:rFonts w:hint="eastAsia" w:ascii="宋体" w:hAnsi="宋体" w:eastAsia="宋体" w:cs="宋体"/>
                <w:sz w:val="21"/>
                <w:szCs w:val="21"/>
              </w:rPr>
            </w:pPr>
            <w:r>
              <w:rPr>
                <w:rFonts w:hint="eastAsia" w:ascii="宋体" w:hAnsi="宋体" w:eastAsia="宋体" w:cs="宋体"/>
                <w:sz w:val="21"/>
                <w:szCs w:val="21"/>
              </w:rPr>
              <w:t>(2)售后服务专业性；</w:t>
            </w:r>
          </w:p>
          <w:p w14:paraId="7A0CFE9A">
            <w:pPr>
              <w:wordWrap w:val="0"/>
              <w:rPr>
                <w:rFonts w:hint="eastAsia" w:ascii="宋体" w:hAnsi="宋体" w:eastAsia="宋体" w:cs="宋体"/>
                <w:sz w:val="21"/>
                <w:szCs w:val="21"/>
              </w:rPr>
            </w:pPr>
            <w:r>
              <w:rPr>
                <w:rFonts w:hint="eastAsia" w:ascii="宋体" w:hAnsi="宋体" w:eastAsia="宋体" w:cs="宋体"/>
                <w:sz w:val="21"/>
                <w:szCs w:val="21"/>
              </w:rPr>
              <w:t xml:space="preserve">(3)售后服务保障能力。 </w:t>
            </w:r>
          </w:p>
          <w:p w14:paraId="7B2A2274">
            <w:pPr>
              <w:wordWrap w:val="0"/>
              <w:rPr>
                <w:rFonts w:hint="eastAsia" w:ascii="宋体" w:hAnsi="宋体" w:eastAsia="宋体" w:cs="宋体"/>
                <w:sz w:val="21"/>
                <w:szCs w:val="21"/>
              </w:rPr>
            </w:pPr>
            <w:r>
              <w:rPr>
                <w:rFonts w:hint="eastAsia" w:ascii="宋体" w:hAnsi="宋体" w:eastAsia="宋体" w:cs="宋体"/>
                <w:sz w:val="21"/>
                <w:szCs w:val="21"/>
              </w:rPr>
              <w:t>满足以上3项要求得10分，满足以上2项要求得5分，满足以上1项要求得1分，其他不得分。</w:t>
            </w:r>
          </w:p>
          <w:p w14:paraId="082DEA10">
            <w:pPr>
              <w:wordWrap w:val="0"/>
              <w:rPr>
                <w:rFonts w:hint="eastAsia" w:ascii="宋体" w:hAnsi="宋体" w:eastAsia="宋体" w:cs="宋体"/>
                <w:b/>
                <w:bCs/>
                <w:sz w:val="21"/>
                <w:szCs w:val="21"/>
              </w:rPr>
            </w:pPr>
            <w:r>
              <w:rPr>
                <w:rFonts w:hint="eastAsia" w:ascii="宋体" w:hAnsi="宋体" w:eastAsia="宋体" w:cs="宋体"/>
                <w:b/>
                <w:bCs/>
                <w:sz w:val="21"/>
                <w:szCs w:val="21"/>
              </w:rPr>
              <w:t>评审标准：</w:t>
            </w:r>
          </w:p>
          <w:p w14:paraId="6F9E4AF3">
            <w:pPr>
              <w:wordWrap w:val="0"/>
              <w:rPr>
                <w:rFonts w:hint="eastAsia" w:ascii="宋体" w:hAnsi="宋体" w:eastAsia="宋体" w:cs="宋体"/>
                <w:sz w:val="21"/>
                <w:szCs w:val="21"/>
              </w:rPr>
            </w:pPr>
            <w:r>
              <w:rPr>
                <w:rFonts w:hint="eastAsia" w:ascii="宋体" w:hAnsi="宋体" w:eastAsia="宋体" w:cs="宋体"/>
                <w:sz w:val="21"/>
                <w:szCs w:val="21"/>
              </w:rPr>
              <w:t>在投标人以上内容提供的基础上，评审委员会根据以下评审标准分档打分：</w:t>
            </w:r>
          </w:p>
          <w:p w14:paraId="0C02B536">
            <w:pPr>
              <w:wordWrap w:val="0"/>
              <w:rPr>
                <w:rFonts w:hint="eastAsia" w:ascii="宋体" w:hAnsi="宋体" w:eastAsia="宋体" w:cs="宋体"/>
                <w:sz w:val="21"/>
                <w:szCs w:val="21"/>
              </w:rPr>
            </w:pPr>
            <w:r>
              <w:rPr>
                <w:rFonts w:hint="eastAsia" w:ascii="宋体" w:hAnsi="宋体" w:eastAsia="宋体" w:cs="宋体"/>
                <w:sz w:val="21"/>
                <w:szCs w:val="21"/>
              </w:rPr>
              <w:t>（1）投标文件响应内容全面；</w:t>
            </w:r>
          </w:p>
          <w:p w14:paraId="03FDB197">
            <w:pPr>
              <w:wordWrap w:val="0"/>
              <w:rPr>
                <w:rFonts w:hint="eastAsia" w:ascii="宋体" w:hAnsi="宋体" w:eastAsia="宋体" w:cs="宋体"/>
                <w:sz w:val="21"/>
                <w:szCs w:val="21"/>
              </w:rPr>
            </w:pPr>
            <w:r>
              <w:rPr>
                <w:rFonts w:hint="eastAsia" w:ascii="宋体" w:hAnsi="宋体" w:eastAsia="宋体" w:cs="宋体"/>
                <w:sz w:val="21"/>
                <w:szCs w:val="21"/>
              </w:rPr>
              <w:t>（2）投标文件响应内容具体；</w:t>
            </w:r>
          </w:p>
          <w:p w14:paraId="1325BA13">
            <w:pPr>
              <w:wordWrap w:val="0"/>
              <w:rPr>
                <w:rFonts w:hint="eastAsia" w:ascii="宋体" w:hAnsi="宋体" w:eastAsia="宋体" w:cs="宋体"/>
                <w:sz w:val="21"/>
                <w:szCs w:val="21"/>
              </w:rPr>
            </w:pPr>
            <w:r>
              <w:rPr>
                <w:rFonts w:hint="eastAsia" w:ascii="宋体" w:hAnsi="宋体" w:eastAsia="宋体" w:cs="宋体"/>
                <w:sz w:val="21"/>
                <w:szCs w:val="21"/>
              </w:rPr>
              <w:t>（3）投标文件响应内容针对性强；</w:t>
            </w:r>
          </w:p>
          <w:p w14:paraId="3D68427B">
            <w:pPr>
              <w:wordWrap w:val="0"/>
              <w:rPr>
                <w:rFonts w:hint="eastAsia" w:ascii="宋体" w:hAnsi="宋体" w:eastAsia="宋体" w:cs="宋体"/>
                <w:sz w:val="21"/>
                <w:szCs w:val="21"/>
              </w:rPr>
            </w:pPr>
            <w:r>
              <w:rPr>
                <w:rFonts w:hint="eastAsia" w:ascii="宋体" w:hAnsi="宋体" w:eastAsia="宋体" w:cs="宋体"/>
                <w:sz w:val="21"/>
                <w:szCs w:val="21"/>
              </w:rPr>
              <w:t>（4）投标文件响应内容科学合理；</w:t>
            </w:r>
          </w:p>
          <w:p w14:paraId="4322CAC5">
            <w:pPr>
              <w:wordWrap w:val="0"/>
              <w:rPr>
                <w:rFonts w:hint="eastAsia" w:ascii="宋体" w:hAnsi="宋体" w:eastAsia="宋体" w:cs="宋体"/>
                <w:sz w:val="21"/>
                <w:szCs w:val="21"/>
              </w:rPr>
            </w:pPr>
            <w:r>
              <w:rPr>
                <w:rFonts w:hint="eastAsia" w:ascii="宋体" w:hAnsi="宋体" w:eastAsia="宋体" w:cs="宋体"/>
                <w:sz w:val="21"/>
                <w:szCs w:val="21"/>
              </w:rPr>
              <w:t>（5）投标文件响应内容可操作性强。</w:t>
            </w:r>
          </w:p>
          <w:p w14:paraId="53E5B318">
            <w:pPr>
              <w:wordWrap w:val="0"/>
              <w:rPr>
                <w:rFonts w:hint="eastAsia" w:ascii="宋体" w:hAnsi="宋体" w:eastAsia="宋体" w:cs="宋体"/>
                <w:sz w:val="21"/>
                <w:szCs w:val="21"/>
              </w:rPr>
            </w:pPr>
            <w:r>
              <w:rPr>
                <w:rFonts w:hint="eastAsia" w:ascii="宋体" w:hAnsi="宋体" w:eastAsia="宋体" w:cs="宋体"/>
                <w:sz w:val="21"/>
                <w:szCs w:val="21"/>
              </w:rPr>
              <w:t>满足以上五项要求的评价为优，得,90分。</w:t>
            </w:r>
          </w:p>
          <w:p w14:paraId="7B930C29">
            <w:pPr>
              <w:wordWrap w:val="0"/>
              <w:rPr>
                <w:rFonts w:hint="eastAsia" w:ascii="宋体" w:hAnsi="宋体" w:eastAsia="宋体" w:cs="宋体"/>
                <w:sz w:val="21"/>
                <w:szCs w:val="21"/>
              </w:rPr>
            </w:pPr>
            <w:r>
              <w:rPr>
                <w:rFonts w:hint="eastAsia" w:ascii="宋体" w:hAnsi="宋体" w:eastAsia="宋体" w:cs="宋体"/>
                <w:sz w:val="21"/>
                <w:szCs w:val="21"/>
              </w:rPr>
              <w:t>满足以上四项要求的评价为良，得50分。</w:t>
            </w:r>
          </w:p>
          <w:p w14:paraId="7DA01AA3">
            <w:pPr>
              <w:wordWrap w:val="0"/>
              <w:rPr>
                <w:rFonts w:hint="eastAsia" w:ascii="宋体" w:hAnsi="宋体" w:eastAsia="宋体" w:cs="宋体"/>
                <w:sz w:val="21"/>
                <w:szCs w:val="21"/>
              </w:rPr>
            </w:pPr>
            <w:r>
              <w:rPr>
                <w:rFonts w:hint="eastAsia" w:ascii="宋体" w:hAnsi="宋体" w:eastAsia="宋体" w:cs="宋体"/>
                <w:sz w:val="21"/>
                <w:szCs w:val="21"/>
              </w:rPr>
              <w:t>满足以上三项要求的评价为中，得10分。</w:t>
            </w:r>
          </w:p>
          <w:p w14:paraId="479C183C">
            <w:pPr>
              <w:spacing w:line="360" w:lineRule="auto"/>
              <w:rPr>
                <w:rFonts w:hint="eastAsia" w:ascii="宋体" w:hAnsi="宋体" w:eastAsia="宋体" w:cs="宋体"/>
                <w:sz w:val="21"/>
                <w:szCs w:val="21"/>
              </w:rPr>
            </w:pPr>
            <w:r>
              <w:rPr>
                <w:rFonts w:hint="eastAsia" w:ascii="宋体" w:hAnsi="宋体" w:eastAsia="宋体" w:cs="宋体"/>
                <w:sz w:val="21"/>
                <w:szCs w:val="21"/>
              </w:rPr>
              <w:t>其它情况的评价为差，不得分。</w:t>
            </w:r>
          </w:p>
        </w:tc>
      </w:tr>
      <w:tr w14:paraId="3F97D4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4457" w:hRule="atLeast"/>
          <w:tblCellSpacing w:w="0" w:type="dxa"/>
          <w:jc w:val="center"/>
        </w:trPr>
        <w:tc>
          <w:tcPr>
            <w:tcW w:w="497" w:type="pct"/>
            <w:vMerge w:val="restart"/>
            <w:tcBorders>
              <w:left w:val="single" w:color="000000" w:sz="8" w:space="0"/>
              <w:right w:val="single" w:color="000000" w:sz="8" w:space="0"/>
            </w:tcBorders>
            <w:shd w:val="clear" w:color="auto" w:fill="auto"/>
            <w:vAlign w:val="center"/>
          </w:tcPr>
          <w:p w14:paraId="6D386D27">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71E8031">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0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96240C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技术规格偏离情况</w:t>
            </w:r>
          </w:p>
        </w:tc>
        <w:tc>
          <w:tcPr>
            <w:tcW w:w="5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8A61EC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14</w:t>
            </w:r>
          </w:p>
        </w:tc>
        <w:tc>
          <w:tcPr>
            <w:tcW w:w="2439" w:type="pct"/>
            <w:tcBorders>
              <w:top w:val="single" w:color="000000" w:sz="8" w:space="0"/>
              <w:left w:val="single" w:color="000000" w:sz="8" w:space="0"/>
              <w:bottom w:val="single" w:color="000000" w:sz="8" w:space="0"/>
              <w:right w:val="single" w:color="000000" w:sz="8" w:space="0"/>
            </w:tcBorders>
            <w:shd w:val="clear" w:color="auto" w:fill="auto"/>
          </w:tcPr>
          <w:p w14:paraId="4EABF3C6">
            <w:pPr>
              <w:spacing w:line="360" w:lineRule="auto"/>
              <w:rPr>
                <w:rFonts w:hint="eastAsia" w:ascii="宋体" w:hAnsi="宋体" w:eastAsia="宋体" w:cs="宋体"/>
                <w:sz w:val="21"/>
                <w:szCs w:val="21"/>
              </w:rPr>
            </w:pPr>
            <w:r>
              <w:rPr>
                <w:rFonts w:hint="eastAsia" w:ascii="宋体" w:hAnsi="宋体" w:eastAsia="宋体" w:cs="宋体"/>
                <w:b/>
                <w:bCs/>
                <w:sz w:val="21"/>
                <w:szCs w:val="21"/>
              </w:rPr>
              <w:t>考察内容：</w:t>
            </w:r>
            <w:r>
              <w:rPr>
                <w:rFonts w:hint="eastAsia" w:ascii="宋体" w:hAnsi="宋体" w:eastAsia="宋体" w:cs="宋体"/>
                <w:sz w:val="21"/>
                <w:szCs w:val="21"/>
              </w:rPr>
              <w:br w:type="textWrapping"/>
            </w:r>
            <w:r>
              <w:rPr>
                <w:rFonts w:hint="eastAsia" w:ascii="宋体" w:hAnsi="宋体" w:eastAsia="宋体" w:cs="宋体"/>
                <w:sz w:val="21"/>
                <w:szCs w:val="21"/>
              </w:rPr>
              <w:t>评审委员会根据技术需求参数响应情况进行打分，各项技术参数指标及要求全部满足的得满分，所有标注“▲”的重要参数每项负偏离（含不符合或者不满足、不响应）一项扣15分，一般参数每负偏离（含不符合或者不满足、不响应）一项扣1分，扣完为止。</w:t>
            </w:r>
          </w:p>
          <w:p w14:paraId="4EF2EB3F">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证明文件：</w:t>
            </w:r>
            <w:r>
              <w:rPr>
                <w:rFonts w:hint="eastAsia" w:ascii="宋体" w:hAnsi="宋体" w:eastAsia="宋体" w:cs="宋体"/>
                <w:sz w:val="21"/>
                <w:szCs w:val="21"/>
              </w:rPr>
              <w:br w:type="textWrapping"/>
            </w:r>
            <w:r>
              <w:rPr>
                <w:rFonts w:hint="eastAsia" w:ascii="宋体" w:hAnsi="宋体" w:eastAsia="宋体" w:cs="宋体"/>
                <w:sz w:val="21"/>
                <w:szCs w:val="21"/>
              </w:rPr>
              <w:t>注：投标人须按《技术规格偏离表》中的要求提供相关证明资料，如要求提供“厂家网站截图/说明书/厂家出具的参数文件/检验报告”等证明资料的，需按要求提供相关证明资料；提供的证明资料与所填写内容不一致的，以证明资料为准，原件备查。证明资料未提供，或提供的证明资料不清或无法判断的，不得分。</w:t>
            </w:r>
          </w:p>
        </w:tc>
      </w:tr>
      <w:tr w14:paraId="56AF36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vMerge w:val="continue"/>
            <w:tcBorders>
              <w:left w:val="single" w:color="000000" w:sz="8" w:space="0"/>
              <w:right w:val="single" w:color="000000" w:sz="8" w:space="0"/>
            </w:tcBorders>
            <w:shd w:val="clear" w:color="auto" w:fill="auto"/>
            <w:vAlign w:val="center"/>
          </w:tcPr>
          <w:p w14:paraId="5071BC66">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9B67208">
            <w:pPr>
              <w:wordWrap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4</w:t>
            </w:r>
          </w:p>
        </w:tc>
        <w:tc>
          <w:tcPr>
            <w:tcW w:w="10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BD57F3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拟安排的项目负责人情况</w:t>
            </w:r>
          </w:p>
          <w:p w14:paraId="47D8873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(仅限1人)</w:t>
            </w:r>
          </w:p>
        </w:tc>
        <w:tc>
          <w:tcPr>
            <w:tcW w:w="5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0E22D2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9</w:t>
            </w:r>
          </w:p>
        </w:tc>
        <w:tc>
          <w:tcPr>
            <w:tcW w:w="2439" w:type="pct"/>
            <w:tcBorders>
              <w:top w:val="single" w:color="000000" w:sz="8" w:space="0"/>
              <w:left w:val="single" w:color="000000" w:sz="8" w:space="0"/>
              <w:bottom w:val="single" w:color="000000" w:sz="8" w:space="0"/>
              <w:right w:val="single" w:color="000000" w:sz="8" w:space="0"/>
            </w:tcBorders>
            <w:shd w:val="clear" w:color="auto" w:fill="auto"/>
          </w:tcPr>
          <w:p w14:paraId="3DF8BB20">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考察内容：</w:t>
            </w:r>
          </w:p>
          <w:p w14:paraId="23B315F4">
            <w:pPr>
              <w:spacing w:line="360" w:lineRule="auto"/>
              <w:rPr>
                <w:rFonts w:hint="eastAsia" w:ascii="宋体" w:hAnsi="宋体" w:eastAsia="宋体" w:cs="宋体"/>
                <w:bCs/>
                <w:sz w:val="21"/>
                <w:szCs w:val="21"/>
              </w:rPr>
            </w:pPr>
            <w:r>
              <w:rPr>
                <w:rFonts w:hint="eastAsia" w:ascii="宋体" w:hAnsi="宋体" w:eastAsia="宋体" w:cs="宋体"/>
                <w:bCs/>
                <w:sz w:val="21"/>
                <w:szCs w:val="21"/>
              </w:rPr>
              <w:t>拟安排的项目负责人（仅限1人）需为投标人自有员工（提供社保证明），否则本项不得分，在此基础上：</w:t>
            </w:r>
          </w:p>
          <w:p w14:paraId="7F1CE863">
            <w:pPr>
              <w:spacing w:line="360" w:lineRule="auto"/>
              <w:rPr>
                <w:rFonts w:hint="eastAsia" w:ascii="宋体" w:hAnsi="宋体" w:eastAsia="宋体" w:cs="宋体"/>
                <w:bCs/>
                <w:sz w:val="21"/>
                <w:szCs w:val="21"/>
              </w:rPr>
            </w:pPr>
            <w:r>
              <w:rPr>
                <w:rFonts w:hint="eastAsia" w:ascii="宋体" w:hAnsi="宋体" w:eastAsia="宋体" w:cs="宋体"/>
                <w:bCs/>
                <w:sz w:val="21"/>
                <w:szCs w:val="21"/>
              </w:rPr>
              <w:t>1.具有人社部门颁发的</w:t>
            </w:r>
            <w:r>
              <w:rPr>
                <w:rFonts w:hint="eastAsia" w:ascii="宋体" w:hAnsi="宋体" w:eastAsia="宋体" w:cs="宋体"/>
                <w:sz w:val="21"/>
                <w:szCs w:val="21"/>
              </w:rPr>
              <w:t>计算机技术与软件专业技术资格（级别：高级或以上（含副高），专业：系统与规划管理师）证书</w:t>
            </w:r>
            <w:r>
              <w:rPr>
                <w:rFonts w:hint="eastAsia" w:ascii="宋体" w:hAnsi="宋体" w:eastAsia="宋体" w:cs="宋体"/>
                <w:bCs/>
                <w:sz w:val="21"/>
                <w:szCs w:val="21"/>
              </w:rPr>
              <w:t>或计算机技术与软件专业技术资格</w:t>
            </w:r>
            <w:r>
              <w:rPr>
                <w:rFonts w:hint="eastAsia" w:ascii="宋体" w:hAnsi="宋体" w:eastAsia="宋体" w:cs="宋体"/>
                <w:sz w:val="21"/>
                <w:szCs w:val="21"/>
              </w:rPr>
              <w:t>（级别：高级或以上（含副高），专业：信息系统项目管理师）证书</w:t>
            </w:r>
            <w:r>
              <w:rPr>
                <w:rFonts w:hint="eastAsia" w:ascii="宋体" w:hAnsi="宋体" w:eastAsia="宋体" w:cs="宋体"/>
                <w:bCs/>
                <w:sz w:val="21"/>
                <w:szCs w:val="21"/>
              </w:rPr>
              <w:t xml:space="preserve">； </w:t>
            </w:r>
          </w:p>
          <w:p w14:paraId="26FBE00D">
            <w:pPr>
              <w:spacing w:line="360" w:lineRule="auto"/>
              <w:rPr>
                <w:rFonts w:hint="eastAsia" w:ascii="宋体" w:hAnsi="宋体" w:eastAsia="宋体" w:cs="宋体"/>
                <w:bCs/>
                <w:sz w:val="21"/>
                <w:szCs w:val="21"/>
              </w:rPr>
            </w:pPr>
            <w:r>
              <w:rPr>
                <w:rFonts w:hint="eastAsia" w:ascii="宋体" w:hAnsi="宋体" w:eastAsia="宋体" w:cs="宋体"/>
                <w:bCs/>
                <w:sz w:val="21"/>
                <w:szCs w:val="21"/>
              </w:rPr>
              <w:t>2.具有</w:t>
            </w:r>
            <w:r>
              <w:rPr>
                <w:rFonts w:hint="eastAsia" w:ascii="宋体" w:hAnsi="宋体" w:eastAsia="宋体" w:cs="宋体"/>
                <w:sz w:val="21"/>
                <w:szCs w:val="21"/>
              </w:rPr>
              <w:t>行政机关或事业单位</w:t>
            </w:r>
            <w:r>
              <w:rPr>
                <w:rFonts w:hint="eastAsia" w:ascii="宋体" w:hAnsi="宋体" w:eastAsia="宋体" w:cs="宋体"/>
                <w:bCs/>
                <w:sz w:val="21"/>
                <w:szCs w:val="21"/>
              </w:rPr>
              <w:t>颁发的信息安全保障人员认证（CISAW）证书；</w:t>
            </w:r>
          </w:p>
          <w:p w14:paraId="48A19F09">
            <w:pPr>
              <w:spacing w:line="360" w:lineRule="auto"/>
              <w:rPr>
                <w:rFonts w:hint="eastAsia" w:ascii="宋体" w:hAnsi="宋体" w:eastAsia="宋体" w:cs="宋体"/>
                <w:bCs/>
                <w:sz w:val="21"/>
                <w:szCs w:val="21"/>
              </w:rPr>
            </w:pPr>
            <w:r>
              <w:rPr>
                <w:rFonts w:hint="eastAsia" w:ascii="宋体" w:hAnsi="宋体" w:eastAsia="宋体" w:cs="宋体"/>
                <w:bCs/>
                <w:sz w:val="21"/>
                <w:szCs w:val="21"/>
              </w:rPr>
              <w:t>3.具有工信部门颁发的智能运维工程师证书；</w:t>
            </w:r>
          </w:p>
          <w:p w14:paraId="34B04F64">
            <w:pPr>
              <w:spacing w:line="360" w:lineRule="auto"/>
              <w:rPr>
                <w:rFonts w:hint="eastAsia" w:ascii="宋体" w:hAnsi="宋体" w:eastAsia="宋体" w:cs="宋体"/>
                <w:bCs/>
                <w:sz w:val="21"/>
                <w:szCs w:val="21"/>
              </w:rPr>
            </w:pPr>
            <w:r>
              <w:rPr>
                <w:rFonts w:hint="eastAsia" w:ascii="宋体" w:hAnsi="宋体" w:eastAsia="宋体" w:cs="宋体"/>
                <w:bCs/>
                <w:sz w:val="21"/>
                <w:szCs w:val="21"/>
              </w:rPr>
              <w:t>4.具有工信部门颁发的人工智能类专业中级（或以上）职称证书；</w:t>
            </w:r>
          </w:p>
          <w:p w14:paraId="3D4F849A">
            <w:pPr>
              <w:spacing w:line="360" w:lineRule="auto"/>
              <w:rPr>
                <w:rFonts w:hint="eastAsia" w:ascii="宋体" w:hAnsi="宋体" w:eastAsia="宋体" w:cs="宋体"/>
                <w:sz w:val="21"/>
                <w:szCs w:val="21"/>
              </w:rPr>
            </w:pPr>
            <w:r>
              <w:rPr>
                <w:rFonts w:hint="eastAsia" w:ascii="宋体" w:hAnsi="宋体" w:eastAsia="宋体" w:cs="宋体"/>
                <w:bCs/>
                <w:sz w:val="21"/>
                <w:szCs w:val="21"/>
              </w:rPr>
              <w:t>5.具有工信部门颁发的网络技术工程师（高级或以上</w:t>
            </w:r>
            <w:r>
              <w:rPr>
                <w:rFonts w:hint="eastAsia" w:ascii="宋体" w:hAnsi="宋体" w:eastAsia="宋体" w:cs="宋体"/>
                <w:sz w:val="21"/>
                <w:szCs w:val="21"/>
              </w:rPr>
              <w:t>（含副高）</w:t>
            </w:r>
            <w:r>
              <w:rPr>
                <w:rFonts w:hint="eastAsia" w:ascii="宋体" w:hAnsi="宋体" w:eastAsia="宋体" w:cs="宋体"/>
                <w:bCs/>
                <w:sz w:val="21"/>
                <w:szCs w:val="21"/>
              </w:rPr>
              <w:t>）证书；</w:t>
            </w:r>
          </w:p>
          <w:p w14:paraId="1B859CF6">
            <w:pPr>
              <w:spacing w:line="360" w:lineRule="auto"/>
              <w:rPr>
                <w:rFonts w:hint="eastAsia" w:ascii="宋体" w:hAnsi="宋体" w:eastAsia="宋体" w:cs="宋体"/>
                <w:bCs/>
                <w:sz w:val="21"/>
                <w:szCs w:val="21"/>
              </w:rPr>
            </w:pPr>
            <w:r>
              <w:rPr>
                <w:rFonts w:hint="eastAsia" w:ascii="宋体" w:hAnsi="宋体" w:eastAsia="宋体" w:cs="宋体"/>
                <w:bCs/>
                <w:sz w:val="21"/>
                <w:szCs w:val="21"/>
              </w:rPr>
              <w:t>提供以上5项得100分，提供以上任意4项60分，提供以上任意3项30分，提供以上任意2项10分，未提供或其他情况不得分。</w:t>
            </w:r>
          </w:p>
          <w:p w14:paraId="43C4A591">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证明文件：</w:t>
            </w:r>
          </w:p>
          <w:p w14:paraId="35DBA19C">
            <w:pPr>
              <w:spacing w:line="360" w:lineRule="auto"/>
              <w:rPr>
                <w:rFonts w:hint="eastAsia" w:ascii="宋体" w:hAnsi="宋体" w:eastAsia="宋体" w:cs="宋体"/>
                <w:bCs/>
                <w:sz w:val="21"/>
                <w:szCs w:val="21"/>
              </w:rPr>
            </w:pPr>
            <w:r>
              <w:rPr>
                <w:rFonts w:hint="eastAsia" w:ascii="宋体" w:hAnsi="宋体" w:eastAsia="宋体" w:cs="宋体"/>
                <w:bCs/>
                <w:sz w:val="21"/>
                <w:szCs w:val="21"/>
              </w:rPr>
              <w:t>1.</w:t>
            </w:r>
            <w:r>
              <w:rPr>
                <w:rFonts w:hint="eastAsia" w:ascii="宋体" w:hAnsi="宋体" w:eastAsia="宋体" w:cs="宋体"/>
                <w:sz w:val="21"/>
                <w:szCs w:val="21"/>
              </w:rPr>
              <w:t>提供开标日前由投标人为拟投入本项目的负责人缴交的载有政府部门公章（或专用章）的2024年7月-2024年9月近三个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w:t>
            </w:r>
          </w:p>
          <w:p w14:paraId="5F3716AC">
            <w:pPr>
              <w:spacing w:line="360" w:lineRule="auto"/>
              <w:rPr>
                <w:rFonts w:hint="eastAsia" w:ascii="宋体" w:hAnsi="宋体" w:eastAsia="宋体" w:cs="宋体"/>
                <w:bCs/>
                <w:sz w:val="21"/>
                <w:szCs w:val="21"/>
              </w:rPr>
            </w:pPr>
            <w:r>
              <w:rPr>
                <w:rFonts w:hint="eastAsia" w:ascii="宋体" w:hAnsi="宋体" w:eastAsia="宋体" w:cs="宋体"/>
                <w:bCs/>
                <w:sz w:val="21"/>
                <w:szCs w:val="21"/>
              </w:rPr>
              <w:t>2.第1-5项提供有效证书扫描件；</w:t>
            </w:r>
          </w:p>
          <w:p w14:paraId="26A58623">
            <w:pPr>
              <w:spacing w:line="360" w:lineRule="auto"/>
              <w:rPr>
                <w:rFonts w:hint="eastAsia" w:ascii="宋体" w:hAnsi="宋体" w:eastAsia="宋体" w:cs="宋体"/>
                <w:bCs/>
                <w:sz w:val="21"/>
                <w:szCs w:val="21"/>
              </w:rPr>
            </w:pPr>
            <w:r>
              <w:rPr>
                <w:rFonts w:hint="eastAsia" w:ascii="宋体" w:hAnsi="宋体" w:eastAsia="宋体" w:cs="宋体"/>
                <w:bCs/>
                <w:sz w:val="21"/>
                <w:szCs w:val="21"/>
              </w:rPr>
              <w:t>3.未提供或未按要求提供或提供的不清晰导致评审委员会无法判断的，不得分。</w:t>
            </w:r>
          </w:p>
        </w:tc>
      </w:tr>
      <w:tr w14:paraId="22E7D7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vMerge w:val="continue"/>
            <w:tcBorders>
              <w:left w:val="single" w:color="000000" w:sz="8" w:space="0"/>
              <w:right w:val="single" w:color="000000" w:sz="8" w:space="0"/>
            </w:tcBorders>
            <w:shd w:val="clear" w:color="auto" w:fill="auto"/>
            <w:vAlign w:val="center"/>
          </w:tcPr>
          <w:p w14:paraId="31BBCF11">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F1AB6F1">
            <w:pPr>
              <w:wordWrap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5</w:t>
            </w:r>
          </w:p>
        </w:tc>
        <w:tc>
          <w:tcPr>
            <w:tcW w:w="10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30DC3F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拟安排的项目主要团队成员（主要技术人员）情况（项目负责人除外）</w:t>
            </w:r>
          </w:p>
        </w:tc>
        <w:tc>
          <w:tcPr>
            <w:tcW w:w="5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092D3F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10</w:t>
            </w:r>
          </w:p>
        </w:tc>
        <w:tc>
          <w:tcPr>
            <w:tcW w:w="2439" w:type="pct"/>
            <w:tcBorders>
              <w:top w:val="single" w:color="000000" w:sz="8" w:space="0"/>
              <w:left w:val="single" w:color="000000" w:sz="8" w:space="0"/>
              <w:bottom w:val="single" w:color="000000" w:sz="8" w:space="0"/>
              <w:right w:val="single" w:color="000000" w:sz="8" w:space="0"/>
            </w:tcBorders>
            <w:shd w:val="clear" w:color="auto" w:fill="auto"/>
          </w:tcPr>
          <w:p w14:paraId="569E5BBB">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考察内容：</w:t>
            </w:r>
          </w:p>
          <w:p w14:paraId="5654C92C">
            <w:pPr>
              <w:spacing w:line="360" w:lineRule="auto"/>
              <w:rPr>
                <w:rFonts w:hint="eastAsia" w:ascii="宋体" w:hAnsi="宋体" w:eastAsia="宋体" w:cs="宋体"/>
                <w:sz w:val="21"/>
                <w:szCs w:val="21"/>
              </w:rPr>
            </w:pPr>
            <w:r>
              <w:rPr>
                <w:rFonts w:hint="eastAsia" w:ascii="宋体" w:hAnsi="宋体" w:eastAsia="宋体" w:cs="宋体"/>
                <w:sz w:val="21"/>
                <w:szCs w:val="21"/>
              </w:rPr>
              <w:t>拟安排项目团队成员（项目负责人除外）需为投标人自有员工（提供社保证明），否则本项不得分，在此基础上：</w:t>
            </w:r>
          </w:p>
          <w:p w14:paraId="2E61A9EC">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一、技术负责人（1名）：</w:t>
            </w:r>
          </w:p>
          <w:p w14:paraId="326579DB">
            <w:pPr>
              <w:spacing w:line="360" w:lineRule="auto"/>
              <w:rPr>
                <w:rFonts w:hint="eastAsia" w:ascii="宋体" w:hAnsi="宋体" w:eastAsia="宋体" w:cs="宋体"/>
                <w:sz w:val="21"/>
                <w:szCs w:val="21"/>
              </w:rPr>
            </w:pPr>
            <w:r>
              <w:rPr>
                <w:rFonts w:hint="eastAsia" w:ascii="宋体" w:hAnsi="宋体" w:eastAsia="宋体" w:cs="宋体"/>
                <w:sz w:val="21"/>
                <w:szCs w:val="21"/>
              </w:rPr>
              <w:t>1.具有行政机关或事业单位颁发的注册信息安全工程师（CISE）证书；</w:t>
            </w:r>
          </w:p>
          <w:p w14:paraId="6E5CF4E2">
            <w:pPr>
              <w:spacing w:line="360" w:lineRule="auto"/>
              <w:rPr>
                <w:rFonts w:hint="eastAsia" w:ascii="宋体" w:hAnsi="宋体" w:eastAsia="宋体" w:cs="宋体"/>
                <w:sz w:val="21"/>
                <w:szCs w:val="21"/>
              </w:rPr>
            </w:pPr>
            <w:r>
              <w:rPr>
                <w:rFonts w:hint="eastAsia" w:ascii="宋体" w:hAnsi="宋体" w:eastAsia="宋体" w:cs="宋体"/>
                <w:sz w:val="21"/>
                <w:szCs w:val="21"/>
              </w:rPr>
              <w:t>2.具有人社部门或工信部门颁发的（高级或以上（含副高））软件开发工程师证书。</w:t>
            </w:r>
          </w:p>
          <w:p w14:paraId="445541B8">
            <w:pPr>
              <w:spacing w:line="360" w:lineRule="auto"/>
              <w:rPr>
                <w:rFonts w:hint="eastAsia" w:ascii="宋体" w:hAnsi="宋体" w:eastAsia="宋体" w:cs="宋体"/>
                <w:sz w:val="21"/>
                <w:szCs w:val="21"/>
              </w:rPr>
            </w:pPr>
            <w:r>
              <w:rPr>
                <w:rFonts w:hint="eastAsia" w:ascii="宋体" w:hAnsi="宋体" w:eastAsia="宋体" w:cs="宋体"/>
                <w:sz w:val="21"/>
                <w:szCs w:val="21"/>
              </w:rPr>
              <w:t>以上每提供1项得15分，技术负责人最高得30分，其他情况不得分。</w:t>
            </w:r>
          </w:p>
          <w:p w14:paraId="61718AD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二、终端及应急保障服务负责人（1名）：</w:t>
            </w:r>
          </w:p>
          <w:p w14:paraId="190BC2E0">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1.具有注册信息安全工程师（CISE）证书；</w:t>
            </w:r>
          </w:p>
          <w:p w14:paraId="4793C8F3">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2.具有人社部门或工信部门颁发的智能化系统工程师证书；</w:t>
            </w:r>
          </w:p>
          <w:p w14:paraId="02DEF729">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3.具有人社部门或工信部门颁发的（高级或以上（含副高））软件开发工程师证书。</w:t>
            </w:r>
          </w:p>
          <w:p w14:paraId="7E147B45">
            <w:pPr>
              <w:spacing w:line="360" w:lineRule="auto"/>
              <w:rPr>
                <w:rFonts w:hint="eastAsia" w:ascii="宋体" w:hAnsi="宋体" w:eastAsia="宋体" w:cs="宋体"/>
                <w:sz w:val="21"/>
                <w:szCs w:val="21"/>
              </w:rPr>
            </w:pPr>
            <w:r>
              <w:rPr>
                <w:rFonts w:hint="eastAsia" w:ascii="宋体" w:hAnsi="宋体" w:eastAsia="宋体" w:cs="宋体"/>
                <w:sz w:val="21"/>
                <w:szCs w:val="21"/>
              </w:rPr>
              <w:t>以上每提供1项得10分，终端及应急保障服务负责人最高得30分，其他情况不得分。</w:t>
            </w:r>
          </w:p>
          <w:p w14:paraId="7D60A8CB">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三、安全售后负责人（1人）：</w:t>
            </w:r>
          </w:p>
          <w:p w14:paraId="756E1F67">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1.具有行政机关或事业单位颁发的注册人信息安全工程师(CISE)证书。</w:t>
            </w:r>
          </w:p>
          <w:p w14:paraId="0F866AC5">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2.具有工信部门颁发的安防系统工程师（高级或以上（含副高））证书。</w:t>
            </w:r>
          </w:p>
          <w:p w14:paraId="6751D961">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以上每提供1项得10分，安全售后负责人最高得20分，其他情况不得分。</w:t>
            </w:r>
          </w:p>
          <w:p w14:paraId="27CD56F8">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四、项目实施团队（4人）：</w:t>
            </w:r>
          </w:p>
          <w:p w14:paraId="373B2D8C">
            <w:pPr>
              <w:spacing w:line="360" w:lineRule="auto"/>
              <w:rPr>
                <w:rFonts w:hint="eastAsia" w:ascii="宋体" w:hAnsi="宋体" w:eastAsia="宋体" w:cs="宋体"/>
                <w:sz w:val="21"/>
                <w:szCs w:val="21"/>
              </w:rPr>
            </w:pPr>
            <w:r>
              <w:rPr>
                <w:rFonts w:hint="eastAsia" w:ascii="宋体" w:hAnsi="宋体" w:eastAsia="宋体" w:cs="宋体"/>
                <w:sz w:val="21"/>
                <w:szCs w:val="21"/>
              </w:rPr>
              <w:t>团队成员（技术负责人、终端及应急保障服务负责人、安全售后负责人除外）中具有人社部门或工信部门或信息产业部门颁发的通信类或广电类或信息工程类专业中级（或以上）职称的，每提供一人得5分，项目实施团队最高得20分，其他情况不得分。</w:t>
            </w:r>
          </w:p>
          <w:p w14:paraId="7500EFCE">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证明文件：</w:t>
            </w:r>
          </w:p>
          <w:p w14:paraId="6D391B3C">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1.提供开标日前由投标人为相关人员缴交的载有政府部门公章（或专用章）的2024年7月-2024年9月近三个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w:t>
            </w:r>
          </w:p>
          <w:p w14:paraId="6E23A94A">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2.提供上述评分项中对应的</w:t>
            </w:r>
            <w:r>
              <w:rPr>
                <w:rFonts w:hint="eastAsia" w:ascii="宋体" w:hAnsi="宋体" w:eastAsia="宋体" w:cs="宋体"/>
                <w:bCs/>
                <w:sz w:val="21"/>
                <w:szCs w:val="21"/>
              </w:rPr>
              <w:t>有效</w:t>
            </w:r>
            <w:r>
              <w:rPr>
                <w:rFonts w:hint="eastAsia" w:ascii="宋体" w:hAnsi="宋体" w:eastAsia="宋体" w:cs="宋体"/>
                <w:sz w:val="21"/>
                <w:szCs w:val="21"/>
              </w:rPr>
              <w:t>证书扫描件；</w:t>
            </w:r>
          </w:p>
          <w:p w14:paraId="656D38E0">
            <w:pPr>
              <w:autoSpaceDE w:val="0"/>
              <w:autoSpaceDN w:val="0"/>
              <w:spacing w:line="36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bCs/>
                <w:sz w:val="21"/>
                <w:szCs w:val="21"/>
              </w:rPr>
              <w:t>未提供或未按要求提供或提供的不清晰导致评审委员会无法判断的，不得分</w:t>
            </w:r>
            <w:r>
              <w:rPr>
                <w:rFonts w:hint="eastAsia" w:ascii="宋体" w:hAnsi="宋体" w:eastAsia="宋体" w:cs="宋体"/>
                <w:sz w:val="21"/>
                <w:szCs w:val="21"/>
              </w:rPr>
              <w:t>。</w:t>
            </w:r>
          </w:p>
        </w:tc>
      </w:tr>
      <w:tr w14:paraId="562C04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vMerge w:val="restart"/>
            <w:tcBorders>
              <w:top w:val="single" w:color="000000" w:sz="8" w:space="0"/>
              <w:left w:val="single" w:color="000000" w:sz="8" w:space="0"/>
              <w:right w:val="single" w:color="000000" w:sz="8" w:space="0"/>
            </w:tcBorders>
            <w:shd w:val="clear" w:color="auto" w:fill="auto"/>
            <w:vAlign w:val="center"/>
          </w:tcPr>
          <w:p w14:paraId="5C501A0F">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3</w:t>
            </w:r>
          </w:p>
        </w:tc>
        <w:tc>
          <w:tcPr>
            <w:tcW w:w="2064"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3EB8FD07">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商务部分</w:t>
            </w:r>
          </w:p>
        </w:tc>
        <w:tc>
          <w:tcPr>
            <w:tcW w:w="24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E2760DF">
            <w:pPr>
              <w:wordWrap w:val="0"/>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21</w:t>
            </w:r>
          </w:p>
        </w:tc>
      </w:tr>
      <w:tr w14:paraId="64BD4E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vMerge w:val="continue"/>
            <w:tcBorders>
              <w:left w:val="single" w:color="000000" w:sz="8" w:space="0"/>
              <w:right w:val="single" w:color="000000" w:sz="8" w:space="0"/>
            </w:tcBorders>
            <w:shd w:val="clear" w:color="auto" w:fill="E6EFFA"/>
            <w:vAlign w:val="center"/>
          </w:tcPr>
          <w:p w14:paraId="1F3A96E1">
            <w:pPr>
              <w:spacing w:line="360" w:lineRule="auto"/>
              <w:jc w:val="center"/>
              <w:rPr>
                <w:rFonts w:hint="eastAsia" w:ascii="宋体" w:hAnsi="宋体" w:eastAsia="宋体" w:cs="宋体"/>
                <w:b/>
                <w:bCs/>
                <w:sz w:val="21"/>
                <w:szCs w:val="21"/>
              </w:rPr>
            </w:pPr>
          </w:p>
        </w:tc>
        <w:tc>
          <w:tcPr>
            <w:tcW w:w="473" w:type="pct"/>
            <w:tcBorders>
              <w:top w:val="outset" w:color="000000" w:sz="6" w:space="0"/>
              <w:left w:val="outset" w:color="000000" w:sz="6" w:space="0"/>
              <w:bottom w:val="outset" w:color="000000" w:sz="6" w:space="0"/>
              <w:right w:val="outset" w:color="000000" w:sz="6" w:space="0"/>
            </w:tcBorders>
            <w:shd w:val="clear" w:color="auto" w:fill="auto"/>
            <w:vAlign w:val="center"/>
          </w:tcPr>
          <w:p w14:paraId="126FE66D">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077" w:type="pct"/>
            <w:tcBorders>
              <w:top w:val="outset" w:color="000000" w:sz="6" w:space="0"/>
              <w:left w:val="outset" w:color="000000" w:sz="6" w:space="0"/>
              <w:bottom w:val="outset" w:color="000000" w:sz="6" w:space="0"/>
              <w:right w:val="outset" w:color="000000" w:sz="6" w:space="0"/>
            </w:tcBorders>
            <w:shd w:val="clear" w:color="auto" w:fill="auto"/>
            <w:vAlign w:val="center"/>
          </w:tcPr>
          <w:p w14:paraId="6338FB08">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评分因素</w:t>
            </w:r>
          </w:p>
        </w:tc>
        <w:tc>
          <w:tcPr>
            <w:tcW w:w="514" w:type="pct"/>
            <w:tcBorders>
              <w:top w:val="outset" w:color="000000" w:sz="6" w:space="0"/>
              <w:left w:val="outset" w:color="000000" w:sz="6" w:space="0"/>
              <w:bottom w:val="outset" w:color="000000" w:sz="6" w:space="0"/>
              <w:right w:val="outset" w:color="000000" w:sz="6" w:space="0"/>
            </w:tcBorders>
            <w:shd w:val="clear" w:color="auto" w:fill="auto"/>
            <w:vAlign w:val="center"/>
          </w:tcPr>
          <w:p w14:paraId="5ADEC472">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权重(%)</w:t>
            </w:r>
          </w:p>
        </w:tc>
        <w:tc>
          <w:tcPr>
            <w:tcW w:w="2439" w:type="pct"/>
            <w:tcBorders>
              <w:top w:val="outset" w:color="000000" w:sz="6" w:space="0"/>
              <w:left w:val="outset" w:color="000000" w:sz="6" w:space="0"/>
              <w:bottom w:val="outset" w:color="000000" w:sz="6" w:space="0"/>
              <w:right w:val="outset" w:color="000000" w:sz="6" w:space="0"/>
            </w:tcBorders>
            <w:shd w:val="clear" w:color="auto" w:fill="auto"/>
            <w:vAlign w:val="center"/>
          </w:tcPr>
          <w:p w14:paraId="227F2006">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评分准则</w:t>
            </w:r>
          </w:p>
        </w:tc>
      </w:tr>
      <w:tr w14:paraId="2E1E47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vMerge w:val="continue"/>
            <w:tcBorders>
              <w:left w:val="single" w:color="000000" w:sz="8" w:space="0"/>
              <w:right w:val="single" w:color="000000" w:sz="8" w:space="0"/>
            </w:tcBorders>
            <w:shd w:val="clear" w:color="auto" w:fill="auto"/>
            <w:vAlign w:val="center"/>
          </w:tcPr>
          <w:p w14:paraId="2E272249">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AEB2D9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10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60484B6">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商务条款偏离情况</w:t>
            </w:r>
          </w:p>
        </w:tc>
        <w:tc>
          <w:tcPr>
            <w:tcW w:w="5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E1CD98D">
            <w:pPr>
              <w:wordWrap w:val="0"/>
              <w:spacing w:line="360" w:lineRule="auto"/>
              <w:ind w:firstLine="210" w:firstLineChars="100"/>
              <w:rPr>
                <w:rFonts w:hint="eastAsia" w:ascii="宋体" w:hAnsi="宋体" w:eastAsia="宋体" w:cs="宋体"/>
                <w:sz w:val="21"/>
                <w:szCs w:val="21"/>
              </w:rPr>
            </w:pPr>
            <w:r>
              <w:rPr>
                <w:rFonts w:hint="eastAsia" w:ascii="宋体" w:hAnsi="宋体" w:eastAsia="宋体" w:cs="宋体"/>
                <w:sz w:val="21"/>
                <w:szCs w:val="21"/>
              </w:rPr>
              <w:t>1</w:t>
            </w:r>
          </w:p>
        </w:tc>
        <w:tc>
          <w:tcPr>
            <w:tcW w:w="24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F9084A8">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投标人应如实填写《商务条款偏离情况》，评审小组根据响应情况进行打分，除带“</w:t>
            </w:r>
            <w:r>
              <w:rPr>
                <w:rFonts w:hint="eastAsia" w:ascii="宋体" w:hAnsi="宋体" w:eastAsia="宋体" w:cs="宋体"/>
                <w:b/>
                <w:sz w:val="21"/>
                <w:szCs w:val="21"/>
              </w:rPr>
              <w:t>★</w:t>
            </w:r>
            <w:r>
              <w:rPr>
                <w:rFonts w:hint="eastAsia" w:ascii="宋体" w:hAnsi="宋体" w:eastAsia="宋体" w:cs="宋体"/>
                <w:sz w:val="21"/>
                <w:szCs w:val="21"/>
              </w:rPr>
              <w:t>”实质性条款外全部满足要求的得100分，每负偏离一项扣15分。</w:t>
            </w:r>
          </w:p>
        </w:tc>
      </w:tr>
      <w:tr w14:paraId="411C15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vMerge w:val="continue"/>
            <w:tcBorders>
              <w:left w:val="single" w:color="000000" w:sz="8" w:space="0"/>
              <w:right w:val="single" w:color="000000" w:sz="8" w:space="0"/>
            </w:tcBorders>
            <w:shd w:val="clear" w:color="auto" w:fill="auto"/>
            <w:vAlign w:val="center"/>
          </w:tcPr>
          <w:p w14:paraId="7EC67C05">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2553370">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10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A0D35A">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同类项目业绩</w:t>
            </w:r>
          </w:p>
        </w:tc>
        <w:tc>
          <w:tcPr>
            <w:tcW w:w="5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0CA427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439" w:type="pct"/>
            <w:tcBorders>
              <w:top w:val="single" w:color="000000" w:sz="8" w:space="0"/>
              <w:left w:val="single" w:color="000000" w:sz="8" w:space="0"/>
              <w:bottom w:val="single" w:color="000000" w:sz="8" w:space="0"/>
              <w:right w:val="single" w:color="000000" w:sz="8" w:space="0"/>
            </w:tcBorders>
            <w:shd w:val="clear" w:color="auto" w:fill="auto"/>
          </w:tcPr>
          <w:p w14:paraId="19F9770C">
            <w:pPr>
              <w:wordWrap w:val="0"/>
              <w:spacing w:line="360" w:lineRule="auto"/>
              <w:rPr>
                <w:rFonts w:hint="eastAsia" w:ascii="宋体" w:hAnsi="宋体" w:eastAsia="宋体" w:cs="宋体"/>
                <w:b/>
                <w:bCs/>
                <w:sz w:val="21"/>
                <w:szCs w:val="21"/>
              </w:rPr>
            </w:pPr>
            <w:r>
              <w:rPr>
                <w:rFonts w:hint="eastAsia" w:ascii="宋体" w:hAnsi="宋体" w:eastAsia="宋体" w:cs="宋体"/>
                <w:b/>
                <w:bCs/>
                <w:sz w:val="21"/>
                <w:szCs w:val="21"/>
              </w:rPr>
              <w:t>考察内容：</w:t>
            </w:r>
          </w:p>
          <w:p w14:paraId="3460FCBA">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投标人（如投标人为分公司或分支机构可用其总公司业绩）2021年10月1日至本项目投标截止时间，（以签订合同日期为准）在同类项目业绩情况：每提供1个得20分，最高得100分。每项业绩须按以下要求提供完整准确的证明文件，一年一签的长期服务续签合同只计算一个业绩。</w:t>
            </w:r>
          </w:p>
          <w:p w14:paraId="79041A20">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证明文件：</w:t>
            </w:r>
          </w:p>
          <w:p w14:paraId="2CF26D94">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提供合同或协议关键页（关键信息包括但不仅限于合同的项目名称、服务内容（采购标的）、签订日期等），未提供的不得分，原件备查。</w:t>
            </w:r>
          </w:p>
          <w:p w14:paraId="70BFBC16">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评分中出现无证明资料或专家无法凭所提供资料判断是否得分的情况，一律作不得分处理。</w:t>
            </w:r>
          </w:p>
          <w:p w14:paraId="63933549">
            <w:pPr>
              <w:spacing w:line="360" w:lineRule="auto"/>
              <w:rPr>
                <w:rFonts w:hint="eastAsia" w:ascii="宋体" w:hAnsi="宋体" w:eastAsia="宋体" w:cs="宋体"/>
                <w:sz w:val="21"/>
                <w:szCs w:val="21"/>
              </w:rPr>
            </w:pPr>
            <w:r>
              <w:rPr>
                <w:rFonts w:hint="eastAsia" w:ascii="宋体" w:hAnsi="宋体" w:eastAsia="宋体" w:cs="宋体"/>
                <w:sz w:val="21"/>
                <w:szCs w:val="21"/>
              </w:rPr>
              <w:t>通过上述资料无法判断是否得分的，也可以同时提供能证明得分的其它资料，如项目报告或采购单位（或被服务单位）出具的证明文件等。</w:t>
            </w:r>
          </w:p>
        </w:tc>
      </w:tr>
      <w:tr w14:paraId="752914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vMerge w:val="continue"/>
            <w:tcBorders>
              <w:left w:val="single" w:color="000000" w:sz="8" w:space="0"/>
              <w:right w:val="single" w:color="000000" w:sz="8" w:space="0"/>
            </w:tcBorders>
            <w:shd w:val="clear" w:color="auto" w:fill="auto"/>
            <w:vAlign w:val="center"/>
          </w:tcPr>
          <w:p w14:paraId="649992AC">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266BCD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3</w:t>
            </w:r>
          </w:p>
        </w:tc>
        <w:tc>
          <w:tcPr>
            <w:tcW w:w="10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70789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投标人认证情况</w:t>
            </w:r>
          </w:p>
        </w:tc>
        <w:tc>
          <w:tcPr>
            <w:tcW w:w="5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F3C833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2439" w:type="pct"/>
            <w:tcBorders>
              <w:top w:val="single" w:color="000000" w:sz="8" w:space="0"/>
              <w:left w:val="single" w:color="000000" w:sz="8" w:space="0"/>
              <w:bottom w:val="single" w:color="000000" w:sz="8" w:space="0"/>
              <w:right w:val="single" w:color="000000" w:sz="8" w:space="0"/>
            </w:tcBorders>
            <w:shd w:val="clear" w:color="auto" w:fill="auto"/>
          </w:tcPr>
          <w:p w14:paraId="2038FBD3">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考察内容：</w:t>
            </w:r>
          </w:p>
          <w:p w14:paraId="6D9B4B9C">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1.具有质量管理体系认证证书得25分；</w:t>
            </w:r>
          </w:p>
          <w:p w14:paraId="474E90E4">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2.具有售后服务认证证书得25分；</w:t>
            </w:r>
          </w:p>
          <w:p w14:paraId="7D4CCBFC">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3.具有环境管理体系认证证书得25分；</w:t>
            </w:r>
          </w:p>
          <w:p w14:paraId="7711E474">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4.具有职业健康安全管理体系认证证书得25分；</w:t>
            </w:r>
          </w:p>
          <w:p w14:paraId="7C6FB742">
            <w:pPr>
              <w:spacing w:line="360" w:lineRule="auto"/>
              <w:rPr>
                <w:rFonts w:hint="eastAsia" w:ascii="宋体" w:hAnsi="宋体" w:eastAsia="宋体" w:cs="宋体"/>
                <w:bCs/>
                <w:sz w:val="21"/>
                <w:szCs w:val="21"/>
              </w:rPr>
            </w:pPr>
            <w:r>
              <w:rPr>
                <w:rFonts w:hint="eastAsia" w:ascii="宋体" w:hAnsi="宋体" w:eastAsia="宋体" w:cs="宋体"/>
                <w:bCs/>
                <w:sz w:val="21"/>
                <w:szCs w:val="21"/>
              </w:rPr>
              <w:t>本项最高得100分，未提供或其他情况不得分。</w:t>
            </w:r>
          </w:p>
          <w:p w14:paraId="2DF27F26">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证明文件：</w:t>
            </w:r>
          </w:p>
          <w:p w14:paraId="313A5D2E">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1.提供证书扫描件及全国认证认可信息公共服务平台（cx.cnca.cn）认证信息查询截图（截图需显示证书状态为有效）。相关证书在公开渠道无法查询的，投标人需提供颁发部门或者监管机构的证明材料，证明证书真实有效且为合法机构颁发；</w:t>
            </w:r>
          </w:p>
          <w:p w14:paraId="7F50B62F">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2.如投标人为分支机构，提供其总公司的证书也可按照评分规则计分；证书单位名称需与投标人名称或其总公司名称一致，否则不得分；</w:t>
            </w:r>
          </w:p>
          <w:p w14:paraId="418E28C9">
            <w:pPr>
              <w:spacing w:line="360" w:lineRule="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bCs/>
                <w:sz w:val="21"/>
                <w:szCs w:val="21"/>
              </w:rPr>
              <w:t>未提供或未按要求提供或提供的不清晰导致评审委员会无法判断的，不得分。</w:t>
            </w:r>
          </w:p>
        </w:tc>
      </w:tr>
      <w:tr w14:paraId="55AE2D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vMerge w:val="continue"/>
            <w:tcBorders>
              <w:left w:val="single" w:color="000000" w:sz="8" w:space="0"/>
              <w:right w:val="single" w:color="000000" w:sz="8" w:space="0"/>
            </w:tcBorders>
            <w:shd w:val="clear" w:color="auto" w:fill="auto"/>
            <w:vAlign w:val="center"/>
          </w:tcPr>
          <w:p w14:paraId="39B57E9F">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F750ED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4</w:t>
            </w:r>
          </w:p>
        </w:tc>
        <w:tc>
          <w:tcPr>
            <w:tcW w:w="10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1E0D6D8">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投标人荣誉情况</w:t>
            </w:r>
          </w:p>
        </w:tc>
        <w:tc>
          <w:tcPr>
            <w:tcW w:w="5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DD4EFB4">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439" w:type="pct"/>
            <w:tcBorders>
              <w:top w:val="single" w:color="000000" w:sz="8" w:space="0"/>
              <w:left w:val="single" w:color="000000" w:sz="8" w:space="0"/>
              <w:bottom w:val="single" w:color="000000" w:sz="8" w:space="0"/>
              <w:right w:val="single" w:color="000000" w:sz="8" w:space="0"/>
            </w:tcBorders>
            <w:shd w:val="clear" w:color="auto" w:fill="auto"/>
          </w:tcPr>
          <w:p w14:paraId="6A4564C4">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考察内容：</w:t>
            </w:r>
          </w:p>
          <w:p w14:paraId="3C626423">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投标人获得过行政机关或事业单位颁发的科学技术或信息技术相关奖项，国家级的得100分，省级（含副省级）的得30分，其他情况不得分，最高得100分。</w:t>
            </w:r>
          </w:p>
          <w:p w14:paraId="2B4419E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证明文件：</w:t>
            </w:r>
          </w:p>
          <w:p w14:paraId="1B3A7A9D">
            <w:pPr>
              <w:spacing w:line="360" w:lineRule="auto"/>
              <w:rPr>
                <w:rFonts w:hint="eastAsia" w:ascii="宋体" w:hAnsi="宋体" w:eastAsia="宋体" w:cs="宋体"/>
                <w:sz w:val="21"/>
                <w:szCs w:val="21"/>
              </w:rPr>
            </w:pPr>
            <w:r>
              <w:rPr>
                <w:rFonts w:hint="eastAsia" w:ascii="宋体" w:hAnsi="宋体" w:eastAsia="宋体" w:cs="宋体"/>
                <w:sz w:val="21"/>
                <w:szCs w:val="21"/>
              </w:rPr>
              <w:t>1.提供奖项照片或获奖（荣誉）证书等证明材料，如投标人为分公司或分支机构，提供其总公司获奖证书也可按照评分规则计分；获奖单位名称需与投标人名称或其总公司名称一致，否则不得分；</w:t>
            </w:r>
          </w:p>
          <w:p w14:paraId="4E245AFB">
            <w:pPr>
              <w:spacing w:line="360" w:lineRule="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bCs/>
                <w:sz w:val="21"/>
                <w:szCs w:val="21"/>
              </w:rPr>
              <w:t>未提供或未按要求提供或提供的不清晰导致评审委员会无法判断的，不得分。</w:t>
            </w:r>
          </w:p>
        </w:tc>
      </w:tr>
      <w:tr w14:paraId="5A0E0C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vMerge w:val="continue"/>
            <w:tcBorders>
              <w:left w:val="single" w:color="000000" w:sz="8" w:space="0"/>
              <w:right w:val="single" w:color="000000" w:sz="8" w:space="0"/>
            </w:tcBorders>
            <w:shd w:val="clear" w:color="auto" w:fill="auto"/>
            <w:vAlign w:val="center"/>
          </w:tcPr>
          <w:p w14:paraId="4CD5D409">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4B8CC01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10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1B083D59">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投标人自主知识产权产品（创新、设计）情况</w:t>
            </w:r>
          </w:p>
        </w:tc>
        <w:tc>
          <w:tcPr>
            <w:tcW w:w="5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BF7750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6</w:t>
            </w:r>
          </w:p>
        </w:tc>
        <w:tc>
          <w:tcPr>
            <w:tcW w:w="2439" w:type="pct"/>
            <w:tcBorders>
              <w:top w:val="single" w:color="000000" w:sz="8" w:space="0"/>
              <w:left w:val="single" w:color="000000" w:sz="8" w:space="0"/>
              <w:bottom w:val="single" w:color="000000" w:sz="8" w:space="0"/>
              <w:right w:val="single" w:color="000000" w:sz="8" w:space="0"/>
            </w:tcBorders>
            <w:shd w:val="clear" w:color="auto" w:fill="auto"/>
          </w:tcPr>
          <w:p w14:paraId="00835187">
            <w:pPr>
              <w:spacing w:line="360" w:lineRule="auto"/>
              <w:rPr>
                <w:rFonts w:hint="eastAsia" w:ascii="宋体" w:hAnsi="宋体" w:eastAsia="宋体" w:cs="宋体"/>
                <w:b/>
                <w:bCs/>
                <w:sz w:val="21"/>
                <w:szCs w:val="21"/>
              </w:rPr>
            </w:pPr>
            <w:bookmarkStart w:id="1" w:name="_Hlk178324075"/>
            <w:r>
              <w:rPr>
                <w:rFonts w:hint="eastAsia" w:ascii="宋体" w:hAnsi="宋体" w:eastAsia="宋体" w:cs="宋体"/>
                <w:b/>
                <w:bCs/>
                <w:sz w:val="21"/>
                <w:szCs w:val="21"/>
              </w:rPr>
              <w:t>考察内容：</w:t>
            </w:r>
          </w:p>
          <w:p w14:paraId="01F6AB6C">
            <w:pPr>
              <w:spacing w:line="360" w:lineRule="auto"/>
              <w:rPr>
                <w:rFonts w:hint="eastAsia" w:ascii="宋体" w:hAnsi="宋体" w:eastAsia="宋体" w:cs="宋体"/>
                <w:sz w:val="21"/>
                <w:szCs w:val="21"/>
              </w:rPr>
            </w:pPr>
            <w:r>
              <w:rPr>
                <w:rFonts w:hint="eastAsia" w:ascii="宋体" w:hAnsi="宋体" w:eastAsia="宋体" w:cs="宋体"/>
                <w:sz w:val="21"/>
                <w:szCs w:val="21"/>
              </w:rPr>
              <w:t>1.具有图像数据和电子身份标识识别类相关计算机软件著作权登记证书或专利证书。</w:t>
            </w:r>
          </w:p>
          <w:p w14:paraId="48EF0F54">
            <w:pPr>
              <w:spacing w:line="360" w:lineRule="auto"/>
              <w:rPr>
                <w:rFonts w:hint="eastAsia" w:ascii="宋体" w:hAnsi="宋体" w:eastAsia="宋体" w:cs="宋体"/>
                <w:sz w:val="21"/>
                <w:szCs w:val="21"/>
              </w:rPr>
            </w:pPr>
            <w:r>
              <w:rPr>
                <w:rFonts w:hint="eastAsia" w:ascii="宋体" w:hAnsi="宋体" w:eastAsia="宋体" w:cs="宋体"/>
                <w:sz w:val="21"/>
                <w:szCs w:val="21"/>
              </w:rPr>
              <w:t>2.具有视频AI分析集约管控平台类相关计算机软件著作权登记证书或专利证书。</w:t>
            </w:r>
          </w:p>
          <w:p w14:paraId="59272C74">
            <w:pPr>
              <w:spacing w:line="360" w:lineRule="auto"/>
              <w:rPr>
                <w:rFonts w:hint="eastAsia" w:ascii="宋体" w:hAnsi="宋体" w:eastAsia="宋体" w:cs="宋体"/>
                <w:sz w:val="21"/>
                <w:szCs w:val="21"/>
              </w:rPr>
            </w:pPr>
            <w:r>
              <w:rPr>
                <w:rFonts w:hint="eastAsia" w:ascii="宋体" w:hAnsi="宋体" w:eastAsia="宋体" w:cs="宋体"/>
                <w:sz w:val="21"/>
                <w:szCs w:val="21"/>
              </w:rPr>
              <w:t>3.具有智能识别系统类相关计算机软件著作权登记证书或专利证书。</w:t>
            </w:r>
          </w:p>
          <w:p w14:paraId="598838BD">
            <w:pPr>
              <w:spacing w:line="360" w:lineRule="auto"/>
              <w:rPr>
                <w:rFonts w:hint="eastAsia" w:ascii="宋体" w:hAnsi="宋体" w:eastAsia="宋体" w:cs="宋体"/>
                <w:sz w:val="21"/>
                <w:szCs w:val="21"/>
              </w:rPr>
            </w:pPr>
            <w:r>
              <w:rPr>
                <w:rFonts w:hint="eastAsia" w:ascii="宋体" w:hAnsi="宋体" w:eastAsia="宋体" w:cs="宋体"/>
                <w:sz w:val="21"/>
                <w:szCs w:val="21"/>
              </w:rPr>
              <w:t>4.具有云视频分析引擎类相关计算机软件著作权登记证书或专利证书。</w:t>
            </w:r>
          </w:p>
          <w:p w14:paraId="3F17E8AF">
            <w:pPr>
              <w:spacing w:line="360" w:lineRule="auto"/>
              <w:rPr>
                <w:rFonts w:hint="eastAsia" w:ascii="宋体" w:hAnsi="宋体" w:eastAsia="宋体" w:cs="宋体"/>
                <w:sz w:val="21"/>
                <w:szCs w:val="21"/>
              </w:rPr>
            </w:pPr>
            <w:r>
              <w:rPr>
                <w:rFonts w:hint="eastAsia" w:ascii="宋体" w:hAnsi="宋体" w:eastAsia="宋体" w:cs="宋体"/>
                <w:sz w:val="21"/>
                <w:szCs w:val="21"/>
              </w:rPr>
              <w:t>5.具有智能运维平台类相关计算机软件著作权登记证书或专利证书。</w:t>
            </w:r>
          </w:p>
          <w:p w14:paraId="0AE9D7E1">
            <w:pPr>
              <w:spacing w:line="360" w:lineRule="auto"/>
              <w:rPr>
                <w:rFonts w:hint="eastAsia" w:ascii="宋体" w:hAnsi="宋体" w:eastAsia="宋体" w:cs="宋体"/>
                <w:bCs/>
                <w:sz w:val="21"/>
                <w:szCs w:val="21"/>
              </w:rPr>
            </w:pPr>
            <w:r>
              <w:rPr>
                <w:rFonts w:hint="eastAsia" w:ascii="宋体" w:hAnsi="宋体" w:eastAsia="宋体" w:cs="宋体"/>
                <w:bCs/>
                <w:sz w:val="21"/>
                <w:szCs w:val="21"/>
              </w:rPr>
              <w:t>提供任意一项得20分，最高得100分，未提供或其他情况不得分。</w:t>
            </w:r>
          </w:p>
          <w:p w14:paraId="36D7F653">
            <w:pPr>
              <w:rPr>
                <w:rFonts w:hint="eastAsia" w:ascii="宋体" w:hAnsi="宋体" w:eastAsia="宋体" w:cs="宋体"/>
                <w:bCs/>
                <w:sz w:val="21"/>
                <w:szCs w:val="21"/>
              </w:rPr>
            </w:pPr>
            <w:r>
              <w:rPr>
                <w:rFonts w:hint="eastAsia" w:ascii="宋体" w:hAnsi="宋体" w:eastAsia="宋体" w:cs="宋体"/>
                <w:b/>
                <w:bCs/>
                <w:sz w:val="21"/>
                <w:szCs w:val="21"/>
              </w:rPr>
              <w:t>（投标人提供的计算机软件著作权登记证书名称或专利证书名称与招标文件要求不必完全一致，用途一致或相近即可）</w:t>
            </w:r>
          </w:p>
          <w:p w14:paraId="0DA9B9D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评审标准：</w:t>
            </w:r>
          </w:p>
          <w:p w14:paraId="6366A977">
            <w:pPr>
              <w:widowControl/>
              <w:numPr>
                <w:ilvl w:val="0"/>
                <w:numId w:val="1"/>
              </w:numPr>
              <w:spacing w:line="360" w:lineRule="auto"/>
              <w:jc w:val="left"/>
              <w:rPr>
                <w:rFonts w:hint="eastAsia" w:ascii="宋体" w:hAnsi="宋体" w:eastAsia="宋体" w:cs="宋体"/>
                <w:sz w:val="21"/>
                <w:szCs w:val="21"/>
              </w:rPr>
            </w:pPr>
            <w:r>
              <w:rPr>
                <w:rFonts w:hint="eastAsia" w:ascii="宋体" w:hAnsi="宋体" w:eastAsia="宋体" w:cs="宋体"/>
                <w:sz w:val="21"/>
                <w:szCs w:val="21"/>
              </w:rPr>
              <w:t>提供国家版权部门或国家知识产权部门颁发的</w:t>
            </w:r>
            <w:r>
              <w:rPr>
                <w:rFonts w:hint="eastAsia" w:ascii="宋体" w:hAnsi="宋体" w:eastAsia="宋体" w:cs="宋体"/>
                <w:bCs/>
                <w:sz w:val="21"/>
                <w:szCs w:val="21"/>
              </w:rPr>
              <w:t>有效</w:t>
            </w:r>
            <w:r>
              <w:rPr>
                <w:rFonts w:hint="eastAsia" w:ascii="宋体" w:hAnsi="宋体" w:eastAsia="宋体" w:cs="宋体"/>
                <w:sz w:val="21"/>
                <w:szCs w:val="21"/>
              </w:rPr>
              <w:t xml:space="preserve">证书扫描件（知识产权人或专利权人需为投标人，如投标人为分公司或分支机构，可提供总公司相应证书。证书单位名称需与投标人名称或其总公司名称一致，否则不得分）； </w:t>
            </w:r>
          </w:p>
          <w:p w14:paraId="32A21973">
            <w:pPr>
              <w:spacing w:line="360" w:lineRule="auto"/>
              <w:rPr>
                <w:rFonts w:hint="eastAsia" w:ascii="宋体" w:hAnsi="宋体" w:eastAsia="宋体" w:cs="宋体"/>
                <w:b/>
                <w:bCs/>
                <w:sz w:val="21"/>
                <w:szCs w:val="21"/>
              </w:rPr>
            </w:pPr>
            <w:r>
              <w:rPr>
                <w:rFonts w:hint="eastAsia" w:ascii="宋体" w:hAnsi="宋体" w:eastAsia="宋体" w:cs="宋体"/>
                <w:sz w:val="21"/>
                <w:szCs w:val="21"/>
              </w:rPr>
              <w:t>2.</w:t>
            </w:r>
            <w:r>
              <w:rPr>
                <w:rFonts w:hint="eastAsia" w:ascii="宋体" w:hAnsi="宋体" w:eastAsia="宋体" w:cs="宋体"/>
                <w:bCs/>
                <w:sz w:val="21"/>
                <w:szCs w:val="21"/>
              </w:rPr>
              <w:t>未提供或未按要求提供或提供的不清晰导致评审委员会无法判断的，不得分。</w:t>
            </w:r>
            <w:bookmarkEnd w:id="1"/>
          </w:p>
        </w:tc>
      </w:tr>
      <w:tr w14:paraId="731F0D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blCellSpacing w:w="0" w:type="dxa"/>
          <w:jc w:val="center"/>
        </w:trPr>
        <w:tc>
          <w:tcPr>
            <w:tcW w:w="497"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F8F56C7">
            <w:pPr>
              <w:spacing w:line="360" w:lineRule="auto"/>
              <w:jc w:val="center"/>
              <w:rPr>
                <w:rFonts w:hint="eastAsia" w:ascii="宋体" w:hAnsi="宋体" w:eastAsia="宋体" w:cs="宋体"/>
                <w:b/>
                <w:bCs/>
                <w:sz w:val="21"/>
                <w:szCs w:val="21"/>
              </w:rPr>
            </w:pPr>
          </w:p>
        </w:tc>
        <w:tc>
          <w:tcPr>
            <w:tcW w:w="47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2CB0C4E">
            <w:pPr>
              <w:wordWrap w:val="0"/>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6</w:t>
            </w:r>
          </w:p>
        </w:tc>
        <w:tc>
          <w:tcPr>
            <w:tcW w:w="1077"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EAEFE77">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诚信情况</w:t>
            </w:r>
          </w:p>
        </w:tc>
        <w:tc>
          <w:tcPr>
            <w:tcW w:w="51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28019FE9">
            <w:pPr>
              <w:wordWrap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5</w:t>
            </w:r>
          </w:p>
        </w:tc>
        <w:tc>
          <w:tcPr>
            <w:tcW w:w="2439" w:type="pct"/>
            <w:tcBorders>
              <w:top w:val="single" w:color="000000" w:sz="8" w:space="0"/>
              <w:left w:val="single" w:color="000000" w:sz="8" w:space="0"/>
              <w:bottom w:val="single" w:color="000000" w:sz="8" w:space="0"/>
              <w:right w:val="single" w:color="000000" w:sz="8" w:space="0"/>
            </w:tcBorders>
            <w:shd w:val="clear" w:color="auto" w:fill="auto"/>
          </w:tcPr>
          <w:p w14:paraId="0AC048A6">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考察内容：</w:t>
            </w:r>
          </w:p>
          <w:p w14:paraId="6E4B4B01">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投标人承诺在参与自行采购活动中未出现诚信或安全相关问题且不在相关主管部门处理措施实施期限内的本项得100分，否则不得分。</w:t>
            </w:r>
          </w:p>
          <w:p w14:paraId="6D7DE82A">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证明文件：</w:t>
            </w:r>
          </w:p>
          <w:p w14:paraId="301241C5">
            <w:pPr>
              <w:wordWrap w:val="0"/>
              <w:spacing w:line="360" w:lineRule="auto"/>
              <w:rPr>
                <w:rFonts w:hint="eastAsia" w:ascii="宋体" w:hAnsi="宋体" w:eastAsia="宋体" w:cs="宋体"/>
                <w:sz w:val="21"/>
                <w:szCs w:val="21"/>
              </w:rPr>
            </w:pPr>
            <w:r>
              <w:rPr>
                <w:rFonts w:hint="eastAsia" w:ascii="宋体" w:hAnsi="宋体" w:eastAsia="宋体" w:cs="宋体"/>
                <w:sz w:val="21"/>
                <w:szCs w:val="21"/>
              </w:rPr>
              <w:t>投标人须提供的《诚信承诺函》，按采购文件格式要求提供，不提供或提供的不符合要求或提供不清晰导致专家无法判断的均不得分。如被认定提供的陈述与事实不符受到行政处罚的，依法追究其责任。</w:t>
            </w:r>
          </w:p>
        </w:tc>
      </w:tr>
    </w:tbl>
    <w:p w14:paraId="4A378520">
      <w:pPr>
        <w:widowControl w:val="0"/>
        <w:jc w:val="both"/>
        <w:rPr>
          <w:rFonts w:ascii="Calibri" w:hAnsi="Calibri" w:eastAsia="宋体"/>
          <w:b/>
          <w:kern w:val="2"/>
          <w:sz w:val="84"/>
          <w:szCs w:val="84"/>
          <w:lang w:eastAsia="zh-CN"/>
        </w:rPr>
      </w:pPr>
    </w:p>
    <w:p w14:paraId="714C47D9">
      <w:pPr>
        <w:widowControl w:val="0"/>
        <w:jc w:val="both"/>
        <w:rPr>
          <w:rFonts w:ascii="Calibri" w:hAnsi="Calibri" w:eastAsia="宋体"/>
          <w:b/>
          <w:kern w:val="2"/>
          <w:sz w:val="84"/>
          <w:szCs w:val="84"/>
          <w:lang w:eastAsia="zh-CN"/>
        </w:rPr>
      </w:pPr>
    </w:p>
    <w:p w14:paraId="2228CF0A">
      <w:pPr>
        <w:widowControl w:val="0"/>
        <w:jc w:val="both"/>
        <w:rPr>
          <w:rFonts w:ascii="Calibri" w:hAnsi="Calibri" w:eastAsia="宋体"/>
          <w:b/>
          <w:kern w:val="2"/>
          <w:sz w:val="84"/>
          <w:szCs w:val="84"/>
          <w:lang w:eastAsia="zh-CN"/>
        </w:rPr>
      </w:pPr>
    </w:p>
    <w:p w14:paraId="79A3E43B">
      <w:pPr>
        <w:widowControl w:val="0"/>
        <w:jc w:val="both"/>
        <w:rPr>
          <w:rFonts w:ascii="Calibri" w:hAnsi="Calibri" w:eastAsia="宋体"/>
          <w:b/>
          <w:kern w:val="2"/>
          <w:sz w:val="84"/>
          <w:szCs w:val="84"/>
          <w:lang w:eastAsia="zh-CN"/>
        </w:rPr>
      </w:pPr>
    </w:p>
    <w:p w14:paraId="7ABEA0B6">
      <w:pPr>
        <w:widowControl w:val="0"/>
        <w:jc w:val="both"/>
        <w:rPr>
          <w:rFonts w:ascii="Calibri" w:hAnsi="Calibri" w:eastAsia="宋体"/>
          <w:b/>
          <w:kern w:val="2"/>
          <w:sz w:val="84"/>
          <w:szCs w:val="84"/>
          <w:lang w:eastAsia="zh-CN"/>
        </w:rPr>
      </w:pPr>
    </w:p>
    <w:p w14:paraId="7C4F1A1C">
      <w:pPr>
        <w:widowControl w:val="0"/>
        <w:jc w:val="both"/>
        <w:rPr>
          <w:rFonts w:ascii="Calibri" w:hAnsi="Calibri" w:eastAsia="宋体"/>
          <w:b/>
          <w:kern w:val="2"/>
          <w:sz w:val="84"/>
          <w:szCs w:val="84"/>
          <w:lang w:eastAsia="zh-CN"/>
        </w:rPr>
      </w:pPr>
    </w:p>
    <w:p w14:paraId="2FC630F5">
      <w:pPr>
        <w:widowControl w:val="0"/>
        <w:jc w:val="both"/>
        <w:rPr>
          <w:rFonts w:ascii="Calibri" w:hAnsi="Calibri" w:eastAsia="宋体"/>
          <w:b/>
          <w:kern w:val="2"/>
          <w:sz w:val="84"/>
          <w:szCs w:val="84"/>
          <w:lang w:eastAsia="zh-CN"/>
        </w:rPr>
      </w:pPr>
    </w:p>
    <w:p w14:paraId="480457B2">
      <w:pPr>
        <w:widowControl w:val="0"/>
        <w:jc w:val="both"/>
        <w:rPr>
          <w:rFonts w:ascii="Calibri" w:hAnsi="Calibri" w:eastAsia="宋体"/>
          <w:b/>
          <w:kern w:val="2"/>
          <w:sz w:val="84"/>
          <w:szCs w:val="84"/>
          <w:lang w:eastAsia="zh-CN"/>
        </w:rPr>
      </w:pPr>
    </w:p>
    <w:p w14:paraId="717C365E">
      <w:pPr>
        <w:spacing w:line="360" w:lineRule="auto"/>
        <w:rPr>
          <w:rFonts w:ascii="Calibri" w:hAnsi="Calibri" w:eastAsia="宋体"/>
          <w:b/>
          <w:bCs/>
          <w:kern w:val="2"/>
          <w:sz w:val="84"/>
          <w:szCs w:val="84"/>
          <w:lang w:eastAsia="zh-CN"/>
        </w:rPr>
      </w:pPr>
    </w:p>
    <w:p w14:paraId="23B6DDE2">
      <w:pPr>
        <w:spacing w:after="120" w:line="480" w:lineRule="auto"/>
        <w:rPr>
          <w:rFonts w:ascii="Calibri" w:hAnsi="Calibri" w:eastAsia="宋体"/>
          <w:b/>
          <w:kern w:val="2"/>
          <w:sz w:val="84"/>
          <w:szCs w:val="84"/>
          <w:lang w:eastAsia="zh-CN"/>
        </w:rPr>
      </w:pPr>
    </w:p>
    <w:p w14:paraId="3AFE4F9D">
      <w:pPr>
        <w:spacing w:after="120" w:line="480" w:lineRule="auto"/>
        <w:rPr>
          <w:rFonts w:ascii="Calibri" w:hAnsi="Calibri" w:eastAsia="宋体"/>
          <w:b/>
          <w:kern w:val="2"/>
          <w:sz w:val="84"/>
          <w:szCs w:val="84"/>
          <w:lang w:eastAsia="zh-CN"/>
        </w:rPr>
      </w:pPr>
    </w:p>
    <w:p w14:paraId="4030D7FF">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自行采购</w:t>
      </w:r>
    </w:p>
    <w:p w14:paraId="35B38DDB">
      <w:pPr>
        <w:widowControl w:val="0"/>
        <w:jc w:val="center"/>
        <w:rPr>
          <w:rFonts w:ascii="Calibri" w:hAnsi="Calibri" w:eastAsia="宋体"/>
          <w:b/>
          <w:kern w:val="2"/>
          <w:sz w:val="120"/>
          <w:szCs w:val="120"/>
          <w:lang w:eastAsia="zh-CN"/>
        </w:rPr>
      </w:pPr>
      <w:r>
        <w:rPr>
          <w:rFonts w:hint="eastAsia" w:ascii="Calibri" w:hAnsi="Calibri" w:eastAsia="宋体" w:cstheme="minorBidi"/>
          <w:b/>
          <w:kern w:val="2"/>
          <w:sz w:val="120"/>
          <w:szCs w:val="120"/>
          <w:lang w:eastAsia="zh-CN"/>
        </w:rPr>
        <w:t>招标文件</w:t>
      </w:r>
    </w:p>
    <w:p w14:paraId="47238408">
      <w:pPr>
        <w:widowControl w:val="0"/>
        <w:jc w:val="center"/>
        <w:rPr>
          <w:rFonts w:ascii="Calibri" w:hAnsi="Calibri" w:eastAsia="宋体"/>
          <w:b/>
          <w:kern w:val="2"/>
          <w:sz w:val="52"/>
          <w:szCs w:val="52"/>
          <w:lang w:eastAsia="zh-CN"/>
        </w:rPr>
      </w:pPr>
      <w:r>
        <w:rPr>
          <w:rFonts w:hint="eastAsia" w:ascii="Calibri" w:hAnsi="Calibri" w:eastAsia="宋体" w:cstheme="minorBidi"/>
          <w:b/>
          <w:kern w:val="2"/>
          <w:sz w:val="52"/>
          <w:szCs w:val="52"/>
          <w:lang w:eastAsia="zh-CN"/>
        </w:rPr>
        <w:t>（货物类）</w:t>
      </w:r>
    </w:p>
    <w:p w14:paraId="47AFFD2F">
      <w:pPr>
        <w:widowControl w:val="0"/>
        <w:jc w:val="both"/>
        <w:rPr>
          <w:rFonts w:ascii="Calibri" w:hAnsi="Calibri" w:eastAsia="宋体"/>
          <w:kern w:val="2"/>
          <w:sz w:val="21"/>
          <w:szCs w:val="22"/>
          <w:lang w:eastAsia="zh-CN"/>
        </w:rPr>
      </w:pPr>
    </w:p>
    <w:p w14:paraId="2C8EB95C">
      <w:pPr>
        <w:widowControl w:val="0"/>
        <w:jc w:val="both"/>
        <w:rPr>
          <w:rFonts w:ascii="Calibri" w:hAnsi="Calibri" w:eastAsia="宋体"/>
          <w:kern w:val="2"/>
          <w:sz w:val="21"/>
          <w:szCs w:val="22"/>
          <w:lang w:eastAsia="zh-CN"/>
        </w:rPr>
      </w:pPr>
    </w:p>
    <w:p w14:paraId="7590FB0E">
      <w:pPr>
        <w:widowControl w:val="0"/>
        <w:jc w:val="both"/>
        <w:rPr>
          <w:rFonts w:ascii="Calibri" w:hAnsi="Calibri" w:eastAsia="宋体"/>
          <w:kern w:val="2"/>
          <w:sz w:val="21"/>
          <w:szCs w:val="22"/>
          <w:lang w:eastAsia="zh-CN"/>
        </w:rPr>
      </w:pPr>
    </w:p>
    <w:p w14:paraId="200E1D8C">
      <w:pPr>
        <w:widowControl w:val="0"/>
        <w:jc w:val="both"/>
        <w:rPr>
          <w:rFonts w:ascii="Calibri" w:hAnsi="Calibri" w:eastAsia="宋体"/>
          <w:kern w:val="2"/>
          <w:sz w:val="21"/>
          <w:szCs w:val="22"/>
          <w:lang w:eastAsia="zh-CN"/>
        </w:rPr>
      </w:pPr>
    </w:p>
    <w:p w14:paraId="56299FFC">
      <w:pPr>
        <w:widowControl w:val="0"/>
        <w:jc w:val="both"/>
        <w:rPr>
          <w:rFonts w:ascii="Calibri" w:hAnsi="Calibri" w:eastAsia="宋体"/>
          <w:kern w:val="2"/>
          <w:sz w:val="21"/>
          <w:szCs w:val="22"/>
          <w:lang w:eastAsia="zh-CN"/>
        </w:rPr>
      </w:pPr>
    </w:p>
    <w:p w14:paraId="2BF6E6F2">
      <w:pPr>
        <w:widowControl w:val="0"/>
        <w:jc w:val="both"/>
        <w:rPr>
          <w:rFonts w:ascii="Calibri" w:hAnsi="Calibri" w:eastAsia="宋体"/>
          <w:kern w:val="2"/>
          <w:sz w:val="21"/>
          <w:szCs w:val="22"/>
          <w:lang w:eastAsia="zh-CN"/>
        </w:rPr>
      </w:pPr>
    </w:p>
    <w:p w14:paraId="3CD83606">
      <w:pPr>
        <w:widowControl w:val="0"/>
        <w:jc w:val="both"/>
        <w:rPr>
          <w:rFonts w:ascii="Calibri" w:hAnsi="Calibri" w:eastAsia="宋体"/>
          <w:kern w:val="2"/>
          <w:sz w:val="21"/>
          <w:szCs w:val="22"/>
          <w:lang w:eastAsia="zh-CN"/>
        </w:rPr>
      </w:pPr>
    </w:p>
    <w:p w14:paraId="6FE06454">
      <w:pPr>
        <w:widowControl w:val="0"/>
        <w:jc w:val="both"/>
        <w:rPr>
          <w:rFonts w:ascii="Calibri" w:hAnsi="Calibri" w:eastAsia="宋体"/>
          <w:kern w:val="2"/>
          <w:sz w:val="21"/>
          <w:szCs w:val="22"/>
          <w:lang w:eastAsia="zh-CN"/>
        </w:rPr>
      </w:pPr>
    </w:p>
    <w:p w14:paraId="54E50D27">
      <w:pPr>
        <w:widowControl w:val="0"/>
        <w:jc w:val="both"/>
        <w:rPr>
          <w:rFonts w:ascii="Calibri" w:hAnsi="Calibri" w:eastAsia="宋体"/>
          <w:kern w:val="2"/>
          <w:sz w:val="21"/>
          <w:szCs w:val="22"/>
          <w:lang w:eastAsia="zh-CN"/>
        </w:rPr>
      </w:pPr>
    </w:p>
    <w:p w14:paraId="13FE57F1">
      <w:pPr>
        <w:widowControl w:val="0"/>
        <w:jc w:val="both"/>
        <w:rPr>
          <w:rFonts w:ascii="Calibri" w:hAnsi="Calibri" w:eastAsia="宋体"/>
          <w:kern w:val="2"/>
          <w:sz w:val="21"/>
          <w:szCs w:val="22"/>
          <w:lang w:eastAsia="zh-CN"/>
        </w:rPr>
      </w:pPr>
    </w:p>
    <w:p w14:paraId="6219D908">
      <w:pPr>
        <w:widowControl w:val="0"/>
        <w:jc w:val="both"/>
        <w:rPr>
          <w:rFonts w:ascii="Calibri" w:hAnsi="Calibri" w:eastAsia="宋体"/>
          <w:kern w:val="2"/>
          <w:sz w:val="21"/>
          <w:szCs w:val="22"/>
          <w:lang w:eastAsia="zh-CN"/>
        </w:rPr>
      </w:pPr>
    </w:p>
    <w:p w14:paraId="058FE971">
      <w:pPr>
        <w:widowControl w:val="0"/>
        <w:jc w:val="both"/>
        <w:rPr>
          <w:rFonts w:ascii="Calibri" w:hAnsi="Calibri" w:eastAsia="宋体"/>
          <w:kern w:val="2"/>
          <w:sz w:val="21"/>
          <w:szCs w:val="22"/>
          <w:lang w:eastAsia="zh-CN"/>
        </w:rPr>
      </w:pPr>
    </w:p>
    <w:p w14:paraId="59E99403">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深圳市千里招标代理有限公司</w:t>
      </w:r>
    </w:p>
    <w:p w14:paraId="61254865">
      <w:pPr>
        <w:widowControl w:val="0"/>
        <w:jc w:val="center"/>
        <w:rPr>
          <w:rFonts w:ascii="Calibri" w:hAnsi="Calibri" w:eastAsia="宋体"/>
          <w:b/>
          <w:kern w:val="2"/>
          <w:sz w:val="44"/>
          <w:szCs w:val="44"/>
          <w:lang w:eastAsia="zh-CN"/>
        </w:rPr>
      </w:pPr>
      <w:r>
        <w:rPr>
          <w:rFonts w:hint="eastAsia" w:ascii="宋体" w:hAnsi="宋体" w:eastAsia="宋体" w:cstheme="minorBidi"/>
          <w:b/>
          <w:kern w:val="2"/>
          <w:sz w:val="44"/>
          <w:szCs w:val="44"/>
          <w:lang w:eastAsia="zh-CN"/>
        </w:rPr>
        <w:t>（</w:t>
      </w:r>
      <w:r>
        <w:rPr>
          <w:rFonts w:ascii="Calibri" w:hAnsi="Calibri" w:eastAsia="宋体" w:cstheme="minorBidi"/>
          <w:b/>
          <w:kern w:val="2"/>
          <w:sz w:val="44"/>
          <w:szCs w:val="44"/>
          <w:lang w:eastAsia="zh-CN"/>
        </w:rPr>
        <w:t>20</w:t>
      </w:r>
      <w:r>
        <w:rPr>
          <w:rFonts w:hint="eastAsia" w:ascii="Calibri" w:hAnsi="Calibri" w:eastAsia="宋体" w:cstheme="minorBidi"/>
          <w:b/>
          <w:kern w:val="2"/>
          <w:sz w:val="44"/>
          <w:szCs w:val="44"/>
          <w:lang w:eastAsia="zh-CN"/>
        </w:rPr>
        <w:t>24</w:t>
      </w:r>
      <w:r>
        <w:rPr>
          <w:rFonts w:hint="eastAsia" w:ascii="宋体" w:hAnsi="宋体" w:eastAsia="宋体" w:cstheme="minorBidi"/>
          <w:b/>
          <w:kern w:val="2"/>
          <w:sz w:val="44"/>
          <w:szCs w:val="44"/>
          <w:lang w:eastAsia="zh-CN"/>
        </w:rPr>
        <w:t>）</w:t>
      </w:r>
    </w:p>
    <w:p w14:paraId="73DE46CF">
      <w:pPr>
        <w:widowControl w:val="0"/>
        <w:ind w:firstLine="6786" w:firstLineChars="1300"/>
        <w:jc w:val="center"/>
        <w:rPr>
          <w:rFonts w:ascii="Calibri" w:hAnsi="Calibri" w:eastAsia="宋体"/>
          <w:bCs/>
          <w:color w:val="FF0000"/>
          <w:kern w:val="2"/>
          <w:sz w:val="21"/>
          <w:szCs w:val="22"/>
          <w:lang w:eastAsia="zh-CN"/>
        </w:rPr>
      </w:pPr>
      <w:r>
        <w:rPr>
          <w:rFonts w:hint="eastAsia" w:ascii="Calibri" w:hAnsi="Calibri" w:eastAsia="宋体" w:cstheme="minorBidi"/>
          <w:b/>
          <w:color w:val="FF0000"/>
          <w:kern w:val="2"/>
          <w:sz w:val="52"/>
          <w:szCs w:val="52"/>
          <w:lang w:eastAsia="zh-CN"/>
        </w:rPr>
        <w:br w:type="page"/>
      </w:r>
    </w:p>
    <w:p w14:paraId="27BDBD00">
      <w:pPr>
        <w:widowControl w:val="0"/>
        <w:ind w:firstLine="3654" w:firstLineChars="1300"/>
        <w:jc w:val="both"/>
        <w:rPr>
          <w:rFonts w:ascii="宋体" w:hAnsi="宋体" w:eastAsia="宋体"/>
          <w:color w:val="FF0000"/>
          <w:kern w:val="2"/>
          <w:sz w:val="21"/>
          <w:szCs w:val="21"/>
          <w:lang w:eastAsia="zh-CN"/>
        </w:rPr>
      </w:pPr>
      <w:bookmarkStart w:id="2" w:name="_Hlk73564573"/>
      <w:r>
        <w:rPr>
          <w:rFonts w:hint="eastAsia" w:ascii="宋体" w:hAnsi="宋体" w:eastAsia="黑体" w:cstheme="minorBidi"/>
          <w:b/>
          <w:bCs/>
          <w:color w:val="FF0000"/>
          <w:kern w:val="44"/>
          <w:sz w:val="28"/>
          <w:szCs w:val="44"/>
          <w:lang w:eastAsia="zh-CN"/>
        </w:rPr>
        <w:t>警示条款</w:t>
      </w:r>
    </w:p>
    <w:p w14:paraId="56E292F9">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w:t>
      </w:r>
      <w:r>
        <w:rPr>
          <w:rFonts w:hint="eastAsia" w:ascii="宋体" w:hAnsi="宋体" w:eastAsia="宋体" w:cstheme="minorBidi"/>
          <w:b/>
          <w:bCs/>
          <w:color w:val="FF0000"/>
          <w:kern w:val="2"/>
          <w:sz w:val="20"/>
          <w:szCs w:val="20"/>
          <w:lang w:eastAsia="zh-CN"/>
        </w:rPr>
        <w:t>《深圳经济特区政府采购条例》第五十七条</w:t>
      </w:r>
      <w:r>
        <w:rPr>
          <w:rFonts w:hint="eastAsia" w:ascii="宋体" w:hAnsi="宋体" w:eastAsia="宋体" w:cstheme="minorBidi"/>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36F1B69F">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（一）在采购活动中应当回避而未回避的；</w:t>
      </w:r>
    </w:p>
    <w:p w14:paraId="3DF734D3">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（二）未按本条例规定签订、履行采购合同，造成严重后果的；</w:t>
      </w:r>
    </w:p>
    <w:p w14:paraId="32B90B3C">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（三）隐瞒真实情况，提供虚假资料的；</w:t>
      </w:r>
    </w:p>
    <w:p w14:paraId="14DAA5FD">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（四）以非法手段排斥其他供应商参与竞争的；</w:t>
      </w:r>
    </w:p>
    <w:p w14:paraId="74DCE319">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（五）与其他采购参加人串通投标的；</w:t>
      </w:r>
    </w:p>
    <w:p w14:paraId="07173127">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（六）恶意投诉的；</w:t>
      </w:r>
    </w:p>
    <w:p w14:paraId="31B61997">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（七）向采购项目相关人行贿或者提供其他不当利益的；</w:t>
      </w:r>
    </w:p>
    <w:p w14:paraId="5BEAB6B8">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（八）阻碍、抗拒主管部门监督检查的；</w:t>
      </w:r>
    </w:p>
    <w:p w14:paraId="4B488957">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（九）其他违反本条例规定的行为。</w:t>
      </w:r>
    </w:p>
    <w:p w14:paraId="5B2E93A7">
      <w:pPr>
        <w:widowControl w:val="0"/>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二、《深圳经济特区政府采购条例实施细则》第七十五条</w:t>
      </w:r>
      <w:r>
        <w:rPr>
          <w:rFonts w:hint="eastAsia" w:ascii="宋体" w:hAnsi="宋体" w:eastAsia="宋体" w:cstheme="minorBidi"/>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ABED337">
      <w:pPr>
        <w:widowControl w:val="0"/>
        <w:ind w:firstLine="402" w:firstLineChars="200"/>
        <w:jc w:val="both"/>
        <w:rPr>
          <w:rFonts w:ascii="宋体" w:hAnsi="宋体" w:eastAsia="宋体"/>
          <w:color w:val="FF0000"/>
          <w:kern w:val="2"/>
          <w:sz w:val="20"/>
          <w:szCs w:val="20"/>
          <w:lang w:eastAsia="zh-CN"/>
        </w:rPr>
      </w:pPr>
      <w:r>
        <w:rPr>
          <w:rFonts w:hint="eastAsia" w:ascii="宋体" w:hAnsi="宋体" w:eastAsia="宋体" w:cstheme="minorBidi"/>
          <w:b/>
          <w:bCs/>
          <w:color w:val="FF0000"/>
          <w:kern w:val="2"/>
          <w:sz w:val="20"/>
          <w:szCs w:val="20"/>
          <w:lang w:eastAsia="zh-CN"/>
        </w:rPr>
        <w:t>三、《深圳经济特区政府采购条例实施细则》第七十七条</w:t>
      </w:r>
      <w:r>
        <w:rPr>
          <w:rFonts w:hint="eastAsia" w:ascii="宋体" w:hAnsi="宋体" w:eastAsia="宋体" w:cstheme="minorBidi"/>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0E2BD72">
      <w:pPr>
        <w:widowControl w:val="0"/>
        <w:ind w:firstLine="400" w:firstLineChars="200"/>
        <w:jc w:val="both"/>
        <w:rPr>
          <w:rFonts w:ascii="宋体" w:hAnsi="宋体" w:eastAsia="宋体"/>
          <w:color w:val="FF0000"/>
          <w:kern w:val="2"/>
          <w:sz w:val="20"/>
          <w:szCs w:val="20"/>
          <w:lang w:eastAsia="zh-CN"/>
        </w:rPr>
      </w:pPr>
      <w:r>
        <w:rPr>
          <w:rFonts w:hint="eastAsia" w:ascii="宋体" w:hAnsi="宋体" w:eastAsia="宋体" w:cstheme="minorBidi"/>
          <w:color w:val="FF0000"/>
          <w:kern w:val="2"/>
          <w:sz w:val="20"/>
          <w:szCs w:val="20"/>
          <w:lang w:eastAsia="zh-CN"/>
        </w:rPr>
        <w:t>投标供应商不能提供项目负责人或者主要技术人员的劳动合同、社会保险等劳动关系证明材料的，视为存在前款第（三）项规定的情形。</w:t>
      </w:r>
    </w:p>
    <w:bookmarkEnd w:id="2"/>
    <w:p w14:paraId="0D43C4FE">
      <w:pPr>
        <w:widowControl w:val="0"/>
        <w:ind w:firstLine="422" w:firstLineChars="200"/>
        <w:jc w:val="both"/>
        <w:rPr>
          <w:rFonts w:ascii="Calibri" w:hAnsi="Calibri" w:eastAsia="宋体"/>
          <w:b/>
          <w:color w:val="FF0000"/>
          <w:kern w:val="2"/>
          <w:sz w:val="21"/>
          <w:szCs w:val="22"/>
          <w:lang w:eastAsia="zh-CN"/>
        </w:rPr>
      </w:pPr>
      <w:r>
        <w:rPr>
          <w:rFonts w:hint="eastAsia" w:ascii="Calibri" w:hAnsi="Calibri" w:eastAsia="宋体" w:cstheme="minorBidi"/>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06B1376A">
      <w:pPr>
        <w:widowControl w:val="0"/>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3C64B724">
      <w:pPr>
        <w:widowControl w:val="0"/>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14:paraId="3BE8D814">
      <w:pPr>
        <w:widowControl w:val="0"/>
        <w:ind w:firstLine="400" w:firstLineChars="200"/>
        <w:jc w:val="both"/>
        <w:rPr>
          <w:rFonts w:ascii="Calibri" w:hAnsi="Calibri" w:eastAsia="宋体"/>
          <w:bCs/>
          <w:color w:val="FF0000"/>
          <w:kern w:val="2"/>
          <w:sz w:val="20"/>
          <w:szCs w:val="20"/>
          <w:lang w:eastAsia="zh-CN"/>
        </w:rPr>
      </w:pPr>
      <w:r>
        <w:rPr>
          <w:rFonts w:hint="eastAsia" w:ascii="Calibri" w:hAnsi="Calibri" w:eastAsia="宋体" w:cstheme="minorBidi"/>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theme="minorBidi"/>
          <w:color w:val="FF0000"/>
          <w:kern w:val="2"/>
          <w:sz w:val="20"/>
          <w:szCs w:val="20"/>
          <w:lang w:eastAsia="zh-CN"/>
        </w:rPr>
        <w:t>取消参与本市政府采购资格</w:t>
      </w:r>
      <w:r>
        <w:rPr>
          <w:rFonts w:hint="eastAsia" w:ascii="Calibri" w:hAnsi="宋体" w:eastAsia="宋体" w:cstheme="minorBidi"/>
          <w:color w:val="FF0000"/>
          <w:kern w:val="2"/>
          <w:sz w:val="20"/>
          <w:szCs w:val="20"/>
          <w:lang w:eastAsia="zh-CN"/>
        </w:rPr>
        <w:t>、</w:t>
      </w:r>
      <w:r>
        <w:rPr>
          <w:rFonts w:hint="eastAsia" w:ascii="宋体" w:hAnsi="宋体" w:eastAsia="宋体" w:cstheme="minorBidi"/>
          <w:color w:val="FF0000"/>
          <w:kern w:val="2"/>
          <w:sz w:val="20"/>
          <w:szCs w:val="20"/>
          <w:lang w:eastAsia="zh-CN"/>
        </w:rPr>
        <w:t>依法吊销其营业</w:t>
      </w:r>
      <w:r>
        <w:rPr>
          <w:rFonts w:hint="eastAsia" w:ascii="Calibri" w:hAnsi="宋体" w:eastAsia="宋体" w:cstheme="minorBidi"/>
          <w:color w:val="FF0000"/>
          <w:kern w:val="2"/>
          <w:sz w:val="20"/>
          <w:szCs w:val="20"/>
          <w:lang w:eastAsia="zh-CN"/>
        </w:rPr>
        <w:t>执照等行政处罚，</w:t>
      </w:r>
      <w:r>
        <w:rPr>
          <w:rFonts w:hint="eastAsia" w:ascii="宋体" w:hAnsi="宋体" w:eastAsia="宋体" w:cstheme="minorBidi"/>
          <w:color w:val="FF0000"/>
          <w:kern w:val="2"/>
          <w:sz w:val="20"/>
          <w:szCs w:val="20"/>
          <w:lang w:eastAsia="zh-CN"/>
        </w:rPr>
        <w:t>构成犯罪的，依法追究刑事责任</w:t>
      </w:r>
      <w:r>
        <w:rPr>
          <w:rFonts w:hint="eastAsia" w:ascii="Calibri" w:hAnsi="Calibri" w:eastAsia="宋体" w:cstheme="minorBidi"/>
          <w:bCs/>
          <w:color w:val="FF0000"/>
          <w:kern w:val="2"/>
          <w:sz w:val="20"/>
          <w:szCs w:val="20"/>
          <w:lang w:eastAsia="zh-CN"/>
        </w:rPr>
        <w:t>，请各供应商独立编制、上传投标文件，妥善保管和使用电子秘钥。</w:t>
      </w:r>
    </w:p>
    <w:p w14:paraId="5B82349C">
      <w:pPr>
        <w:widowControl w:val="0"/>
        <w:snapToGrid w:val="0"/>
        <w:spacing w:line="360" w:lineRule="exact"/>
        <w:jc w:val="left"/>
        <w:rPr>
          <w:rFonts w:ascii="宋体" w:hAnsi="宋体" w:eastAsia="宋体" w:cs="宋体"/>
          <w:color w:val="000000"/>
          <w:lang w:eastAsia="zh-CN"/>
        </w:rPr>
      </w:pPr>
    </w:p>
    <w:p w14:paraId="4F2E8E27">
      <w:pPr>
        <w:widowControl w:val="0"/>
        <w:snapToGrid w:val="0"/>
        <w:spacing w:line="360" w:lineRule="exact"/>
        <w:jc w:val="left"/>
        <w:rPr>
          <w:rFonts w:ascii="宋体" w:hAnsi="宋体" w:eastAsia="宋体" w:cs="宋体"/>
          <w:color w:val="000000"/>
          <w:lang w:eastAsia="zh-CN"/>
        </w:rPr>
      </w:pPr>
    </w:p>
    <w:p w14:paraId="7D90116B">
      <w:pPr>
        <w:widowControl w:val="0"/>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目录</w:t>
      </w:r>
    </w:p>
    <w:p w14:paraId="68B41181">
      <w:pPr>
        <w:widowControl w:val="0"/>
        <w:spacing w:line="360" w:lineRule="auto"/>
        <w:jc w:val="both"/>
        <w:rPr>
          <w:rFonts w:ascii="Calibri" w:hAnsi="Calibri" w:eastAsia="宋体"/>
          <w:b/>
          <w:kern w:val="2"/>
          <w:lang w:eastAsia="zh-CN"/>
        </w:rPr>
      </w:pPr>
      <w:r>
        <w:rPr>
          <w:rFonts w:hint="eastAsia" w:ascii="Calibri" w:hAnsi="Calibri" w:eastAsia="宋体" w:cstheme="minorBidi"/>
          <w:b/>
          <w:kern w:val="2"/>
          <w:lang w:eastAsia="zh-CN"/>
        </w:rPr>
        <w:t>第一册专用条款</w:t>
      </w:r>
    </w:p>
    <w:p w14:paraId="4B915925">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ab/>
      </w:r>
      <w:r>
        <w:rPr>
          <w:rFonts w:hint="eastAsia" w:ascii="宋体" w:hAnsi="宋体" w:eastAsia="宋体" w:cstheme="minorBidi"/>
          <w:kern w:val="2"/>
          <w:sz w:val="21"/>
          <w:szCs w:val="21"/>
          <w:lang w:eastAsia="zh-CN"/>
        </w:rPr>
        <w:t>关键信息</w:t>
      </w:r>
    </w:p>
    <w:p w14:paraId="61EAF519">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第一章招标公告</w:t>
      </w:r>
    </w:p>
    <w:p w14:paraId="098D9927">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第二章对通用条款的补充内容及其他关键信息</w:t>
      </w:r>
    </w:p>
    <w:p w14:paraId="6B41AACA">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第三章用户需求书</w:t>
      </w:r>
    </w:p>
    <w:p w14:paraId="60DDBF56">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第四章投标文件组成要求及格式</w:t>
      </w:r>
    </w:p>
    <w:p w14:paraId="09DE6DC3">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第五章合同条款及格式</w:t>
      </w:r>
    </w:p>
    <w:p w14:paraId="2645C77D">
      <w:pPr>
        <w:widowControl w:val="0"/>
        <w:spacing w:line="360" w:lineRule="auto"/>
        <w:jc w:val="both"/>
        <w:rPr>
          <w:rFonts w:ascii="Calibri" w:hAnsi="Calibri" w:eastAsia="宋体"/>
          <w:b/>
          <w:kern w:val="2"/>
          <w:szCs w:val="22"/>
          <w:lang w:eastAsia="zh-CN"/>
        </w:rPr>
      </w:pPr>
    </w:p>
    <w:p w14:paraId="038013DC">
      <w:pPr>
        <w:widowControl w:val="0"/>
        <w:spacing w:line="360" w:lineRule="auto"/>
        <w:jc w:val="both"/>
        <w:rPr>
          <w:rFonts w:ascii="Calibri" w:hAnsi="Calibri" w:eastAsia="宋体"/>
          <w:b/>
          <w:kern w:val="2"/>
          <w:lang w:eastAsia="zh-CN"/>
        </w:rPr>
      </w:pPr>
      <w:r>
        <w:rPr>
          <w:rFonts w:hint="eastAsia" w:ascii="Calibri" w:hAnsi="Calibri" w:eastAsia="宋体" w:cstheme="minorBidi"/>
          <w:b/>
          <w:kern w:val="2"/>
          <w:lang w:eastAsia="zh-CN"/>
        </w:rPr>
        <w:t>第二册通用条款</w:t>
      </w:r>
    </w:p>
    <w:p w14:paraId="10BDD3D4">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第一章总则</w:t>
      </w:r>
    </w:p>
    <w:p w14:paraId="50C2484E">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第二章招标文件</w:t>
      </w:r>
    </w:p>
    <w:p w14:paraId="34F06F17">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第三章投标文件的编制</w:t>
      </w:r>
    </w:p>
    <w:p w14:paraId="792A651B">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第四章投标文件的递交</w:t>
      </w:r>
    </w:p>
    <w:p w14:paraId="0457C89A">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第五章开标</w:t>
      </w:r>
    </w:p>
    <w:p w14:paraId="2086E765">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第六章评审要求</w:t>
      </w:r>
    </w:p>
    <w:p w14:paraId="6180FBB1">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第七章评审程序及评审方法</w:t>
      </w:r>
    </w:p>
    <w:p w14:paraId="7ED4D17D">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第八章定标及公示</w:t>
      </w:r>
    </w:p>
    <w:p w14:paraId="1610E8F7">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第九章公开招标失败的后续处理</w:t>
      </w:r>
    </w:p>
    <w:p w14:paraId="4CA29B20">
      <w:pPr>
        <w:widowControl w:val="0"/>
        <w:spacing w:line="360" w:lineRule="auto"/>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第十章合同的授予与备案</w:t>
      </w:r>
    </w:p>
    <w:p w14:paraId="15EA138E">
      <w:pPr>
        <w:widowControl w:val="0"/>
        <w:spacing w:line="360" w:lineRule="auto"/>
        <w:ind w:firstLine="1050" w:firstLineChars="50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第十一章质疑处理</w:t>
      </w:r>
    </w:p>
    <w:p w14:paraId="04C57C39">
      <w:pPr>
        <w:widowControl w:val="0"/>
        <w:jc w:val="both"/>
        <w:rPr>
          <w:rFonts w:ascii="Calibri" w:hAnsi="Calibri" w:eastAsia="宋体"/>
          <w:kern w:val="2"/>
          <w:sz w:val="21"/>
          <w:szCs w:val="22"/>
          <w:lang w:eastAsia="zh-CN"/>
        </w:rPr>
      </w:pPr>
    </w:p>
    <w:p w14:paraId="464CC118">
      <w:pPr>
        <w:widowControl w:val="0"/>
        <w:jc w:val="both"/>
        <w:rPr>
          <w:rFonts w:ascii="Calibri" w:hAnsi="Calibri" w:eastAsia="宋体"/>
          <w:kern w:val="2"/>
          <w:sz w:val="21"/>
          <w:szCs w:val="22"/>
          <w:lang w:eastAsia="zh-CN"/>
        </w:rPr>
      </w:pPr>
    </w:p>
    <w:p w14:paraId="1BD855D1">
      <w:pPr>
        <w:widowControl/>
        <w:jc w:val="center"/>
        <w:rPr>
          <w:rFonts w:ascii="Arial" w:hAnsi="Arial" w:eastAsia="宋体"/>
          <w:b/>
          <w:bCs/>
          <w:kern w:val="44"/>
          <w:sz w:val="32"/>
          <w:szCs w:val="32"/>
          <w:lang w:eastAsia="zh-CN"/>
        </w:rPr>
      </w:pPr>
      <w:r>
        <w:rPr>
          <w:rFonts w:ascii="Calibri" w:hAnsi="Calibri" w:eastAsia="宋体" w:cstheme="minorBidi"/>
          <w:kern w:val="2"/>
          <w:sz w:val="21"/>
          <w:szCs w:val="22"/>
          <w:lang w:eastAsia="zh-CN"/>
        </w:rPr>
        <w:br w:type="page"/>
      </w:r>
      <w:r>
        <w:rPr>
          <w:rFonts w:hint="eastAsia" w:ascii="Arial" w:hAnsi="Arial" w:eastAsia="宋体"/>
          <w:b/>
          <w:bCs/>
          <w:kern w:val="44"/>
          <w:sz w:val="32"/>
          <w:szCs w:val="32"/>
          <w:lang w:eastAsia="zh-CN"/>
        </w:rPr>
        <w:t>第一册  专用条款</w:t>
      </w:r>
    </w:p>
    <w:p w14:paraId="657FE8C9">
      <w:pPr>
        <w:keepNext/>
        <w:keepLines/>
        <w:widowControl w:val="0"/>
        <w:adjustRightInd w:val="0"/>
        <w:spacing w:before="260" w:after="260" w:line="360" w:lineRule="auto"/>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第一章  招标公告</w:t>
      </w:r>
    </w:p>
    <w:p w14:paraId="4C82EF00">
      <w:pPr>
        <w:widowControl w:val="0"/>
        <w:spacing w:line="360" w:lineRule="auto"/>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申请人的资格要求：</w:t>
      </w:r>
    </w:p>
    <w:p w14:paraId="13850DF1">
      <w:pPr>
        <w:spacing w:after="60" w:afterLines="25"/>
        <w:jc w:val="left"/>
        <w:rPr>
          <w:rFonts w:hint="eastAsia" w:ascii="宋体" w:hAnsi="宋体" w:eastAsia="宋体" w:cs="宋体"/>
          <w:sz w:val="21"/>
          <w:szCs w:val="21"/>
          <w:lang w:eastAsia="zh-CN"/>
        </w:rPr>
      </w:pPr>
      <w:r>
        <w:rPr>
          <w:rFonts w:hint="eastAsia" w:ascii="宋体" w:hAnsi="宋体" w:eastAsia="宋体" w:cs="宋体"/>
          <w:sz w:val="21"/>
          <w:szCs w:val="21"/>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hint="eastAsia" w:ascii="宋体" w:hAnsi="宋体" w:eastAsia="宋体" w:cs="宋体"/>
          <w:sz w:val="21"/>
          <w:szCs w:val="21"/>
          <w:lang w:eastAsia="zh-CN"/>
        </w:rPr>
        <w:t>。</w:t>
      </w:r>
    </w:p>
    <w:p w14:paraId="1C3D8549">
      <w:pPr>
        <w:spacing w:after="60" w:afterLines="25"/>
        <w:jc w:val="left"/>
        <w:rPr>
          <w:rFonts w:hint="eastAsia" w:ascii="宋体" w:hAnsi="宋体" w:eastAsia="宋体" w:cs="宋体"/>
          <w:sz w:val="21"/>
          <w:szCs w:val="21"/>
        </w:rPr>
      </w:pPr>
      <w:r>
        <w:rPr>
          <w:rFonts w:hint="eastAsia" w:ascii="宋体" w:hAnsi="宋体" w:eastAsia="宋体" w:cs="宋体"/>
          <w:sz w:val="21"/>
          <w:szCs w:val="21"/>
        </w:rPr>
        <w:t>2、参与本项目投标前三年内，在经营活动中没有重大违法记录（由供应商在《龙华区教育局自行采购投标及履约承诺函》中作出声明）。</w:t>
      </w:r>
    </w:p>
    <w:p w14:paraId="525C3EF5">
      <w:pPr>
        <w:spacing w:after="60" w:afterLines="25"/>
        <w:jc w:val="left"/>
        <w:rPr>
          <w:rFonts w:hint="eastAsia" w:ascii="宋体" w:hAnsi="宋体" w:eastAsia="宋体" w:cs="宋体"/>
          <w:sz w:val="21"/>
          <w:szCs w:val="21"/>
        </w:rPr>
      </w:pPr>
      <w:r>
        <w:rPr>
          <w:rFonts w:hint="eastAsia" w:ascii="宋体" w:hAnsi="宋体" w:eastAsia="宋体" w:cs="宋体"/>
          <w:sz w:val="21"/>
          <w:szCs w:val="21"/>
        </w:rPr>
        <w:t>3、参与本项目政府采购活动时不存在被有关部门禁止参与政府采购活动且在有效期内的情况（由供应商在《龙华区教育局自行采购投标及履约承诺函》中作出声明）。</w:t>
      </w:r>
    </w:p>
    <w:p w14:paraId="4352022D">
      <w:pPr>
        <w:spacing w:after="60" w:afterLines="25"/>
        <w:jc w:val="left"/>
        <w:rPr>
          <w:rFonts w:hint="eastAsia" w:ascii="宋体" w:hAnsi="宋体" w:eastAsia="宋体" w:cs="宋体"/>
          <w:sz w:val="21"/>
          <w:szCs w:val="21"/>
        </w:rPr>
      </w:pPr>
      <w:r>
        <w:rPr>
          <w:rFonts w:hint="eastAsia" w:ascii="宋体" w:hAnsi="宋体" w:eastAsia="宋体" w:cs="宋体"/>
          <w:sz w:val="21"/>
          <w:szCs w:val="21"/>
        </w:rPr>
        <w:t>4、具备《中华人民共和国政府采购法》第二十二条第一款的条件（由供应商在《龙华区教育局自行采购投标及履约承诺函》中作出声明）。</w:t>
      </w:r>
    </w:p>
    <w:p w14:paraId="0E5F1E1A">
      <w:pPr>
        <w:spacing w:after="60" w:afterLines="25"/>
        <w:jc w:val="left"/>
        <w:rPr>
          <w:rFonts w:hint="eastAsia" w:ascii="宋体" w:hAnsi="宋体" w:eastAsia="宋体" w:cs="宋体"/>
          <w:sz w:val="21"/>
          <w:szCs w:val="21"/>
        </w:rPr>
      </w:pPr>
      <w:r>
        <w:rPr>
          <w:rFonts w:hint="eastAsia" w:ascii="宋体" w:hAnsi="宋体" w:eastAsia="宋体" w:cs="宋体"/>
          <w:sz w:val="21"/>
          <w:szCs w:val="21"/>
        </w:rPr>
        <w:t>5、参与本项目政府采购活动时未被列入失信被执行人、重大税收违法失信主体、政府采购严重违法失信行为记录名单（由供应商在《龙华区教育局自行采购投标及履约承诺函》中作出承诺）。</w:t>
      </w:r>
    </w:p>
    <w:p w14:paraId="29F9C694">
      <w:pPr>
        <w:spacing w:after="60" w:afterLines="25"/>
        <w:jc w:val="left"/>
        <w:rPr>
          <w:rFonts w:hint="eastAsia" w:ascii="宋体" w:hAnsi="宋体" w:eastAsia="宋体" w:cs="宋体"/>
          <w:sz w:val="21"/>
          <w:szCs w:val="21"/>
        </w:rPr>
      </w:pPr>
      <w:r>
        <w:rPr>
          <w:rFonts w:hint="eastAsia" w:ascii="宋体" w:hAnsi="宋体" w:eastAsia="宋体" w:cs="宋体"/>
          <w:sz w:val="21"/>
          <w:szCs w:val="21"/>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14:paraId="38398431">
      <w:pPr>
        <w:spacing w:after="60" w:afterLines="25"/>
        <w:jc w:val="left"/>
        <w:rPr>
          <w:rFonts w:hint="eastAsia" w:ascii="宋体" w:hAnsi="宋体" w:eastAsia="宋体" w:cs="宋体"/>
          <w:sz w:val="21"/>
          <w:szCs w:val="21"/>
          <w:lang w:eastAsia="zh-CN"/>
        </w:rPr>
      </w:pPr>
      <w:r>
        <w:rPr>
          <w:rFonts w:hint="eastAsia" w:ascii="宋体" w:hAnsi="宋体" w:eastAsia="宋体" w:cs="宋体"/>
          <w:sz w:val="21"/>
          <w:szCs w:val="21"/>
        </w:rPr>
        <w:t>6、为采购项目提供整体设计、规范编制或者项目管理、监理、检测等服务的供应商，不得再参加该采购项目同一合同项下的其他采购活动。（由供应商在《龙华区教育局自行采购投标及履约承诺函》中作出承诺）</w:t>
      </w:r>
      <w:r>
        <w:rPr>
          <w:rFonts w:hint="eastAsia" w:ascii="宋体" w:hAnsi="宋体" w:eastAsia="宋体" w:cs="宋体"/>
          <w:sz w:val="21"/>
          <w:szCs w:val="21"/>
          <w:lang w:eastAsia="zh-CN"/>
        </w:rPr>
        <w:t>。</w:t>
      </w:r>
    </w:p>
    <w:p w14:paraId="7512034D">
      <w:pPr>
        <w:spacing w:after="60" w:afterLines="25"/>
        <w:jc w:val="left"/>
        <w:rPr>
          <w:rFonts w:hint="eastAsia" w:ascii="宋体" w:hAnsi="宋体" w:eastAsia="宋体" w:cs="宋体"/>
          <w:sz w:val="21"/>
          <w:szCs w:val="21"/>
          <w:lang w:eastAsia="zh-CN"/>
        </w:rPr>
      </w:pPr>
      <w:r>
        <w:rPr>
          <w:rFonts w:hint="eastAsia" w:ascii="宋体" w:hAnsi="宋体" w:eastAsia="宋体" w:cs="宋体"/>
          <w:sz w:val="21"/>
          <w:szCs w:val="21"/>
        </w:rPr>
        <w:t>7、单位负责人为同一人或者存在直接控股、管理关系的不同供应商，不得参加同一合同项下的政府采购活动。（由供应商在《龙华区教育局自行采购投标及履约承诺函》中作出承诺）</w:t>
      </w:r>
      <w:r>
        <w:rPr>
          <w:rFonts w:hint="eastAsia" w:ascii="宋体" w:hAnsi="宋体" w:eastAsia="宋体" w:cs="宋体"/>
          <w:sz w:val="21"/>
          <w:szCs w:val="21"/>
          <w:lang w:eastAsia="zh-CN"/>
        </w:rPr>
        <w:t>。</w:t>
      </w:r>
    </w:p>
    <w:p w14:paraId="50F7AEA1">
      <w:pPr>
        <w:spacing w:after="60" w:afterLines="25"/>
        <w:jc w:val="left"/>
        <w:rPr>
          <w:rFonts w:hint="eastAsia" w:ascii="宋体" w:hAnsi="宋体" w:eastAsia="宋体" w:cs="宋体"/>
          <w:sz w:val="21"/>
          <w:szCs w:val="21"/>
          <w:lang w:eastAsia="zh-CN"/>
        </w:rPr>
      </w:pPr>
      <w:r>
        <w:rPr>
          <w:rFonts w:hint="eastAsia" w:ascii="宋体" w:hAnsi="宋体" w:eastAsia="宋体" w:cs="宋体"/>
          <w:sz w:val="21"/>
          <w:szCs w:val="21"/>
        </w:rPr>
        <w:t>8、本项目不属于专门面向中小微企业采购项目</w:t>
      </w:r>
      <w:r>
        <w:rPr>
          <w:rFonts w:hint="eastAsia" w:ascii="宋体" w:hAnsi="宋体" w:eastAsia="宋体" w:cs="宋体"/>
          <w:sz w:val="21"/>
          <w:szCs w:val="21"/>
          <w:lang w:eastAsia="zh-CN"/>
        </w:rPr>
        <w:t>。</w:t>
      </w:r>
    </w:p>
    <w:p w14:paraId="5A3B64CC">
      <w:pPr>
        <w:widowControl w:val="0"/>
        <w:spacing w:after="60" w:afterLines="25"/>
        <w:jc w:val="left"/>
        <w:rPr>
          <w:rFonts w:hint="eastAsia" w:ascii="宋体" w:hAnsi="宋体" w:eastAsia="宋体" w:cs="宋体"/>
          <w:sz w:val="21"/>
          <w:szCs w:val="21"/>
          <w:lang w:eastAsia="zh-CN"/>
        </w:rPr>
      </w:pPr>
      <w:r>
        <w:rPr>
          <w:rFonts w:hint="eastAsia" w:ascii="宋体" w:hAnsi="宋体" w:eastAsia="宋体" w:cs="宋体"/>
          <w:sz w:val="21"/>
          <w:szCs w:val="21"/>
        </w:rPr>
        <w:t>9、本项目不接受联合体投标，不接受进口产品参与投标，不允许转包、分包。（由供应商在《龙华区教育局自行采购投标及履约承诺函》中作出承诺）</w:t>
      </w:r>
      <w:r>
        <w:rPr>
          <w:rFonts w:hint="eastAsia" w:ascii="宋体" w:hAnsi="宋体" w:eastAsia="宋体" w:cs="宋体"/>
          <w:sz w:val="21"/>
          <w:szCs w:val="21"/>
          <w:lang w:eastAsia="zh-CN"/>
        </w:rPr>
        <w:t>。</w:t>
      </w:r>
    </w:p>
    <w:p w14:paraId="2E16A62D">
      <w:pPr>
        <w:widowControl w:val="0"/>
        <w:spacing w:after="60" w:afterLines="25"/>
        <w:jc w:val="center"/>
        <w:rPr>
          <w:rFonts w:ascii="Calibri" w:hAnsi="Calibri" w:eastAsia="宋体"/>
          <w:b/>
          <w:color w:val="FF0000"/>
          <w:kern w:val="2"/>
          <w:sz w:val="30"/>
          <w:szCs w:val="30"/>
          <w:lang w:eastAsia="zh-CN"/>
        </w:rPr>
      </w:pPr>
      <w:r>
        <w:rPr>
          <w:rFonts w:hint="eastAsia" w:ascii="Arial" w:hAnsi="Arial" w:eastAsia="宋体"/>
          <w:b/>
          <w:color w:val="FF0000"/>
          <w:kern w:val="2"/>
          <w:sz w:val="30"/>
          <w:szCs w:val="30"/>
          <w:lang w:eastAsia="zh-CN"/>
        </w:rPr>
        <w:t>完整公告内容以网站公布信息为准，详见：深圳政府采购自行采购系统</w:t>
      </w:r>
      <w:r>
        <w:rPr>
          <w:rFonts w:hint="eastAsia" w:ascii="Calibri" w:hAnsi="Calibri" w:eastAsia="宋体" w:cstheme="minorBidi"/>
          <w:b/>
          <w:color w:val="FF0000"/>
          <w:kern w:val="2"/>
          <w:sz w:val="30"/>
          <w:szCs w:val="30"/>
          <w:lang w:eastAsia="zh-CN"/>
        </w:rPr>
        <w:t>网（https://zxcg.szggzy.com/home/index.html）</w:t>
      </w:r>
    </w:p>
    <w:p w14:paraId="7C254C4D">
      <w:pPr>
        <w:widowControl w:val="0"/>
        <w:spacing w:after="60" w:afterLines="25"/>
        <w:jc w:val="both"/>
        <w:rPr>
          <w:rFonts w:ascii="Arial" w:hAnsi="Arial" w:eastAsia="宋体"/>
          <w:b/>
          <w:color w:val="FF0000"/>
          <w:kern w:val="2"/>
          <w:sz w:val="30"/>
          <w:szCs w:val="30"/>
          <w:lang w:eastAsia="zh-CN"/>
        </w:rPr>
      </w:pPr>
    </w:p>
    <w:p w14:paraId="3B205384">
      <w:pPr>
        <w:widowControl w:val="0"/>
        <w:spacing w:after="60" w:afterLines="25"/>
        <w:jc w:val="both"/>
        <w:rPr>
          <w:rFonts w:ascii="Arial" w:hAnsi="Arial" w:eastAsia="宋体"/>
          <w:b/>
          <w:color w:val="FF0000"/>
          <w:kern w:val="2"/>
          <w:sz w:val="30"/>
          <w:szCs w:val="30"/>
          <w:lang w:eastAsia="zh-CN"/>
        </w:rPr>
      </w:pPr>
    </w:p>
    <w:p w14:paraId="0794B806">
      <w:pPr>
        <w:keepNext/>
        <w:keepLines/>
        <w:widowControl w:val="0"/>
        <w:spacing w:before="260" w:after="260" w:line="416" w:lineRule="auto"/>
        <w:jc w:val="center"/>
        <w:outlineLvl w:val="1"/>
        <w:rPr>
          <w:rFonts w:ascii="宋体" w:hAnsi="宋体" w:eastAsia="宋体"/>
          <w:b/>
          <w:bCs/>
          <w:sz w:val="28"/>
          <w:szCs w:val="28"/>
          <w:lang w:eastAsia="zh-CN"/>
        </w:rPr>
      </w:pPr>
      <w:r>
        <w:rPr>
          <w:rFonts w:hint="eastAsia" w:ascii="宋体" w:hAnsi="宋体" w:eastAsia="宋体"/>
          <w:b/>
          <w:bCs/>
          <w:sz w:val="28"/>
          <w:szCs w:val="28"/>
          <w:lang w:eastAsia="zh-CN"/>
        </w:rPr>
        <w:t>第二章</w:t>
      </w:r>
      <w:bookmarkStart w:id="3" w:name="_Hlk71926094"/>
      <w:r>
        <w:rPr>
          <w:rFonts w:hint="eastAsia" w:ascii="宋体" w:hAnsi="宋体" w:eastAsia="宋体"/>
          <w:b/>
          <w:bCs/>
          <w:sz w:val="28"/>
          <w:szCs w:val="28"/>
          <w:lang w:eastAsia="zh-CN"/>
        </w:rPr>
        <w:t xml:space="preserve">  对通用条款的补充内容及其他关键信息</w:t>
      </w:r>
      <w:bookmarkEnd w:id="3"/>
    </w:p>
    <w:p w14:paraId="3955C3F8">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bookmarkStart w:id="4" w:name="_Toc101074876"/>
      <w:bookmarkStart w:id="5" w:name="_Toc100052364"/>
      <w:bookmarkStart w:id="6" w:name="_Toc73518117"/>
      <w:bookmarkStart w:id="7" w:name="_Toc73521547"/>
      <w:bookmarkStart w:id="8" w:name="_Toc60631620"/>
      <w:bookmarkStart w:id="9" w:name="_Toc60560625"/>
      <w:bookmarkStart w:id="10" w:name="_Toc73517639"/>
      <w:bookmarkStart w:id="11" w:name="_Toc73521635"/>
      <w:r>
        <w:rPr>
          <w:rFonts w:hint="eastAsia" w:ascii="宋体" w:hAnsi="宋体" w:eastAsia="宋体"/>
          <w:b/>
          <w:bCs/>
          <w:lang w:eastAsia="zh-CN"/>
        </w:rPr>
        <w:t>一、对通用条款的补充内容</w:t>
      </w:r>
    </w:p>
    <w:tbl>
      <w:tblPr>
        <w:tblStyle w:val="9"/>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2"/>
        <w:gridCol w:w="1639"/>
        <w:gridCol w:w="6295"/>
      </w:tblGrid>
      <w:tr w14:paraId="5ECD8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6E1908F">
            <w:pPr>
              <w:widowControl w:val="0"/>
              <w:jc w:val="center"/>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通用条款序号</w:t>
            </w:r>
          </w:p>
        </w:tc>
        <w:tc>
          <w:tcPr>
            <w:tcW w:w="1755" w:type="dxa"/>
            <w:vAlign w:val="center"/>
          </w:tcPr>
          <w:p w14:paraId="36227B9D">
            <w:pPr>
              <w:widowControl w:val="0"/>
              <w:jc w:val="center"/>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涉及事项</w:t>
            </w:r>
          </w:p>
        </w:tc>
        <w:tc>
          <w:tcPr>
            <w:tcW w:w="6795" w:type="dxa"/>
            <w:vAlign w:val="center"/>
          </w:tcPr>
          <w:p w14:paraId="1927E39F">
            <w:pPr>
              <w:widowControl w:val="0"/>
              <w:jc w:val="center"/>
              <w:rPr>
                <w:rFonts w:ascii="宋体" w:hAnsi="宋体" w:eastAsia="宋体"/>
                <w:b/>
                <w:bCs/>
                <w:kern w:val="2"/>
                <w:sz w:val="21"/>
                <w:szCs w:val="21"/>
                <w:lang w:eastAsia="zh-CN"/>
              </w:rPr>
            </w:pPr>
            <w:r>
              <w:rPr>
                <w:rFonts w:hint="eastAsia" w:ascii="宋体" w:hAnsi="宋体" w:eastAsia="宋体" w:cstheme="minorBidi"/>
                <w:b/>
                <w:bCs/>
                <w:kern w:val="2"/>
                <w:sz w:val="21"/>
                <w:szCs w:val="21"/>
                <w:lang w:eastAsia="zh-CN"/>
              </w:rPr>
              <w:t>具体补充内容</w:t>
            </w:r>
          </w:p>
        </w:tc>
      </w:tr>
      <w:tr w14:paraId="5F345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3276D36">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.1</w:t>
            </w:r>
          </w:p>
        </w:tc>
        <w:tc>
          <w:tcPr>
            <w:tcW w:w="1755" w:type="dxa"/>
            <w:vAlign w:val="center"/>
          </w:tcPr>
          <w:p w14:paraId="024CCD7E">
            <w:pPr>
              <w:widowControl w:val="0"/>
              <w:jc w:val="center"/>
              <w:rPr>
                <w:rFonts w:ascii="宋体" w:hAnsi="宋体" w:eastAsia="宋体"/>
                <w:kern w:val="2"/>
                <w:sz w:val="21"/>
                <w:szCs w:val="21"/>
                <w:highlight w:val="yellow"/>
                <w:lang w:eastAsia="zh-CN"/>
              </w:rPr>
            </w:pPr>
            <w:r>
              <w:rPr>
                <w:rFonts w:hint="eastAsia" w:ascii="宋体" w:hAnsi="宋体" w:eastAsia="宋体" w:cstheme="minorBidi"/>
                <w:kern w:val="2"/>
                <w:sz w:val="21"/>
                <w:szCs w:val="21"/>
                <w:lang w:eastAsia="zh-CN"/>
              </w:rPr>
              <w:t>采购人</w:t>
            </w:r>
          </w:p>
        </w:tc>
        <w:tc>
          <w:tcPr>
            <w:tcW w:w="6795" w:type="dxa"/>
            <w:vAlign w:val="center"/>
          </w:tcPr>
          <w:p w14:paraId="77629AFA">
            <w:pPr>
              <w:widowControl w:val="0"/>
              <w:jc w:val="left"/>
              <w:rPr>
                <w:rFonts w:hint="eastAsia" w:ascii="宋体" w:hAnsi="宋体" w:eastAsia="宋体"/>
                <w:kern w:val="2"/>
                <w:sz w:val="21"/>
                <w:szCs w:val="21"/>
                <w:highlight w:val="yellow"/>
                <w:lang w:eastAsia="zh-CN"/>
              </w:rPr>
            </w:pPr>
            <w:r>
              <w:rPr>
                <w:rFonts w:hint="eastAsia" w:ascii="宋体" w:hAnsi="宋体" w:eastAsia="宋体"/>
                <w:kern w:val="2"/>
                <w:sz w:val="21"/>
                <w:szCs w:val="21"/>
                <w:lang w:eastAsia="zh-CN"/>
              </w:rPr>
              <w:t>深圳市龙华高级中学教育集团</w:t>
            </w:r>
          </w:p>
        </w:tc>
      </w:tr>
      <w:tr w14:paraId="7BDFE8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3F9A13">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.2</w:t>
            </w:r>
          </w:p>
        </w:tc>
        <w:tc>
          <w:tcPr>
            <w:tcW w:w="1755" w:type="dxa"/>
            <w:vAlign w:val="center"/>
          </w:tcPr>
          <w:p w14:paraId="6B9E8372">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社会代理机构</w:t>
            </w:r>
          </w:p>
        </w:tc>
        <w:tc>
          <w:tcPr>
            <w:tcW w:w="6795" w:type="dxa"/>
            <w:vAlign w:val="center"/>
          </w:tcPr>
          <w:p w14:paraId="6612FFFC">
            <w:pPr>
              <w:widowControl w:val="0"/>
              <w:jc w:val="left"/>
              <w:rPr>
                <w:rFonts w:ascii="宋体" w:hAnsi="宋体" w:eastAsia="宋体"/>
                <w:kern w:val="2"/>
                <w:sz w:val="21"/>
                <w:szCs w:val="21"/>
                <w:lang w:eastAsia="zh-CN"/>
              </w:rPr>
            </w:pPr>
            <w:r>
              <w:rPr>
                <w:rFonts w:hint="eastAsia" w:ascii="宋体" w:hAnsi="宋体" w:eastAsia="宋体" w:cs="Arial"/>
                <w:kern w:val="2"/>
                <w:sz w:val="21"/>
                <w:szCs w:val="21"/>
                <w:lang w:eastAsia="zh-CN"/>
              </w:rPr>
              <w:t>本文件所述的“</w:t>
            </w:r>
            <w:r>
              <w:rPr>
                <w:rFonts w:hint="eastAsia" w:ascii="宋体" w:hAnsi="宋体" w:eastAsia="宋体" w:cstheme="minorBidi"/>
                <w:kern w:val="2"/>
                <w:sz w:val="21"/>
                <w:szCs w:val="21"/>
                <w:lang w:eastAsia="zh-CN"/>
              </w:rPr>
              <w:t>社会代理机构</w:t>
            </w:r>
            <w:r>
              <w:rPr>
                <w:rFonts w:hint="eastAsia" w:ascii="宋体" w:hAnsi="宋体" w:eastAsia="宋体" w:cs="Arial"/>
                <w:kern w:val="2"/>
                <w:sz w:val="21"/>
                <w:szCs w:val="21"/>
                <w:lang w:eastAsia="zh-CN"/>
              </w:rPr>
              <w:t>”</w:t>
            </w:r>
            <w:r>
              <w:rPr>
                <w:rFonts w:ascii="宋体" w:hAnsi="宋体" w:eastAsia="宋体" w:cs="Arial"/>
                <w:kern w:val="2"/>
                <w:sz w:val="21"/>
                <w:szCs w:val="21"/>
                <w:lang w:eastAsia="zh-CN"/>
              </w:rPr>
              <w:t>指</w:t>
            </w:r>
            <w:r>
              <w:rPr>
                <w:rFonts w:hint="eastAsia" w:ascii="宋体" w:hAnsi="宋体" w:eastAsia="宋体" w:cs="Arial"/>
                <w:b/>
                <w:bCs/>
                <w:kern w:val="2"/>
                <w:sz w:val="21"/>
                <w:szCs w:val="21"/>
                <w:lang w:eastAsia="zh-CN"/>
              </w:rPr>
              <w:t>深圳市千里招标代理有限公司</w:t>
            </w:r>
            <w:r>
              <w:rPr>
                <w:rFonts w:hint="eastAsia" w:ascii="宋体" w:hAnsi="宋体" w:eastAsia="宋体"/>
                <w:kern w:val="2"/>
                <w:sz w:val="21"/>
                <w:szCs w:val="21"/>
                <w:lang w:eastAsia="zh-CN"/>
              </w:rPr>
              <w:t>。</w:t>
            </w:r>
          </w:p>
        </w:tc>
      </w:tr>
      <w:tr w14:paraId="62628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7956450">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5</w:t>
            </w:r>
            <w:r>
              <w:rPr>
                <w:rFonts w:ascii="宋体" w:hAnsi="宋体" w:eastAsia="宋体" w:cstheme="minorBidi"/>
                <w:kern w:val="2"/>
                <w:sz w:val="21"/>
                <w:szCs w:val="21"/>
                <w:lang w:eastAsia="zh-CN"/>
              </w:rPr>
              <w:t>.3</w:t>
            </w:r>
          </w:p>
        </w:tc>
        <w:tc>
          <w:tcPr>
            <w:tcW w:w="1755" w:type="dxa"/>
            <w:vAlign w:val="center"/>
          </w:tcPr>
          <w:p w14:paraId="61517CAE">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联合体投标</w:t>
            </w:r>
          </w:p>
        </w:tc>
        <w:tc>
          <w:tcPr>
            <w:tcW w:w="6795" w:type="dxa"/>
            <w:vAlign w:val="center"/>
          </w:tcPr>
          <w:p w14:paraId="05D42DB5">
            <w:pPr>
              <w:widowControl w:val="0"/>
              <w:jc w:val="left"/>
              <w:rPr>
                <w:rFonts w:ascii="宋体" w:hAnsi="宋体" w:eastAsia="宋体"/>
                <w:kern w:val="2"/>
                <w:sz w:val="21"/>
                <w:szCs w:val="21"/>
                <w:lang w:eastAsia="zh-CN"/>
              </w:rPr>
            </w:pPr>
            <w:r>
              <w:rPr>
                <w:rFonts w:hint="eastAsia" w:ascii="宋体" w:hAnsi="宋体" w:eastAsia="宋体"/>
                <w:kern w:val="2"/>
                <w:sz w:val="21"/>
                <w:szCs w:val="21"/>
                <w:lang w:eastAsia="zh-CN"/>
              </w:rPr>
              <w:t>不接受</w:t>
            </w:r>
          </w:p>
        </w:tc>
      </w:tr>
      <w:tr w14:paraId="29F559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080F7BE">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9</w:t>
            </w:r>
          </w:p>
        </w:tc>
        <w:tc>
          <w:tcPr>
            <w:tcW w:w="1755" w:type="dxa"/>
            <w:vAlign w:val="center"/>
          </w:tcPr>
          <w:p w14:paraId="66FA30B7">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踏勘现场</w:t>
            </w:r>
          </w:p>
        </w:tc>
        <w:tc>
          <w:tcPr>
            <w:tcW w:w="6795" w:type="dxa"/>
            <w:vAlign w:val="center"/>
          </w:tcPr>
          <w:p w14:paraId="651462BF">
            <w:pPr>
              <w:widowControl w:val="0"/>
              <w:jc w:val="left"/>
              <w:rPr>
                <w:rFonts w:ascii="宋体" w:hAnsi="宋体" w:eastAsia="宋体"/>
                <w:kern w:val="2"/>
                <w:sz w:val="21"/>
                <w:szCs w:val="21"/>
                <w:highlight w:val="yellow"/>
                <w:lang w:eastAsia="zh-CN"/>
              </w:rPr>
            </w:pPr>
            <w:r>
              <w:rPr>
                <w:rFonts w:hint="eastAsia" w:ascii="宋体" w:hAnsi="宋体" w:eastAsia="宋体"/>
                <w:kern w:val="2"/>
                <w:sz w:val="21"/>
                <w:szCs w:val="21"/>
                <w:lang w:eastAsia="zh-CN"/>
              </w:rPr>
              <w:t>不组织</w:t>
            </w:r>
          </w:p>
        </w:tc>
      </w:tr>
      <w:tr w14:paraId="64C1AD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22CA58">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0</w:t>
            </w:r>
          </w:p>
        </w:tc>
        <w:tc>
          <w:tcPr>
            <w:tcW w:w="1755" w:type="dxa"/>
            <w:vAlign w:val="center"/>
          </w:tcPr>
          <w:p w14:paraId="0C56C2EF">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标前会议</w:t>
            </w:r>
          </w:p>
        </w:tc>
        <w:tc>
          <w:tcPr>
            <w:tcW w:w="6795" w:type="dxa"/>
            <w:vAlign w:val="center"/>
          </w:tcPr>
          <w:p w14:paraId="23E01B69">
            <w:pPr>
              <w:widowControl w:val="0"/>
              <w:jc w:val="left"/>
              <w:rPr>
                <w:rFonts w:ascii="宋体" w:hAnsi="宋体" w:eastAsia="宋体"/>
                <w:kern w:val="2"/>
                <w:sz w:val="21"/>
                <w:szCs w:val="21"/>
                <w:lang w:eastAsia="zh-CN"/>
              </w:rPr>
            </w:pPr>
            <w:r>
              <w:rPr>
                <w:rFonts w:hint="eastAsia" w:ascii="宋体" w:hAnsi="宋体" w:eastAsia="宋体"/>
                <w:kern w:val="2"/>
                <w:sz w:val="21"/>
                <w:szCs w:val="21"/>
                <w:lang w:eastAsia="zh-CN"/>
              </w:rPr>
              <w:t>不组织</w:t>
            </w:r>
          </w:p>
        </w:tc>
      </w:tr>
      <w:tr w14:paraId="20F035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455EC81">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/1</w:t>
            </w:r>
            <w:r>
              <w:rPr>
                <w:rFonts w:ascii="宋体" w:hAnsi="宋体" w:eastAsia="宋体" w:cstheme="minorBidi"/>
                <w:kern w:val="2"/>
                <w:sz w:val="21"/>
                <w:szCs w:val="21"/>
                <w:lang w:eastAsia="zh-CN"/>
              </w:rPr>
              <w:t>3</w:t>
            </w:r>
          </w:p>
        </w:tc>
        <w:tc>
          <w:tcPr>
            <w:tcW w:w="1755" w:type="dxa"/>
            <w:vAlign w:val="center"/>
          </w:tcPr>
          <w:p w14:paraId="2A675830">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招标文件的澄清和修改</w:t>
            </w:r>
          </w:p>
        </w:tc>
        <w:tc>
          <w:tcPr>
            <w:tcW w:w="6795" w:type="dxa"/>
            <w:vAlign w:val="center"/>
          </w:tcPr>
          <w:p w14:paraId="72F86467">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不晚于投标截止日三日前，投标人有义务在招标期间在采购代理机构网站浏览与本项目有关的澄清和修改信息。</w:t>
            </w:r>
          </w:p>
        </w:tc>
      </w:tr>
      <w:tr w14:paraId="49DD3C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91947E2">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0</w:t>
            </w:r>
          </w:p>
        </w:tc>
        <w:tc>
          <w:tcPr>
            <w:tcW w:w="1755" w:type="dxa"/>
            <w:vAlign w:val="center"/>
          </w:tcPr>
          <w:p w14:paraId="62170546">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投标有效期</w:t>
            </w:r>
          </w:p>
        </w:tc>
        <w:tc>
          <w:tcPr>
            <w:tcW w:w="6795" w:type="dxa"/>
            <w:vAlign w:val="center"/>
          </w:tcPr>
          <w:p w14:paraId="4FFA2682">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120日历天（从投标截止之日算起）</w:t>
            </w:r>
          </w:p>
        </w:tc>
      </w:tr>
      <w:tr w14:paraId="348888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82335A4">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2</w:t>
            </w:r>
          </w:p>
        </w:tc>
        <w:tc>
          <w:tcPr>
            <w:tcW w:w="1755" w:type="dxa"/>
            <w:vAlign w:val="center"/>
          </w:tcPr>
          <w:p w14:paraId="1FDEF6FA">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投标人的替代方案</w:t>
            </w:r>
          </w:p>
        </w:tc>
        <w:tc>
          <w:tcPr>
            <w:tcW w:w="6795" w:type="dxa"/>
            <w:vAlign w:val="center"/>
          </w:tcPr>
          <w:p w14:paraId="6AA43590">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不接受</w:t>
            </w:r>
          </w:p>
        </w:tc>
      </w:tr>
      <w:tr w14:paraId="761724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55DB8F4">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5</w:t>
            </w:r>
          </w:p>
        </w:tc>
        <w:tc>
          <w:tcPr>
            <w:tcW w:w="1755" w:type="dxa"/>
            <w:vAlign w:val="center"/>
          </w:tcPr>
          <w:p w14:paraId="75C72D14">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投标文件的大小</w:t>
            </w:r>
          </w:p>
        </w:tc>
        <w:tc>
          <w:tcPr>
            <w:tcW w:w="6795" w:type="dxa"/>
            <w:vAlign w:val="center"/>
          </w:tcPr>
          <w:p w14:paraId="1EBF8E9F">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投标文件大小不得超过100MB</w:t>
            </w:r>
          </w:p>
        </w:tc>
      </w:tr>
      <w:tr w14:paraId="1D2D83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D482ED2">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2</w:t>
            </w:r>
            <w:r>
              <w:rPr>
                <w:rFonts w:ascii="宋体" w:hAnsi="宋体" w:eastAsia="宋体" w:cstheme="minorBidi"/>
                <w:kern w:val="2"/>
                <w:sz w:val="21"/>
                <w:szCs w:val="21"/>
                <w:lang w:eastAsia="zh-CN"/>
              </w:rPr>
              <w:t>6</w:t>
            </w:r>
          </w:p>
        </w:tc>
        <w:tc>
          <w:tcPr>
            <w:tcW w:w="1755" w:type="dxa"/>
            <w:vAlign w:val="center"/>
          </w:tcPr>
          <w:p w14:paraId="13B4F03B">
            <w:pPr>
              <w:widowControl w:val="0"/>
              <w:jc w:val="center"/>
              <w:rPr>
                <w:rFonts w:ascii="宋体" w:hAnsi="宋体" w:eastAsia="宋体"/>
                <w:kern w:val="2"/>
                <w:sz w:val="21"/>
                <w:szCs w:val="21"/>
                <w:lang w:eastAsia="zh-CN"/>
              </w:rPr>
            </w:pPr>
            <w:bookmarkStart w:id="12" w:name="_Hlk71664860"/>
            <w:r>
              <w:rPr>
                <w:rFonts w:hint="eastAsia" w:ascii="宋体" w:hAnsi="宋体" w:eastAsia="宋体" w:cstheme="minorBidi"/>
                <w:kern w:val="2"/>
                <w:sz w:val="21"/>
                <w:szCs w:val="21"/>
                <w:lang w:eastAsia="zh-CN"/>
              </w:rPr>
              <w:t>样品、现场演示、方案讲解</w:t>
            </w:r>
            <w:bookmarkEnd w:id="12"/>
          </w:p>
        </w:tc>
        <w:tc>
          <w:tcPr>
            <w:tcW w:w="6795" w:type="dxa"/>
            <w:vAlign w:val="center"/>
          </w:tcPr>
          <w:p w14:paraId="3081C207">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“无”</w:t>
            </w:r>
          </w:p>
        </w:tc>
      </w:tr>
      <w:tr w14:paraId="2596DE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3911F71">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7</w:t>
            </w:r>
          </w:p>
        </w:tc>
        <w:tc>
          <w:tcPr>
            <w:tcW w:w="1755" w:type="dxa"/>
            <w:vAlign w:val="center"/>
          </w:tcPr>
          <w:p w14:paraId="7FF88EE5">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评审方法</w:t>
            </w:r>
          </w:p>
        </w:tc>
        <w:tc>
          <w:tcPr>
            <w:tcW w:w="6795" w:type="dxa"/>
            <w:vAlign w:val="center"/>
          </w:tcPr>
          <w:p w14:paraId="38BB2089">
            <w:pPr>
              <w:widowControl w:val="0"/>
              <w:jc w:val="left"/>
              <w:rPr>
                <w:rFonts w:ascii="宋体" w:hAnsi="宋体" w:eastAsia="宋体"/>
                <w:kern w:val="2"/>
                <w:sz w:val="21"/>
                <w:szCs w:val="21"/>
                <w:lang w:eastAsia="zh-CN"/>
              </w:rPr>
            </w:pPr>
            <w:r>
              <w:rPr>
                <w:rFonts w:ascii="宋体" w:hAnsi="宋体" w:eastAsia="宋体" w:cstheme="minorBidi"/>
                <w:b/>
                <w:bCs/>
                <w:kern w:val="2"/>
                <w:sz w:val="21"/>
                <w:szCs w:val="21"/>
                <w:lang w:eastAsia="zh-CN"/>
              </w:rPr>
              <w:t>综合评分法</w:t>
            </w:r>
          </w:p>
        </w:tc>
      </w:tr>
      <w:tr w14:paraId="0EF5B5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09D6C34">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3</w:t>
            </w:r>
            <w:r>
              <w:rPr>
                <w:rFonts w:ascii="宋体" w:hAnsi="宋体" w:eastAsia="宋体" w:cstheme="minorBidi"/>
                <w:kern w:val="2"/>
                <w:sz w:val="21"/>
                <w:szCs w:val="21"/>
                <w:lang w:eastAsia="zh-CN"/>
              </w:rPr>
              <w:t>8</w:t>
            </w:r>
          </w:p>
        </w:tc>
        <w:tc>
          <w:tcPr>
            <w:tcW w:w="1755" w:type="dxa"/>
            <w:vAlign w:val="center"/>
          </w:tcPr>
          <w:p w14:paraId="0498B30F">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定标方法</w:t>
            </w:r>
          </w:p>
        </w:tc>
        <w:tc>
          <w:tcPr>
            <w:tcW w:w="6795" w:type="dxa"/>
            <w:vAlign w:val="center"/>
          </w:tcPr>
          <w:p w14:paraId="71100469">
            <w:pPr>
              <w:widowControl w:val="0"/>
              <w:jc w:val="left"/>
              <w:rPr>
                <w:rFonts w:ascii="宋体" w:hAnsi="宋体" w:eastAsia="宋体"/>
                <w:b/>
                <w:bCs/>
                <w:kern w:val="2"/>
                <w:sz w:val="21"/>
                <w:szCs w:val="21"/>
                <w:lang w:eastAsia="zh-CN"/>
              </w:rPr>
            </w:pPr>
            <w:r>
              <w:rPr>
                <w:rFonts w:hint="eastAsia" w:ascii="宋体" w:hAnsi="宋体" w:eastAsia="宋体"/>
                <w:b/>
                <w:bCs/>
                <w:kern w:val="2"/>
                <w:sz w:val="21"/>
                <w:szCs w:val="21"/>
                <w:lang w:eastAsia="zh-CN"/>
              </w:rPr>
              <w:t>非评定分离</w:t>
            </w:r>
          </w:p>
        </w:tc>
      </w:tr>
      <w:tr w14:paraId="31A2E7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AD89AEF">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4</w:t>
            </w:r>
            <w:r>
              <w:rPr>
                <w:rFonts w:ascii="宋体" w:hAnsi="宋体" w:eastAsia="宋体" w:cstheme="minorBidi"/>
                <w:kern w:val="2"/>
                <w:sz w:val="21"/>
                <w:szCs w:val="21"/>
                <w:lang w:eastAsia="zh-CN"/>
              </w:rPr>
              <w:t>6</w:t>
            </w:r>
          </w:p>
        </w:tc>
        <w:tc>
          <w:tcPr>
            <w:tcW w:w="1755" w:type="dxa"/>
            <w:vAlign w:val="center"/>
          </w:tcPr>
          <w:p w14:paraId="47660B8D">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履约担保</w:t>
            </w:r>
          </w:p>
        </w:tc>
        <w:tc>
          <w:tcPr>
            <w:tcW w:w="6795" w:type="dxa"/>
            <w:vAlign w:val="center"/>
          </w:tcPr>
          <w:p w14:paraId="1974C27B">
            <w:pPr>
              <w:widowControl w:val="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不需要</w:t>
            </w:r>
          </w:p>
        </w:tc>
      </w:tr>
      <w:bookmarkEnd w:id="4"/>
      <w:bookmarkEnd w:id="5"/>
      <w:bookmarkEnd w:id="6"/>
      <w:bookmarkEnd w:id="7"/>
      <w:bookmarkEnd w:id="8"/>
      <w:bookmarkEnd w:id="9"/>
      <w:bookmarkEnd w:id="10"/>
      <w:bookmarkEnd w:id="11"/>
    </w:tbl>
    <w:p w14:paraId="2E5143B2">
      <w:pPr>
        <w:widowControl/>
        <w:jc w:val="center"/>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备注：本表是通用条款相关条款的补充和明确，如与通用条款内容相冲突的，以本表为准。</w:t>
      </w:r>
    </w:p>
    <w:p w14:paraId="593E8025">
      <w:pPr>
        <w:keepNext/>
        <w:keepLines/>
        <w:widowControl w:val="0"/>
        <w:adjustRightInd w:val="0"/>
        <w:spacing w:before="120" w:beforeLines="50" w:after="120" w:afterLines="50"/>
        <w:jc w:val="center"/>
        <w:textAlignment w:val="baseline"/>
        <w:outlineLvl w:val="2"/>
        <w:rPr>
          <w:rFonts w:ascii="宋体" w:hAnsi="宋体" w:eastAsia="宋体"/>
          <w:b/>
          <w:bCs/>
          <w:lang w:eastAsia="zh-CN"/>
        </w:rPr>
      </w:pPr>
      <w:r>
        <w:rPr>
          <w:rFonts w:hint="eastAsia" w:ascii="宋体" w:hAnsi="宋体" w:eastAsia="宋体"/>
          <w:b/>
          <w:bCs/>
          <w:lang w:eastAsia="zh-CN"/>
        </w:rPr>
        <w:t>二、其他关键信息</w:t>
      </w:r>
    </w:p>
    <w:p w14:paraId="6F3250E5">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（一）</w:t>
      </w:r>
      <w:r>
        <w:rPr>
          <w:rFonts w:hint="eastAsia" w:ascii="黑体" w:hAnsi="宋体" w:eastAsia="黑体" w:cstheme="minorBidi"/>
          <w:bCs/>
          <w:kern w:val="2"/>
          <w:szCs w:val="22"/>
          <w:lang w:eastAsia="zh-CN"/>
        </w:rPr>
        <w:t>与“对通用条款的补充内容”章节相关的事项</w:t>
      </w:r>
    </w:p>
    <w:p w14:paraId="2F8794F3">
      <w:pPr>
        <w:widowControl w:val="0"/>
        <w:tabs>
          <w:tab w:val="left" w:pos="720"/>
        </w:tabs>
        <w:jc w:val="both"/>
        <w:rPr>
          <w:rFonts w:ascii="黑体" w:hAnsi="宋体" w:eastAsia="黑体"/>
          <w:bCs/>
          <w:kern w:val="2"/>
          <w:szCs w:val="22"/>
          <w:lang w:eastAsia="zh-CN"/>
        </w:rPr>
      </w:pPr>
      <w:r>
        <w:rPr>
          <w:rFonts w:hint="eastAsia" w:ascii="黑体" w:hAnsi="宋体" w:eastAsia="黑体" w:cstheme="minorBidi"/>
          <w:bCs/>
          <w:kern w:val="2"/>
          <w:szCs w:val="22"/>
          <w:lang w:eastAsia="zh-CN"/>
        </w:rPr>
        <w:t>1、评标定标信息</w:t>
      </w:r>
    </w:p>
    <w:p w14:paraId="1A155E78">
      <w:pPr>
        <w:widowControl w:val="0"/>
        <w:jc w:val="center"/>
        <w:rPr>
          <w:rFonts w:ascii="Calibri" w:hAnsi="Calibri" w:eastAsia="宋体"/>
          <w:kern w:val="2"/>
          <w:sz w:val="21"/>
          <w:szCs w:val="22"/>
          <w:lang w:eastAsia="zh-CN"/>
        </w:rPr>
      </w:pPr>
      <w:r>
        <w:rPr>
          <w:rFonts w:hint="eastAsia" w:ascii="Calibri" w:hAnsi="Calibri" w:eastAsia="宋体" w:cstheme="minorBidi"/>
          <w:b/>
          <w:kern w:val="2"/>
          <w:sz w:val="21"/>
          <w:szCs w:val="22"/>
          <w:lang w:eastAsia="zh-CN"/>
        </w:rPr>
        <w:t>非评定分离项目</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2"/>
        <w:gridCol w:w="4994"/>
      </w:tblGrid>
      <w:tr w14:paraId="381D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Pr>
          <w:p w14:paraId="42FB5CB1">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评标方法</w:t>
            </w:r>
          </w:p>
        </w:tc>
        <w:tc>
          <w:tcPr>
            <w:tcW w:w="5339" w:type="dxa"/>
          </w:tcPr>
          <w:p w14:paraId="5D6B7051">
            <w:pPr>
              <w:widowControl w:val="0"/>
              <w:jc w:val="center"/>
              <w:rPr>
                <w:rFonts w:ascii="宋体" w:hAnsi="宋体" w:eastAsia="宋体"/>
                <w:kern w:val="2"/>
                <w:sz w:val="21"/>
                <w:szCs w:val="22"/>
                <w:lang w:eastAsia="zh-CN"/>
              </w:rPr>
            </w:pPr>
            <w:r>
              <w:rPr>
                <w:rFonts w:ascii="Wingdings" w:hAnsi="Wingdings" w:eastAsia="宋体" w:cstheme="minorBidi"/>
                <w:kern w:val="2"/>
                <w:sz w:val="21"/>
                <w:szCs w:val="22"/>
                <w:lang w:eastAsia="zh-CN"/>
              </w:rPr>
              <w:sym w:font="Wingdings" w:char="F0FE"/>
            </w:r>
            <w:r>
              <w:rPr>
                <w:rFonts w:hint="eastAsia" w:ascii="宋体" w:hAnsi="宋体" w:eastAsia="宋体" w:cstheme="minorBidi"/>
                <w:kern w:val="2"/>
                <w:sz w:val="21"/>
                <w:szCs w:val="22"/>
                <w:lang w:eastAsia="zh-CN"/>
              </w:rPr>
              <w:t>综合评分法</w:t>
            </w:r>
          </w:p>
        </w:tc>
      </w:tr>
      <w:tr w14:paraId="25B2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25" w:type="dxa"/>
          </w:tcPr>
          <w:p w14:paraId="4C7FFF77">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候选中标供应商家数</w:t>
            </w:r>
          </w:p>
        </w:tc>
        <w:tc>
          <w:tcPr>
            <w:tcW w:w="5339" w:type="dxa"/>
          </w:tcPr>
          <w:p w14:paraId="6130E4E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3</w:t>
            </w:r>
          </w:p>
        </w:tc>
      </w:tr>
      <w:tr w14:paraId="0D99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25" w:type="dxa"/>
          </w:tcPr>
          <w:p w14:paraId="4B7F5782">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中标供应商家数</w:t>
            </w:r>
          </w:p>
        </w:tc>
        <w:tc>
          <w:tcPr>
            <w:tcW w:w="5339" w:type="dxa"/>
          </w:tcPr>
          <w:p w14:paraId="6C9F4AA3">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p>
        </w:tc>
      </w:tr>
    </w:tbl>
    <w:p w14:paraId="3D0555A5">
      <w:pPr>
        <w:widowControl w:val="0"/>
        <w:tabs>
          <w:tab w:val="left" w:pos="720"/>
        </w:tabs>
        <w:spacing w:line="240" w:lineRule="atLeast"/>
        <w:jc w:val="both"/>
        <w:rPr>
          <w:rFonts w:ascii="宋体" w:hAnsi="宋体" w:eastAsia="宋体" w:cs="宋体"/>
          <w:bCs/>
          <w:kern w:val="2"/>
          <w:sz w:val="21"/>
          <w:szCs w:val="21"/>
          <w:lang w:eastAsia="zh-CN"/>
        </w:rPr>
      </w:pPr>
    </w:p>
    <w:p w14:paraId="495A8E84">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（二）其他事项</w:t>
      </w:r>
    </w:p>
    <w:p w14:paraId="42C2E019">
      <w:pPr>
        <w:widowControl w:val="0"/>
        <w:tabs>
          <w:tab w:val="left" w:pos="720"/>
        </w:tabs>
        <w:jc w:val="both"/>
        <w:rPr>
          <w:rFonts w:ascii="黑体" w:hAnsi="宋体" w:eastAsia="黑体"/>
          <w:kern w:val="2"/>
          <w:szCs w:val="22"/>
          <w:lang w:eastAsia="zh-CN"/>
        </w:rPr>
      </w:pPr>
      <w:r>
        <w:rPr>
          <w:rFonts w:hint="eastAsia" w:ascii="黑体" w:hAnsi="宋体" w:eastAsia="黑体" w:cstheme="minorBidi"/>
          <w:kern w:val="2"/>
          <w:szCs w:val="22"/>
          <w:lang w:eastAsia="zh-CN"/>
        </w:rPr>
        <w:t>1、关于享受优惠政策的主体、价格扣除比例及采购标的所属行业</w:t>
      </w:r>
    </w:p>
    <w:p w14:paraId="4279B055">
      <w:pPr>
        <w:widowControl w:val="0"/>
        <w:ind w:firstLine="420" w:firstLineChars="200"/>
        <w:jc w:val="both"/>
        <w:rPr>
          <w:rFonts w:ascii="Calibri" w:hAnsi="Calibri" w:eastAsia="宋体"/>
          <w:kern w:val="2"/>
          <w:sz w:val="21"/>
          <w:szCs w:val="22"/>
          <w:lang w:eastAsia="zh-CN"/>
        </w:rPr>
      </w:pPr>
      <w:r>
        <w:rPr>
          <w:rFonts w:ascii="Calibri" w:hAnsi="Calibri" w:eastAsia="宋体" w:cstheme="minorBidi"/>
          <w:kern w:val="2"/>
          <w:sz w:val="21"/>
          <w:szCs w:val="22"/>
          <w:lang w:eastAsia="zh-CN"/>
        </w:rPr>
        <w:t>1</w:t>
      </w:r>
      <w:r>
        <w:rPr>
          <w:rFonts w:hint="eastAsia" w:ascii="Calibri" w:hAnsi="Calibri" w:eastAsia="宋体" w:cstheme="minorBidi"/>
          <w:kern w:val="2"/>
          <w:sz w:val="21"/>
          <w:szCs w:val="22"/>
          <w:lang w:eastAsia="zh-CN"/>
        </w:rPr>
        <w:t>、关于享受优惠政策的主体及价格扣除比例</w:t>
      </w:r>
    </w:p>
    <w:p w14:paraId="17066D4E">
      <w:pPr>
        <w:widowControl w:val="0"/>
        <w:ind w:firstLine="420" w:firstLineChars="200"/>
        <w:jc w:val="both"/>
        <w:rPr>
          <w:rFonts w:hint="eastAsia" w:ascii="Calibri" w:hAnsi="Calibri" w:eastAsia="宋体"/>
          <w:kern w:val="2"/>
          <w:sz w:val="21"/>
          <w:szCs w:val="22"/>
          <w:lang w:eastAsia="zh-CN"/>
        </w:rPr>
      </w:pPr>
      <w:r>
        <w:rPr>
          <w:rFonts w:hint="eastAsia" w:ascii="Calibri" w:hAnsi="Calibri" w:eastAsia="宋体" w:cstheme="minorBidi"/>
          <w:kern w:val="2"/>
          <w:sz w:val="21"/>
          <w:szCs w:val="22"/>
          <w:lang w:eastAsia="zh-CN"/>
        </w:rPr>
        <w:t>非专门面向中小企业采购的项目，应执行价格扣除比例：投标人提供的货物（以招标文件用户需求书“货物需求明细”的“货物名称”一栏为准）全部均由优惠主体制造的，对其投标总价给予10%的扣除，用扣除后的价格参与评审。满足多项优惠政策的企业，不重复享受多项价格扣除政策。政策调整后价格仅作为评审依据，不作为中标价格。</w:t>
      </w:r>
    </w:p>
    <w:p w14:paraId="405B37CE">
      <w:pPr>
        <w:keepNext w:val="0"/>
        <w:keepLines w:val="0"/>
        <w:pageBreakBefore w:val="0"/>
        <w:widowControl w:val="0"/>
        <w:numPr>
          <w:ilvl w:val="0"/>
          <w:numId w:val="0"/>
        </w:numPr>
        <w:kinsoku/>
        <w:wordWrap/>
        <w:overflowPunct/>
        <w:topLinePunct w:val="0"/>
        <w:autoSpaceDE/>
        <w:autoSpaceDN/>
        <w:bidi w:val="0"/>
        <w:adjustRightInd/>
        <w:snapToGrid/>
        <w:ind w:left="0" w:firstLine="420" w:firstLineChars="200"/>
        <w:jc w:val="both"/>
        <w:textAlignment w:val="auto"/>
        <w:rPr>
          <w:rFonts w:hint="eastAsia" w:ascii="Calibri" w:hAnsi="Calibri" w:eastAsia="宋体"/>
          <w:kern w:val="2"/>
          <w:sz w:val="21"/>
          <w:szCs w:val="21"/>
          <w:lang w:eastAsia="zh-CN"/>
        </w:rPr>
      </w:pPr>
      <w:r>
        <w:rPr>
          <w:rFonts w:hint="eastAsia" w:ascii="Calibri" w:hAnsi="Calibri" w:eastAsia="宋体" w:cstheme="minorBidi"/>
          <w:kern w:val="2"/>
          <w:sz w:val="21"/>
          <w:szCs w:val="22"/>
          <w:lang w:eastAsia="zh-CN"/>
        </w:rPr>
        <w:t>（2）</w:t>
      </w:r>
      <w:r>
        <w:rPr>
          <w:rFonts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kern w:val="2"/>
          <w:sz w:val="21"/>
          <w:szCs w:val="21"/>
          <w:lang w:eastAsia="zh-CN"/>
        </w:rPr>
        <w:t>《中小企业声明函》中相关企业所属行业应当与采购标的所属行业相一致。</w:t>
      </w:r>
      <w:r>
        <w:rPr>
          <w:rFonts w:hint="eastAsia" w:ascii="Calibri" w:hAnsi="Calibri" w:eastAsia="宋体" w:cstheme="minorBidi"/>
          <w:kern w:val="2"/>
          <w:sz w:val="21"/>
          <w:szCs w:val="21"/>
          <w:lang w:eastAsia="zh-CN"/>
        </w:rPr>
        <w:t>本项目采购标的（</w:t>
      </w:r>
      <w:r>
        <w:rPr>
          <w:rFonts w:hint="eastAsia" w:hAnsi="Calibri" w:eastAsia="宋体" w:cstheme="minorBidi"/>
          <w:kern w:val="2"/>
          <w:sz w:val="21"/>
          <w:szCs w:val="21"/>
          <w:lang w:eastAsia="zh-CN"/>
        </w:rPr>
        <w:t>服务需求</w:t>
      </w:r>
      <w:r>
        <w:rPr>
          <w:rFonts w:hint="eastAsia" w:ascii="Calibri" w:hAnsi="Calibri" w:eastAsia="宋体" w:cstheme="minorBidi"/>
          <w:kern w:val="2"/>
          <w:sz w:val="21"/>
          <w:szCs w:val="21"/>
          <w:lang w:eastAsia="zh-CN"/>
        </w:rPr>
        <w:t>）对应的中小企业划分标准所属行业为</w:t>
      </w:r>
      <w:r>
        <w:rPr>
          <w:rFonts w:hint="eastAsia" w:ascii="Calibri" w:hAnsi="Calibri" w:eastAsia="宋体" w:cstheme="minorBidi"/>
          <w:b/>
          <w:bCs/>
          <w:color w:val="FF0000"/>
          <w:kern w:val="2"/>
          <w:sz w:val="21"/>
          <w:szCs w:val="21"/>
          <w:u w:val="single"/>
          <w:lang w:eastAsia="zh-CN"/>
        </w:rPr>
        <w:t>工业</w:t>
      </w:r>
      <w:r>
        <w:rPr>
          <w:rFonts w:hint="eastAsia" w:ascii="Calibri" w:hAnsi="Calibri" w:eastAsia="宋体" w:cstheme="minorBidi"/>
          <w:kern w:val="2"/>
          <w:sz w:val="21"/>
          <w:szCs w:val="21"/>
          <w:lang w:eastAsia="zh-CN"/>
        </w:rPr>
        <w:t>。</w:t>
      </w:r>
    </w:p>
    <w:p w14:paraId="03767BA1">
      <w:pPr>
        <w:keepNext w:val="0"/>
        <w:keepLines w:val="0"/>
        <w:pageBreakBefore w:val="0"/>
        <w:widowControl w:val="0"/>
        <w:numPr>
          <w:ilvl w:val="0"/>
          <w:numId w:val="0"/>
        </w:numPr>
        <w:kinsoku/>
        <w:wordWrap/>
        <w:overflowPunct/>
        <w:topLinePunct w:val="0"/>
        <w:autoSpaceDE/>
        <w:autoSpaceDN/>
        <w:bidi w:val="0"/>
        <w:adjustRightInd/>
        <w:snapToGrid/>
        <w:ind w:left="0" w:firstLine="420" w:firstLineChars="200"/>
        <w:jc w:val="both"/>
        <w:textAlignment w:val="auto"/>
        <w:rPr>
          <w:rFonts w:ascii="Calibri" w:hAnsi="Calibri" w:eastAsia="宋体"/>
          <w:kern w:val="2"/>
          <w:sz w:val="21"/>
          <w:szCs w:val="22"/>
          <w:lang w:eastAsia="zh-CN"/>
        </w:rPr>
      </w:pPr>
      <w:r>
        <w:rPr>
          <w:rFonts w:hint="eastAsia" w:ascii="Calibri" w:hAnsi="Calibri" w:eastAsia="宋体" w:cstheme="minorBidi"/>
          <w:kern w:val="2"/>
          <w:sz w:val="21"/>
          <w:szCs w:val="21"/>
          <w:lang w:eastAsia="zh-CN"/>
        </w:rPr>
        <w:t>（3）小型企业、微</w:t>
      </w:r>
      <w:r>
        <w:rPr>
          <w:rFonts w:hint="eastAsia" w:ascii="Calibri" w:hAnsi="Calibri" w:eastAsia="宋体" w:cstheme="minorBidi"/>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详见采购文件相应章节）。</w:t>
      </w:r>
    </w:p>
    <w:p w14:paraId="166EAF00">
      <w:pPr>
        <w:widowControl w:val="0"/>
        <w:tabs>
          <w:tab w:val="left" w:pos="720"/>
        </w:tabs>
        <w:ind w:firstLine="420" w:firstLineChars="200"/>
        <w:jc w:val="both"/>
        <w:rPr>
          <w:rFonts w:ascii="黑体" w:hAnsi="宋体" w:eastAsia="黑体"/>
          <w:kern w:val="2"/>
          <w:szCs w:val="22"/>
          <w:lang w:eastAsia="zh-CN"/>
        </w:rPr>
      </w:pPr>
      <w:r>
        <w:rPr>
          <w:rFonts w:hint="eastAsia" w:ascii="Calibri" w:hAnsi="Calibri" w:eastAsia="宋体" w:cstheme="minorBidi"/>
          <w:kern w:val="2"/>
          <w:sz w:val="21"/>
          <w:szCs w:val="22"/>
          <w:lang w:eastAsia="zh-CN"/>
        </w:rPr>
        <w:t>（5）享受价格扣除获得政府采购合同的，小微企业不得将合同分包给大中型企业。</w:t>
      </w:r>
    </w:p>
    <w:p w14:paraId="5C45055E">
      <w:pPr>
        <w:widowControl w:val="0"/>
        <w:spacing w:line="360" w:lineRule="auto"/>
        <w:jc w:val="both"/>
        <w:rPr>
          <w:rFonts w:ascii="宋体" w:hAnsi="宋体" w:eastAsia="宋体" w:cs="宋体"/>
          <w:b/>
          <w:bCs/>
          <w:kern w:val="2"/>
          <w:sz w:val="21"/>
          <w:lang w:eastAsia="zh-CN"/>
        </w:rPr>
      </w:pPr>
      <w:r>
        <w:rPr>
          <w:rFonts w:hint="eastAsia" w:ascii="宋体" w:hAnsi="宋体" w:eastAsia="宋体" w:cs="宋体"/>
          <w:b/>
          <w:bCs/>
          <w:kern w:val="2"/>
          <w:sz w:val="21"/>
          <w:lang w:eastAsia="zh-CN"/>
        </w:rPr>
        <w:t>2.关于政府采购订单融资政策</w:t>
      </w:r>
    </w:p>
    <w:p w14:paraId="542C0624">
      <w:pPr>
        <w:widowControl w:val="0"/>
        <w:ind w:firstLine="420" w:firstLineChars="200"/>
        <w:jc w:val="both"/>
        <w:rPr>
          <w:rFonts w:ascii="宋体" w:hAnsi="宋体" w:eastAsia="宋体"/>
          <w:b/>
          <w:kern w:val="2"/>
          <w:sz w:val="21"/>
          <w:lang w:eastAsia="zh-CN"/>
        </w:rPr>
      </w:pPr>
      <w:r>
        <w:rPr>
          <w:rFonts w:hint="eastAsia" w:eastAsia="宋体"/>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25ECB0E6">
      <w:pPr>
        <w:widowControl w:val="0"/>
        <w:tabs>
          <w:tab w:val="left" w:pos="720"/>
        </w:tabs>
        <w:jc w:val="both"/>
        <w:rPr>
          <w:rFonts w:ascii="黑体" w:hAnsi="宋体" w:eastAsia="黑体"/>
          <w:kern w:val="2"/>
          <w:szCs w:val="22"/>
          <w:lang w:eastAsia="zh-CN"/>
        </w:rPr>
      </w:pPr>
    </w:p>
    <w:p w14:paraId="60FB35AE">
      <w:pPr>
        <w:widowControl w:val="0"/>
        <w:tabs>
          <w:tab w:val="left" w:pos="720"/>
        </w:tabs>
        <w:jc w:val="both"/>
        <w:rPr>
          <w:rFonts w:ascii="宋体" w:hAnsi="宋体" w:eastAsia="宋体"/>
          <w:b/>
          <w:bCs/>
          <w:kern w:val="2"/>
          <w:sz w:val="21"/>
          <w:szCs w:val="22"/>
          <w:lang w:eastAsia="zh-CN"/>
        </w:rPr>
      </w:pPr>
      <w:r>
        <w:rPr>
          <w:rFonts w:hint="eastAsia" w:ascii="宋体" w:hAnsi="宋体" w:eastAsia="宋体" w:cstheme="minorBidi"/>
          <w:b/>
          <w:bCs/>
          <w:kern w:val="2"/>
          <w:sz w:val="21"/>
          <w:szCs w:val="22"/>
          <w:lang w:eastAsia="zh-CN"/>
        </w:rPr>
        <w:t>3、</w:t>
      </w:r>
      <w:r>
        <w:rPr>
          <w:rFonts w:ascii="宋体" w:hAnsi="宋体" w:eastAsia="宋体" w:cstheme="minorBidi"/>
          <w:b/>
          <w:bCs/>
          <w:kern w:val="2"/>
          <w:sz w:val="21"/>
          <w:szCs w:val="22"/>
          <w:lang w:eastAsia="zh-CN"/>
        </w:rPr>
        <w:t>本项目将向中标</w:t>
      </w:r>
      <w:r>
        <w:rPr>
          <w:rFonts w:hint="eastAsia" w:ascii="宋体" w:hAnsi="宋体" w:eastAsia="宋体" w:cstheme="minorBidi"/>
          <w:b/>
          <w:bCs/>
          <w:kern w:val="2"/>
          <w:sz w:val="21"/>
          <w:szCs w:val="22"/>
          <w:lang w:eastAsia="zh-CN"/>
        </w:rPr>
        <w:t>（成交）</w:t>
      </w:r>
      <w:r>
        <w:rPr>
          <w:rFonts w:ascii="宋体" w:hAnsi="宋体" w:eastAsia="宋体" w:cstheme="minorBidi"/>
          <w:b/>
          <w:bCs/>
          <w:kern w:val="2"/>
          <w:sz w:val="21"/>
          <w:szCs w:val="22"/>
          <w:lang w:eastAsia="zh-CN"/>
        </w:rPr>
        <w:t>供应商收取代理服务费</w:t>
      </w:r>
      <w:r>
        <w:rPr>
          <w:rFonts w:hint="eastAsia" w:ascii="宋体" w:hAnsi="宋体" w:eastAsia="宋体" w:cstheme="minorBidi"/>
          <w:b/>
          <w:bCs/>
          <w:kern w:val="2"/>
          <w:sz w:val="21"/>
          <w:szCs w:val="22"/>
          <w:lang w:eastAsia="zh-CN"/>
        </w:rPr>
        <w:t>。</w:t>
      </w:r>
    </w:p>
    <w:p w14:paraId="4B97415F">
      <w:pPr>
        <w:widowControl/>
        <w:ind w:firstLine="42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hint="eastAsia" w:ascii="宋体" w:hAnsi="宋体" w:eastAsia="宋体" w:cstheme="minorBidi"/>
          <w:b/>
          <w:bCs/>
          <w:kern w:val="2"/>
          <w:sz w:val="21"/>
          <w:szCs w:val="21"/>
          <w:u w:val="single"/>
          <w:lang w:eastAsia="zh-CN"/>
        </w:rPr>
        <w:t>货物采购</w:t>
      </w:r>
      <w:r>
        <w:rPr>
          <w:rFonts w:hint="eastAsia" w:ascii="宋体" w:hAnsi="宋体" w:eastAsia="宋体" w:cstheme="minorBidi"/>
          <w:kern w:val="2"/>
          <w:sz w:val="21"/>
          <w:szCs w:val="21"/>
          <w:lang w:eastAsia="zh-CN"/>
        </w:rPr>
        <w:t>：</w:t>
      </w:r>
    </w:p>
    <w:p w14:paraId="1AEBBE66">
      <w:pPr>
        <w:widowControl/>
        <w:ind w:firstLine="420"/>
        <w:jc w:val="left"/>
        <w:rPr>
          <w:rFonts w:ascii="宋体" w:hAnsi="宋体" w:eastAsia="宋体"/>
          <w:kern w:val="2"/>
          <w:sz w:val="21"/>
          <w:szCs w:val="21"/>
          <w:lang w:eastAsia="zh-CN"/>
        </w:rPr>
      </w:pPr>
      <w:r>
        <w:rPr>
          <w:rFonts w:hint="eastAsia" w:ascii="宋体" w:hAnsi="宋体" w:eastAsia="宋体" w:cstheme="minorBidi"/>
          <w:kern w:val="2"/>
          <w:sz w:val="21"/>
          <w:szCs w:val="21"/>
          <w:lang w:eastAsia="zh-CN"/>
        </w:rPr>
        <w:t>（1）代理服务费以《中标（成交）通知书》确定的中标（成交）金额作为计算基数，按差额定率累进法计算。</w:t>
      </w:r>
    </w:p>
    <w:p w14:paraId="5331CA3F">
      <w:pPr>
        <w:widowControl/>
        <w:wordWrap w:val="0"/>
        <w:autoSpaceDE w:val="0"/>
        <w:autoSpaceDN w:val="0"/>
        <w:spacing w:line="400" w:lineRule="exact"/>
        <w:ind w:right="808" w:firstLine="420" w:firstLineChars="200"/>
        <w:jc w:val="both"/>
        <w:rPr>
          <w:rFonts w:eastAsia="宋体"/>
          <w:lang w:eastAsia="zh-CN"/>
        </w:rPr>
      </w:pPr>
      <w:r>
        <w:rPr>
          <w:rFonts w:hint="eastAsia" w:eastAsia="宋体"/>
          <w:kern w:val="2"/>
          <w:sz w:val="21"/>
          <w:lang w:eastAsia="zh-CN"/>
        </w:rPr>
        <w:t>（2）</w:t>
      </w:r>
      <w:r>
        <w:rPr>
          <w:rFonts w:hint="eastAsia" w:eastAsia="宋体"/>
          <w:lang w:eastAsia="zh-CN"/>
        </w:rPr>
        <w:t>招标代理服务费</w:t>
      </w:r>
    </w:p>
    <w:p w14:paraId="6C653E1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3"/>
        <w:gridCol w:w="1914"/>
        <w:gridCol w:w="1914"/>
        <w:gridCol w:w="1825"/>
      </w:tblGrid>
      <w:tr w14:paraId="79F9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0B4BE20F">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服费务类率型</w:t>
            </w:r>
          </w:p>
          <w:p w14:paraId="60FBB541">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中标金额</w:t>
            </w:r>
          </w:p>
        </w:tc>
        <w:tc>
          <w:tcPr>
            <w:tcW w:w="1843" w:type="dxa"/>
            <w:shd w:val="clear" w:color="auto" w:fill="auto"/>
            <w:vAlign w:val="center"/>
          </w:tcPr>
          <w:p w14:paraId="50BBE1C6">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货物采购</w:t>
            </w:r>
          </w:p>
        </w:tc>
        <w:tc>
          <w:tcPr>
            <w:tcW w:w="1843" w:type="dxa"/>
            <w:shd w:val="clear" w:color="auto" w:fill="auto"/>
            <w:vAlign w:val="center"/>
          </w:tcPr>
          <w:p w14:paraId="5FFCBFD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服务采购</w:t>
            </w:r>
          </w:p>
        </w:tc>
        <w:tc>
          <w:tcPr>
            <w:tcW w:w="1758" w:type="dxa"/>
            <w:shd w:val="clear" w:color="auto" w:fill="auto"/>
            <w:vAlign w:val="center"/>
          </w:tcPr>
          <w:p w14:paraId="1B78051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工程采购</w:t>
            </w:r>
          </w:p>
        </w:tc>
      </w:tr>
      <w:tr w14:paraId="6DDD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085" w:type="dxa"/>
            <w:shd w:val="clear" w:color="auto" w:fill="auto"/>
            <w:vAlign w:val="center"/>
          </w:tcPr>
          <w:p w14:paraId="60BA3063">
            <w:pPr>
              <w:widowControl w:val="0"/>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100 万元以下</w:t>
            </w:r>
          </w:p>
        </w:tc>
        <w:tc>
          <w:tcPr>
            <w:tcW w:w="1843" w:type="dxa"/>
            <w:shd w:val="clear" w:color="auto" w:fill="auto"/>
            <w:vAlign w:val="center"/>
          </w:tcPr>
          <w:p w14:paraId="27642C73">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1.5%</w:t>
            </w:r>
          </w:p>
        </w:tc>
        <w:tc>
          <w:tcPr>
            <w:tcW w:w="1843" w:type="dxa"/>
            <w:shd w:val="clear" w:color="auto" w:fill="auto"/>
            <w:vAlign w:val="center"/>
          </w:tcPr>
          <w:p w14:paraId="2764B96E">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1.5%</w:t>
            </w:r>
          </w:p>
        </w:tc>
        <w:tc>
          <w:tcPr>
            <w:tcW w:w="1758" w:type="dxa"/>
            <w:shd w:val="clear" w:color="auto" w:fill="auto"/>
            <w:vAlign w:val="center"/>
          </w:tcPr>
          <w:p w14:paraId="45DBD475">
            <w:pPr>
              <w:widowControl w:val="0"/>
              <w:jc w:val="center"/>
              <w:rPr>
                <w:rFonts w:ascii="宋体" w:hAnsi="宋体" w:eastAsia="宋体" w:cs="宋体"/>
                <w:kern w:val="2"/>
                <w:sz w:val="21"/>
                <w:szCs w:val="22"/>
                <w:lang w:eastAsia="zh-CN"/>
              </w:rPr>
            </w:pPr>
            <w:r>
              <w:rPr>
                <w:rFonts w:hint="eastAsia" w:ascii="宋体" w:hAnsi="宋体" w:eastAsia="宋体" w:cs="宋体"/>
                <w:kern w:val="2"/>
                <w:sz w:val="21"/>
                <w:szCs w:val="22"/>
                <w:lang w:eastAsia="zh-CN"/>
              </w:rPr>
              <w:t>1.0%</w:t>
            </w:r>
          </w:p>
        </w:tc>
      </w:tr>
      <w:tr w14:paraId="192D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1B6B68B3">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100 万元（含）-500 万元</w:t>
            </w:r>
          </w:p>
        </w:tc>
        <w:tc>
          <w:tcPr>
            <w:tcW w:w="1843" w:type="dxa"/>
            <w:shd w:val="clear" w:color="auto" w:fill="auto"/>
            <w:vAlign w:val="center"/>
          </w:tcPr>
          <w:p w14:paraId="654E79AA">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1.1%</w:t>
            </w:r>
          </w:p>
        </w:tc>
        <w:tc>
          <w:tcPr>
            <w:tcW w:w="1843" w:type="dxa"/>
            <w:shd w:val="clear" w:color="auto" w:fill="auto"/>
            <w:vAlign w:val="center"/>
          </w:tcPr>
          <w:p w14:paraId="6199A50A">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0.8%</w:t>
            </w:r>
          </w:p>
        </w:tc>
        <w:tc>
          <w:tcPr>
            <w:tcW w:w="1758" w:type="dxa"/>
            <w:shd w:val="clear" w:color="auto" w:fill="auto"/>
            <w:vAlign w:val="center"/>
          </w:tcPr>
          <w:p w14:paraId="514BFE19">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0.7%</w:t>
            </w:r>
          </w:p>
        </w:tc>
      </w:tr>
      <w:tr w14:paraId="60A6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12DCA140">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500 万元（含）-1000 万元</w:t>
            </w:r>
          </w:p>
        </w:tc>
        <w:tc>
          <w:tcPr>
            <w:tcW w:w="1843" w:type="dxa"/>
            <w:shd w:val="clear" w:color="auto" w:fill="auto"/>
            <w:vAlign w:val="center"/>
          </w:tcPr>
          <w:p w14:paraId="71436B9D">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0.8%</w:t>
            </w:r>
          </w:p>
        </w:tc>
        <w:tc>
          <w:tcPr>
            <w:tcW w:w="1843" w:type="dxa"/>
            <w:shd w:val="clear" w:color="auto" w:fill="auto"/>
            <w:vAlign w:val="center"/>
          </w:tcPr>
          <w:p w14:paraId="16F2B9B2">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0.45%</w:t>
            </w:r>
          </w:p>
        </w:tc>
        <w:tc>
          <w:tcPr>
            <w:tcW w:w="1758" w:type="dxa"/>
            <w:shd w:val="clear" w:color="auto" w:fill="auto"/>
            <w:vAlign w:val="center"/>
          </w:tcPr>
          <w:p w14:paraId="4FFBF697">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0.55%</w:t>
            </w:r>
          </w:p>
        </w:tc>
      </w:tr>
      <w:tr w14:paraId="4802A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6C8B2076">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1000 万元（含）-5000 万元</w:t>
            </w:r>
          </w:p>
        </w:tc>
        <w:tc>
          <w:tcPr>
            <w:tcW w:w="1843" w:type="dxa"/>
            <w:shd w:val="clear" w:color="auto" w:fill="auto"/>
            <w:vAlign w:val="center"/>
          </w:tcPr>
          <w:p w14:paraId="1D1797D2">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0.5%</w:t>
            </w:r>
          </w:p>
        </w:tc>
        <w:tc>
          <w:tcPr>
            <w:tcW w:w="1843" w:type="dxa"/>
            <w:shd w:val="clear" w:color="auto" w:fill="auto"/>
            <w:vAlign w:val="center"/>
          </w:tcPr>
          <w:p w14:paraId="7DCA37B3">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0.25%</w:t>
            </w:r>
          </w:p>
        </w:tc>
        <w:tc>
          <w:tcPr>
            <w:tcW w:w="1758" w:type="dxa"/>
            <w:shd w:val="clear" w:color="auto" w:fill="auto"/>
            <w:vAlign w:val="center"/>
          </w:tcPr>
          <w:p w14:paraId="2D011E51">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0.35%</w:t>
            </w:r>
          </w:p>
        </w:tc>
      </w:tr>
      <w:tr w14:paraId="3637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0181B00C">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5000 万元（含）-1 亿元</w:t>
            </w:r>
          </w:p>
        </w:tc>
        <w:tc>
          <w:tcPr>
            <w:tcW w:w="1843" w:type="dxa"/>
            <w:shd w:val="clear" w:color="auto" w:fill="auto"/>
            <w:vAlign w:val="center"/>
          </w:tcPr>
          <w:p w14:paraId="2DBE528B">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0.25%</w:t>
            </w:r>
          </w:p>
        </w:tc>
        <w:tc>
          <w:tcPr>
            <w:tcW w:w="1843" w:type="dxa"/>
            <w:shd w:val="clear" w:color="auto" w:fill="auto"/>
            <w:vAlign w:val="center"/>
          </w:tcPr>
          <w:p w14:paraId="6E48A668">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0.1%</w:t>
            </w:r>
          </w:p>
        </w:tc>
        <w:tc>
          <w:tcPr>
            <w:tcW w:w="1758" w:type="dxa"/>
            <w:shd w:val="clear" w:color="auto" w:fill="auto"/>
            <w:vAlign w:val="center"/>
          </w:tcPr>
          <w:p w14:paraId="368BD998">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0.2%</w:t>
            </w:r>
          </w:p>
        </w:tc>
      </w:tr>
      <w:tr w14:paraId="4876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54902E45">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 亿元（含）-5 亿</w:t>
            </w:r>
          </w:p>
        </w:tc>
        <w:tc>
          <w:tcPr>
            <w:tcW w:w="1843" w:type="dxa"/>
            <w:shd w:val="clear" w:color="auto" w:fill="auto"/>
            <w:vAlign w:val="center"/>
          </w:tcPr>
          <w:p w14:paraId="2FB305CA">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0.05%</w:t>
            </w:r>
          </w:p>
        </w:tc>
        <w:tc>
          <w:tcPr>
            <w:tcW w:w="1843" w:type="dxa"/>
            <w:shd w:val="clear" w:color="auto" w:fill="auto"/>
            <w:vAlign w:val="center"/>
          </w:tcPr>
          <w:p w14:paraId="7B9904E5">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0.05%</w:t>
            </w:r>
          </w:p>
        </w:tc>
        <w:tc>
          <w:tcPr>
            <w:tcW w:w="1758" w:type="dxa"/>
            <w:shd w:val="clear" w:color="auto" w:fill="auto"/>
            <w:vAlign w:val="center"/>
          </w:tcPr>
          <w:p w14:paraId="7639DBE5">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0.05%</w:t>
            </w:r>
          </w:p>
        </w:tc>
      </w:tr>
      <w:tr w14:paraId="34A3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198B6200">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color w:val="333333"/>
                <w:kern w:val="2"/>
                <w:sz w:val="21"/>
                <w:szCs w:val="21"/>
                <w:lang w:eastAsia="zh-CN"/>
              </w:rPr>
              <w:t>5 亿元（含）-10 亿元</w:t>
            </w:r>
          </w:p>
        </w:tc>
        <w:tc>
          <w:tcPr>
            <w:tcW w:w="1843" w:type="dxa"/>
            <w:shd w:val="clear" w:color="auto" w:fill="auto"/>
            <w:vAlign w:val="center"/>
          </w:tcPr>
          <w:p w14:paraId="668DDC55">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0.035%</w:t>
            </w:r>
          </w:p>
        </w:tc>
        <w:tc>
          <w:tcPr>
            <w:tcW w:w="1843" w:type="dxa"/>
            <w:shd w:val="clear" w:color="auto" w:fill="auto"/>
            <w:vAlign w:val="center"/>
          </w:tcPr>
          <w:p w14:paraId="7B1CA9A9">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0.035%</w:t>
            </w:r>
          </w:p>
        </w:tc>
        <w:tc>
          <w:tcPr>
            <w:tcW w:w="1758" w:type="dxa"/>
            <w:shd w:val="clear" w:color="auto" w:fill="auto"/>
            <w:vAlign w:val="center"/>
          </w:tcPr>
          <w:p w14:paraId="5ED6366E">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0.035%</w:t>
            </w:r>
          </w:p>
        </w:tc>
      </w:tr>
      <w:tr w14:paraId="768A1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4C35FE97">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 亿元（含）-50 亿元</w:t>
            </w:r>
          </w:p>
        </w:tc>
        <w:tc>
          <w:tcPr>
            <w:tcW w:w="1843" w:type="dxa"/>
            <w:shd w:val="clear" w:color="auto" w:fill="auto"/>
            <w:vAlign w:val="center"/>
          </w:tcPr>
          <w:p w14:paraId="2775CE33">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0.008%</w:t>
            </w:r>
          </w:p>
        </w:tc>
        <w:tc>
          <w:tcPr>
            <w:tcW w:w="1843" w:type="dxa"/>
            <w:shd w:val="clear" w:color="auto" w:fill="auto"/>
            <w:vAlign w:val="center"/>
          </w:tcPr>
          <w:p w14:paraId="16077BA6">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0.008%</w:t>
            </w:r>
          </w:p>
        </w:tc>
        <w:tc>
          <w:tcPr>
            <w:tcW w:w="1758" w:type="dxa"/>
            <w:shd w:val="clear" w:color="auto" w:fill="auto"/>
            <w:vAlign w:val="center"/>
          </w:tcPr>
          <w:p w14:paraId="0675CE46">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0.008%</w:t>
            </w:r>
          </w:p>
        </w:tc>
      </w:tr>
      <w:tr w14:paraId="3DB5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5A94C8EF">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50 亿元（含）-100 亿元</w:t>
            </w:r>
          </w:p>
        </w:tc>
        <w:tc>
          <w:tcPr>
            <w:tcW w:w="1843" w:type="dxa"/>
            <w:shd w:val="clear" w:color="auto" w:fill="auto"/>
            <w:vAlign w:val="center"/>
          </w:tcPr>
          <w:p w14:paraId="684CCC08">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0.006%</w:t>
            </w:r>
          </w:p>
        </w:tc>
        <w:tc>
          <w:tcPr>
            <w:tcW w:w="1843" w:type="dxa"/>
            <w:shd w:val="clear" w:color="auto" w:fill="auto"/>
            <w:vAlign w:val="center"/>
          </w:tcPr>
          <w:p w14:paraId="429AAA66">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0.006%</w:t>
            </w:r>
          </w:p>
        </w:tc>
        <w:tc>
          <w:tcPr>
            <w:tcW w:w="1758" w:type="dxa"/>
            <w:shd w:val="clear" w:color="auto" w:fill="auto"/>
            <w:vAlign w:val="center"/>
          </w:tcPr>
          <w:p w14:paraId="4A66BBF5">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0.006%</w:t>
            </w:r>
          </w:p>
        </w:tc>
      </w:tr>
      <w:tr w14:paraId="5011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shd w:val="clear" w:color="auto" w:fill="auto"/>
            <w:vAlign w:val="center"/>
          </w:tcPr>
          <w:p w14:paraId="241E2125">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100 亿元（含）以</w:t>
            </w:r>
          </w:p>
        </w:tc>
        <w:tc>
          <w:tcPr>
            <w:tcW w:w="1843" w:type="dxa"/>
            <w:shd w:val="clear" w:color="auto" w:fill="auto"/>
            <w:vAlign w:val="center"/>
          </w:tcPr>
          <w:p w14:paraId="53CF9AB1">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0.004%</w:t>
            </w:r>
          </w:p>
        </w:tc>
        <w:tc>
          <w:tcPr>
            <w:tcW w:w="1843" w:type="dxa"/>
            <w:shd w:val="clear" w:color="auto" w:fill="auto"/>
            <w:vAlign w:val="center"/>
          </w:tcPr>
          <w:p w14:paraId="161A6FB6">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0.004%</w:t>
            </w:r>
          </w:p>
        </w:tc>
        <w:tc>
          <w:tcPr>
            <w:tcW w:w="1758" w:type="dxa"/>
            <w:shd w:val="clear" w:color="auto" w:fill="auto"/>
            <w:vAlign w:val="center"/>
          </w:tcPr>
          <w:p w14:paraId="514589D2">
            <w:pPr>
              <w:widowControl/>
              <w:spacing w:line="360" w:lineRule="auto"/>
              <w:jc w:val="center"/>
              <w:rPr>
                <w:rFonts w:ascii="宋体" w:hAnsi="宋体" w:eastAsia="宋体" w:cs="宋体"/>
                <w:kern w:val="2"/>
                <w:sz w:val="21"/>
                <w:szCs w:val="21"/>
                <w:lang w:eastAsia="zh-CN"/>
              </w:rPr>
            </w:pPr>
            <w:r>
              <w:rPr>
                <w:rFonts w:hint="eastAsia" w:ascii="宋体" w:hAnsi="宋体" w:eastAsia="宋体" w:cs="宋体"/>
                <w:kern w:val="2"/>
                <w:sz w:val="21"/>
                <w:szCs w:val="21"/>
                <w:lang w:eastAsia="zh-CN"/>
              </w:rPr>
              <w:t>0.004%</w:t>
            </w:r>
          </w:p>
        </w:tc>
      </w:tr>
    </w:tbl>
    <w:p w14:paraId="25118A07">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注：</w:t>
      </w:r>
    </w:p>
    <w:p w14:paraId="7B67EA03">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（1）按本表费率计算的收费为招标代理服务的收费基准价格。</w:t>
      </w:r>
    </w:p>
    <w:p w14:paraId="5873496D">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（2）招标代理服务收费按差额定率累进法计算。</w:t>
      </w:r>
    </w:p>
    <w:p w14:paraId="4E47543B">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例如：某服务招标代理业务中标金额为600万元，计算招标代理服务收费额如下：</w:t>
      </w:r>
    </w:p>
    <w:p w14:paraId="6006BA5D">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100万元×1.5%=1.5万元</w:t>
      </w:r>
    </w:p>
    <w:p w14:paraId="6E108AF5">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（500-100）万元×0.8%=3.2万元</w:t>
      </w:r>
    </w:p>
    <w:p w14:paraId="58254890">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（600-500）万元×0.45%=0.45万元</w:t>
      </w:r>
    </w:p>
    <w:p w14:paraId="5F377D98">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合计收费=1.5+3.2+0.45=5.15万元</w:t>
      </w:r>
    </w:p>
    <w:p w14:paraId="2417E4C5">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备注：最低收费不低于人民币6000元。代理服务费用超过6000元，则按国家计费规定收取代理服务费。</w:t>
      </w:r>
    </w:p>
    <w:p w14:paraId="4E46043D">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收款单位：深圳市千里招标代理有限公司</w:t>
      </w:r>
    </w:p>
    <w:p w14:paraId="4BC7D5B7">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开户银行：中国平安银行深圳创业路支行</w:t>
      </w:r>
    </w:p>
    <w:p w14:paraId="346E41B7">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帐号：（人民币）15000094959311（用于支付标书费和中标服务费）</w:t>
      </w:r>
    </w:p>
    <w:p w14:paraId="5523A3FC">
      <w:pPr>
        <w:widowControl w:val="0"/>
        <w:spacing w:line="360" w:lineRule="auto"/>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中标人须在中标公告公示期结束后，领取《中标通知书》前，向招标（采购）代理机构缴纳招标代理服务费。</w:t>
      </w:r>
    </w:p>
    <w:p w14:paraId="7CAD4F42">
      <w:pPr>
        <w:widowControl/>
        <w:spacing w:line="360" w:lineRule="auto"/>
        <w:ind w:firstLine="42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招标代理服务费以转账、银行汇票形式交付。</w:t>
      </w:r>
    </w:p>
    <w:p w14:paraId="52FB5970">
      <w:pPr>
        <w:widowControl/>
        <w:jc w:val="left"/>
        <w:rPr>
          <w:rFonts w:ascii="宋体" w:hAnsi="宋体" w:eastAsia="黑体"/>
          <w:bCs/>
          <w:kern w:val="44"/>
          <w:sz w:val="28"/>
          <w:szCs w:val="44"/>
          <w:lang w:eastAsia="zh-CN"/>
        </w:rPr>
      </w:pPr>
      <w:r>
        <w:rPr>
          <w:rFonts w:ascii="宋体" w:hAnsi="宋体" w:eastAsia="黑体"/>
          <w:bCs/>
          <w:kern w:val="44"/>
          <w:sz w:val="28"/>
          <w:szCs w:val="44"/>
          <w:lang w:eastAsia="zh-CN"/>
        </w:rPr>
        <w:br w:type="page"/>
      </w:r>
    </w:p>
    <w:p w14:paraId="64473769">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第三章  用户需求书</w:t>
      </w:r>
    </w:p>
    <w:p w14:paraId="1A73835C">
      <w:pPr>
        <w:keepNext/>
        <w:keepLines/>
        <w:widowControl w:val="0"/>
        <w:tabs>
          <w:tab w:val="left" w:pos="1680"/>
        </w:tabs>
        <w:spacing w:before="260" w:after="60" w:afterLines="25"/>
        <w:jc w:val="center"/>
        <w:outlineLvl w:val="2"/>
        <w:rPr>
          <w:rFonts w:ascii="Arial" w:hAnsi="Arial" w:eastAsia="宋体"/>
          <w:b/>
          <w:kern w:val="2"/>
          <w:sz w:val="32"/>
          <w:szCs w:val="32"/>
          <w:lang w:eastAsia="zh-CN"/>
        </w:rPr>
      </w:pPr>
      <w:r>
        <w:rPr>
          <w:rFonts w:hint="eastAsia" w:ascii="Arial" w:hAnsi="Arial" w:eastAsia="宋体"/>
          <w:b/>
          <w:kern w:val="2"/>
          <w:sz w:val="32"/>
          <w:szCs w:val="32"/>
          <w:lang w:eastAsia="zh-CN"/>
        </w:rPr>
        <w:t>一、项目基本信息</w:t>
      </w:r>
    </w:p>
    <w:tbl>
      <w:tblPr>
        <w:tblStyle w:val="9"/>
        <w:tblW w:w="5000" w:type="pct"/>
        <w:jc w:val="center"/>
        <w:tblLayout w:type="fixed"/>
        <w:tblCellMar>
          <w:top w:w="15" w:type="dxa"/>
          <w:left w:w="15" w:type="dxa"/>
          <w:bottom w:w="15" w:type="dxa"/>
          <w:right w:w="15" w:type="dxa"/>
        </w:tblCellMar>
      </w:tblPr>
      <w:tblGrid>
        <w:gridCol w:w="752"/>
        <w:gridCol w:w="2594"/>
        <w:gridCol w:w="2799"/>
        <w:gridCol w:w="2525"/>
      </w:tblGrid>
      <w:tr w14:paraId="778A268C">
        <w:tblPrEx>
          <w:tblCellMar>
            <w:top w:w="15" w:type="dxa"/>
            <w:left w:w="15" w:type="dxa"/>
            <w:bottom w:w="15" w:type="dxa"/>
            <w:right w:w="15" w:type="dxa"/>
          </w:tblCellMar>
        </w:tblPrEx>
        <w:trPr>
          <w:trHeight w:val="552" w:hRule="atLeast"/>
          <w:jc w:val="center"/>
        </w:trPr>
        <w:tc>
          <w:tcPr>
            <w:tcW w:w="78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9720974">
            <w:pPr>
              <w:widowControl w:val="0"/>
              <w:jc w:val="center"/>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序号</w:t>
            </w:r>
          </w:p>
        </w:tc>
        <w:tc>
          <w:tcPr>
            <w:tcW w:w="2693"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A8BC50E">
            <w:pPr>
              <w:widowControl w:val="0"/>
              <w:jc w:val="center"/>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项目编号</w:t>
            </w:r>
          </w:p>
        </w:tc>
        <w:tc>
          <w:tcPr>
            <w:tcW w:w="29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2578E">
            <w:pPr>
              <w:widowControl w:val="0"/>
              <w:jc w:val="center"/>
              <w:rPr>
                <w:rFonts w:ascii="Calibri" w:hAnsi="Calibri" w:eastAsia="宋体"/>
                <w:b/>
                <w:kern w:val="2"/>
                <w:sz w:val="21"/>
                <w:szCs w:val="21"/>
                <w:lang w:eastAsia="zh-CN"/>
              </w:rPr>
            </w:pPr>
            <w:r>
              <w:rPr>
                <w:rFonts w:hint="eastAsia" w:ascii="Calibri" w:hAnsi="Calibri" w:eastAsia="宋体" w:cstheme="minorBidi"/>
                <w:b/>
                <w:kern w:val="2"/>
                <w:sz w:val="21"/>
                <w:szCs w:val="21"/>
                <w:lang w:eastAsia="zh-CN"/>
              </w:rPr>
              <w:t>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7D11F">
            <w:pPr>
              <w:widowControl w:val="0"/>
              <w:jc w:val="center"/>
              <w:rPr>
                <w:rFonts w:ascii="Calibri" w:hAnsi="Calibri" w:eastAsia="宋体"/>
                <w:b/>
                <w:kern w:val="2"/>
                <w:sz w:val="21"/>
                <w:szCs w:val="21"/>
                <w:lang w:eastAsia="zh-CN"/>
              </w:rPr>
            </w:pPr>
            <w:r>
              <w:rPr>
                <w:rFonts w:hint="eastAsia" w:ascii="宋体" w:hAnsi="宋体" w:eastAsia="宋体" w:cstheme="minorBidi"/>
                <w:b/>
                <w:kern w:val="2"/>
                <w:sz w:val="21"/>
                <w:szCs w:val="21"/>
                <w:lang w:eastAsia="zh-CN"/>
              </w:rPr>
              <w:t>财政预算限额（元）</w:t>
            </w:r>
          </w:p>
        </w:tc>
      </w:tr>
      <w:tr w14:paraId="6CC38614">
        <w:tblPrEx>
          <w:tblCellMar>
            <w:top w:w="15" w:type="dxa"/>
            <w:left w:w="15" w:type="dxa"/>
            <w:bottom w:w="15" w:type="dxa"/>
            <w:right w:w="15" w:type="dxa"/>
          </w:tblCellMar>
        </w:tblPrEx>
        <w:trPr>
          <w:trHeight w:val="485" w:hRule="atLeast"/>
          <w:jc w:val="center"/>
        </w:trPr>
        <w:tc>
          <w:tcPr>
            <w:tcW w:w="780" w:type="dxa"/>
            <w:tcBorders>
              <w:top w:val="single" w:color="000000" w:sz="4" w:space="0"/>
              <w:left w:val="single" w:color="000000" w:sz="4" w:space="0"/>
              <w:bottom w:val="single" w:color="000000" w:sz="4" w:space="0"/>
              <w:right w:val="single" w:color="auto" w:sz="4" w:space="0"/>
            </w:tcBorders>
            <w:vAlign w:val="center"/>
          </w:tcPr>
          <w:p w14:paraId="5A4FDACE">
            <w:pPr>
              <w:widowControl w:val="0"/>
              <w:jc w:val="center"/>
              <w:rPr>
                <w:rFonts w:ascii="宋体" w:hAnsi="宋体" w:eastAsia="宋体"/>
                <w:kern w:val="2"/>
                <w:sz w:val="21"/>
                <w:szCs w:val="21"/>
                <w:lang w:eastAsia="zh-CN"/>
              </w:rPr>
            </w:pPr>
            <w:r>
              <w:rPr>
                <w:rFonts w:hint="eastAsia" w:ascii="宋体" w:hAnsi="宋体" w:eastAsia="宋体" w:cstheme="minorBidi"/>
                <w:kern w:val="2"/>
                <w:sz w:val="21"/>
                <w:szCs w:val="21"/>
                <w:lang w:eastAsia="zh-CN"/>
              </w:rPr>
              <w:t>1</w:t>
            </w:r>
          </w:p>
        </w:tc>
        <w:tc>
          <w:tcPr>
            <w:tcW w:w="2693" w:type="dxa"/>
            <w:tcBorders>
              <w:top w:val="single" w:color="000000" w:sz="4" w:space="0"/>
              <w:left w:val="single" w:color="auto" w:sz="4" w:space="0"/>
              <w:bottom w:val="single" w:color="000000" w:sz="4" w:space="0"/>
              <w:right w:val="single" w:color="000000" w:sz="4" w:space="0"/>
            </w:tcBorders>
            <w:vAlign w:val="center"/>
          </w:tcPr>
          <w:p w14:paraId="52592E80">
            <w:pPr>
              <w:widowControl w:val="0"/>
              <w:jc w:val="center"/>
              <w:rPr>
                <w:rFonts w:hint="eastAsia" w:ascii="宋体" w:hAnsi="宋体" w:eastAsia="宋体"/>
                <w:kern w:val="2"/>
                <w:sz w:val="21"/>
                <w:szCs w:val="21"/>
                <w:lang w:eastAsia="zh-CN"/>
              </w:rPr>
            </w:pPr>
            <w:r>
              <w:rPr>
                <w:rFonts w:hint="eastAsia" w:ascii="宋体" w:hAnsi="宋体" w:eastAsia="宋体" w:cstheme="minorBidi"/>
                <w:kern w:val="2"/>
                <w:sz w:val="21"/>
                <w:szCs w:val="21"/>
                <w:lang w:eastAsia="zh-CN"/>
              </w:rPr>
              <w:t>LHAZXDL-2024-00161</w:t>
            </w:r>
          </w:p>
        </w:tc>
        <w:tc>
          <w:tcPr>
            <w:tcW w:w="2906" w:type="dxa"/>
            <w:tcBorders>
              <w:top w:val="single" w:color="000000" w:sz="4" w:space="0"/>
              <w:left w:val="single" w:color="000000" w:sz="4" w:space="0"/>
              <w:bottom w:val="single" w:color="auto" w:sz="4" w:space="0"/>
              <w:right w:val="single" w:color="000000" w:sz="4" w:space="0"/>
            </w:tcBorders>
            <w:vAlign w:val="center"/>
          </w:tcPr>
          <w:p w14:paraId="4EF31C3C">
            <w:pPr>
              <w:widowControl w:val="0"/>
              <w:jc w:val="center"/>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观澜校区物化实验AI考评系统采购</w:t>
            </w:r>
          </w:p>
        </w:tc>
        <w:tc>
          <w:tcPr>
            <w:tcW w:w="2622" w:type="dxa"/>
            <w:tcBorders>
              <w:top w:val="single" w:color="000000" w:sz="4" w:space="0"/>
              <w:left w:val="single" w:color="000000" w:sz="4" w:space="0"/>
              <w:bottom w:val="single" w:color="auto" w:sz="4" w:space="0"/>
              <w:right w:val="single" w:color="000000" w:sz="4" w:space="0"/>
            </w:tcBorders>
            <w:vAlign w:val="center"/>
          </w:tcPr>
          <w:p w14:paraId="217D5AD4">
            <w:pPr>
              <w:widowControl w:val="0"/>
              <w:jc w:val="center"/>
              <w:rPr>
                <w:rFonts w:ascii="宋体" w:hAnsi="宋体" w:eastAsia="宋体"/>
                <w:kern w:val="2"/>
                <w:sz w:val="21"/>
                <w:szCs w:val="21"/>
                <w:lang w:eastAsia="zh-CN"/>
              </w:rPr>
            </w:pPr>
            <w:r>
              <w:rPr>
                <w:rFonts w:hint="eastAsia" w:ascii="宋体" w:hAnsi="宋体" w:eastAsia="宋体"/>
                <w:kern w:val="2"/>
                <w:sz w:val="21"/>
                <w:szCs w:val="21"/>
                <w:lang w:eastAsia="zh-CN"/>
              </w:rPr>
              <w:t>824,000.00</w:t>
            </w:r>
          </w:p>
        </w:tc>
      </w:tr>
    </w:tbl>
    <w:p w14:paraId="1EDA29E0">
      <w:pPr>
        <w:keepNext/>
        <w:keepLines/>
        <w:widowControl w:val="0"/>
        <w:tabs>
          <w:tab w:val="left" w:pos="1680"/>
        </w:tabs>
        <w:spacing w:before="260" w:after="60" w:afterLines="25"/>
        <w:jc w:val="center"/>
        <w:outlineLvl w:val="2"/>
        <w:rPr>
          <w:rFonts w:hint="eastAsia" w:ascii="宋体" w:hAnsi="宋体" w:eastAsia="宋体"/>
          <w:b/>
          <w:color w:val="000000"/>
          <w:sz w:val="21"/>
          <w:szCs w:val="21"/>
          <w:lang w:eastAsia="zh-CN"/>
        </w:rPr>
      </w:pPr>
      <w:r>
        <w:rPr>
          <w:rFonts w:hint="eastAsia" w:ascii="Arial" w:hAnsi="Arial" w:eastAsia="宋体"/>
          <w:b/>
          <w:kern w:val="2"/>
          <w:sz w:val="32"/>
          <w:szCs w:val="32"/>
          <w:lang w:eastAsia="zh-CN"/>
        </w:rPr>
        <w:t>二、货物需求明细</w:t>
      </w:r>
      <w:bookmarkStart w:id="13" w:name="_Toc128884461"/>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91"/>
        <w:gridCol w:w="985"/>
        <w:gridCol w:w="846"/>
        <w:gridCol w:w="1224"/>
        <w:gridCol w:w="2064"/>
      </w:tblGrid>
      <w:tr w14:paraId="65B6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32" w:type="dxa"/>
            <w:noWrap w:val="0"/>
            <w:vAlign w:val="center"/>
          </w:tcPr>
          <w:p w14:paraId="3C180BE8">
            <w:pPr>
              <w:widowControl w:val="0"/>
              <w:jc w:val="center"/>
              <w:rPr>
                <w:rFonts w:hint="eastAsia" w:ascii="Calibri" w:hAnsi="Calibri" w:eastAsia="宋体"/>
                <w:b/>
                <w:kern w:val="2"/>
                <w:sz w:val="21"/>
                <w:szCs w:val="21"/>
                <w:lang w:eastAsia="zh-CN"/>
              </w:rPr>
            </w:pPr>
            <w:r>
              <w:rPr>
                <w:rFonts w:hint="eastAsia" w:ascii="Calibri" w:hAnsi="Calibri" w:eastAsia="宋体" w:cstheme="minorBidi"/>
                <w:b/>
                <w:kern w:val="2"/>
                <w:sz w:val="21"/>
                <w:szCs w:val="21"/>
                <w:lang w:eastAsia="zh-CN"/>
              </w:rPr>
              <w:t>序号</w:t>
            </w:r>
          </w:p>
        </w:tc>
        <w:tc>
          <w:tcPr>
            <w:tcW w:w="2839" w:type="dxa"/>
            <w:noWrap w:val="0"/>
            <w:vAlign w:val="center"/>
          </w:tcPr>
          <w:p w14:paraId="7AF90FCC">
            <w:pPr>
              <w:widowControl w:val="0"/>
              <w:jc w:val="center"/>
              <w:rPr>
                <w:rFonts w:hint="eastAsia" w:ascii="Calibri" w:hAnsi="Calibri" w:eastAsia="宋体"/>
                <w:b/>
                <w:kern w:val="2"/>
                <w:sz w:val="21"/>
                <w:szCs w:val="21"/>
                <w:lang w:eastAsia="zh-CN"/>
              </w:rPr>
            </w:pPr>
            <w:r>
              <w:rPr>
                <w:rFonts w:hint="eastAsia" w:ascii="Calibri" w:hAnsi="Calibri" w:eastAsia="宋体" w:cstheme="minorBidi"/>
                <w:b/>
                <w:kern w:val="2"/>
                <w:sz w:val="21"/>
                <w:szCs w:val="21"/>
                <w:lang w:eastAsia="zh-CN"/>
              </w:rPr>
              <w:t>货物名称</w:t>
            </w:r>
          </w:p>
        </w:tc>
        <w:tc>
          <w:tcPr>
            <w:tcW w:w="967" w:type="dxa"/>
            <w:noWrap w:val="0"/>
            <w:vAlign w:val="center"/>
          </w:tcPr>
          <w:p w14:paraId="7BD104B4">
            <w:pPr>
              <w:widowControl w:val="0"/>
              <w:jc w:val="center"/>
              <w:rPr>
                <w:rFonts w:hint="eastAsia" w:ascii="Calibri" w:hAnsi="Calibri" w:eastAsia="宋体"/>
                <w:b/>
                <w:kern w:val="2"/>
                <w:sz w:val="21"/>
                <w:szCs w:val="21"/>
                <w:lang w:eastAsia="zh-CN"/>
              </w:rPr>
            </w:pPr>
            <w:r>
              <w:rPr>
                <w:rFonts w:hint="eastAsia" w:ascii="Calibri" w:hAnsi="Calibri" w:eastAsia="宋体" w:cstheme="minorBidi"/>
                <w:b/>
                <w:kern w:val="2"/>
                <w:sz w:val="21"/>
                <w:szCs w:val="21"/>
                <w:lang w:eastAsia="zh-CN"/>
              </w:rPr>
              <w:t>数量</w:t>
            </w:r>
          </w:p>
        </w:tc>
        <w:tc>
          <w:tcPr>
            <w:tcW w:w="831" w:type="dxa"/>
            <w:noWrap w:val="0"/>
            <w:vAlign w:val="center"/>
          </w:tcPr>
          <w:p w14:paraId="5803D5E6">
            <w:pPr>
              <w:widowControl w:val="0"/>
              <w:jc w:val="center"/>
              <w:rPr>
                <w:rFonts w:hint="eastAsia" w:ascii="Calibri" w:hAnsi="Calibri" w:eastAsia="宋体"/>
                <w:b/>
                <w:kern w:val="2"/>
                <w:sz w:val="21"/>
                <w:szCs w:val="21"/>
                <w:lang w:eastAsia="zh-CN"/>
              </w:rPr>
            </w:pPr>
            <w:r>
              <w:rPr>
                <w:rFonts w:hint="eastAsia" w:ascii="Calibri" w:hAnsi="Calibri" w:eastAsia="宋体" w:cstheme="minorBidi"/>
                <w:b/>
                <w:kern w:val="2"/>
                <w:sz w:val="21"/>
                <w:szCs w:val="21"/>
                <w:lang w:eastAsia="zh-CN"/>
              </w:rPr>
              <w:t>单位</w:t>
            </w:r>
          </w:p>
        </w:tc>
        <w:tc>
          <w:tcPr>
            <w:tcW w:w="1202" w:type="dxa"/>
            <w:noWrap w:val="0"/>
            <w:vAlign w:val="center"/>
          </w:tcPr>
          <w:p w14:paraId="6438ABFC">
            <w:pPr>
              <w:widowControl w:val="0"/>
              <w:jc w:val="center"/>
              <w:rPr>
                <w:rFonts w:hint="eastAsia" w:ascii="Calibri" w:hAnsi="Calibri" w:eastAsia="宋体"/>
                <w:b/>
                <w:kern w:val="2"/>
                <w:sz w:val="21"/>
                <w:szCs w:val="21"/>
                <w:lang w:eastAsia="zh-CN"/>
              </w:rPr>
            </w:pPr>
            <w:r>
              <w:rPr>
                <w:rFonts w:hint="eastAsia" w:ascii="Calibri" w:hAnsi="Calibri" w:eastAsia="宋体" w:cstheme="minorBidi"/>
                <w:b/>
                <w:color w:val="FF0000"/>
                <w:kern w:val="2"/>
                <w:sz w:val="21"/>
                <w:szCs w:val="21"/>
                <w:lang w:eastAsia="zh-CN"/>
              </w:rPr>
              <w:t>备注</w:t>
            </w:r>
          </w:p>
        </w:tc>
        <w:tc>
          <w:tcPr>
            <w:tcW w:w="2027" w:type="dxa"/>
            <w:noWrap w:val="0"/>
            <w:vAlign w:val="center"/>
          </w:tcPr>
          <w:p w14:paraId="5D17761C">
            <w:pPr>
              <w:widowControl w:val="0"/>
              <w:jc w:val="center"/>
              <w:rPr>
                <w:rFonts w:hint="eastAsia" w:ascii="Calibri" w:hAnsi="Calibri" w:eastAsia="宋体"/>
                <w:b/>
                <w:kern w:val="2"/>
                <w:sz w:val="21"/>
                <w:szCs w:val="21"/>
                <w:lang w:eastAsia="zh-CN"/>
              </w:rPr>
            </w:pPr>
            <w:r>
              <w:rPr>
                <w:rFonts w:hint="eastAsia" w:ascii="Calibri" w:hAnsi="Calibri" w:eastAsia="宋体" w:cstheme="minorBidi"/>
                <w:b/>
                <w:color w:val="FF0000"/>
                <w:kern w:val="2"/>
                <w:sz w:val="21"/>
                <w:szCs w:val="21"/>
                <w:lang w:eastAsia="zh-CN"/>
              </w:rPr>
              <w:t>财政预算限额（元）</w:t>
            </w:r>
          </w:p>
        </w:tc>
      </w:tr>
      <w:tr w14:paraId="2AB2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32" w:type="dxa"/>
            <w:noWrap w:val="0"/>
            <w:vAlign w:val="center"/>
          </w:tcPr>
          <w:p w14:paraId="78390B50">
            <w:pPr>
              <w:widowControl/>
              <w:jc w:val="center"/>
              <w:textAlignment w:val="center"/>
              <w:rPr>
                <w:rFonts w:hint="eastAsia" w:ascii="Calibri" w:hAnsi="Calibri" w:eastAsia="宋体"/>
                <w:kern w:val="2"/>
                <w:sz w:val="21"/>
                <w:szCs w:val="21"/>
                <w:lang w:eastAsia="zh-CN"/>
              </w:rPr>
            </w:pPr>
            <w:r>
              <w:rPr>
                <w:rFonts w:hint="eastAsia" w:ascii="宋体" w:hAnsi="宋体" w:eastAsia="宋体" w:cs="宋体"/>
                <w:color w:val="000000"/>
                <w:sz w:val="21"/>
                <w:szCs w:val="21"/>
                <w:lang w:eastAsia="zh-CN" w:bidi="ar"/>
              </w:rPr>
              <w:t>1</w:t>
            </w:r>
          </w:p>
        </w:tc>
        <w:tc>
          <w:tcPr>
            <w:tcW w:w="2839" w:type="dxa"/>
            <w:noWrap w:val="0"/>
            <w:vAlign w:val="center"/>
          </w:tcPr>
          <w:p w14:paraId="18B53A50">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智慧实验校级管理系统软件（物理、化学）</w:t>
            </w:r>
          </w:p>
        </w:tc>
        <w:tc>
          <w:tcPr>
            <w:tcW w:w="967" w:type="dxa"/>
            <w:noWrap w:val="0"/>
            <w:vAlign w:val="center"/>
          </w:tcPr>
          <w:p w14:paraId="2AF124C6">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2</w:t>
            </w:r>
          </w:p>
        </w:tc>
        <w:tc>
          <w:tcPr>
            <w:tcW w:w="831" w:type="dxa"/>
            <w:noWrap w:val="0"/>
            <w:vAlign w:val="center"/>
          </w:tcPr>
          <w:p w14:paraId="7D6C55BB">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套</w:t>
            </w:r>
          </w:p>
        </w:tc>
        <w:tc>
          <w:tcPr>
            <w:tcW w:w="1202" w:type="dxa"/>
            <w:noWrap w:val="0"/>
            <w:vAlign w:val="center"/>
          </w:tcPr>
          <w:p w14:paraId="4EDF59C3">
            <w:pPr>
              <w:widowControl/>
              <w:spacing w:line="360" w:lineRule="auto"/>
              <w:jc w:val="center"/>
              <w:textAlignment w:val="center"/>
              <w:rPr>
                <w:rFonts w:hint="eastAsia" w:ascii="宋体" w:hAnsi="宋体" w:eastAsia="宋体" w:cs="宋体"/>
                <w:kern w:val="2"/>
                <w:sz w:val="21"/>
                <w:szCs w:val="21"/>
                <w:lang w:eastAsia="zh-CN"/>
              </w:rPr>
            </w:pPr>
            <w:r>
              <w:rPr>
                <w:rFonts w:hint="eastAsia" w:ascii="宋体" w:hAnsi="宋体" w:eastAsia="宋体" w:cs="宋体"/>
                <w:sz w:val="21"/>
                <w:szCs w:val="21"/>
              </w:rPr>
              <w:t>拒绝进口</w:t>
            </w:r>
          </w:p>
        </w:tc>
        <w:tc>
          <w:tcPr>
            <w:tcW w:w="2027" w:type="dxa"/>
            <w:vMerge w:val="restart"/>
            <w:noWrap w:val="0"/>
            <w:vAlign w:val="center"/>
          </w:tcPr>
          <w:p w14:paraId="11EA7AF6">
            <w:pPr>
              <w:widowControl w:val="0"/>
              <w:jc w:val="center"/>
              <w:rPr>
                <w:rFonts w:ascii="Calibri" w:hAnsi="Calibri" w:eastAsia="宋体"/>
                <w:kern w:val="2"/>
                <w:sz w:val="21"/>
                <w:szCs w:val="21"/>
                <w:lang w:eastAsia="zh-CN"/>
              </w:rPr>
            </w:pPr>
            <w:r>
              <w:rPr>
                <w:rFonts w:hint="eastAsia" w:ascii="宋体" w:hAnsi="宋体" w:eastAsia="宋体"/>
                <w:kern w:val="2"/>
                <w:sz w:val="21"/>
                <w:szCs w:val="21"/>
                <w:lang w:eastAsia="zh-CN"/>
              </w:rPr>
              <w:t>824,000.00</w:t>
            </w:r>
          </w:p>
        </w:tc>
      </w:tr>
      <w:tr w14:paraId="461E1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2" w:type="dxa"/>
            <w:noWrap w:val="0"/>
            <w:vAlign w:val="center"/>
          </w:tcPr>
          <w:p w14:paraId="2EE71EE0">
            <w:pPr>
              <w:widowControl/>
              <w:jc w:val="center"/>
              <w:textAlignment w:val="center"/>
              <w:rPr>
                <w:rFonts w:hint="eastAsia"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2</w:t>
            </w:r>
          </w:p>
        </w:tc>
        <w:tc>
          <w:tcPr>
            <w:tcW w:w="2839" w:type="dxa"/>
            <w:noWrap w:val="0"/>
            <w:vAlign w:val="center"/>
          </w:tcPr>
          <w:p w14:paraId="0798DF62">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考试AI评分系统</w:t>
            </w:r>
          </w:p>
          <w:p w14:paraId="3938D55D">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（物理、化学）</w:t>
            </w:r>
          </w:p>
        </w:tc>
        <w:tc>
          <w:tcPr>
            <w:tcW w:w="967" w:type="dxa"/>
            <w:noWrap w:val="0"/>
            <w:vAlign w:val="center"/>
          </w:tcPr>
          <w:p w14:paraId="5B460497">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2</w:t>
            </w:r>
          </w:p>
        </w:tc>
        <w:tc>
          <w:tcPr>
            <w:tcW w:w="831" w:type="dxa"/>
            <w:noWrap w:val="0"/>
            <w:vAlign w:val="center"/>
          </w:tcPr>
          <w:p w14:paraId="778CF616">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套</w:t>
            </w:r>
          </w:p>
        </w:tc>
        <w:tc>
          <w:tcPr>
            <w:tcW w:w="1202" w:type="dxa"/>
            <w:noWrap w:val="0"/>
            <w:vAlign w:val="center"/>
          </w:tcPr>
          <w:p w14:paraId="20280C06">
            <w:pPr>
              <w:widowControl/>
              <w:spacing w:line="360" w:lineRule="auto"/>
              <w:jc w:val="center"/>
              <w:textAlignment w:val="center"/>
              <w:rPr>
                <w:rFonts w:hint="eastAsia" w:ascii="宋体" w:hAnsi="宋体" w:eastAsia="宋体" w:cs="宋体"/>
                <w:kern w:val="2"/>
                <w:sz w:val="21"/>
                <w:szCs w:val="21"/>
                <w:lang w:eastAsia="zh-CN"/>
              </w:rPr>
            </w:pPr>
            <w:r>
              <w:rPr>
                <w:rFonts w:hint="eastAsia" w:ascii="宋体" w:hAnsi="宋体" w:eastAsia="宋体" w:cs="宋体"/>
                <w:sz w:val="21"/>
                <w:szCs w:val="21"/>
              </w:rPr>
              <w:t>拒绝进口</w:t>
            </w:r>
          </w:p>
        </w:tc>
        <w:tc>
          <w:tcPr>
            <w:tcW w:w="2027" w:type="dxa"/>
            <w:vMerge w:val="continue"/>
            <w:noWrap w:val="0"/>
            <w:vAlign w:val="center"/>
          </w:tcPr>
          <w:p w14:paraId="0097A99D">
            <w:pPr>
              <w:widowControl w:val="0"/>
              <w:jc w:val="center"/>
              <w:rPr>
                <w:rFonts w:hint="eastAsia" w:ascii="Calibri" w:hAnsi="Calibri" w:eastAsia="宋体"/>
                <w:b/>
                <w:bCs/>
                <w:color w:val="FF0000"/>
                <w:kern w:val="2"/>
                <w:sz w:val="21"/>
                <w:szCs w:val="21"/>
                <w:lang w:eastAsia="zh-CN"/>
              </w:rPr>
            </w:pPr>
          </w:p>
        </w:tc>
      </w:tr>
      <w:tr w14:paraId="0F58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32" w:type="dxa"/>
            <w:noWrap w:val="0"/>
            <w:vAlign w:val="center"/>
          </w:tcPr>
          <w:p w14:paraId="560EE7D8">
            <w:pPr>
              <w:widowControl/>
              <w:jc w:val="center"/>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3</w:t>
            </w:r>
          </w:p>
        </w:tc>
        <w:tc>
          <w:tcPr>
            <w:tcW w:w="2839" w:type="dxa"/>
            <w:noWrap w:val="0"/>
            <w:vAlign w:val="center"/>
          </w:tcPr>
          <w:p w14:paraId="5BD9085A">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智能实验终端（核心产品）</w:t>
            </w:r>
          </w:p>
        </w:tc>
        <w:tc>
          <w:tcPr>
            <w:tcW w:w="967" w:type="dxa"/>
            <w:noWrap w:val="0"/>
            <w:vAlign w:val="center"/>
          </w:tcPr>
          <w:p w14:paraId="6217B17A">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50</w:t>
            </w:r>
          </w:p>
        </w:tc>
        <w:tc>
          <w:tcPr>
            <w:tcW w:w="831" w:type="dxa"/>
            <w:noWrap w:val="0"/>
            <w:vAlign w:val="center"/>
          </w:tcPr>
          <w:p w14:paraId="03999E5A">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台</w:t>
            </w:r>
          </w:p>
        </w:tc>
        <w:tc>
          <w:tcPr>
            <w:tcW w:w="1202" w:type="dxa"/>
            <w:noWrap w:val="0"/>
            <w:vAlign w:val="center"/>
          </w:tcPr>
          <w:p w14:paraId="51BF9181">
            <w:pPr>
              <w:widowControl/>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拒绝进口</w:t>
            </w:r>
          </w:p>
          <w:p w14:paraId="0766A448">
            <w:pPr>
              <w:widowControl/>
              <w:spacing w:line="360" w:lineRule="auto"/>
              <w:jc w:val="center"/>
              <w:textAlignment w:val="center"/>
              <w:rPr>
                <w:rFonts w:hint="eastAsia" w:ascii="宋体" w:hAnsi="宋体" w:eastAsia="宋体" w:cs="宋体"/>
                <w:kern w:val="2"/>
                <w:sz w:val="21"/>
                <w:szCs w:val="21"/>
                <w:lang w:eastAsia="zh-CN"/>
              </w:rPr>
            </w:pPr>
            <w:r>
              <w:rPr>
                <w:rFonts w:hint="eastAsia" w:ascii="宋体" w:hAnsi="宋体" w:eastAsia="宋体" w:cs="宋体"/>
                <w:b/>
                <w:bCs/>
                <w:color w:val="FF0000"/>
                <w:sz w:val="21"/>
                <w:szCs w:val="21"/>
              </w:rPr>
              <w:t>核心产品</w:t>
            </w:r>
          </w:p>
        </w:tc>
        <w:tc>
          <w:tcPr>
            <w:tcW w:w="2027" w:type="dxa"/>
            <w:vMerge w:val="continue"/>
            <w:noWrap w:val="0"/>
            <w:vAlign w:val="center"/>
          </w:tcPr>
          <w:p w14:paraId="5E8B424E">
            <w:pPr>
              <w:widowControl w:val="0"/>
              <w:jc w:val="center"/>
              <w:rPr>
                <w:rFonts w:hint="eastAsia" w:ascii="Calibri" w:hAnsi="Calibri" w:eastAsia="宋体"/>
                <w:b/>
                <w:bCs/>
                <w:color w:val="FF0000"/>
                <w:kern w:val="2"/>
                <w:sz w:val="21"/>
                <w:szCs w:val="21"/>
                <w:lang w:eastAsia="zh-CN"/>
              </w:rPr>
            </w:pPr>
          </w:p>
        </w:tc>
      </w:tr>
      <w:tr w14:paraId="4D21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2" w:type="dxa"/>
            <w:noWrap w:val="0"/>
            <w:vAlign w:val="center"/>
          </w:tcPr>
          <w:p w14:paraId="18815BEE">
            <w:pPr>
              <w:widowControl/>
              <w:jc w:val="center"/>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4</w:t>
            </w:r>
          </w:p>
        </w:tc>
        <w:tc>
          <w:tcPr>
            <w:tcW w:w="2839" w:type="dxa"/>
            <w:noWrap w:val="0"/>
            <w:vAlign w:val="center"/>
          </w:tcPr>
          <w:p w14:paraId="73A5FD82">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智能实验终端软件</w:t>
            </w:r>
          </w:p>
        </w:tc>
        <w:tc>
          <w:tcPr>
            <w:tcW w:w="967" w:type="dxa"/>
            <w:noWrap w:val="0"/>
            <w:vAlign w:val="center"/>
          </w:tcPr>
          <w:p w14:paraId="2462FD2C">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50</w:t>
            </w:r>
          </w:p>
        </w:tc>
        <w:tc>
          <w:tcPr>
            <w:tcW w:w="831" w:type="dxa"/>
            <w:noWrap w:val="0"/>
            <w:vAlign w:val="center"/>
          </w:tcPr>
          <w:p w14:paraId="1EEC92F7">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套</w:t>
            </w:r>
          </w:p>
        </w:tc>
        <w:tc>
          <w:tcPr>
            <w:tcW w:w="1202" w:type="dxa"/>
            <w:noWrap w:val="0"/>
            <w:vAlign w:val="center"/>
          </w:tcPr>
          <w:p w14:paraId="51118E32">
            <w:pPr>
              <w:widowControl/>
              <w:spacing w:line="360" w:lineRule="auto"/>
              <w:jc w:val="center"/>
              <w:textAlignment w:val="center"/>
              <w:rPr>
                <w:rFonts w:hint="eastAsia" w:ascii="宋体" w:hAnsi="宋体" w:eastAsia="宋体" w:cs="宋体"/>
                <w:kern w:val="2"/>
                <w:sz w:val="21"/>
                <w:szCs w:val="21"/>
                <w:lang w:eastAsia="zh-CN"/>
              </w:rPr>
            </w:pPr>
            <w:r>
              <w:rPr>
                <w:rFonts w:hint="eastAsia" w:ascii="宋体" w:hAnsi="宋体" w:eastAsia="宋体" w:cs="宋体"/>
                <w:sz w:val="21"/>
                <w:szCs w:val="21"/>
              </w:rPr>
              <w:t>拒绝进口</w:t>
            </w:r>
          </w:p>
        </w:tc>
        <w:tc>
          <w:tcPr>
            <w:tcW w:w="2027" w:type="dxa"/>
            <w:vMerge w:val="continue"/>
            <w:noWrap w:val="0"/>
            <w:vAlign w:val="center"/>
          </w:tcPr>
          <w:p w14:paraId="5425688E">
            <w:pPr>
              <w:widowControl w:val="0"/>
              <w:jc w:val="center"/>
              <w:rPr>
                <w:rFonts w:hint="eastAsia" w:ascii="Calibri" w:hAnsi="Calibri" w:eastAsia="宋体"/>
                <w:b/>
                <w:bCs/>
                <w:color w:val="FF0000"/>
                <w:kern w:val="2"/>
                <w:sz w:val="21"/>
                <w:szCs w:val="21"/>
                <w:lang w:eastAsia="zh-CN"/>
              </w:rPr>
            </w:pPr>
          </w:p>
        </w:tc>
      </w:tr>
      <w:tr w14:paraId="1CF3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2" w:type="dxa"/>
            <w:noWrap w:val="0"/>
            <w:vAlign w:val="center"/>
          </w:tcPr>
          <w:p w14:paraId="30CC220A">
            <w:pPr>
              <w:widowControl/>
              <w:jc w:val="center"/>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5</w:t>
            </w:r>
          </w:p>
        </w:tc>
        <w:tc>
          <w:tcPr>
            <w:tcW w:w="2839" w:type="dxa"/>
            <w:noWrap w:val="0"/>
            <w:vAlign w:val="center"/>
          </w:tcPr>
          <w:p w14:paraId="13A73FDD">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考场交换机</w:t>
            </w:r>
          </w:p>
        </w:tc>
        <w:tc>
          <w:tcPr>
            <w:tcW w:w="967" w:type="dxa"/>
            <w:noWrap w:val="0"/>
            <w:vAlign w:val="top"/>
          </w:tcPr>
          <w:p w14:paraId="0D9B9437">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2</w:t>
            </w:r>
          </w:p>
        </w:tc>
        <w:tc>
          <w:tcPr>
            <w:tcW w:w="831" w:type="dxa"/>
            <w:noWrap w:val="0"/>
            <w:vAlign w:val="center"/>
          </w:tcPr>
          <w:p w14:paraId="24BCF860">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台</w:t>
            </w:r>
          </w:p>
        </w:tc>
        <w:tc>
          <w:tcPr>
            <w:tcW w:w="1202" w:type="dxa"/>
            <w:noWrap w:val="0"/>
            <w:vAlign w:val="center"/>
          </w:tcPr>
          <w:p w14:paraId="17F26A95">
            <w:pPr>
              <w:widowControl/>
              <w:spacing w:line="360" w:lineRule="auto"/>
              <w:jc w:val="center"/>
              <w:textAlignment w:val="center"/>
              <w:rPr>
                <w:rFonts w:hint="eastAsia" w:ascii="宋体" w:hAnsi="宋体" w:eastAsia="宋体" w:cs="宋体"/>
                <w:kern w:val="2"/>
                <w:sz w:val="21"/>
                <w:szCs w:val="21"/>
                <w:lang w:eastAsia="zh-CN"/>
              </w:rPr>
            </w:pPr>
            <w:r>
              <w:rPr>
                <w:rFonts w:hint="eastAsia" w:ascii="宋体" w:hAnsi="宋体" w:eastAsia="宋体" w:cs="宋体"/>
                <w:sz w:val="21"/>
                <w:szCs w:val="21"/>
              </w:rPr>
              <w:t>拒绝进口</w:t>
            </w:r>
          </w:p>
        </w:tc>
        <w:tc>
          <w:tcPr>
            <w:tcW w:w="2027" w:type="dxa"/>
            <w:vMerge w:val="continue"/>
            <w:noWrap w:val="0"/>
            <w:vAlign w:val="center"/>
          </w:tcPr>
          <w:p w14:paraId="660E31E3">
            <w:pPr>
              <w:widowControl w:val="0"/>
              <w:jc w:val="center"/>
              <w:rPr>
                <w:rFonts w:hint="eastAsia" w:ascii="Calibri" w:hAnsi="Calibri" w:eastAsia="宋体"/>
                <w:b/>
                <w:bCs/>
                <w:color w:val="FF0000"/>
                <w:kern w:val="2"/>
                <w:sz w:val="21"/>
                <w:szCs w:val="21"/>
                <w:lang w:eastAsia="zh-CN"/>
              </w:rPr>
            </w:pPr>
          </w:p>
        </w:tc>
      </w:tr>
      <w:tr w14:paraId="5B22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2" w:type="dxa"/>
            <w:noWrap w:val="0"/>
            <w:vAlign w:val="center"/>
          </w:tcPr>
          <w:p w14:paraId="4089C0C3">
            <w:pPr>
              <w:widowControl/>
              <w:jc w:val="center"/>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6</w:t>
            </w:r>
          </w:p>
        </w:tc>
        <w:tc>
          <w:tcPr>
            <w:tcW w:w="2839" w:type="dxa"/>
            <w:noWrap w:val="0"/>
            <w:vAlign w:val="center"/>
          </w:tcPr>
          <w:p w14:paraId="2B577F06">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小型机柜</w:t>
            </w:r>
          </w:p>
        </w:tc>
        <w:tc>
          <w:tcPr>
            <w:tcW w:w="967" w:type="dxa"/>
            <w:noWrap w:val="0"/>
            <w:vAlign w:val="top"/>
          </w:tcPr>
          <w:p w14:paraId="00C77672">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2</w:t>
            </w:r>
          </w:p>
        </w:tc>
        <w:tc>
          <w:tcPr>
            <w:tcW w:w="831" w:type="dxa"/>
            <w:noWrap w:val="0"/>
            <w:vAlign w:val="center"/>
          </w:tcPr>
          <w:p w14:paraId="4A0470EB">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个</w:t>
            </w:r>
          </w:p>
        </w:tc>
        <w:tc>
          <w:tcPr>
            <w:tcW w:w="1202" w:type="dxa"/>
            <w:noWrap w:val="0"/>
            <w:vAlign w:val="center"/>
          </w:tcPr>
          <w:p w14:paraId="34954039">
            <w:pPr>
              <w:widowControl/>
              <w:spacing w:line="360" w:lineRule="auto"/>
              <w:jc w:val="center"/>
              <w:textAlignment w:val="center"/>
              <w:rPr>
                <w:rFonts w:hint="eastAsia" w:ascii="宋体" w:hAnsi="宋体" w:eastAsia="宋体" w:cs="宋体"/>
                <w:kern w:val="2"/>
                <w:sz w:val="21"/>
                <w:szCs w:val="21"/>
                <w:lang w:eastAsia="zh-CN"/>
              </w:rPr>
            </w:pPr>
            <w:r>
              <w:rPr>
                <w:rFonts w:hint="eastAsia" w:ascii="宋体" w:hAnsi="宋体" w:eastAsia="宋体" w:cs="宋体"/>
                <w:sz w:val="21"/>
                <w:szCs w:val="21"/>
              </w:rPr>
              <w:t>拒绝进口</w:t>
            </w:r>
          </w:p>
        </w:tc>
        <w:tc>
          <w:tcPr>
            <w:tcW w:w="2027" w:type="dxa"/>
            <w:vMerge w:val="continue"/>
            <w:noWrap w:val="0"/>
            <w:vAlign w:val="center"/>
          </w:tcPr>
          <w:p w14:paraId="63B599B8">
            <w:pPr>
              <w:widowControl w:val="0"/>
              <w:jc w:val="center"/>
              <w:rPr>
                <w:rFonts w:hint="eastAsia" w:ascii="Calibri" w:hAnsi="Calibri" w:eastAsia="宋体"/>
                <w:b/>
                <w:bCs/>
                <w:color w:val="FF0000"/>
                <w:kern w:val="2"/>
                <w:sz w:val="21"/>
                <w:szCs w:val="21"/>
                <w:lang w:eastAsia="zh-CN"/>
              </w:rPr>
            </w:pPr>
          </w:p>
        </w:tc>
      </w:tr>
      <w:tr w14:paraId="5DAA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2" w:type="dxa"/>
            <w:noWrap w:val="0"/>
            <w:vAlign w:val="center"/>
          </w:tcPr>
          <w:p w14:paraId="3E06EC96">
            <w:pPr>
              <w:widowControl/>
              <w:jc w:val="center"/>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7</w:t>
            </w:r>
          </w:p>
        </w:tc>
        <w:tc>
          <w:tcPr>
            <w:tcW w:w="2839" w:type="dxa"/>
            <w:noWrap w:val="0"/>
            <w:vAlign w:val="center"/>
          </w:tcPr>
          <w:p w14:paraId="49EE2195">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移动硬盘</w:t>
            </w:r>
          </w:p>
        </w:tc>
        <w:tc>
          <w:tcPr>
            <w:tcW w:w="967" w:type="dxa"/>
            <w:noWrap w:val="0"/>
            <w:vAlign w:val="top"/>
          </w:tcPr>
          <w:p w14:paraId="54CD629B">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2</w:t>
            </w:r>
          </w:p>
        </w:tc>
        <w:tc>
          <w:tcPr>
            <w:tcW w:w="831" w:type="dxa"/>
            <w:noWrap w:val="0"/>
            <w:vAlign w:val="center"/>
          </w:tcPr>
          <w:p w14:paraId="541A888C">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个</w:t>
            </w:r>
          </w:p>
        </w:tc>
        <w:tc>
          <w:tcPr>
            <w:tcW w:w="1202" w:type="dxa"/>
            <w:noWrap w:val="0"/>
            <w:vAlign w:val="center"/>
          </w:tcPr>
          <w:p w14:paraId="1DF3C995">
            <w:pPr>
              <w:widowControl/>
              <w:spacing w:line="360" w:lineRule="auto"/>
              <w:jc w:val="center"/>
              <w:textAlignment w:val="center"/>
              <w:rPr>
                <w:rFonts w:hint="eastAsia" w:ascii="宋体" w:hAnsi="宋体" w:eastAsia="宋体" w:cs="宋体"/>
                <w:kern w:val="2"/>
                <w:sz w:val="21"/>
                <w:szCs w:val="21"/>
                <w:lang w:eastAsia="zh-CN"/>
              </w:rPr>
            </w:pPr>
            <w:r>
              <w:rPr>
                <w:rFonts w:hint="eastAsia" w:ascii="宋体" w:hAnsi="宋体" w:eastAsia="宋体" w:cs="宋体"/>
                <w:sz w:val="21"/>
                <w:szCs w:val="21"/>
              </w:rPr>
              <w:t>拒绝进口</w:t>
            </w:r>
          </w:p>
        </w:tc>
        <w:tc>
          <w:tcPr>
            <w:tcW w:w="2027" w:type="dxa"/>
            <w:vMerge w:val="continue"/>
            <w:noWrap w:val="0"/>
            <w:vAlign w:val="center"/>
          </w:tcPr>
          <w:p w14:paraId="11389455">
            <w:pPr>
              <w:widowControl w:val="0"/>
              <w:jc w:val="center"/>
              <w:rPr>
                <w:rFonts w:hint="eastAsia" w:ascii="Calibri" w:hAnsi="Calibri" w:eastAsia="宋体"/>
                <w:b/>
                <w:bCs/>
                <w:color w:val="FF0000"/>
                <w:kern w:val="2"/>
                <w:sz w:val="21"/>
                <w:szCs w:val="21"/>
                <w:lang w:eastAsia="zh-CN"/>
              </w:rPr>
            </w:pPr>
          </w:p>
        </w:tc>
      </w:tr>
      <w:tr w14:paraId="5308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2" w:type="dxa"/>
            <w:noWrap w:val="0"/>
            <w:vAlign w:val="center"/>
          </w:tcPr>
          <w:p w14:paraId="36B7496C">
            <w:pPr>
              <w:widowControl/>
              <w:jc w:val="center"/>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8</w:t>
            </w:r>
          </w:p>
        </w:tc>
        <w:tc>
          <w:tcPr>
            <w:tcW w:w="2839" w:type="dxa"/>
            <w:noWrap w:val="0"/>
            <w:vAlign w:val="center"/>
          </w:tcPr>
          <w:p w14:paraId="5876BE9F">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考场监考管理主机</w:t>
            </w:r>
          </w:p>
        </w:tc>
        <w:tc>
          <w:tcPr>
            <w:tcW w:w="967" w:type="dxa"/>
            <w:noWrap w:val="0"/>
            <w:vAlign w:val="top"/>
          </w:tcPr>
          <w:p w14:paraId="28AEE942">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2</w:t>
            </w:r>
          </w:p>
        </w:tc>
        <w:tc>
          <w:tcPr>
            <w:tcW w:w="831" w:type="dxa"/>
            <w:noWrap w:val="0"/>
            <w:vAlign w:val="center"/>
          </w:tcPr>
          <w:p w14:paraId="0A235FD6">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台</w:t>
            </w:r>
          </w:p>
        </w:tc>
        <w:tc>
          <w:tcPr>
            <w:tcW w:w="1202" w:type="dxa"/>
            <w:noWrap w:val="0"/>
            <w:vAlign w:val="center"/>
          </w:tcPr>
          <w:p w14:paraId="1C150003">
            <w:pPr>
              <w:widowControl/>
              <w:spacing w:line="360" w:lineRule="auto"/>
              <w:jc w:val="center"/>
              <w:textAlignment w:val="center"/>
              <w:rPr>
                <w:rFonts w:hint="eastAsia" w:ascii="宋体" w:hAnsi="宋体" w:eastAsia="宋体" w:cs="宋体"/>
                <w:kern w:val="2"/>
                <w:sz w:val="21"/>
                <w:szCs w:val="21"/>
                <w:lang w:eastAsia="zh-CN"/>
              </w:rPr>
            </w:pPr>
            <w:r>
              <w:rPr>
                <w:rFonts w:hint="eastAsia" w:ascii="宋体" w:hAnsi="宋体" w:eastAsia="宋体" w:cs="宋体"/>
                <w:sz w:val="21"/>
                <w:szCs w:val="21"/>
              </w:rPr>
              <w:t>拒绝进口</w:t>
            </w:r>
          </w:p>
        </w:tc>
        <w:tc>
          <w:tcPr>
            <w:tcW w:w="2027" w:type="dxa"/>
            <w:vMerge w:val="continue"/>
            <w:noWrap w:val="0"/>
            <w:vAlign w:val="center"/>
          </w:tcPr>
          <w:p w14:paraId="36AED9D4">
            <w:pPr>
              <w:widowControl w:val="0"/>
              <w:jc w:val="center"/>
              <w:rPr>
                <w:rFonts w:hint="eastAsia" w:ascii="Calibri" w:hAnsi="Calibri" w:eastAsia="宋体"/>
                <w:b/>
                <w:bCs/>
                <w:color w:val="FF0000"/>
                <w:kern w:val="2"/>
                <w:sz w:val="21"/>
                <w:szCs w:val="21"/>
                <w:lang w:eastAsia="zh-CN"/>
              </w:rPr>
            </w:pPr>
          </w:p>
        </w:tc>
      </w:tr>
      <w:tr w14:paraId="6410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2" w:type="dxa"/>
            <w:noWrap w:val="0"/>
            <w:vAlign w:val="center"/>
          </w:tcPr>
          <w:p w14:paraId="384914BB">
            <w:pPr>
              <w:widowControl/>
              <w:jc w:val="center"/>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9</w:t>
            </w:r>
          </w:p>
        </w:tc>
        <w:tc>
          <w:tcPr>
            <w:tcW w:w="2839" w:type="dxa"/>
            <w:noWrap w:val="0"/>
            <w:vAlign w:val="center"/>
          </w:tcPr>
          <w:p w14:paraId="44E150C8">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信号屏蔽器</w:t>
            </w:r>
          </w:p>
        </w:tc>
        <w:tc>
          <w:tcPr>
            <w:tcW w:w="967" w:type="dxa"/>
            <w:noWrap w:val="0"/>
            <w:vAlign w:val="top"/>
          </w:tcPr>
          <w:p w14:paraId="3E001481">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2</w:t>
            </w:r>
          </w:p>
        </w:tc>
        <w:tc>
          <w:tcPr>
            <w:tcW w:w="831" w:type="dxa"/>
            <w:noWrap w:val="0"/>
            <w:vAlign w:val="center"/>
          </w:tcPr>
          <w:p w14:paraId="4472C4EE">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台</w:t>
            </w:r>
          </w:p>
        </w:tc>
        <w:tc>
          <w:tcPr>
            <w:tcW w:w="1202" w:type="dxa"/>
            <w:noWrap w:val="0"/>
            <w:vAlign w:val="center"/>
          </w:tcPr>
          <w:p w14:paraId="65BC2C3A">
            <w:pPr>
              <w:widowControl/>
              <w:spacing w:line="360" w:lineRule="auto"/>
              <w:jc w:val="center"/>
              <w:textAlignment w:val="center"/>
              <w:rPr>
                <w:rFonts w:hint="eastAsia" w:ascii="宋体" w:hAnsi="宋体" w:eastAsia="宋体" w:cs="宋体"/>
                <w:kern w:val="2"/>
                <w:sz w:val="21"/>
                <w:szCs w:val="21"/>
                <w:lang w:eastAsia="zh-CN"/>
              </w:rPr>
            </w:pPr>
            <w:r>
              <w:rPr>
                <w:rFonts w:hint="eastAsia" w:ascii="宋体" w:hAnsi="宋体" w:eastAsia="宋体" w:cs="宋体"/>
                <w:sz w:val="21"/>
                <w:szCs w:val="21"/>
              </w:rPr>
              <w:t>拒绝进口</w:t>
            </w:r>
          </w:p>
        </w:tc>
        <w:tc>
          <w:tcPr>
            <w:tcW w:w="2027" w:type="dxa"/>
            <w:vMerge w:val="continue"/>
            <w:noWrap w:val="0"/>
            <w:vAlign w:val="center"/>
          </w:tcPr>
          <w:p w14:paraId="262489F1">
            <w:pPr>
              <w:widowControl w:val="0"/>
              <w:jc w:val="center"/>
              <w:rPr>
                <w:rFonts w:hint="eastAsia" w:ascii="Calibri" w:hAnsi="Calibri" w:eastAsia="宋体"/>
                <w:b/>
                <w:bCs/>
                <w:color w:val="FF0000"/>
                <w:kern w:val="2"/>
                <w:sz w:val="21"/>
                <w:szCs w:val="21"/>
                <w:lang w:eastAsia="zh-CN"/>
              </w:rPr>
            </w:pPr>
          </w:p>
        </w:tc>
      </w:tr>
      <w:tr w14:paraId="174B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2" w:type="dxa"/>
            <w:noWrap w:val="0"/>
            <w:vAlign w:val="center"/>
          </w:tcPr>
          <w:p w14:paraId="33BBD852">
            <w:pPr>
              <w:widowControl/>
              <w:jc w:val="center"/>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10</w:t>
            </w:r>
          </w:p>
        </w:tc>
        <w:tc>
          <w:tcPr>
            <w:tcW w:w="2839" w:type="dxa"/>
            <w:noWrap w:val="0"/>
            <w:vAlign w:val="center"/>
          </w:tcPr>
          <w:p w14:paraId="2712A933">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巡考摄像头</w:t>
            </w:r>
          </w:p>
        </w:tc>
        <w:tc>
          <w:tcPr>
            <w:tcW w:w="967" w:type="dxa"/>
            <w:noWrap w:val="0"/>
            <w:vAlign w:val="top"/>
          </w:tcPr>
          <w:p w14:paraId="0D633ADE">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4</w:t>
            </w:r>
          </w:p>
        </w:tc>
        <w:tc>
          <w:tcPr>
            <w:tcW w:w="831" w:type="dxa"/>
            <w:noWrap w:val="0"/>
            <w:vAlign w:val="center"/>
          </w:tcPr>
          <w:p w14:paraId="48FBDD08">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个</w:t>
            </w:r>
          </w:p>
        </w:tc>
        <w:tc>
          <w:tcPr>
            <w:tcW w:w="1202" w:type="dxa"/>
            <w:noWrap w:val="0"/>
            <w:vAlign w:val="center"/>
          </w:tcPr>
          <w:p w14:paraId="2A4E64F8">
            <w:pPr>
              <w:widowControl/>
              <w:spacing w:line="360" w:lineRule="auto"/>
              <w:jc w:val="center"/>
              <w:textAlignment w:val="center"/>
              <w:rPr>
                <w:rFonts w:hint="eastAsia" w:ascii="宋体" w:hAnsi="宋体" w:eastAsia="宋体" w:cs="宋体"/>
                <w:kern w:val="2"/>
                <w:sz w:val="21"/>
                <w:szCs w:val="21"/>
                <w:lang w:eastAsia="zh-CN"/>
              </w:rPr>
            </w:pPr>
            <w:r>
              <w:rPr>
                <w:rFonts w:hint="eastAsia" w:ascii="宋体" w:hAnsi="宋体" w:eastAsia="宋体" w:cs="宋体"/>
                <w:sz w:val="21"/>
                <w:szCs w:val="21"/>
              </w:rPr>
              <w:t>拒绝进口</w:t>
            </w:r>
          </w:p>
        </w:tc>
        <w:tc>
          <w:tcPr>
            <w:tcW w:w="2027" w:type="dxa"/>
            <w:vMerge w:val="continue"/>
            <w:noWrap w:val="0"/>
            <w:vAlign w:val="center"/>
          </w:tcPr>
          <w:p w14:paraId="70A386A4">
            <w:pPr>
              <w:widowControl w:val="0"/>
              <w:jc w:val="center"/>
              <w:rPr>
                <w:rFonts w:hint="eastAsia" w:ascii="Calibri" w:hAnsi="Calibri" w:eastAsia="宋体"/>
                <w:b/>
                <w:bCs/>
                <w:color w:val="FF0000"/>
                <w:kern w:val="2"/>
                <w:sz w:val="21"/>
                <w:szCs w:val="21"/>
                <w:lang w:eastAsia="zh-CN"/>
              </w:rPr>
            </w:pPr>
          </w:p>
        </w:tc>
      </w:tr>
      <w:tr w14:paraId="5BCC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2" w:type="dxa"/>
            <w:noWrap w:val="0"/>
            <w:vAlign w:val="center"/>
          </w:tcPr>
          <w:p w14:paraId="3622191C">
            <w:pPr>
              <w:widowControl/>
              <w:jc w:val="center"/>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11</w:t>
            </w:r>
          </w:p>
        </w:tc>
        <w:tc>
          <w:tcPr>
            <w:tcW w:w="2839" w:type="dxa"/>
            <w:noWrap w:val="0"/>
            <w:vAlign w:val="center"/>
          </w:tcPr>
          <w:p w14:paraId="7CA04821">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显卡</w:t>
            </w:r>
          </w:p>
        </w:tc>
        <w:tc>
          <w:tcPr>
            <w:tcW w:w="967" w:type="dxa"/>
            <w:noWrap w:val="0"/>
            <w:vAlign w:val="top"/>
          </w:tcPr>
          <w:p w14:paraId="11815E55">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2</w:t>
            </w:r>
          </w:p>
        </w:tc>
        <w:tc>
          <w:tcPr>
            <w:tcW w:w="831" w:type="dxa"/>
            <w:noWrap w:val="0"/>
            <w:vAlign w:val="center"/>
          </w:tcPr>
          <w:p w14:paraId="11B30C7B">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块</w:t>
            </w:r>
          </w:p>
        </w:tc>
        <w:tc>
          <w:tcPr>
            <w:tcW w:w="1202" w:type="dxa"/>
            <w:noWrap w:val="0"/>
            <w:vAlign w:val="center"/>
          </w:tcPr>
          <w:p w14:paraId="75D00329">
            <w:pPr>
              <w:widowControl/>
              <w:spacing w:line="360" w:lineRule="auto"/>
              <w:jc w:val="center"/>
              <w:textAlignment w:val="center"/>
              <w:rPr>
                <w:rFonts w:hint="eastAsia" w:ascii="宋体" w:hAnsi="宋体" w:eastAsia="宋体" w:cs="宋体"/>
                <w:kern w:val="2"/>
                <w:sz w:val="21"/>
                <w:szCs w:val="21"/>
                <w:lang w:eastAsia="zh-CN"/>
              </w:rPr>
            </w:pPr>
            <w:r>
              <w:rPr>
                <w:rFonts w:hint="eastAsia" w:ascii="宋体" w:hAnsi="宋体" w:eastAsia="宋体" w:cs="宋体"/>
                <w:sz w:val="21"/>
                <w:szCs w:val="21"/>
              </w:rPr>
              <w:t>拒绝进口</w:t>
            </w:r>
          </w:p>
        </w:tc>
        <w:tc>
          <w:tcPr>
            <w:tcW w:w="2027" w:type="dxa"/>
            <w:vMerge w:val="continue"/>
            <w:noWrap w:val="0"/>
            <w:vAlign w:val="center"/>
          </w:tcPr>
          <w:p w14:paraId="7BBFB4AE">
            <w:pPr>
              <w:widowControl w:val="0"/>
              <w:jc w:val="center"/>
              <w:rPr>
                <w:rFonts w:hint="eastAsia" w:ascii="Calibri" w:hAnsi="Calibri" w:eastAsia="宋体"/>
                <w:b/>
                <w:bCs/>
                <w:color w:val="FF0000"/>
                <w:kern w:val="2"/>
                <w:sz w:val="21"/>
                <w:szCs w:val="21"/>
                <w:lang w:eastAsia="zh-CN"/>
              </w:rPr>
            </w:pPr>
          </w:p>
        </w:tc>
      </w:tr>
      <w:tr w14:paraId="12D7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2" w:type="dxa"/>
            <w:noWrap w:val="0"/>
            <w:vAlign w:val="center"/>
          </w:tcPr>
          <w:p w14:paraId="1C913A88">
            <w:pPr>
              <w:widowControl/>
              <w:jc w:val="center"/>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12</w:t>
            </w:r>
          </w:p>
        </w:tc>
        <w:tc>
          <w:tcPr>
            <w:tcW w:w="2839" w:type="dxa"/>
            <w:noWrap w:val="0"/>
            <w:vAlign w:val="center"/>
          </w:tcPr>
          <w:p w14:paraId="305DD377">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隔音机柜</w:t>
            </w:r>
          </w:p>
        </w:tc>
        <w:tc>
          <w:tcPr>
            <w:tcW w:w="967" w:type="dxa"/>
            <w:noWrap w:val="0"/>
            <w:vAlign w:val="center"/>
          </w:tcPr>
          <w:p w14:paraId="2B252674">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1</w:t>
            </w:r>
          </w:p>
        </w:tc>
        <w:tc>
          <w:tcPr>
            <w:tcW w:w="831" w:type="dxa"/>
            <w:noWrap w:val="0"/>
            <w:vAlign w:val="center"/>
          </w:tcPr>
          <w:p w14:paraId="4BBEE5F7">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个</w:t>
            </w:r>
          </w:p>
        </w:tc>
        <w:tc>
          <w:tcPr>
            <w:tcW w:w="1202" w:type="dxa"/>
            <w:noWrap w:val="0"/>
            <w:vAlign w:val="center"/>
          </w:tcPr>
          <w:p w14:paraId="179FD097">
            <w:pPr>
              <w:widowControl/>
              <w:spacing w:line="360" w:lineRule="auto"/>
              <w:jc w:val="center"/>
              <w:textAlignment w:val="center"/>
              <w:rPr>
                <w:rFonts w:hint="eastAsia" w:ascii="宋体" w:hAnsi="宋体" w:eastAsia="宋体" w:cs="宋体"/>
                <w:kern w:val="2"/>
                <w:sz w:val="21"/>
                <w:szCs w:val="21"/>
                <w:lang w:eastAsia="zh-CN"/>
              </w:rPr>
            </w:pPr>
            <w:r>
              <w:rPr>
                <w:rFonts w:hint="eastAsia" w:ascii="宋体" w:hAnsi="宋体" w:eastAsia="宋体" w:cs="宋体"/>
                <w:sz w:val="21"/>
                <w:szCs w:val="21"/>
              </w:rPr>
              <w:t>拒绝进口</w:t>
            </w:r>
          </w:p>
        </w:tc>
        <w:tc>
          <w:tcPr>
            <w:tcW w:w="2027" w:type="dxa"/>
            <w:vMerge w:val="continue"/>
            <w:noWrap w:val="0"/>
            <w:vAlign w:val="center"/>
          </w:tcPr>
          <w:p w14:paraId="3D77910C">
            <w:pPr>
              <w:widowControl w:val="0"/>
              <w:jc w:val="center"/>
              <w:rPr>
                <w:rFonts w:hint="eastAsia" w:ascii="Calibri" w:hAnsi="Calibri" w:eastAsia="宋体"/>
                <w:b/>
                <w:bCs/>
                <w:color w:val="FF0000"/>
                <w:kern w:val="2"/>
                <w:sz w:val="21"/>
                <w:szCs w:val="21"/>
                <w:lang w:eastAsia="zh-CN"/>
              </w:rPr>
            </w:pPr>
          </w:p>
        </w:tc>
      </w:tr>
      <w:tr w14:paraId="7C76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32" w:type="dxa"/>
            <w:noWrap w:val="0"/>
            <w:vAlign w:val="center"/>
          </w:tcPr>
          <w:p w14:paraId="15040C9E">
            <w:pPr>
              <w:widowControl/>
              <w:jc w:val="center"/>
              <w:textAlignment w:val="center"/>
              <w:rPr>
                <w:rFonts w:ascii="宋体" w:hAnsi="宋体" w:eastAsia="宋体" w:cs="宋体"/>
                <w:color w:val="000000"/>
                <w:sz w:val="21"/>
                <w:szCs w:val="21"/>
                <w:lang w:eastAsia="zh-CN" w:bidi="ar"/>
              </w:rPr>
            </w:pPr>
            <w:r>
              <w:rPr>
                <w:rFonts w:hint="eastAsia" w:ascii="宋体" w:hAnsi="宋体" w:eastAsia="宋体" w:cs="宋体"/>
                <w:color w:val="000000"/>
                <w:sz w:val="21"/>
                <w:szCs w:val="21"/>
                <w:lang w:eastAsia="zh-CN" w:bidi="ar"/>
              </w:rPr>
              <w:t>13</w:t>
            </w:r>
          </w:p>
        </w:tc>
        <w:tc>
          <w:tcPr>
            <w:tcW w:w="2839" w:type="dxa"/>
            <w:noWrap w:val="0"/>
            <w:vAlign w:val="center"/>
          </w:tcPr>
          <w:p w14:paraId="5B54BF49">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存储设备</w:t>
            </w:r>
          </w:p>
        </w:tc>
        <w:tc>
          <w:tcPr>
            <w:tcW w:w="967" w:type="dxa"/>
            <w:noWrap w:val="0"/>
            <w:vAlign w:val="center"/>
          </w:tcPr>
          <w:p w14:paraId="2C65E099">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2</w:t>
            </w:r>
          </w:p>
        </w:tc>
        <w:tc>
          <w:tcPr>
            <w:tcW w:w="831" w:type="dxa"/>
            <w:noWrap w:val="0"/>
            <w:vAlign w:val="center"/>
          </w:tcPr>
          <w:p w14:paraId="586D5987">
            <w:pPr>
              <w:widowControl/>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rPr>
              <w:t>台</w:t>
            </w:r>
          </w:p>
        </w:tc>
        <w:tc>
          <w:tcPr>
            <w:tcW w:w="1202" w:type="dxa"/>
            <w:noWrap w:val="0"/>
            <w:vAlign w:val="center"/>
          </w:tcPr>
          <w:p w14:paraId="6F639526">
            <w:pPr>
              <w:widowControl/>
              <w:spacing w:line="360" w:lineRule="auto"/>
              <w:jc w:val="center"/>
              <w:textAlignment w:val="center"/>
              <w:rPr>
                <w:rFonts w:hint="eastAsia" w:ascii="宋体" w:hAnsi="宋体" w:eastAsia="宋体" w:cs="宋体"/>
                <w:kern w:val="2"/>
                <w:sz w:val="21"/>
                <w:szCs w:val="21"/>
                <w:lang w:eastAsia="zh-CN"/>
              </w:rPr>
            </w:pPr>
            <w:r>
              <w:rPr>
                <w:rFonts w:hint="eastAsia" w:ascii="宋体" w:hAnsi="宋体" w:eastAsia="宋体" w:cs="宋体"/>
                <w:sz w:val="21"/>
                <w:szCs w:val="21"/>
              </w:rPr>
              <w:t>拒绝进口</w:t>
            </w:r>
          </w:p>
        </w:tc>
        <w:tc>
          <w:tcPr>
            <w:tcW w:w="2027" w:type="dxa"/>
            <w:vMerge w:val="continue"/>
            <w:noWrap w:val="0"/>
            <w:vAlign w:val="center"/>
          </w:tcPr>
          <w:p w14:paraId="0A23029A">
            <w:pPr>
              <w:widowControl w:val="0"/>
              <w:jc w:val="center"/>
              <w:rPr>
                <w:rFonts w:hint="eastAsia" w:ascii="Calibri" w:hAnsi="Calibri" w:eastAsia="宋体"/>
                <w:b/>
                <w:bCs/>
                <w:color w:val="FF0000"/>
                <w:kern w:val="2"/>
                <w:sz w:val="21"/>
                <w:szCs w:val="21"/>
                <w:lang w:eastAsia="zh-CN"/>
              </w:rPr>
            </w:pPr>
          </w:p>
        </w:tc>
      </w:tr>
    </w:tbl>
    <w:p w14:paraId="7EC8D64D">
      <w:pPr>
        <w:widowControl w:val="0"/>
        <w:spacing w:after="120" w:line="360" w:lineRule="auto"/>
        <w:ind w:firstLine="422" w:firstLineChars="200"/>
        <w:jc w:val="both"/>
        <w:rPr>
          <w:rFonts w:ascii="宋体" w:hAnsi="宋体" w:eastAsia="宋体"/>
          <w:b/>
          <w:color w:val="000000"/>
          <w:sz w:val="21"/>
          <w:szCs w:val="21"/>
          <w:lang w:eastAsia="zh-CN"/>
        </w:rPr>
      </w:pPr>
      <w:r>
        <w:rPr>
          <w:rFonts w:hint="eastAsia" w:ascii="宋体" w:hAnsi="宋体" w:eastAsia="宋体"/>
          <w:b/>
          <w:color w:val="000000"/>
          <w:sz w:val="21"/>
          <w:szCs w:val="21"/>
          <w:lang w:eastAsia="zh-CN"/>
        </w:rPr>
        <w:t>1、本项目总预算为824,000.00元。投标总价不得超过项目总预算限额，设置最高单价限价的，分项报价不得超过相应单价限额。</w:t>
      </w:r>
    </w:p>
    <w:p w14:paraId="5D6D28E4">
      <w:pPr>
        <w:widowControl w:val="0"/>
        <w:spacing w:after="120" w:line="360" w:lineRule="auto"/>
        <w:ind w:firstLine="422" w:firstLineChars="200"/>
        <w:jc w:val="both"/>
        <w:rPr>
          <w:rFonts w:ascii="宋体" w:hAnsi="宋体" w:eastAsia="宋体"/>
          <w:b/>
          <w:color w:val="000000"/>
          <w:sz w:val="21"/>
          <w:szCs w:val="21"/>
          <w:lang w:eastAsia="zh-CN"/>
        </w:rPr>
      </w:pPr>
      <w:r>
        <w:rPr>
          <w:rFonts w:hint="eastAsia" w:ascii="宋体" w:hAnsi="宋体" w:eastAsia="宋体"/>
          <w:b/>
          <w:color w:val="000000"/>
          <w:sz w:val="21"/>
          <w:szCs w:val="21"/>
          <w:lang w:eastAsia="zh-CN"/>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14:paraId="2FD02275">
      <w:pPr>
        <w:widowControl w:val="0"/>
        <w:spacing w:after="120" w:line="360" w:lineRule="auto"/>
        <w:ind w:firstLine="422" w:firstLineChars="200"/>
        <w:jc w:val="both"/>
        <w:rPr>
          <w:rFonts w:ascii="宋体" w:hAnsi="宋体" w:eastAsia="宋体"/>
          <w:b/>
          <w:color w:val="000000"/>
          <w:sz w:val="21"/>
          <w:szCs w:val="21"/>
          <w:u w:val="single"/>
          <w:lang w:eastAsia="zh-CN"/>
        </w:rPr>
      </w:pPr>
      <w:r>
        <w:rPr>
          <w:rFonts w:hint="eastAsia" w:ascii="宋体" w:hAnsi="宋体" w:eastAsia="宋体"/>
          <w:b/>
          <w:color w:val="000000"/>
          <w:sz w:val="21"/>
          <w:szCs w:val="21"/>
          <w:lang w:eastAsia="zh-CN"/>
        </w:rPr>
        <w:t>3、核心产品：</w:t>
      </w:r>
      <w:r>
        <w:rPr>
          <w:rFonts w:hint="eastAsia" w:ascii="宋体" w:hAnsi="宋体" w:eastAsia="宋体"/>
          <w:b/>
          <w:color w:val="000000"/>
          <w:sz w:val="21"/>
          <w:szCs w:val="21"/>
          <w:u w:val="single"/>
          <w:lang w:eastAsia="zh-CN"/>
        </w:rPr>
        <w:t>智能实验终端</w:t>
      </w:r>
    </w:p>
    <w:p w14:paraId="2675489C">
      <w:pPr>
        <w:keepNext/>
        <w:keepLines/>
        <w:widowControl w:val="0"/>
        <w:spacing w:before="260" w:after="260" w:line="240" w:lineRule="auto"/>
        <w:jc w:val="center"/>
        <w:outlineLvl w:val="2"/>
        <w:rPr>
          <w:rFonts w:ascii="宋体" w:hAnsi="宋体" w:eastAsia="宋体"/>
          <w:b/>
          <w:bCs/>
          <w:kern w:val="2"/>
          <w:sz w:val="28"/>
          <w:szCs w:val="32"/>
          <w:lang w:eastAsia="zh-CN"/>
        </w:rPr>
      </w:pPr>
      <w:r>
        <w:rPr>
          <w:rFonts w:hint="eastAsia" w:ascii="宋体" w:hAnsi="宋体" w:eastAsia="宋体" w:cstheme="minorBidi"/>
          <w:b/>
          <w:bCs/>
          <w:kern w:val="2"/>
          <w:sz w:val="28"/>
          <w:szCs w:val="32"/>
          <w:lang w:eastAsia="zh-CN"/>
        </w:rPr>
        <w:t>三、实质性条款</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7904"/>
      </w:tblGrid>
      <w:tr w14:paraId="2A7B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vAlign w:val="center"/>
          </w:tcPr>
          <w:p w14:paraId="1107FAA5">
            <w:pPr>
              <w:widowControl w:val="0"/>
              <w:jc w:val="center"/>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序号</w:t>
            </w:r>
          </w:p>
        </w:tc>
        <w:tc>
          <w:tcPr>
            <w:tcW w:w="8000" w:type="dxa"/>
            <w:vAlign w:val="center"/>
          </w:tcPr>
          <w:p w14:paraId="44B1B79F">
            <w:pPr>
              <w:widowControl w:val="0"/>
              <w:jc w:val="center"/>
              <w:rPr>
                <w:rFonts w:ascii="宋体" w:hAnsi="宋体" w:eastAsia="宋体"/>
                <w:b/>
                <w:kern w:val="2"/>
                <w:sz w:val="21"/>
                <w:szCs w:val="22"/>
                <w:lang w:eastAsia="zh-CN"/>
              </w:rPr>
            </w:pPr>
            <w:r>
              <w:rPr>
                <w:rFonts w:hint="eastAsia" w:ascii="宋体" w:hAnsi="宋体" w:eastAsia="宋体" w:cstheme="minorBidi"/>
                <w:b/>
                <w:kern w:val="2"/>
                <w:sz w:val="21"/>
                <w:szCs w:val="22"/>
                <w:lang w:eastAsia="zh-CN"/>
              </w:rPr>
              <w:t>实质性条款具体内容</w:t>
            </w:r>
          </w:p>
        </w:tc>
      </w:tr>
      <w:tr w14:paraId="2FD1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Pr>
          <w:p w14:paraId="547AD421">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1</w:t>
            </w:r>
          </w:p>
        </w:tc>
        <w:tc>
          <w:tcPr>
            <w:tcW w:w="8000" w:type="dxa"/>
          </w:tcPr>
          <w:p w14:paraId="0AB30685">
            <w:pPr>
              <w:widowControl w:val="0"/>
              <w:jc w:val="center"/>
              <w:rPr>
                <w:rFonts w:ascii="宋体" w:hAnsi="宋体" w:eastAsia="宋体"/>
                <w:kern w:val="2"/>
                <w:sz w:val="21"/>
                <w:szCs w:val="22"/>
                <w:lang w:eastAsia="zh-CN"/>
              </w:rPr>
            </w:pPr>
            <w:r>
              <w:rPr>
                <w:rFonts w:hint="eastAsia" w:ascii="宋体" w:hAnsi="宋体" w:eastAsia="宋体" w:cstheme="minorBidi"/>
                <w:kern w:val="2"/>
                <w:sz w:val="21"/>
                <w:szCs w:val="22"/>
                <w:lang w:eastAsia="zh-CN"/>
              </w:rPr>
              <w:t>本项目招标文件中所有带★号条款内容</w:t>
            </w:r>
          </w:p>
        </w:tc>
      </w:tr>
      <w:bookmarkEnd w:id="13"/>
    </w:tbl>
    <w:p w14:paraId="254B8BA5">
      <w:pPr>
        <w:widowControl w:val="0"/>
        <w:ind w:firstLine="420" w:firstLineChars="200"/>
        <w:jc w:val="both"/>
        <w:rPr>
          <w:rFonts w:ascii="Calibri" w:hAnsi="Calibri" w:eastAsia="宋体"/>
          <w:color w:val="FF0000"/>
          <w:kern w:val="2"/>
          <w:sz w:val="21"/>
          <w:szCs w:val="22"/>
          <w:lang w:eastAsia="zh-CN"/>
        </w:rPr>
      </w:pPr>
      <w:r>
        <w:rPr>
          <w:rFonts w:hint="eastAsia" w:ascii="Calibri" w:hAnsi="Calibri" w:eastAsia="宋体" w:cstheme="minorBidi"/>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4B791833">
      <w:pPr>
        <w:widowControl w:val="0"/>
        <w:jc w:val="both"/>
        <w:rPr>
          <w:rFonts w:ascii="Calibri" w:hAnsi="Calibri" w:eastAsia="宋体"/>
          <w:b/>
          <w:color w:val="FF0000"/>
          <w:kern w:val="2"/>
          <w:sz w:val="21"/>
          <w:szCs w:val="22"/>
          <w:lang w:eastAsia="zh-CN"/>
        </w:rPr>
      </w:pPr>
    </w:p>
    <w:p w14:paraId="536B4660">
      <w:pPr>
        <w:keepNext/>
        <w:keepLines/>
        <w:widowControl w:val="0"/>
        <w:spacing w:before="260" w:after="260" w:line="240" w:lineRule="auto"/>
        <w:jc w:val="center"/>
        <w:outlineLvl w:val="2"/>
        <w:rPr>
          <w:rFonts w:ascii="宋体" w:hAnsi="宋体" w:eastAsia="宋体"/>
          <w:b/>
          <w:bCs/>
          <w:kern w:val="2"/>
          <w:sz w:val="28"/>
          <w:szCs w:val="32"/>
          <w:lang w:eastAsia="zh-CN"/>
        </w:rPr>
      </w:pPr>
      <w:r>
        <w:rPr>
          <w:rFonts w:hint="eastAsia" w:ascii="宋体" w:hAnsi="宋体" w:eastAsia="宋体" w:cstheme="minorBidi"/>
          <w:b/>
          <w:bCs/>
          <w:kern w:val="2"/>
          <w:sz w:val="28"/>
          <w:szCs w:val="32"/>
          <w:lang w:eastAsia="zh-CN"/>
        </w:rPr>
        <w:t>四、商务条款要求</w:t>
      </w:r>
    </w:p>
    <w:p w14:paraId="49D895B5">
      <w:pPr>
        <w:widowControl w:val="0"/>
        <w:ind w:firstLine="422" w:firstLineChars="200"/>
        <w:jc w:val="both"/>
        <w:rPr>
          <w:rFonts w:hint="eastAsia" w:ascii="Calibri" w:hAnsi="Calibri" w:eastAsia="宋体"/>
          <w:b/>
          <w:kern w:val="2"/>
          <w:sz w:val="21"/>
          <w:szCs w:val="21"/>
          <w:lang w:eastAsia="zh-CN"/>
        </w:rPr>
      </w:pPr>
      <w:r>
        <w:rPr>
          <w:rFonts w:hint="eastAsia" w:ascii="Calibri" w:hAnsi="Calibri" w:eastAsia="宋体" w:cstheme="minorBidi"/>
          <w:b/>
          <w:kern w:val="2"/>
          <w:sz w:val="21"/>
          <w:szCs w:val="21"/>
          <w:lang w:eastAsia="zh-CN"/>
        </w:rPr>
        <w:t>说明：带★号条款为不可偏离条款，不作为评分准则中的评分内容，如未响应或出现负偏离的，将作投标无效处理；带“</w:t>
      </w:r>
      <w:r>
        <w:rPr>
          <w:rFonts w:ascii="Calibri" w:hAnsi="Calibri" w:eastAsia="宋体" w:cstheme="minorBidi"/>
          <w:kern w:val="2"/>
          <w:sz w:val="21"/>
          <w:szCs w:val="22"/>
          <w:lang w:eastAsia="zh-CN"/>
        </w:rPr>
        <w:t>▲</w:t>
      </w:r>
      <w:r>
        <w:rPr>
          <w:rFonts w:hint="eastAsia" w:ascii="Calibri" w:hAnsi="Calibri" w:eastAsia="宋体" w:cstheme="minorBidi"/>
          <w:b/>
          <w:kern w:val="2"/>
          <w:sz w:val="21"/>
          <w:szCs w:val="21"/>
          <w:lang w:eastAsia="zh-CN"/>
        </w:rPr>
        <w:t>”指标项为重要参数，负偏离时依相关评分准则内容作重点扣分处理。</w:t>
      </w:r>
    </w:p>
    <w:tbl>
      <w:tblPr>
        <w:tblStyle w:val="9"/>
        <w:tblW w:w="5000" w:type="pct"/>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008"/>
        <w:gridCol w:w="5886"/>
      </w:tblGrid>
      <w:tr w14:paraId="71CD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8" w:type="dxa"/>
            <w:vAlign w:val="center"/>
          </w:tcPr>
          <w:p w14:paraId="08434CAC">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2001" w:type="dxa"/>
            <w:vAlign w:val="center"/>
          </w:tcPr>
          <w:p w14:paraId="48FCE25B">
            <w:pPr>
              <w:jc w:val="center"/>
              <w:rPr>
                <w:rFonts w:hint="eastAsia" w:ascii="宋体" w:hAnsi="宋体" w:eastAsia="宋体" w:cs="宋体"/>
                <w:b/>
                <w:sz w:val="21"/>
                <w:szCs w:val="21"/>
              </w:rPr>
            </w:pPr>
            <w:r>
              <w:rPr>
                <w:rFonts w:hint="eastAsia" w:ascii="宋体" w:hAnsi="宋体" w:eastAsia="宋体" w:cs="宋体"/>
                <w:b/>
                <w:sz w:val="21"/>
                <w:szCs w:val="21"/>
              </w:rPr>
              <w:t>目录</w:t>
            </w:r>
          </w:p>
        </w:tc>
        <w:tc>
          <w:tcPr>
            <w:tcW w:w="5864" w:type="dxa"/>
            <w:vAlign w:val="center"/>
          </w:tcPr>
          <w:p w14:paraId="1B48A321">
            <w:pPr>
              <w:jc w:val="center"/>
              <w:rPr>
                <w:rFonts w:hint="eastAsia" w:ascii="宋体" w:hAnsi="宋体" w:eastAsia="宋体" w:cs="宋体"/>
                <w:b/>
                <w:sz w:val="21"/>
                <w:szCs w:val="21"/>
              </w:rPr>
            </w:pPr>
            <w:r>
              <w:rPr>
                <w:rFonts w:hint="eastAsia" w:ascii="宋体" w:hAnsi="宋体" w:eastAsia="宋体" w:cs="宋体"/>
                <w:b/>
                <w:sz w:val="21"/>
                <w:szCs w:val="21"/>
              </w:rPr>
              <w:t>采购商务需求</w:t>
            </w:r>
          </w:p>
        </w:tc>
      </w:tr>
      <w:tr w14:paraId="7298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3" w:type="dxa"/>
            <w:gridSpan w:val="3"/>
          </w:tcPr>
          <w:p w14:paraId="7CBDEA37">
            <w:pPr>
              <w:rPr>
                <w:rFonts w:hint="eastAsia" w:ascii="宋体" w:hAnsi="宋体" w:eastAsia="宋体" w:cs="宋体"/>
                <w:b/>
                <w:sz w:val="21"/>
                <w:szCs w:val="21"/>
              </w:rPr>
            </w:pPr>
            <w:r>
              <w:rPr>
                <w:rFonts w:hint="eastAsia" w:ascii="宋体" w:hAnsi="宋体" w:eastAsia="宋体" w:cs="宋体"/>
                <w:b/>
                <w:sz w:val="21"/>
                <w:szCs w:val="21"/>
              </w:rPr>
              <w:t>（一）免费保修期内售后服务要求</w:t>
            </w:r>
          </w:p>
        </w:tc>
      </w:tr>
      <w:tr w14:paraId="792F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58" w:type="dxa"/>
            <w:vAlign w:val="center"/>
          </w:tcPr>
          <w:p w14:paraId="0EC87C2B">
            <w:pPr>
              <w:jc w:val="center"/>
              <w:rPr>
                <w:rFonts w:hint="eastAsia" w:ascii="宋体" w:hAnsi="宋体" w:eastAsia="宋体" w:cs="宋体"/>
                <w:b/>
                <w:sz w:val="21"/>
                <w:szCs w:val="21"/>
              </w:rPr>
            </w:pPr>
            <w:r>
              <w:rPr>
                <w:rFonts w:hint="eastAsia" w:ascii="宋体" w:hAnsi="宋体" w:eastAsia="宋体" w:cs="宋体"/>
                <w:bCs/>
                <w:sz w:val="21"/>
                <w:szCs w:val="21"/>
              </w:rPr>
              <w:t>1</w:t>
            </w:r>
          </w:p>
        </w:tc>
        <w:tc>
          <w:tcPr>
            <w:tcW w:w="2001" w:type="dxa"/>
            <w:vAlign w:val="center"/>
          </w:tcPr>
          <w:p w14:paraId="17AD6932">
            <w:pPr>
              <w:jc w:val="center"/>
              <w:rPr>
                <w:rFonts w:hint="eastAsia" w:ascii="宋体" w:hAnsi="宋体" w:eastAsia="宋体" w:cs="宋体"/>
                <w:sz w:val="21"/>
                <w:szCs w:val="21"/>
              </w:rPr>
            </w:pPr>
            <w:r>
              <w:rPr>
                <w:rFonts w:hint="eastAsia" w:ascii="宋体" w:hAnsi="宋体" w:eastAsia="宋体" w:cs="宋体"/>
                <w:bCs/>
                <w:sz w:val="21"/>
                <w:szCs w:val="21"/>
              </w:rPr>
              <w:t>维修响应及故障解决时间</w:t>
            </w:r>
          </w:p>
        </w:tc>
        <w:tc>
          <w:tcPr>
            <w:tcW w:w="5864" w:type="dxa"/>
          </w:tcPr>
          <w:p w14:paraId="20475D67">
            <w:pPr>
              <w:rPr>
                <w:rFonts w:hint="eastAsia" w:ascii="宋体" w:hAnsi="宋体" w:eastAsia="宋体" w:cs="宋体"/>
                <w:b/>
                <w:sz w:val="21"/>
                <w:szCs w:val="21"/>
              </w:rPr>
            </w:pPr>
            <w:r>
              <w:rPr>
                <w:rFonts w:hint="eastAsia" w:ascii="宋体" w:hAnsi="宋体" w:eastAsia="宋体" w:cs="宋体"/>
                <w:bCs/>
                <w:sz w:val="21"/>
                <w:szCs w:val="21"/>
              </w:rPr>
              <w:t>1.1在保修期内，提供24小时电话服务热线，一旦发生质量问题，投标人保</w:t>
            </w:r>
            <w:r>
              <w:rPr>
                <w:rFonts w:hint="eastAsia" w:ascii="宋体" w:hAnsi="宋体" w:eastAsia="宋体" w:cs="宋体"/>
                <w:sz w:val="21"/>
                <w:szCs w:val="21"/>
              </w:rPr>
              <w:t>证在接到通知24小时内赶到现场进行修理或更换，</w:t>
            </w:r>
            <w:r>
              <w:rPr>
                <w:rFonts w:hint="eastAsia" w:ascii="宋体" w:hAnsi="宋体" w:eastAsia="宋体" w:cs="宋体"/>
                <w:bCs/>
                <w:sz w:val="21"/>
                <w:szCs w:val="21"/>
              </w:rPr>
              <w:t>48小时内解决问题，若在规定时间不能修复，需马上提供替用件，或提供同样工程的设备免费供使用单位使用,直到故障设备修复为止。</w:t>
            </w:r>
          </w:p>
        </w:tc>
      </w:tr>
      <w:tr w14:paraId="42C57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958" w:type="dxa"/>
            <w:vAlign w:val="center"/>
          </w:tcPr>
          <w:p w14:paraId="435918AA">
            <w:pPr>
              <w:jc w:val="center"/>
              <w:rPr>
                <w:rFonts w:hint="eastAsia" w:ascii="宋体" w:hAnsi="宋体" w:eastAsia="宋体" w:cs="宋体"/>
                <w:b/>
                <w:sz w:val="21"/>
                <w:szCs w:val="21"/>
              </w:rPr>
            </w:pPr>
            <w:r>
              <w:rPr>
                <w:rFonts w:hint="eastAsia" w:ascii="宋体" w:hAnsi="宋体" w:eastAsia="宋体" w:cs="宋体"/>
                <w:bCs/>
                <w:sz w:val="21"/>
                <w:szCs w:val="21"/>
              </w:rPr>
              <w:t>2</w:t>
            </w:r>
          </w:p>
        </w:tc>
        <w:tc>
          <w:tcPr>
            <w:tcW w:w="2001" w:type="dxa"/>
            <w:vAlign w:val="center"/>
          </w:tcPr>
          <w:p w14:paraId="381489A6">
            <w:pPr>
              <w:jc w:val="center"/>
              <w:rPr>
                <w:rFonts w:hint="eastAsia" w:ascii="宋体" w:hAnsi="宋体" w:eastAsia="宋体" w:cs="宋体"/>
                <w:sz w:val="21"/>
                <w:szCs w:val="21"/>
              </w:rPr>
            </w:pPr>
            <w:r>
              <w:rPr>
                <w:rFonts w:hint="eastAsia" w:ascii="宋体" w:hAnsi="宋体" w:eastAsia="宋体" w:cs="宋体"/>
                <w:bCs/>
                <w:sz w:val="21"/>
                <w:szCs w:val="21"/>
              </w:rPr>
              <w:t>关于免费保修期</w:t>
            </w:r>
          </w:p>
        </w:tc>
        <w:tc>
          <w:tcPr>
            <w:tcW w:w="5864" w:type="dxa"/>
          </w:tcPr>
          <w:p w14:paraId="7F1F6E9A">
            <w:pPr>
              <w:rPr>
                <w:rFonts w:hint="eastAsia" w:ascii="宋体" w:hAnsi="宋体" w:eastAsia="宋体" w:cs="宋体"/>
                <w:b/>
                <w:sz w:val="21"/>
                <w:szCs w:val="21"/>
              </w:rPr>
            </w:pPr>
            <w:r>
              <w:rPr>
                <w:rFonts w:hint="eastAsia" w:ascii="宋体" w:hAnsi="宋体" w:eastAsia="宋体" w:cs="宋体"/>
                <w:b/>
                <w:sz w:val="21"/>
                <w:szCs w:val="21"/>
              </w:rPr>
              <w:t>★2.1</w:t>
            </w:r>
            <w:r>
              <w:rPr>
                <w:rFonts w:hint="eastAsia" w:ascii="宋体" w:hAnsi="宋体" w:eastAsia="宋体" w:cs="宋体"/>
                <w:b/>
                <w:bCs/>
                <w:sz w:val="21"/>
                <w:szCs w:val="21"/>
              </w:rPr>
              <w:t>货物免费质保期</w:t>
            </w:r>
            <w:r>
              <w:rPr>
                <w:rFonts w:hint="eastAsia" w:ascii="宋体" w:hAnsi="宋体" w:eastAsia="宋体" w:cs="宋体"/>
                <w:b/>
                <w:bCs/>
                <w:sz w:val="21"/>
                <w:szCs w:val="21"/>
                <w:u w:val="single"/>
              </w:rPr>
              <w:t xml:space="preserve">  3 </w:t>
            </w:r>
            <w:r>
              <w:rPr>
                <w:rFonts w:hint="eastAsia" w:ascii="宋体" w:hAnsi="宋体" w:eastAsia="宋体" w:cs="宋体"/>
                <w:b/>
                <w:bCs/>
                <w:sz w:val="21"/>
                <w:szCs w:val="21"/>
              </w:rPr>
              <w:t>年，</w:t>
            </w:r>
            <w:r>
              <w:rPr>
                <w:rFonts w:hint="eastAsia" w:ascii="宋体" w:hAnsi="宋体" w:eastAsia="宋体" w:cs="宋体"/>
                <w:bCs/>
                <w:sz w:val="21"/>
                <w:szCs w:val="21"/>
              </w:rPr>
              <w:t>时间自最终验收合格并交付使用之日起计算。要求提供7*24小时优质、迅速的售后服务和技术支持。质保期内提供设备的免费维修保养、设备备件的免费供应。质保期过后提供终身技术支持、咨询服务和备件的供应。</w:t>
            </w:r>
          </w:p>
        </w:tc>
      </w:tr>
      <w:tr w14:paraId="3669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58" w:type="dxa"/>
            <w:vAlign w:val="center"/>
          </w:tcPr>
          <w:p w14:paraId="2421E080">
            <w:pPr>
              <w:jc w:val="center"/>
              <w:rPr>
                <w:rFonts w:hint="eastAsia" w:ascii="宋体" w:hAnsi="宋体" w:eastAsia="宋体" w:cs="宋体"/>
                <w:b/>
                <w:sz w:val="21"/>
                <w:szCs w:val="21"/>
              </w:rPr>
            </w:pPr>
            <w:r>
              <w:rPr>
                <w:rFonts w:hint="eastAsia" w:ascii="宋体" w:hAnsi="宋体" w:eastAsia="宋体" w:cs="宋体"/>
                <w:bCs/>
                <w:sz w:val="21"/>
                <w:szCs w:val="21"/>
              </w:rPr>
              <w:t>3</w:t>
            </w:r>
          </w:p>
        </w:tc>
        <w:tc>
          <w:tcPr>
            <w:tcW w:w="2001" w:type="dxa"/>
            <w:vAlign w:val="center"/>
          </w:tcPr>
          <w:p w14:paraId="5AAA186E">
            <w:pPr>
              <w:jc w:val="center"/>
              <w:rPr>
                <w:rFonts w:hint="eastAsia" w:ascii="宋体" w:hAnsi="宋体" w:eastAsia="宋体" w:cs="宋体"/>
                <w:b/>
                <w:sz w:val="21"/>
                <w:szCs w:val="21"/>
              </w:rPr>
            </w:pPr>
            <w:r>
              <w:rPr>
                <w:rFonts w:hint="eastAsia" w:ascii="宋体" w:hAnsi="宋体" w:eastAsia="宋体" w:cs="宋体"/>
                <w:bCs/>
                <w:sz w:val="21"/>
                <w:szCs w:val="21"/>
              </w:rPr>
              <w:t>设备备件要求</w:t>
            </w:r>
          </w:p>
        </w:tc>
        <w:tc>
          <w:tcPr>
            <w:tcW w:w="5864" w:type="dxa"/>
            <w:vAlign w:val="center"/>
          </w:tcPr>
          <w:p w14:paraId="741AF241">
            <w:pPr>
              <w:rPr>
                <w:rFonts w:hint="eastAsia" w:ascii="宋体" w:hAnsi="宋体" w:eastAsia="宋体" w:cs="宋体"/>
                <w:b/>
                <w:sz w:val="21"/>
                <w:szCs w:val="21"/>
              </w:rPr>
            </w:pPr>
            <w:r>
              <w:rPr>
                <w:rFonts w:hint="eastAsia" w:ascii="宋体" w:hAnsi="宋体" w:eastAsia="宋体" w:cs="宋体"/>
                <w:sz w:val="21"/>
                <w:szCs w:val="21"/>
              </w:rPr>
              <w:t>3.1所供应的产品同时包含了配备正常使用条件下本批设备3年使用量的随机备品备件（所配备的备品备件如维修时才需更换，非指随货配送）；合同签订前，采购人将要求中标人就此事项签署承诺书作为签订合同的前提条件。如果因机器和配件停产造成设备无法维修者，必须无条件免费更换整机保证正常使用。</w:t>
            </w:r>
          </w:p>
        </w:tc>
      </w:tr>
      <w:tr w14:paraId="3BF35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958" w:type="dxa"/>
            <w:vAlign w:val="center"/>
          </w:tcPr>
          <w:p w14:paraId="240A35C8">
            <w:pPr>
              <w:jc w:val="center"/>
              <w:rPr>
                <w:rFonts w:hint="eastAsia" w:ascii="宋体" w:hAnsi="宋体" w:eastAsia="宋体" w:cs="宋体"/>
                <w:b/>
                <w:sz w:val="21"/>
                <w:szCs w:val="21"/>
              </w:rPr>
            </w:pPr>
            <w:r>
              <w:rPr>
                <w:rFonts w:hint="eastAsia" w:ascii="宋体" w:hAnsi="宋体" w:eastAsia="宋体" w:cs="宋体"/>
                <w:bCs/>
                <w:sz w:val="21"/>
                <w:szCs w:val="21"/>
              </w:rPr>
              <w:t>4</w:t>
            </w:r>
          </w:p>
        </w:tc>
        <w:tc>
          <w:tcPr>
            <w:tcW w:w="2001" w:type="dxa"/>
            <w:vAlign w:val="center"/>
          </w:tcPr>
          <w:p w14:paraId="2880F152">
            <w:pPr>
              <w:jc w:val="center"/>
              <w:rPr>
                <w:rFonts w:hint="eastAsia" w:ascii="宋体" w:hAnsi="宋体" w:eastAsia="宋体" w:cs="宋体"/>
                <w:sz w:val="21"/>
                <w:szCs w:val="21"/>
              </w:rPr>
            </w:pPr>
            <w:r>
              <w:rPr>
                <w:rFonts w:hint="eastAsia" w:ascii="宋体" w:hAnsi="宋体" w:eastAsia="宋体" w:cs="宋体"/>
                <w:bCs/>
                <w:sz w:val="21"/>
                <w:szCs w:val="21"/>
              </w:rPr>
              <w:t>安装、调试要求</w:t>
            </w:r>
          </w:p>
        </w:tc>
        <w:tc>
          <w:tcPr>
            <w:tcW w:w="5864" w:type="dxa"/>
            <w:vAlign w:val="center"/>
          </w:tcPr>
          <w:p w14:paraId="48A06F38">
            <w:pPr>
              <w:rPr>
                <w:rFonts w:hint="eastAsia" w:ascii="宋体" w:hAnsi="宋体" w:eastAsia="宋体" w:cs="宋体"/>
                <w:bCs/>
                <w:sz w:val="21"/>
                <w:szCs w:val="21"/>
              </w:rPr>
            </w:pPr>
            <w:r>
              <w:rPr>
                <w:rFonts w:hint="eastAsia" w:ascii="宋体" w:hAnsi="宋体" w:eastAsia="宋体" w:cs="宋体"/>
                <w:sz w:val="21"/>
                <w:szCs w:val="21"/>
              </w:rPr>
              <w:t>4.1在货物到达使用单位后，中标人应在1天内派工程技术人员到达现场，在采购方技术人员在场的情况下开箱清点货物，组织安装、调试，并承担因此发生的一切费用。正常使用情况下，非人为误操作而涉及零配件的维修及更换的一切费用由中标人负担。</w:t>
            </w:r>
          </w:p>
        </w:tc>
      </w:tr>
      <w:tr w14:paraId="2AC0A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3" w:type="dxa"/>
            <w:gridSpan w:val="3"/>
          </w:tcPr>
          <w:p w14:paraId="5BF8CF50">
            <w:pPr>
              <w:rPr>
                <w:rFonts w:hint="eastAsia" w:ascii="宋体" w:hAnsi="宋体" w:eastAsia="宋体" w:cs="宋体"/>
                <w:b/>
                <w:sz w:val="21"/>
                <w:szCs w:val="21"/>
              </w:rPr>
            </w:pPr>
            <w:r>
              <w:rPr>
                <w:rFonts w:hint="eastAsia" w:ascii="宋体" w:hAnsi="宋体" w:eastAsia="宋体" w:cs="宋体"/>
                <w:b/>
                <w:sz w:val="21"/>
                <w:szCs w:val="21"/>
              </w:rPr>
              <w:t>（二）免费保修期外售后服务要求</w:t>
            </w:r>
          </w:p>
        </w:tc>
      </w:tr>
      <w:tr w14:paraId="050E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8" w:type="dxa"/>
            <w:vAlign w:val="center"/>
          </w:tcPr>
          <w:p w14:paraId="328A7A17">
            <w:pPr>
              <w:jc w:val="center"/>
              <w:rPr>
                <w:rFonts w:hint="eastAsia" w:ascii="宋体" w:hAnsi="宋体" w:eastAsia="宋体" w:cs="宋体"/>
                <w:b/>
                <w:sz w:val="21"/>
                <w:szCs w:val="21"/>
              </w:rPr>
            </w:pPr>
            <w:r>
              <w:rPr>
                <w:rFonts w:hint="eastAsia" w:ascii="宋体" w:hAnsi="宋体" w:eastAsia="宋体" w:cs="宋体"/>
                <w:bCs/>
                <w:sz w:val="21"/>
                <w:szCs w:val="21"/>
              </w:rPr>
              <w:t>1</w:t>
            </w:r>
          </w:p>
        </w:tc>
        <w:tc>
          <w:tcPr>
            <w:tcW w:w="2001" w:type="dxa"/>
            <w:vAlign w:val="center"/>
          </w:tcPr>
          <w:p w14:paraId="2D53727E">
            <w:pPr>
              <w:jc w:val="center"/>
              <w:rPr>
                <w:rFonts w:hint="eastAsia" w:ascii="宋体" w:hAnsi="宋体" w:eastAsia="宋体" w:cs="宋体"/>
                <w:b/>
                <w:sz w:val="21"/>
                <w:szCs w:val="21"/>
              </w:rPr>
            </w:pPr>
            <w:r>
              <w:rPr>
                <w:rFonts w:hint="eastAsia" w:ascii="宋体" w:hAnsi="宋体" w:eastAsia="宋体" w:cs="宋体"/>
                <w:bCs/>
                <w:sz w:val="21"/>
                <w:szCs w:val="21"/>
              </w:rPr>
              <w:t>报障修理</w:t>
            </w:r>
          </w:p>
        </w:tc>
        <w:tc>
          <w:tcPr>
            <w:tcW w:w="5864" w:type="dxa"/>
          </w:tcPr>
          <w:p w14:paraId="67287F24">
            <w:pPr>
              <w:rPr>
                <w:rFonts w:hint="eastAsia" w:ascii="宋体" w:hAnsi="宋体" w:eastAsia="宋体" w:cs="宋体"/>
                <w:b/>
                <w:sz w:val="21"/>
                <w:szCs w:val="21"/>
              </w:rPr>
            </w:pPr>
            <w:r>
              <w:rPr>
                <w:rFonts w:hint="eastAsia" w:ascii="宋体" w:hAnsi="宋体" w:eastAsia="宋体" w:cs="宋体"/>
                <w:sz w:val="21"/>
                <w:szCs w:val="21"/>
              </w:rPr>
              <w:t>1.1中标人接到报障通知后，24小时内赶到现场进行修理，并在48小时内消除故障或提供应急措施。</w:t>
            </w:r>
          </w:p>
        </w:tc>
      </w:tr>
      <w:tr w14:paraId="6F3AA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8" w:type="dxa"/>
            <w:vAlign w:val="center"/>
          </w:tcPr>
          <w:p w14:paraId="0A5C8011">
            <w:pPr>
              <w:jc w:val="center"/>
              <w:rPr>
                <w:rFonts w:hint="eastAsia" w:ascii="宋体" w:hAnsi="宋体" w:eastAsia="宋体" w:cs="宋体"/>
                <w:b/>
                <w:sz w:val="21"/>
                <w:szCs w:val="21"/>
              </w:rPr>
            </w:pPr>
            <w:r>
              <w:rPr>
                <w:rFonts w:hint="eastAsia" w:ascii="宋体" w:hAnsi="宋体" w:eastAsia="宋体" w:cs="宋体"/>
                <w:bCs/>
                <w:sz w:val="21"/>
                <w:szCs w:val="21"/>
              </w:rPr>
              <w:t>2</w:t>
            </w:r>
          </w:p>
        </w:tc>
        <w:tc>
          <w:tcPr>
            <w:tcW w:w="2001" w:type="dxa"/>
            <w:vAlign w:val="center"/>
          </w:tcPr>
          <w:p w14:paraId="60461E48">
            <w:pPr>
              <w:spacing w:line="360" w:lineRule="exact"/>
              <w:jc w:val="center"/>
              <w:rPr>
                <w:rFonts w:hint="eastAsia" w:ascii="宋体" w:hAnsi="宋体" w:eastAsia="宋体" w:cs="宋体"/>
                <w:b/>
                <w:sz w:val="21"/>
                <w:szCs w:val="21"/>
              </w:rPr>
            </w:pPr>
            <w:r>
              <w:rPr>
                <w:rFonts w:hint="eastAsia" w:ascii="宋体" w:hAnsi="宋体" w:eastAsia="宋体" w:cs="宋体"/>
                <w:bCs/>
                <w:sz w:val="21"/>
                <w:szCs w:val="21"/>
              </w:rPr>
              <w:t>设备维修</w:t>
            </w:r>
          </w:p>
        </w:tc>
        <w:tc>
          <w:tcPr>
            <w:tcW w:w="5864" w:type="dxa"/>
            <w:vAlign w:val="center"/>
          </w:tcPr>
          <w:p w14:paraId="454F5966">
            <w:pPr>
              <w:spacing w:line="360" w:lineRule="exact"/>
              <w:rPr>
                <w:rFonts w:hint="eastAsia" w:ascii="宋体" w:hAnsi="宋体" w:eastAsia="宋体" w:cs="宋体"/>
                <w:b/>
                <w:sz w:val="21"/>
                <w:szCs w:val="21"/>
              </w:rPr>
            </w:pPr>
            <w:r>
              <w:rPr>
                <w:rFonts w:hint="eastAsia" w:ascii="宋体" w:hAnsi="宋体" w:eastAsia="宋体" w:cs="宋体"/>
                <w:sz w:val="21"/>
                <w:szCs w:val="21"/>
              </w:rPr>
              <w:t>2.1由使用部门联系中标人进行维修，使用部门验收合格，且中标人提供维修专用发票后，使用方支付维修费用。中标人不得以任何理由不按时进行设备维修。</w:t>
            </w:r>
          </w:p>
        </w:tc>
      </w:tr>
      <w:tr w14:paraId="4402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8" w:type="dxa"/>
            <w:vAlign w:val="center"/>
          </w:tcPr>
          <w:p w14:paraId="27D8E87D">
            <w:pPr>
              <w:jc w:val="center"/>
              <w:rPr>
                <w:rFonts w:hint="eastAsia" w:ascii="宋体" w:hAnsi="宋体" w:eastAsia="宋体" w:cs="宋体"/>
                <w:b/>
                <w:sz w:val="21"/>
                <w:szCs w:val="21"/>
              </w:rPr>
            </w:pPr>
            <w:r>
              <w:rPr>
                <w:rFonts w:hint="eastAsia" w:ascii="宋体" w:hAnsi="宋体" w:eastAsia="宋体" w:cs="宋体"/>
                <w:bCs/>
                <w:sz w:val="21"/>
                <w:szCs w:val="21"/>
              </w:rPr>
              <w:t>3</w:t>
            </w:r>
          </w:p>
        </w:tc>
        <w:tc>
          <w:tcPr>
            <w:tcW w:w="2001" w:type="dxa"/>
            <w:vAlign w:val="center"/>
          </w:tcPr>
          <w:p w14:paraId="08539A27">
            <w:pPr>
              <w:spacing w:line="360" w:lineRule="exact"/>
              <w:jc w:val="center"/>
              <w:rPr>
                <w:rFonts w:hint="eastAsia" w:ascii="宋体" w:hAnsi="宋体" w:eastAsia="宋体" w:cs="宋体"/>
                <w:b/>
                <w:sz w:val="21"/>
                <w:szCs w:val="21"/>
              </w:rPr>
            </w:pPr>
            <w:r>
              <w:rPr>
                <w:rFonts w:hint="eastAsia" w:ascii="宋体" w:hAnsi="宋体" w:eastAsia="宋体" w:cs="宋体"/>
                <w:sz w:val="21"/>
                <w:szCs w:val="21"/>
              </w:rPr>
              <w:t>保修期</w:t>
            </w:r>
          </w:p>
        </w:tc>
        <w:tc>
          <w:tcPr>
            <w:tcW w:w="5864" w:type="dxa"/>
            <w:vAlign w:val="center"/>
          </w:tcPr>
          <w:p w14:paraId="021639AB">
            <w:pPr>
              <w:spacing w:line="360" w:lineRule="exact"/>
              <w:rPr>
                <w:rFonts w:hint="eastAsia" w:ascii="宋体" w:hAnsi="宋体" w:eastAsia="宋体" w:cs="宋体"/>
                <w:b/>
                <w:sz w:val="21"/>
                <w:szCs w:val="21"/>
              </w:rPr>
            </w:pPr>
            <w:r>
              <w:rPr>
                <w:rFonts w:hint="eastAsia" w:ascii="宋体" w:hAnsi="宋体" w:eastAsia="宋体" w:cs="宋体"/>
                <w:sz w:val="21"/>
                <w:szCs w:val="21"/>
              </w:rPr>
              <w:t>3.1</w:t>
            </w:r>
            <w:r>
              <w:rPr>
                <w:rFonts w:hint="eastAsia" w:ascii="宋体" w:hAnsi="宋体" w:eastAsia="宋体" w:cs="宋体"/>
                <w:bCs/>
                <w:sz w:val="21"/>
                <w:szCs w:val="21"/>
              </w:rPr>
              <w:t>期限自质保期期满之日起</w:t>
            </w:r>
            <w:r>
              <w:rPr>
                <w:rFonts w:hint="eastAsia" w:ascii="宋体" w:hAnsi="宋体" w:eastAsia="宋体" w:cs="宋体"/>
                <w:bCs/>
                <w:sz w:val="21"/>
                <w:szCs w:val="21"/>
                <w:u w:val="single"/>
              </w:rPr>
              <w:t xml:space="preserve">  3  </w:t>
            </w:r>
            <w:r>
              <w:rPr>
                <w:rFonts w:hint="eastAsia" w:ascii="宋体" w:hAnsi="宋体" w:eastAsia="宋体" w:cs="宋体"/>
                <w:bCs/>
                <w:sz w:val="21"/>
                <w:szCs w:val="21"/>
              </w:rPr>
              <w:t>年内（保修期系指中标供应商提供的产品不能正常使用时，中标供应商可收取费用，同时提供维修、更换以确保产品正常使用的时间期限）</w:t>
            </w:r>
            <w:r>
              <w:rPr>
                <w:rFonts w:hint="eastAsia" w:ascii="宋体" w:hAnsi="宋体" w:eastAsia="宋体" w:cs="宋体"/>
                <w:sz w:val="21"/>
                <w:szCs w:val="21"/>
              </w:rPr>
              <w:t>。</w:t>
            </w:r>
          </w:p>
        </w:tc>
      </w:tr>
      <w:tr w14:paraId="2344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3" w:type="dxa"/>
            <w:gridSpan w:val="3"/>
          </w:tcPr>
          <w:p w14:paraId="1672E8A0">
            <w:pPr>
              <w:rPr>
                <w:rFonts w:hint="eastAsia" w:ascii="宋体" w:hAnsi="宋体" w:eastAsia="宋体" w:cs="宋体"/>
                <w:b/>
                <w:sz w:val="21"/>
                <w:szCs w:val="21"/>
              </w:rPr>
            </w:pPr>
            <w:r>
              <w:rPr>
                <w:rFonts w:hint="eastAsia" w:ascii="宋体" w:hAnsi="宋体" w:eastAsia="宋体" w:cs="宋体"/>
                <w:b/>
                <w:sz w:val="21"/>
                <w:szCs w:val="21"/>
              </w:rPr>
              <w:t>（三）其他商务要求</w:t>
            </w:r>
          </w:p>
        </w:tc>
      </w:tr>
      <w:tr w14:paraId="4D97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958" w:type="dxa"/>
            <w:vMerge w:val="restart"/>
            <w:vAlign w:val="center"/>
          </w:tcPr>
          <w:p w14:paraId="71ED6470">
            <w:pPr>
              <w:jc w:val="center"/>
              <w:rPr>
                <w:rFonts w:hint="eastAsia" w:ascii="宋体" w:hAnsi="宋体" w:eastAsia="宋体" w:cs="宋体"/>
                <w:b/>
                <w:sz w:val="21"/>
                <w:szCs w:val="21"/>
              </w:rPr>
            </w:pPr>
            <w:r>
              <w:rPr>
                <w:rFonts w:hint="eastAsia" w:ascii="宋体" w:hAnsi="宋体" w:eastAsia="宋体" w:cs="宋体"/>
                <w:bCs/>
                <w:sz w:val="21"/>
                <w:szCs w:val="21"/>
              </w:rPr>
              <w:t>1</w:t>
            </w:r>
          </w:p>
        </w:tc>
        <w:tc>
          <w:tcPr>
            <w:tcW w:w="2001" w:type="dxa"/>
            <w:vMerge w:val="restart"/>
            <w:vAlign w:val="center"/>
          </w:tcPr>
          <w:p w14:paraId="586DEA06">
            <w:pPr>
              <w:jc w:val="center"/>
              <w:rPr>
                <w:rFonts w:hint="eastAsia" w:ascii="宋体" w:hAnsi="宋体" w:eastAsia="宋体" w:cs="宋体"/>
                <w:sz w:val="21"/>
                <w:szCs w:val="21"/>
              </w:rPr>
            </w:pPr>
            <w:r>
              <w:rPr>
                <w:rFonts w:hint="eastAsia" w:ascii="宋体" w:hAnsi="宋体" w:eastAsia="宋体" w:cs="宋体"/>
                <w:bCs/>
                <w:sz w:val="21"/>
                <w:szCs w:val="21"/>
              </w:rPr>
              <w:t>关于交货</w:t>
            </w:r>
          </w:p>
        </w:tc>
        <w:tc>
          <w:tcPr>
            <w:tcW w:w="5864" w:type="dxa"/>
          </w:tcPr>
          <w:p w14:paraId="6277FB1D">
            <w:pPr>
              <w:rPr>
                <w:rFonts w:hint="eastAsia" w:ascii="宋体" w:hAnsi="宋体" w:eastAsia="宋体" w:cs="宋体"/>
                <w:bCs/>
                <w:sz w:val="21"/>
                <w:szCs w:val="21"/>
              </w:rPr>
            </w:pPr>
            <w:r>
              <w:rPr>
                <w:rFonts w:hint="eastAsia" w:ascii="宋体" w:hAnsi="宋体" w:eastAsia="宋体" w:cs="宋体"/>
                <w:bCs/>
                <w:sz w:val="21"/>
                <w:szCs w:val="21"/>
              </w:rPr>
              <w:t>1.1交货地点：采购单位指定地点</w:t>
            </w:r>
          </w:p>
        </w:tc>
      </w:tr>
      <w:tr w14:paraId="0764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8" w:type="dxa"/>
            <w:vMerge w:val="continue"/>
            <w:vAlign w:val="center"/>
          </w:tcPr>
          <w:p w14:paraId="70AFBCFC">
            <w:pPr>
              <w:widowControl/>
              <w:jc w:val="left"/>
              <w:rPr>
                <w:rFonts w:hint="eastAsia" w:ascii="宋体" w:hAnsi="宋体" w:eastAsia="宋体" w:cs="宋体"/>
                <w:b/>
                <w:sz w:val="21"/>
                <w:szCs w:val="21"/>
              </w:rPr>
            </w:pPr>
          </w:p>
        </w:tc>
        <w:tc>
          <w:tcPr>
            <w:tcW w:w="2001" w:type="dxa"/>
            <w:vMerge w:val="continue"/>
            <w:vAlign w:val="center"/>
          </w:tcPr>
          <w:p w14:paraId="53F0DCE1">
            <w:pPr>
              <w:widowControl/>
              <w:jc w:val="left"/>
              <w:rPr>
                <w:rFonts w:hint="eastAsia" w:ascii="宋体" w:hAnsi="宋体" w:eastAsia="宋体" w:cs="宋体"/>
                <w:sz w:val="21"/>
                <w:szCs w:val="21"/>
              </w:rPr>
            </w:pPr>
          </w:p>
        </w:tc>
        <w:tc>
          <w:tcPr>
            <w:tcW w:w="5864" w:type="dxa"/>
          </w:tcPr>
          <w:p w14:paraId="78C840F6">
            <w:pPr>
              <w:rPr>
                <w:rFonts w:hint="eastAsia" w:ascii="宋体" w:hAnsi="宋体" w:eastAsia="宋体" w:cs="宋体"/>
                <w:bCs/>
                <w:sz w:val="21"/>
                <w:szCs w:val="21"/>
              </w:rPr>
            </w:pPr>
            <w:r>
              <w:rPr>
                <w:rFonts w:hint="eastAsia" w:ascii="宋体" w:hAnsi="宋体" w:eastAsia="宋体" w:cs="宋体"/>
                <w:bCs/>
                <w:sz w:val="21"/>
                <w:szCs w:val="21"/>
              </w:rPr>
              <w:t>1.2投标人必须承担的设备运输、安装调试、验收检测和提供设备操作说明书、图纸等其他类似的义务。</w:t>
            </w:r>
          </w:p>
        </w:tc>
      </w:tr>
      <w:tr w14:paraId="6BA5D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58" w:type="dxa"/>
            <w:vMerge w:val="continue"/>
            <w:vAlign w:val="center"/>
          </w:tcPr>
          <w:p w14:paraId="58374161">
            <w:pPr>
              <w:widowControl/>
              <w:jc w:val="left"/>
              <w:rPr>
                <w:rFonts w:hint="eastAsia" w:ascii="宋体" w:hAnsi="宋体" w:eastAsia="宋体" w:cs="宋体"/>
                <w:b/>
                <w:sz w:val="21"/>
                <w:szCs w:val="21"/>
              </w:rPr>
            </w:pPr>
          </w:p>
        </w:tc>
        <w:tc>
          <w:tcPr>
            <w:tcW w:w="2001" w:type="dxa"/>
            <w:vMerge w:val="continue"/>
            <w:vAlign w:val="center"/>
          </w:tcPr>
          <w:p w14:paraId="5E0F3F92">
            <w:pPr>
              <w:widowControl/>
              <w:jc w:val="left"/>
              <w:rPr>
                <w:rFonts w:hint="eastAsia" w:ascii="宋体" w:hAnsi="宋体" w:eastAsia="宋体" w:cs="宋体"/>
                <w:b/>
                <w:sz w:val="21"/>
                <w:szCs w:val="21"/>
              </w:rPr>
            </w:pPr>
          </w:p>
        </w:tc>
        <w:tc>
          <w:tcPr>
            <w:tcW w:w="5864" w:type="dxa"/>
          </w:tcPr>
          <w:p w14:paraId="674EBFBE">
            <w:pPr>
              <w:rPr>
                <w:rFonts w:hint="eastAsia" w:ascii="宋体" w:hAnsi="宋体" w:eastAsia="宋体" w:cs="宋体"/>
                <w:bCs/>
                <w:sz w:val="21"/>
                <w:szCs w:val="21"/>
              </w:rPr>
            </w:pPr>
            <w:r>
              <w:rPr>
                <w:rFonts w:hint="eastAsia" w:ascii="宋体" w:hAnsi="宋体" w:eastAsia="宋体" w:cs="宋体"/>
                <w:b/>
                <w:sz w:val="21"/>
                <w:szCs w:val="21"/>
              </w:rPr>
              <w:t>★1.3签订合同后 20天（日历日）内交货。</w:t>
            </w:r>
          </w:p>
        </w:tc>
      </w:tr>
      <w:tr w14:paraId="4015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8" w:type="dxa"/>
            <w:vMerge w:val="restart"/>
            <w:vAlign w:val="center"/>
          </w:tcPr>
          <w:p w14:paraId="01CFE8B9">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001" w:type="dxa"/>
            <w:vMerge w:val="restart"/>
            <w:vAlign w:val="center"/>
          </w:tcPr>
          <w:p w14:paraId="34856055">
            <w:pPr>
              <w:jc w:val="center"/>
              <w:rPr>
                <w:rFonts w:hint="eastAsia" w:ascii="宋体" w:hAnsi="宋体" w:eastAsia="宋体" w:cs="宋体"/>
                <w:bCs/>
                <w:sz w:val="21"/>
                <w:szCs w:val="21"/>
              </w:rPr>
            </w:pPr>
            <w:r>
              <w:rPr>
                <w:rFonts w:hint="eastAsia" w:ascii="宋体" w:hAnsi="宋体" w:eastAsia="宋体" w:cs="宋体"/>
                <w:bCs/>
                <w:sz w:val="21"/>
                <w:szCs w:val="21"/>
              </w:rPr>
              <w:t>关于验收</w:t>
            </w:r>
          </w:p>
        </w:tc>
        <w:tc>
          <w:tcPr>
            <w:tcW w:w="5864" w:type="dxa"/>
          </w:tcPr>
          <w:p w14:paraId="6861CA2C">
            <w:pPr>
              <w:rPr>
                <w:rFonts w:hint="eastAsia" w:ascii="宋体" w:hAnsi="宋体" w:eastAsia="宋体" w:cs="宋体"/>
                <w:bCs/>
                <w:sz w:val="21"/>
                <w:szCs w:val="21"/>
              </w:rPr>
            </w:pPr>
            <w:r>
              <w:rPr>
                <w:rFonts w:hint="eastAsia" w:ascii="宋体" w:hAnsi="宋体" w:eastAsia="宋体" w:cs="宋体"/>
                <w:bCs/>
                <w:sz w:val="21"/>
                <w:szCs w:val="21"/>
              </w:rPr>
              <w:t>2.1投标人货物经过双方检验认可后，签署验收报告，产品保修期自验收合格之日起算，由投标人提供产品保修文件。</w:t>
            </w:r>
          </w:p>
        </w:tc>
      </w:tr>
      <w:tr w14:paraId="0C02C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8" w:type="dxa"/>
            <w:vMerge w:val="continue"/>
            <w:vAlign w:val="center"/>
          </w:tcPr>
          <w:p w14:paraId="366C8291">
            <w:pPr>
              <w:widowControl/>
              <w:jc w:val="left"/>
              <w:rPr>
                <w:rFonts w:hint="eastAsia" w:ascii="宋体" w:hAnsi="宋体" w:eastAsia="宋体" w:cs="宋体"/>
                <w:bCs/>
                <w:sz w:val="21"/>
                <w:szCs w:val="21"/>
              </w:rPr>
            </w:pPr>
          </w:p>
        </w:tc>
        <w:tc>
          <w:tcPr>
            <w:tcW w:w="2001" w:type="dxa"/>
            <w:vMerge w:val="continue"/>
            <w:vAlign w:val="center"/>
          </w:tcPr>
          <w:p w14:paraId="17CF059E">
            <w:pPr>
              <w:widowControl/>
              <w:jc w:val="left"/>
              <w:rPr>
                <w:rFonts w:hint="eastAsia" w:ascii="宋体" w:hAnsi="宋体" w:eastAsia="宋体" w:cs="宋体"/>
                <w:bCs/>
                <w:sz w:val="21"/>
                <w:szCs w:val="21"/>
              </w:rPr>
            </w:pPr>
          </w:p>
        </w:tc>
        <w:tc>
          <w:tcPr>
            <w:tcW w:w="5864" w:type="dxa"/>
          </w:tcPr>
          <w:p w14:paraId="66D7F9D0">
            <w:pPr>
              <w:rPr>
                <w:rFonts w:hint="eastAsia" w:ascii="宋体" w:hAnsi="宋体" w:eastAsia="宋体" w:cs="宋体"/>
                <w:bCs/>
                <w:sz w:val="21"/>
                <w:szCs w:val="21"/>
              </w:rPr>
            </w:pPr>
            <w:r>
              <w:rPr>
                <w:rFonts w:hint="eastAsia" w:ascii="宋体" w:hAnsi="宋体" w:eastAsia="宋体" w:cs="宋体"/>
                <w:bCs/>
                <w:sz w:val="21"/>
                <w:szCs w:val="21"/>
              </w:rPr>
              <w:t>2.2当满足以下条件时，采购人才向中标人签发货物验收报告：</w:t>
            </w:r>
          </w:p>
          <w:p w14:paraId="45D37E17">
            <w:pPr>
              <w:rPr>
                <w:rFonts w:hint="eastAsia" w:ascii="宋体" w:hAnsi="宋体" w:eastAsia="宋体" w:cs="宋体"/>
                <w:bCs/>
                <w:sz w:val="21"/>
                <w:szCs w:val="21"/>
              </w:rPr>
            </w:pPr>
            <w:r>
              <w:rPr>
                <w:rFonts w:hint="eastAsia" w:ascii="宋体" w:hAnsi="宋体" w:eastAsia="宋体" w:cs="宋体"/>
                <w:bCs/>
                <w:sz w:val="21"/>
                <w:szCs w:val="21"/>
              </w:rPr>
              <w:t>a、中标人已按照合同规定提供了全部产品及完整的技术资料。</w:t>
            </w:r>
          </w:p>
          <w:p w14:paraId="3B76AE86">
            <w:pPr>
              <w:rPr>
                <w:rFonts w:hint="eastAsia" w:ascii="宋体" w:hAnsi="宋体" w:eastAsia="宋体" w:cs="宋体"/>
                <w:bCs/>
                <w:sz w:val="21"/>
                <w:szCs w:val="21"/>
              </w:rPr>
            </w:pPr>
            <w:r>
              <w:rPr>
                <w:rFonts w:hint="eastAsia" w:ascii="宋体" w:hAnsi="宋体" w:eastAsia="宋体" w:cs="宋体"/>
                <w:bCs/>
                <w:sz w:val="21"/>
                <w:szCs w:val="21"/>
              </w:rPr>
              <w:t>b、货物符合招标文件技术规格书的要求，性能满足要求。</w:t>
            </w:r>
          </w:p>
          <w:p w14:paraId="04F6B777">
            <w:pPr>
              <w:rPr>
                <w:rFonts w:hint="eastAsia" w:ascii="宋体" w:hAnsi="宋体" w:eastAsia="宋体" w:cs="宋体"/>
                <w:bCs/>
                <w:sz w:val="21"/>
                <w:szCs w:val="21"/>
              </w:rPr>
            </w:pPr>
            <w:r>
              <w:rPr>
                <w:rFonts w:hint="eastAsia" w:ascii="宋体" w:hAnsi="宋体" w:eastAsia="宋体" w:cs="宋体"/>
                <w:bCs/>
                <w:sz w:val="21"/>
                <w:szCs w:val="21"/>
              </w:rPr>
              <w:t>c、货物具备产品合格证。</w:t>
            </w:r>
          </w:p>
        </w:tc>
      </w:tr>
      <w:tr w14:paraId="353F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8" w:type="dxa"/>
            <w:vMerge w:val="restart"/>
            <w:vAlign w:val="center"/>
          </w:tcPr>
          <w:p w14:paraId="652A6C3F">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001" w:type="dxa"/>
            <w:vMerge w:val="restart"/>
            <w:vAlign w:val="center"/>
          </w:tcPr>
          <w:p w14:paraId="2C14E0C5">
            <w:pPr>
              <w:jc w:val="center"/>
              <w:rPr>
                <w:rFonts w:hint="eastAsia" w:ascii="宋体" w:hAnsi="宋体" w:eastAsia="宋体" w:cs="宋体"/>
                <w:bCs/>
                <w:sz w:val="21"/>
                <w:szCs w:val="21"/>
              </w:rPr>
            </w:pPr>
            <w:r>
              <w:rPr>
                <w:rFonts w:hint="eastAsia" w:ascii="宋体" w:hAnsi="宋体" w:eastAsia="宋体" w:cs="宋体"/>
                <w:bCs/>
                <w:sz w:val="21"/>
                <w:szCs w:val="21"/>
              </w:rPr>
              <w:t>关于违约</w:t>
            </w:r>
          </w:p>
        </w:tc>
        <w:tc>
          <w:tcPr>
            <w:tcW w:w="5864" w:type="dxa"/>
          </w:tcPr>
          <w:p w14:paraId="43071F09">
            <w:pPr>
              <w:rPr>
                <w:rFonts w:hint="eastAsia" w:ascii="宋体" w:hAnsi="宋体" w:eastAsia="宋体" w:cs="宋体"/>
                <w:bCs/>
                <w:sz w:val="21"/>
                <w:szCs w:val="21"/>
              </w:rPr>
            </w:pPr>
            <w:r>
              <w:rPr>
                <w:rFonts w:hint="eastAsia" w:ascii="宋体" w:hAnsi="宋体" w:eastAsia="宋体" w:cs="宋体"/>
                <w:bCs/>
                <w:sz w:val="21"/>
                <w:szCs w:val="21"/>
              </w:rPr>
              <w:t>3.1中标人不能交货的，需偿付不能交货部分货款的5 %的违约金并按主管部门相关规定处理。</w:t>
            </w:r>
          </w:p>
        </w:tc>
      </w:tr>
      <w:tr w14:paraId="19F94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8" w:type="dxa"/>
            <w:vMerge w:val="continue"/>
            <w:vAlign w:val="center"/>
          </w:tcPr>
          <w:p w14:paraId="1375C1DB">
            <w:pPr>
              <w:widowControl/>
              <w:jc w:val="left"/>
              <w:rPr>
                <w:rFonts w:hint="eastAsia" w:ascii="宋体" w:hAnsi="宋体" w:eastAsia="宋体" w:cs="宋体"/>
                <w:bCs/>
                <w:sz w:val="21"/>
                <w:szCs w:val="21"/>
              </w:rPr>
            </w:pPr>
          </w:p>
        </w:tc>
        <w:tc>
          <w:tcPr>
            <w:tcW w:w="2001" w:type="dxa"/>
            <w:vMerge w:val="continue"/>
            <w:vAlign w:val="center"/>
          </w:tcPr>
          <w:p w14:paraId="3FAD98F8">
            <w:pPr>
              <w:widowControl/>
              <w:jc w:val="left"/>
              <w:rPr>
                <w:rFonts w:hint="eastAsia" w:ascii="宋体" w:hAnsi="宋体" w:eastAsia="宋体" w:cs="宋体"/>
                <w:bCs/>
                <w:sz w:val="21"/>
                <w:szCs w:val="21"/>
              </w:rPr>
            </w:pPr>
          </w:p>
        </w:tc>
        <w:tc>
          <w:tcPr>
            <w:tcW w:w="5864" w:type="dxa"/>
          </w:tcPr>
          <w:p w14:paraId="5BC24776">
            <w:pPr>
              <w:rPr>
                <w:rFonts w:hint="eastAsia" w:ascii="宋体" w:hAnsi="宋体" w:eastAsia="宋体" w:cs="宋体"/>
                <w:bCs/>
                <w:sz w:val="21"/>
                <w:szCs w:val="21"/>
              </w:rPr>
            </w:pPr>
            <w:r>
              <w:rPr>
                <w:rFonts w:hint="eastAsia" w:ascii="宋体" w:hAnsi="宋体" w:eastAsia="宋体" w:cs="宋体"/>
                <w:bCs/>
                <w:sz w:val="21"/>
                <w:szCs w:val="21"/>
              </w:rPr>
              <w:t>3.2中标人逾期交货的，将被没收履约保证金并按主管部门相关规定处理。</w:t>
            </w:r>
          </w:p>
        </w:tc>
      </w:tr>
      <w:tr w14:paraId="27D3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8" w:type="dxa"/>
            <w:vMerge w:val="continue"/>
            <w:vAlign w:val="center"/>
          </w:tcPr>
          <w:p w14:paraId="566DEAF0">
            <w:pPr>
              <w:widowControl/>
              <w:jc w:val="left"/>
              <w:rPr>
                <w:rFonts w:hint="eastAsia" w:ascii="宋体" w:hAnsi="宋体" w:eastAsia="宋体" w:cs="宋体"/>
                <w:bCs/>
                <w:sz w:val="21"/>
                <w:szCs w:val="21"/>
              </w:rPr>
            </w:pPr>
          </w:p>
        </w:tc>
        <w:tc>
          <w:tcPr>
            <w:tcW w:w="2001" w:type="dxa"/>
            <w:vMerge w:val="continue"/>
            <w:vAlign w:val="center"/>
          </w:tcPr>
          <w:p w14:paraId="5BF73DAE">
            <w:pPr>
              <w:widowControl/>
              <w:jc w:val="left"/>
              <w:rPr>
                <w:rFonts w:hint="eastAsia" w:ascii="宋体" w:hAnsi="宋体" w:eastAsia="宋体" w:cs="宋体"/>
                <w:bCs/>
                <w:sz w:val="21"/>
                <w:szCs w:val="21"/>
              </w:rPr>
            </w:pPr>
          </w:p>
        </w:tc>
        <w:tc>
          <w:tcPr>
            <w:tcW w:w="5864" w:type="dxa"/>
          </w:tcPr>
          <w:p w14:paraId="7D537BDA">
            <w:pPr>
              <w:rPr>
                <w:rFonts w:hint="eastAsia" w:ascii="宋体" w:hAnsi="宋体" w:eastAsia="宋体" w:cs="宋体"/>
                <w:bCs/>
                <w:sz w:val="21"/>
                <w:szCs w:val="21"/>
              </w:rPr>
            </w:pPr>
            <w:r>
              <w:rPr>
                <w:rFonts w:hint="eastAsia" w:ascii="宋体" w:hAnsi="宋体" w:eastAsia="宋体" w:cs="宋体"/>
                <w:bCs/>
                <w:sz w:val="21"/>
                <w:szCs w:val="21"/>
              </w:rPr>
              <w:t>3.3中标人所交付产品、工程或服务不符合其投标承诺的，或在投标阶段为了中标而盲目虚假承诺、低价恶性竞争，在履约阶段则通过偷工减料、以次充好而获取利润的，将被没收履约保证金，并被深圳市政府采购中心评为履约等级“差”并按主管部门相关规定处理。</w:t>
            </w:r>
          </w:p>
        </w:tc>
      </w:tr>
      <w:tr w14:paraId="7B12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8" w:type="dxa"/>
            <w:vAlign w:val="center"/>
          </w:tcPr>
          <w:p w14:paraId="4667AD72">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001" w:type="dxa"/>
            <w:vAlign w:val="center"/>
          </w:tcPr>
          <w:p w14:paraId="1EBF9646">
            <w:pPr>
              <w:jc w:val="center"/>
              <w:rPr>
                <w:rFonts w:hint="eastAsia" w:ascii="宋体" w:hAnsi="宋体" w:eastAsia="宋体" w:cs="宋体"/>
                <w:bCs/>
                <w:sz w:val="21"/>
                <w:szCs w:val="21"/>
              </w:rPr>
            </w:pPr>
            <w:r>
              <w:rPr>
                <w:rFonts w:hint="eastAsia" w:ascii="宋体" w:hAnsi="宋体" w:eastAsia="宋体" w:cs="宋体"/>
                <w:bCs/>
                <w:sz w:val="21"/>
                <w:szCs w:val="21"/>
              </w:rPr>
              <w:t>关于付款</w:t>
            </w:r>
          </w:p>
        </w:tc>
        <w:tc>
          <w:tcPr>
            <w:tcW w:w="5864" w:type="dxa"/>
            <w:vAlign w:val="center"/>
          </w:tcPr>
          <w:p w14:paraId="3851A0DD">
            <w:pPr>
              <w:spacing w:line="360" w:lineRule="auto"/>
              <w:rPr>
                <w:rFonts w:hint="eastAsia" w:ascii="宋体" w:hAnsi="宋体" w:eastAsia="宋体" w:cs="宋体"/>
                <w:b/>
                <w:bCs/>
                <w:sz w:val="21"/>
                <w:szCs w:val="21"/>
              </w:rPr>
            </w:pPr>
            <w:r>
              <w:rPr>
                <w:rFonts w:hint="eastAsia" w:ascii="宋体" w:hAnsi="宋体" w:eastAsia="宋体" w:cs="宋体"/>
                <w:bCs/>
                <w:sz w:val="21"/>
                <w:szCs w:val="21"/>
              </w:rPr>
              <w:t>4.1、合同签订后，全部货物送到采购人指定地点、完成安装后，于 2025年1月份采购人向中标供应商支付合同总价40%的首款项:于 2025年4月份采购人向中标供应商支付合同总价40%的次款项。2025年7月份(中考后)全部货物验收合格后15个工作日内，采购人向中标供应商支付合同总价20%的尾款项。</w:t>
            </w:r>
          </w:p>
        </w:tc>
      </w:tr>
      <w:tr w14:paraId="4943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8" w:type="dxa"/>
            <w:vAlign w:val="center"/>
          </w:tcPr>
          <w:p w14:paraId="542B888E">
            <w:pPr>
              <w:jc w:val="center"/>
              <w:rPr>
                <w:rFonts w:hint="eastAsia" w:ascii="宋体" w:hAnsi="宋体" w:eastAsia="宋体" w:cs="宋体"/>
                <w:bCs/>
                <w:sz w:val="21"/>
                <w:szCs w:val="21"/>
              </w:rPr>
            </w:pPr>
            <w:r>
              <w:rPr>
                <w:rFonts w:hint="eastAsia" w:ascii="宋体" w:hAnsi="宋体" w:eastAsia="宋体" w:cs="宋体"/>
                <w:bCs/>
                <w:sz w:val="21"/>
                <w:szCs w:val="21"/>
              </w:rPr>
              <w:t>5</w:t>
            </w:r>
          </w:p>
        </w:tc>
        <w:tc>
          <w:tcPr>
            <w:tcW w:w="2001" w:type="dxa"/>
            <w:vAlign w:val="center"/>
          </w:tcPr>
          <w:p w14:paraId="24DCBA8D">
            <w:pPr>
              <w:jc w:val="center"/>
              <w:rPr>
                <w:rFonts w:hint="eastAsia" w:ascii="宋体" w:hAnsi="宋体" w:eastAsia="宋体" w:cs="宋体"/>
                <w:bCs/>
                <w:sz w:val="21"/>
                <w:szCs w:val="21"/>
              </w:rPr>
            </w:pPr>
            <w:r>
              <w:rPr>
                <w:rFonts w:hint="eastAsia" w:ascii="宋体" w:hAnsi="宋体" w:eastAsia="宋体" w:cs="宋体"/>
                <w:bCs/>
                <w:sz w:val="21"/>
                <w:szCs w:val="21"/>
              </w:rPr>
              <w:t>关于培训</w:t>
            </w:r>
          </w:p>
        </w:tc>
        <w:tc>
          <w:tcPr>
            <w:tcW w:w="5864" w:type="dxa"/>
          </w:tcPr>
          <w:p w14:paraId="2C546E35">
            <w:pPr>
              <w:rPr>
                <w:rFonts w:hint="eastAsia" w:ascii="宋体" w:hAnsi="宋体" w:eastAsia="宋体" w:cs="宋体"/>
                <w:bCs/>
                <w:sz w:val="21"/>
                <w:szCs w:val="21"/>
              </w:rPr>
            </w:pPr>
            <w:r>
              <w:rPr>
                <w:rFonts w:hint="eastAsia" w:ascii="宋体" w:hAnsi="宋体" w:eastAsia="宋体" w:cs="宋体"/>
                <w:bCs/>
                <w:sz w:val="21"/>
                <w:szCs w:val="21"/>
              </w:rPr>
              <w:t>5.1、供应商须对采购方技术人员进行设备操作培训，保证使用方人员能够熟练掌握各种设备的使用方法，以及小故障的判断与解决。</w:t>
            </w:r>
          </w:p>
        </w:tc>
      </w:tr>
      <w:tr w14:paraId="46EC2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58" w:type="dxa"/>
            <w:vAlign w:val="center"/>
          </w:tcPr>
          <w:p w14:paraId="0C70293A">
            <w:pPr>
              <w:jc w:val="center"/>
              <w:rPr>
                <w:rFonts w:hint="eastAsia" w:ascii="宋体" w:hAnsi="宋体" w:eastAsia="宋体" w:cs="宋体"/>
                <w:bCs/>
                <w:sz w:val="21"/>
                <w:szCs w:val="21"/>
              </w:rPr>
            </w:pPr>
            <w:r>
              <w:rPr>
                <w:rFonts w:hint="eastAsia" w:ascii="宋体" w:hAnsi="宋体" w:eastAsia="宋体" w:cs="宋体"/>
                <w:bCs/>
                <w:sz w:val="21"/>
                <w:szCs w:val="21"/>
              </w:rPr>
              <w:t>6</w:t>
            </w:r>
          </w:p>
        </w:tc>
        <w:tc>
          <w:tcPr>
            <w:tcW w:w="2001" w:type="dxa"/>
            <w:vAlign w:val="center"/>
          </w:tcPr>
          <w:p w14:paraId="623207CE">
            <w:pPr>
              <w:jc w:val="center"/>
              <w:rPr>
                <w:rFonts w:hint="eastAsia" w:ascii="宋体" w:hAnsi="宋体" w:eastAsia="宋体" w:cs="宋体"/>
                <w:bCs/>
                <w:sz w:val="21"/>
                <w:szCs w:val="21"/>
              </w:rPr>
            </w:pPr>
            <w:r>
              <w:rPr>
                <w:rFonts w:hint="eastAsia" w:ascii="宋体" w:hAnsi="宋体" w:eastAsia="宋体" w:cs="宋体"/>
                <w:bCs/>
                <w:sz w:val="21"/>
                <w:szCs w:val="21"/>
              </w:rPr>
              <w:t>关于报价</w:t>
            </w:r>
          </w:p>
        </w:tc>
        <w:tc>
          <w:tcPr>
            <w:tcW w:w="5864" w:type="dxa"/>
          </w:tcPr>
          <w:p w14:paraId="23BDA16E">
            <w:pPr>
              <w:rPr>
                <w:rFonts w:hint="eastAsia" w:ascii="宋体" w:hAnsi="宋体" w:eastAsia="宋体" w:cs="宋体"/>
                <w:bCs/>
                <w:sz w:val="21"/>
                <w:szCs w:val="21"/>
              </w:rPr>
            </w:pPr>
            <w:r>
              <w:rPr>
                <w:rFonts w:hint="eastAsia" w:ascii="宋体" w:hAnsi="宋体" w:eastAsia="宋体" w:cs="宋体"/>
                <w:bCs/>
                <w:sz w:val="21"/>
                <w:szCs w:val="21"/>
              </w:rPr>
              <w:t>6.1、投标报价已包含安装调试费用、辅助材料费、运输费用、材料搬运及垃圾清理、安全措施及工人保险费、施工配合费、税费等使项目验收合格达到可使用状态的全部费用。</w:t>
            </w:r>
          </w:p>
        </w:tc>
      </w:tr>
    </w:tbl>
    <w:p w14:paraId="271DAA92">
      <w:pPr>
        <w:widowControl w:val="0"/>
        <w:ind w:firstLine="422" w:firstLineChars="200"/>
        <w:jc w:val="both"/>
        <w:rPr>
          <w:rFonts w:hint="eastAsia" w:ascii="Calibri" w:hAnsi="Calibri" w:eastAsia="宋体"/>
          <w:b/>
          <w:kern w:val="2"/>
          <w:sz w:val="21"/>
          <w:szCs w:val="21"/>
          <w:lang w:eastAsia="zh-CN"/>
        </w:rPr>
      </w:pPr>
    </w:p>
    <w:p w14:paraId="103CB2B2">
      <w:pPr>
        <w:keepNext/>
        <w:keepLines/>
        <w:widowControl w:val="0"/>
        <w:tabs>
          <w:tab w:val="left" w:pos="1680"/>
        </w:tabs>
        <w:spacing w:before="260" w:after="60" w:afterLines="25"/>
        <w:jc w:val="center"/>
        <w:outlineLvl w:val="2"/>
        <w:rPr>
          <w:rFonts w:ascii="Arial" w:hAnsi="Arial" w:eastAsia="宋体"/>
          <w:b/>
          <w:bCs/>
          <w:kern w:val="2"/>
          <w:sz w:val="32"/>
          <w:szCs w:val="32"/>
          <w:lang w:eastAsia="zh-CN"/>
        </w:rPr>
      </w:pPr>
      <w:r>
        <w:rPr>
          <w:rFonts w:hint="eastAsia" w:ascii="Arial" w:hAnsi="Arial" w:eastAsia="宋体"/>
          <w:b/>
          <w:bCs/>
          <w:kern w:val="2"/>
          <w:sz w:val="32"/>
          <w:szCs w:val="32"/>
          <w:lang w:eastAsia="zh-CN"/>
        </w:rPr>
        <w:t>五、技术要求</w:t>
      </w:r>
    </w:p>
    <w:p w14:paraId="494C3083">
      <w:pPr>
        <w:widowControl w:val="0"/>
        <w:jc w:val="both"/>
        <w:rPr>
          <w:rFonts w:hint="eastAsia" w:ascii="Calibri" w:hAnsi="Calibri" w:eastAsia="宋体"/>
          <w:b/>
          <w:color w:val="000000"/>
          <w:kern w:val="2"/>
          <w:sz w:val="21"/>
          <w:szCs w:val="21"/>
          <w:lang w:eastAsia="zh-CN"/>
        </w:rPr>
      </w:pPr>
      <w:r>
        <w:rPr>
          <w:rFonts w:hint="eastAsia" w:ascii="Calibri" w:hAnsi="Calibri" w:eastAsia="宋体" w:cstheme="minorBidi"/>
          <w:b/>
          <w:color w:val="000000"/>
          <w:kern w:val="2"/>
          <w:sz w:val="21"/>
          <w:szCs w:val="21"/>
          <w:lang w:eastAsia="zh-CN"/>
        </w:rPr>
        <w:t>说明：</w:t>
      </w:r>
    </w:p>
    <w:p w14:paraId="2E392CEC">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ascii="Calibri" w:hAnsi="Calibri" w:eastAsia="宋体"/>
          <w:bCs/>
          <w:kern w:val="2"/>
          <w:sz w:val="21"/>
          <w:szCs w:val="21"/>
          <w:lang w:eastAsia="zh-CN"/>
        </w:rPr>
      </w:pPr>
      <w:r>
        <w:rPr>
          <w:rFonts w:hint="eastAsia" w:ascii="Calibri" w:hAnsi="Calibri" w:eastAsia="宋体" w:cstheme="minorBidi"/>
          <w:bCs/>
          <w:kern w:val="2"/>
          <w:sz w:val="21"/>
          <w:szCs w:val="21"/>
          <w:lang w:eastAsia="zh-CN"/>
        </w:rPr>
        <w:t>1、</w:t>
      </w:r>
      <w:r>
        <w:rPr>
          <w:rFonts w:hint="eastAsia" w:ascii="Calibri" w:hAnsi="Calibri" w:eastAsia="宋体" w:cstheme="minorBidi"/>
          <w:bCs/>
          <w:kern w:val="2"/>
          <w:sz w:val="21"/>
          <w:szCs w:val="22"/>
          <w:lang w:eastAsia="zh-CN"/>
        </w:rPr>
        <w:t>评分时，如对一项招标技术要求（以划分框为准）中的内容存在两处（或以上）负偏离的，在评分时只作一项负偏离扣分。</w:t>
      </w:r>
    </w:p>
    <w:p w14:paraId="2B4BEE9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both"/>
        <w:textAlignment w:val="auto"/>
        <w:rPr>
          <w:rFonts w:hint="eastAsia" w:ascii="宋体" w:hAnsi="宋体" w:eastAsia="宋体" w:cs="宋体"/>
          <w:bCs/>
          <w:kern w:val="2"/>
          <w:sz w:val="21"/>
          <w:szCs w:val="21"/>
          <w:highlight w:val="yellow"/>
          <w:lang w:eastAsia="zh-CN"/>
        </w:rPr>
      </w:pPr>
      <w:r>
        <w:rPr>
          <w:rFonts w:hint="eastAsia" w:ascii="宋体" w:hAnsi="宋体" w:eastAsia="宋体" w:cs="宋体"/>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p w14:paraId="189314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3、所列的技术参数需求中如出现品牌信息仅供参考，不作为参数要求，目的只为投标人更清楚地了解采购需求，投标人可提供其他品牌设备投标。</w:t>
      </w:r>
    </w:p>
    <w:p w14:paraId="6806FE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如有方案或参数表述中有出现类似可实现、实现、可支持、支持等描述的，均表示方案或参数需要实现的功能或应满足的要求，即项目在验收时无须增加其他额外设备或系统，使用本项目中的设备或系统即能实现相应功能或满足相关要求。</w:t>
      </w:r>
    </w:p>
    <w:p w14:paraId="0BEC122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5、针对招标文件产品技术参数如涉及相关既定值、单向范围值、区间范围值的，投标技术参数响应方式举例说明如下：</w:t>
      </w:r>
    </w:p>
    <w:p w14:paraId="4DC1182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（1）涉及相关既定值的，例：招标技术参数要求值为“20L”，投标技术参数响应值与“20L”不一致的，均视为负偏离；</w:t>
      </w:r>
    </w:p>
    <w:p w14:paraId="2B35B64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2）涉及相关单向范围值的，例：招标技术参数要求的单向范围值为“≥6m”，除有特别注明以外，投标技术参数响应值与招标技术参数要求范围值完全一致的（如响应为“≥6m”）或投标技术参数响应值大于招标技术参数要求范围值的（如响应为“≥5”或“＞5”等）或投标技术参数响应值为招标技术参数要求范围值内的任意值的（如响应为“7m”或“6.5m”等）均视为符合要求，投标技术参数响应值小于招标技术参数要求的（如响应为"＜6m"或“＜5m”或“5m”等）均视为负偏离；</w:t>
      </w:r>
    </w:p>
    <w:p w14:paraId="1CD0D4C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3）涉及相关区间范围值的，例：招标技术参数要求的区间范围值为“0-20ML”，除有特别注明以外，投标技术参数响应值与招标技术参数要求范围值完全一致的（如响应为“0-20ML”）或投标技术参数响应值大于招标技术参数要求范围值的（如响应为“0-21ML”或“-1-20ML”或“0-25ML”等）均视为符合要求，投标技术参数响应值小于招标技术参数要求范围值的（如响应为“0-15ML”或“1-12ML ”或 “9-20ML”或“9ML” 等）均视为负偏离。</w:t>
      </w:r>
    </w:p>
    <w:p w14:paraId="1F15B78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6、检验（检测）报告要求具有CMA、CNAS等标识的，若有材料证明相关检测事项不在实施该项检测的机构许可（认可）CMA、CNAS等资质范围或检测范围内的，该检验（检测）报告视为不满足招标文件要求，作负偏离处理。</w:t>
      </w:r>
    </w:p>
    <w:p w14:paraId="68921A5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firstLine="420" w:firstLineChars="200"/>
        <w:jc w:val="left"/>
        <w:textAlignment w:val="auto"/>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7、相关证明材料的产品名称与招标文件要求的名称不完全一致的，需提供为同种产品的说明；若名称不完全一致又未提供说明的，由评审委员会判定是否符合文件要求。</w:t>
      </w:r>
    </w:p>
    <w:tbl>
      <w:tblPr>
        <w:tblStyle w:val="9"/>
        <w:tblW w:w="5000" w:type="pct"/>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924"/>
        <w:gridCol w:w="7132"/>
      </w:tblGrid>
      <w:tr w14:paraId="5711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791" w:type="dxa"/>
            <w:noWrap w:val="0"/>
            <w:vAlign w:val="center"/>
          </w:tcPr>
          <w:p w14:paraId="7A978974">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913" w:type="dxa"/>
            <w:noWrap w:val="0"/>
            <w:vAlign w:val="center"/>
          </w:tcPr>
          <w:p w14:paraId="3359BFF5">
            <w:pPr>
              <w:widowControl/>
              <w:jc w:val="center"/>
              <w:rPr>
                <w:rFonts w:hint="eastAsia" w:ascii="宋体" w:hAnsi="宋体" w:eastAsia="宋体" w:cs="宋体"/>
                <w:b/>
                <w:bCs/>
                <w:sz w:val="21"/>
                <w:szCs w:val="21"/>
              </w:rPr>
            </w:pPr>
            <w:r>
              <w:rPr>
                <w:rFonts w:hint="eastAsia" w:ascii="宋体" w:hAnsi="宋体" w:eastAsia="宋体" w:cs="宋体"/>
                <w:b/>
                <w:bCs/>
                <w:sz w:val="21"/>
                <w:szCs w:val="21"/>
              </w:rPr>
              <w:t>货物名称</w:t>
            </w:r>
          </w:p>
        </w:tc>
        <w:tc>
          <w:tcPr>
            <w:tcW w:w="7050" w:type="dxa"/>
            <w:noWrap w:val="0"/>
            <w:vAlign w:val="center"/>
          </w:tcPr>
          <w:p w14:paraId="223E8A90">
            <w:pPr>
              <w:jc w:val="center"/>
              <w:rPr>
                <w:rFonts w:hint="eastAsia" w:ascii="宋体" w:hAnsi="宋体" w:eastAsia="宋体" w:cs="宋体"/>
                <w:b/>
                <w:bCs/>
                <w:sz w:val="21"/>
                <w:szCs w:val="21"/>
              </w:rPr>
            </w:pPr>
            <w:r>
              <w:rPr>
                <w:rFonts w:hint="eastAsia" w:ascii="宋体" w:hAnsi="宋体" w:eastAsia="宋体" w:cs="宋体"/>
                <w:b/>
                <w:bCs/>
                <w:sz w:val="21"/>
                <w:szCs w:val="21"/>
              </w:rPr>
              <w:t>招标技术要求</w:t>
            </w:r>
          </w:p>
        </w:tc>
      </w:tr>
      <w:tr w14:paraId="6B70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91" w:type="dxa"/>
            <w:vMerge w:val="restart"/>
            <w:noWrap w:val="0"/>
            <w:vAlign w:val="center"/>
          </w:tcPr>
          <w:p w14:paraId="720C65C7">
            <w:pPr>
              <w:jc w:val="center"/>
              <w:rPr>
                <w:rFonts w:hint="eastAsia" w:ascii="宋体" w:hAnsi="宋体" w:eastAsia="宋体" w:cs="宋体"/>
                <w:b/>
                <w:sz w:val="21"/>
                <w:szCs w:val="21"/>
              </w:rPr>
            </w:pPr>
            <w:r>
              <w:rPr>
                <w:rFonts w:hint="eastAsia" w:ascii="宋体" w:hAnsi="宋体" w:eastAsia="宋体" w:cs="宋体"/>
                <w:b/>
                <w:sz w:val="21"/>
                <w:szCs w:val="21"/>
              </w:rPr>
              <w:t>1</w:t>
            </w:r>
          </w:p>
        </w:tc>
        <w:tc>
          <w:tcPr>
            <w:tcW w:w="913" w:type="dxa"/>
            <w:vMerge w:val="restart"/>
            <w:noWrap w:val="0"/>
            <w:vAlign w:val="center"/>
          </w:tcPr>
          <w:p w14:paraId="008ADD2B">
            <w:pPr>
              <w:widowControl/>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智慧实验校级管理系统软件</w:t>
            </w:r>
          </w:p>
          <w:p w14:paraId="0E134E8F">
            <w:pPr>
              <w:widowControl/>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（物理、化学）</w:t>
            </w:r>
          </w:p>
        </w:tc>
        <w:tc>
          <w:tcPr>
            <w:tcW w:w="7050" w:type="dxa"/>
            <w:noWrap w:val="0"/>
            <w:vAlign w:val="top"/>
          </w:tcPr>
          <w:p w14:paraId="16EA4E17">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1、角色管理：考务角色设置、权限管理、考试管理、阅卷管理等用户权限的设定，可以对阅卷的数据进行管理。</w:t>
            </w:r>
          </w:p>
        </w:tc>
      </w:tr>
      <w:tr w14:paraId="6B30C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91" w:type="dxa"/>
            <w:vMerge w:val="continue"/>
            <w:noWrap w:val="0"/>
            <w:vAlign w:val="center"/>
          </w:tcPr>
          <w:p w14:paraId="48EF32D6">
            <w:pPr>
              <w:widowControl/>
              <w:spacing w:line="360" w:lineRule="auto"/>
              <w:jc w:val="left"/>
            </w:pPr>
          </w:p>
        </w:tc>
        <w:tc>
          <w:tcPr>
            <w:tcW w:w="913" w:type="dxa"/>
            <w:vMerge w:val="continue"/>
            <w:noWrap w:val="0"/>
            <w:vAlign w:val="center"/>
          </w:tcPr>
          <w:p w14:paraId="6EE9B180">
            <w:pPr>
              <w:widowControl/>
              <w:spacing w:line="360" w:lineRule="auto"/>
              <w:jc w:val="left"/>
            </w:pPr>
          </w:p>
        </w:tc>
        <w:tc>
          <w:tcPr>
            <w:tcW w:w="7050" w:type="dxa"/>
            <w:noWrap w:val="0"/>
            <w:vAlign w:val="top"/>
          </w:tcPr>
          <w:p w14:paraId="782622D4">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2、学校信息管理：新增学校、删除学校、修改学校信息、查询学校信息.</w:t>
            </w:r>
          </w:p>
        </w:tc>
      </w:tr>
      <w:tr w14:paraId="3994A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91" w:type="dxa"/>
            <w:vMerge w:val="continue"/>
            <w:noWrap w:val="0"/>
            <w:vAlign w:val="center"/>
          </w:tcPr>
          <w:p w14:paraId="6A8F0DA3">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7FA2DD74">
            <w:pPr>
              <w:widowControl/>
              <w:spacing w:line="360" w:lineRule="auto"/>
              <w:jc w:val="left"/>
              <w:rPr>
                <w:rFonts w:hint="eastAsia" w:ascii="宋体" w:hAnsi="宋体" w:eastAsia="宋体" w:cs="宋体"/>
                <w:sz w:val="21"/>
                <w:szCs w:val="21"/>
              </w:rPr>
            </w:pPr>
          </w:p>
        </w:tc>
        <w:tc>
          <w:tcPr>
            <w:tcW w:w="7050" w:type="dxa"/>
            <w:noWrap w:val="0"/>
            <w:vAlign w:val="top"/>
          </w:tcPr>
          <w:p w14:paraId="7B2F2F9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3、考试配置：考试信息查看、新增考试、删除考试、编辑考试、试卷配置、考试流程设置、终端状态检测、考生批量编排。</w:t>
            </w:r>
          </w:p>
        </w:tc>
      </w:tr>
      <w:tr w14:paraId="676DC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91" w:type="dxa"/>
            <w:vMerge w:val="continue"/>
            <w:noWrap w:val="0"/>
            <w:vAlign w:val="center"/>
          </w:tcPr>
          <w:p w14:paraId="71634447">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0E83583C">
            <w:pPr>
              <w:widowControl/>
              <w:spacing w:line="360" w:lineRule="auto"/>
              <w:jc w:val="left"/>
              <w:rPr>
                <w:rFonts w:hint="eastAsia" w:ascii="宋体" w:hAnsi="宋体" w:eastAsia="宋体" w:cs="宋体"/>
                <w:sz w:val="21"/>
                <w:szCs w:val="21"/>
              </w:rPr>
            </w:pPr>
          </w:p>
        </w:tc>
        <w:tc>
          <w:tcPr>
            <w:tcW w:w="7050" w:type="dxa"/>
            <w:noWrap w:val="0"/>
            <w:vAlign w:val="top"/>
          </w:tcPr>
          <w:p w14:paraId="7AF28189">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4、考试管理：考试类型、考试安排、智能排考。</w:t>
            </w:r>
          </w:p>
        </w:tc>
      </w:tr>
      <w:tr w14:paraId="65FCF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91" w:type="dxa"/>
            <w:vMerge w:val="continue"/>
            <w:noWrap w:val="0"/>
            <w:vAlign w:val="center"/>
          </w:tcPr>
          <w:p w14:paraId="219A2471">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13AAF8CB">
            <w:pPr>
              <w:widowControl/>
              <w:spacing w:line="360" w:lineRule="auto"/>
              <w:jc w:val="left"/>
              <w:rPr>
                <w:rFonts w:hint="eastAsia" w:ascii="宋体" w:hAnsi="宋体" w:eastAsia="宋体" w:cs="宋体"/>
                <w:sz w:val="21"/>
                <w:szCs w:val="21"/>
              </w:rPr>
            </w:pPr>
          </w:p>
        </w:tc>
        <w:tc>
          <w:tcPr>
            <w:tcW w:w="7050" w:type="dxa"/>
            <w:noWrap w:val="0"/>
            <w:vAlign w:val="top"/>
          </w:tcPr>
          <w:p w14:paraId="449DC499">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5、视频监考：筛选画面、视角调整、信息查看、异常列表。</w:t>
            </w:r>
          </w:p>
        </w:tc>
      </w:tr>
      <w:tr w14:paraId="6EA9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91" w:type="dxa"/>
            <w:vMerge w:val="continue"/>
            <w:noWrap w:val="0"/>
            <w:vAlign w:val="center"/>
          </w:tcPr>
          <w:p w14:paraId="6B7D19BB">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3D9A493C">
            <w:pPr>
              <w:widowControl/>
              <w:spacing w:line="360" w:lineRule="auto"/>
              <w:jc w:val="left"/>
              <w:rPr>
                <w:rFonts w:hint="eastAsia" w:ascii="宋体" w:hAnsi="宋体" w:eastAsia="宋体" w:cs="宋体"/>
                <w:sz w:val="21"/>
                <w:szCs w:val="21"/>
              </w:rPr>
            </w:pPr>
          </w:p>
        </w:tc>
        <w:tc>
          <w:tcPr>
            <w:tcW w:w="7050" w:type="dxa"/>
            <w:noWrap w:val="0"/>
            <w:vAlign w:val="top"/>
          </w:tcPr>
          <w:p w14:paraId="78A1B577">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6、试卷编制：管理系统应支持选择物理、化学、生物。</w:t>
            </w:r>
          </w:p>
        </w:tc>
      </w:tr>
      <w:tr w14:paraId="15B2A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91" w:type="dxa"/>
            <w:vMerge w:val="continue"/>
            <w:noWrap w:val="0"/>
            <w:vAlign w:val="center"/>
          </w:tcPr>
          <w:p w14:paraId="0CF754E9">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5A9A87DF">
            <w:pPr>
              <w:widowControl/>
              <w:spacing w:line="360" w:lineRule="auto"/>
              <w:jc w:val="left"/>
              <w:rPr>
                <w:rFonts w:hint="eastAsia" w:ascii="宋体" w:hAnsi="宋体" w:eastAsia="宋体" w:cs="宋体"/>
                <w:sz w:val="21"/>
                <w:szCs w:val="21"/>
              </w:rPr>
            </w:pPr>
          </w:p>
        </w:tc>
        <w:tc>
          <w:tcPr>
            <w:tcW w:w="7050" w:type="dxa"/>
            <w:noWrap w:val="0"/>
            <w:vAlign w:val="top"/>
          </w:tcPr>
          <w:p w14:paraId="672CD4AF">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7、成绩汇总：查询考试成绩、查看考试成绩的具体信息。</w:t>
            </w:r>
          </w:p>
        </w:tc>
      </w:tr>
      <w:tr w14:paraId="5AEB0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91" w:type="dxa"/>
            <w:vMerge w:val="continue"/>
            <w:noWrap w:val="0"/>
            <w:vAlign w:val="center"/>
          </w:tcPr>
          <w:p w14:paraId="30760ABB">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6948BF2D">
            <w:pPr>
              <w:widowControl/>
              <w:spacing w:line="360" w:lineRule="auto"/>
              <w:jc w:val="left"/>
              <w:rPr>
                <w:rFonts w:hint="eastAsia" w:ascii="宋体" w:hAnsi="宋体" w:eastAsia="宋体" w:cs="宋体"/>
                <w:sz w:val="21"/>
                <w:szCs w:val="21"/>
              </w:rPr>
            </w:pPr>
          </w:p>
        </w:tc>
        <w:tc>
          <w:tcPr>
            <w:tcW w:w="7050" w:type="dxa"/>
            <w:noWrap w:val="0"/>
            <w:vAlign w:val="top"/>
          </w:tcPr>
          <w:p w14:paraId="2C4FD568">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8、成绩复核：查询考试、查看导入的名单、导入复核名单。</w:t>
            </w:r>
          </w:p>
        </w:tc>
      </w:tr>
      <w:tr w14:paraId="4B22A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91" w:type="dxa"/>
            <w:vMerge w:val="continue"/>
            <w:noWrap w:val="0"/>
            <w:vAlign w:val="center"/>
          </w:tcPr>
          <w:p w14:paraId="17BDC34B">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40E782F2">
            <w:pPr>
              <w:widowControl/>
              <w:spacing w:line="360" w:lineRule="auto"/>
              <w:jc w:val="left"/>
              <w:rPr>
                <w:rFonts w:hint="eastAsia" w:ascii="宋体" w:hAnsi="宋体" w:eastAsia="宋体" w:cs="宋体"/>
                <w:sz w:val="21"/>
                <w:szCs w:val="21"/>
              </w:rPr>
            </w:pPr>
          </w:p>
        </w:tc>
        <w:tc>
          <w:tcPr>
            <w:tcW w:w="7050" w:type="dxa"/>
            <w:noWrap w:val="0"/>
            <w:vAlign w:val="top"/>
          </w:tcPr>
          <w:p w14:paraId="12618249">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9、试题管理：对理化生实验操作考试考题统一管理、考题信息包括考题名称、所属学科、总分、评分细则（包含评分项及分值、说明等）。考题类型可分为“AI试卷”、“非AI试卷”。支持查看题目、试题内容、器材清单、注意事项、答题卡、评分点等.</w:t>
            </w:r>
          </w:p>
        </w:tc>
      </w:tr>
      <w:tr w14:paraId="58600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91" w:type="dxa"/>
            <w:vMerge w:val="continue"/>
            <w:noWrap w:val="0"/>
            <w:vAlign w:val="center"/>
          </w:tcPr>
          <w:p w14:paraId="54A9B5F9">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2F3CD635">
            <w:pPr>
              <w:widowControl/>
              <w:spacing w:line="360" w:lineRule="auto"/>
              <w:jc w:val="left"/>
              <w:rPr>
                <w:rFonts w:hint="eastAsia" w:ascii="宋体" w:hAnsi="宋体" w:eastAsia="宋体" w:cs="宋体"/>
                <w:sz w:val="21"/>
                <w:szCs w:val="21"/>
              </w:rPr>
            </w:pPr>
          </w:p>
        </w:tc>
        <w:tc>
          <w:tcPr>
            <w:tcW w:w="7050" w:type="dxa"/>
            <w:noWrap w:val="0"/>
            <w:vAlign w:val="top"/>
          </w:tcPr>
          <w:p w14:paraId="6E055B80">
            <w:pPr>
              <w:widowControl/>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10、▲远程控制：支持远程批量控制学生终端设备重启，1秒内完成≥25台终端重启指令的下发，以便快捷重置终端状态；</w:t>
            </w:r>
          </w:p>
          <w:p w14:paraId="7DF1D012">
            <w:pPr>
              <w:widowControl/>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要求投标时提供具有CMA或CNAS认证出具的检验报告复印件关键页证明，原件备查。①检测报告在检测机构官网或全国认证认可信息公共服务平台网站（http://cx.cnca.cn/CertECloud/qts/qts/qtsPage）查询截图扫描件作为得分依据，检测报告中的产品型号必须和分项报价表中的型号一致；②出具报告的检测机构可在国家认监委统一查询系统http://cma.cnca.cn/cma/login“资质认定获证机构查询”栏目下查询到，并提供查询截图；①②需同时满足，否则不得分。）</w:t>
            </w:r>
          </w:p>
        </w:tc>
      </w:tr>
      <w:tr w14:paraId="715E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91" w:type="dxa"/>
            <w:vMerge w:val="continue"/>
            <w:noWrap w:val="0"/>
            <w:vAlign w:val="center"/>
          </w:tcPr>
          <w:p w14:paraId="7EE8515C">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22E345BD">
            <w:pPr>
              <w:widowControl/>
              <w:spacing w:line="360" w:lineRule="auto"/>
              <w:jc w:val="left"/>
              <w:rPr>
                <w:rFonts w:hint="eastAsia" w:ascii="宋体" w:hAnsi="宋体" w:eastAsia="宋体" w:cs="宋体"/>
                <w:sz w:val="21"/>
                <w:szCs w:val="21"/>
              </w:rPr>
            </w:pPr>
          </w:p>
        </w:tc>
        <w:tc>
          <w:tcPr>
            <w:tcW w:w="7050" w:type="dxa"/>
            <w:noWrap w:val="0"/>
            <w:vAlign w:val="top"/>
          </w:tcPr>
          <w:p w14:paraId="1E423705">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11、阅卷管理系统：评卷配置、评卷管理、阅卷、仲裁、可以查看考试的整体阅卷进度、可以随机分配答卷进行正评、可以把答卷标记为怀疑卷以及正常卷。</w:t>
            </w:r>
          </w:p>
        </w:tc>
      </w:tr>
      <w:tr w14:paraId="6580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91" w:type="dxa"/>
            <w:vMerge w:val="continue"/>
            <w:noWrap w:val="0"/>
            <w:vAlign w:val="center"/>
          </w:tcPr>
          <w:p w14:paraId="3E9576EC">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7799A592">
            <w:pPr>
              <w:widowControl/>
              <w:spacing w:line="360" w:lineRule="auto"/>
              <w:jc w:val="left"/>
              <w:rPr>
                <w:rFonts w:hint="eastAsia" w:ascii="宋体" w:hAnsi="宋体" w:eastAsia="宋体" w:cs="宋体"/>
                <w:sz w:val="21"/>
                <w:szCs w:val="21"/>
              </w:rPr>
            </w:pPr>
          </w:p>
        </w:tc>
        <w:tc>
          <w:tcPr>
            <w:tcW w:w="7050" w:type="dxa"/>
            <w:noWrap w:val="0"/>
            <w:vAlign w:val="top"/>
          </w:tcPr>
          <w:p w14:paraId="2B8FDF9F">
            <w:pPr>
              <w:widowControl/>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12、▲三轮阅卷：支持采用一份答卷分配2名阅卷老师、2名仲裁老师和仲裁组长。阅卷老师相互之间不知道对方的评分结果，首先2名阅卷老师分别给出评分，如果两个评分偏差不大于设定的阈值，则系统软件应支持取两个评分的平均值作为最终得分，并结束此答卷阅卷；如果两个评分偏差大于设定的值，系统应支持将此答卷派发给另外2名仲裁老师重新评阅（第二轮），如果第二轮评分偏差在设定阀值内，则系统软件应以第二轮评分均值作为最终得分；如果两轮阅卷均不符合要求时，系统软件应支持提交该答卷给仲裁组长，由仲裁员决定最终得分；</w:t>
            </w:r>
          </w:p>
          <w:p w14:paraId="2AAF5851">
            <w:pPr>
              <w:widowControl/>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要求投标时提供具有CMA或CNAS认证出具的检验报告复印件关键页证明，原件备查。①检测报告在检测机构官网或全国认证认可信息公共服务平台网站（http://cx.cnca.cn/CertECloud/qts/qts/qtsPage）查询截图扫描件作为得分依据，检测报告中的产品型号必须和分项报价表中的型号一致；②出具报告的检测机构可在国家认监委统一查询系统http://cma.cnca.cn/cma/login“资质认定获证机构查询”栏目下查询到，并提供查询截图；①②需同时满足，否则不得分。）</w:t>
            </w:r>
          </w:p>
        </w:tc>
      </w:tr>
      <w:tr w14:paraId="1647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91" w:type="dxa"/>
            <w:vMerge w:val="continue"/>
            <w:noWrap w:val="0"/>
            <w:vAlign w:val="center"/>
          </w:tcPr>
          <w:p w14:paraId="4AB1A2BA">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62334173">
            <w:pPr>
              <w:widowControl/>
              <w:spacing w:line="360" w:lineRule="auto"/>
              <w:jc w:val="left"/>
              <w:rPr>
                <w:rFonts w:hint="eastAsia" w:ascii="宋体" w:hAnsi="宋体" w:eastAsia="宋体" w:cs="宋体"/>
                <w:sz w:val="21"/>
                <w:szCs w:val="21"/>
              </w:rPr>
            </w:pPr>
          </w:p>
        </w:tc>
        <w:tc>
          <w:tcPr>
            <w:tcW w:w="7050" w:type="dxa"/>
            <w:noWrap w:val="0"/>
            <w:vAlign w:val="top"/>
          </w:tcPr>
          <w:p w14:paraId="36C38D35">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13、答卷安全校验：支持终端、校级、区级三级数据存诸，并满足三级数据和MD5码完全一致。</w:t>
            </w:r>
          </w:p>
        </w:tc>
      </w:tr>
      <w:tr w14:paraId="3577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 w:hRule="atLeast"/>
        </w:trPr>
        <w:tc>
          <w:tcPr>
            <w:tcW w:w="791" w:type="dxa"/>
            <w:vMerge w:val="continue"/>
            <w:noWrap w:val="0"/>
            <w:vAlign w:val="center"/>
          </w:tcPr>
          <w:p w14:paraId="708AAAA8">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01FB4A13">
            <w:pPr>
              <w:widowControl/>
              <w:spacing w:line="360" w:lineRule="auto"/>
              <w:jc w:val="left"/>
              <w:rPr>
                <w:rFonts w:hint="eastAsia" w:ascii="宋体" w:hAnsi="宋体" w:eastAsia="宋体" w:cs="宋体"/>
                <w:sz w:val="21"/>
                <w:szCs w:val="21"/>
              </w:rPr>
            </w:pPr>
          </w:p>
        </w:tc>
        <w:tc>
          <w:tcPr>
            <w:tcW w:w="7050" w:type="dxa"/>
            <w:noWrap w:val="0"/>
            <w:vAlign w:val="top"/>
          </w:tcPr>
          <w:p w14:paraId="4589880C">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14、考试安全保障系统：考场考生与考位核身，机考组卷与抽签，机考操作视频录制采集。</w:t>
            </w:r>
          </w:p>
        </w:tc>
      </w:tr>
      <w:tr w14:paraId="3C37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91" w:type="dxa"/>
            <w:vMerge w:val="restart"/>
            <w:noWrap w:val="0"/>
            <w:vAlign w:val="center"/>
          </w:tcPr>
          <w:p w14:paraId="07E1F6B3">
            <w:pPr>
              <w:jc w:val="center"/>
              <w:rPr>
                <w:rFonts w:hint="eastAsia" w:ascii="宋体" w:hAnsi="宋体" w:eastAsia="宋体" w:cs="宋体"/>
                <w:b/>
                <w:sz w:val="21"/>
                <w:szCs w:val="21"/>
              </w:rPr>
            </w:pPr>
            <w:r>
              <w:rPr>
                <w:rFonts w:hint="eastAsia" w:ascii="宋体" w:hAnsi="宋体" w:eastAsia="宋体" w:cs="宋体"/>
                <w:b/>
                <w:sz w:val="21"/>
                <w:szCs w:val="21"/>
              </w:rPr>
              <w:t>2</w:t>
            </w:r>
          </w:p>
        </w:tc>
        <w:tc>
          <w:tcPr>
            <w:tcW w:w="913" w:type="dxa"/>
            <w:vMerge w:val="restart"/>
            <w:noWrap w:val="0"/>
            <w:vAlign w:val="center"/>
          </w:tcPr>
          <w:p w14:paraId="240576F7">
            <w:pPr>
              <w:widowControl/>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考试AI评分系统</w:t>
            </w:r>
          </w:p>
          <w:p w14:paraId="3D5933EC">
            <w:pPr>
              <w:widowControl/>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（物理、化学）</w:t>
            </w:r>
          </w:p>
        </w:tc>
        <w:tc>
          <w:tcPr>
            <w:tcW w:w="7050" w:type="dxa"/>
            <w:noWrap w:val="0"/>
            <w:vAlign w:val="top"/>
          </w:tcPr>
          <w:p w14:paraId="178282A2">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1、物理、化学实验AI赋分功能：AI评分准确率≥96%，并支持查看物理、化学实验的AI评分成绩。</w:t>
            </w:r>
          </w:p>
        </w:tc>
      </w:tr>
      <w:tr w14:paraId="4ADB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791" w:type="dxa"/>
            <w:vMerge w:val="continue"/>
            <w:noWrap w:val="0"/>
            <w:vAlign w:val="center"/>
          </w:tcPr>
          <w:p w14:paraId="5E7847AA">
            <w:pPr>
              <w:widowControl/>
              <w:spacing w:line="360" w:lineRule="auto"/>
              <w:jc w:val="left"/>
            </w:pPr>
          </w:p>
        </w:tc>
        <w:tc>
          <w:tcPr>
            <w:tcW w:w="913" w:type="dxa"/>
            <w:vMerge w:val="continue"/>
            <w:noWrap w:val="0"/>
            <w:vAlign w:val="center"/>
          </w:tcPr>
          <w:p w14:paraId="1B387A5A">
            <w:pPr>
              <w:widowControl/>
              <w:spacing w:line="360" w:lineRule="auto"/>
              <w:jc w:val="left"/>
            </w:pPr>
          </w:p>
        </w:tc>
        <w:tc>
          <w:tcPr>
            <w:tcW w:w="7050" w:type="dxa"/>
            <w:noWrap w:val="0"/>
            <w:vAlign w:val="top"/>
          </w:tcPr>
          <w:p w14:paraId="218D8C48">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2、对实验操作视频进行逐帧分析的能力，利用AI识别，将视频根据评分点数量分解为同等数量的关键画面，供教师在评分界面预览大图和选取播放，选取时可一键跳转至对应画面后退至少5秒的位置开始播放。</w:t>
            </w:r>
          </w:p>
        </w:tc>
      </w:tr>
      <w:tr w14:paraId="1C56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1" w:type="dxa"/>
            <w:vMerge w:val="restart"/>
            <w:noWrap w:val="0"/>
            <w:vAlign w:val="center"/>
          </w:tcPr>
          <w:p w14:paraId="00E9CB1B">
            <w:pPr>
              <w:jc w:val="center"/>
              <w:rPr>
                <w:rFonts w:hint="eastAsia" w:ascii="宋体" w:hAnsi="宋体" w:eastAsia="宋体" w:cs="宋体"/>
                <w:b/>
                <w:sz w:val="21"/>
                <w:szCs w:val="21"/>
              </w:rPr>
            </w:pPr>
            <w:r>
              <w:rPr>
                <w:rFonts w:hint="eastAsia" w:ascii="宋体" w:hAnsi="宋体" w:eastAsia="宋体" w:cs="宋体"/>
                <w:b/>
                <w:sz w:val="21"/>
                <w:szCs w:val="21"/>
              </w:rPr>
              <w:t>3</w:t>
            </w:r>
          </w:p>
        </w:tc>
        <w:tc>
          <w:tcPr>
            <w:tcW w:w="913" w:type="dxa"/>
            <w:vMerge w:val="restart"/>
            <w:noWrap w:val="0"/>
            <w:vAlign w:val="center"/>
          </w:tcPr>
          <w:p w14:paraId="41E3A9A4">
            <w:pPr>
              <w:widowControl/>
              <w:spacing w:line="360" w:lineRule="auto"/>
              <w:jc w:val="center"/>
              <w:rPr>
                <w:rFonts w:hint="eastAsia" w:ascii="宋体" w:hAnsi="宋体" w:eastAsia="宋体" w:cs="宋体"/>
                <w:sz w:val="21"/>
                <w:szCs w:val="21"/>
              </w:rPr>
            </w:pPr>
            <w:r>
              <w:rPr>
                <w:rFonts w:hint="eastAsia" w:ascii="宋体" w:hAnsi="宋体" w:eastAsia="宋体" w:cs="宋体"/>
                <w:b/>
                <w:sz w:val="21"/>
                <w:szCs w:val="21"/>
              </w:rPr>
              <w:t>智能实验终端（核心产品）</w:t>
            </w:r>
          </w:p>
        </w:tc>
        <w:tc>
          <w:tcPr>
            <w:tcW w:w="7050" w:type="dxa"/>
            <w:noWrap w:val="0"/>
            <w:vAlign w:val="top"/>
          </w:tcPr>
          <w:p w14:paraId="20624A20">
            <w:pPr>
              <w:widowControl/>
              <w:spacing w:line="360" w:lineRule="auto"/>
              <w:jc w:val="left"/>
              <w:rPr>
                <w:rFonts w:ascii="宋体" w:hAnsi="宋体" w:eastAsia="宋体" w:cs="宋体"/>
                <w:sz w:val="21"/>
                <w:szCs w:val="21"/>
                <w:lang w:eastAsia="zh-CN"/>
              </w:rPr>
            </w:pPr>
            <w:r>
              <w:rPr>
                <w:rFonts w:hint="eastAsia" w:ascii="宋体" w:hAnsi="宋体" w:eastAsia="宋体" w:cs="宋体"/>
                <w:sz w:val="21"/>
                <w:szCs w:val="21"/>
                <w:lang w:eastAsia="zh-CN"/>
              </w:rPr>
              <w:t>1、一体化支架：使用过程中应稳定维持固定拍摄角度，不可自由伸缩和旋转；支架底座具备固定功能；支架线材不可完全外露；可用于标准实验桌；宜支持折叠收纳。</w:t>
            </w:r>
          </w:p>
        </w:tc>
      </w:tr>
      <w:tr w14:paraId="55A4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1" w:type="dxa"/>
            <w:vMerge w:val="continue"/>
            <w:noWrap w:val="0"/>
            <w:vAlign w:val="center"/>
          </w:tcPr>
          <w:p w14:paraId="24CDF65F">
            <w:pPr>
              <w:widowControl/>
              <w:spacing w:line="360" w:lineRule="auto"/>
              <w:jc w:val="left"/>
            </w:pPr>
          </w:p>
        </w:tc>
        <w:tc>
          <w:tcPr>
            <w:tcW w:w="913" w:type="dxa"/>
            <w:vMerge w:val="continue"/>
            <w:noWrap w:val="0"/>
            <w:vAlign w:val="center"/>
          </w:tcPr>
          <w:p w14:paraId="58C8F128">
            <w:pPr>
              <w:widowControl/>
              <w:spacing w:line="360" w:lineRule="auto"/>
              <w:jc w:val="left"/>
            </w:pPr>
          </w:p>
        </w:tc>
        <w:tc>
          <w:tcPr>
            <w:tcW w:w="7050" w:type="dxa"/>
            <w:noWrap w:val="0"/>
            <w:vAlign w:val="top"/>
          </w:tcPr>
          <w:p w14:paraId="2D84BDA2">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2、视频采集摄像头：自动白平衡；支持多码流传输；俯视角摄像头的广角不低于 86°；俯视角摄像头需能在一个画面内拍摄整个实验台，侧视角摄像头需支持拍摄核心操作区内操作和刻度细节；帧率不低于25fps；支持 3D 数字降噪；不低于 200 万像素，其中至少一个摄像头不低于400 万像素；各摄像头视频同步偏差不高于 80ms；支持 H.265/H.264/MJPEG 视频压缩编码；自动曝光；支持宽动态，宽动态范围不低于 90dB。</w:t>
            </w:r>
          </w:p>
        </w:tc>
      </w:tr>
      <w:tr w14:paraId="0F17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91" w:type="dxa"/>
            <w:vMerge w:val="continue"/>
            <w:noWrap w:val="0"/>
            <w:vAlign w:val="center"/>
          </w:tcPr>
          <w:p w14:paraId="08EF2140">
            <w:pPr>
              <w:widowControl/>
              <w:spacing w:line="360" w:lineRule="auto"/>
              <w:jc w:val="left"/>
            </w:pPr>
          </w:p>
        </w:tc>
        <w:tc>
          <w:tcPr>
            <w:tcW w:w="913" w:type="dxa"/>
            <w:vMerge w:val="continue"/>
            <w:noWrap w:val="0"/>
            <w:vAlign w:val="center"/>
          </w:tcPr>
          <w:p w14:paraId="747AB7EE">
            <w:pPr>
              <w:widowControl/>
              <w:spacing w:line="360" w:lineRule="auto"/>
              <w:jc w:val="left"/>
            </w:pPr>
          </w:p>
        </w:tc>
        <w:tc>
          <w:tcPr>
            <w:tcW w:w="7050" w:type="dxa"/>
            <w:noWrap w:val="0"/>
            <w:vAlign w:val="top"/>
          </w:tcPr>
          <w:p w14:paraId="2B1EF220">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3、双通道视频采集设备，每个通道画面分辨率不低于2560*1440@25fps，同时支持H.265/H.264视频压缩技术；</w:t>
            </w:r>
          </w:p>
        </w:tc>
      </w:tr>
      <w:tr w14:paraId="0903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91" w:type="dxa"/>
            <w:vMerge w:val="continue"/>
            <w:noWrap w:val="0"/>
            <w:vAlign w:val="center"/>
          </w:tcPr>
          <w:p w14:paraId="2845D57F">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4051FD6D">
            <w:pPr>
              <w:widowControl/>
              <w:spacing w:line="360" w:lineRule="auto"/>
              <w:jc w:val="left"/>
              <w:rPr>
                <w:rFonts w:hint="eastAsia" w:ascii="宋体" w:hAnsi="宋体" w:eastAsia="宋体" w:cs="宋体"/>
                <w:sz w:val="21"/>
                <w:szCs w:val="21"/>
              </w:rPr>
            </w:pPr>
          </w:p>
        </w:tc>
        <w:tc>
          <w:tcPr>
            <w:tcW w:w="7050" w:type="dxa"/>
            <w:noWrap w:val="0"/>
            <w:vAlign w:val="top"/>
          </w:tcPr>
          <w:p w14:paraId="23B91386">
            <w:pPr>
              <w:widowControl/>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4、▲设备自带数码显示屏，可显示设备的异常运行状态码；（提供具有CMA或CNAS标志的检验检测报告扫描件及检验检测报告在全国认证认可信息公共服务平台（认e云）（http://cx.cnca.cn/）的查询记录截图，原件备查。）</w:t>
            </w:r>
          </w:p>
        </w:tc>
      </w:tr>
      <w:tr w14:paraId="6138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91" w:type="dxa"/>
            <w:vMerge w:val="continue"/>
            <w:noWrap w:val="0"/>
            <w:vAlign w:val="center"/>
          </w:tcPr>
          <w:p w14:paraId="14E1B0D8">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4BE89C51">
            <w:pPr>
              <w:widowControl/>
              <w:spacing w:line="360" w:lineRule="auto"/>
              <w:jc w:val="left"/>
              <w:rPr>
                <w:rFonts w:hint="eastAsia" w:ascii="宋体" w:hAnsi="宋体" w:eastAsia="宋体" w:cs="宋体"/>
                <w:sz w:val="21"/>
                <w:szCs w:val="21"/>
              </w:rPr>
            </w:pPr>
          </w:p>
        </w:tc>
        <w:tc>
          <w:tcPr>
            <w:tcW w:w="7050" w:type="dxa"/>
            <w:noWrap w:val="0"/>
            <w:vAlign w:val="top"/>
          </w:tcPr>
          <w:p w14:paraId="3F584595">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5、核心操作区标识：放置或粘贴在实验桌上，用于引导学生在核心区域操作，完成整个实验。</w:t>
            </w:r>
          </w:p>
        </w:tc>
      </w:tr>
      <w:tr w14:paraId="309F2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91" w:type="dxa"/>
            <w:vMerge w:val="continue"/>
            <w:noWrap w:val="0"/>
            <w:vAlign w:val="center"/>
          </w:tcPr>
          <w:p w14:paraId="6391641A">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008809F6">
            <w:pPr>
              <w:widowControl/>
              <w:spacing w:line="360" w:lineRule="auto"/>
              <w:jc w:val="left"/>
              <w:rPr>
                <w:rFonts w:hint="eastAsia" w:ascii="宋体" w:hAnsi="宋体" w:eastAsia="宋体" w:cs="宋体"/>
                <w:sz w:val="21"/>
                <w:szCs w:val="21"/>
              </w:rPr>
            </w:pPr>
          </w:p>
        </w:tc>
        <w:tc>
          <w:tcPr>
            <w:tcW w:w="7050" w:type="dxa"/>
            <w:noWrap w:val="0"/>
            <w:vAlign w:val="top"/>
          </w:tcPr>
          <w:p w14:paraId="66ACACD9">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6、显示器：尺寸不小于10英寸；分辨率不低于1920*1080；支持多点(不低于10点)触控。</w:t>
            </w:r>
          </w:p>
        </w:tc>
      </w:tr>
      <w:tr w14:paraId="0318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91" w:type="dxa"/>
            <w:vMerge w:val="continue"/>
            <w:noWrap w:val="0"/>
            <w:vAlign w:val="center"/>
          </w:tcPr>
          <w:p w14:paraId="31736313">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4C1E39CC">
            <w:pPr>
              <w:widowControl/>
              <w:spacing w:line="360" w:lineRule="auto"/>
              <w:jc w:val="left"/>
              <w:rPr>
                <w:rFonts w:hint="eastAsia" w:ascii="宋体" w:hAnsi="宋体" w:eastAsia="宋体" w:cs="宋体"/>
                <w:sz w:val="21"/>
                <w:szCs w:val="21"/>
              </w:rPr>
            </w:pPr>
          </w:p>
        </w:tc>
        <w:tc>
          <w:tcPr>
            <w:tcW w:w="7050" w:type="dxa"/>
            <w:noWrap w:val="0"/>
            <w:vAlign w:val="top"/>
          </w:tcPr>
          <w:p w14:paraId="1F9E1DD0">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7、处理器：不低于四核，主频不低于1.6GHz；</w:t>
            </w:r>
          </w:p>
        </w:tc>
      </w:tr>
      <w:tr w14:paraId="56F0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91" w:type="dxa"/>
            <w:vMerge w:val="continue"/>
            <w:noWrap w:val="0"/>
            <w:vAlign w:val="center"/>
          </w:tcPr>
          <w:p w14:paraId="542C79FF">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5A68F5C6">
            <w:pPr>
              <w:widowControl/>
              <w:spacing w:line="360" w:lineRule="auto"/>
              <w:jc w:val="left"/>
              <w:rPr>
                <w:rFonts w:hint="eastAsia" w:ascii="宋体" w:hAnsi="宋体" w:eastAsia="宋体" w:cs="宋体"/>
                <w:sz w:val="21"/>
                <w:szCs w:val="21"/>
              </w:rPr>
            </w:pPr>
          </w:p>
        </w:tc>
        <w:tc>
          <w:tcPr>
            <w:tcW w:w="7050" w:type="dxa"/>
            <w:noWrap w:val="0"/>
            <w:vAlign w:val="top"/>
          </w:tcPr>
          <w:p w14:paraId="185D5AC8">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8、内存：不低于4G。</w:t>
            </w:r>
          </w:p>
        </w:tc>
      </w:tr>
      <w:tr w14:paraId="27E27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91" w:type="dxa"/>
            <w:vMerge w:val="continue"/>
            <w:noWrap w:val="0"/>
            <w:vAlign w:val="center"/>
          </w:tcPr>
          <w:p w14:paraId="36B36141">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66006682">
            <w:pPr>
              <w:widowControl/>
              <w:spacing w:line="360" w:lineRule="auto"/>
              <w:jc w:val="left"/>
              <w:rPr>
                <w:rFonts w:hint="eastAsia" w:ascii="宋体" w:hAnsi="宋体" w:eastAsia="宋体" w:cs="宋体"/>
                <w:sz w:val="21"/>
                <w:szCs w:val="21"/>
              </w:rPr>
            </w:pPr>
          </w:p>
        </w:tc>
        <w:tc>
          <w:tcPr>
            <w:tcW w:w="7050" w:type="dxa"/>
            <w:noWrap w:val="0"/>
            <w:vAlign w:val="top"/>
          </w:tcPr>
          <w:p w14:paraId="12A2D194">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9、存储：不低于64GB。</w:t>
            </w:r>
          </w:p>
        </w:tc>
      </w:tr>
      <w:tr w14:paraId="595E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91" w:type="dxa"/>
            <w:vMerge w:val="continue"/>
            <w:noWrap w:val="0"/>
            <w:vAlign w:val="center"/>
          </w:tcPr>
          <w:p w14:paraId="186D23F6">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6CE488C6">
            <w:pPr>
              <w:widowControl/>
              <w:spacing w:line="360" w:lineRule="auto"/>
              <w:jc w:val="left"/>
              <w:rPr>
                <w:rFonts w:hint="eastAsia" w:ascii="宋体" w:hAnsi="宋体" w:eastAsia="宋体" w:cs="宋体"/>
                <w:sz w:val="21"/>
                <w:szCs w:val="21"/>
              </w:rPr>
            </w:pPr>
          </w:p>
        </w:tc>
        <w:tc>
          <w:tcPr>
            <w:tcW w:w="7050" w:type="dxa"/>
            <w:noWrap w:val="0"/>
            <w:vAlign w:val="top"/>
          </w:tcPr>
          <w:p w14:paraId="28FF5C80">
            <w:pPr>
              <w:widowControl/>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10、▲设备内置扬声器，当设备异常时，可实时播报设备的异常状态描述，如网络断开、IP地址冲突、视频遮挡等；（提供具有CMA或CNAS标志的检验检测报告扫描件及检验检测报告在全国认证认可信息公共服务平台（认e云）（http://cx.cnca.cn/）的查询记录截图，原件备查。）</w:t>
            </w:r>
          </w:p>
        </w:tc>
      </w:tr>
      <w:tr w14:paraId="0DF4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791" w:type="dxa"/>
            <w:vMerge w:val="continue"/>
            <w:noWrap w:val="0"/>
            <w:vAlign w:val="center"/>
          </w:tcPr>
          <w:p w14:paraId="705B78A1">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14CC4F2F">
            <w:pPr>
              <w:widowControl/>
              <w:spacing w:line="360" w:lineRule="auto"/>
              <w:jc w:val="left"/>
              <w:rPr>
                <w:rFonts w:hint="eastAsia" w:ascii="宋体" w:hAnsi="宋体" w:eastAsia="宋体" w:cs="宋体"/>
                <w:sz w:val="21"/>
                <w:szCs w:val="21"/>
              </w:rPr>
            </w:pPr>
          </w:p>
        </w:tc>
        <w:tc>
          <w:tcPr>
            <w:tcW w:w="7050" w:type="dxa"/>
            <w:noWrap w:val="0"/>
            <w:vAlign w:val="top"/>
          </w:tcPr>
          <w:p w14:paraId="295478D8">
            <w:pPr>
              <w:widowControl/>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11、▲当摄像机检测到视频画面被遮盖时，可在客户端给出的报警提示并可设置上传中心、上传FTP、发送邮件及联动录像。同时支持语音播报提示，数据显示屏亮红灯并显示故障码；（提供具有CMA或CNAS标志的检验检测报告扫描件及检验检测报告在全国认证认可信息公共服务平台（认e云）（http://cx.cnca.cn/）的查询记录截图，原件备查。）</w:t>
            </w:r>
          </w:p>
        </w:tc>
      </w:tr>
      <w:tr w14:paraId="0577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vMerge w:val="restart"/>
            <w:noWrap w:val="0"/>
            <w:vAlign w:val="center"/>
          </w:tcPr>
          <w:p w14:paraId="2C97B395">
            <w:pPr>
              <w:jc w:val="center"/>
              <w:rPr>
                <w:rFonts w:hint="eastAsia" w:ascii="宋体" w:hAnsi="宋体" w:eastAsia="宋体" w:cs="宋体"/>
                <w:b/>
                <w:sz w:val="21"/>
                <w:szCs w:val="21"/>
              </w:rPr>
            </w:pPr>
            <w:r>
              <w:rPr>
                <w:rFonts w:hint="eastAsia" w:ascii="宋体" w:hAnsi="宋体" w:eastAsia="宋体" w:cs="宋体"/>
                <w:b/>
                <w:sz w:val="21"/>
                <w:szCs w:val="21"/>
              </w:rPr>
              <w:t>4</w:t>
            </w:r>
          </w:p>
        </w:tc>
        <w:tc>
          <w:tcPr>
            <w:tcW w:w="913" w:type="dxa"/>
            <w:vMerge w:val="restart"/>
            <w:noWrap w:val="0"/>
            <w:vAlign w:val="center"/>
          </w:tcPr>
          <w:p w14:paraId="05CC8045">
            <w:pPr>
              <w:widowControl/>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智能实验终端软件</w:t>
            </w:r>
          </w:p>
        </w:tc>
        <w:tc>
          <w:tcPr>
            <w:tcW w:w="7050" w:type="dxa"/>
            <w:noWrap w:val="0"/>
            <w:vAlign w:val="center"/>
          </w:tcPr>
          <w:p w14:paraId="060DAFBE">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1、测评模式：页面操作流程符合深圳市初中物理、化学实验操作考试相关要求；</w:t>
            </w:r>
          </w:p>
        </w:tc>
      </w:tr>
      <w:tr w14:paraId="347F1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vMerge w:val="continue"/>
            <w:noWrap w:val="0"/>
            <w:vAlign w:val="center"/>
          </w:tcPr>
          <w:p w14:paraId="77BCCE1B">
            <w:pPr>
              <w:widowControl/>
              <w:spacing w:line="360" w:lineRule="auto"/>
              <w:jc w:val="left"/>
            </w:pPr>
          </w:p>
        </w:tc>
        <w:tc>
          <w:tcPr>
            <w:tcW w:w="913" w:type="dxa"/>
            <w:vMerge w:val="continue"/>
            <w:noWrap w:val="0"/>
            <w:vAlign w:val="center"/>
          </w:tcPr>
          <w:p w14:paraId="0BC7BCEA">
            <w:pPr>
              <w:widowControl/>
              <w:spacing w:line="360" w:lineRule="auto"/>
              <w:jc w:val="left"/>
            </w:pPr>
          </w:p>
        </w:tc>
        <w:tc>
          <w:tcPr>
            <w:tcW w:w="7050" w:type="dxa"/>
            <w:noWrap w:val="0"/>
            <w:vAlign w:val="center"/>
          </w:tcPr>
          <w:p w14:paraId="779466FC">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2、教学模式；支持播放教师实验教学平台中的演示视频或历史视频，录制保存学生实验操作过程；</w:t>
            </w:r>
          </w:p>
        </w:tc>
      </w:tr>
      <w:tr w14:paraId="13A77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vMerge w:val="continue"/>
            <w:noWrap w:val="0"/>
            <w:vAlign w:val="center"/>
          </w:tcPr>
          <w:p w14:paraId="6DA94CD8">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13DE488F">
            <w:pPr>
              <w:widowControl/>
              <w:spacing w:line="360" w:lineRule="auto"/>
              <w:jc w:val="left"/>
              <w:rPr>
                <w:rFonts w:hint="eastAsia" w:ascii="宋体" w:hAnsi="宋体" w:eastAsia="宋体" w:cs="宋体"/>
                <w:sz w:val="21"/>
                <w:szCs w:val="21"/>
              </w:rPr>
            </w:pPr>
          </w:p>
        </w:tc>
        <w:tc>
          <w:tcPr>
            <w:tcW w:w="7050" w:type="dxa"/>
            <w:noWrap w:val="0"/>
            <w:vAlign w:val="center"/>
          </w:tcPr>
          <w:p w14:paraId="7F3DCA4C">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3、自学模式：支持学生自主登录，选择实验进行操作；</w:t>
            </w:r>
          </w:p>
        </w:tc>
      </w:tr>
      <w:tr w14:paraId="0A69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vMerge w:val="continue"/>
            <w:noWrap w:val="0"/>
            <w:vAlign w:val="center"/>
          </w:tcPr>
          <w:p w14:paraId="479B726D">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21DF49D9">
            <w:pPr>
              <w:widowControl/>
              <w:spacing w:line="360" w:lineRule="auto"/>
              <w:jc w:val="left"/>
              <w:rPr>
                <w:rFonts w:hint="eastAsia" w:ascii="宋体" w:hAnsi="宋体" w:eastAsia="宋体" w:cs="宋体"/>
                <w:sz w:val="21"/>
                <w:szCs w:val="21"/>
              </w:rPr>
            </w:pPr>
          </w:p>
        </w:tc>
        <w:tc>
          <w:tcPr>
            <w:tcW w:w="7050" w:type="dxa"/>
            <w:noWrap w:val="0"/>
            <w:vAlign w:val="center"/>
          </w:tcPr>
          <w:p w14:paraId="1F558F23">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4、信息确认：学生可根据抽签结果对身份信息进行确认；</w:t>
            </w:r>
          </w:p>
        </w:tc>
      </w:tr>
      <w:tr w14:paraId="6351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vMerge w:val="continue"/>
            <w:noWrap w:val="0"/>
            <w:vAlign w:val="center"/>
          </w:tcPr>
          <w:p w14:paraId="22F15600">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777D4740">
            <w:pPr>
              <w:widowControl/>
              <w:spacing w:line="360" w:lineRule="auto"/>
              <w:jc w:val="left"/>
              <w:rPr>
                <w:rFonts w:hint="eastAsia" w:ascii="宋体" w:hAnsi="宋体" w:eastAsia="宋体" w:cs="宋体"/>
                <w:sz w:val="21"/>
                <w:szCs w:val="21"/>
              </w:rPr>
            </w:pPr>
          </w:p>
        </w:tc>
        <w:tc>
          <w:tcPr>
            <w:tcW w:w="7050" w:type="dxa"/>
            <w:noWrap w:val="0"/>
            <w:vAlign w:val="center"/>
          </w:tcPr>
          <w:p w14:paraId="17234803">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5、实验数据接入：支持接入电子目镜或数码显微镜画面等实验数据；</w:t>
            </w:r>
          </w:p>
        </w:tc>
      </w:tr>
      <w:tr w14:paraId="7BD3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vMerge w:val="continue"/>
            <w:noWrap w:val="0"/>
            <w:vAlign w:val="center"/>
          </w:tcPr>
          <w:p w14:paraId="1EB3C98C">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3E7449D6">
            <w:pPr>
              <w:widowControl/>
              <w:spacing w:line="360" w:lineRule="auto"/>
              <w:jc w:val="left"/>
              <w:rPr>
                <w:rFonts w:hint="eastAsia" w:ascii="宋体" w:hAnsi="宋体" w:eastAsia="宋体" w:cs="宋体"/>
                <w:sz w:val="21"/>
                <w:szCs w:val="21"/>
              </w:rPr>
            </w:pPr>
          </w:p>
        </w:tc>
        <w:tc>
          <w:tcPr>
            <w:tcW w:w="7050" w:type="dxa"/>
            <w:noWrap w:val="0"/>
            <w:vAlign w:val="center"/>
          </w:tcPr>
          <w:p w14:paraId="337B7DB5">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6、摄像头异常提醒：录制过程中如检测到摄像头拍摄范围偏离预期或被遮挡，在本机上有明显提示，并通知实验考务平台；</w:t>
            </w:r>
          </w:p>
        </w:tc>
      </w:tr>
      <w:tr w14:paraId="2AA0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91" w:type="dxa"/>
            <w:vMerge w:val="continue"/>
            <w:noWrap w:val="0"/>
            <w:vAlign w:val="center"/>
          </w:tcPr>
          <w:p w14:paraId="6D420586">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0F2DC499">
            <w:pPr>
              <w:widowControl/>
              <w:spacing w:line="360" w:lineRule="auto"/>
              <w:jc w:val="left"/>
              <w:rPr>
                <w:rFonts w:hint="eastAsia" w:ascii="宋体" w:hAnsi="宋体" w:eastAsia="宋体" w:cs="宋体"/>
                <w:sz w:val="21"/>
                <w:szCs w:val="21"/>
              </w:rPr>
            </w:pPr>
          </w:p>
        </w:tc>
        <w:tc>
          <w:tcPr>
            <w:tcW w:w="7050" w:type="dxa"/>
            <w:noWrap w:val="0"/>
            <w:vAlign w:val="center"/>
          </w:tcPr>
          <w:p w14:paraId="53329369">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7、学生自主抓拍：支持学生自主抓拍保存摄像头或电子目镜数据画面。</w:t>
            </w:r>
          </w:p>
        </w:tc>
      </w:tr>
      <w:tr w14:paraId="5F4B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91" w:type="dxa"/>
            <w:vMerge w:val="restart"/>
            <w:noWrap w:val="0"/>
            <w:vAlign w:val="center"/>
          </w:tcPr>
          <w:p w14:paraId="79C8B4E5">
            <w:pPr>
              <w:jc w:val="center"/>
              <w:rPr>
                <w:rFonts w:hint="eastAsia" w:ascii="宋体" w:hAnsi="宋体" w:eastAsia="宋体" w:cs="宋体"/>
                <w:b/>
                <w:sz w:val="21"/>
                <w:szCs w:val="21"/>
              </w:rPr>
            </w:pPr>
            <w:r>
              <w:rPr>
                <w:rFonts w:hint="eastAsia" w:ascii="宋体" w:hAnsi="宋体" w:eastAsia="宋体" w:cs="宋体"/>
                <w:b/>
                <w:sz w:val="21"/>
                <w:szCs w:val="21"/>
              </w:rPr>
              <w:t>5</w:t>
            </w:r>
          </w:p>
        </w:tc>
        <w:tc>
          <w:tcPr>
            <w:tcW w:w="913" w:type="dxa"/>
            <w:vMerge w:val="restart"/>
            <w:noWrap w:val="0"/>
            <w:vAlign w:val="center"/>
          </w:tcPr>
          <w:p w14:paraId="66D981AD">
            <w:pPr>
              <w:widowControl/>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考场交换机</w:t>
            </w:r>
          </w:p>
        </w:tc>
        <w:tc>
          <w:tcPr>
            <w:tcW w:w="7050" w:type="dxa"/>
            <w:noWrap w:val="0"/>
            <w:vAlign w:val="center"/>
          </w:tcPr>
          <w:p w14:paraId="40D9B73C">
            <w:pPr>
              <w:widowControl/>
              <w:spacing w:line="360" w:lineRule="auto"/>
              <w:jc w:val="left"/>
              <w:rPr>
                <w:rFonts w:hint="eastAsia" w:ascii="宋体" w:hAnsi="宋体" w:eastAsia="宋体" w:cs="宋体"/>
                <w:b/>
                <w:sz w:val="21"/>
                <w:szCs w:val="21"/>
              </w:rPr>
            </w:pPr>
            <w:r>
              <w:rPr>
                <w:rFonts w:hint="eastAsia" w:ascii="宋体" w:hAnsi="宋体" w:eastAsia="宋体" w:cs="宋体"/>
                <w:b/>
                <w:sz w:val="21"/>
                <w:szCs w:val="21"/>
              </w:rPr>
              <w:t>1、二层交换机</w:t>
            </w:r>
          </w:p>
        </w:tc>
      </w:tr>
      <w:tr w14:paraId="3A283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91" w:type="dxa"/>
            <w:vMerge w:val="continue"/>
            <w:noWrap w:val="0"/>
            <w:vAlign w:val="center"/>
          </w:tcPr>
          <w:p w14:paraId="2EF227CA">
            <w:pPr>
              <w:widowControl/>
              <w:spacing w:line="360" w:lineRule="auto"/>
              <w:jc w:val="left"/>
            </w:pPr>
          </w:p>
        </w:tc>
        <w:tc>
          <w:tcPr>
            <w:tcW w:w="913" w:type="dxa"/>
            <w:vMerge w:val="continue"/>
            <w:noWrap w:val="0"/>
            <w:vAlign w:val="center"/>
          </w:tcPr>
          <w:p w14:paraId="2FCF8C02">
            <w:pPr>
              <w:widowControl/>
              <w:spacing w:line="360" w:lineRule="auto"/>
              <w:jc w:val="left"/>
            </w:pPr>
          </w:p>
        </w:tc>
        <w:tc>
          <w:tcPr>
            <w:tcW w:w="7050" w:type="dxa"/>
            <w:noWrap w:val="0"/>
            <w:vAlign w:val="center"/>
          </w:tcPr>
          <w:p w14:paraId="2EA61FE8">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2、端口描述：不少于48个千兆电口+4个万兆光口；</w:t>
            </w:r>
          </w:p>
        </w:tc>
      </w:tr>
      <w:tr w14:paraId="0BD8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91" w:type="dxa"/>
            <w:vMerge w:val="continue"/>
            <w:noWrap w:val="0"/>
            <w:vAlign w:val="center"/>
          </w:tcPr>
          <w:p w14:paraId="40A804BF">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6952C04B">
            <w:pPr>
              <w:widowControl/>
              <w:spacing w:line="360" w:lineRule="auto"/>
              <w:jc w:val="left"/>
              <w:rPr>
                <w:rFonts w:hint="eastAsia" w:ascii="宋体" w:hAnsi="宋体" w:eastAsia="宋体" w:cs="宋体"/>
                <w:sz w:val="21"/>
                <w:szCs w:val="21"/>
              </w:rPr>
            </w:pPr>
          </w:p>
        </w:tc>
        <w:tc>
          <w:tcPr>
            <w:tcW w:w="7050" w:type="dxa"/>
            <w:noWrap w:val="0"/>
            <w:vAlign w:val="center"/>
          </w:tcPr>
          <w:p w14:paraId="5D36B4C4">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3、包转发率：不低于132Mpps；</w:t>
            </w:r>
          </w:p>
        </w:tc>
      </w:tr>
      <w:tr w14:paraId="48D2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91" w:type="dxa"/>
            <w:vMerge w:val="continue"/>
            <w:noWrap w:val="0"/>
            <w:vAlign w:val="center"/>
          </w:tcPr>
          <w:p w14:paraId="57B725CB">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5BF8FD41">
            <w:pPr>
              <w:widowControl/>
              <w:spacing w:line="360" w:lineRule="auto"/>
              <w:jc w:val="left"/>
              <w:rPr>
                <w:rFonts w:hint="eastAsia" w:ascii="宋体" w:hAnsi="宋体" w:eastAsia="宋体" w:cs="宋体"/>
                <w:sz w:val="21"/>
                <w:szCs w:val="21"/>
              </w:rPr>
            </w:pPr>
          </w:p>
        </w:tc>
        <w:tc>
          <w:tcPr>
            <w:tcW w:w="7050" w:type="dxa"/>
            <w:noWrap w:val="0"/>
            <w:vAlign w:val="center"/>
          </w:tcPr>
          <w:p w14:paraId="79835C6E">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4、交换容量：不低于336Gbps。</w:t>
            </w:r>
          </w:p>
        </w:tc>
      </w:tr>
      <w:tr w14:paraId="1CD1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91" w:type="dxa"/>
            <w:vMerge w:val="restart"/>
            <w:noWrap w:val="0"/>
            <w:vAlign w:val="center"/>
          </w:tcPr>
          <w:p w14:paraId="32012492">
            <w:pPr>
              <w:jc w:val="center"/>
              <w:rPr>
                <w:rFonts w:hint="eastAsia" w:ascii="宋体" w:hAnsi="宋体" w:eastAsia="宋体" w:cs="宋体"/>
                <w:b/>
                <w:sz w:val="21"/>
                <w:szCs w:val="21"/>
              </w:rPr>
            </w:pPr>
            <w:r>
              <w:rPr>
                <w:rFonts w:hint="eastAsia" w:ascii="宋体" w:hAnsi="宋体" w:eastAsia="宋体" w:cs="宋体"/>
                <w:b/>
                <w:sz w:val="21"/>
                <w:szCs w:val="21"/>
              </w:rPr>
              <w:t>6</w:t>
            </w:r>
          </w:p>
        </w:tc>
        <w:tc>
          <w:tcPr>
            <w:tcW w:w="913" w:type="dxa"/>
            <w:vMerge w:val="restart"/>
            <w:noWrap w:val="0"/>
            <w:vAlign w:val="center"/>
          </w:tcPr>
          <w:p w14:paraId="542DC24B">
            <w:pPr>
              <w:widowControl/>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小型机柜</w:t>
            </w:r>
          </w:p>
        </w:tc>
        <w:tc>
          <w:tcPr>
            <w:tcW w:w="7050" w:type="dxa"/>
            <w:noWrap w:val="0"/>
            <w:vAlign w:val="center"/>
          </w:tcPr>
          <w:p w14:paraId="4DAC7B1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1、≥22U网络机柜</w:t>
            </w:r>
          </w:p>
        </w:tc>
      </w:tr>
      <w:tr w14:paraId="6DF2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91" w:type="dxa"/>
            <w:vMerge w:val="continue"/>
            <w:noWrap w:val="0"/>
            <w:vAlign w:val="center"/>
          </w:tcPr>
          <w:p w14:paraId="135A5F0F">
            <w:pPr>
              <w:widowControl/>
              <w:spacing w:line="360" w:lineRule="auto"/>
              <w:jc w:val="left"/>
            </w:pPr>
          </w:p>
        </w:tc>
        <w:tc>
          <w:tcPr>
            <w:tcW w:w="913" w:type="dxa"/>
            <w:vMerge w:val="continue"/>
            <w:noWrap w:val="0"/>
            <w:vAlign w:val="center"/>
          </w:tcPr>
          <w:p w14:paraId="336A0D7E">
            <w:pPr>
              <w:widowControl/>
              <w:spacing w:line="360" w:lineRule="auto"/>
              <w:jc w:val="left"/>
            </w:pPr>
          </w:p>
        </w:tc>
        <w:tc>
          <w:tcPr>
            <w:tcW w:w="7050" w:type="dxa"/>
            <w:noWrap w:val="0"/>
            <w:vAlign w:val="center"/>
          </w:tcPr>
          <w:p w14:paraId="2F93F0BA">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2、至少配备风扇*2，固定支脚*4，托盘*3，脚轮*4，螺丝*1包，电源插排*1。</w:t>
            </w:r>
          </w:p>
        </w:tc>
      </w:tr>
      <w:tr w14:paraId="0BE3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1" w:type="dxa"/>
            <w:noWrap w:val="0"/>
            <w:vAlign w:val="center"/>
          </w:tcPr>
          <w:p w14:paraId="4F34D83C">
            <w:pPr>
              <w:jc w:val="center"/>
              <w:rPr>
                <w:rFonts w:hint="eastAsia" w:ascii="宋体" w:hAnsi="宋体" w:eastAsia="宋体" w:cs="宋体"/>
                <w:b/>
                <w:sz w:val="21"/>
                <w:szCs w:val="21"/>
              </w:rPr>
            </w:pPr>
            <w:r>
              <w:rPr>
                <w:rFonts w:hint="eastAsia" w:ascii="宋体" w:hAnsi="宋体" w:eastAsia="宋体" w:cs="宋体"/>
                <w:b/>
                <w:sz w:val="21"/>
                <w:szCs w:val="21"/>
              </w:rPr>
              <w:t>7</w:t>
            </w:r>
          </w:p>
        </w:tc>
        <w:tc>
          <w:tcPr>
            <w:tcW w:w="913" w:type="dxa"/>
            <w:noWrap w:val="0"/>
            <w:vAlign w:val="center"/>
          </w:tcPr>
          <w:p w14:paraId="6ED1E788">
            <w:pPr>
              <w:widowControl/>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移动硬盘</w:t>
            </w:r>
          </w:p>
        </w:tc>
        <w:tc>
          <w:tcPr>
            <w:tcW w:w="7050" w:type="dxa"/>
            <w:noWrap w:val="0"/>
            <w:vAlign w:val="center"/>
          </w:tcPr>
          <w:p w14:paraId="52C19213">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1、不小于2TB移动固态硬盘，支持Type-C/USB2.0/USB3.1，读写速度不低于550/450MB/s，厚度不超过11mm，防震抗摔</w:t>
            </w:r>
          </w:p>
        </w:tc>
      </w:tr>
      <w:tr w14:paraId="763C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91" w:type="dxa"/>
            <w:noWrap w:val="0"/>
            <w:vAlign w:val="center"/>
          </w:tcPr>
          <w:p w14:paraId="3397D3BA">
            <w:pPr>
              <w:jc w:val="center"/>
              <w:rPr>
                <w:rFonts w:hint="eastAsia" w:ascii="宋体" w:hAnsi="宋体" w:eastAsia="宋体" w:cs="宋体"/>
                <w:b/>
                <w:sz w:val="21"/>
                <w:szCs w:val="21"/>
              </w:rPr>
            </w:pPr>
            <w:r>
              <w:rPr>
                <w:rFonts w:hint="eastAsia" w:ascii="宋体" w:hAnsi="宋体" w:eastAsia="宋体" w:cs="宋体"/>
                <w:b/>
                <w:sz w:val="21"/>
                <w:szCs w:val="21"/>
              </w:rPr>
              <w:t>8</w:t>
            </w:r>
          </w:p>
        </w:tc>
        <w:tc>
          <w:tcPr>
            <w:tcW w:w="913" w:type="dxa"/>
            <w:noWrap w:val="0"/>
            <w:vAlign w:val="center"/>
          </w:tcPr>
          <w:p w14:paraId="150C5939">
            <w:pPr>
              <w:widowControl/>
              <w:spacing w:line="360" w:lineRule="auto"/>
              <w:jc w:val="center"/>
              <w:rPr>
                <w:rFonts w:hint="eastAsia" w:ascii="宋体" w:hAnsi="宋体" w:eastAsia="宋体" w:cs="宋体"/>
                <w:sz w:val="21"/>
                <w:szCs w:val="21"/>
              </w:rPr>
            </w:pPr>
            <w:r>
              <w:rPr>
                <w:rFonts w:hint="eastAsia" w:ascii="宋体" w:hAnsi="宋体" w:cs="宋体"/>
                <w:b/>
                <w:bCs/>
              </w:rPr>
              <w:t>考场监考管理主机</w:t>
            </w:r>
          </w:p>
        </w:tc>
        <w:tc>
          <w:tcPr>
            <w:tcW w:w="7050" w:type="dxa"/>
            <w:noWrap w:val="0"/>
            <w:vAlign w:val="center"/>
          </w:tcPr>
          <w:p w14:paraId="4DFA1071">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1、不低于4核CPU、不低于16G内存、不低于480GB SSD系统盘、不低于1TB硬盘、不低于千兆网口及不低于21.45英寸显示，支持WiFi，带操作系统。</w:t>
            </w:r>
          </w:p>
        </w:tc>
      </w:tr>
      <w:tr w14:paraId="25B3C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1" w:type="dxa"/>
            <w:vMerge w:val="restart"/>
            <w:noWrap w:val="0"/>
            <w:vAlign w:val="center"/>
          </w:tcPr>
          <w:p w14:paraId="62D28EC5">
            <w:pPr>
              <w:jc w:val="center"/>
              <w:rPr>
                <w:rFonts w:hint="eastAsia" w:ascii="宋体" w:hAnsi="宋体" w:eastAsia="宋体" w:cs="宋体"/>
                <w:b/>
                <w:sz w:val="21"/>
                <w:szCs w:val="21"/>
              </w:rPr>
            </w:pPr>
            <w:r>
              <w:rPr>
                <w:rFonts w:hint="eastAsia" w:ascii="宋体" w:hAnsi="宋体" w:eastAsia="宋体" w:cs="宋体"/>
                <w:b/>
                <w:sz w:val="21"/>
                <w:szCs w:val="21"/>
              </w:rPr>
              <w:t>9</w:t>
            </w:r>
          </w:p>
        </w:tc>
        <w:tc>
          <w:tcPr>
            <w:tcW w:w="913" w:type="dxa"/>
            <w:vMerge w:val="restart"/>
            <w:noWrap w:val="0"/>
            <w:vAlign w:val="center"/>
          </w:tcPr>
          <w:p w14:paraId="575B1672">
            <w:pPr>
              <w:widowControl/>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信号屏蔽器</w:t>
            </w:r>
          </w:p>
        </w:tc>
        <w:tc>
          <w:tcPr>
            <w:tcW w:w="7050" w:type="dxa"/>
            <w:noWrap w:val="0"/>
            <w:vAlign w:val="center"/>
          </w:tcPr>
          <w:p w14:paraId="5CC9593A">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1、功能：屏蔽手机2G+3G+4G+5G+wifi+蓝牙+热点，屏蔽窃听监听；</w:t>
            </w:r>
          </w:p>
        </w:tc>
      </w:tr>
      <w:tr w14:paraId="4015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1" w:type="dxa"/>
            <w:vMerge w:val="continue"/>
            <w:noWrap w:val="0"/>
            <w:vAlign w:val="center"/>
          </w:tcPr>
          <w:p w14:paraId="68613CA4">
            <w:pPr>
              <w:widowControl/>
              <w:spacing w:line="360" w:lineRule="auto"/>
              <w:jc w:val="left"/>
            </w:pPr>
          </w:p>
        </w:tc>
        <w:tc>
          <w:tcPr>
            <w:tcW w:w="913" w:type="dxa"/>
            <w:vMerge w:val="continue"/>
            <w:noWrap w:val="0"/>
            <w:vAlign w:val="center"/>
          </w:tcPr>
          <w:p w14:paraId="4D27CCA8">
            <w:pPr>
              <w:widowControl/>
              <w:spacing w:line="360" w:lineRule="auto"/>
              <w:jc w:val="left"/>
            </w:pPr>
          </w:p>
        </w:tc>
        <w:tc>
          <w:tcPr>
            <w:tcW w:w="7050" w:type="dxa"/>
            <w:noWrap w:val="0"/>
            <w:vAlign w:val="center"/>
          </w:tcPr>
          <w:p w14:paraId="14A09E5B">
            <w:pPr>
              <w:widowControl/>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2、覆盖范围：20-30米（覆盖范围受基站影响会有所不同）；</w:t>
            </w:r>
          </w:p>
        </w:tc>
      </w:tr>
      <w:tr w14:paraId="33826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1" w:type="dxa"/>
            <w:vMerge w:val="continue"/>
            <w:noWrap w:val="0"/>
            <w:vAlign w:val="center"/>
          </w:tcPr>
          <w:p w14:paraId="7A294308">
            <w:pPr>
              <w:widowControl/>
              <w:spacing w:line="360" w:lineRule="auto"/>
              <w:jc w:val="left"/>
              <w:rPr>
                <w:rFonts w:hint="eastAsia" w:ascii="宋体" w:hAnsi="宋体" w:eastAsia="宋体" w:cs="宋体"/>
                <w:color w:val="000000"/>
                <w:sz w:val="21"/>
                <w:szCs w:val="21"/>
              </w:rPr>
            </w:pPr>
          </w:p>
        </w:tc>
        <w:tc>
          <w:tcPr>
            <w:tcW w:w="913" w:type="dxa"/>
            <w:vMerge w:val="continue"/>
            <w:noWrap w:val="0"/>
            <w:vAlign w:val="center"/>
          </w:tcPr>
          <w:p w14:paraId="1FB2DEF1">
            <w:pPr>
              <w:widowControl/>
              <w:spacing w:line="360" w:lineRule="auto"/>
              <w:jc w:val="left"/>
              <w:rPr>
                <w:rFonts w:hint="eastAsia" w:ascii="宋体" w:hAnsi="宋体" w:eastAsia="宋体" w:cs="宋体"/>
                <w:color w:val="000000"/>
                <w:sz w:val="21"/>
                <w:szCs w:val="21"/>
              </w:rPr>
            </w:pPr>
          </w:p>
        </w:tc>
        <w:tc>
          <w:tcPr>
            <w:tcW w:w="7050" w:type="dxa"/>
            <w:noWrap w:val="0"/>
            <w:vAlign w:val="center"/>
          </w:tcPr>
          <w:p w14:paraId="47309A9C">
            <w:pPr>
              <w:widowControl/>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3、功率：≥90W；</w:t>
            </w:r>
          </w:p>
        </w:tc>
      </w:tr>
      <w:tr w14:paraId="3A52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791" w:type="dxa"/>
            <w:vMerge w:val="continue"/>
            <w:noWrap w:val="0"/>
            <w:vAlign w:val="center"/>
          </w:tcPr>
          <w:p w14:paraId="3284D9FE">
            <w:pPr>
              <w:widowControl/>
              <w:spacing w:line="360" w:lineRule="auto"/>
              <w:jc w:val="left"/>
              <w:rPr>
                <w:rFonts w:hint="eastAsia" w:ascii="宋体" w:hAnsi="宋体" w:eastAsia="宋体" w:cs="宋体"/>
                <w:color w:val="000000"/>
                <w:sz w:val="21"/>
                <w:szCs w:val="21"/>
              </w:rPr>
            </w:pPr>
          </w:p>
        </w:tc>
        <w:tc>
          <w:tcPr>
            <w:tcW w:w="913" w:type="dxa"/>
            <w:vMerge w:val="continue"/>
            <w:noWrap w:val="0"/>
            <w:vAlign w:val="center"/>
          </w:tcPr>
          <w:p w14:paraId="1AB0E627">
            <w:pPr>
              <w:widowControl/>
              <w:spacing w:line="360" w:lineRule="auto"/>
              <w:jc w:val="left"/>
              <w:rPr>
                <w:rFonts w:hint="eastAsia" w:ascii="宋体" w:hAnsi="宋体" w:eastAsia="宋体" w:cs="宋体"/>
                <w:color w:val="000000"/>
                <w:sz w:val="21"/>
                <w:szCs w:val="21"/>
              </w:rPr>
            </w:pPr>
          </w:p>
        </w:tc>
        <w:tc>
          <w:tcPr>
            <w:tcW w:w="7050" w:type="dxa"/>
            <w:noWrap w:val="0"/>
            <w:vAlign w:val="center"/>
          </w:tcPr>
          <w:p w14:paraId="0593FFE2">
            <w:pPr>
              <w:widowControl/>
              <w:spacing w:line="360" w:lineRule="auto"/>
              <w:jc w:val="left"/>
              <w:rPr>
                <w:rFonts w:hint="eastAsia" w:ascii="宋体" w:hAnsi="宋体" w:eastAsia="宋体" w:cs="宋体"/>
                <w:color w:val="000000"/>
                <w:sz w:val="21"/>
                <w:szCs w:val="21"/>
              </w:rPr>
            </w:pPr>
            <w:r>
              <w:rPr>
                <w:rFonts w:hint="eastAsia" w:ascii="宋体" w:hAnsi="宋体" w:eastAsia="宋体" w:cs="宋体"/>
                <w:color w:val="000000"/>
                <w:sz w:val="21"/>
                <w:szCs w:val="21"/>
              </w:rPr>
              <w:t>4、电源：输入AC110-240V  输出DC5V；</w:t>
            </w:r>
          </w:p>
        </w:tc>
      </w:tr>
      <w:tr w14:paraId="143F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91" w:type="dxa"/>
            <w:vMerge w:val="restart"/>
            <w:noWrap w:val="0"/>
            <w:vAlign w:val="center"/>
          </w:tcPr>
          <w:p w14:paraId="29096AB2">
            <w:pPr>
              <w:jc w:val="center"/>
              <w:rPr>
                <w:rFonts w:hint="eastAsia" w:ascii="宋体" w:hAnsi="宋体" w:eastAsia="宋体" w:cs="宋体"/>
                <w:b/>
                <w:sz w:val="21"/>
                <w:szCs w:val="21"/>
              </w:rPr>
            </w:pPr>
            <w:r>
              <w:rPr>
                <w:rFonts w:hint="eastAsia" w:ascii="宋体" w:hAnsi="宋体" w:eastAsia="宋体" w:cs="宋体"/>
                <w:b/>
                <w:sz w:val="21"/>
                <w:szCs w:val="21"/>
              </w:rPr>
              <w:t>10</w:t>
            </w:r>
          </w:p>
        </w:tc>
        <w:tc>
          <w:tcPr>
            <w:tcW w:w="913" w:type="dxa"/>
            <w:vMerge w:val="restart"/>
            <w:noWrap w:val="0"/>
            <w:vAlign w:val="center"/>
          </w:tcPr>
          <w:p w14:paraId="0BF3CEF7">
            <w:pPr>
              <w:widowControl/>
              <w:spacing w:line="360" w:lineRule="auto"/>
              <w:jc w:val="center"/>
              <w:rPr>
                <w:rFonts w:hint="eastAsia" w:ascii="宋体" w:hAnsi="宋体" w:eastAsia="宋体" w:cs="宋体"/>
                <w:sz w:val="21"/>
                <w:szCs w:val="21"/>
              </w:rPr>
            </w:pPr>
            <w:bookmarkStart w:id="146" w:name="_GoBack"/>
            <w:r>
              <w:rPr>
                <w:rFonts w:hint="eastAsia" w:ascii="宋体" w:hAnsi="宋体" w:eastAsia="宋体" w:cs="宋体"/>
                <w:b/>
                <w:bCs/>
                <w:sz w:val="21"/>
                <w:szCs w:val="21"/>
              </w:rPr>
              <w:t>巡考摄像头</w:t>
            </w:r>
            <w:bookmarkEnd w:id="146"/>
          </w:p>
        </w:tc>
        <w:tc>
          <w:tcPr>
            <w:tcW w:w="7050" w:type="dxa"/>
            <w:noWrap w:val="0"/>
            <w:vAlign w:val="center"/>
          </w:tcPr>
          <w:p w14:paraId="5586F20B">
            <w:pPr>
              <w:widowControl/>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rPr>
              <w:t>1、支持双镜头拼接，水平视场角≥180°，画面比例≥20:9</w:t>
            </w:r>
            <w:r>
              <w:rPr>
                <w:rFonts w:hint="eastAsia" w:ascii="宋体" w:hAnsi="宋体" w:eastAsia="宋体" w:cs="宋体"/>
                <w:sz w:val="21"/>
                <w:szCs w:val="21"/>
                <w:lang w:eastAsia="zh-CN"/>
              </w:rPr>
              <w:t>。</w:t>
            </w:r>
          </w:p>
        </w:tc>
      </w:tr>
      <w:tr w14:paraId="7D43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91" w:type="dxa"/>
            <w:vMerge w:val="continue"/>
            <w:noWrap w:val="0"/>
            <w:vAlign w:val="center"/>
          </w:tcPr>
          <w:p w14:paraId="703CC6A9">
            <w:pPr>
              <w:widowControl/>
              <w:spacing w:line="360" w:lineRule="auto"/>
              <w:jc w:val="left"/>
            </w:pPr>
          </w:p>
        </w:tc>
        <w:tc>
          <w:tcPr>
            <w:tcW w:w="913" w:type="dxa"/>
            <w:vMerge w:val="continue"/>
            <w:noWrap w:val="0"/>
            <w:vAlign w:val="center"/>
          </w:tcPr>
          <w:p w14:paraId="4AAAC85B">
            <w:pPr>
              <w:widowControl/>
              <w:spacing w:line="360" w:lineRule="auto"/>
              <w:jc w:val="left"/>
            </w:pPr>
          </w:p>
        </w:tc>
        <w:tc>
          <w:tcPr>
            <w:tcW w:w="7050" w:type="dxa"/>
            <w:noWrap w:val="0"/>
            <w:vAlign w:val="center"/>
          </w:tcPr>
          <w:p w14:paraId="0E7905D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2、最大分辨率3632 × 1632 @20 fps，水平分辨率不低于1400线。</w:t>
            </w:r>
          </w:p>
        </w:tc>
      </w:tr>
      <w:tr w14:paraId="5F30D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91" w:type="dxa"/>
            <w:vMerge w:val="continue"/>
            <w:noWrap w:val="0"/>
            <w:vAlign w:val="center"/>
          </w:tcPr>
          <w:p w14:paraId="4CFB4972">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07D7C054">
            <w:pPr>
              <w:widowControl/>
              <w:spacing w:line="360" w:lineRule="auto"/>
              <w:jc w:val="left"/>
              <w:rPr>
                <w:rFonts w:hint="eastAsia" w:ascii="宋体" w:hAnsi="宋体" w:eastAsia="宋体" w:cs="宋体"/>
                <w:sz w:val="21"/>
                <w:szCs w:val="21"/>
              </w:rPr>
            </w:pPr>
          </w:p>
        </w:tc>
        <w:tc>
          <w:tcPr>
            <w:tcW w:w="7050" w:type="dxa"/>
            <w:noWrap w:val="0"/>
            <w:vAlign w:val="center"/>
          </w:tcPr>
          <w:p w14:paraId="3AC459A3">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3、最低照度彩色：0.005 lx。</w:t>
            </w:r>
          </w:p>
        </w:tc>
      </w:tr>
      <w:tr w14:paraId="0D02B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91" w:type="dxa"/>
            <w:vMerge w:val="continue"/>
            <w:noWrap w:val="0"/>
            <w:vAlign w:val="center"/>
          </w:tcPr>
          <w:p w14:paraId="17EC3A2D">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3C2C9531">
            <w:pPr>
              <w:widowControl/>
              <w:spacing w:line="360" w:lineRule="auto"/>
              <w:jc w:val="left"/>
              <w:rPr>
                <w:rFonts w:hint="eastAsia" w:ascii="宋体" w:hAnsi="宋体" w:eastAsia="宋体" w:cs="宋体"/>
                <w:sz w:val="21"/>
                <w:szCs w:val="21"/>
              </w:rPr>
            </w:pPr>
          </w:p>
        </w:tc>
        <w:tc>
          <w:tcPr>
            <w:tcW w:w="7050" w:type="dxa"/>
            <w:noWrap w:val="0"/>
            <w:vAlign w:val="center"/>
          </w:tcPr>
          <w:p w14:paraId="618004E5">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4、调节角度：垂直：-75°~75°</w:t>
            </w:r>
          </w:p>
        </w:tc>
      </w:tr>
      <w:tr w14:paraId="125B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91" w:type="dxa"/>
            <w:vMerge w:val="continue"/>
            <w:noWrap w:val="0"/>
            <w:vAlign w:val="center"/>
          </w:tcPr>
          <w:p w14:paraId="3854FB7E">
            <w:pPr>
              <w:widowControl/>
              <w:spacing w:line="360" w:lineRule="auto"/>
              <w:jc w:val="left"/>
            </w:pPr>
          </w:p>
        </w:tc>
        <w:tc>
          <w:tcPr>
            <w:tcW w:w="913" w:type="dxa"/>
            <w:vMerge w:val="continue"/>
            <w:noWrap w:val="0"/>
            <w:vAlign w:val="center"/>
          </w:tcPr>
          <w:p w14:paraId="57F9B7F1">
            <w:pPr>
              <w:widowControl/>
              <w:spacing w:line="360" w:lineRule="auto"/>
              <w:jc w:val="left"/>
            </w:pPr>
          </w:p>
        </w:tc>
        <w:tc>
          <w:tcPr>
            <w:tcW w:w="7050" w:type="dxa"/>
            <w:noWrap w:val="0"/>
            <w:vAlign w:val="center"/>
          </w:tcPr>
          <w:p w14:paraId="636059C2">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5、摄像机水平视场角不小于180°，垂直视场角不小于81°</w:t>
            </w:r>
          </w:p>
        </w:tc>
      </w:tr>
      <w:tr w14:paraId="120A5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91" w:type="dxa"/>
            <w:vMerge w:val="continue"/>
            <w:noWrap w:val="0"/>
            <w:vAlign w:val="center"/>
          </w:tcPr>
          <w:p w14:paraId="3D003988">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6EA5B95C">
            <w:pPr>
              <w:widowControl/>
              <w:spacing w:line="360" w:lineRule="auto"/>
              <w:jc w:val="left"/>
              <w:rPr>
                <w:rFonts w:hint="eastAsia" w:ascii="宋体" w:hAnsi="宋体" w:eastAsia="宋体" w:cs="宋体"/>
                <w:sz w:val="21"/>
                <w:szCs w:val="21"/>
              </w:rPr>
            </w:pPr>
          </w:p>
        </w:tc>
        <w:tc>
          <w:tcPr>
            <w:tcW w:w="7050" w:type="dxa"/>
            <w:noWrap w:val="0"/>
            <w:vAlign w:val="center"/>
          </w:tcPr>
          <w:p w14:paraId="2A21B5FF">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6、相机可听清距离10m处声级不小于70dB的声音。支持手动调节进行-75°~75°旋转。</w:t>
            </w:r>
          </w:p>
        </w:tc>
      </w:tr>
      <w:tr w14:paraId="533F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91" w:type="dxa"/>
            <w:vMerge w:val="continue"/>
            <w:noWrap w:val="0"/>
            <w:vAlign w:val="center"/>
          </w:tcPr>
          <w:p w14:paraId="11959D2F">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7653D56C">
            <w:pPr>
              <w:widowControl/>
              <w:spacing w:line="360" w:lineRule="auto"/>
              <w:jc w:val="left"/>
              <w:rPr>
                <w:rFonts w:hint="eastAsia" w:ascii="宋体" w:hAnsi="宋体" w:eastAsia="宋体" w:cs="宋体"/>
                <w:sz w:val="21"/>
                <w:szCs w:val="21"/>
              </w:rPr>
            </w:pPr>
          </w:p>
        </w:tc>
        <w:tc>
          <w:tcPr>
            <w:tcW w:w="7050" w:type="dxa"/>
            <w:noWrap w:val="0"/>
            <w:vAlign w:val="center"/>
          </w:tcPr>
          <w:p w14:paraId="61D6C6FE">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7、内置不少于1个麦克风，1个扬声器，1个报警输入，1个报警输出，1个音频输入，1个音频输出接口。</w:t>
            </w:r>
          </w:p>
        </w:tc>
      </w:tr>
      <w:tr w14:paraId="0F83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91" w:type="dxa"/>
            <w:vMerge w:val="continue"/>
            <w:noWrap w:val="0"/>
            <w:vAlign w:val="center"/>
          </w:tcPr>
          <w:p w14:paraId="41DE1A9F">
            <w:pPr>
              <w:widowControl/>
              <w:spacing w:line="360" w:lineRule="auto"/>
              <w:jc w:val="left"/>
            </w:pPr>
          </w:p>
        </w:tc>
        <w:tc>
          <w:tcPr>
            <w:tcW w:w="913" w:type="dxa"/>
            <w:vMerge w:val="continue"/>
            <w:noWrap w:val="0"/>
            <w:vAlign w:val="center"/>
          </w:tcPr>
          <w:p w14:paraId="2BEA2894">
            <w:pPr>
              <w:widowControl/>
              <w:spacing w:line="360" w:lineRule="auto"/>
              <w:jc w:val="left"/>
            </w:pPr>
          </w:p>
        </w:tc>
        <w:tc>
          <w:tcPr>
            <w:tcW w:w="7050" w:type="dxa"/>
            <w:noWrap w:val="0"/>
            <w:vAlign w:val="center"/>
          </w:tcPr>
          <w:p w14:paraId="5B7A18BD">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8、红外补光时可识别不小于30米处的人体。</w:t>
            </w:r>
          </w:p>
        </w:tc>
      </w:tr>
      <w:tr w14:paraId="05A2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791" w:type="dxa"/>
            <w:vMerge w:val="continue"/>
            <w:noWrap w:val="0"/>
            <w:vAlign w:val="center"/>
          </w:tcPr>
          <w:p w14:paraId="0BDA7BFD">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1693BCAF">
            <w:pPr>
              <w:widowControl/>
              <w:spacing w:line="360" w:lineRule="auto"/>
              <w:jc w:val="left"/>
              <w:rPr>
                <w:rFonts w:hint="eastAsia" w:ascii="宋体" w:hAnsi="宋体" w:eastAsia="宋体" w:cs="宋体"/>
                <w:sz w:val="21"/>
                <w:szCs w:val="21"/>
              </w:rPr>
            </w:pPr>
          </w:p>
        </w:tc>
        <w:tc>
          <w:tcPr>
            <w:tcW w:w="7050" w:type="dxa"/>
            <w:noWrap w:val="0"/>
            <w:vAlign w:val="center"/>
          </w:tcPr>
          <w:p w14:paraId="38441652">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9、支持DC12V和POE供电。</w:t>
            </w:r>
          </w:p>
        </w:tc>
      </w:tr>
      <w:tr w14:paraId="747E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91" w:type="dxa"/>
            <w:vMerge w:val="restart"/>
            <w:noWrap w:val="0"/>
            <w:vAlign w:val="center"/>
          </w:tcPr>
          <w:p w14:paraId="6A8E8F85">
            <w:pPr>
              <w:jc w:val="center"/>
              <w:rPr>
                <w:rFonts w:hint="eastAsia" w:ascii="宋体" w:hAnsi="宋体" w:eastAsia="宋体" w:cs="宋体"/>
                <w:b/>
                <w:sz w:val="21"/>
                <w:szCs w:val="21"/>
              </w:rPr>
            </w:pPr>
            <w:r>
              <w:rPr>
                <w:rFonts w:hint="eastAsia" w:ascii="宋体" w:hAnsi="宋体" w:eastAsia="宋体" w:cs="宋体"/>
                <w:b/>
                <w:sz w:val="21"/>
                <w:szCs w:val="21"/>
              </w:rPr>
              <w:t>11</w:t>
            </w:r>
          </w:p>
        </w:tc>
        <w:tc>
          <w:tcPr>
            <w:tcW w:w="913" w:type="dxa"/>
            <w:vMerge w:val="restart"/>
            <w:noWrap w:val="0"/>
            <w:vAlign w:val="center"/>
          </w:tcPr>
          <w:p w14:paraId="094FE873">
            <w:pPr>
              <w:widowControl/>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显卡</w:t>
            </w:r>
          </w:p>
        </w:tc>
        <w:tc>
          <w:tcPr>
            <w:tcW w:w="7050" w:type="dxa"/>
            <w:noWrap w:val="0"/>
            <w:vAlign w:val="center"/>
          </w:tcPr>
          <w:p w14:paraId="528B0618">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1、GPU：≥双宽GPU卡；</w:t>
            </w:r>
          </w:p>
        </w:tc>
      </w:tr>
      <w:tr w14:paraId="3616A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91" w:type="dxa"/>
            <w:vMerge w:val="continue"/>
            <w:noWrap w:val="0"/>
            <w:vAlign w:val="center"/>
          </w:tcPr>
          <w:p w14:paraId="1950B170">
            <w:pPr>
              <w:widowControl/>
              <w:spacing w:line="360" w:lineRule="auto"/>
              <w:jc w:val="left"/>
            </w:pPr>
          </w:p>
        </w:tc>
        <w:tc>
          <w:tcPr>
            <w:tcW w:w="913" w:type="dxa"/>
            <w:vMerge w:val="continue"/>
            <w:noWrap w:val="0"/>
            <w:vAlign w:val="center"/>
          </w:tcPr>
          <w:p w14:paraId="06AB048B">
            <w:pPr>
              <w:widowControl/>
              <w:spacing w:line="360" w:lineRule="auto"/>
              <w:jc w:val="left"/>
              <w:rPr>
                <w:b/>
                <w:bCs/>
              </w:rPr>
            </w:pPr>
          </w:p>
        </w:tc>
        <w:tc>
          <w:tcPr>
            <w:tcW w:w="7050" w:type="dxa"/>
            <w:noWrap w:val="0"/>
            <w:vAlign w:val="center"/>
          </w:tcPr>
          <w:p w14:paraId="7E9EE88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2、流处理器(管线)≥5888；</w:t>
            </w:r>
          </w:p>
        </w:tc>
      </w:tr>
      <w:tr w14:paraId="618A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91" w:type="dxa"/>
            <w:vMerge w:val="continue"/>
            <w:noWrap w:val="0"/>
            <w:vAlign w:val="center"/>
          </w:tcPr>
          <w:p w14:paraId="0E35D2E9">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1F0FDDDF">
            <w:pPr>
              <w:widowControl/>
              <w:spacing w:line="360" w:lineRule="auto"/>
              <w:jc w:val="left"/>
              <w:rPr>
                <w:rFonts w:hint="eastAsia" w:ascii="宋体" w:hAnsi="宋体" w:eastAsia="宋体" w:cs="宋体"/>
                <w:b/>
                <w:bCs/>
                <w:sz w:val="21"/>
                <w:szCs w:val="21"/>
              </w:rPr>
            </w:pPr>
          </w:p>
        </w:tc>
        <w:tc>
          <w:tcPr>
            <w:tcW w:w="7050" w:type="dxa"/>
            <w:noWrap w:val="0"/>
            <w:vAlign w:val="center"/>
          </w:tcPr>
          <w:p w14:paraId="2FECB120">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3、显存容量≥12GB；</w:t>
            </w:r>
          </w:p>
        </w:tc>
      </w:tr>
      <w:tr w14:paraId="6B53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91" w:type="dxa"/>
            <w:vMerge w:val="continue"/>
            <w:noWrap w:val="0"/>
            <w:vAlign w:val="center"/>
          </w:tcPr>
          <w:p w14:paraId="4256BB00">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462B9D77">
            <w:pPr>
              <w:widowControl/>
              <w:spacing w:line="360" w:lineRule="auto"/>
              <w:jc w:val="left"/>
              <w:rPr>
                <w:rFonts w:hint="eastAsia" w:ascii="宋体" w:hAnsi="宋体" w:eastAsia="宋体" w:cs="宋体"/>
                <w:b/>
                <w:bCs/>
                <w:sz w:val="21"/>
                <w:szCs w:val="21"/>
              </w:rPr>
            </w:pPr>
          </w:p>
        </w:tc>
        <w:tc>
          <w:tcPr>
            <w:tcW w:w="7050" w:type="dxa"/>
            <w:noWrap w:val="0"/>
            <w:vAlign w:val="center"/>
          </w:tcPr>
          <w:p w14:paraId="46450197">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4、显存带宽≥504 GB/S；</w:t>
            </w:r>
          </w:p>
        </w:tc>
      </w:tr>
      <w:tr w14:paraId="414F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91" w:type="dxa"/>
            <w:vMerge w:val="continue"/>
            <w:noWrap w:val="0"/>
            <w:vAlign w:val="center"/>
          </w:tcPr>
          <w:p w14:paraId="04C66FF1">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21210F77">
            <w:pPr>
              <w:widowControl/>
              <w:spacing w:line="360" w:lineRule="auto"/>
              <w:jc w:val="left"/>
              <w:rPr>
                <w:rFonts w:hint="eastAsia" w:ascii="宋体" w:hAnsi="宋体" w:eastAsia="宋体" w:cs="宋体"/>
                <w:b/>
                <w:bCs/>
                <w:sz w:val="21"/>
                <w:szCs w:val="21"/>
              </w:rPr>
            </w:pPr>
          </w:p>
        </w:tc>
        <w:tc>
          <w:tcPr>
            <w:tcW w:w="7050" w:type="dxa"/>
            <w:noWrap w:val="0"/>
            <w:vAlign w:val="center"/>
          </w:tcPr>
          <w:p w14:paraId="79FD5E0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5、显存位宽≥192 bit；</w:t>
            </w:r>
          </w:p>
        </w:tc>
      </w:tr>
      <w:tr w14:paraId="76630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91" w:type="dxa"/>
            <w:vMerge w:val="continue"/>
            <w:noWrap w:val="0"/>
            <w:vAlign w:val="center"/>
          </w:tcPr>
          <w:p w14:paraId="6A423A95">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248F3ECF">
            <w:pPr>
              <w:widowControl/>
              <w:spacing w:line="360" w:lineRule="auto"/>
              <w:jc w:val="left"/>
              <w:rPr>
                <w:rFonts w:hint="eastAsia" w:ascii="宋体" w:hAnsi="宋体" w:eastAsia="宋体" w:cs="宋体"/>
                <w:b/>
                <w:bCs/>
                <w:sz w:val="21"/>
                <w:szCs w:val="21"/>
              </w:rPr>
            </w:pPr>
          </w:p>
        </w:tc>
        <w:tc>
          <w:tcPr>
            <w:tcW w:w="7050" w:type="dxa"/>
            <w:noWrap w:val="0"/>
            <w:vAlign w:val="center"/>
          </w:tcPr>
          <w:p w14:paraId="3CFF48FC">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6、显存频率≥1313 MHZ；</w:t>
            </w:r>
          </w:p>
        </w:tc>
      </w:tr>
      <w:tr w14:paraId="2688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91" w:type="dxa"/>
            <w:vMerge w:val="continue"/>
            <w:noWrap w:val="0"/>
            <w:vAlign w:val="center"/>
          </w:tcPr>
          <w:p w14:paraId="1D7916D4">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42DCC19B">
            <w:pPr>
              <w:widowControl/>
              <w:spacing w:line="360" w:lineRule="auto"/>
              <w:jc w:val="left"/>
              <w:rPr>
                <w:rFonts w:hint="eastAsia" w:ascii="宋体" w:hAnsi="宋体" w:eastAsia="宋体" w:cs="宋体"/>
                <w:b/>
                <w:bCs/>
                <w:sz w:val="21"/>
                <w:szCs w:val="21"/>
              </w:rPr>
            </w:pPr>
          </w:p>
        </w:tc>
        <w:tc>
          <w:tcPr>
            <w:tcW w:w="7050" w:type="dxa"/>
            <w:noWrap w:val="0"/>
            <w:vAlign w:val="center"/>
          </w:tcPr>
          <w:p w14:paraId="7CE6B887">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7、核心频率≥1920 MHz；</w:t>
            </w:r>
          </w:p>
        </w:tc>
      </w:tr>
      <w:tr w14:paraId="36BB0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91" w:type="dxa"/>
            <w:vMerge w:val="continue"/>
            <w:noWrap w:val="0"/>
            <w:vAlign w:val="center"/>
          </w:tcPr>
          <w:p w14:paraId="77BAE1E3">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669EAEAB">
            <w:pPr>
              <w:widowControl/>
              <w:spacing w:line="360" w:lineRule="auto"/>
              <w:jc w:val="left"/>
              <w:rPr>
                <w:rFonts w:hint="eastAsia" w:ascii="宋体" w:hAnsi="宋体" w:eastAsia="宋体" w:cs="宋体"/>
                <w:b/>
                <w:bCs/>
                <w:sz w:val="21"/>
                <w:szCs w:val="21"/>
              </w:rPr>
            </w:pPr>
          </w:p>
        </w:tc>
        <w:tc>
          <w:tcPr>
            <w:tcW w:w="7050" w:type="dxa"/>
            <w:noWrap w:val="0"/>
            <w:vAlign w:val="center"/>
          </w:tcPr>
          <w:p w14:paraId="260AFCE3">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8、动态频率≥2475 MHz；</w:t>
            </w:r>
          </w:p>
        </w:tc>
      </w:tr>
      <w:tr w14:paraId="473E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91" w:type="dxa"/>
            <w:vMerge w:val="restart"/>
            <w:noWrap w:val="0"/>
            <w:vAlign w:val="center"/>
          </w:tcPr>
          <w:p w14:paraId="0CADA8BF">
            <w:pPr>
              <w:jc w:val="center"/>
              <w:rPr>
                <w:rFonts w:hint="eastAsia" w:ascii="宋体" w:hAnsi="宋体" w:eastAsia="宋体" w:cs="宋体"/>
                <w:b/>
                <w:sz w:val="21"/>
                <w:szCs w:val="21"/>
              </w:rPr>
            </w:pPr>
            <w:r>
              <w:rPr>
                <w:rFonts w:hint="eastAsia" w:ascii="宋体" w:hAnsi="宋体" w:eastAsia="宋体" w:cs="宋体"/>
                <w:b/>
                <w:sz w:val="21"/>
                <w:szCs w:val="21"/>
              </w:rPr>
              <w:t>12</w:t>
            </w:r>
          </w:p>
        </w:tc>
        <w:tc>
          <w:tcPr>
            <w:tcW w:w="913" w:type="dxa"/>
            <w:vMerge w:val="restart"/>
            <w:noWrap w:val="0"/>
            <w:vAlign w:val="center"/>
          </w:tcPr>
          <w:p w14:paraId="29886581">
            <w:pPr>
              <w:widowControl/>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隔音机柜</w:t>
            </w:r>
          </w:p>
        </w:tc>
        <w:tc>
          <w:tcPr>
            <w:tcW w:w="7050" w:type="dxa"/>
            <w:noWrap w:val="0"/>
            <w:vAlign w:val="center"/>
          </w:tcPr>
          <w:p w14:paraId="308C3BDB">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1、≥12U隔音机柜</w:t>
            </w:r>
          </w:p>
        </w:tc>
      </w:tr>
      <w:tr w14:paraId="7A70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791" w:type="dxa"/>
            <w:vMerge w:val="continue"/>
            <w:noWrap w:val="0"/>
            <w:vAlign w:val="center"/>
          </w:tcPr>
          <w:p w14:paraId="1D3BEB92">
            <w:pPr>
              <w:widowControl/>
              <w:spacing w:line="360" w:lineRule="auto"/>
              <w:jc w:val="left"/>
            </w:pPr>
          </w:p>
        </w:tc>
        <w:tc>
          <w:tcPr>
            <w:tcW w:w="913" w:type="dxa"/>
            <w:vMerge w:val="continue"/>
            <w:noWrap w:val="0"/>
            <w:vAlign w:val="center"/>
          </w:tcPr>
          <w:p w14:paraId="6AC26F7D">
            <w:pPr>
              <w:widowControl/>
              <w:spacing w:line="360" w:lineRule="auto"/>
              <w:jc w:val="left"/>
            </w:pPr>
          </w:p>
        </w:tc>
        <w:tc>
          <w:tcPr>
            <w:tcW w:w="7050" w:type="dxa"/>
            <w:noWrap w:val="0"/>
            <w:vAlign w:val="center"/>
          </w:tcPr>
          <w:p w14:paraId="1040B6D4">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2、可降低噪音分贝效果≥35%</w:t>
            </w:r>
          </w:p>
        </w:tc>
      </w:tr>
      <w:tr w14:paraId="5DF3A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91" w:type="dxa"/>
            <w:vMerge w:val="restart"/>
            <w:noWrap w:val="0"/>
            <w:vAlign w:val="center"/>
          </w:tcPr>
          <w:p w14:paraId="539A413C">
            <w:pPr>
              <w:jc w:val="center"/>
              <w:rPr>
                <w:rFonts w:hint="eastAsia" w:ascii="宋体" w:hAnsi="宋体" w:eastAsia="宋体" w:cs="宋体"/>
                <w:b/>
                <w:sz w:val="21"/>
                <w:szCs w:val="21"/>
              </w:rPr>
            </w:pPr>
            <w:r>
              <w:rPr>
                <w:rFonts w:hint="eastAsia" w:ascii="宋体" w:hAnsi="宋体" w:eastAsia="宋体" w:cs="宋体"/>
                <w:b/>
                <w:sz w:val="21"/>
                <w:szCs w:val="21"/>
              </w:rPr>
              <w:t>13</w:t>
            </w:r>
          </w:p>
        </w:tc>
        <w:tc>
          <w:tcPr>
            <w:tcW w:w="913" w:type="dxa"/>
            <w:vMerge w:val="restart"/>
            <w:noWrap w:val="0"/>
            <w:vAlign w:val="center"/>
          </w:tcPr>
          <w:p w14:paraId="74A11094">
            <w:pPr>
              <w:widowControl/>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存储设备</w:t>
            </w:r>
          </w:p>
        </w:tc>
        <w:tc>
          <w:tcPr>
            <w:tcW w:w="7050" w:type="dxa"/>
            <w:noWrap w:val="0"/>
            <w:vAlign w:val="center"/>
          </w:tcPr>
          <w:p w14:paraId="0A44CAF6">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1、NVR总资源为满负载条件下的接入带宽≥400Mbps、存储带宽≥400Mbps、转发带宽≥400Mbps、回放带宽≥400Mbps，接入路数：≥64路</w:t>
            </w:r>
          </w:p>
        </w:tc>
      </w:tr>
      <w:tr w14:paraId="725FE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791" w:type="dxa"/>
            <w:vMerge w:val="continue"/>
            <w:noWrap w:val="0"/>
            <w:vAlign w:val="center"/>
          </w:tcPr>
          <w:p w14:paraId="114D48DA">
            <w:pPr>
              <w:widowControl/>
              <w:spacing w:line="360" w:lineRule="auto"/>
              <w:jc w:val="left"/>
            </w:pPr>
          </w:p>
        </w:tc>
        <w:tc>
          <w:tcPr>
            <w:tcW w:w="913" w:type="dxa"/>
            <w:vMerge w:val="continue"/>
            <w:noWrap w:val="0"/>
            <w:vAlign w:val="center"/>
          </w:tcPr>
          <w:p w14:paraId="5A8F6A71">
            <w:pPr>
              <w:widowControl/>
              <w:spacing w:line="360" w:lineRule="auto"/>
              <w:jc w:val="left"/>
            </w:pPr>
          </w:p>
        </w:tc>
        <w:tc>
          <w:tcPr>
            <w:tcW w:w="7050" w:type="dxa"/>
            <w:noWrap w:val="0"/>
            <w:vAlign w:val="center"/>
          </w:tcPr>
          <w:p w14:paraId="0BEB34E6">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2、支持设备状态查看，包含网卡速度信息、云存储是否启用、主机存储信息（包含硬盘状态和录像状态）、通道信息（包含在线状态、相机存储状态、相机录像计划状态）、答卷视频信息（包含正常、已生成、缺失、已上传、补录中、上传失败等不同状态的答卷的数量）</w:t>
            </w:r>
          </w:p>
        </w:tc>
      </w:tr>
      <w:tr w14:paraId="67C0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791" w:type="dxa"/>
            <w:vMerge w:val="continue"/>
            <w:noWrap w:val="0"/>
            <w:vAlign w:val="center"/>
          </w:tcPr>
          <w:p w14:paraId="3DBD36E5">
            <w:pPr>
              <w:widowControl/>
              <w:spacing w:line="360" w:lineRule="auto"/>
              <w:jc w:val="left"/>
            </w:pPr>
          </w:p>
        </w:tc>
        <w:tc>
          <w:tcPr>
            <w:tcW w:w="913" w:type="dxa"/>
            <w:vMerge w:val="continue"/>
            <w:noWrap w:val="0"/>
            <w:vAlign w:val="center"/>
          </w:tcPr>
          <w:p w14:paraId="4476B4AA">
            <w:pPr>
              <w:widowControl/>
              <w:spacing w:line="360" w:lineRule="auto"/>
              <w:jc w:val="left"/>
            </w:pPr>
          </w:p>
        </w:tc>
        <w:tc>
          <w:tcPr>
            <w:tcW w:w="7050" w:type="dxa"/>
            <w:noWrap w:val="0"/>
            <w:vAlign w:val="center"/>
          </w:tcPr>
          <w:p w14:paraId="266D9FB3">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3、支持至少两块备份盘；备份盘支持热插拔，可保存MP4文件的视频，并且可以通过前面板按键快速将原始视频进行备份</w:t>
            </w:r>
          </w:p>
        </w:tc>
      </w:tr>
      <w:tr w14:paraId="53C3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791" w:type="dxa"/>
            <w:vMerge w:val="continue"/>
            <w:noWrap w:val="0"/>
            <w:vAlign w:val="center"/>
          </w:tcPr>
          <w:p w14:paraId="3857F05B">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30AC3099">
            <w:pPr>
              <w:widowControl/>
              <w:spacing w:line="360" w:lineRule="auto"/>
              <w:jc w:val="left"/>
              <w:rPr>
                <w:rFonts w:hint="eastAsia" w:ascii="宋体" w:hAnsi="宋体" w:eastAsia="宋体" w:cs="宋体"/>
                <w:sz w:val="21"/>
                <w:szCs w:val="21"/>
              </w:rPr>
            </w:pPr>
          </w:p>
        </w:tc>
        <w:tc>
          <w:tcPr>
            <w:tcW w:w="7050" w:type="dxa"/>
            <w:noWrap w:val="0"/>
            <w:vAlign w:val="center"/>
          </w:tcPr>
          <w:p w14:paraId="066EC450">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4、支持答卷视频查询功能，可通过筛选通道、时间、答卷状态、转存储状态查询对应的视频文件，支持修改相机的录像计划，与主机同步、全天录像、停止录像；支持考试场次计划信息展示</w:t>
            </w:r>
          </w:p>
        </w:tc>
      </w:tr>
      <w:tr w14:paraId="2AB7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791" w:type="dxa"/>
            <w:vMerge w:val="continue"/>
            <w:noWrap w:val="0"/>
            <w:vAlign w:val="center"/>
          </w:tcPr>
          <w:p w14:paraId="75CDF547">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3ADCBC2E">
            <w:pPr>
              <w:widowControl/>
              <w:spacing w:line="360" w:lineRule="auto"/>
              <w:jc w:val="left"/>
              <w:rPr>
                <w:rFonts w:hint="eastAsia" w:ascii="宋体" w:hAnsi="宋体" w:eastAsia="宋体" w:cs="宋体"/>
                <w:sz w:val="21"/>
                <w:szCs w:val="21"/>
              </w:rPr>
            </w:pPr>
          </w:p>
        </w:tc>
        <w:tc>
          <w:tcPr>
            <w:tcW w:w="7050" w:type="dxa"/>
            <w:noWrap w:val="0"/>
            <w:vAlign w:val="center"/>
          </w:tcPr>
          <w:p w14:paraId="2D40EF6C">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5、前面板为1个≥7英寸液晶屏，可通过前面板按键进行操作，预览视频图像、录像回放、查看系统信息以及配置参数</w:t>
            </w:r>
          </w:p>
        </w:tc>
      </w:tr>
      <w:tr w14:paraId="0F04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791" w:type="dxa"/>
            <w:vMerge w:val="continue"/>
            <w:noWrap w:val="0"/>
            <w:vAlign w:val="center"/>
          </w:tcPr>
          <w:p w14:paraId="50490667">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7F4ACF0C">
            <w:pPr>
              <w:widowControl/>
              <w:spacing w:line="360" w:lineRule="auto"/>
              <w:jc w:val="left"/>
              <w:rPr>
                <w:rFonts w:hint="eastAsia" w:ascii="宋体" w:hAnsi="宋体" w:eastAsia="宋体" w:cs="宋体"/>
                <w:sz w:val="21"/>
                <w:szCs w:val="21"/>
              </w:rPr>
            </w:pPr>
          </w:p>
        </w:tc>
        <w:tc>
          <w:tcPr>
            <w:tcW w:w="7050" w:type="dxa"/>
            <w:noWrap w:val="0"/>
            <w:vAlign w:val="center"/>
          </w:tcPr>
          <w:p w14:paraId="4D601B53">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6、支持接入具有断网续传功能的网络摄像机，当设备与摄像机之间网络中断并恢复后，可自动接收摄像机内存储的视频图像</w:t>
            </w:r>
          </w:p>
        </w:tc>
      </w:tr>
      <w:tr w14:paraId="23A9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791" w:type="dxa"/>
            <w:vMerge w:val="continue"/>
            <w:noWrap w:val="0"/>
            <w:vAlign w:val="center"/>
          </w:tcPr>
          <w:p w14:paraId="0590DDA1">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3996D897">
            <w:pPr>
              <w:widowControl/>
              <w:spacing w:line="360" w:lineRule="auto"/>
              <w:jc w:val="left"/>
              <w:rPr>
                <w:rFonts w:hint="eastAsia" w:ascii="宋体" w:hAnsi="宋体" w:eastAsia="宋体" w:cs="宋体"/>
                <w:sz w:val="21"/>
                <w:szCs w:val="21"/>
              </w:rPr>
            </w:pPr>
          </w:p>
        </w:tc>
        <w:tc>
          <w:tcPr>
            <w:tcW w:w="7050" w:type="dxa"/>
            <w:noWrap w:val="0"/>
            <w:vAlign w:val="center"/>
          </w:tcPr>
          <w:p w14:paraId="5CB27640">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7、具有双电源，支持电源模块热插拔</w:t>
            </w:r>
          </w:p>
        </w:tc>
      </w:tr>
      <w:tr w14:paraId="60A8D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791" w:type="dxa"/>
            <w:vMerge w:val="continue"/>
            <w:noWrap w:val="0"/>
            <w:vAlign w:val="center"/>
          </w:tcPr>
          <w:p w14:paraId="3F1D63FC">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17FACA9A">
            <w:pPr>
              <w:widowControl/>
              <w:spacing w:line="360" w:lineRule="auto"/>
              <w:jc w:val="left"/>
              <w:rPr>
                <w:rFonts w:hint="eastAsia" w:ascii="宋体" w:hAnsi="宋体" w:eastAsia="宋体" w:cs="宋体"/>
                <w:sz w:val="21"/>
                <w:szCs w:val="21"/>
              </w:rPr>
            </w:pPr>
          </w:p>
        </w:tc>
        <w:tc>
          <w:tcPr>
            <w:tcW w:w="7050" w:type="dxa"/>
            <w:noWrap w:val="0"/>
            <w:vAlign w:val="center"/>
          </w:tcPr>
          <w:p w14:paraId="59B4298E">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8、支持6个 SATA 接口，其中2 个前置SATA接口，支持硬盘快速插拔，可用于标准MP4文件转换与备份；</w:t>
            </w:r>
          </w:p>
        </w:tc>
      </w:tr>
      <w:tr w14:paraId="06DB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791" w:type="dxa"/>
            <w:vMerge w:val="continue"/>
            <w:noWrap w:val="0"/>
            <w:vAlign w:val="center"/>
          </w:tcPr>
          <w:p w14:paraId="7A606DB2">
            <w:pPr>
              <w:widowControl/>
              <w:spacing w:line="360" w:lineRule="auto"/>
              <w:jc w:val="left"/>
              <w:rPr>
                <w:rFonts w:hint="eastAsia" w:ascii="宋体" w:hAnsi="宋体" w:eastAsia="宋体" w:cs="宋体"/>
                <w:sz w:val="21"/>
                <w:szCs w:val="21"/>
              </w:rPr>
            </w:pPr>
          </w:p>
        </w:tc>
        <w:tc>
          <w:tcPr>
            <w:tcW w:w="913" w:type="dxa"/>
            <w:vMerge w:val="continue"/>
            <w:noWrap w:val="0"/>
            <w:vAlign w:val="center"/>
          </w:tcPr>
          <w:p w14:paraId="5CFA0E49">
            <w:pPr>
              <w:widowControl/>
              <w:spacing w:line="360" w:lineRule="auto"/>
              <w:jc w:val="left"/>
              <w:rPr>
                <w:rFonts w:hint="eastAsia" w:ascii="宋体" w:hAnsi="宋体" w:eastAsia="宋体" w:cs="宋体"/>
                <w:sz w:val="21"/>
                <w:szCs w:val="21"/>
              </w:rPr>
            </w:pPr>
          </w:p>
        </w:tc>
        <w:tc>
          <w:tcPr>
            <w:tcW w:w="7050" w:type="dxa"/>
            <w:noWrap w:val="0"/>
            <w:vAlign w:val="center"/>
          </w:tcPr>
          <w:p w14:paraId="7E3AF358">
            <w:pPr>
              <w:widowControl/>
              <w:spacing w:line="360" w:lineRule="auto"/>
              <w:jc w:val="left"/>
              <w:rPr>
                <w:rFonts w:hint="eastAsia" w:ascii="宋体" w:hAnsi="宋体" w:eastAsia="宋体" w:cs="宋体"/>
                <w:sz w:val="21"/>
                <w:szCs w:val="21"/>
              </w:rPr>
            </w:pPr>
            <w:r>
              <w:rPr>
                <w:rFonts w:hint="eastAsia" w:ascii="宋体" w:hAnsi="宋体" w:eastAsia="宋体" w:cs="宋体"/>
                <w:sz w:val="21"/>
                <w:szCs w:val="21"/>
              </w:rPr>
              <w:t>9、本次配置≥2块7200RPM 传输速率≥255 MB/s的4TB硬盘，≥7200RPM，支持≥5年有限质保服务，支持硬盘配额和硬盘盘组两种存储模式，可对不同通道分配不同的录像保存容量或周期；</w:t>
            </w:r>
          </w:p>
        </w:tc>
      </w:tr>
    </w:tbl>
    <w:p w14:paraId="5211D162">
      <w:pPr>
        <w:widowControl w:val="0"/>
        <w:jc w:val="both"/>
        <w:rPr>
          <w:rFonts w:ascii="Calibri" w:hAnsi="Calibri" w:eastAsia="宋体"/>
          <w:bCs/>
          <w:kern w:val="2"/>
          <w:sz w:val="21"/>
          <w:szCs w:val="21"/>
          <w:lang w:eastAsia="zh-CN"/>
        </w:rPr>
      </w:pPr>
    </w:p>
    <w:p w14:paraId="3DDEAA8A">
      <w:pPr>
        <w:keepNext/>
        <w:keepLines/>
        <w:widowControl w:val="0"/>
        <w:spacing w:before="120" w:beforeLines="50" w:after="120" w:afterLines="50" w:line="416" w:lineRule="auto"/>
        <w:jc w:val="center"/>
        <w:outlineLvl w:val="2"/>
        <w:rPr>
          <w:rFonts w:hint="eastAsia" w:ascii="宋体" w:hAnsi="宋体" w:eastAsia="宋体"/>
          <w:b/>
          <w:bCs/>
          <w:kern w:val="2"/>
          <w:sz w:val="28"/>
          <w:szCs w:val="28"/>
          <w:highlight w:val="yellow"/>
          <w:lang w:eastAsia="zh-CN"/>
        </w:rPr>
      </w:pPr>
      <w:r>
        <w:rPr>
          <w:rFonts w:hint="eastAsia" w:ascii="宋体" w:hAnsi="宋体" w:eastAsia="宋体" w:cstheme="minorBidi"/>
          <w:b/>
          <w:bCs/>
          <w:kern w:val="2"/>
          <w:sz w:val="28"/>
          <w:szCs w:val="28"/>
          <w:lang w:eastAsia="zh-CN"/>
        </w:rPr>
        <w:t>六、付款方式</w:t>
      </w:r>
    </w:p>
    <w:p w14:paraId="33F88CD5">
      <w:pPr>
        <w:spacing w:before="60" w:beforeLines="25" w:after="60" w:afterLines="25" w:line="360" w:lineRule="auto"/>
        <w:ind w:firstLine="392" w:firstLineChars="187"/>
        <w:rPr>
          <w:rFonts w:hint="eastAsia" w:ascii="宋体" w:hAnsi="宋体" w:cs="宋体"/>
          <w:sz w:val="21"/>
          <w:szCs w:val="21"/>
          <w:lang w:bidi="ar"/>
        </w:rPr>
      </w:pPr>
      <w:r>
        <w:rPr>
          <w:rFonts w:hint="eastAsia" w:ascii="宋体" w:hAnsi="宋体" w:cs="宋体"/>
          <w:sz w:val="21"/>
          <w:szCs w:val="21"/>
          <w:lang w:bidi="ar"/>
        </w:rPr>
        <w:t>1、合同签订后，全部货物送到采购人指定地点、完成安装后，于 2025年1月份采购人向中标供应商支付合同总价40%的首款项:于 2025年4月份采购人向中标供应商支付合同总价40%的次款项。</w:t>
      </w:r>
    </w:p>
    <w:p w14:paraId="27E2A5A8">
      <w:pPr>
        <w:spacing w:before="60" w:beforeLines="25" w:after="60" w:afterLines="25" w:line="360" w:lineRule="auto"/>
        <w:ind w:firstLine="392" w:firstLineChars="187"/>
        <w:rPr>
          <w:rFonts w:hint="eastAsia" w:ascii="宋体" w:hAnsi="宋体" w:cs="宋体"/>
          <w:sz w:val="21"/>
          <w:szCs w:val="21"/>
          <w:lang w:bidi="ar"/>
        </w:rPr>
      </w:pPr>
      <w:r>
        <w:rPr>
          <w:rFonts w:hint="eastAsia" w:ascii="宋体" w:hAnsi="宋体" w:cs="宋体"/>
          <w:sz w:val="21"/>
          <w:szCs w:val="21"/>
          <w:lang w:bidi="ar"/>
        </w:rPr>
        <w:t>2、2025年7月份(中考后)全部货物验收合格后15个工作日内，采购人向中标供应商支付合同总价20%的尾款项。</w:t>
      </w:r>
    </w:p>
    <w:p w14:paraId="4C0928EE">
      <w:pPr>
        <w:spacing w:before="60" w:beforeLines="25" w:after="60" w:afterLines="25" w:line="360" w:lineRule="auto"/>
        <w:ind w:firstLine="392" w:firstLineChars="187"/>
        <w:rPr>
          <w:rFonts w:hint="eastAsia" w:ascii="宋体" w:hAnsi="宋体" w:cs="宋体"/>
          <w:sz w:val="21"/>
          <w:szCs w:val="21"/>
          <w:lang w:bidi="ar"/>
        </w:rPr>
      </w:pPr>
      <w:r>
        <w:rPr>
          <w:rFonts w:hint="eastAsia" w:ascii="宋体" w:hAnsi="宋体" w:eastAsia="宋体" w:cs="宋体"/>
          <w:sz w:val="21"/>
          <w:szCs w:val="21"/>
          <w:lang w:eastAsia="zh-CN" w:bidi="ar"/>
        </w:rPr>
        <w:t>3、</w:t>
      </w:r>
      <w:r>
        <w:rPr>
          <w:rFonts w:hint="eastAsia" w:ascii="宋体" w:hAnsi="宋体" w:cs="宋体"/>
          <w:sz w:val="21"/>
          <w:szCs w:val="21"/>
          <w:lang w:bidi="ar"/>
        </w:rPr>
        <w:t>因财政资金拨款未到位而导致甲方未在约定期限内支付合同费用的，中标供应商不得要求采购人承担逾期付款的违约责任。每次付款前，中标供应商应需先提供相应额度的正规发票给采购人，以便办理支付手续</w:t>
      </w:r>
    </w:p>
    <w:p w14:paraId="738FEB9C">
      <w:pPr>
        <w:keepNext/>
        <w:keepLines/>
        <w:widowControl w:val="0"/>
        <w:numPr>
          <w:ilvl w:val="0"/>
          <w:numId w:val="0"/>
        </w:numPr>
        <w:spacing w:before="120" w:beforeLines="50" w:after="120" w:afterLines="50" w:line="416" w:lineRule="auto"/>
        <w:ind w:left="0" w:firstLine="0"/>
        <w:jc w:val="center"/>
        <w:outlineLvl w:val="2"/>
        <w:rPr>
          <w:rFonts w:hint="eastAsia" w:ascii="宋体" w:hAnsi="宋体" w:eastAsia="宋体"/>
          <w:b/>
          <w:bCs/>
          <w:kern w:val="2"/>
          <w:sz w:val="28"/>
          <w:szCs w:val="28"/>
          <w:lang w:eastAsia="zh-CN"/>
        </w:rPr>
      </w:pPr>
      <w:r>
        <w:rPr>
          <w:rFonts w:hint="eastAsia" w:ascii="宋体" w:hAnsi="宋体" w:eastAsia="宋体" w:cstheme="minorBidi"/>
          <w:b/>
          <w:bCs/>
          <w:kern w:val="2"/>
          <w:sz w:val="28"/>
          <w:szCs w:val="28"/>
          <w:lang w:eastAsia="zh-CN"/>
        </w:rPr>
        <w:t>七、投标报价要求</w:t>
      </w:r>
    </w:p>
    <w:p w14:paraId="5D9ADB31">
      <w:pPr>
        <w:spacing w:line="360" w:lineRule="auto"/>
        <w:ind w:firstLine="392" w:firstLineChars="187"/>
        <w:rPr>
          <w:rFonts w:hint="eastAsia" w:ascii="宋体" w:hAnsi="宋体"/>
          <w:sz w:val="21"/>
          <w:szCs w:val="21"/>
        </w:rPr>
      </w:pPr>
      <w:r>
        <w:rPr>
          <w:rFonts w:hint="eastAsia" w:ascii="宋体" w:hAnsi="宋体"/>
          <w:sz w:val="21"/>
          <w:szCs w:val="21"/>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14:paraId="7C4BA676">
      <w:pPr>
        <w:spacing w:line="360" w:lineRule="auto"/>
        <w:ind w:firstLine="392" w:firstLineChars="187"/>
        <w:rPr>
          <w:rFonts w:hint="eastAsia" w:ascii="宋体" w:hAnsi="宋体"/>
          <w:sz w:val="21"/>
          <w:szCs w:val="21"/>
        </w:rPr>
      </w:pPr>
      <w:r>
        <w:rPr>
          <w:rFonts w:hint="eastAsia" w:ascii="宋体" w:hAnsi="宋体"/>
          <w:sz w:val="21"/>
          <w:szCs w:val="21"/>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14:paraId="0D00B44A">
      <w:pPr>
        <w:spacing w:line="360" w:lineRule="auto"/>
        <w:ind w:firstLine="392" w:firstLineChars="187"/>
        <w:rPr>
          <w:rFonts w:hint="eastAsia" w:ascii="宋体" w:hAnsi="宋体"/>
          <w:sz w:val="21"/>
          <w:szCs w:val="21"/>
        </w:rPr>
      </w:pPr>
      <w:r>
        <w:rPr>
          <w:rFonts w:hint="eastAsia" w:ascii="宋体" w:hAnsi="宋体"/>
          <w:sz w:val="21"/>
          <w:szCs w:val="21"/>
          <w:lang w:eastAsia="zh-CN"/>
        </w:rPr>
        <w:t>3</w:t>
      </w:r>
      <w:r>
        <w:rPr>
          <w:rFonts w:hint="eastAsia" w:ascii="宋体" w:hAnsi="宋体"/>
          <w:sz w:val="21"/>
          <w:szCs w:val="21"/>
        </w:rPr>
        <w:t>、投标人的投标报价不得超过财政预算限额，如设投标最高限价的，报价不得超过最高限价；</w:t>
      </w:r>
    </w:p>
    <w:p w14:paraId="69BA1ACB">
      <w:pPr>
        <w:spacing w:line="360" w:lineRule="auto"/>
        <w:ind w:firstLine="392" w:firstLineChars="187"/>
        <w:rPr>
          <w:rFonts w:hint="eastAsia" w:ascii="宋体" w:hAnsi="宋体"/>
          <w:sz w:val="21"/>
          <w:szCs w:val="21"/>
        </w:rPr>
      </w:pPr>
      <w:r>
        <w:rPr>
          <w:rFonts w:hint="eastAsia" w:ascii="宋体" w:hAnsi="宋体"/>
          <w:sz w:val="21"/>
          <w:szCs w:val="21"/>
          <w:lang w:eastAsia="zh-CN"/>
        </w:rPr>
        <w:t>4</w:t>
      </w:r>
      <w:r>
        <w:rPr>
          <w:rFonts w:hint="eastAsia" w:ascii="宋体" w:hAnsi="宋体"/>
          <w:sz w:val="21"/>
          <w:szCs w:val="21"/>
        </w:rPr>
        <w:t>、投标人的投标报价，应是本项目采购范围和采购文件及合同条款上所列的各项内容中所述的全部，不得以任何理由予以重复，并以投标人在中提出的综合单价或总价为依据；</w:t>
      </w:r>
    </w:p>
    <w:p w14:paraId="00DBFDF8">
      <w:pPr>
        <w:spacing w:line="360" w:lineRule="auto"/>
        <w:ind w:firstLine="392" w:firstLineChars="187"/>
        <w:rPr>
          <w:rFonts w:hint="eastAsia" w:ascii="宋体" w:hAnsi="宋体"/>
          <w:sz w:val="21"/>
          <w:szCs w:val="21"/>
        </w:rPr>
      </w:pPr>
      <w:r>
        <w:rPr>
          <w:rFonts w:hint="eastAsia" w:ascii="宋体" w:hAnsi="宋体"/>
          <w:sz w:val="21"/>
          <w:szCs w:val="21"/>
          <w:lang w:eastAsia="zh-CN"/>
        </w:rPr>
        <w:t>5</w:t>
      </w:r>
      <w:r>
        <w:rPr>
          <w:rFonts w:hint="eastAsia" w:ascii="宋体" w:hAnsi="宋体"/>
          <w:sz w:val="21"/>
          <w:szCs w:val="21"/>
        </w:rPr>
        <w:t>、除非社会代理机构通过修改采购文件予以更正，否则，投标人应毫无例外地按采购文件所列的清单中项目和数量填报综合单价和合价。投标人未填综合单价或合价的项目，视作该项费用已包括在其它有价款的综合单价或合价内；</w:t>
      </w:r>
    </w:p>
    <w:p w14:paraId="687D6BDA">
      <w:pPr>
        <w:spacing w:line="360" w:lineRule="auto"/>
        <w:ind w:firstLine="392" w:firstLineChars="187"/>
        <w:rPr>
          <w:rFonts w:hint="eastAsia" w:ascii="宋体" w:hAnsi="宋体"/>
          <w:sz w:val="21"/>
          <w:szCs w:val="21"/>
        </w:rPr>
      </w:pPr>
      <w:r>
        <w:rPr>
          <w:rFonts w:hint="eastAsia" w:ascii="宋体" w:hAnsi="宋体"/>
          <w:sz w:val="21"/>
          <w:szCs w:val="21"/>
          <w:lang w:eastAsia="zh-CN"/>
        </w:rPr>
        <w:t>6</w:t>
      </w:r>
      <w:r>
        <w:rPr>
          <w:rFonts w:hint="eastAsia" w:ascii="宋体" w:hAnsi="宋体"/>
          <w:sz w:val="21"/>
          <w:szCs w:val="21"/>
        </w:rPr>
        <w:t>、投标人应先到项目地点踏勘以充分了解项目的位置、情况、道路及任何其它足以影响投标报价的情况，任何因忽视或误解项目情况而导致的索赔或服务期限延长申请将不获批准；</w:t>
      </w:r>
    </w:p>
    <w:p w14:paraId="35973F25">
      <w:pPr>
        <w:spacing w:line="360" w:lineRule="auto"/>
        <w:ind w:firstLine="392" w:firstLineChars="187"/>
        <w:rPr>
          <w:rFonts w:hint="eastAsia" w:ascii="宋体" w:hAnsi="宋体"/>
          <w:sz w:val="21"/>
          <w:szCs w:val="21"/>
        </w:rPr>
      </w:pPr>
      <w:r>
        <w:rPr>
          <w:rFonts w:hint="eastAsia" w:ascii="宋体" w:hAnsi="宋体"/>
          <w:sz w:val="21"/>
          <w:szCs w:val="21"/>
          <w:lang w:eastAsia="zh-CN"/>
        </w:rPr>
        <w:t>7</w:t>
      </w:r>
      <w:r>
        <w:rPr>
          <w:rFonts w:hint="eastAsia" w:ascii="宋体" w:hAnsi="宋体"/>
          <w:sz w:val="21"/>
          <w:szCs w:val="21"/>
        </w:rPr>
        <w:t>、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14:paraId="46DC984D">
      <w:pPr>
        <w:spacing w:before="60" w:beforeLines="25" w:after="60" w:afterLines="25"/>
        <w:ind w:firstLine="392" w:firstLineChars="187"/>
        <w:rPr>
          <w:rFonts w:hint="eastAsia" w:ascii="宋体" w:hAnsi="宋体" w:cs="宋体"/>
          <w:sz w:val="21"/>
          <w:szCs w:val="21"/>
          <w:lang w:bidi="ar"/>
        </w:rPr>
      </w:pPr>
    </w:p>
    <w:p w14:paraId="1EB1467D">
      <w:pPr>
        <w:keepNext/>
        <w:keepLines/>
        <w:widowControl w:val="0"/>
        <w:spacing w:before="120" w:beforeLines="50" w:after="120" w:afterLines="50" w:line="416" w:lineRule="auto"/>
        <w:jc w:val="center"/>
        <w:outlineLvl w:val="2"/>
        <w:rPr>
          <w:rFonts w:hint="eastAsia" w:ascii="宋体" w:hAnsi="宋体" w:eastAsia="宋体"/>
          <w:b/>
          <w:bCs/>
          <w:kern w:val="2"/>
          <w:sz w:val="28"/>
          <w:szCs w:val="28"/>
          <w:lang w:eastAsia="zh-CN"/>
        </w:rPr>
      </w:pPr>
      <w:r>
        <w:rPr>
          <w:rFonts w:hint="eastAsia" w:ascii="宋体" w:hAnsi="宋体" w:eastAsia="宋体" w:cstheme="minorBidi"/>
          <w:b/>
          <w:bCs/>
          <w:kern w:val="2"/>
          <w:sz w:val="28"/>
          <w:szCs w:val="28"/>
          <w:lang w:eastAsia="zh-CN"/>
        </w:rPr>
        <w:t>八、注意事项</w:t>
      </w:r>
    </w:p>
    <w:p w14:paraId="2174C716">
      <w:pPr>
        <w:spacing w:line="360" w:lineRule="auto"/>
        <w:ind w:firstLine="392" w:firstLineChars="187"/>
        <w:rPr>
          <w:rFonts w:ascii="宋体" w:hAnsi="宋体"/>
          <w:sz w:val="21"/>
          <w:szCs w:val="21"/>
        </w:rPr>
      </w:pPr>
      <w:r>
        <w:rPr>
          <w:rFonts w:hint="eastAsia" w:ascii="宋体" w:hAnsi="宋体"/>
          <w:sz w:val="21"/>
          <w:szCs w:val="21"/>
        </w:rPr>
        <w:t>1、中标供应商</w:t>
      </w:r>
      <w:r>
        <w:rPr>
          <w:rFonts w:ascii="宋体" w:hAnsi="宋体"/>
          <w:sz w:val="21"/>
          <w:szCs w:val="21"/>
        </w:rPr>
        <w:t>不得将项目非法分包或转包给任何单位和个人。否则，采购单位有权即刻终止合同，并要求</w:t>
      </w:r>
      <w:r>
        <w:rPr>
          <w:rFonts w:hint="eastAsia" w:ascii="宋体" w:hAnsi="宋体"/>
          <w:sz w:val="21"/>
          <w:szCs w:val="21"/>
        </w:rPr>
        <w:t>中标供应商</w:t>
      </w:r>
      <w:r>
        <w:rPr>
          <w:rFonts w:ascii="宋体" w:hAnsi="宋体"/>
          <w:sz w:val="21"/>
          <w:szCs w:val="21"/>
        </w:rPr>
        <w:t>赔偿相应损失。</w:t>
      </w:r>
    </w:p>
    <w:p w14:paraId="65C8689B">
      <w:pPr>
        <w:spacing w:line="360" w:lineRule="auto"/>
        <w:ind w:firstLine="392" w:firstLineChars="187"/>
        <w:rPr>
          <w:rFonts w:ascii="宋体" w:hAnsi="宋体"/>
          <w:sz w:val="21"/>
          <w:szCs w:val="21"/>
        </w:rPr>
      </w:pPr>
      <w:r>
        <w:rPr>
          <w:rFonts w:hint="eastAsia" w:ascii="宋体" w:hAnsi="宋体"/>
          <w:sz w:val="21"/>
          <w:szCs w:val="21"/>
        </w:rPr>
        <w:t>2、投标人使用的标准必须是国际公认或国家、或地方政府颁布的同等或更高的标准，如投标人使用的标准低于上述标准,评审委员会将有权不予接受，投标人必须列表将明显的差异详细说明。</w:t>
      </w:r>
    </w:p>
    <w:p w14:paraId="164CEFCB">
      <w:pPr>
        <w:spacing w:line="360" w:lineRule="auto"/>
        <w:ind w:firstLine="420" w:firstLineChars="200"/>
        <w:rPr>
          <w:rFonts w:hint="eastAsia"/>
          <w:sz w:val="21"/>
          <w:szCs w:val="21"/>
        </w:rPr>
      </w:pPr>
      <w:r>
        <w:rPr>
          <w:rFonts w:hint="eastAsia"/>
          <w:sz w:val="21"/>
          <w:szCs w:val="21"/>
        </w:rPr>
        <w:t>3、供应商须在质疑期内一次性提出针对同一采购程序环节的质疑。</w:t>
      </w:r>
    </w:p>
    <w:p w14:paraId="7A9B541C">
      <w:pPr>
        <w:widowControl w:val="0"/>
        <w:ind w:firstLine="420" w:firstLineChars="200"/>
        <w:jc w:val="both"/>
        <w:rPr>
          <w:rFonts w:ascii="Calibri" w:hAnsi="Calibri" w:eastAsia="宋体"/>
          <w:bCs/>
          <w:kern w:val="2"/>
          <w:sz w:val="21"/>
          <w:szCs w:val="21"/>
          <w:lang w:eastAsia="zh-CN"/>
        </w:rPr>
      </w:pPr>
    </w:p>
    <w:p w14:paraId="42084ED8">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79B06F91">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721FA50E">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54FD8B2C">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1C4A05A4">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62392639">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3BEE194D">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240A6C95">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2E08A184">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5471CF93">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06BA12A1">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04A1FBA1">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7BD6ECAD">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45DDDF66">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2BC538DE">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134AAAEA">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08A1636A">
      <w:pPr>
        <w:widowControl w:val="0"/>
        <w:spacing w:after="120" w:line="240" w:lineRule="auto"/>
        <w:ind w:left="480" w:leftChars="200" w:firstLine="420" w:firstLineChars="200"/>
        <w:jc w:val="both"/>
        <w:rPr>
          <w:rFonts w:ascii="Calibri" w:hAnsi="Calibri" w:eastAsia="宋体"/>
          <w:kern w:val="2"/>
          <w:sz w:val="21"/>
          <w:szCs w:val="22"/>
          <w:lang w:eastAsia="zh-CN"/>
        </w:rPr>
      </w:pPr>
    </w:p>
    <w:p w14:paraId="5A995205">
      <w:pPr>
        <w:keepNext/>
        <w:keepLines/>
        <w:widowControl w:val="0"/>
        <w:adjustRightInd w:val="0"/>
        <w:spacing w:line="320" w:lineRule="atLeast"/>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4478287F">
      <w:pPr>
        <w:widowControl w:val="0"/>
        <w:spacing w:line="360" w:lineRule="auto"/>
        <w:jc w:val="both"/>
        <w:rPr>
          <w:rFonts w:ascii="Calibri" w:hAnsi="Calibri" w:eastAsia="宋体"/>
          <w:b/>
          <w:bCs/>
          <w:kern w:val="2"/>
          <w:szCs w:val="22"/>
          <w:lang w:eastAsia="zh-CN"/>
        </w:rPr>
      </w:pPr>
      <w:bookmarkStart w:id="14" w:name="_Hlk72257167"/>
    </w:p>
    <w:bookmarkEnd w:id="14"/>
    <w:p w14:paraId="7AE99299">
      <w:pPr>
        <w:widowControl/>
        <w:spacing w:line="320" w:lineRule="atLeast"/>
        <w:jc w:val="left"/>
        <w:outlineLvl w:val="2"/>
        <w:rPr>
          <w:rFonts w:ascii="宋体" w:hAnsi="宋体" w:eastAsia="黑体"/>
          <w:bCs/>
          <w:kern w:val="44"/>
          <w:lang w:eastAsia="zh-CN"/>
        </w:rPr>
      </w:pPr>
      <w:r>
        <w:rPr>
          <w:rFonts w:hint="eastAsia" w:ascii="宋体" w:hAnsi="宋体" w:eastAsia="黑体"/>
          <w:bCs/>
          <w:kern w:val="44"/>
          <w:lang w:eastAsia="zh-CN"/>
        </w:rPr>
        <w:t>投标文件组成：</w:t>
      </w:r>
    </w:p>
    <w:p w14:paraId="03136A31">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bookmarkStart w:id="15" w:name="_Hlk72257771"/>
      <w:r>
        <w:rPr>
          <w:rFonts w:hint="eastAsia"/>
        </w:rPr>
        <w:t>（1）投标函</w:t>
      </w:r>
    </w:p>
    <w:p w14:paraId="38F301B5">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（2）龙华区教育局自行采购投标及履约承诺函</w:t>
      </w:r>
    </w:p>
    <w:p w14:paraId="588C77DE">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（3）投标人情况及资格证明文件</w:t>
      </w:r>
    </w:p>
    <w:p w14:paraId="7C61CF0D">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（4）分项报价清单</w:t>
      </w:r>
    </w:p>
    <w:p w14:paraId="7D6281EF">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（5）股东构成审查表</w:t>
      </w:r>
    </w:p>
    <w:p w14:paraId="46D14C22">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（6）法定代表人（负责人）证明书</w:t>
      </w:r>
    </w:p>
    <w:p w14:paraId="67E701ED">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（7）投标文件签署授权委托书</w:t>
      </w:r>
    </w:p>
    <w:p w14:paraId="1B1C8405">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（8）实质性条款响应情况表</w:t>
      </w:r>
    </w:p>
    <w:p w14:paraId="36AD9C07">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（9）技术要求偏离表</w:t>
      </w:r>
    </w:p>
    <w:p w14:paraId="6FEF281A">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（10）商务要求偏离表</w:t>
      </w:r>
    </w:p>
    <w:p w14:paraId="45525CB4">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（11）技术保障措施</w:t>
      </w:r>
    </w:p>
    <w:p w14:paraId="401D35DC">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（12）</w:t>
      </w:r>
      <w:r>
        <w:rPr>
          <w:rFonts w:hint="eastAsia" w:ascii="宋体" w:hAnsi="宋体" w:cs="宋体"/>
        </w:rPr>
        <w:t>售后服务方案</w:t>
      </w:r>
    </w:p>
    <w:p w14:paraId="415B026A">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（13）拟安排的项目负责人情况(仅限1人)</w:t>
      </w:r>
    </w:p>
    <w:p w14:paraId="2D237B1D">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（14）</w:t>
      </w:r>
      <w:r>
        <w:rPr>
          <w:rFonts w:hint="eastAsia" w:ascii="宋体" w:hAnsi="宋体" w:cs="宋体"/>
        </w:rPr>
        <w:t>拟安排的项目主要团队成员（主要技术人员）情况（项目负责人除外）</w:t>
      </w:r>
    </w:p>
    <w:p w14:paraId="594D2FDF">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rPr>
      </w:pPr>
      <w:r>
        <w:rPr>
          <w:rFonts w:hint="eastAsia"/>
        </w:rPr>
        <w:t>（15）</w:t>
      </w:r>
      <w:r>
        <w:rPr>
          <w:rFonts w:hint="eastAsia" w:ascii="宋体" w:hAnsi="宋体" w:cs="宋体"/>
        </w:rPr>
        <w:t>同类项目业绩</w:t>
      </w:r>
    </w:p>
    <w:p w14:paraId="2802BA3C">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ascii="宋体" w:hAnsi="宋体" w:cs="宋体"/>
        </w:rPr>
      </w:pPr>
      <w:r>
        <w:rPr>
          <w:rFonts w:hint="eastAsia"/>
        </w:rPr>
        <w:t>（1</w:t>
      </w:r>
      <w:r>
        <w:rPr>
          <w:rFonts w:hint="eastAsia" w:eastAsia="宋体"/>
          <w:lang w:eastAsia="zh-CN"/>
        </w:rPr>
        <w:t>6</w:t>
      </w:r>
      <w:r>
        <w:rPr>
          <w:rFonts w:hint="eastAsia"/>
        </w:rPr>
        <w:t>）</w:t>
      </w:r>
      <w:r>
        <w:rPr>
          <w:rFonts w:hint="eastAsia" w:ascii="宋体" w:hAnsi="宋体" w:cs="宋体"/>
        </w:rPr>
        <w:t>投标人认证情况</w:t>
      </w:r>
    </w:p>
    <w:p w14:paraId="51F3AFE0">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ascii="宋体" w:hAnsi="宋体" w:cs="宋体"/>
        </w:rPr>
      </w:pPr>
      <w:r>
        <w:rPr>
          <w:rFonts w:hint="eastAsia"/>
        </w:rPr>
        <w:t>（1</w:t>
      </w:r>
      <w:r>
        <w:rPr>
          <w:rFonts w:hint="eastAsia" w:eastAsia="宋体"/>
          <w:lang w:eastAsia="zh-CN"/>
        </w:rPr>
        <w:t>7</w:t>
      </w:r>
      <w:r>
        <w:rPr>
          <w:rFonts w:hint="eastAsia"/>
        </w:rPr>
        <w:t>）</w:t>
      </w:r>
      <w:r>
        <w:rPr>
          <w:rFonts w:hint="eastAsia" w:ascii="宋体" w:hAnsi="宋体" w:cs="宋体"/>
        </w:rPr>
        <w:t>投标人荣誉情况</w:t>
      </w:r>
    </w:p>
    <w:p w14:paraId="01A404D3">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ascii="宋体" w:hAnsi="宋体" w:cs="宋体"/>
        </w:rPr>
      </w:pPr>
      <w:r>
        <w:rPr>
          <w:rFonts w:hint="eastAsia"/>
        </w:rPr>
        <w:t>（1</w:t>
      </w:r>
      <w:r>
        <w:rPr>
          <w:rFonts w:hint="eastAsia" w:eastAsia="宋体"/>
          <w:lang w:eastAsia="zh-CN"/>
        </w:rPr>
        <w:t>8</w:t>
      </w:r>
      <w:r>
        <w:rPr>
          <w:rFonts w:hint="eastAsia"/>
        </w:rPr>
        <w:t>）</w:t>
      </w:r>
      <w:r>
        <w:rPr>
          <w:rFonts w:hint="eastAsia" w:ascii="宋体" w:hAnsi="宋体" w:cs="宋体"/>
        </w:rPr>
        <w:t>投标人自主知识产权产品（创新、设计）情况</w:t>
      </w:r>
    </w:p>
    <w:p w14:paraId="64540DAC">
      <w:pPr>
        <w:keepNext w:val="0"/>
        <w:keepLines w:val="0"/>
        <w:pageBreakBefore w:val="0"/>
        <w:widowControl/>
        <w:kinsoku/>
        <w:wordWrap/>
        <w:overflowPunct/>
        <w:topLinePunct w:val="0"/>
        <w:autoSpaceDE/>
        <w:autoSpaceDN/>
        <w:bidi w:val="0"/>
        <w:adjustRightInd/>
        <w:snapToGrid/>
        <w:ind w:firstLine="960" w:firstLineChars="400"/>
        <w:textAlignment w:val="auto"/>
        <w:rPr>
          <w:rFonts w:hint="eastAsia" w:ascii="宋体" w:hAnsi="宋体" w:cs="宋体"/>
        </w:rPr>
      </w:pPr>
      <w:r>
        <w:rPr>
          <w:rFonts w:hint="eastAsia"/>
        </w:rPr>
        <w:t>（</w:t>
      </w:r>
      <w:r>
        <w:rPr>
          <w:rFonts w:hint="eastAsia" w:eastAsia="宋体"/>
          <w:lang w:eastAsia="zh-CN"/>
        </w:rPr>
        <w:t>19</w:t>
      </w:r>
      <w:r>
        <w:rPr>
          <w:rFonts w:hint="eastAsia"/>
        </w:rPr>
        <w:t>）</w:t>
      </w:r>
      <w:r>
        <w:rPr>
          <w:rFonts w:hint="eastAsia" w:ascii="宋体" w:hAnsi="宋体" w:cs="宋体"/>
        </w:rPr>
        <w:t>诚信情况</w:t>
      </w:r>
    </w:p>
    <w:p w14:paraId="0E42B4F1">
      <w:pPr>
        <w:keepNext w:val="0"/>
        <w:keepLines w:val="0"/>
        <w:pageBreakBefore w:val="0"/>
        <w:widowControl/>
        <w:kinsoku/>
        <w:wordWrap/>
        <w:overflowPunct/>
        <w:topLinePunct w:val="0"/>
        <w:autoSpaceDE/>
        <w:autoSpaceDN/>
        <w:bidi w:val="0"/>
        <w:adjustRightInd/>
        <w:snapToGrid/>
        <w:ind w:firstLine="960" w:firstLineChars="400"/>
        <w:textAlignment w:val="auto"/>
      </w:pPr>
      <w:r>
        <w:rPr>
          <w:rFonts w:hint="eastAsia"/>
        </w:rPr>
        <w:t>（</w:t>
      </w:r>
      <w:r>
        <w:rPr>
          <w:rFonts w:hint="eastAsia" w:eastAsia="宋体"/>
          <w:lang w:eastAsia="zh-CN"/>
        </w:rPr>
        <w:t>20</w:t>
      </w:r>
      <w:r>
        <w:rPr>
          <w:rFonts w:hint="eastAsia"/>
        </w:rPr>
        <w:t>）投标人认为需要加以说明的其他内容</w:t>
      </w:r>
    </w:p>
    <w:p w14:paraId="30ED7BA1">
      <w:pPr>
        <w:widowControl w:val="0"/>
        <w:spacing w:line="320" w:lineRule="atLeast"/>
        <w:jc w:val="both"/>
        <w:rPr>
          <w:rFonts w:ascii="宋体" w:hAnsi="宋体" w:eastAsia="宋体"/>
          <w:b/>
          <w:kern w:val="2"/>
          <w:lang w:eastAsia="zh-CN"/>
        </w:rPr>
      </w:pPr>
      <w:r>
        <w:rPr>
          <w:rFonts w:hint="eastAsia" w:ascii="宋体" w:hAnsi="宋体" w:eastAsia="宋体" w:cstheme="minorBidi"/>
          <w:b/>
          <w:kern w:val="2"/>
          <w:lang w:eastAsia="zh-CN"/>
        </w:rPr>
        <w:t>备注：</w:t>
      </w:r>
    </w:p>
    <w:p w14:paraId="15456E33">
      <w:pPr>
        <w:widowControl w:val="0"/>
        <w:snapToGrid w:val="0"/>
        <w:spacing w:line="320" w:lineRule="atLeast"/>
        <w:ind w:firstLine="482" w:firstLineChars="200"/>
        <w:jc w:val="both"/>
        <w:rPr>
          <w:rFonts w:ascii="宋体" w:hAnsi="宋体" w:eastAsia="宋体"/>
          <w:b/>
          <w:kern w:val="2"/>
          <w:lang w:eastAsia="zh-CN"/>
        </w:rPr>
      </w:pPr>
      <w:r>
        <w:rPr>
          <w:rFonts w:hint="eastAsia" w:ascii="宋体" w:hAnsi="宋体" w:eastAsia="宋体" w:cstheme="minorBidi"/>
          <w:b/>
          <w:kern w:val="2"/>
          <w:lang w:eastAsia="zh-CN"/>
        </w:rPr>
        <w:t>1.本项目为网上电子投标项目，投标文件不需法人或授权委托人另行签字，无需加盖单位公章，招标文件另有规定的除外。</w:t>
      </w:r>
    </w:p>
    <w:p w14:paraId="05FB8319">
      <w:pPr>
        <w:widowControl w:val="0"/>
        <w:snapToGrid w:val="0"/>
        <w:spacing w:after="60" w:afterLines="25"/>
        <w:ind w:firstLine="482" w:firstLineChars="200"/>
        <w:jc w:val="both"/>
        <w:rPr>
          <w:rFonts w:ascii="宋体" w:hAnsi="宋体" w:eastAsia="黑体"/>
          <w:bCs/>
          <w:kern w:val="44"/>
          <w:sz w:val="32"/>
          <w:szCs w:val="32"/>
          <w:lang w:eastAsia="zh-CN"/>
        </w:rPr>
      </w:pPr>
      <w:bookmarkStart w:id="16" w:name="_Hlk72263559"/>
      <w:r>
        <w:rPr>
          <w:rFonts w:hint="eastAsia" w:ascii="宋体" w:hAnsi="宋体" w:eastAsia="宋体" w:cstheme="minorBidi"/>
          <w:b/>
          <w:kern w:val="2"/>
          <w:lang w:eastAsia="zh-CN"/>
        </w:rPr>
        <w:t>2.关于填写“开标一览表”的说明：“开标一览表”中除“投标总价”外，其他信息不作评审依据。</w:t>
      </w:r>
      <w:bookmarkEnd w:id="15"/>
      <w:bookmarkEnd w:id="16"/>
      <w:r>
        <w:rPr>
          <w:rFonts w:ascii="宋体" w:hAnsi="宋体" w:eastAsia="黑体"/>
          <w:bCs/>
          <w:kern w:val="44"/>
          <w:sz w:val="32"/>
          <w:szCs w:val="32"/>
          <w:lang w:eastAsia="zh-CN"/>
        </w:rPr>
        <w:br w:type="page"/>
      </w:r>
    </w:p>
    <w:p w14:paraId="1B08192C">
      <w:pPr>
        <w:keepNext/>
        <w:keepLines/>
        <w:widowControl w:val="0"/>
        <w:spacing w:before="120" w:after="120" w:line="240" w:lineRule="auto"/>
        <w:jc w:val="center"/>
        <w:outlineLvl w:val="2"/>
        <w:rPr>
          <w:rFonts w:hint="eastAsia" w:ascii="黑体" w:eastAsia="黑体"/>
          <w:b/>
          <w:bCs/>
          <w:kern w:val="2"/>
          <w:sz w:val="30"/>
          <w:szCs w:val="22"/>
          <w:lang w:eastAsia="zh-CN"/>
        </w:rPr>
      </w:pPr>
      <w:r>
        <w:rPr>
          <w:rFonts w:hint="eastAsia" w:ascii="黑体" w:eastAsia="黑体"/>
          <w:b/>
          <w:bCs/>
          <w:kern w:val="2"/>
          <w:sz w:val="30"/>
          <w:szCs w:val="22"/>
          <w:lang w:eastAsia="zh-CN"/>
        </w:rPr>
        <w:t>一、投标函</w:t>
      </w:r>
    </w:p>
    <w:p w14:paraId="0D88ABAD">
      <w:pPr>
        <w:widowControl w:val="0"/>
        <w:spacing w:line="360" w:lineRule="auto"/>
        <w:jc w:val="both"/>
        <w:rPr>
          <w:rFonts w:ascii="宋体" w:hAnsi="宋体" w:eastAsia="宋体"/>
          <w:kern w:val="2"/>
          <w:sz w:val="21"/>
          <w:szCs w:val="21"/>
          <w:lang w:eastAsia="zh-CN"/>
        </w:rPr>
      </w:pPr>
      <w:bookmarkStart w:id="17" w:name="_Hlk72257506"/>
      <w:r>
        <w:rPr>
          <w:rFonts w:hint="eastAsia" w:ascii="宋体" w:hAnsi="宋体" w:eastAsia="宋体" w:cstheme="minorBidi"/>
          <w:kern w:val="2"/>
          <w:sz w:val="21"/>
          <w:szCs w:val="21"/>
          <w:lang w:eastAsia="zh-CN"/>
        </w:rPr>
        <w:t>致：</w:t>
      </w:r>
      <w:r>
        <w:rPr>
          <w:rFonts w:hint="eastAsia" w:ascii="宋体" w:hAnsi="宋体" w:eastAsia="宋体" w:cstheme="minorBidi"/>
          <w:b/>
          <w:color w:val="000000"/>
          <w:kern w:val="2"/>
          <w:sz w:val="21"/>
          <w:szCs w:val="21"/>
          <w:u w:val="single"/>
          <w:lang w:eastAsia="zh-CN"/>
        </w:rPr>
        <w:t>深圳市千里招标代理有限公司</w:t>
      </w:r>
    </w:p>
    <w:p w14:paraId="4FC3E698">
      <w:pPr>
        <w:widowControl w:val="0"/>
        <w:spacing w:line="360" w:lineRule="auto"/>
        <w:ind w:firstLine="420" w:firstLineChars="200"/>
        <w:jc w:val="both"/>
        <w:rPr>
          <w:rFonts w:ascii="宋体" w:hAnsi="宋体" w:eastAsia="宋体"/>
          <w:kern w:val="2"/>
          <w:sz w:val="21"/>
          <w:szCs w:val="21"/>
          <w:lang w:eastAsia="zh-CN"/>
        </w:rPr>
      </w:pPr>
      <w:bookmarkStart w:id="18" w:name="_Hlk73818812"/>
      <w:r>
        <w:rPr>
          <w:rFonts w:hint="eastAsia" w:ascii="Calibri" w:hAnsi="Calibri" w:eastAsia="宋体" w:cstheme="minorBidi"/>
          <w:kern w:val="2"/>
          <w:sz w:val="21"/>
          <w:szCs w:val="21"/>
          <w:lang w:eastAsia="zh-CN"/>
        </w:rPr>
        <w:t>1、根据已收到贵单位的项目编号为</w:t>
      </w:r>
      <w:r>
        <w:rPr>
          <w:rFonts w:hint="eastAsia" w:ascii="Calibri" w:hAnsi="Calibri" w:eastAsia="宋体" w:cstheme="minorBidi"/>
          <w:kern w:val="2"/>
          <w:sz w:val="21"/>
          <w:szCs w:val="21"/>
          <w:u w:val="single"/>
          <w:lang w:eastAsia="zh-CN"/>
        </w:rPr>
        <w:t>LHAZXDL-2024-00161</w:t>
      </w:r>
      <w:r>
        <w:rPr>
          <w:rFonts w:hint="eastAsia" w:ascii="Calibri" w:hAnsi="Calibri" w:eastAsia="宋体" w:cstheme="minorBidi"/>
          <w:kern w:val="2"/>
          <w:sz w:val="21"/>
          <w:szCs w:val="21"/>
          <w:lang w:eastAsia="zh-CN"/>
        </w:rPr>
        <w:t>的</w:t>
      </w:r>
      <w:r>
        <w:rPr>
          <w:rFonts w:hint="eastAsia" w:ascii="Calibri" w:hAnsi="Calibri" w:eastAsia="宋体" w:cstheme="minorBidi"/>
          <w:kern w:val="2"/>
          <w:sz w:val="21"/>
          <w:szCs w:val="21"/>
          <w:u w:val="thick"/>
          <w:lang w:eastAsia="zh-CN"/>
        </w:rPr>
        <w:t>观澜校区物化实验AI考评系统采购</w:t>
      </w:r>
      <w:r>
        <w:rPr>
          <w:rFonts w:hint="eastAsia" w:ascii="Calibri" w:hAnsi="Calibri" w:eastAsia="宋体" w:cstheme="minorBidi"/>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19" w:name="_Hlk72263588"/>
      <w:r>
        <w:rPr>
          <w:rFonts w:hint="eastAsia" w:ascii="Calibri" w:hAnsi="Calibri" w:eastAsia="宋体" w:cstheme="minorBidi"/>
          <w:kern w:val="2"/>
          <w:sz w:val="21"/>
          <w:szCs w:val="21"/>
          <w:lang w:eastAsia="zh-CN"/>
        </w:rPr>
        <w:t>愿意按照招标文件要求承包上述项目并修补其任何缺陷。</w:t>
      </w:r>
      <w:bookmarkEnd w:id="19"/>
    </w:p>
    <w:p w14:paraId="4FC6B078">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hint="eastAsia" w:ascii="宋体" w:hAnsi="宋体" w:eastAsia="宋体" w:cstheme="minorBidi"/>
          <w:kern w:val="2"/>
          <w:sz w:val="21"/>
          <w:szCs w:val="21"/>
          <w:lang w:eastAsia="zh-CN"/>
        </w:rPr>
        <w:t>、</w:t>
      </w:r>
      <w:bookmarkStart w:id="20" w:name="_Hlk73819847"/>
      <w:r>
        <w:rPr>
          <w:rFonts w:hint="eastAsia" w:ascii="宋体" w:hAnsi="宋体" w:eastAsia="宋体" w:cstheme="minorBidi"/>
          <w:kern w:val="2"/>
          <w:sz w:val="21"/>
          <w:szCs w:val="21"/>
          <w:lang w:eastAsia="zh-CN"/>
        </w:rPr>
        <w:t>投标价格见</w:t>
      </w:r>
      <w:r>
        <w:rPr>
          <w:rFonts w:hint="eastAsia" w:ascii="Calibri" w:hAnsi="Calibri" w:eastAsia="宋体" w:cstheme="minorBidi"/>
          <w:kern w:val="2"/>
          <w:sz w:val="21"/>
          <w:szCs w:val="21"/>
          <w:lang w:eastAsia="zh-CN"/>
        </w:rPr>
        <w:t>投标书编制软件中《开标一览表》中填写的投标总价。</w:t>
      </w:r>
      <w:bookmarkEnd w:id="20"/>
    </w:p>
    <w:p w14:paraId="677AB182">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3、如果我单位中标，我单位将按照招标文件的要求足额提交履约担保。</w:t>
      </w:r>
    </w:p>
    <w:p w14:paraId="389F66ED">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4、我单位同意所递交的投标文件在“对通用条款的补充内容”中明确的投标有效期内有效，在此期间内我单位的投标有可能中标，我方将受此约束。</w:t>
      </w:r>
    </w:p>
    <w:p w14:paraId="5A028B15">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5、除非另外达成协议并生效，贵单位的中标通知书和本投标文件将构成合同的重要内容。</w:t>
      </w:r>
    </w:p>
    <w:p w14:paraId="40653243">
      <w:pPr>
        <w:widowControl w:val="0"/>
        <w:spacing w:line="360" w:lineRule="auto"/>
        <w:ind w:left="480" w:left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6、我单位理解贵单位将不受必须接受所收到的最低报价或其它任何投标文件的约束。</w:t>
      </w:r>
      <w:bookmarkEnd w:id="18"/>
    </w:p>
    <w:p w14:paraId="76969FDA">
      <w:pPr>
        <w:widowControl w:val="0"/>
        <w:spacing w:line="360" w:lineRule="auto"/>
        <w:ind w:left="480" w:leftChars="200"/>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7</w:t>
      </w:r>
      <w:r>
        <w:rPr>
          <w:rFonts w:ascii="宋体" w:hAnsi="宋体" w:eastAsia="宋体" w:cstheme="minorBidi"/>
          <w:b/>
          <w:kern w:val="2"/>
          <w:sz w:val="21"/>
          <w:szCs w:val="21"/>
          <w:lang w:eastAsia="zh-CN"/>
        </w:rPr>
        <w:t>、如我单位提交样品，且未在规定时间内取回样品的，视同放弃取回，同意深圳市千里招标代理有限公司对我单位提交的样品进行清理。</w:t>
      </w:r>
    </w:p>
    <w:p w14:paraId="3F807D7A">
      <w:pPr>
        <w:widowControl w:val="0"/>
        <w:spacing w:line="360" w:lineRule="auto"/>
        <w:ind w:left="480" w:leftChars="200" w:firstLine="210" w:firstLineChars="100"/>
        <w:jc w:val="both"/>
        <w:rPr>
          <w:rFonts w:ascii="Calibri" w:hAnsi="Calibri" w:eastAsia="宋体"/>
          <w:kern w:val="2"/>
          <w:sz w:val="21"/>
          <w:szCs w:val="21"/>
          <w:lang w:eastAsia="zh-CN"/>
        </w:rPr>
      </w:pPr>
    </w:p>
    <w:p w14:paraId="5847BF13">
      <w:pPr>
        <w:widowControl w:val="0"/>
        <w:spacing w:line="360" w:lineRule="auto"/>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；单位地址：</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278B1FAD">
      <w:pPr>
        <w:widowControl w:val="0"/>
        <w:spacing w:line="360" w:lineRule="auto"/>
        <w:ind w:left="480" w:leftChars="200" w:firstLine="210" w:firstLineChars="1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法定代表人（负责人）或其授权委托代理人：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7B1A414A">
      <w:pPr>
        <w:widowControl w:val="0"/>
        <w:spacing w:line="360" w:lineRule="auto"/>
        <w:ind w:left="480" w:leftChars="200" w:firstLine="210" w:firstLineChars="100"/>
        <w:jc w:val="both"/>
        <w:rPr>
          <w:rFonts w:ascii="Calibri" w:hAnsi="Calibri" w:eastAsia="宋体"/>
          <w:kern w:val="2"/>
          <w:sz w:val="21"/>
          <w:szCs w:val="21"/>
          <w:lang w:eastAsia="zh-CN"/>
        </w:rPr>
      </w:pPr>
      <w:r>
        <w:rPr>
          <w:rFonts w:hint="eastAsia" w:hAnsi="Calibri" w:eastAsia="宋体" w:cstheme="minorBidi"/>
          <w:kern w:val="2"/>
          <w:sz w:val="21"/>
          <w:szCs w:val="21"/>
          <w:lang w:eastAsia="zh-CN"/>
        </w:rPr>
        <w:t>开户银行名称：</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2D1F74C6">
      <w:pPr>
        <w:widowControl w:val="0"/>
        <w:spacing w:line="360" w:lineRule="auto"/>
        <w:ind w:left="480" w:leftChars="200" w:firstLine="210" w:firstLineChars="100"/>
        <w:jc w:val="both"/>
        <w:rPr>
          <w:rFonts w:ascii="Calibri" w:hAnsi="Calibri" w:eastAsia="宋体"/>
          <w:kern w:val="2"/>
          <w:sz w:val="21"/>
          <w:szCs w:val="21"/>
          <w:lang w:eastAsia="zh-CN"/>
        </w:rPr>
      </w:pPr>
      <w:r>
        <w:rPr>
          <w:rFonts w:hint="eastAsia" w:hAnsi="Calibri" w:eastAsia="宋体" w:cstheme="minorBidi"/>
          <w:kern w:val="2"/>
          <w:sz w:val="21"/>
          <w:szCs w:val="21"/>
          <w:lang w:eastAsia="zh-CN"/>
        </w:rPr>
        <w:t>开户银行账号：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6B0A55C6">
      <w:pPr>
        <w:widowControl w:val="0"/>
        <w:spacing w:line="360" w:lineRule="auto"/>
        <w:ind w:left="480" w:leftChars="200" w:firstLine="210" w:firstLineChars="1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邮政编码：</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传真：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6388D59F">
      <w:pPr>
        <w:widowControl w:val="0"/>
        <w:spacing w:line="360" w:lineRule="auto"/>
        <w:ind w:left="480" w:leftChars="200" w:firstLine="210" w:firstLineChars="100"/>
        <w:jc w:val="both"/>
        <w:rPr>
          <w:rFonts w:ascii="Calibri" w:hAnsi="Calibri" w:eastAsia="宋体"/>
          <w:kern w:val="2"/>
          <w:szCs w:val="22"/>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5A50E62C">
      <w:pPr>
        <w:widowControl w:val="0"/>
        <w:jc w:val="both"/>
        <w:rPr>
          <w:rFonts w:ascii="黑体" w:hAnsi="宋体" w:eastAsia="黑体"/>
          <w:kern w:val="2"/>
          <w:sz w:val="21"/>
          <w:szCs w:val="22"/>
          <w:lang w:eastAsia="zh-CN"/>
        </w:rPr>
      </w:pPr>
    </w:p>
    <w:p w14:paraId="389A2301">
      <w:pPr>
        <w:widowControl w:val="0"/>
        <w:jc w:val="both"/>
        <w:rPr>
          <w:rFonts w:ascii="黑体" w:hAnsi="宋体" w:eastAsia="黑体"/>
          <w:kern w:val="2"/>
          <w:sz w:val="21"/>
          <w:szCs w:val="22"/>
          <w:lang w:eastAsia="zh-CN"/>
        </w:rPr>
      </w:pPr>
    </w:p>
    <w:p w14:paraId="7C3928DE">
      <w:pPr>
        <w:widowControl w:val="0"/>
        <w:jc w:val="both"/>
        <w:rPr>
          <w:rFonts w:ascii="黑体" w:hAnsi="宋体" w:eastAsia="黑体"/>
          <w:kern w:val="2"/>
          <w:sz w:val="21"/>
          <w:szCs w:val="22"/>
          <w:lang w:eastAsia="zh-CN"/>
        </w:rPr>
      </w:pPr>
    </w:p>
    <w:p w14:paraId="2BCBF6D5">
      <w:pPr>
        <w:widowControl w:val="0"/>
        <w:jc w:val="both"/>
        <w:rPr>
          <w:rFonts w:ascii="黑体" w:hAnsi="宋体" w:eastAsia="黑体"/>
          <w:kern w:val="2"/>
          <w:sz w:val="21"/>
          <w:szCs w:val="22"/>
          <w:lang w:eastAsia="zh-CN"/>
        </w:rPr>
      </w:pPr>
    </w:p>
    <w:p w14:paraId="375B1FA0">
      <w:pPr>
        <w:widowControl w:val="0"/>
        <w:jc w:val="both"/>
        <w:rPr>
          <w:rFonts w:ascii="黑体" w:hAnsi="宋体" w:eastAsia="黑体"/>
          <w:kern w:val="2"/>
          <w:sz w:val="21"/>
          <w:szCs w:val="22"/>
          <w:lang w:eastAsia="zh-CN"/>
        </w:rPr>
      </w:pPr>
    </w:p>
    <w:p w14:paraId="661B15CC">
      <w:pPr>
        <w:widowControl w:val="0"/>
        <w:jc w:val="both"/>
        <w:rPr>
          <w:rFonts w:ascii="黑体" w:hAnsi="宋体" w:eastAsia="黑体"/>
          <w:kern w:val="2"/>
          <w:sz w:val="21"/>
          <w:szCs w:val="22"/>
          <w:lang w:eastAsia="zh-CN"/>
        </w:rPr>
      </w:pPr>
    </w:p>
    <w:p w14:paraId="78E3E4B0">
      <w:pPr>
        <w:widowControl w:val="0"/>
        <w:jc w:val="both"/>
        <w:rPr>
          <w:rFonts w:ascii="黑体" w:hAnsi="宋体" w:eastAsia="黑体"/>
          <w:kern w:val="2"/>
          <w:sz w:val="21"/>
          <w:szCs w:val="22"/>
          <w:lang w:eastAsia="zh-CN"/>
        </w:rPr>
      </w:pPr>
    </w:p>
    <w:p w14:paraId="70B004DC">
      <w:pPr>
        <w:widowControl w:val="0"/>
        <w:jc w:val="both"/>
        <w:rPr>
          <w:rFonts w:ascii="黑体" w:hAnsi="宋体" w:eastAsia="黑体"/>
          <w:kern w:val="2"/>
          <w:sz w:val="21"/>
          <w:szCs w:val="22"/>
          <w:lang w:eastAsia="zh-CN"/>
        </w:rPr>
      </w:pPr>
    </w:p>
    <w:p w14:paraId="0FE029E5">
      <w:pPr>
        <w:widowControl w:val="0"/>
        <w:jc w:val="both"/>
        <w:rPr>
          <w:rFonts w:ascii="黑体" w:hAnsi="宋体" w:eastAsia="黑体"/>
          <w:kern w:val="2"/>
          <w:sz w:val="21"/>
          <w:szCs w:val="22"/>
          <w:lang w:eastAsia="zh-CN"/>
        </w:rPr>
      </w:pPr>
    </w:p>
    <w:p w14:paraId="405414FE">
      <w:pPr>
        <w:widowControl w:val="0"/>
        <w:jc w:val="both"/>
        <w:rPr>
          <w:rFonts w:ascii="黑体" w:hAnsi="宋体" w:eastAsia="黑体"/>
          <w:kern w:val="2"/>
          <w:sz w:val="21"/>
          <w:szCs w:val="22"/>
          <w:lang w:eastAsia="zh-CN"/>
        </w:rPr>
      </w:pPr>
    </w:p>
    <w:p w14:paraId="5D36F315">
      <w:pPr>
        <w:widowControl w:val="0"/>
        <w:jc w:val="both"/>
        <w:rPr>
          <w:rFonts w:ascii="黑体" w:hAnsi="宋体" w:eastAsia="黑体"/>
          <w:kern w:val="2"/>
          <w:sz w:val="21"/>
          <w:szCs w:val="22"/>
          <w:lang w:eastAsia="zh-CN"/>
        </w:rPr>
      </w:pPr>
    </w:p>
    <w:p w14:paraId="19DE479B">
      <w:pPr>
        <w:widowControl w:val="0"/>
        <w:jc w:val="both"/>
        <w:rPr>
          <w:rFonts w:ascii="黑体" w:hAnsi="宋体" w:eastAsia="黑体"/>
          <w:kern w:val="2"/>
          <w:sz w:val="21"/>
          <w:szCs w:val="22"/>
          <w:lang w:eastAsia="zh-CN"/>
        </w:rPr>
      </w:pPr>
    </w:p>
    <w:bookmarkEnd w:id="17"/>
    <w:p w14:paraId="1F0508BC">
      <w:pPr>
        <w:keepNext/>
        <w:keepLines/>
        <w:widowControl w:val="0"/>
        <w:spacing w:before="120" w:after="120" w:line="240" w:lineRule="auto"/>
        <w:jc w:val="center"/>
        <w:outlineLvl w:val="2"/>
        <w:rPr>
          <w:rFonts w:hint="eastAsia" w:ascii="黑体" w:eastAsia="黑体"/>
          <w:b/>
          <w:bCs/>
          <w:kern w:val="2"/>
          <w:sz w:val="30"/>
          <w:szCs w:val="22"/>
          <w:lang w:eastAsia="zh-CN"/>
        </w:rPr>
      </w:pPr>
      <w:r>
        <w:rPr>
          <w:rFonts w:hint="eastAsia" w:ascii="黑体" w:eastAsia="黑体"/>
          <w:b/>
          <w:bCs/>
          <w:kern w:val="2"/>
          <w:sz w:val="30"/>
          <w:szCs w:val="22"/>
          <w:lang w:eastAsia="zh-CN"/>
        </w:rPr>
        <w:t>二、龙华区教育局自行采购投标及履约承诺函</w:t>
      </w:r>
    </w:p>
    <w:p w14:paraId="1B4C42F0">
      <w:pPr>
        <w:widowControl w:val="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致：</w:t>
      </w:r>
      <w:r>
        <w:rPr>
          <w:rFonts w:hint="eastAsia" w:ascii="宋体" w:hAnsi="宋体" w:eastAsia="宋体" w:cs="宋体"/>
          <w:kern w:val="2"/>
          <w:sz w:val="21"/>
          <w:szCs w:val="21"/>
          <w:u w:val="single"/>
          <w:lang w:eastAsia="zh-CN"/>
        </w:rPr>
        <w:t>深圳市千里招标代理有限公司</w:t>
      </w:r>
    </w:p>
    <w:p w14:paraId="0CBACC27">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我单位承诺：</w:t>
      </w:r>
    </w:p>
    <w:p w14:paraId="6999289D">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1.我单位本招标项目所提供的货物或服务未侵犯知识产权。</w:t>
      </w:r>
    </w:p>
    <w:p w14:paraId="02E5FAD8">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2.我单位参与本项目投标前三年内，在经营活动中没有重大违法记录。</w:t>
      </w:r>
    </w:p>
    <w:p w14:paraId="3388997A">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3.我单位参与本项目政府采购活动时不存在被有关部门禁止参与政府采购活动且在有效期内的情况。</w:t>
      </w:r>
    </w:p>
    <w:p w14:paraId="69DE57F4">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4.我单位具备《中华人民共和国政府采购法》第二十二条第一款规定的六项条件。</w:t>
      </w:r>
    </w:p>
    <w:p w14:paraId="2652235C">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5.我单位未被列入失信被执行人、重大税收违法案件当事人名单（税收违法黑名单）、政府采购严重违法失信行为记录名单。</w:t>
      </w:r>
    </w:p>
    <w:p w14:paraId="07645275">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mac地址与其他投标人相同的情形。</w:t>
      </w:r>
    </w:p>
    <w:p w14:paraId="6DA59DE3">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5032F7E5">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7891F5D">
      <w:pPr>
        <w:widowControl w:val="0"/>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9.</w:t>
      </w:r>
      <w:r>
        <w:rPr>
          <w:rFonts w:hint="eastAsia" w:ascii="宋体" w:hAnsi="宋体" w:eastAsia="宋体" w:cstheme="minorBidi"/>
          <w:kern w:val="2"/>
          <w:sz w:val="21"/>
          <w:szCs w:val="21"/>
          <w:lang w:eastAsia="zh-CN"/>
        </w:rPr>
        <w:t>我单位承诺参与本项目非联合体投标，不选用进口产品参与投标，中标后项目不转包，未经采购人同意不进行分包。</w:t>
      </w:r>
    </w:p>
    <w:p w14:paraId="5DEB2AE3">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51DDDAB">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11.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14:paraId="3ECBF457">
      <w:pPr>
        <w:widowControl w:val="0"/>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12.我单位承诺，为采购项目提供整体设计、规范编制或者项目管理、监理、检测等服务的供应商，不再参加该采购项目同一合同项下的其他采购活动。</w:t>
      </w:r>
    </w:p>
    <w:p w14:paraId="382150D8">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13.我单位承诺，符合《中华人民共和国政府采购法实施条例》第十八条第一款规定，不存在我单位与其他供应商的负责人为同一人或者存在直接控股、管理关系的情况。</w:t>
      </w:r>
    </w:p>
    <w:p w14:paraId="4A044F0E">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14.所投标（响应）的货物、工程或服务，不存在侵犯知识产权的情况；已知悉并同意中标（成交）结果信息公示（公开）的内容。</w:t>
      </w:r>
    </w:p>
    <w:p w14:paraId="6A415895">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15.本单位（公司）不存在《深圳市财政局政府采购供应商信用信息管理办法》（深财规</w:t>
      </w:r>
    </w:p>
    <w:p w14:paraId="169E7989">
      <w:pPr>
        <w:widowControl w:val="0"/>
        <w:ind w:firstLine="645"/>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2023〕3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14:paraId="240258F5">
      <w:pPr>
        <w:widowControl w:val="0"/>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16.我单位自愿遵照龙华区教育系统自行采购的有关管理制度和规定，并自愿接受龙华区教育局和财政部门的有关监督。</w:t>
      </w:r>
    </w:p>
    <w:p w14:paraId="5D81116B">
      <w:pPr>
        <w:widowControl w:val="0"/>
        <w:ind w:firstLine="645"/>
        <w:jc w:val="both"/>
        <w:rPr>
          <w:rFonts w:ascii="宋体" w:hAnsi="宋体" w:eastAsia="宋体" w:cs="宋体"/>
          <w:kern w:val="2"/>
          <w:sz w:val="21"/>
          <w:szCs w:val="21"/>
          <w:lang w:eastAsia="zh-CN"/>
        </w:rPr>
      </w:pPr>
      <w:r>
        <w:rPr>
          <w:rFonts w:hint="eastAsia" w:ascii="宋体" w:hAnsi="宋体" w:eastAsia="宋体" w:cstheme="minorBidi"/>
          <w:color w:val="FF0000"/>
          <w:sz w:val="21"/>
          <w:szCs w:val="22"/>
          <w:lang w:eastAsia="zh-CN"/>
        </w:rPr>
        <w:t>17.如果我单位中标，将依照本项目招标文件要求，在接到深圳市千里招标代理有限公司通知（包括但不限于电话、短信通知）后3个工作日内，缴纳招标代理服务费。</w:t>
      </w:r>
    </w:p>
    <w:p w14:paraId="40932C48">
      <w:pPr>
        <w:widowControl w:val="0"/>
        <w:ind w:firstLine="645"/>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14:paraId="18D9EBD6">
      <w:pPr>
        <w:widowControl w:val="0"/>
        <w:spacing w:line="560" w:lineRule="exact"/>
        <w:jc w:val="both"/>
        <w:rPr>
          <w:rFonts w:ascii="宋体" w:hAnsi="宋体" w:eastAsia="宋体" w:cs="宋体"/>
          <w:kern w:val="2"/>
          <w:sz w:val="18"/>
          <w:szCs w:val="18"/>
          <w:lang w:eastAsia="zh-CN"/>
        </w:rPr>
      </w:pPr>
    </w:p>
    <w:p w14:paraId="66B55708">
      <w:pPr>
        <w:widowControl w:val="0"/>
        <w:spacing w:before="60" w:beforeLines="25" w:after="60" w:afterLines="25"/>
        <w:jc w:val="right"/>
        <w:rPr>
          <w:rFonts w:hint="eastAsia" w:ascii="Calibri" w:hAnsi="Calibri" w:eastAsia="宋体"/>
          <w:kern w:val="2"/>
          <w:sz w:val="21"/>
          <w:szCs w:val="22"/>
          <w:lang w:eastAsia="zh-CN"/>
        </w:rPr>
      </w:pPr>
      <w:r>
        <w:rPr>
          <w:rFonts w:hint="eastAsia" w:ascii="Calibri" w:hAnsi="Calibri" w:eastAsia="宋体" w:cstheme="minorBidi"/>
          <w:kern w:val="2"/>
          <w:sz w:val="21"/>
          <w:szCs w:val="21"/>
          <w:lang w:eastAsia="zh-CN"/>
        </w:rPr>
        <w:t>投标人：</w:t>
      </w:r>
      <w:r>
        <w:rPr>
          <w:rFonts w:hint="eastAsia" w:ascii="宋体" w:hAnsi="宋体" w:eastAsia="宋体" w:cstheme="minorBidi"/>
          <w:kern w:val="2"/>
          <w:sz w:val="21"/>
          <w:szCs w:val="21"/>
          <w:u w:val="single"/>
          <w:lang w:eastAsia="zh-CN"/>
        </w:rPr>
        <w:t xml:space="preserve">                </w:t>
      </w:r>
      <w:r>
        <w:rPr>
          <w:rFonts w:hint="eastAsia" w:ascii="Calibri" w:hAnsi="Calibri" w:eastAsia="宋体" w:cstheme="minorBidi"/>
          <w:color w:val="FFFFFF"/>
          <w:kern w:val="2"/>
          <w:sz w:val="21"/>
          <w:szCs w:val="21"/>
          <w:u w:val="single"/>
          <w:lang w:eastAsia="zh-CN"/>
        </w:rPr>
        <w:t>.</w:t>
      </w:r>
    </w:p>
    <w:p w14:paraId="7411EA8D">
      <w:pPr>
        <w:widowControl w:val="0"/>
        <w:ind w:firstLine="645"/>
        <w:jc w:val="right"/>
        <w:rPr>
          <w:rFonts w:ascii="宋体" w:hAnsi="宋体" w:eastAsia="宋体"/>
          <w:kern w:val="2"/>
          <w:sz w:val="21"/>
          <w:szCs w:val="21"/>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65B83281">
      <w:pPr>
        <w:widowControl w:val="0"/>
        <w:jc w:val="both"/>
        <w:rPr>
          <w:rFonts w:ascii="宋体" w:hAnsi="宋体" w:eastAsia="宋体" w:cs="宋体"/>
          <w:b/>
          <w:bCs/>
          <w:color w:val="FF0000"/>
          <w:kern w:val="2"/>
          <w:sz w:val="21"/>
          <w:szCs w:val="21"/>
          <w:lang w:eastAsia="zh-CN"/>
        </w:rPr>
      </w:pPr>
    </w:p>
    <w:p w14:paraId="6730D732">
      <w:pPr>
        <w:widowControl w:val="0"/>
        <w:jc w:val="right"/>
        <w:rPr>
          <w:rFonts w:ascii="宋体" w:hAnsi="宋体" w:eastAsia="宋体"/>
          <w:color w:val="FF0000"/>
          <w:kern w:val="2"/>
          <w:sz w:val="21"/>
          <w:szCs w:val="21"/>
          <w:lang w:eastAsia="zh-CN"/>
        </w:rPr>
      </w:pPr>
      <w:r>
        <w:rPr>
          <w:rFonts w:hint="eastAsia" w:ascii="宋体" w:hAnsi="宋体" w:eastAsia="宋体" w:cs="宋体"/>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2072E7A4">
      <w:pPr>
        <w:widowControl w:val="0"/>
        <w:ind w:firstLine="645"/>
        <w:jc w:val="both"/>
        <w:rPr>
          <w:rFonts w:ascii="宋体" w:hAnsi="宋体" w:eastAsia="宋体"/>
          <w:kern w:val="2"/>
          <w:sz w:val="21"/>
          <w:szCs w:val="21"/>
          <w:lang w:eastAsia="zh-CN"/>
        </w:rPr>
      </w:pPr>
    </w:p>
    <w:p w14:paraId="31464DD0">
      <w:pPr>
        <w:widowControl w:val="0"/>
        <w:jc w:val="both"/>
        <w:rPr>
          <w:rFonts w:ascii="宋体" w:hAnsi="Calibri" w:eastAsia="宋体"/>
          <w:b/>
          <w:kern w:val="2"/>
          <w:sz w:val="21"/>
          <w:szCs w:val="21"/>
          <w:lang w:eastAsia="zh-CN"/>
        </w:rPr>
      </w:pPr>
    </w:p>
    <w:p w14:paraId="3952D732">
      <w:pPr>
        <w:widowControl w:val="0"/>
        <w:ind w:firstLine="482" w:firstLineChars="200"/>
        <w:jc w:val="center"/>
        <w:rPr>
          <w:rFonts w:ascii="Calibri" w:hAnsi="宋体" w:eastAsia="宋体"/>
          <w:b/>
          <w:bCs/>
          <w:kern w:val="2"/>
          <w:szCs w:val="22"/>
          <w:lang w:eastAsia="zh-CN"/>
        </w:rPr>
      </w:pPr>
    </w:p>
    <w:p w14:paraId="086E660E">
      <w:pPr>
        <w:widowControl w:val="0"/>
        <w:spacing w:after="120" w:line="240" w:lineRule="auto"/>
        <w:ind w:left="480" w:leftChars="200" w:firstLine="482" w:firstLineChars="200"/>
        <w:jc w:val="both"/>
        <w:rPr>
          <w:rFonts w:ascii="Calibri" w:hAnsi="宋体" w:eastAsia="宋体"/>
          <w:b/>
          <w:bCs/>
          <w:kern w:val="2"/>
          <w:szCs w:val="22"/>
          <w:lang w:eastAsia="zh-CN"/>
        </w:rPr>
      </w:pPr>
    </w:p>
    <w:p w14:paraId="4183EF02">
      <w:pPr>
        <w:widowControl w:val="0"/>
        <w:spacing w:after="120" w:line="240" w:lineRule="auto"/>
        <w:ind w:left="480" w:leftChars="200" w:firstLine="482" w:firstLineChars="200"/>
        <w:jc w:val="both"/>
        <w:rPr>
          <w:rFonts w:ascii="Calibri" w:hAnsi="宋体" w:eastAsia="宋体"/>
          <w:b/>
          <w:bCs/>
          <w:kern w:val="2"/>
          <w:szCs w:val="22"/>
          <w:lang w:eastAsia="zh-CN"/>
        </w:rPr>
      </w:pPr>
    </w:p>
    <w:p w14:paraId="5C6C5E4F">
      <w:pPr>
        <w:widowControl w:val="0"/>
        <w:spacing w:after="120" w:line="240" w:lineRule="auto"/>
        <w:ind w:left="480" w:leftChars="200" w:firstLine="482" w:firstLineChars="200"/>
        <w:jc w:val="both"/>
        <w:rPr>
          <w:rFonts w:ascii="Calibri" w:hAnsi="宋体" w:eastAsia="宋体"/>
          <w:b/>
          <w:bCs/>
          <w:kern w:val="2"/>
          <w:szCs w:val="22"/>
          <w:lang w:eastAsia="zh-CN"/>
        </w:rPr>
      </w:pPr>
    </w:p>
    <w:p w14:paraId="2B37B47C">
      <w:pPr>
        <w:widowControl w:val="0"/>
        <w:spacing w:after="120" w:line="240" w:lineRule="auto"/>
        <w:ind w:left="480" w:leftChars="200" w:firstLine="482" w:firstLineChars="200"/>
        <w:jc w:val="both"/>
        <w:rPr>
          <w:rFonts w:ascii="Calibri" w:hAnsi="宋体" w:eastAsia="宋体"/>
          <w:b/>
          <w:bCs/>
          <w:kern w:val="2"/>
          <w:szCs w:val="22"/>
          <w:lang w:eastAsia="zh-CN"/>
        </w:rPr>
      </w:pPr>
    </w:p>
    <w:p w14:paraId="3636913E">
      <w:pPr>
        <w:widowControl w:val="0"/>
        <w:spacing w:after="120" w:line="240" w:lineRule="auto"/>
        <w:ind w:left="480" w:leftChars="200" w:firstLine="482" w:firstLineChars="200"/>
        <w:jc w:val="both"/>
        <w:rPr>
          <w:rFonts w:ascii="Calibri" w:hAnsi="宋体" w:eastAsia="宋体"/>
          <w:b/>
          <w:bCs/>
          <w:kern w:val="2"/>
          <w:szCs w:val="22"/>
          <w:lang w:eastAsia="zh-CN"/>
        </w:rPr>
      </w:pPr>
    </w:p>
    <w:p w14:paraId="677766BA">
      <w:pPr>
        <w:widowControl w:val="0"/>
        <w:spacing w:after="120" w:line="240" w:lineRule="auto"/>
        <w:ind w:left="480" w:leftChars="200" w:firstLine="482" w:firstLineChars="200"/>
        <w:jc w:val="both"/>
        <w:rPr>
          <w:rFonts w:ascii="Calibri" w:hAnsi="宋体" w:eastAsia="宋体"/>
          <w:b/>
          <w:bCs/>
          <w:kern w:val="2"/>
          <w:szCs w:val="22"/>
          <w:lang w:eastAsia="zh-CN"/>
        </w:rPr>
      </w:pPr>
    </w:p>
    <w:p w14:paraId="6FD6EC6D">
      <w:pPr>
        <w:widowControl w:val="0"/>
        <w:spacing w:after="120" w:line="240" w:lineRule="auto"/>
        <w:ind w:left="480" w:leftChars="200" w:firstLine="482" w:firstLineChars="200"/>
        <w:jc w:val="both"/>
        <w:rPr>
          <w:rFonts w:ascii="Calibri" w:hAnsi="宋体" w:eastAsia="宋体"/>
          <w:b/>
          <w:bCs/>
          <w:kern w:val="2"/>
          <w:szCs w:val="22"/>
          <w:lang w:eastAsia="zh-CN"/>
        </w:rPr>
      </w:pPr>
    </w:p>
    <w:p w14:paraId="6C0CDF17">
      <w:pPr>
        <w:widowControl w:val="0"/>
        <w:spacing w:after="120" w:line="240" w:lineRule="auto"/>
        <w:ind w:left="480" w:leftChars="200" w:firstLine="482" w:firstLineChars="200"/>
        <w:jc w:val="both"/>
        <w:rPr>
          <w:rFonts w:ascii="Calibri" w:hAnsi="宋体" w:eastAsia="宋体"/>
          <w:b/>
          <w:bCs/>
          <w:kern w:val="2"/>
          <w:szCs w:val="22"/>
          <w:lang w:eastAsia="zh-CN"/>
        </w:rPr>
      </w:pPr>
    </w:p>
    <w:p w14:paraId="3772CFBA">
      <w:pPr>
        <w:widowControl w:val="0"/>
        <w:spacing w:after="120" w:line="240" w:lineRule="auto"/>
        <w:ind w:left="480" w:leftChars="200" w:firstLine="482" w:firstLineChars="200"/>
        <w:jc w:val="both"/>
        <w:rPr>
          <w:rFonts w:ascii="Calibri" w:hAnsi="宋体" w:eastAsia="宋体"/>
          <w:b/>
          <w:bCs/>
          <w:kern w:val="2"/>
          <w:szCs w:val="22"/>
          <w:lang w:eastAsia="zh-CN"/>
        </w:rPr>
      </w:pPr>
    </w:p>
    <w:p w14:paraId="43E4B1F7">
      <w:pPr>
        <w:widowControl w:val="0"/>
        <w:spacing w:after="120" w:line="240" w:lineRule="auto"/>
        <w:ind w:left="480" w:leftChars="200" w:firstLine="482" w:firstLineChars="200"/>
        <w:jc w:val="both"/>
        <w:rPr>
          <w:rFonts w:ascii="Calibri" w:hAnsi="宋体" w:eastAsia="宋体"/>
          <w:b/>
          <w:bCs/>
          <w:kern w:val="2"/>
          <w:szCs w:val="22"/>
          <w:lang w:eastAsia="zh-CN"/>
        </w:rPr>
      </w:pPr>
    </w:p>
    <w:p w14:paraId="078650F5">
      <w:pPr>
        <w:widowControl w:val="0"/>
        <w:spacing w:after="120" w:line="240" w:lineRule="auto"/>
        <w:ind w:left="480" w:leftChars="200" w:firstLine="482" w:firstLineChars="200"/>
        <w:jc w:val="both"/>
        <w:rPr>
          <w:rFonts w:ascii="Calibri" w:hAnsi="宋体" w:eastAsia="宋体"/>
          <w:b/>
          <w:bCs/>
          <w:kern w:val="2"/>
          <w:szCs w:val="22"/>
          <w:lang w:eastAsia="zh-CN"/>
        </w:rPr>
      </w:pPr>
    </w:p>
    <w:p w14:paraId="4A86235E">
      <w:pPr>
        <w:widowControl w:val="0"/>
        <w:spacing w:after="120" w:line="240" w:lineRule="auto"/>
        <w:ind w:left="480" w:leftChars="200" w:firstLine="482" w:firstLineChars="200"/>
        <w:jc w:val="both"/>
        <w:rPr>
          <w:rFonts w:ascii="Calibri" w:hAnsi="宋体" w:eastAsia="宋体"/>
          <w:b/>
          <w:bCs/>
          <w:kern w:val="2"/>
          <w:szCs w:val="22"/>
          <w:lang w:eastAsia="zh-CN"/>
        </w:rPr>
      </w:pPr>
    </w:p>
    <w:p w14:paraId="5578B5D0">
      <w:pPr>
        <w:widowControl w:val="0"/>
        <w:spacing w:after="120" w:line="240" w:lineRule="auto"/>
        <w:ind w:left="480" w:leftChars="200" w:firstLine="482" w:firstLineChars="200"/>
        <w:jc w:val="both"/>
        <w:rPr>
          <w:rFonts w:ascii="Calibri" w:hAnsi="宋体" w:eastAsia="宋体"/>
          <w:b/>
          <w:bCs/>
          <w:kern w:val="2"/>
          <w:szCs w:val="22"/>
          <w:lang w:eastAsia="zh-CN"/>
        </w:rPr>
      </w:pPr>
    </w:p>
    <w:p w14:paraId="5A9C8457">
      <w:pPr>
        <w:widowControl w:val="0"/>
        <w:spacing w:after="120" w:line="240" w:lineRule="auto"/>
        <w:ind w:left="480" w:leftChars="200" w:firstLine="482" w:firstLineChars="200"/>
        <w:jc w:val="both"/>
        <w:rPr>
          <w:rFonts w:ascii="Calibri" w:hAnsi="宋体" w:eastAsia="宋体"/>
          <w:b/>
          <w:bCs/>
          <w:kern w:val="2"/>
          <w:szCs w:val="22"/>
          <w:lang w:eastAsia="zh-CN"/>
        </w:rPr>
      </w:pPr>
    </w:p>
    <w:p w14:paraId="7939D88E">
      <w:pPr>
        <w:widowControl w:val="0"/>
        <w:spacing w:after="120" w:line="240" w:lineRule="auto"/>
        <w:ind w:left="480" w:leftChars="200" w:firstLine="482" w:firstLineChars="200"/>
        <w:jc w:val="both"/>
        <w:rPr>
          <w:rFonts w:ascii="Calibri" w:hAnsi="宋体" w:eastAsia="宋体"/>
          <w:b/>
          <w:bCs/>
          <w:kern w:val="2"/>
          <w:szCs w:val="22"/>
          <w:lang w:eastAsia="zh-CN"/>
        </w:rPr>
      </w:pPr>
    </w:p>
    <w:p w14:paraId="7FE901F3">
      <w:pPr>
        <w:widowControl w:val="0"/>
        <w:spacing w:after="120" w:line="240" w:lineRule="auto"/>
        <w:ind w:left="480" w:leftChars="200" w:firstLine="482" w:firstLineChars="200"/>
        <w:jc w:val="both"/>
        <w:rPr>
          <w:rFonts w:ascii="Calibri" w:hAnsi="宋体" w:eastAsia="宋体"/>
          <w:b/>
          <w:bCs/>
          <w:kern w:val="2"/>
          <w:szCs w:val="22"/>
          <w:lang w:eastAsia="zh-CN"/>
        </w:rPr>
      </w:pPr>
    </w:p>
    <w:p w14:paraId="6D903A21">
      <w:pPr>
        <w:widowControl w:val="0"/>
        <w:spacing w:after="120" w:line="240" w:lineRule="auto"/>
        <w:ind w:left="480" w:leftChars="200" w:firstLine="482" w:firstLineChars="200"/>
        <w:jc w:val="both"/>
        <w:rPr>
          <w:rFonts w:ascii="Calibri" w:hAnsi="宋体" w:eastAsia="宋体"/>
          <w:b/>
          <w:bCs/>
          <w:kern w:val="2"/>
          <w:szCs w:val="22"/>
          <w:lang w:eastAsia="zh-CN"/>
        </w:rPr>
      </w:pPr>
    </w:p>
    <w:p w14:paraId="1FC5F33E">
      <w:pPr>
        <w:keepNext/>
        <w:keepLines/>
        <w:widowControl w:val="0"/>
        <w:spacing w:before="260" w:after="260" w:line="240" w:lineRule="auto"/>
        <w:jc w:val="center"/>
        <w:outlineLvl w:val="2"/>
        <w:rPr>
          <w:rFonts w:ascii="黑体" w:hAnsi="宋体" w:eastAsia="黑体"/>
          <w:b/>
          <w:kern w:val="2"/>
          <w:sz w:val="30"/>
          <w:szCs w:val="30"/>
          <w:lang w:eastAsia="zh-CN"/>
        </w:rPr>
      </w:pPr>
      <w:r>
        <w:rPr>
          <w:rFonts w:hint="eastAsia" w:ascii="黑体" w:hAnsi="宋体" w:eastAsia="黑体" w:cstheme="minorBidi"/>
          <w:b/>
          <w:kern w:val="2"/>
          <w:sz w:val="30"/>
          <w:szCs w:val="30"/>
          <w:lang w:eastAsia="zh-CN"/>
        </w:rPr>
        <w:t>三、投标人情况及资格证明文件</w:t>
      </w:r>
    </w:p>
    <w:p w14:paraId="4565CC45">
      <w:pPr>
        <w:widowControl w:val="0"/>
        <w:jc w:val="both"/>
        <w:rPr>
          <w:rFonts w:ascii="Calibri" w:hAnsi="Calibri" w:eastAsia="宋体"/>
          <w:b/>
          <w:bCs/>
          <w:kern w:val="2"/>
          <w:szCs w:val="22"/>
          <w:lang w:eastAsia="zh-CN"/>
        </w:rPr>
      </w:pPr>
    </w:p>
    <w:p w14:paraId="43CC4E36">
      <w:pPr>
        <w:widowControl w:val="0"/>
        <w:ind w:firstLine="2640" w:firstLineChars="1100"/>
        <w:jc w:val="both"/>
        <w:outlineLvl w:val="3"/>
        <w:rPr>
          <w:rFonts w:ascii="黑体" w:hAnsi="宋体" w:eastAsia="黑体"/>
          <w:bCs/>
          <w:szCs w:val="32"/>
          <w:lang w:eastAsia="zh-CN"/>
        </w:rPr>
      </w:pPr>
      <w:bookmarkStart w:id="21" w:name="_Hlk72257590"/>
      <w:r>
        <w:rPr>
          <w:rFonts w:hint="eastAsia" w:ascii="黑体" w:hAnsi="宋体" w:eastAsia="黑体" w:cstheme="minorBidi"/>
          <w:bCs/>
          <w:szCs w:val="32"/>
          <w:lang w:eastAsia="zh-CN"/>
        </w:rPr>
        <w:t>（一）投标人资格证明文件</w:t>
      </w:r>
    </w:p>
    <w:p w14:paraId="17DDF783">
      <w:pPr>
        <w:widowControl w:val="0"/>
        <w:spacing w:before="120" w:beforeLines="50"/>
        <w:ind w:firstLine="422" w:firstLineChars="200"/>
        <w:jc w:val="both"/>
        <w:rPr>
          <w:rFonts w:ascii="Calibri" w:hAnsi="Calibri" w:eastAsia="宋体"/>
          <w:b/>
          <w:bCs/>
          <w:color w:val="FF0000"/>
          <w:kern w:val="2"/>
          <w:sz w:val="21"/>
          <w:szCs w:val="22"/>
          <w:lang w:eastAsia="zh-CN"/>
        </w:rPr>
      </w:pPr>
      <w:r>
        <w:rPr>
          <w:rFonts w:hint="eastAsia" w:ascii="Calibri" w:hAnsi="Calibri" w:eastAsia="宋体" w:cstheme="minorBidi"/>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14:paraId="222E739D">
      <w:pPr>
        <w:widowControl w:val="0"/>
        <w:jc w:val="both"/>
        <w:rPr>
          <w:rFonts w:ascii="Calibri" w:hAnsi="Calibri" w:eastAsia="宋体"/>
          <w:b/>
          <w:bCs/>
          <w:kern w:val="2"/>
          <w:szCs w:val="22"/>
          <w:lang w:eastAsia="zh-CN"/>
        </w:rPr>
      </w:pPr>
    </w:p>
    <w:p w14:paraId="6941FB7B">
      <w:pPr>
        <w:widowControl w:val="0"/>
        <w:ind w:firstLine="480" w:firstLineChars="200"/>
        <w:jc w:val="both"/>
        <w:outlineLvl w:val="3"/>
        <w:rPr>
          <w:rFonts w:ascii="黑体" w:hAnsi="宋体" w:eastAsia="黑体"/>
          <w:bCs/>
          <w:szCs w:val="32"/>
          <w:lang w:eastAsia="zh-CN"/>
        </w:rPr>
      </w:pPr>
      <w:bookmarkStart w:id="22" w:name="_Hlk72257908"/>
      <w:r>
        <w:rPr>
          <w:rFonts w:hint="eastAsia" w:ascii="黑体" w:hAnsi="宋体" w:eastAsia="黑体" w:cstheme="minorBidi"/>
          <w:bCs/>
          <w:szCs w:val="32"/>
          <w:lang w:eastAsia="zh-CN"/>
        </w:rPr>
        <w:t>（二）中小企业声明函、残疾人福利性单位声明函及监狱企业声明函</w:t>
      </w:r>
    </w:p>
    <w:bookmarkEnd w:id="21"/>
    <w:p w14:paraId="6D451A4D">
      <w:pPr>
        <w:widowControl w:val="0"/>
        <w:jc w:val="both"/>
        <w:rPr>
          <w:rFonts w:ascii="Calibri" w:hAnsi="Calibri" w:eastAsia="宋体"/>
          <w:sz w:val="21"/>
          <w:szCs w:val="22"/>
          <w:lang w:eastAsia="zh-CN"/>
        </w:rPr>
      </w:pPr>
      <w:r>
        <w:rPr>
          <w:rFonts w:hint="eastAsia" w:ascii="Calibri" w:hAnsi="Calibri" w:eastAsia="宋体" w:cstheme="minorBidi"/>
          <w:sz w:val="21"/>
          <w:szCs w:val="22"/>
          <w:lang w:eastAsia="zh-CN"/>
        </w:rPr>
        <w:t>填写指引：</w:t>
      </w:r>
    </w:p>
    <w:p w14:paraId="76AB5FF1">
      <w:pPr>
        <w:widowControl w:val="0"/>
        <w:jc w:val="both"/>
        <w:rPr>
          <w:rFonts w:ascii="Calibri" w:hAnsi="Calibri" w:eastAsia="宋体"/>
          <w:kern w:val="2"/>
          <w:sz w:val="21"/>
          <w:szCs w:val="22"/>
          <w:lang w:eastAsia="zh-CN"/>
        </w:rPr>
      </w:pPr>
      <w:r>
        <w:rPr>
          <w:rFonts w:hint="eastAsia" w:ascii="Calibri" w:hAnsi="宋体" w:eastAsia="宋体" w:cstheme="minorBidi"/>
          <w:bCs/>
          <w:sz w:val="21"/>
          <w:szCs w:val="22"/>
          <w:lang w:eastAsia="zh-CN"/>
        </w:rPr>
        <w:t>1、该部分内容由投标人根据自身实际情况填写，不符合要求的投标人可以不填写或直接删除相应的声明函。</w:t>
      </w:r>
      <w:r>
        <w:rPr>
          <w:rFonts w:hint="eastAsia" w:ascii="Calibri" w:hAnsi="Calibri" w:eastAsia="宋体" w:cstheme="minorBidi"/>
          <w:kern w:val="2"/>
          <w:sz w:val="21"/>
          <w:szCs w:val="22"/>
          <w:lang w:eastAsia="zh-CN"/>
        </w:rPr>
        <w:t>投标人提供的声明函不属实的，属于提供虚假资料谋取中标，依照《中华人民共和国政府采购法》等国家有关规定追究相应责任。</w:t>
      </w:r>
    </w:p>
    <w:p w14:paraId="1E44DC20">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2、该部分内容填写需要参考的相关文件：</w:t>
      </w:r>
    </w:p>
    <w:p w14:paraId="408F5FDB">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1</w:t>
      </w:r>
      <w:r>
        <w:rPr>
          <w:rFonts w:hint="eastAsia" w:ascii="Calibri" w:hAnsi="Calibri" w:eastAsia="宋体" w:cstheme="minorBidi"/>
          <w:kern w:val="2"/>
          <w:sz w:val="21"/>
          <w:szCs w:val="22"/>
          <w:lang w:eastAsia="zh-CN"/>
        </w:rPr>
        <w:t>)财政部《政府采购促进中小企业发展管理办法》（财库〔2020〕46号）；</w:t>
      </w:r>
    </w:p>
    <w:p w14:paraId="5D9544B9">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2</w:t>
      </w:r>
      <w:r>
        <w:rPr>
          <w:rFonts w:hint="eastAsia" w:ascii="Calibri" w:hAnsi="Calibri" w:eastAsia="宋体" w:cstheme="minorBidi"/>
          <w:kern w:val="2"/>
          <w:sz w:val="21"/>
          <w:szCs w:val="22"/>
          <w:lang w:eastAsia="zh-CN"/>
        </w:rPr>
        <w:t>)《工业和信息化部、国家统计局、国家发展和改革委员会、财政部关于印发中小企业划型标准规定的通知》（工信部联企业〔2011〕300号，以下简称3</w:t>
      </w:r>
      <w:r>
        <w:rPr>
          <w:rFonts w:ascii="Calibri" w:hAnsi="Calibri" w:eastAsia="宋体" w:cstheme="minorBidi"/>
          <w:kern w:val="2"/>
          <w:sz w:val="21"/>
          <w:szCs w:val="22"/>
          <w:lang w:eastAsia="zh-CN"/>
        </w:rPr>
        <w:t>00</w:t>
      </w:r>
      <w:r>
        <w:rPr>
          <w:rFonts w:hint="eastAsia" w:ascii="Calibri" w:hAnsi="Calibri" w:eastAsia="宋体" w:cstheme="minorBidi"/>
          <w:kern w:val="2"/>
          <w:sz w:val="21"/>
          <w:szCs w:val="22"/>
          <w:lang w:eastAsia="zh-CN"/>
        </w:rPr>
        <w:t>号文）；</w:t>
      </w:r>
    </w:p>
    <w:p w14:paraId="297F3560">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(3)《统计上大中小微型企业划分办法(2017)》（国统字〔2017〕213号）；</w:t>
      </w:r>
    </w:p>
    <w:p w14:paraId="7F27AEA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(4)《关于促进残疾人就业政府采购政策的通知》（财库〔2017〕141号）；</w:t>
      </w:r>
    </w:p>
    <w:p w14:paraId="6E57CC3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(5)《关于政府采购支持监狱企业发展有关问题的通知》（财库〔2014〕68号）</w:t>
      </w:r>
    </w:p>
    <w:p w14:paraId="6F24639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3、请依照提供的格式和内容填写声明函，不要随意变更格式；声明函不需要盖章或签字；满足多项优惠政策的投标人，不重复享受多项价格扣除政策。</w:t>
      </w:r>
    </w:p>
    <w:p w14:paraId="4B0CDDF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4、声明函具体填写要求：</w:t>
      </w:r>
    </w:p>
    <w:p w14:paraId="1FAF6E4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（1）声明是中小企业须填写《中小企业声明函》的以下内容：</w:t>
      </w:r>
    </w:p>
    <w:p w14:paraId="76D3518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第一处，在“单位名称”下划线处如实填写采购人名称（深圳市千里招标代理有限公司不是本项目的采购人，而是组织实施机构）；</w:t>
      </w:r>
    </w:p>
    <w:p w14:paraId="5F631B1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第二处，在“项目名称”下划线处如实填写采购项目名称；</w:t>
      </w:r>
    </w:p>
    <w:p w14:paraId="2B12EA6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14:paraId="1C1AD97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14:paraId="4AFB497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29798B1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（2）声明是残疾人福利性单位须填写《残疾人福利性单位声明函》的相关内容，具体参照以上《中小企业声明函》填写要求执行。</w:t>
      </w:r>
    </w:p>
    <w:p w14:paraId="08647AA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（3）声明是监狱企业须填写《监狱企业声明函》的三项内容（填写位置的字体已加粗），具体参照以上《中小企业声明函》填写要求执行。</w:t>
      </w:r>
    </w:p>
    <w:p w14:paraId="74577589">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D837A3D">
      <w:pPr>
        <w:widowControl w:val="0"/>
        <w:ind w:firstLine="420" w:firstLineChars="200"/>
        <w:jc w:val="both"/>
        <w:rPr>
          <w:rFonts w:ascii="Calibri" w:hAnsi="Calibri" w:eastAsia="宋体"/>
          <w:kern w:val="2"/>
          <w:sz w:val="21"/>
          <w:szCs w:val="22"/>
          <w:lang w:eastAsia="zh-CN"/>
        </w:rPr>
      </w:pPr>
    </w:p>
    <w:p w14:paraId="24D911F8">
      <w:pPr>
        <w:widowControl w:val="0"/>
        <w:numPr>
          <w:ilvl w:val="0"/>
          <w:numId w:val="2"/>
        </w:numPr>
        <w:jc w:val="center"/>
        <w:outlineLvl w:val="3"/>
        <w:rPr>
          <w:rFonts w:ascii="Calibri" w:hAnsi="Calibri" w:eastAsia="宋体"/>
          <w:b/>
          <w:kern w:val="2"/>
          <w:szCs w:val="22"/>
          <w:lang w:eastAsia="zh-CN"/>
        </w:rPr>
      </w:pPr>
      <w:r>
        <w:rPr>
          <w:rFonts w:ascii="Calibri" w:hAnsi="Calibri" w:eastAsia="宋体" w:cstheme="minorBidi"/>
          <w:b/>
          <w:kern w:val="2"/>
          <w:szCs w:val="22"/>
          <w:lang w:eastAsia="zh-CN"/>
        </w:rPr>
        <w:t>中小企业声明函（货物）</w:t>
      </w:r>
    </w:p>
    <w:p w14:paraId="46803FC8">
      <w:pPr>
        <w:widowControl w:val="0"/>
        <w:spacing w:line="360" w:lineRule="auto"/>
        <w:jc w:val="both"/>
        <w:rPr>
          <w:rFonts w:ascii="Calibri" w:hAnsi="Calibri" w:eastAsia="宋体"/>
          <w:b/>
          <w:bCs/>
          <w:kern w:val="2"/>
          <w:szCs w:val="22"/>
          <w:lang w:eastAsia="zh-CN"/>
        </w:rPr>
      </w:pPr>
    </w:p>
    <w:p w14:paraId="5C400F20">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（单位名称）</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（项目名称）</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14:paraId="2A4076A1">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（标的名称）</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（工业）</w:t>
      </w:r>
      <w:r>
        <w:rPr>
          <w:rFonts w:hint="eastAsia" w:ascii="宋体" w:hAnsi="宋体" w:eastAsia="宋体" w:cs="宋体"/>
          <w:kern w:val="2"/>
          <w:sz w:val="21"/>
          <w:szCs w:val="21"/>
          <w:lang w:eastAsia="zh-CN"/>
        </w:rPr>
        <w:t>行业；</w:t>
      </w:r>
      <w:r>
        <w:rPr>
          <w:rFonts w:hint="eastAsia" w:ascii="宋体" w:hAnsi="宋体" w:eastAsia="宋体" w:cs="宋体"/>
          <w:b/>
          <w:kern w:val="2"/>
          <w:sz w:val="21"/>
          <w:szCs w:val="21"/>
          <w:lang w:eastAsia="zh-CN"/>
        </w:rPr>
        <w:t>制造商</w:t>
      </w:r>
      <w:r>
        <w:rPr>
          <w:rFonts w:hint="eastAsia" w:ascii="宋体" w:hAnsi="宋体" w:eastAsia="宋体" w:cs="宋体"/>
          <w:kern w:val="2"/>
          <w:sz w:val="21"/>
          <w:szCs w:val="21"/>
          <w:lang w:eastAsia="zh-CN"/>
        </w:rPr>
        <w:t>为</w:t>
      </w:r>
      <w:r>
        <w:rPr>
          <w:rFonts w:hint="eastAsia" w:ascii="宋体" w:hAnsi="宋体" w:eastAsia="宋体" w:cs="宋体"/>
          <w:b/>
          <w:bCs/>
          <w:i/>
          <w:iCs/>
          <w:kern w:val="2"/>
          <w:sz w:val="21"/>
          <w:szCs w:val="21"/>
          <w:u w:val="single"/>
          <w:lang w:eastAsia="zh-CN"/>
        </w:rPr>
        <w:t>（企业名称，要求制造商本身所属行业应当与招标文件要求的行业相一致）</w:t>
      </w:r>
      <w:r>
        <w:rPr>
          <w:rFonts w:hint="eastAsia" w:ascii="宋体" w:hAnsi="宋体" w:eastAsia="宋体" w:cs="宋体"/>
          <w:kern w:val="2"/>
          <w:sz w:val="21"/>
          <w:szCs w:val="21"/>
          <w:lang w:eastAsia="zh-CN"/>
        </w:rPr>
        <w:t>，从业人员人，营业收入为万元，资产总额为万元，属于</w:t>
      </w:r>
      <w:r>
        <w:rPr>
          <w:rFonts w:hint="eastAsia" w:ascii="宋体" w:hAnsi="宋体" w:eastAsia="宋体" w:cs="宋体"/>
          <w:b/>
          <w:bCs/>
          <w:i/>
          <w:iCs/>
          <w:kern w:val="2"/>
          <w:sz w:val="21"/>
          <w:szCs w:val="21"/>
          <w:u w:val="single"/>
          <w:lang w:eastAsia="zh-CN"/>
        </w:rPr>
        <w:t>（中型企业、小型企业、微型企业）</w:t>
      </w:r>
      <w:r>
        <w:rPr>
          <w:rFonts w:hint="eastAsia" w:ascii="宋体" w:hAnsi="宋体" w:eastAsia="宋体" w:cs="宋体"/>
          <w:kern w:val="2"/>
          <w:sz w:val="21"/>
          <w:szCs w:val="21"/>
          <w:lang w:eastAsia="zh-CN"/>
        </w:rPr>
        <w:t>；</w:t>
      </w:r>
    </w:p>
    <w:p w14:paraId="5363463B">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（标的名称）</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（工业）</w:t>
      </w:r>
      <w:r>
        <w:rPr>
          <w:rFonts w:hint="eastAsia" w:ascii="宋体" w:hAnsi="宋体" w:eastAsia="宋体" w:cs="宋体"/>
          <w:kern w:val="2"/>
          <w:sz w:val="21"/>
          <w:szCs w:val="21"/>
          <w:lang w:eastAsia="zh-CN"/>
        </w:rPr>
        <w:t>行业；</w:t>
      </w:r>
      <w:r>
        <w:rPr>
          <w:rFonts w:hint="eastAsia" w:ascii="宋体" w:hAnsi="宋体" w:eastAsia="宋体" w:cs="宋体"/>
          <w:b/>
          <w:kern w:val="2"/>
          <w:sz w:val="21"/>
          <w:szCs w:val="21"/>
          <w:lang w:eastAsia="zh-CN"/>
        </w:rPr>
        <w:t>制造商</w:t>
      </w:r>
      <w:r>
        <w:rPr>
          <w:rFonts w:hint="eastAsia" w:ascii="宋体" w:hAnsi="宋体" w:eastAsia="宋体" w:cs="宋体"/>
          <w:kern w:val="2"/>
          <w:sz w:val="21"/>
          <w:szCs w:val="21"/>
          <w:lang w:eastAsia="zh-CN"/>
        </w:rPr>
        <w:t>为</w:t>
      </w:r>
      <w:r>
        <w:rPr>
          <w:rFonts w:hint="eastAsia" w:ascii="宋体" w:hAnsi="宋体" w:eastAsia="宋体" w:cs="宋体"/>
          <w:b/>
          <w:bCs/>
          <w:i/>
          <w:iCs/>
          <w:kern w:val="2"/>
          <w:sz w:val="21"/>
          <w:szCs w:val="21"/>
          <w:u w:val="single"/>
          <w:lang w:eastAsia="zh-CN"/>
        </w:rPr>
        <w:t>（企业名称，要求制造商本身所属行业应当与招标文件要求的行业相一致）</w:t>
      </w:r>
      <w:r>
        <w:rPr>
          <w:rFonts w:hint="eastAsia" w:ascii="宋体" w:hAnsi="宋体" w:eastAsia="宋体" w:cs="宋体"/>
          <w:kern w:val="2"/>
          <w:sz w:val="21"/>
          <w:szCs w:val="21"/>
          <w:lang w:eastAsia="zh-CN"/>
        </w:rPr>
        <w:t>，从业人员人，营业收入为万元，资产总额为万元，属于</w:t>
      </w:r>
      <w:r>
        <w:rPr>
          <w:rFonts w:hint="eastAsia" w:ascii="宋体" w:hAnsi="宋体" w:eastAsia="宋体" w:cs="宋体"/>
          <w:b/>
          <w:bCs/>
          <w:i/>
          <w:iCs/>
          <w:kern w:val="2"/>
          <w:sz w:val="21"/>
          <w:szCs w:val="21"/>
          <w:u w:val="single"/>
          <w:lang w:eastAsia="zh-CN"/>
        </w:rPr>
        <w:t>（中型企业、小型企业、微型企业）</w:t>
      </w:r>
      <w:r>
        <w:rPr>
          <w:rFonts w:hint="eastAsia" w:ascii="宋体" w:hAnsi="宋体" w:eastAsia="宋体" w:cs="宋体"/>
          <w:kern w:val="2"/>
          <w:sz w:val="21"/>
          <w:szCs w:val="21"/>
          <w:lang w:eastAsia="zh-CN"/>
        </w:rPr>
        <w:t>；</w:t>
      </w:r>
    </w:p>
    <w:p w14:paraId="2F238767">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594D336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以上企业，不属于大企业的分支机构，不存在控股股东为大企业的情形，也不存在与大企业的负责人为同一人的情形。</w:t>
      </w:r>
    </w:p>
    <w:p w14:paraId="0708F956">
      <w:pPr>
        <w:widowControl w:val="0"/>
        <w:spacing w:line="360" w:lineRule="auto"/>
        <w:ind w:firstLine="420" w:firstLineChars="200"/>
        <w:jc w:val="both"/>
        <w:rPr>
          <w:rFonts w:ascii="宋体" w:hAnsi="宋体" w:eastAsia="宋体" w:cs="宋体"/>
          <w:kern w:val="2"/>
          <w:sz w:val="21"/>
          <w:szCs w:val="21"/>
          <w:lang w:eastAsia="zh-CN"/>
        </w:rPr>
      </w:pPr>
      <w:bookmarkStart w:id="23" w:name="_Hlk73562203"/>
      <w:r>
        <w:rPr>
          <w:rFonts w:hint="eastAsia" w:ascii="Calibri" w:hAnsi="Calibri" w:eastAsia="宋体" w:cstheme="minorBidi"/>
          <w:color w:val="FF0000"/>
          <w:kern w:val="2"/>
          <w:sz w:val="21"/>
          <w:szCs w:val="22"/>
          <w:lang w:eastAsia="zh-CN"/>
        </w:rPr>
        <w:t>本项目所属行业：工业；</w:t>
      </w:r>
    </w:p>
    <w:p w14:paraId="73BB4D4C">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本投标人对上述声明内容的真实性负责。如有虚假，将依法承担相应责任。</w:t>
      </w:r>
    </w:p>
    <w:p w14:paraId="2EFBF58A">
      <w:pPr>
        <w:widowControl w:val="0"/>
        <w:spacing w:line="360" w:lineRule="auto"/>
        <w:ind w:firstLine="420" w:firstLineChars="200"/>
        <w:jc w:val="both"/>
        <w:rPr>
          <w:rFonts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3"/>
    </w:p>
    <w:p w14:paraId="06750728">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2、残疾人福利性单位声明函（货物类）</w:t>
      </w:r>
    </w:p>
    <w:p w14:paraId="398A28D8">
      <w:pPr>
        <w:widowControl w:val="0"/>
        <w:jc w:val="both"/>
        <w:rPr>
          <w:rFonts w:ascii="Calibri" w:hAnsi="Calibri" w:eastAsia="宋体"/>
          <w:b/>
          <w:bCs/>
          <w:kern w:val="2"/>
          <w:sz w:val="21"/>
          <w:szCs w:val="22"/>
          <w:lang w:eastAsia="zh-CN"/>
        </w:rPr>
      </w:pPr>
    </w:p>
    <w:p w14:paraId="4FA5DEBC">
      <w:pPr>
        <w:widowControl w:val="0"/>
        <w:spacing w:line="360" w:lineRule="auto"/>
        <w:ind w:firstLine="420" w:firstLineChars="200"/>
        <w:jc w:val="both"/>
        <w:rPr>
          <w:rFonts w:ascii="宋体" w:hAnsi="宋体" w:eastAsia="宋体" w:cs="宋体"/>
          <w:kern w:val="2"/>
          <w:sz w:val="21"/>
          <w:szCs w:val="21"/>
          <w:lang w:eastAsia="zh-CN"/>
        </w:rPr>
      </w:pPr>
      <w:bookmarkStart w:id="24" w:name="_Hlk73562331"/>
      <w:bookmarkStart w:id="25" w:name="_Hlk73562245"/>
      <w:r>
        <w:rPr>
          <w:rFonts w:hint="eastAsia" w:ascii="宋体" w:hAnsi="宋体" w:eastAsia="宋体" w:cs="宋体"/>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（单位名称）</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（项目名称）</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14:paraId="10585743">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3C446A0D">
      <w:pPr>
        <w:widowControl w:val="0"/>
        <w:spacing w:line="360" w:lineRule="auto"/>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4"/>
    </w:p>
    <w:bookmarkEnd w:id="25"/>
    <w:p w14:paraId="3C2DB024">
      <w:pPr>
        <w:widowControl w:val="0"/>
        <w:ind w:firstLine="420" w:firstLineChars="200"/>
        <w:jc w:val="both"/>
        <w:rPr>
          <w:rFonts w:ascii="宋体" w:hAnsi="宋体" w:eastAsia="宋体"/>
          <w:kern w:val="2"/>
          <w:sz w:val="21"/>
          <w:szCs w:val="21"/>
          <w:lang w:eastAsia="zh-CN"/>
        </w:rPr>
      </w:pPr>
    </w:p>
    <w:p w14:paraId="59324830">
      <w:pPr>
        <w:widowControl w:val="0"/>
        <w:ind w:firstLine="420" w:firstLineChars="200"/>
        <w:jc w:val="both"/>
        <w:rPr>
          <w:rFonts w:ascii="宋体" w:hAnsi="宋体" w:eastAsia="宋体"/>
          <w:kern w:val="2"/>
          <w:sz w:val="21"/>
          <w:szCs w:val="21"/>
          <w:lang w:eastAsia="zh-CN"/>
        </w:rPr>
      </w:pPr>
    </w:p>
    <w:p w14:paraId="29980B85">
      <w:pPr>
        <w:widowControl w:val="0"/>
        <w:jc w:val="center"/>
        <w:outlineLvl w:val="3"/>
        <w:rPr>
          <w:rFonts w:ascii="Calibri" w:hAnsi="Calibri" w:eastAsia="宋体"/>
          <w:b/>
          <w:kern w:val="2"/>
          <w:szCs w:val="22"/>
          <w:lang w:eastAsia="zh-CN"/>
        </w:rPr>
      </w:pPr>
      <w:r>
        <w:rPr>
          <w:rFonts w:hint="eastAsia" w:ascii="Calibri" w:hAnsi="Calibri" w:eastAsia="宋体" w:cstheme="minorBidi"/>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14:paraId="2BFDF8DF">
      <w:pPr>
        <w:widowControl w:val="0"/>
        <w:spacing w:line="360" w:lineRule="auto"/>
        <w:ind w:firstLine="420" w:firstLineChars="200"/>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本投标人郑重声明，根据《财政部司法部关于政府采购支持监狱企业发展有关问题的通知》（财库〔</w:t>
      </w:r>
      <w:r>
        <w:rPr>
          <w:rFonts w:ascii="宋体" w:hAnsi="宋体" w:eastAsia="宋体" w:cstheme="minorBidi"/>
          <w:kern w:val="2"/>
          <w:sz w:val="21"/>
          <w:szCs w:val="21"/>
          <w:lang w:eastAsia="zh-CN"/>
        </w:rPr>
        <w:t>2014</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68</w:t>
      </w:r>
      <w:r>
        <w:rPr>
          <w:rFonts w:hint="eastAsia" w:ascii="宋体" w:hAnsi="宋体" w:eastAsia="宋体" w:cstheme="minorBidi"/>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采购人</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的</w:t>
      </w:r>
      <w:r>
        <w:rPr>
          <w:rFonts w:ascii="宋体" w:hAnsi="宋体" w:eastAsia="宋体" w:cstheme="minorBidi"/>
          <w:b/>
          <w:bCs/>
          <w:i/>
          <w:iCs/>
          <w:kern w:val="2"/>
          <w:sz w:val="21"/>
          <w:szCs w:val="21"/>
          <w:u w:val="single"/>
          <w:lang w:eastAsia="zh-CN"/>
        </w:rPr>
        <w:t>（项目名称）</w:t>
      </w:r>
      <w:r>
        <w:rPr>
          <w:rFonts w:ascii="宋体" w:hAnsi="宋体" w:eastAsia="宋体" w:cstheme="minorBidi"/>
          <w:kern w:val="2"/>
          <w:sz w:val="21"/>
          <w:szCs w:val="21"/>
          <w:lang w:eastAsia="zh-CN"/>
        </w:rPr>
        <w:t>采购活动，提供的货物全部由符合政策要求的</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制造。相关</w:t>
      </w:r>
      <w:r>
        <w:rPr>
          <w:rFonts w:hint="eastAsia" w:ascii="宋体" w:hAnsi="宋体" w:eastAsia="宋体" w:cstheme="minorBidi"/>
          <w:kern w:val="2"/>
          <w:sz w:val="21"/>
          <w:szCs w:val="21"/>
          <w:lang w:eastAsia="zh-CN"/>
        </w:rPr>
        <w:t>监狱企业</w:t>
      </w:r>
      <w:r>
        <w:rPr>
          <w:rFonts w:ascii="宋体" w:hAnsi="宋体" w:eastAsia="宋体" w:cstheme="minorBidi"/>
          <w:kern w:val="2"/>
          <w:sz w:val="21"/>
          <w:szCs w:val="21"/>
          <w:lang w:eastAsia="zh-CN"/>
        </w:rPr>
        <w:t>的具体情况如下：</w:t>
      </w:r>
    </w:p>
    <w:p w14:paraId="758298A1">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1.</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，属于</w:t>
      </w:r>
      <w:r>
        <w:rPr>
          <w:rFonts w:hint="eastAsia" w:ascii="宋体" w:hAnsi="宋体" w:eastAsia="宋体" w:cstheme="minorBidi"/>
          <w:b/>
          <w:bCs/>
          <w:kern w:val="2"/>
          <w:sz w:val="21"/>
          <w:szCs w:val="21"/>
          <w:u w:val="single"/>
          <w:lang w:eastAsia="zh-CN"/>
        </w:rPr>
        <w:t>监狱企业</w:t>
      </w:r>
      <w:r>
        <w:rPr>
          <w:rFonts w:ascii="宋体" w:hAnsi="宋体" w:eastAsia="宋体" w:cstheme="minorBidi"/>
          <w:kern w:val="2"/>
          <w:sz w:val="21"/>
          <w:szCs w:val="21"/>
          <w:lang w:eastAsia="zh-CN"/>
        </w:rPr>
        <w:t>；</w:t>
      </w:r>
    </w:p>
    <w:p w14:paraId="162876FB">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2.</w:t>
      </w:r>
      <w:r>
        <w:rPr>
          <w:rFonts w:ascii="宋体" w:hAnsi="宋体" w:eastAsia="宋体" w:cstheme="minorBidi"/>
          <w:b/>
          <w:bCs/>
          <w:i/>
          <w:iCs/>
          <w:kern w:val="2"/>
          <w:sz w:val="21"/>
          <w:szCs w:val="21"/>
          <w:u w:val="single"/>
          <w:lang w:eastAsia="zh-CN"/>
        </w:rPr>
        <w:t>（标的名称）</w:t>
      </w:r>
      <w:r>
        <w:rPr>
          <w:rFonts w:hint="eastAsia" w:ascii="宋体" w:hAnsi="宋体" w:eastAsia="宋体" w:cstheme="minorBidi"/>
          <w:kern w:val="2"/>
          <w:sz w:val="21"/>
          <w:szCs w:val="21"/>
          <w:lang w:eastAsia="zh-CN"/>
        </w:rPr>
        <w:t>，</w:t>
      </w:r>
      <w:r>
        <w:rPr>
          <w:rFonts w:ascii="宋体" w:hAnsi="宋体" w:eastAsia="宋体" w:cstheme="minorBidi"/>
          <w:kern w:val="2"/>
          <w:sz w:val="21"/>
          <w:szCs w:val="21"/>
          <w:lang w:eastAsia="zh-CN"/>
        </w:rPr>
        <w:t>制造商为</w:t>
      </w:r>
      <w:r>
        <w:rPr>
          <w:rFonts w:ascii="宋体" w:hAnsi="宋体" w:eastAsia="宋体" w:cstheme="minorBidi"/>
          <w:b/>
          <w:bCs/>
          <w:i/>
          <w:iCs/>
          <w:kern w:val="2"/>
          <w:sz w:val="21"/>
          <w:szCs w:val="21"/>
          <w:u w:val="single"/>
          <w:lang w:eastAsia="zh-CN"/>
        </w:rPr>
        <w:t>（</w:t>
      </w:r>
      <w:r>
        <w:rPr>
          <w:rFonts w:hint="eastAsia" w:ascii="宋体" w:hAnsi="宋体" w:eastAsia="宋体" w:cstheme="minorBidi"/>
          <w:b/>
          <w:bCs/>
          <w:i/>
          <w:iCs/>
          <w:kern w:val="2"/>
          <w:sz w:val="21"/>
          <w:szCs w:val="21"/>
          <w:u w:val="single"/>
          <w:lang w:eastAsia="zh-CN"/>
        </w:rPr>
        <w:t>企业</w:t>
      </w:r>
      <w:r>
        <w:rPr>
          <w:rFonts w:ascii="宋体" w:hAnsi="宋体" w:eastAsia="宋体" w:cstheme="minorBidi"/>
          <w:b/>
          <w:bCs/>
          <w:i/>
          <w:iCs/>
          <w:kern w:val="2"/>
          <w:sz w:val="21"/>
          <w:szCs w:val="21"/>
          <w:u w:val="single"/>
          <w:lang w:eastAsia="zh-CN"/>
        </w:rPr>
        <w:t>名称）</w:t>
      </w:r>
      <w:r>
        <w:rPr>
          <w:rFonts w:ascii="宋体" w:hAnsi="宋体" w:eastAsia="宋体" w:cstheme="minorBidi"/>
          <w:kern w:val="2"/>
          <w:sz w:val="21"/>
          <w:szCs w:val="21"/>
          <w:lang w:eastAsia="zh-CN"/>
        </w:rPr>
        <w:t>，属于</w:t>
      </w:r>
      <w:r>
        <w:rPr>
          <w:rFonts w:hint="eastAsia" w:ascii="宋体" w:hAnsi="宋体" w:eastAsia="宋体" w:cstheme="minorBidi"/>
          <w:b/>
          <w:bCs/>
          <w:kern w:val="2"/>
          <w:sz w:val="21"/>
          <w:szCs w:val="21"/>
          <w:u w:val="single"/>
          <w:lang w:eastAsia="zh-CN"/>
        </w:rPr>
        <w:t>监狱企业</w:t>
      </w:r>
      <w:r>
        <w:rPr>
          <w:rFonts w:hint="eastAsia" w:ascii="宋体" w:hAnsi="宋体" w:eastAsia="宋体" w:cstheme="minorBidi"/>
          <w:kern w:val="2"/>
          <w:sz w:val="21"/>
          <w:szCs w:val="21"/>
          <w:lang w:eastAsia="zh-CN"/>
        </w:rPr>
        <w:t>。</w:t>
      </w:r>
    </w:p>
    <w:p w14:paraId="2F2C77C0">
      <w:pPr>
        <w:widowControl w:val="0"/>
        <w:jc w:val="both"/>
        <w:rPr>
          <w:rFonts w:hint="eastAsia" w:ascii="Calibri" w:hAnsi="Calibri" w:eastAsia="宋体"/>
          <w:kern w:val="2"/>
          <w:sz w:val="21"/>
          <w:szCs w:val="22"/>
          <w:lang w:eastAsia="zh-CN"/>
        </w:rPr>
      </w:pPr>
      <w:r>
        <w:rPr>
          <w:rFonts w:ascii="Calibri" w:hAnsi="Calibri" w:eastAsia="宋体" w:cstheme="minorBidi"/>
          <w:kern w:val="2"/>
          <w:sz w:val="21"/>
          <w:szCs w:val="22"/>
          <w:lang w:eastAsia="zh-CN"/>
        </w:rPr>
        <w:t>……</w:t>
      </w:r>
    </w:p>
    <w:p w14:paraId="60472669">
      <w:pPr>
        <w:widowControl w:val="0"/>
        <w:spacing w:line="360" w:lineRule="auto"/>
        <w:ind w:firstLine="420" w:firstLineChars="200"/>
        <w:jc w:val="both"/>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cstheme="minorBidi"/>
          <w:kern w:val="2"/>
          <w:sz w:val="21"/>
          <w:szCs w:val="21"/>
          <w:lang w:eastAsia="zh-CN"/>
        </w:rPr>
        <w:t>对上述声明内容的真实性负责。如有虚假，将依法承担相应责任。</w:t>
      </w:r>
    </w:p>
    <w:p w14:paraId="12EDD8BB">
      <w:pPr>
        <w:widowControl w:val="0"/>
        <w:spacing w:line="360" w:lineRule="auto"/>
        <w:ind w:firstLine="420" w:firstLineChars="200"/>
        <w:jc w:val="both"/>
        <w:rPr>
          <w:rFonts w:ascii="Calibri" w:hAnsi="Calibri" w:eastAsia="宋体"/>
          <w:b/>
          <w:bCs/>
          <w:color w:val="FF0000"/>
          <w:kern w:val="2"/>
          <w:sz w:val="21"/>
          <w:szCs w:val="21"/>
          <w:lang w:eastAsia="zh-CN"/>
        </w:rPr>
      </w:pPr>
      <w:r>
        <w:rPr>
          <w:rFonts w:hint="eastAsia" w:ascii="宋体" w:hAnsi="宋体" w:eastAsia="宋体" w:cstheme="minorBidi"/>
          <w:kern w:val="2"/>
          <w:sz w:val="21"/>
          <w:szCs w:val="21"/>
          <w:lang w:eastAsia="zh-CN"/>
        </w:rPr>
        <w:t>附：省级以上监狱管理局、戒毒管理局（含新疆生产建设兵团）出具的监狱企业证明文件。</w:t>
      </w:r>
      <w:bookmarkEnd w:id="22"/>
    </w:p>
    <w:p w14:paraId="4A91C7B3">
      <w:pPr>
        <w:keepNext/>
        <w:keepLines/>
        <w:pageBreakBefore/>
        <w:widowControl w:val="0"/>
        <w:adjustRightInd w:val="0"/>
        <w:snapToGrid w:val="0"/>
        <w:spacing w:line="360" w:lineRule="auto"/>
        <w:jc w:val="center"/>
        <w:textAlignment w:val="baseline"/>
        <w:outlineLvl w:val="2"/>
        <w:rPr>
          <w:rFonts w:hint="eastAsia" w:ascii="黑体" w:hAnsi="宋体" w:eastAsia="黑体"/>
          <w:b/>
          <w:kern w:val="2"/>
          <w:sz w:val="30"/>
          <w:szCs w:val="30"/>
          <w:lang w:eastAsia="zh-CN"/>
        </w:rPr>
      </w:pPr>
      <w:r>
        <w:rPr>
          <w:rFonts w:hint="eastAsia" w:ascii="黑体" w:hAnsi="宋体" w:eastAsia="黑体" w:cstheme="minorBidi"/>
          <w:b/>
          <w:kern w:val="2"/>
          <w:sz w:val="30"/>
          <w:szCs w:val="30"/>
          <w:lang w:eastAsia="zh-CN"/>
        </w:rPr>
        <w:t>四、分项报价清单</w:t>
      </w:r>
    </w:p>
    <w:p w14:paraId="5AEEF7C9">
      <w:pPr>
        <w:widowControl w:val="0"/>
        <w:spacing w:after="60" w:afterLines="25" w:line="300" w:lineRule="auto"/>
        <w:jc w:val="both"/>
        <w:rPr>
          <w:rFonts w:ascii="Arial" w:hAnsi="Arial" w:eastAsia="宋体" w:cs="Arial"/>
          <w:kern w:val="2"/>
          <w:sz w:val="21"/>
          <w:lang w:eastAsia="zh-CN"/>
        </w:rPr>
      </w:pPr>
      <w:r>
        <w:rPr>
          <w:rFonts w:hint="eastAsia" w:ascii="Arial" w:hAnsi="Arial" w:eastAsia="宋体" w:cs="Arial"/>
          <w:color w:val="000000"/>
          <w:kern w:val="2"/>
          <w:sz w:val="21"/>
          <w:lang w:eastAsia="zh-CN"/>
        </w:rPr>
        <w:t>投标单位（投标人）名称：</w:t>
      </w:r>
    </w:p>
    <w:p w14:paraId="32FB094B">
      <w:pPr>
        <w:widowControl w:val="0"/>
        <w:tabs>
          <w:tab w:val="left" w:pos="720"/>
        </w:tabs>
        <w:spacing w:after="60" w:afterLines="25" w:line="300" w:lineRule="auto"/>
        <w:jc w:val="center"/>
        <w:rPr>
          <w:rFonts w:ascii="Arial" w:hAnsi="Arial" w:eastAsia="宋体"/>
          <w:b/>
          <w:kern w:val="2"/>
          <w:lang w:eastAsia="zh-CN"/>
        </w:rPr>
      </w:pPr>
      <w:r>
        <w:rPr>
          <w:rFonts w:hint="eastAsia" w:ascii="Arial" w:hAnsi="Arial" w:eastAsia="宋体"/>
          <w:b/>
          <w:kern w:val="2"/>
          <w:lang w:eastAsia="zh-CN"/>
        </w:rPr>
        <w:t>（一）项目报价表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760"/>
        <w:gridCol w:w="760"/>
        <w:gridCol w:w="760"/>
        <w:gridCol w:w="760"/>
        <w:gridCol w:w="760"/>
        <w:gridCol w:w="760"/>
        <w:gridCol w:w="760"/>
        <w:gridCol w:w="836"/>
        <w:gridCol w:w="836"/>
        <w:gridCol w:w="990"/>
      </w:tblGrid>
      <w:tr w14:paraId="4CAD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94" w:type="pct"/>
            <w:vAlign w:val="center"/>
          </w:tcPr>
          <w:p w14:paraId="0BE1F716">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序号</w:t>
            </w:r>
          </w:p>
        </w:tc>
        <w:tc>
          <w:tcPr>
            <w:tcW w:w="429" w:type="pct"/>
            <w:vAlign w:val="center"/>
          </w:tcPr>
          <w:p w14:paraId="7B456886">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货物名称</w:t>
            </w:r>
          </w:p>
        </w:tc>
        <w:tc>
          <w:tcPr>
            <w:tcW w:w="429" w:type="pct"/>
            <w:vAlign w:val="center"/>
          </w:tcPr>
          <w:p w14:paraId="63EA2B0B">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品牌</w:t>
            </w:r>
          </w:p>
        </w:tc>
        <w:tc>
          <w:tcPr>
            <w:tcW w:w="429" w:type="pct"/>
            <w:vAlign w:val="center"/>
          </w:tcPr>
          <w:p w14:paraId="15BFB982">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规格/型号</w:t>
            </w:r>
          </w:p>
        </w:tc>
        <w:tc>
          <w:tcPr>
            <w:tcW w:w="429" w:type="pct"/>
            <w:vAlign w:val="center"/>
          </w:tcPr>
          <w:p w14:paraId="2B3F82B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制造商名称</w:t>
            </w:r>
          </w:p>
        </w:tc>
        <w:tc>
          <w:tcPr>
            <w:tcW w:w="429" w:type="pct"/>
            <w:vAlign w:val="center"/>
          </w:tcPr>
          <w:p w14:paraId="640F7FD2">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原产地</w:t>
            </w:r>
          </w:p>
        </w:tc>
        <w:tc>
          <w:tcPr>
            <w:tcW w:w="429" w:type="pct"/>
            <w:vAlign w:val="center"/>
          </w:tcPr>
          <w:p w14:paraId="6F4972B9">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数量</w:t>
            </w:r>
          </w:p>
        </w:tc>
        <w:tc>
          <w:tcPr>
            <w:tcW w:w="429" w:type="pct"/>
            <w:vAlign w:val="center"/>
          </w:tcPr>
          <w:p w14:paraId="7CA7BAFA">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单位</w:t>
            </w:r>
          </w:p>
        </w:tc>
        <w:tc>
          <w:tcPr>
            <w:tcW w:w="472" w:type="pct"/>
            <w:vAlign w:val="center"/>
          </w:tcPr>
          <w:p w14:paraId="54269B4E">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单价(元)</w:t>
            </w:r>
          </w:p>
        </w:tc>
        <w:tc>
          <w:tcPr>
            <w:tcW w:w="472" w:type="pct"/>
            <w:vAlign w:val="center"/>
          </w:tcPr>
          <w:p w14:paraId="6A89D177">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合价(元)</w:t>
            </w:r>
          </w:p>
        </w:tc>
        <w:tc>
          <w:tcPr>
            <w:tcW w:w="558" w:type="pct"/>
            <w:vAlign w:val="center"/>
          </w:tcPr>
          <w:p w14:paraId="613F2AFB">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预算金额（元）</w:t>
            </w:r>
          </w:p>
        </w:tc>
      </w:tr>
      <w:tr w14:paraId="1328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4" w:type="pct"/>
            <w:vAlign w:val="center"/>
          </w:tcPr>
          <w:p w14:paraId="3CD7FECE">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1</w:t>
            </w:r>
          </w:p>
        </w:tc>
        <w:tc>
          <w:tcPr>
            <w:tcW w:w="429" w:type="pct"/>
            <w:vAlign w:val="center"/>
          </w:tcPr>
          <w:p w14:paraId="2D73569A">
            <w:pPr>
              <w:widowControl w:val="0"/>
              <w:jc w:val="both"/>
              <w:rPr>
                <w:rFonts w:ascii="Calibri" w:hAnsi="Calibri" w:eastAsia="宋体"/>
                <w:kern w:val="2"/>
                <w:sz w:val="21"/>
                <w:szCs w:val="21"/>
                <w:lang w:eastAsia="zh-CN"/>
              </w:rPr>
            </w:pPr>
          </w:p>
        </w:tc>
        <w:tc>
          <w:tcPr>
            <w:tcW w:w="429" w:type="pct"/>
            <w:vAlign w:val="center"/>
          </w:tcPr>
          <w:p w14:paraId="501C4AB6">
            <w:pPr>
              <w:widowControl w:val="0"/>
              <w:jc w:val="both"/>
              <w:rPr>
                <w:rFonts w:ascii="Calibri" w:hAnsi="Calibri" w:eastAsia="宋体"/>
                <w:kern w:val="2"/>
                <w:sz w:val="21"/>
                <w:szCs w:val="21"/>
                <w:lang w:eastAsia="zh-CN"/>
              </w:rPr>
            </w:pPr>
          </w:p>
        </w:tc>
        <w:tc>
          <w:tcPr>
            <w:tcW w:w="429" w:type="pct"/>
            <w:vAlign w:val="center"/>
          </w:tcPr>
          <w:p w14:paraId="68E63093">
            <w:pPr>
              <w:widowControl w:val="0"/>
              <w:jc w:val="both"/>
              <w:rPr>
                <w:rFonts w:ascii="Calibri" w:hAnsi="Calibri" w:eastAsia="宋体"/>
                <w:kern w:val="2"/>
                <w:sz w:val="21"/>
                <w:szCs w:val="21"/>
                <w:lang w:eastAsia="zh-CN"/>
              </w:rPr>
            </w:pPr>
          </w:p>
        </w:tc>
        <w:tc>
          <w:tcPr>
            <w:tcW w:w="429" w:type="pct"/>
            <w:vAlign w:val="center"/>
          </w:tcPr>
          <w:p w14:paraId="4C807021">
            <w:pPr>
              <w:widowControl w:val="0"/>
              <w:jc w:val="both"/>
              <w:rPr>
                <w:rFonts w:ascii="Calibri" w:hAnsi="Calibri" w:eastAsia="宋体"/>
                <w:kern w:val="2"/>
                <w:sz w:val="21"/>
                <w:szCs w:val="21"/>
                <w:lang w:eastAsia="zh-CN"/>
              </w:rPr>
            </w:pPr>
          </w:p>
        </w:tc>
        <w:tc>
          <w:tcPr>
            <w:tcW w:w="429" w:type="pct"/>
            <w:vAlign w:val="center"/>
          </w:tcPr>
          <w:p w14:paraId="14DEC839">
            <w:pPr>
              <w:widowControl w:val="0"/>
              <w:jc w:val="both"/>
              <w:rPr>
                <w:rFonts w:ascii="Calibri" w:hAnsi="Calibri" w:eastAsia="宋体"/>
                <w:kern w:val="2"/>
                <w:sz w:val="21"/>
                <w:szCs w:val="21"/>
                <w:lang w:eastAsia="zh-CN"/>
              </w:rPr>
            </w:pPr>
          </w:p>
        </w:tc>
        <w:tc>
          <w:tcPr>
            <w:tcW w:w="429" w:type="pct"/>
            <w:vAlign w:val="center"/>
          </w:tcPr>
          <w:p w14:paraId="332CD166">
            <w:pPr>
              <w:widowControl w:val="0"/>
              <w:jc w:val="both"/>
              <w:rPr>
                <w:rFonts w:ascii="Calibri" w:hAnsi="Calibri" w:eastAsia="宋体"/>
                <w:kern w:val="2"/>
                <w:sz w:val="21"/>
                <w:szCs w:val="21"/>
                <w:lang w:eastAsia="zh-CN"/>
              </w:rPr>
            </w:pPr>
          </w:p>
        </w:tc>
        <w:tc>
          <w:tcPr>
            <w:tcW w:w="429" w:type="pct"/>
            <w:vAlign w:val="center"/>
          </w:tcPr>
          <w:p w14:paraId="1E1EBCA6">
            <w:pPr>
              <w:widowControl w:val="0"/>
              <w:jc w:val="both"/>
              <w:rPr>
                <w:rFonts w:ascii="Calibri" w:hAnsi="Calibri" w:eastAsia="宋体"/>
                <w:kern w:val="2"/>
                <w:sz w:val="21"/>
                <w:szCs w:val="21"/>
                <w:lang w:eastAsia="zh-CN"/>
              </w:rPr>
            </w:pPr>
          </w:p>
        </w:tc>
        <w:tc>
          <w:tcPr>
            <w:tcW w:w="472" w:type="pct"/>
            <w:vAlign w:val="center"/>
          </w:tcPr>
          <w:p w14:paraId="4209245C">
            <w:pPr>
              <w:widowControl w:val="0"/>
              <w:jc w:val="both"/>
              <w:rPr>
                <w:rFonts w:ascii="Calibri" w:hAnsi="Calibri" w:eastAsia="宋体"/>
                <w:kern w:val="2"/>
                <w:sz w:val="21"/>
                <w:szCs w:val="21"/>
                <w:lang w:eastAsia="zh-CN"/>
              </w:rPr>
            </w:pPr>
          </w:p>
        </w:tc>
        <w:tc>
          <w:tcPr>
            <w:tcW w:w="472" w:type="pct"/>
            <w:vAlign w:val="center"/>
          </w:tcPr>
          <w:p w14:paraId="2088FEEF">
            <w:pPr>
              <w:widowControl w:val="0"/>
              <w:jc w:val="both"/>
              <w:rPr>
                <w:rFonts w:ascii="Calibri" w:hAnsi="Calibri" w:eastAsia="宋体"/>
                <w:kern w:val="2"/>
                <w:sz w:val="21"/>
                <w:szCs w:val="21"/>
                <w:lang w:eastAsia="zh-CN"/>
              </w:rPr>
            </w:pPr>
          </w:p>
        </w:tc>
        <w:tc>
          <w:tcPr>
            <w:tcW w:w="558" w:type="pct"/>
            <w:vMerge w:val="restart"/>
            <w:vAlign w:val="center"/>
          </w:tcPr>
          <w:p w14:paraId="59AFBA5F">
            <w:pPr>
              <w:widowControl w:val="0"/>
              <w:jc w:val="both"/>
              <w:rPr>
                <w:rFonts w:ascii="Calibri" w:hAnsi="Calibri" w:eastAsia="宋体"/>
                <w:kern w:val="2"/>
                <w:sz w:val="21"/>
                <w:szCs w:val="21"/>
                <w:lang w:eastAsia="zh-CN"/>
              </w:rPr>
            </w:pPr>
          </w:p>
        </w:tc>
      </w:tr>
      <w:tr w14:paraId="16189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94" w:type="pct"/>
            <w:vAlign w:val="center"/>
          </w:tcPr>
          <w:p w14:paraId="2396069D">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2</w:t>
            </w:r>
          </w:p>
        </w:tc>
        <w:tc>
          <w:tcPr>
            <w:tcW w:w="429" w:type="pct"/>
            <w:vAlign w:val="center"/>
          </w:tcPr>
          <w:p w14:paraId="4CCA589E">
            <w:pPr>
              <w:widowControl w:val="0"/>
              <w:jc w:val="both"/>
              <w:rPr>
                <w:rFonts w:ascii="Calibri" w:hAnsi="Calibri" w:eastAsia="宋体"/>
                <w:kern w:val="2"/>
                <w:sz w:val="21"/>
                <w:szCs w:val="21"/>
                <w:lang w:eastAsia="zh-CN"/>
              </w:rPr>
            </w:pPr>
          </w:p>
        </w:tc>
        <w:tc>
          <w:tcPr>
            <w:tcW w:w="429" w:type="pct"/>
            <w:vAlign w:val="center"/>
          </w:tcPr>
          <w:p w14:paraId="32B857C1">
            <w:pPr>
              <w:widowControl w:val="0"/>
              <w:jc w:val="both"/>
              <w:rPr>
                <w:rFonts w:ascii="Calibri" w:hAnsi="Calibri" w:eastAsia="宋体"/>
                <w:kern w:val="2"/>
                <w:sz w:val="21"/>
                <w:szCs w:val="21"/>
                <w:lang w:eastAsia="zh-CN"/>
              </w:rPr>
            </w:pPr>
          </w:p>
        </w:tc>
        <w:tc>
          <w:tcPr>
            <w:tcW w:w="429" w:type="pct"/>
            <w:vAlign w:val="center"/>
          </w:tcPr>
          <w:p w14:paraId="6419C470">
            <w:pPr>
              <w:widowControl w:val="0"/>
              <w:jc w:val="both"/>
              <w:rPr>
                <w:rFonts w:ascii="Calibri" w:hAnsi="Calibri" w:eastAsia="宋体"/>
                <w:kern w:val="2"/>
                <w:sz w:val="21"/>
                <w:szCs w:val="21"/>
                <w:lang w:eastAsia="zh-CN"/>
              </w:rPr>
            </w:pPr>
          </w:p>
        </w:tc>
        <w:tc>
          <w:tcPr>
            <w:tcW w:w="429" w:type="pct"/>
            <w:vAlign w:val="center"/>
          </w:tcPr>
          <w:p w14:paraId="121CF042">
            <w:pPr>
              <w:widowControl w:val="0"/>
              <w:jc w:val="both"/>
              <w:rPr>
                <w:rFonts w:ascii="Calibri" w:hAnsi="Calibri" w:eastAsia="宋体"/>
                <w:kern w:val="2"/>
                <w:sz w:val="21"/>
                <w:szCs w:val="21"/>
                <w:lang w:eastAsia="zh-CN"/>
              </w:rPr>
            </w:pPr>
          </w:p>
        </w:tc>
        <w:tc>
          <w:tcPr>
            <w:tcW w:w="429" w:type="pct"/>
            <w:vAlign w:val="center"/>
          </w:tcPr>
          <w:p w14:paraId="46A4F14C">
            <w:pPr>
              <w:widowControl w:val="0"/>
              <w:jc w:val="both"/>
              <w:rPr>
                <w:rFonts w:ascii="Calibri" w:hAnsi="Calibri" w:eastAsia="宋体"/>
                <w:kern w:val="2"/>
                <w:sz w:val="21"/>
                <w:szCs w:val="21"/>
                <w:lang w:eastAsia="zh-CN"/>
              </w:rPr>
            </w:pPr>
          </w:p>
        </w:tc>
        <w:tc>
          <w:tcPr>
            <w:tcW w:w="429" w:type="pct"/>
            <w:vAlign w:val="center"/>
          </w:tcPr>
          <w:p w14:paraId="6DB0F455">
            <w:pPr>
              <w:widowControl w:val="0"/>
              <w:jc w:val="both"/>
              <w:rPr>
                <w:rFonts w:ascii="Calibri" w:hAnsi="Calibri" w:eastAsia="宋体"/>
                <w:kern w:val="2"/>
                <w:sz w:val="21"/>
                <w:szCs w:val="21"/>
                <w:lang w:eastAsia="zh-CN"/>
              </w:rPr>
            </w:pPr>
          </w:p>
        </w:tc>
        <w:tc>
          <w:tcPr>
            <w:tcW w:w="429" w:type="pct"/>
            <w:vAlign w:val="center"/>
          </w:tcPr>
          <w:p w14:paraId="1B60A76A">
            <w:pPr>
              <w:widowControl w:val="0"/>
              <w:jc w:val="both"/>
              <w:rPr>
                <w:rFonts w:ascii="Calibri" w:hAnsi="Calibri" w:eastAsia="宋体"/>
                <w:kern w:val="2"/>
                <w:sz w:val="21"/>
                <w:szCs w:val="21"/>
                <w:lang w:eastAsia="zh-CN"/>
              </w:rPr>
            </w:pPr>
          </w:p>
        </w:tc>
        <w:tc>
          <w:tcPr>
            <w:tcW w:w="472" w:type="pct"/>
            <w:vAlign w:val="center"/>
          </w:tcPr>
          <w:p w14:paraId="400545CF">
            <w:pPr>
              <w:widowControl w:val="0"/>
              <w:jc w:val="both"/>
              <w:rPr>
                <w:rFonts w:ascii="Calibri" w:hAnsi="Calibri" w:eastAsia="宋体"/>
                <w:kern w:val="2"/>
                <w:sz w:val="21"/>
                <w:szCs w:val="21"/>
                <w:lang w:eastAsia="zh-CN"/>
              </w:rPr>
            </w:pPr>
          </w:p>
        </w:tc>
        <w:tc>
          <w:tcPr>
            <w:tcW w:w="472" w:type="pct"/>
            <w:vAlign w:val="center"/>
          </w:tcPr>
          <w:p w14:paraId="267BD936">
            <w:pPr>
              <w:widowControl w:val="0"/>
              <w:jc w:val="both"/>
              <w:rPr>
                <w:rFonts w:ascii="Calibri" w:hAnsi="Calibri" w:eastAsia="宋体"/>
                <w:kern w:val="2"/>
                <w:sz w:val="21"/>
                <w:szCs w:val="21"/>
                <w:lang w:eastAsia="zh-CN"/>
              </w:rPr>
            </w:pPr>
          </w:p>
        </w:tc>
        <w:tc>
          <w:tcPr>
            <w:tcW w:w="558" w:type="pct"/>
            <w:vMerge w:val="continue"/>
            <w:vAlign w:val="center"/>
          </w:tcPr>
          <w:p w14:paraId="22E4AC21">
            <w:pPr>
              <w:widowControl w:val="0"/>
              <w:jc w:val="both"/>
              <w:rPr>
                <w:rFonts w:ascii="Calibri" w:hAnsi="Calibri" w:eastAsia="宋体"/>
                <w:kern w:val="2"/>
                <w:sz w:val="21"/>
                <w:szCs w:val="21"/>
                <w:lang w:eastAsia="zh-CN"/>
              </w:rPr>
            </w:pPr>
          </w:p>
        </w:tc>
      </w:tr>
      <w:tr w14:paraId="1D51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4" w:type="pct"/>
            <w:vAlign w:val="center"/>
          </w:tcPr>
          <w:p w14:paraId="1F2821E5">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3</w:t>
            </w:r>
          </w:p>
        </w:tc>
        <w:tc>
          <w:tcPr>
            <w:tcW w:w="429" w:type="pct"/>
            <w:vAlign w:val="center"/>
          </w:tcPr>
          <w:p w14:paraId="74B09F64">
            <w:pPr>
              <w:widowControl w:val="0"/>
              <w:jc w:val="both"/>
              <w:rPr>
                <w:rFonts w:ascii="Calibri" w:hAnsi="Calibri" w:eastAsia="宋体"/>
                <w:kern w:val="2"/>
                <w:sz w:val="21"/>
                <w:szCs w:val="21"/>
                <w:lang w:eastAsia="zh-CN"/>
              </w:rPr>
            </w:pPr>
          </w:p>
        </w:tc>
        <w:tc>
          <w:tcPr>
            <w:tcW w:w="429" w:type="pct"/>
            <w:vAlign w:val="center"/>
          </w:tcPr>
          <w:p w14:paraId="117071D0">
            <w:pPr>
              <w:widowControl w:val="0"/>
              <w:jc w:val="both"/>
              <w:rPr>
                <w:rFonts w:ascii="Calibri" w:hAnsi="Calibri" w:eastAsia="宋体"/>
                <w:kern w:val="2"/>
                <w:sz w:val="21"/>
                <w:szCs w:val="21"/>
                <w:lang w:eastAsia="zh-CN"/>
              </w:rPr>
            </w:pPr>
          </w:p>
        </w:tc>
        <w:tc>
          <w:tcPr>
            <w:tcW w:w="429" w:type="pct"/>
            <w:vAlign w:val="center"/>
          </w:tcPr>
          <w:p w14:paraId="6D280E52">
            <w:pPr>
              <w:widowControl w:val="0"/>
              <w:jc w:val="both"/>
              <w:rPr>
                <w:rFonts w:ascii="Calibri" w:hAnsi="Calibri" w:eastAsia="宋体"/>
                <w:kern w:val="2"/>
                <w:sz w:val="21"/>
                <w:szCs w:val="21"/>
                <w:lang w:eastAsia="zh-CN"/>
              </w:rPr>
            </w:pPr>
          </w:p>
        </w:tc>
        <w:tc>
          <w:tcPr>
            <w:tcW w:w="429" w:type="pct"/>
            <w:vAlign w:val="center"/>
          </w:tcPr>
          <w:p w14:paraId="71A48A71">
            <w:pPr>
              <w:widowControl w:val="0"/>
              <w:jc w:val="both"/>
              <w:rPr>
                <w:rFonts w:ascii="Calibri" w:hAnsi="Calibri" w:eastAsia="宋体"/>
                <w:kern w:val="2"/>
                <w:sz w:val="21"/>
                <w:szCs w:val="21"/>
                <w:lang w:eastAsia="zh-CN"/>
              </w:rPr>
            </w:pPr>
          </w:p>
        </w:tc>
        <w:tc>
          <w:tcPr>
            <w:tcW w:w="429" w:type="pct"/>
            <w:vAlign w:val="center"/>
          </w:tcPr>
          <w:p w14:paraId="56D76D63">
            <w:pPr>
              <w:widowControl w:val="0"/>
              <w:jc w:val="both"/>
              <w:rPr>
                <w:rFonts w:ascii="Calibri" w:hAnsi="Calibri" w:eastAsia="宋体"/>
                <w:kern w:val="2"/>
                <w:sz w:val="21"/>
                <w:szCs w:val="21"/>
                <w:lang w:eastAsia="zh-CN"/>
              </w:rPr>
            </w:pPr>
          </w:p>
        </w:tc>
        <w:tc>
          <w:tcPr>
            <w:tcW w:w="429" w:type="pct"/>
            <w:vAlign w:val="center"/>
          </w:tcPr>
          <w:p w14:paraId="6BB5CA01">
            <w:pPr>
              <w:widowControl w:val="0"/>
              <w:jc w:val="both"/>
              <w:rPr>
                <w:rFonts w:ascii="Calibri" w:hAnsi="Calibri" w:eastAsia="宋体"/>
                <w:kern w:val="2"/>
                <w:sz w:val="21"/>
                <w:szCs w:val="21"/>
                <w:lang w:eastAsia="zh-CN"/>
              </w:rPr>
            </w:pPr>
          </w:p>
        </w:tc>
        <w:tc>
          <w:tcPr>
            <w:tcW w:w="429" w:type="pct"/>
            <w:vAlign w:val="center"/>
          </w:tcPr>
          <w:p w14:paraId="0DEACB9B">
            <w:pPr>
              <w:widowControl w:val="0"/>
              <w:jc w:val="both"/>
              <w:rPr>
                <w:rFonts w:ascii="Calibri" w:hAnsi="Calibri" w:eastAsia="宋体"/>
                <w:kern w:val="2"/>
                <w:sz w:val="21"/>
                <w:szCs w:val="21"/>
                <w:lang w:eastAsia="zh-CN"/>
              </w:rPr>
            </w:pPr>
          </w:p>
        </w:tc>
        <w:tc>
          <w:tcPr>
            <w:tcW w:w="472" w:type="pct"/>
            <w:vAlign w:val="center"/>
          </w:tcPr>
          <w:p w14:paraId="0A087F88">
            <w:pPr>
              <w:widowControl w:val="0"/>
              <w:jc w:val="both"/>
              <w:rPr>
                <w:rFonts w:ascii="Calibri" w:hAnsi="Calibri" w:eastAsia="宋体"/>
                <w:kern w:val="2"/>
                <w:sz w:val="21"/>
                <w:szCs w:val="21"/>
                <w:lang w:eastAsia="zh-CN"/>
              </w:rPr>
            </w:pPr>
          </w:p>
        </w:tc>
        <w:tc>
          <w:tcPr>
            <w:tcW w:w="472" w:type="pct"/>
            <w:vAlign w:val="center"/>
          </w:tcPr>
          <w:p w14:paraId="76E9269D">
            <w:pPr>
              <w:widowControl w:val="0"/>
              <w:jc w:val="both"/>
              <w:rPr>
                <w:rFonts w:ascii="Calibri" w:hAnsi="Calibri" w:eastAsia="宋体"/>
                <w:kern w:val="2"/>
                <w:sz w:val="21"/>
                <w:szCs w:val="21"/>
                <w:lang w:eastAsia="zh-CN"/>
              </w:rPr>
            </w:pPr>
          </w:p>
        </w:tc>
        <w:tc>
          <w:tcPr>
            <w:tcW w:w="558" w:type="pct"/>
            <w:vMerge w:val="continue"/>
            <w:vAlign w:val="center"/>
          </w:tcPr>
          <w:p w14:paraId="7FF223E2">
            <w:pPr>
              <w:widowControl w:val="0"/>
              <w:jc w:val="both"/>
              <w:rPr>
                <w:rFonts w:ascii="Calibri" w:hAnsi="Calibri" w:eastAsia="宋体"/>
                <w:kern w:val="2"/>
                <w:sz w:val="21"/>
                <w:szCs w:val="21"/>
                <w:lang w:eastAsia="zh-CN"/>
              </w:rPr>
            </w:pPr>
          </w:p>
        </w:tc>
      </w:tr>
      <w:tr w14:paraId="14E6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94" w:type="pct"/>
            <w:vAlign w:val="center"/>
          </w:tcPr>
          <w:p w14:paraId="4445520B">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w:t>
            </w:r>
          </w:p>
        </w:tc>
        <w:tc>
          <w:tcPr>
            <w:tcW w:w="429" w:type="pct"/>
            <w:vAlign w:val="center"/>
          </w:tcPr>
          <w:p w14:paraId="2A200C0F">
            <w:pPr>
              <w:widowControl w:val="0"/>
              <w:jc w:val="both"/>
              <w:rPr>
                <w:rFonts w:ascii="Calibri" w:hAnsi="Calibri" w:eastAsia="宋体"/>
                <w:kern w:val="2"/>
                <w:sz w:val="21"/>
                <w:szCs w:val="21"/>
                <w:lang w:eastAsia="zh-CN"/>
              </w:rPr>
            </w:pPr>
          </w:p>
        </w:tc>
        <w:tc>
          <w:tcPr>
            <w:tcW w:w="429" w:type="pct"/>
            <w:vAlign w:val="center"/>
          </w:tcPr>
          <w:p w14:paraId="339F94A6">
            <w:pPr>
              <w:widowControl w:val="0"/>
              <w:jc w:val="both"/>
              <w:rPr>
                <w:rFonts w:ascii="Calibri" w:hAnsi="Calibri" w:eastAsia="宋体"/>
                <w:kern w:val="2"/>
                <w:sz w:val="21"/>
                <w:szCs w:val="21"/>
                <w:lang w:eastAsia="zh-CN"/>
              </w:rPr>
            </w:pPr>
          </w:p>
        </w:tc>
        <w:tc>
          <w:tcPr>
            <w:tcW w:w="429" w:type="pct"/>
            <w:vAlign w:val="center"/>
          </w:tcPr>
          <w:p w14:paraId="71B754FB">
            <w:pPr>
              <w:widowControl w:val="0"/>
              <w:jc w:val="both"/>
              <w:rPr>
                <w:rFonts w:ascii="Calibri" w:hAnsi="Calibri" w:eastAsia="宋体"/>
                <w:kern w:val="2"/>
                <w:sz w:val="21"/>
                <w:szCs w:val="21"/>
                <w:lang w:eastAsia="zh-CN"/>
              </w:rPr>
            </w:pPr>
          </w:p>
        </w:tc>
        <w:tc>
          <w:tcPr>
            <w:tcW w:w="429" w:type="pct"/>
            <w:vAlign w:val="center"/>
          </w:tcPr>
          <w:p w14:paraId="4F8A80A4">
            <w:pPr>
              <w:widowControl w:val="0"/>
              <w:jc w:val="both"/>
              <w:rPr>
                <w:rFonts w:ascii="Calibri" w:hAnsi="Calibri" w:eastAsia="宋体"/>
                <w:kern w:val="2"/>
                <w:sz w:val="21"/>
                <w:szCs w:val="21"/>
                <w:lang w:eastAsia="zh-CN"/>
              </w:rPr>
            </w:pPr>
          </w:p>
        </w:tc>
        <w:tc>
          <w:tcPr>
            <w:tcW w:w="429" w:type="pct"/>
            <w:vAlign w:val="center"/>
          </w:tcPr>
          <w:p w14:paraId="1213CA4B">
            <w:pPr>
              <w:widowControl w:val="0"/>
              <w:jc w:val="both"/>
              <w:rPr>
                <w:rFonts w:ascii="Calibri" w:hAnsi="Calibri" w:eastAsia="宋体"/>
                <w:kern w:val="2"/>
                <w:sz w:val="21"/>
                <w:szCs w:val="21"/>
                <w:lang w:eastAsia="zh-CN"/>
              </w:rPr>
            </w:pPr>
          </w:p>
        </w:tc>
        <w:tc>
          <w:tcPr>
            <w:tcW w:w="429" w:type="pct"/>
            <w:vAlign w:val="center"/>
          </w:tcPr>
          <w:p w14:paraId="561AB2F4">
            <w:pPr>
              <w:widowControl w:val="0"/>
              <w:jc w:val="both"/>
              <w:rPr>
                <w:rFonts w:ascii="Calibri" w:hAnsi="Calibri" w:eastAsia="宋体"/>
                <w:kern w:val="2"/>
                <w:sz w:val="21"/>
                <w:szCs w:val="21"/>
                <w:lang w:eastAsia="zh-CN"/>
              </w:rPr>
            </w:pPr>
          </w:p>
        </w:tc>
        <w:tc>
          <w:tcPr>
            <w:tcW w:w="429" w:type="pct"/>
            <w:vAlign w:val="center"/>
          </w:tcPr>
          <w:p w14:paraId="54260FF0">
            <w:pPr>
              <w:widowControl w:val="0"/>
              <w:jc w:val="both"/>
              <w:rPr>
                <w:rFonts w:ascii="Calibri" w:hAnsi="Calibri" w:eastAsia="宋体"/>
                <w:kern w:val="2"/>
                <w:sz w:val="21"/>
                <w:szCs w:val="21"/>
                <w:lang w:eastAsia="zh-CN"/>
              </w:rPr>
            </w:pPr>
          </w:p>
        </w:tc>
        <w:tc>
          <w:tcPr>
            <w:tcW w:w="472" w:type="pct"/>
            <w:vAlign w:val="center"/>
          </w:tcPr>
          <w:p w14:paraId="19217E29">
            <w:pPr>
              <w:widowControl w:val="0"/>
              <w:jc w:val="both"/>
              <w:rPr>
                <w:rFonts w:ascii="Calibri" w:hAnsi="Calibri" w:eastAsia="宋体"/>
                <w:kern w:val="2"/>
                <w:sz w:val="21"/>
                <w:szCs w:val="21"/>
                <w:lang w:eastAsia="zh-CN"/>
              </w:rPr>
            </w:pPr>
          </w:p>
        </w:tc>
        <w:tc>
          <w:tcPr>
            <w:tcW w:w="472" w:type="pct"/>
            <w:vAlign w:val="center"/>
          </w:tcPr>
          <w:p w14:paraId="50ADCCD9">
            <w:pPr>
              <w:widowControl w:val="0"/>
              <w:jc w:val="both"/>
              <w:rPr>
                <w:rFonts w:ascii="Calibri" w:hAnsi="Calibri" w:eastAsia="宋体"/>
                <w:kern w:val="2"/>
                <w:sz w:val="21"/>
                <w:szCs w:val="21"/>
                <w:lang w:eastAsia="zh-CN"/>
              </w:rPr>
            </w:pPr>
          </w:p>
        </w:tc>
        <w:tc>
          <w:tcPr>
            <w:tcW w:w="558" w:type="pct"/>
            <w:vMerge w:val="continue"/>
            <w:vAlign w:val="center"/>
          </w:tcPr>
          <w:p w14:paraId="38E41FF3">
            <w:pPr>
              <w:widowControl w:val="0"/>
              <w:jc w:val="both"/>
              <w:rPr>
                <w:rFonts w:ascii="Calibri" w:hAnsi="Calibri" w:eastAsia="宋体"/>
                <w:kern w:val="2"/>
                <w:sz w:val="21"/>
                <w:szCs w:val="21"/>
                <w:lang w:eastAsia="zh-CN"/>
              </w:rPr>
            </w:pPr>
          </w:p>
        </w:tc>
      </w:tr>
      <w:tr w14:paraId="5DB4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639" w:type="pct"/>
            <w:gridSpan w:val="6"/>
            <w:vAlign w:val="center"/>
          </w:tcPr>
          <w:p w14:paraId="5DCBA918">
            <w:pPr>
              <w:widowControl w:val="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投标总价（以上各项之和；币种：人民币；单位：元）</w:t>
            </w:r>
          </w:p>
        </w:tc>
        <w:tc>
          <w:tcPr>
            <w:tcW w:w="2361" w:type="pct"/>
            <w:gridSpan w:val="5"/>
            <w:vAlign w:val="center"/>
          </w:tcPr>
          <w:p w14:paraId="705A58C6">
            <w:pPr>
              <w:widowControl w:val="0"/>
              <w:jc w:val="both"/>
              <w:rPr>
                <w:rFonts w:ascii="Calibri" w:hAnsi="Calibri" w:eastAsia="宋体"/>
                <w:kern w:val="2"/>
                <w:sz w:val="21"/>
                <w:szCs w:val="21"/>
                <w:lang w:eastAsia="zh-CN"/>
              </w:rPr>
            </w:pPr>
          </w:p>
        </w:tc>
      </w:tr>
    </w:tbl>
    <w:p w14:paraId="10707ABA">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填写说明：</w:t>
      </w:r>
    </w:p>
    <w:p w14:paraId="0DCE0D41">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1.本表可根据实际需要增加相关内容，但原有的格式内容不得删减；</w:t>
      </w:r>
    </w:p>
    <w:p w14:paraId="5B17377E">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2.“品牌”可以与商标一致，也可以填写便于区分其他公司商品的制造商简称或者制造商认可的品牌名称。</w:t>
      </w:r>
    </w:p>
    <w:p w14:paraId="36CC7B00">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14:paraId="705E84BA">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4.“原产地”是指该货物的实际生产加工地，而非品牌所在地。</w:t>
      </w:r>
    </w:p>
    <w:p w14:paraId="14B2ECF3">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5.所投货物均应填写制造商名称。“制造商”是指产品制造厂商，产品代工制造的，应填写接受委托生产制造的制造商。</w:t>
      </w:r>
    </w:p>
    <w:p w14:paraId="607E9FE0">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6.以上分项报价表的投标总价应当与开标一览表的投标总价一致。</w:t>
      </w:r>
    </w:p>
    <w:p w14:paraId="5521CC26">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14:paraId="1113BE1C">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14:paraId="764D64E2">
      <w:pPr>
        <w:widowControl/>
        <w:wordWrap w:val="0"/>
        <w:autoSpaceDE w:val="0"/>
        <w:autoSpaceDN w:val="0"/>
        <w:spacing w:line="400" w:lineRule="exact"/>
        <w:ind w:left="0" w:leftChars="0" w:right="32" w:rightChars="0" w:firstLine="0" w:firstLineChars="0"/>
        <w:jc w:val="both"/>
        <w:rPr>
          <w:rFonts w:hint="eastAsia" w:eastAsia="宋体"/>
          <w:kern w:val="2"/>
          <w:sz w:val="21"/>
          <w:lang w:eastAsia="zh-CN"/>
        </w:rPr>
      </w:pPr>
      <w:r>
        <w:rPr>
          <w:rFonts w:hint="eastAsia" w:eastAsia="宋体"/>
          <w:kern w:val="2"/>
          <w:sz w:val="21"/>
          <w:lang w:eastAsia="zh-CN"/>
        </w:rPr>
        <w:t>★9.如未提供《（一）项目报价表》或者不按《第三章用户需求书：二、货物需求明细》要求填报、漏报或错报的将作投标无效处理。</w:t>
      </w:r>
    </w:p>
    <w:p w14:paraId="2150D7C6">
      <w:pPr>
        <w:widowControl w:val="0"/>
        <w:spacing w:after="120" w:line="240" w:lineRule="auto"/>
        <w:ind w:left="480" w:leftChars="200" w:firstLine="420" w:firstLineChars="200"/>
        <w:jc w:val="both"/>
        <w:rPr>
          <w:rFonts w:hint="eastAsia" w:eastAsia="宋体"/>
          <w:kern w:val="2"/>
          <w:sz w:val="21"/>
          <w:lang w:eastAsia="zh-CN"/>
        </w:rPr>
      </w:pPr>
    </w:p>
    <w:p w14:paraId="7A0D30E4">
      <w:pPr>
        <w:widowControl w:val="0"/>
        <w:spacing w:after="120" w:line="240" w:lineRule="auto"/>
        <w:ind w:left="0" w:leftChars="0" w:firstLine="0" w:firstLineChars="0"/>
        <w:jc w:val="both"/>
        <w:rPr>
          <w:rFonts w:hint="eastAsia" w:eastAsia="宋体"/>
          <w:kern w:val="2"/>
          <w:sz w:val="21"/>
          <w:lang w:eastAsia="zh-CN"/>
        </w:rPr>
      </w:pPr>
    </w:p>
    <w:p w14:paraId="406648BB">
      <w:pPr>
        <w:widowControl w:val="0"/>
        <w:spacing w:after="120" w:line="240" w:lineRule="auto"/>
        <w:ind w:left="0" w:leftChars="0" w:firstLine="0" w:firstLineChars="0"/>
        <w:jc w:val="both"/>
        <w:rPr>
          <w:rFonts w:hint="eastAsia" w:eastAsia="宋体"/>
          <w:kern w:val="2"/>
          <w:sz w:val="21"/>
          <w:lang w:eastAsia="zh-CN"/>
        </w:rPr>
      </w:pPr>
    </w:p>
    <w:p w14:paraId="59EDF84E">
      <w:pPr>
        <w:widowControl w:val="0"/>
        <w:tabs>
          <w:tab w:val="left" w:pos="720"/>
        </w:tabs>
        <w:spacing w:after="60" w:afterLines="25" w:line="300" w:lineRule="auto"/>
        <w:jc w:val="center"/>
        <w:rPr>
          <w:rFonts w:hint="eastAsia" w:ascii="Arial" w:hAnsi="Arial" w:eastAsia="宋体"/>
          <w:b/>
          <w:kern w:val="2"/>
          <w:lang w:eastAsia="zh-CN"/>
        </w:rPr>
      </w:pPr>
      <w:r>
        <w:rPr>
          <w:rFonts w:hint="eastAsia" w:ascii="Arial" w:hAnsi="Arial" w:eastAsia="宋体"/>
          <w:b/>
          <w:kern w:val="2"/>
          <w:lang w:eastAsia="zh-CN"/>
        </w:rPr>
        <w:t>（二）核心产品品牌</w:t>
      </w:r>
    </w:p>
    <w:p w14:paraId="22719435">
      <w:pPr>
        <w:widowControl w:val="0"/>
        <w:spacing w:after="120" w:line="240" w:lineRule="auto"/>
        <w:ind w:left="480" w:leftChars="200" w:firstLine="420" w:firstLineChars="200"/>
        <w:jc w:val="both"/>
        <w:rPr>
          <w:rFonts w:hint="eastAsia" w:ascii="Calibri" w:hAnsi="Calibri" w:eastAsia="宋体"/>
          <w:kern w:val="2"/>
          <w:sz w:val="21"/>
          <w:szCs w:val="22"/>
          <w:lang w:eastAsia="zh-CN"/>
        </w:rPr>
      </w:pPr>
    </w:p>
    <w:p w14:paraId="203FE481">
      <w:pPr>
        <w:widowControl w:val="0"/>
        <w:ind w:firstLine="482" w:firstLineChars="200"/>
        <w:jc w:val="both"/>
        <w:rPr>
          <w:rFonts w:ascii="宋体" w:hAnsi="宋体" w:eastAsia="宋体"/>
          <w:b/>
          <w:kern w:val="2"/>
          <w:szCs w:val="22"/>
          <w:lang w:eastAsia="zh-CN"/>
        </w:rPr>
      </w:pPr>
      <w:r>
        <w:rPr>
          <w:rFonts w:hint="eastAsia" w:ascii="Calibri" w:hAnsi="Calibri" w:eastAsia="宋体" w:cstheme="minorBidi"/>
          <w:b/>
          <w:kern w:val="2"/>
          <w:szCs w:val="22"/>
          <w:lang w:eastAsia="zh-CN"/>
        </w:rPr>
        <w:t>我单位所投核心产品的品牌为：</w:t>
      </w:r>
      <w:r>
        <w:rPr>
          <w:rFonts w:hint="eastAsia" w:ascii="Calibri" w:hAnsi="Calibri" w:eastAsia="宋体" w:cstheme="minorBidi"/>
          <w:b/>
          <w:kern w:val="2"/>
          <w:szCs w:val="22"/>
          <w:u w:val="single"/>
          <w:lang w:eastAsia="zh-CN"/>
        </w:rPr>
        <w:t xml:space="preserve">               </w:t>
      </w:r>
      <w:r>
        <w:rPr>
          <w:rFonts w:hint="eastAsia" w:ascii="Calibri" w:hAnsi="Calibri" w:eastAsia="宋体" w:cstheme="minorBidi"/>
          <w:b/>
          <w:kern w:val="2"/>
          <w:szCs w:val="22"/>
          <w:lang w:eastAsia="zh-CN"/>
        </w:rPr>
        <w:t>。</w:t>
      </w:r>
    </w:p>
    <w:p w14:paraId="7B401860">
      <w:pPr>
        <w:widowControl/>
        <w:wordWrap w:val="0"/>
        <w:autoSpaceDE w:val="0"/>
        <w:autoSpaceDN w:val="0"/>
        <w:spacing w:line="400" w:lineRule="exact"/>
        <w:ind w:right="808" w:firstLine="420" w:firstLineChars="200"/>
        <w:jc w:val="both"/>
        <w:rPr>
          <w:rFonts w:ascii="Arial" w:hAnsi="Arial" w:eastAsia="宋体"/>
          <w:b/>
          <w:kern w:val="2"/>
          <w:sz w:val="21"/>
          <w:lang w:eastAsia="zh-CN"/>
        </w:rPr>
      </w:pPr>
      <w:r>
        <w:rPr>
          <w:rFonts w:hint="eastAsia" w:eastAsia="宋体"/>
          <w:kern w:val="2"/>
          <w:sz w:val="21"/>
          <w:lang w:eastAsia="zh-CN"/>
        </w:rPr>
        <w:t>备注：单一产品采购项目，核心产品即为该单一产品。</w:t>
      </w:r>
    </w:p>
    <w:p w14:paraId="7A00F0A7">
      <w:pPr>
        <w:widowControl/>
        <w:wordWrap w:val="0"/>
        <w:autoSpaceDE w:val="0"/>
        <w:autoSpaceDN w:val="0"/>
        <w:spacing w:line="400" w:lineRule="exact"/>
        <w:ind w:right="808" w:firstLine="420" w:firstLineChars="200"/>
        <w:jc w:val="both"/>
        <w:rPr>
          <w:rFonts w:eastAsia="宋体"/>
          <w:kern w:val="2"/>
          <w:sz w:val="21"/>
          <w:lang w:eastAsia="zh-CN"/>
        </w:rPr>
      </w:pPr>
    </w:p>
    <w:p w14:paraId="35D97CD8">
      <w:pPr>
        <w:widowControl w:val="0"/>
        <w:tabs>
          <w:tab w:val="left" w:pos="720"/>
        </w:tabs>
        <w:spacing w:after="60" w:afterLines="25" w:line="300" w:lineRule="auto"/>
        <w:jc w:val="center"/>
        <w:rPr>
          <w:rFonts w:hint="eastAsia" w:ascii="Arial" w:hAnsi="Arial" w:eastAsia="宋体"/>
          <w:b/>
          <w:kern w:val="2"/>
          <w:lang w:eastAsia="zh-CN"/>
        </w:rPr>
      </w:pPr>
      <w:r>
        <w:rPr>
          <w:rFonts w:hint="eastAsia" w:ascii="Arial" w:hAnsi="Arial" w:eastAsia="宋体"/>
          <w:b/>
          <w:kern w:val="2"/>
          <w:lang w:eastAsia="zh-CN"/>
        </w:rPr>
        <w:t>（三）可选配件报价清单（非项目需求要求的必备配件，此部分不包括在总报价内）</w:t>
      </w:r>
    </w:p>
    <w:p w14:paraId="65B21FB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注：格式可以参照《（一）项目报价表》表格，并提供相应的品牌/规格/型号、原产地、制造商信息（没有品牌、型号的，用“定制”描述即可）、单价等详细信息</w:t>
      </w:r>
    </w:p>
    <w:p w14:paraId="4F44C912">
      <w:pPr>
        <w:widowControl/>
        <w:wordWrap w:val="0"/>
        <w:autoSpaceDE w:val="0"/>
        <w:autoSpaceDN w:val="0"/>
        <w:spacing w:line="400" w:lineRule="exact"/>
        <w:ind w:right="808" w:firstLine="420" w:firstLineChars="200"/>
        <w:jc w:val="both"/>
        <w:rPr>
          <w:rFonts w:eastAsia="宋体"/>
          <w:kern w:val="2"/>
          <w:sz w:val="21"/>
          <w:lang w:eastAsia="zh-CN"/>
        </w:rPr>
      </w:pPr>
    </w:p>
    <w:p w14:paraId="332BA0C7">
      <w:pPr>
        <w:widowControl w:val="0"/>
        <w:tabs>
          <w:tab w:val="left" w:pos="720"/>
        </w:tabs>
        <w:spacing w:after="60" w:afterLines="25" w:line="300" w:lineRule="auto"/>
        <w:jc w:val="center"/>
        <w:rPr>
          <w:rFonts w:hint="eastAsia" w:ascii="Arial" w:hAnsi="Arial" w:eastAsia="宋体"/>
          <w:b/>
          <w:kern w:val="2"/>
          <w:lang w:eastAsia="zh-CN"/>
        </w:rPr>
      </w:pPr>
      <w:r>
        <w:rPr>
          <w:rFonts w:hint="eastAsia" w:ascii="Arial" w:hAnsi="Arial" w:eastAsia="宋体"/>
          <w:b/>
          <w:kern w:val="2"/>
          <w:lang w:eastAsia="zh-CN"/>
        </w:rPr>
        <w:t>（四）供应商认为需要涉及的其他内容报价清单</w:t>
      </w:r>
    </w:p>
    <w:p w14:paraId="3C8BED5A">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54847AC9">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5B43AF1F">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30CBFA78">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5BF98F01">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722F00E1">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5004A69E">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22D3FE74">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238D34BA">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6274043A">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37639DEC">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037D88DF">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360C2B04">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20AD14B5">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30AC0EF1">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5E22C27F">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6D04B44F">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1FE364B0">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0EEA1749">
      <w:pPr>
        <w:widowControl w:val="0"/>
        <w:numPr>
          <w:ilvl w:val="0"/>
          <w:numId w:val="0"/>
        </w:numPr>
        <w:spacing w:after="120" w:line="240" w:lineRule="auto"/>
        <w:ind w:left="0" w:firstLine="0"/>
        <w:jc w:val="both"/>
        <w:rPr>
          <w:rFonts w:ascii="Calibri" w:hAnsi="Calibri" w:eastAsia="宋体"/>
          <w:kern w:val="2"/>
          <w:sz w:val="21"/>
          <w:szCs w:val="22"/>
          <w:lang w:eastAsia="zh-CN"/>
        </w:rPr>
      </w:pPr>
    </w:p>
    <w:p w14:paraId="25ED39E2">
      <w:pPr>
        <w:keepNext/>
        <w:keepLines/>
        <w:widowControl/>
        <w:spacing w:before="260" w:after="260"/>
        <w:jc w:val="center"/>
        <w:outlineLvl w:val="2"/>
        <w:rPr>
          <w:rFonts w:ascii="黑体" w:hAnsi="宋体" w:eastAsia="黑体"/>
          <w:b/>
          <w:kern w:val="2"/>
          <w:sz w:val="30"/>
          <w:szCs w:val="30"/>
          <w:lang w:eastAsia="zh-CN"/>
        </w:rPr>
      </w:pPr>
      <w:r>
        <w:rPr>
          <w:rFonts w:hint="eastAsia" w:ascii="黑体" w:hAnsi="宋体" w:eastAsia="黑体"/>
          <w:b/>
          <w:kern w:val="2"/>
          <w:sz w:val="30"/>
          <w:szCs w:val="30"/>
          <w:lang w:eastAsia="zh-CN"/>
        </w:rPr>
        <w:t>五、股东构成审查表</w:t>
      </w:r>
    </w:p>
    <w:p w14:paraId="13A569B3">
      <w:pPr>
        <w:keepNext/>
        <w:keepLines/>
        <w:widowControl w:val="0"/>
        <w:numPr>
          <w:ilvl w:val="0"/>
          <w:numId w:val="3"/>
        </w:numPr>
        <w:kinsoku/>
        <w:overflowPunct/>
        <w:topLinePunct w:val="0"/>
        <w:bidi w:val="0"/>
        <w:spacing w:before="0" w:beforeAutospacing="0" w:after="0" w:afterAutospacing="0" w:line="360" w:lineRule="auto"/>
        <w:ind w:left="0" w:leftChars="0" w:right="0" w:firstLine="0" w:firstLineChars="0"/>
        <w:jc w:val="both"/>
        <w:outlineLvl w:val="2"/>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提供投标人所在地的市场监督管理部门“商事登记簿查询（商事主体登记及备案信息查询）”查询截图或提供国家企业信用信息公示系统截图；</w:t>
      </w:r>
    </w:p>
    <w:p w14:paraId="4235644B">
      <w:pPr>
        <w:keepNext/>
        <w:keepLines/>
        <w:widowControl w:val="0"/>
        <w:numPr>
          <w:ilvl w:val="0"/>
          <w:numId w:val="0"/>
        </w:numPr>
        <w:kinsoku/>
        <w:overflowPunct/>
        <w:topLinePunct w:val="0"/>
        <w:bidi w:val="0"/>
        <w:spacing w:before="0" w:beforeAutospacing="0" w:after="0" w:afterAutospacing="0" w:line="360" w:lineRule="auto"/>
        <w:ind w:left="0" w:leftChars="0" w:right="0" w:rightChars="0" w:firstLine="0"/>
        <w:jc w:val="both"/>
        <w:outlineLvl w:val="9"/>
        <w:rPr>
          <w:rFonts w:hint="eastAsia" w:ascii="宋体" w:hAnsi="宋体" w:eastAsia="宋体" w:cs="宋体"/>
          <w:kern w:val="2"/>
          <w:sz w:val="21"/>
          <w:szCs w:val="22"/>
          <w:lang w:eastAsia="zh-CN"/>
        </w:rPr>
      </w:pPr>
      <w:r>
        <w:rPr>
          <w:rFonts w:hint="eastAsia" w:ascii="宋体" w:hAnsi="宋体" w:eastAsia="宋体" w:cs="宋体"/>
          <w:b/>
          <w:bCs/>
          <w:kern w:val="2"/>
          <w:sz w:val="21"/>
          <w:szCs w:val="22"/>
          <w:lang w:eastAsia="zh-CN"/>
        </w:rPr>
        <w:t>参考示例1：</w:t>
      </w:r>
      <w:r>
        <w:rPr>
          <w:rFonts w:hint="eastAsia" w:ascii="宋体" w:hAnsi="宋体" w:eastAsia="宋体" w:cs="宋体"/>
          <w:kern w:val="2"/>
          <w:sz w:val="21"/>
          <w:szCs w:val="22"/>
          <w:lang w:eastAsia="zh-CN"/>
        </w:rPr>
        <w:t>“深圳市市场监督管理局——商事登记簿查询（商事主体登记及备案信息查询）：</w:t>
      </w:r>
      <w:r>
        <w:fldChar w:fldCharType="begin"/>
      </w:r>
      <w:r>
        <w:instrText xml:space="preserve"> HYPERLINK "https://amr.sz.gov.cn/outer/entSelect/gs.html" </w:instrText>
      </w:r>
      <w:r>
        <w:fldChar w:fldCharType="separate"/>
      </w:r>
      <w:r>
        <w:rPr>
          <w:rFonts w:hint="eastAsia" w:ascii="宋体" w:hAnsi="宋体" w:eastAsia="宋体" w:cs="宋体"/>
          <w:color w:val="0000FF"/>
          <w:kern w:val="2"/>
          <w:sz w:val="21"/>
          <w:szCs w:val="22"/>
          <w:u w:val="single"/>
          <w:lang w:eastAsia="zh-CN"/>
        </w:rPr>
        <w:t>https://amr.sz.gov.cn/outer/entSelect/gs.html”。</w:t>
      </w:r>
      <w:r>
        <w:rPr>
          <w:rFonts w:hint="eastAsia" w:ascii="宋体" w:hAnsi="宋体" w:eastAsia="宋体" w:cs="宋体"/>
          <w:color w:val="0000FF"/>
          <w:kern w:val="2"/>
          <w:sz w:val="21"/>
          <w:szCs w:val="22"/>
          <w:u w:val="single"/>
          <w:lang w:eastAsia="zh-CN"/>
        </w:rPr>
        <w:fldChar w:fldCharType="end"/>
      </w:r>
    </w:p>
    <w:p w14:paraId="71204593">
      <w:pPr>
        <w:widowControl/>
        <w:spacing w:line="360" w:lineRule="auto"/>
        <w:ind w:firstLine="480" w:firstLineChars="200"/>
        <w:jc w:val="left"/>
        <w:rPr>
          <w:rFonts w:ascii="宋体" w:hAnsi="宋体" w:eastAsia="宋体"/>
          <w:bCs/>
          <w:kern w:val="2"/>
          <w:sz w:val="21"/>
          <w:szCs w:val="21"/>
          <w:lang w:eastAsia="zh-CN"/>
        </w:rPr>
      </w:pPr>
      <w:r>
        <w:rPr>
          <w:rFonts w:ascii="宋体" w:hAnsi="宋体" w:eastAsia="宋体" w:cs="Times New Roman"/>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r:embed="rId6"/>
                    <a:stretch>
                      <a:fillRect/>
                    </a:stretch>
                  </pic:blipFill>
                  <pic:spPr>
                    <a:xfrm>
                      <a:off x="0" y="0"/>
                      <a:ext cx="4886325" cy="4972050"/>
                    </a:xfrm>
                    <a:prstGeom prst="rect">
                      <a:avLst/>
                    </a:prstGeom>
                    <a:noFill/>
                    <a:ln w="9525">
                      <a:noFill/>
                      <a:miter lim="800000"/>
                      <a:headEnd/>
                      <a:tailEnd/>
                    </a:ln>
                  </pic:spPr>
                </pic:pic>
              </a:graphicData>
            </a:graphic>
          </wp:inline>
        </w:drawing>
      </w:r>
    </w:p>
    <w:p w14:paraId="4FD42D86">
      <w:pPr>
        <w:widowControl/>
        <w:jc w:val="left"/>
        <w:rPr>
          <w:rFonts w:ascii="Calibri" w:hAnsi="Calibri" w:eastAsia="宋体"/>
          <w:kern w:val="2"/>
          <w:sz w:val="21"/>
          <w:szCs w:val="22"/>
          <w:lang w:eastAsia="zh-CN"/>
        </w:rPr>
      </w:pPr>
      <w:r>
        <w:rPr>
          <w:rFonts w:ascii="宋体" w:hAnsi="宋体" w:eastAsia="宋体" w:cs="Times New Roman"/>
          <w:kern w:val="0"/>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r:embed="rId7"/>
                    <a:stretch>
                      <a:fillRect/>
                    </a:stretch>
                  </pic:blipFill>
                  <pic:spPr>
                    <a:xfrm>
                      <a:off x="0" y="0"/>
                      <a:ext cx="5267325" cy="2543175"/>
                    </a:xfrm>
                    <a:prstGeom prst="rect">
                      <a:avLst/>
                    </a:prstGeom>
                    <a:noFill/>
                    <a:ln w="9525">
                      <a:noFill/>
                      <a:miter lim="800000"/>
                      <a:headEnd/>
                      <a:tailEnd/>
                    </a:ln>
                  </pic:spPr>
                </pic:pic>
              </a:graphicData>
            </a:graphic>
          </wp:inline>
        </w:drawing>
      </w:r>
    </w:p>
    <w:p w14:paraId="5D08FF47">
      <w:pPr>
        <w:widowControl w:val="0"/>
        <w:spacing w:line="360" w:lineRule="auto"/>
        <w:jc w:val="left"/>
        <w:rPr>
          <w:rFonts w:ascii="宋体" w:hAnsi="宋体" w:eastAsia="宋体" w:cs="宋体"/>
          <w:color w:val="0000FF"/>
          <w:kern w:val="2"/>
          <w:sz w:val="21"/>
          <w:szCs w:val="21"/>
          <w:u w:val="single"/>
          <w:lang w:eastAsia="zh-CN"/>
        </w:rPr>
      </w:pPr>
      <w:r>
        <w:rPr>
          <w:rFonts w:hint="eastAsia" w:ascii="宋体" w:hAnsi="宋体" w:eastAsia="宋体" w:cs="宋体"/>
          <w:b/>
          <w:bCs/>
          <w:kern w:val="2"/>
          <w:sz w:val="21"/>
          <w:szCs w:val="21"/>
          <w:lang w:eastAsia="zh-CN"/>
        </w:rPr>
        <w:t>参考示例2：</w:t>
      </w:r>
      <w:r>
        <w:rPr>
          <w:rFonts w:hint="eastAsia" w:ascii="宋体" w:hAnsi="宋体" w:eastAsia="宋体" w:cs="宋体"/>
          <w:kern w:val="2"/>
          <w:sz w:val="21"/>
          <w:szCs w:val="21"/>
          <w:lang w:eastAsia="zh-CN"/>
        </w:rPr>
        <w:t>提供国家企业信用信息公示系统截图。网址：</w:t>
      </w:r>
      <w:r>
        <w:fldChar w:fldCharType="begin"/>
      </w:r>
      <w:r>
        <w:instrText xml:space="preserve"> HYPERLINK "https://www.gsxt.gov.cn/corp-query-homepage.html" </w:instrText>
      </w:r>
      <w:r>
        <w:fldChar w:fldCharType="separate"/>
      </w:r>
      <w:r>
        <w:rPr>
          <w:rFonts w:hint="eastAsia" w:ascii="宋体" w:hAnsi="宋体" w:eastAsia="宋体" w:cs="宋体"/>
          <w:color w:val="0000FF"/>
          <w:kern w:val="2"/>
          <w:sz w:val="21"/>
          <w:szCs w:val="21"/>
          <w:u w:val="single"/>
          <w:lang w:eastAsia="zh-CN"/>
        </w:rPr>
        <w:t>https://www.gsxt.gov.cn/corp-query-homepage.html</w:t>
      </w:r>
      <w:r>
        <w:rPr>
          <w:rFonts w:hint="eastAsia" w:ascii="宋体" w:hAnsi="宋体" w:eastAsia="宋体" w:cs="宋体"/>
          <w:color w:val="0000FF"/>
          <w:kern w:val="2"/>
          <w:sz w:val="21"/>
          <w:szCs w:val="21"/>
          <w:u w:val="single"/>
          <w:lang w:eastAsia="zh-CN"/>
        </w:rPr>
        <w:fldChar w:fldCharType="end"/>
      </w:r>
    </w:p>
    <w:p w14:paraId="262C2BD0">
      <w:pPr>
        <w:widowControl w:val="0"/>
        <w:spacing w:line="360" w:lineRule="auto"/>
        <w:jc w:val="both"/>
        <w:rPr>
          <w:rFonts w:ascii="Calibri" w:hAnsi="Calibri" w:eastAsia="宋体"/>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5471795" cy="4735830"/>
                    </a:xfrm>
                    <a:prstGeom prst="rect">
                      <a:avLst/>
                    </a:prstGeom>
                    <a:noFill/>
                    <a:ln>
                      <a:noFill/>
                    </a:ln>
                  </pic:spPr>
                </pic:pic>
              </a:graphicData>
            </a:graphic>
          </wp:inline>
        </w:drawing>
      </w:r>
    </w:p>
    <w:p w14:paraId="03342CCF">
      <w:pPr>
        <w:widowControl w:val="0"/>
        <w:kinsoku/>
        <w:overflowPunct/>
        <w:topLinePunct w:val="0"/>
        <w:bidi w:val="0"/>
        <w:spacing w:beforeAutospacing="0" w:afterAutospacing="0" w:line="360" w:lineRule="auto"/>
        <w:ind w:left="0" w:leftChars="0" w:right="0" w:firstLine="0" w:firstLineChars="0"/>
        <w:jc w:val="both"/>
        <w:rPr>
          <w:rFonts w:hint="eastAsia" w:ascii="宋体" w:hAnsi="宋体" w:eastAsia="宋体" w:cs="宋体"/>
          <w:b/>
          <w:bCs/>
          <w:color w:val="FF0000"/>
          <w:kern w:val="2"/>
          <w:sz w:val="21"/>
          <w:szCs w:val="22"/>
          <w:highlight w:val="yellow"/>
          <w:lang w:eastAsia="zh-CN"/>
        </w:rPr>
      </w:pPr>
      <w:r>
        <w:rPr>
          <w:rFonts w:hint="eastAsia" w:ascii="宋体" w:hAnsi="宋体" w:eastAsia="宋体" w:cs="宋体"/>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14:paraId="03A70258">
      <w:pPr>
        <w:widowControl w:val="0"/>
        <w:jc w:val="both"/>
        <w:rPr>
          <w:rFonts w:ascii="Calibri" w:hAnsi="Calibri" w:eastAsia="宋体"/>
          <w:kern w:val="2"/>
          <w:sz w:val="21"/>
          <w:szCs w:val="22"/>
          <w:lang w:eastAsia="zh-CN"/>
        </w:rPr>
      </w:pPr>
    </w:p>
    <w:p w14:paraId="376B457C">
      <w:pPr>
        <w:widowControl w:val="0"/>
        <w:spacing w:line="360" w:lineRule="auto"/>
        <w:jc w:val="both"/>
        <w:rPr>
          <w:rFonts w:ascii="Calibri" w:hAnsi="Calibri" w:eastAsia="宋体"/>
          <w:color w:val="FF0000"/>
          <w:kern w:val="2"/>
          <w:sz w:val="21"/>
          <w:szCs w:val="22"/>
          <w:lang w:eastAsia="zh-CN"/>
        </w:rPr>
      </w:pPr>
      <w:r>
        <w:rPr>
          <w:rFonts w:hint="eastAsia" w:ascii="宋体" w:hAnsi="宋体" w:eastAsia="宋体" w:cstheme="minorBidi"/>
          <w:b/>
          <w:color w:val="FF0000"/>
          <w:kern w:val="2"/>
          <w:sz w:val="21"/>
          <w:szCs w:val="22"/>
          <w:lang w:eastAsia="zh-CN"/>
        </w:rPr>
        <w:t>注：</w:t>
      </w:r>
      <w:r>
        <w:rPr>
          <w:rFonts w:hint="eastAsia" w:ascii="宋体" w:hAnsi="宋体" w:eastAsia="宋体" w:cstheme="minorBidi"/>
          <w:b/>
          <w:color w:val="FF0000"/>
          <w:kern w:val="2"/>
          <w:sz w:val="21"/>
          <w:szCs w:val="22"/>
          <w:highlight w:val="yellow"/>
          <w:lang w:eastAsia="zh-CN"/>
        </w:rPr>
        <w:t>若投标供应商因自身的单位性质无法截图的，无需提供截图，例如事业单位或协会等社会组织。</w:t>
      </w:r>
    </w:p>
    <w:p w14:paraId="4CF73742">
      <w:pPr>
        <w:widowControl w:val="0"/>
        <w:spacing w:after="120"/>
        <w:ind w:left="0" w:leftChars="0" w:firstLine="0" w:firstLineChars="0"/>
        <w:jc w:val="both"/>
        <w:rPr>
          <w:rFonts w:hint="eastAsia" w:ascii="宋体" w:hAnsi="宋体" w:eastAsia="宋体" w:cs="宋体"/>
          <w:kern w:val="2"/>
          <w:sz w:val="21"/>
          <w:szCs w:val="22"/>
          <w:lang w:eastAsia="zh-CN"/>
        </w:rPr>
      </w:pPr>
    </w:p>
    <w:p w14:paraId="5B3F9E97">
      <w:pPr>
        <w:keepNext/>
        <w:keepLines/>
        <w:widowControl w:val="0"/>
        <w:kinsoku/>
        <w:overflowPunct/>
        <w:topLinePunct w:val="0"/>
        <w:bidi w:val="0"/>
        <w:spacing w:before="0" w:beforeAutospacing="0" w:after="0" w:afterAutospacing="0" w:line="360" w:lineRule="auto"/>
        <w:ind w:left="0" w:leftChars="0" w:right="0" w:firstLine="0" w:firstLineChars="0"/>
        <w:jc w:val="both"/>
        <w:outlineLvl w:val="2"/>
        <w:rPr>
          <w:rFonts w:hint="eastAsia" w:ascii="宋体" w:hAnsi="宋体" w:eastAsia="宋体" w:cs="宋体"/>
          <w:kern w:val="2"/>
          <w:sz w:val="21"/>
          <w:szCs w:val="22"/>
          <w:lang w:eastAsia="zh-CN"/>
        </w:rPr>
      </w:pPr>
      <w:r>
        <w:rPr>
          <w:rFonts w:hint="eastAsia" w:ascii="宋体" w:hAnsi="宋体" w:eastAsia="宋体" w:cs="宋体"/>
          <w:kern w:val="2"/>
          <w:sz w:val="21"/>
          <w:szCs w:val="22"/>
          <w:lang w:eastAsia="zh-CN"/>
        </w:rPr>
        <w:t>2、股东构成审查表</w:t>
      </w:r>
    </w:p>
    <w:tbl>
      <w:tblPr>
        <w:tblStyle w:val="9"/>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99"/>
        <w:gridCol w:w="6557"/>
      </w:tblGrid>
      <w:tr w14:paraId="4273C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3D4293F7">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投标人名称</w:t>
            </w:r>
          </w:p>
        </w:tc>
        <w:tc>
          <w:tcPr>
            <w:tcW w:w="6315" w:type="dxa"/>
            <w:tcBorders>
              <w:top w:val="single" w:color="000000" w:sz="4" w:space="0"/>
              <w:left w:val="single" w:color="000000" w:sz="4" w:space="0"/>
              <w:bottom w:val="single" w:color="000000" w:sz="4" w:space="0"/>
              <w:right w:val="single" w:color="000000" w:sz="4" w:space="0"/>
            </w:tcBorders>
            <w:vAlign w:val="center"/>
          </w:tcPr>
          <w:p w14:paraId="15F9B2DB">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lang w:eastAsia="zh-CN"/>
              </w:rPr>
            </w:pPr>
          </w:p>
        </w:tc>
      </w:tr>
      <w:tr w14:paraId="2D7F8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5D575A2A">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本单位负责人（法定代表人）姓名</w:t>
            </w:r>
          </w:p>
        </w:tc>
        <w:tc>
          <w:tcPr>
            <w:tcW w:w="6315" w:type="dxa"/>
            <w:tcBorders>
              <w:top w:val="single" w:color="000000" w:sz="4" w:space="0"/>
              <w:left w:val="single" w:color="000000" w:sz="4" w:space="0"/>
              <w:bottom w:val="single" w:color="000000" w:sz="4" w:space="0"/>
              <w:right w:val="single" w:color="000000" w:sz="4" w:space="0"/>
            </w:tcBorders>
            <w:vAlign w:val="center"/>
          </w:tcPr>
          <w:p w14:paraId="791D4D62">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lang w:eastAsia="zh-CN"/>
              </w:rPr>
            </w:pPr>
          </w:p>
        </w:tc>
      </w:tr>
      <w:tr w14:paraId="61412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1AEE53AE">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是否存在本单位的控股股东</w:t>
            </w:r>
          </w:p>
        </w:tc>
        <w:tc>
          <w:tcPr>
            <w:tcW w:w="6315" w:type="dxa"/>
            <w:tcBorders>
              <w:top w:val="single" w:color="000000" w:sz="4" w:space="0"/>
              <w:left w:val="single" w:color="000000" w:sz="4" w:space="0"/>
              <w:bottom w:val="single" w:color="000000" w:sz="4" w:space="0"/>
              <w:right w:val="single" w:color="000000" w:sz="4" w:space="0"/>
            </w:tcBorders>
            <w:vAlign w:val="center"/>
          </w:tcPr>
          <w:p w14:paraId="2534951F">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lang w:eastAsia="zh-CN"/>
              </w:rPr>
              <w:t>□是，其控股股东为：</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color w:val="000000"/>
                <w:kern w:val="2"/>
                <w:sz w:val="21"/>
                <w:szCs w:val="21"/>
                <w:lang w:eastAsia="zh-CN"/>
              </w:rPr>
              <w:t>，股份占比：</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color w:val="000000"/>
                <w:kern w:val="2"/>
                <w:sz w:val="21"/>
                <w:szCs w:val="21"/>
                <w:lang w:eastAsia="zh-CN"/>
              </w:rPr>
              <w:t>；</w:t>
            </w:r>
          </w:p>
          <w:p w14:paraId="3A12C4E4">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其他主要股东及其股份占比：</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color w:val="000000"/>
                <w:kern w:val="2"/>
                <w:sz w:val="21"/>
                <w:szCs w:val="21"/>
                <w:lang w:eastAsia="zh-CN"/>
              </w:rPr>
              <w:t>。</w:t>
            </w:r>
          </w:p>
          <w:p w14:paraId="1D40E220">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□否</w:t>
            </w:r>
          </w:p>
        </w:tc>
      </w:tr>
      <w:tr w14:paraId="29542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0DC1FCB2">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是否存在“与本单位存在管理关系的单位”</w:t>
            </w:r>
          </w:p>
        </w:tc>
        <w:tc>
          <w:tcPr>
            <w:tcW w:w="6315" w:type="dxa"/>
            <w:tcBorders>
              <w:top w:val="single" w:color="000000" w:sz="4" w:space="0"/>
              <w:left w:val="single" w:color="000000" w:sz="4" w:space="0"/>
              <w:bottom w:val="single" w:color="000000" w:sz="4" w:space="0"/>
              <w:right w:val="single" w:color="000000" w:sz="4" w:space="0"/>
            </w:tcBorders>
            <w:vAlign w:val="center"/>
          </w:tcPr>
          <w:p w14:paraId="6FFEB478">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lang w:eastAsia="zh-CN"/>
              </w:rPr>
              <w:t>□是，该单位为：</w:t>
            </w:r>
          </w:p>
          <w:p w14:paraId="6DDD838C">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color w:val="000000"/>
                <w:kern w:val="2"/>
                <w:sz w:val="21"/>
                <w:szCs w:val="21"/>
                <w:lang w:eastAsia="zh-CN"/>
              </w:rPr>
              <w:t>□否</w:t>
            </w:r>
          </w:p>
        </w:tc>
      </w:tr>
      <w:tr w14:paraId="61FB6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7" w:hRule="atLeast"/>
        </w:trPr>
        <w:tc>
          <w:tcPr>
            <w:tcW w:w="2214" w:type="dxa"/>
            <w:tcBorders>
              <w:top w:val="single" w:color="000000" w:sz="4" w:space="0"/>
              <w:left w:val="single" w:color="000000" w:sz="4" w:space="0"/>
              <w:bottom w:val="single" w:color="000000" w:sz="4" w:space="0"/>
              <w:right w:val="single" w:color="000000" w:sz="4" w:space="0"/>
            </w:tcBorders>
            <w:shd w:val="clear" w:color="auto" w:fill="D9E2F3"/>
            <w:vAlign w:val="center"/>
          </w:tcPr>
          <w:p w14:paraId="216287C5">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是否存在“与招标人有利害关系”的情况</w:t>
            </w:r>
          </w:p>
        </w:tc>
        <w:tc>
          <w:tcPr>
            <w:tcW w:w="6315" w:type="dxa"/>
            <w:tcBorders>
              <w:top w:val="single" w:color="000000" w:sz="4" w:space="0"/>
              <w:left w:val="single" w:color="000000" w:sz="4" w:space="0"/>
              <w:bottom w:val="single" w:color="000000" w:sz="4" w:space="0"/>
              <w:right w:val="single" w:color="000000" w:sz="4" w:space="0"/>
            </w:tcBorders>
            <w:vAlign w:val="center"/>
          </w:tcPr>
          <w:p w14:paraId="5F568A60">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u w:val="single"/>
                <w:lang w:eastAsia="zh-CN"/>
              </w:rPr>
            </w:pPr>
            <w:r>
              <w:rPr>
                <w:rFonts w:hint="eastAsia" w:ascii="宋体" w:hAnsi="宋体" w:eastAsia="宋体" w:cs="宋体"/>
                <w:color w:val="000000"/>
                <w:kern w:val="2"/>
                <w:sz w:val="21"/>
                <w:szCs w:val="21"/>
                <w:lang w:eastAsia="zh-CN"/>
              </w:rPr>
              <w:t>□是，与招标人的关系为：</w:t>
            </w:r>
          </w:p>
          <w:p w14:paraId="17A92537">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□否</w:t>
            </w:r>
          </w:p>
        </w:tc>
      </w:tr>
    </w:tbl>
    <w:p w14:paraId="314650F1">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
          <w:bCs/>
          <w:color w:val="000000"/>
          <w:kern w:val="2"/>
          <w:sz w:val="21"/>
          <w:szCs w:val="21"/>
          <w:lang w:eastAsia="zh-CN"/>
        </w:rPr>
      </w:pPr>
      <w:r>
        <w:rPr>
          <w:rFonts w:hint="eastAsia" w:ascii="宋体" w:hAnsi="宋体" w:eastAsia="宋体" w:cs="宋体"/>
          <w:b/>
          <w:bCs/>
          <w:color w:val="000000"/>
          <w:kern w:val="2"/>
          <w:sz w:val="21"/>
          <w:szCs w:val="21"/>
          <w:lang w:eastAsia="zh-CN"/>
        </w:rPr>
        <w:t>注：</w:t>
      </w:r>
    </w:p>
    <w:p w14:paraId="7746FEEC">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14:paraId="28FC03BA">
      <w:pPr>
        <w:widowControl w:val="0"/>
        <w:kinsoku/>
        <w:overflowPunct/>
        <w:topLinePunct w:val="0"/>
        <w:autoSpaceDE w:val="0"/>
        <w:autoSpaceDN w:val="0"/>
        <w:bidi w:val="0"/>
        <w:adjustRightInd w:val="0"/>
        <w:snapToGrid w:val="0"/>
        <w:spacing w:beforeAutospacing="0" w:afterAutospacing="0" w:line="360" w:lineRule="auto"/>
        <w:ind w:left="0" w:leftChars="0" w:right="0" w:firstLine="0" w:firstLineChars="0"/>
        <w:jc w:val="left"/>
        <w:rPr>
          <w:rFonts w:hint="eastAsia" w:ascii="宋体" w:hAnsi="宋体" w:eastAsia="宋体" w:cs="宋体"/>
          <w:bCs/>
          <w:color w:val="000000"/>
          <w:kern w:val="2"/>
          <w:sz w:val="21"/>
          <w:szCs w:val="21"/>
          <w:lang w:eastAsia="zh-CN"/>
        </w:rPr>
      </w:pPr>
      <w:r>
        <w:rPr>
          <w:rFonts w:hint="eastAsia" w:ascii="宋体" w:hAnsi="宋体" w:eastAsia="宋体" w:cs="宋体"/>
          <w:bCs/>
          <w:color w:val="000000"/>
          <w:kern w:val="2"/>
          <w:sz w:val="21"/>
          <w:szCs w:val="21"/>
          <w:lang w:eastAsia="zh-CN"/>
        </w:rPr>
        <w:t>2、投标人需如实填写上述信息，如查实上述信息与实际不符，视为提供虚假证明材料骗取中标，投标人应承担相应法律后果。</w:t>
      </w:r>
    </w:p>
    <w:p w14:paraId="07A6B9CD">
      <w:pPr>
        <w:widowControl/>
        <w:spacing w:line="360" w:lineRule="auto"/>
        <w:jc w:val="left"/>
        <w:rPr>
          <w:rFonts w:ascii="宋体" w:hAnsi="宋体" w:eastAsia="宋体" w:cs="宋体"/>
          <w:b/>
          <w:color w:val="000000"/>
          <w:kern w:val="2"/>
          <w:sz w:val="21"/>
          <w:szCs w:val="21"/>
          <w:lang w:eastAsia="zh-CN"/>
        </w:rPr>
      </w:pPr>
    </w:p>
    <w:p w14:paraId="3327B3D5">
      <w:pPr>
        <w:widowControl w:val="0"/>
        <w:spacing w:after="60" w:afterLines="25" w:line="300" w:lineRule="auto"/>
        <w:jc w:val="center"/>
        <w:rPr>
          <w:rFonts w:ascii="Arial" w:hAnsi="Arial" w:eastAsia="宋体"/>
          <w:b/>
          <w:kern w:val="2"/>
          <w:sz w:val="21"/>
          <w:szCs w:val="22"/>
          <w:lang w:eastAsia="zh-CN"/>
        </w:rPr>
      </w:pPr>
    </w:p>
    <w:p w14:paraId="08BDB9E8">
      <w:pPr>
        <w:widowControl/>
        <w:jc w:val="center"/>
        <w:rPr>
          <w:rFonts w:ascii="Arial" w:hAnsi="Arial" w:eastAsia="宋体"/>
          <w:kern w:val="2"/>
          <w:sz w:val="21"/>
          <w:lang w:eastAsia="zh-CN"/>
        </w:rPr>
      </w:pPr>
      <w:r>
        <w:rPr>
          <w:rFonts w:ascii="Arial" w:hAnsi="Arial" w:eastAsia="宋体" w:cstheme="minorBidi"/>
          <w:kern w:val="2"/>
          <w:sz w:val="21"/>
          <w:szCs w:val="22"/>
          <w:lang w:eastAsia="zh-CN"/>
        </w:rPr>
        <w:br w:type="page"/>
      </w:r>
    </w:p>
    <w:p w14:paraId="2F6F544A">
      <w:pPr>
        <w:keepNext/>
        <w:keepLines/>
        <w:widowControl w:val="0"/>
        <w:spacing w:before="260" w:after="260" w:line="240" w:lineRule="auto"/>
        <w:jc w:val="center"/>
        <w:outlineLvl w:val="2"/>
        <w:rPr>
          <w:rFonts w:ascii="黑体" w:hAnsi="宋体" w:eastAsia="黑体"/>
          <w:b/>
          <w:kern w:val="2"/>
          <w:sz w:val="30"/>
          <w:szCs w:val="30"/>
          <w:lang w:eastAsia="zh-CN"/>
        </w:rPr>
      </w:pPr>
      <w:r>
        <w:rPr>
          <w:rFonts w:hint="eastAsia" w:ascii="黑体" w:hAnsi="宋体" w:eastAsia="黑体" w:cstheme="minorBidi"/>
          <w:b/>
          <w:kern w:val="2"/>
          <w:sz w:val="30"/>
          <w:szCs w:val="30"/>
          <w:lang w:eastAsia="zh-CN"/>
        </w:rPr>
        <w:t>六、</w:t>
      </w:r>
      <w:bookmarkStart w:id="26" w:name="_Hlk72092499"/>
      <w:r>
        <w:rPr>
          <w:rFonts w:hint="eastAsia" w:ascii="黑体" w:hAnsi="宋体" w:eastAsia="黑体" w:cstheme="minorBidi"/>
          <w:b/>
          <w:kern w:val="2"/>
          <w:sz w:val="30"/>
          <w:szCs w:val="30"/>
          <w:lang w:eastAsia="zh-CN"/>
        </w:rPr>
        <w:t>法定代表人（负责人）证明书</w:t>
      </w:r>
      <w:bookmarkEnd w:id="26"/>
    </w:p>
    <w:p w14:paraId="2C02061C">
      <w:pPr>
        <w:widowControl w:val="0"/>
        <w:jc w:val="both"/>
        <w:rPr>
          <w:rFonts w:ascii="Calibri" w:hAnsi="Calibri" w:eastAsia="宋体"/>
          <w:kern w:val="2"/>
          <w:szCs w:val="22"/>
          <w:lang w:eastAsia="zh-CN"/>
        </w:rPr>
      </w:pPr>
    </w:p>
    <w:p w14:paraId="03A8C1A3">
      <w:pPr>
        <w:widowControl w:val="0"/>
        <w:spacing w:line="360" w:lineRule="auto"/>
        <w:jc w:val="both"/>
        <w:rPr>
          <w:rFonts w:ascii="Calibri" w:hAnsi="Calibri" w:eastAsia="宋体"/>
          <w:kern w:val="2"/>
          <w:sz w:val="21"/>
          <w:szCs w:val="21"/>
          <w:lang w:eastAsia="zh-CN"/>
        </w:rPr>
      </w:pP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（姓名），现任我单位职务，为法定代表人（负责人），身份证件号为：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1D1BF7EA">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特此证明。</w:t>
      </w:r>
    </w:p>
    <w:p w14:paraId="157982B4">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说明：1、法定代表人为投标人（企业事业单位、国家机关、社会团体）的主要行政负责人。</w:t>
      </w:r>
    </w:p>
    <w:p w14:paraId="16DDA3C9">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14:paraId="6FF0904B">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本项目投标授权代表为法定代表人（负责人）的，无需提供《投标文件签署授权委托书》。</w:t>
      </w:r>
    </w:p>
    <w:p w14:paraId="69274451">
      <w:pPr>
        <w:widowControl w:val="0"/>
        <w:numPr>
          <w:ilvl w:val="0"/>
          <w:numId w:val="4"/>
        </w:numPr>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内容必须填写真实、清楚，涂改无效，不得转让、买卖。</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8"/>
        <w:gridCol w:w="4428"/>
      </w:tblGrid>
      <w:tr w14:paraId="365F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529" w:type="dxa"/>
          </w:tcPr>
          <w:p w14:paraId="55835250">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证件扫描件正面</w:t>
            </w:r>
          </w:p>
          <w:p w14:paraId="0EA4942E">
            <w:pPr>
              <w:widowControl w:val="0"/>
              <w:spacing w:line="360" w:lineRule="auto"/>
              <w:jc w:val="center"/>
              <w:rPr>
                <w:rFonts w:ascii="Calibri" w:hAnsi="Calibri" w:eastAsia="宋体"/>
                <w:b/>
                <w:bCs/>
                <w:kern w:val="2"/>
                <w:szCs w:val="22"/>
                <w:lang w:eastAsia="zh-CN"/>
              </w:rPr>
            </w:pPr>
          </w:p>
          <w:p w14:paraId="0A52966B">
            <w:pPr>
              <w:widowControl w:val="0"/>
              <w:spacing w:line="360" w:lineRule="auto"/>
              <w:jc w:val="center"/>
              <w:rPr>
                <w:rFonts w:ascii="Calibri" w:hAnsi="Calibri" w:eastAsia="宋体"/>
                <w:kern w:val="2"/>
                <w:szCs w:val="22"/>
                <w:lang w:eastAsia="zh-CN"/>
              </w:rPr>
            </w:pPr>
          </w:p>
        </w:tc>
        <w:tc>
          <w:tcPr>
            <w:tcW w:w="4530" w:type="dxa"/>
          </w:tcPr>
          <w:p w14:paraId="489160D6">
            <w:pPr>
              <w:widowControl w:val="0"/>
              <w:jc w:val="center"/>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证件扫描件反面</w:t>
            </w:r>
          </w:p>
          <w:p w14:paraId="32DBA2FB">
            <w:pPr>
              <w:widowControl w:val="0"/>
              <w:spacing w:line="360" w:lineRule="auto"/>
              <w:jc w:val="center"/>
              <w:rPr>
                <w:rFonts w:ascii="Calibri" w:hAnsi="Calibri" w:eastAsia="宋体"/>
                <w:b/>
                <w:bCs/>
                <w:kern w:val="2"/>
                <w:szCs w:val="22"/>
                <w:lang w:eastAsia="zh-CN"/>
              </w:rPr>
            </w:pPr>
          </w:p>
          <w:p w14:paraId="26887401">
            <w:pPr>
              <w:widowControl w:val="0"/>
              <w:spacing w:line="360" w:lineRule="auto"/>
              <w:jc w:val="center"/>
              <w:rPr>
                <w:rFonts w:ascii="Calibri" w:hAnsi="Calibri" w:eastAsia="宋体"/>
                <w:kern w:val="2"/>
                <w:szCs w:val="22"/>
                <w:lang w:eastAsia="zh-CN"/>
              </w:rPr>
            </w:pPr>
          </w:p>
        </w:tc>
      </w:tr>
    </w:tbl>
    <w:p w14:paraId="5B00E5B0">
      <w:pPr>
        <w:widowControl w:val="0"/>
        <w:jc w:val="both"/>
        <w:rPr>
          <w:rFonts w:ascii="Calibri" w:hAnsi="Calibri" w:eastAsia="宋体"/>
          <w:kern w:val="2"/>
          <w:szCs w:val="22"/>
          <w:lang w:eastAsia="zh-CN"/>
        </w:rPr>
      </w:pPr>
    </w:p>
    <w:p w14:paraId="6D224DF5">
      <w:pPr>
        <w:widowControl w:val="0"/>
        <w:spacing w:after="120" w:line="240" w:lineRule="auto"/>
        <w:ind w:left="480" w:leftChars="200" w:firstLine="480" w:firstLineChars="200"/>
        <w:jc w:val="both"/>
        <w:rPr>
          <w:rFonts w:ascii="Calibri" w:hAnsi="Calibri" w:eastAsia="宋体"/>
          <w:kern w:val="2"/>
          <w:szCs w:val="22"/>
          <w:lang w:eastAsia="zh-CN"/>
        </w:rPr>
      </w:pPr>
    </w:p>
    <w:p w14:paraId="3CE35455">
      <w:pPr>
        <w:widowControl w:val="0"/>
        <w:spacing w:after="120" w:line="240" w:lineRule="auto"/>
        <w:ind w:left="480" w:leftChars="200" w:firstLine="480" w:firstLineChars="200"/>
        <w:jc w:val="both"/>
        <w:rPr>
          <w:rFonts w:ascii="Calibri" w:hAnsi="Calibri" w:eastAsia="宋体"/>
          <w:kern w:val="2"/>
          <w:szCs w:val="22"/>
          <w:lang w:eastAsia="zh-CN"/>
        </w:rPr>
      </w:pPr>
    </w:p>
    <w:p w14:paraId="394089F0">
      <w:pPr>
        <w:widowControl w:val="0"/>
        <w:spacing w:after="120" w:line="240" w:lineRule="auto"/>
        <w:ind w:left="480" w:leftChars="200" w:firstLine="480" w:firstLineChars="200"/>
        <w:jc w:val="both"/>
        <w:rPr>
          <w:rFonts w:ascii="Calibri" w:hAnsi="Calibri" w:eastAsia="宋体"/>
          <w:kern w:val="2"/>
          <w:szCs w:val="22"/>
          <w:lang w:eastAsia="zh-CN"/>
        </w:rPr>
      </w:pPr>
    </w:p>
    <w:p w14:paraId="2FF53CB9">
      <w:pPr>
        <w:widowControl w:val="0"/>
        <w:spacing w:after="120" w:line="240" w:lineRule="auto"/>
        <w:ind w:left="480" w:leftChars="200" w:firstLine="480" w:firstLineChars="200"/>
        <w:jc w:val="both"/>
        <w:rPr>
          <w:rFonts w:ascii="Calibri" w:hAnsi="Calibri" w:eastAsia="宋体"/>
          <w:kern w:val="2"/>
          <w:szCs w:val="22"/>
          <w:lang w:eastAsia="zh-CN"/>
        </w:rPr>
      </w:pPr>
    </w:p>
    <w:p w14:paraId="29B6A413">
      <w:pPr>
        <w:widowControl w:val="0"/>
        <w:spacing w:after="120" w:line="240" w:lineRule="auto"/>
        <w:ind w:left="480" w:leftChars="200" w:firstLine="480" w:firstLineChars="200"/>
        <w:jc w:val="both"/>
        <w:rPr>
          <w:rFonts w:ascii="Calibri" w:hAnsi="Calibri" w:eastAsia="宋体"/>
          <w:kern w:val="2"/>
          <w:szCs w:val="22"/>
          <w:lang w:eastAsia="zh-CN"/>
        </w:rPr>
      </w:pPr>
    </w:p>
    <w:p w14:paraId="0B72C4BB">
      <w:pPr>
        <w:widowControl w:val="0"/>
        <w:spacing w:after="120" w:line="240" w:lineRule="auto"/>
        <w:ind w:left="480" w:leftChars="200" w:firstLine="480" w:firstLineChars="200"/>
        <w:jc w:val="both"/>
        <w:rPr>
          <w:rFonts w:ascii="Calibri" w:hAnsi="Calibri" w:eastAsia="宋体"/>
          <w:kern w:val="2"/>
          <w:szCs w:val="22"/>
          <w:lang w:eastAsia="zh-CN"/>
        </w:rPr>
      </w:pPr>
    </w:p>
    <w:p w14:paraId="18C30F40">
      <w:pPr>
        <w:widowControl w:val="0"/>
        <w:spacing w:after="120" w:line="240" w:lineRule="auto"/>
        <w:ind w:left="480" w:leftChars="200" w:firstLine="480" w:firstLineChars="200"/>
        <w:jc w:val="both"/>
        <w:rPr>
          <w:rFonts w:ascii="Calibri" w:hAnsi="Calibri" w:eastAsia="宋体"/>
          <w:kern w:val="2"/>
          <w:szCs w:val="22"/>
          <w:lang w:eastAsia="zh-CN"/>
        </w:rPr>
      </w:pPr>
    </w:p>
    <w:p w14:paraId="1BD5F9AA">
      <w:pPr>
        <w:widowControl w:val="0"/>
        <w:spacing w:after="120" w:line="240" w:lineRule="auto"/>
        <w:ind w:left="480" w:leftChars="200" w:firstLine="480" w:firstLineChars="200"/>
        <w:jc w:val="both"/>
        <w:rPr>
          <w:rFonts w:ascii="Calibri" w:hAnsi="Calibri" w:eastAsia="宋体"/>
          <w:kern w:val="2"/>
          <w:szCs w:val="22"/>
          <w:lang w:eastAsia="zh-CN"/>
        </w:rPr>
      </w:pPr>
    </w:p>
    <w:p w14:paraId="3AA0449B">
      <w:pPr>
        <w:widowControl w:val="0"/>
        <w:spacing w:after="120" w:line="240" w:lineRule="auto"/>
        <w:ind w:left="480" w:leftChars="200" w:firstLine="480" w:firstLineChars="200"/>
        <w:jc w:val="both"/>
        <w:rPr>
          <w:rFonts w:ascii="Calibri" w:hAnsi="Calibri" w:eastAsia="宋体"/>
          <w:kern w:val="2"/>
          <w:szCs w:val="22"/>
          <w:lang w:eastAsia="zh-CN"/>
        </w:rPr>
      </w:pPr>
    </w:p>
    <w:p w14:paraId="15499486">
      <w:pPr>
        <w:widowControl w:val="0"/>
        <w:spacing w:after="120" w:line="240" w:lineRule="auto"/>
        <w:ind w:left="480" w:leftChars="200" w:firstLine="480" w:firstLineChars="200"/>
        <w:jc w:val="both"/>
        <w:rPr>
          <w:rFonts w:ascii="Calibri" w:hAnsi="Calibri" w:eastAsia="宋体"/>
          <w:kern w:val="2"/>
          <w:szCs w:val="22"/>
          <w:lang w:eastAsia="zh-CN"/>
        </w:rPr>
      </w:pPr>
    </w:p>
    <w:p w14:paraId="273C0F1A">
      <w:pPr>
        <w:widowControl w:val="0"/>
        <w:spacing w:after="120" w:line="240" w:lineRule="auto"/>
        <w:ind w:left="480" w:leftChars="200" w:firstLine="480" w:firstLineChars="200"/>
        <w:jc w:val="both"/>
        <w:rPr>
          <w:rFonts w:ascii="Calibri" w:hAnsi="Calibri" w:eastAsia="宋体"/>
          <w:kern w:val="2"/>
          <w:szCs w:val="22"/>
          <w:lang w:eastAsia="zh-CN"/>
        </w:rPr>
      </w:pPr>
    </w:p>
    <w:p w14:paraId="219623ED">
      <w:pPr>
        <w:widowControl w:val="0"/>
        <w:spacing w:after="120" w:line="240" w:lineRule="auto"/>
        <w:ind w:left="480" w:leftChars="200" w:firstLine="480" w:firstLineChars="200"/>
        <w:jc w:val="both"/>
        <w:rPr>
          <w:rFonts w:ascii="Calibri" w:hAnsi="Calibri" w:eastAsia="宋体"/>
          <w:kern w:val="2"/>
          <w:szCs w:val="22"/>
          <w:lang w:eastAsia="zh-CN"/>
        </w:rPr>
      </w:pPr>
    </w:p>
    <w:p w14:paraId="0D3FBAA3">
      <w:pPr>
        <w:widowControl w:val="0"/>
        <w:spacing w:after="120" w:line="240" w:lineRule="auto"/>
        <w:ind w:left="0" w:leftChars="0" w:firstLine="0" w:firstLineChars="0"/>
        <w:jc w:val="both"/>
        <w:rPr>
          <w:rFonts w:ascii="Calibri" w:hAnsi="Calibri" w:eastAsia="宋体"/>
          <w:kern w:val="2"/>
          <w:szCs w:val="22"/>
          <w:lang w:eastAsia="zh-CN"/>
        </w:rPr>
      </w:pPr>
    </w:p>
    <w:p w14:paraId="41952425">
      <w:pPr>
        <w:keepNext/>
        <w:keepLines/>
        <w:widowControl w:val="0"/>
        <w:spacing w:before="120" w:after="120" w:line="240" w:lineRule="auto"/>
        <w:jc w:val="center"/>
        <w:outlineLvl w:val="2"/>
        <w:rPr>
          <w:rFonts w:hint="eastAsia" w:ascii="黑体" w:eastAsia="黑体"/>
          <w:b/>
          <w:bCs/>
          <w:kern w:val="2"/>
          <w:sz w:val="30"/>
          <w:szCs w:val="22"/>
          <w:lang w:eastAsia="zh-CN"/>
        </w:rPr>
      </w:pPr>
      <w:r>
        <w:rPr>
          <w:rFonts w:hint="eastAsia" w:ascii="黑体" w:eastAsia="黑体"/>
          <w:b/>
          <w:bCs/>
          <w:kern w:val="2"/>
          <w:sz w:val="30"/>
          <w:szCs w:val="22"/>
          <w:lang w:eastAsia="zh-CN"/>
        </w:rPr>
        <w:t>七、投标文件签署授权委托书</w:t>
      </w:r>
    </w:p>
    <w:p w14:paraId="4A2B3AB3">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本授权委托书声明：我</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（姓名）系</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（投标人名称）的法定代表人（负责人），现授权委托</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5B50E250">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代理人无转委托权，特此委托。</w:t>
      </w:r>
    </w:p>
    <w:p w14:paraId="0B7021BE">
      <w:pPr>
        <w:widowControl w:val="0"/>
        <w:spacing w:line="360" w:lineRule="auto"/>
        <w:ind w:firstLine="420" w:firstLineChars="200"/>
        <w:jc w:val="both"/>
        <w:rPr>
          <w:rFonts w:hint="eastAsia" w:ascii="Calibri" w:hAnsi="Calibri" w:eastAsia="宋体"/>
          <w:kern w:val="2"/>
          <w:sz w:val="21"/>
          <w:szCs w:val="21"/>
          <w:lang w:eastAsia="zh-CN"/>
        </w:rPr>
      </w:pPr>
    </w:p>
    <w:p w14:paraId="158CCDE3">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代理人：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2D0C0A05">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身份证件号：</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，职务：</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4421A637">
      <w:pPr>
        <w:widowControl w:val="0"/>
        <w:spacing w:line="360" w:lineRule="auto"/>
        <w:ind w:firstLine="420" w:firstLineChars="200"/>
        <w:jc w:val="both"/>
        <w:rPr>
          <w:rFonts w:ascii="Calibri" w:hAnsi="Calibri" w:eastAsia="宋体"/>
          <w:kern w:val="2"/>
          <w:sz w:val="21"/>
          <w:szCs w:val="21"/>
          <w:lang w:eastAsia="zh-CN"/>
        </w:rPr>
      </w:pPr>
      <w:r>
        <w:rPr>
          <w:rFonts w:hint="eastAsia" w:ascii="Calibri" w:hAnsi="Calibri" w:eastAsia="宋体" w:cstheme="minorBidi"/>
          <w:kern w:val="2"/>
          <w:sz w:val="21"/>
          <w:szCs w:val="21"/>
          <w:lang w:eastAsia="zh-CN"/>
        </w:rPr>
        <w:t>联系电话：</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，手机：</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，电子邮箱：</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w:t>
      </w:r>
    </w:p>
    <w:p w14:paraId="58AB0F72">
      <w:pPr>
        <w:widowControl w:val="0"/>
        <w:spacing w:line="360" w:lineRule="auto"/>
        <w:ind w:firstLine="420" w:firstLineChars="200"/>
        <w:jc w:val="both"/>
        <w:rPr>
          <w:rFonts w:hint="eastAsia" w:ascii="Calibri" w:hAnsi="Calibri" w:eastAsia="宋体"/>
          <w:kern w:val="2"/>
          <w:sz w:val="21"/>
          <w:szCs w:val="21"/>
          <w:lang w:eastAsia="zh-CN"/>
        </w:rPr>
      </w:pPr>
      <w:r>
        <w:rPr>
          <w:rFonts w:hint="eastAsia" w:ascii="Calibri" w:hAnsi="Calibri" w:eastAsia="宋体" w:cstheme="minorBidi"/>
          <w:kern w:val="2"/>
          <w:sz w:val="21"/>
          <w:szCs w:val="21"/>
          <w:lang w:eastAsia="zh-CN"/>
        </w:rPr>
        <w:t>授权委托日期：</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年</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月</w:t>
      </w:r>
      <w:r>
        <w:rPr>
          <w:rFonts w:hint="eastAsia" w:ascii="Calibri" w:hAnsi="Calibri" w:eastAsia="宋体" w:cstheme="minorBidi"/>
          <w:kern w:val="2"/>
          <w:sz w:val="21"/>
          <w:szCs w:val="21"/>
          <w:u w:val="single"/>
          <w:lang w:eastAsia="zh-CN"/>
        </w:rPr>
        <w:t xml:space="preserve">       </w:t>
      </w:r>
      <w:r>
        <w:rPr>
          <w:rFonts w:hint="eastAsia" w:ascii="Calibri" w:hAnsi="Calibri" w:eastAsia="宋体" w:cstheme="minorBidi"/>
          <w:kern w:val="2"/>
          <w:sz w:val="21"/>
          <w:szCs w:val="21"/>
          <w:lang w:eastAsia="zh-CN"/>
        </w:rPr>
        <w:t>日。</w:t>
      </w:r>
    </w:p>
    <w:p w14:paraId="4CB45885">
      <w:pPr>
        <w:widowControl w:val="0"/>
        <w:spacing w:line="360" w:lineRule="auto"/>
        <w:ind w:firstLine="422" w:firstLineChars="200"/>
        <w:jc w:val="both"/>
        <w:rPr>
          <w:rFonts w:ascii="Calibri" w:hAnsi="Calibri" w:eastAsia="宋体"/>
          <w:b/>
          <w:color w:val="FF0000"/>
          <w:kern w:val="2"/>
          <w:sz w:val="21"/>
          <w:szCs w:val="21"/>
          <w:lang w:eastAsia="zh-CN"/>
        </w:rPr>
      </w:pPr>
      <w:r>
        <w:rPr>
          <w:rFonts w:hint="eastAsia" w:ascii="Calibri" w:hAnsi="Calibri" w:eastAsia="宋体" w:cstheme="minorBidi"/>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7"/>
        <w:gridCol w:w="4429"/>
      </w:tblGrid>
      <w:tr w14:paraId="7EAC5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8" w:hRule="atLeast"/>
        </w:trPr>
        <w:tc>
          <w:tcPr>
            <w:tcW w:w="4269" w:type="dxa"/>
          </w:tcPr>
          <w:p w14:paraId="6C2D051F">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证件扫描件正面</w:t>
            </w:r>
          </w:p>
          <w:p w14:paraId="3EB685B0">
            <w:pPr>
              <w:widowControl w:val="0"/>
              <w:spacing w:line="360" w:lineRule="auto"/>
              <w:jc w:val="center"/>
              <w:rPr>
                <w:rFonts w:ascii="Calibri" w:hAnsi="Calibri" w:eastAsia="宋体"/>
                <w:b/>
                <w:bCs/>
                <w:kern w:val="2"/>
                <w:szCs w:val="22"/>
                <w:lang w:eastAsia="zh-CN"/>
              </w:rPr>
            </w:pPr>
          </w:p>
          <w:p w14:paraId="3E7A6BAB">
            <w:pPr>
              <w:widowControl w:val="0"/>
              <w:spacing w:line="360" w:lineRule="auto"/>
              <w:jc w:val="center"/>
              <w:rPr>
                <w:rFonts w:ascii="Calibri" w:hAnsi="Calibri" w:eastAsia="宋体"/>
                <w:kern w:val="2"/>
                <w:szCs w:val="22"/>
                <w:lang w:eastAsia="zh-CN"/>
              </w:rPr>
            </w:pPr>
          </w:p>
        </w:tc>
        <w:tc>
          <w:tcPr>
            <w:tcW w:w="4270" w:type="dxa"/>
          </w:tcPr>
          <w:p w14:paraId="2DE7DC9C">
            <w:pPr>
              <w:widowControl w:val="0"/>
              <w:jc w:val="center"/>
              <w:rPr>
                <w:rFonts w:ascii="Calibri" w:hAnsi="Calibri" w:eastAsia="宋体"/>
                <w:kern w:val="2"/>
                <w:sz w:val="21"/>
                <w:szCs w:val="22"/>
                <w:lang w:eastAsia="zh-CN"/>
              </w:rPr>
            </w:pPr>
            <w:r>
              <w:rPr>
                <w:rFonts w:hint="eastAsia" w:hAnsi="Calibri" w:eastAsia="宋体" w:cstheme="minorBidi"/>
                <w:kern w:val="2"/>
                <w:sz w:val="21"/>
                <w:szCs w:val="22"/>
                <w:lang w:eastAsia="zh-CN"/>
              </w:rPr>
              <w:t>证件扫描件反面</w:t>
            </w:r>
          </w:p>
          <w:p w14:paraId="2B1D251E">
            <w:pPr>
              <w:widowControl w:val="0"/>
              <w:spacing w:line="360" w:lineRule="auto"/>
              <w:jc w:val="center"/>
              <w:rPr>
                <w:rFonts w:ascii="Calibri" w:hAnsi="Calibri" w:eastAsia="宋体"/>
                <w:b/>
                <w:bCs/>
                <w:kern w:val="2"/>
                <w:szCs w:val="22"/>
                <w:lang w:eastAsia="zh-CN"/>
              </w:rPr>
            </w:pPr>
          </w:p>
          <w:p w14:paraId="19F948DC">
            <w:pPr>
              <w:widowControl w:val="0"/>
              <w:spacing w:line="360" w:lineRule="auto"/>
              <w:jc w:val="center"/>
              <w:rPr>
                <w:rFonts w:ascii="Calibri" w:hAnsi="Calibri" w:eastAsia="宋体"/>
                <w:kern w:val="2"/>
                <w:szCs w:val="22"/>
                <w:lang w:eastAsia="zh-CN"/>
              </w:rPr>
            </w:pPr>
          </w:p>
        </w:tc>
      </w:tr>
    </w:tbl>
    <w:p w14:paraId="2FEEA613">
      <w:pPr>
        <w:widowControl w:val="0"/>
        <w:tabs>
          <w:tab w:val="left" w:pos="651"/>
        </w:tabs>
        <w:snapToGrid w:val="0"/>
        <w:jc w:val="center"/>
        <w:rPr>
          <w:rFonts w:ascii="黑体" w:hAnsi="Calibri" w:eastAsia="黑体"/>
          <w:lang w:eastAsia="zh-CN"/>
        </w:rPr>
      </w:pPr>
    </w:p>
    <w:p w14:paraId="064EB614">
      <w:pPr>
        <w:widowControl w:val="0"/>
        <w:spacing w:after="120" w:line="240" w:lineRule="auto"/>
        <w:ind w:left="480" w:leftChars="200" w:firstLine="480" w:firstLineChars="200"/>
        <w:jc w:val="both"/>
        <w:rPr>
          <w:rFonts w:ascii="黑体" w:hAnsi="Calibri" w:eastAsia="黑体"/>
          <w:lang w:eastAsia="zh-CN"/>
        </w:rPr>
      </w:pPr>
    </w:p>
    <w:p w14:paraId="34B9ADDD">
      <w:pPr>
        <w:widowControl w:val="0"/>
        <w:spacing w:after="120" w:line="240" w:lineRule="auto"/>
        <w:ind w:left="480" w:leftChars="200" w:firstLine="480" w:firstLineChars="200"/>
        <w:jc w:val="both"/>
        <w:rPr>
          <w:rFonts w:ascii="黑体" w:hAnsi="Calibri" w:eastAsia="黑体"/>
          <w:lang w:eastAsia="zh-CN"/>
        </w:rPr>
      </w:pPr>
    </w:p>
    <w:p w14:paraId="772A56D9">
      <w:pPr>
        <w:widowControl w:val="0"/>
        <w:spacing w:after="120" w:line="240" w:lineRule="auto"/>
        <w:ind w:left="480" w:leftChars="200" w:firstLine="480" w:firstLineChars="200"/>
        <w:jc w:val="both"/>
        <w:rPr>
          <w:rFonts w:ascii="黑体" w:hAnsi="Calibri" w:eastAsia="黑体"/>
          <w:lang w:eastAsia="zh-CN"/>
        </w:rPr>
      </w:pPr>
    </w:p>
    <w:p w14:paraId="0D571425">
      <w:pPr>
        <w:widowControl w:val="0"/>
        <w:spacing w:after="120" w:line="240" w:lineRule="auto"/>
        <w:ind w:left="480" w:leftChars="200" w:firstLine="480" w:firstLineChars="200"/>
        <w:jc w:val="both"/>
        <w:rPr>
          <w:rFonts w:ascii="黑体" w:hAnsi="Calibri" w:eastAsia="黑体"/>
          <w:lang w:eastAsia="zh-CN"/>
        </w:rPr>
      </w:pPr>
    </w:p>
    <w:p w14:paraId="745929A0">
      <w:pPr>
        <w:widowControl w:val="0"/>
        <w:spacing w:after="120" w:line="240" w:lineRule="auto"/>
        <w:ind w:left="480" w:leftChars="200" w:firstLine="480" w:firstLineChars="200"/>
        <w:jc w:val="both"/>
        <w:rPr>
          <w:rFonts w:ascii="黑体" w:hAnsi="Calibri" w:eastAsia="黑体"/>
          <w:lang w:eastAsia="zh-CN"/>
        </w:rPr>
      </w:pPr>
    </w:p>
    <w:p w14:paraId="09186A48">
      <w:pPr>
        <w:widowControl w:val="0"/>
        <w:spacing w:after="120" w:line="240" w:lineRule="auto"/>
        <w:ind w:left="480" w:leftChars="200" w:firstLine="480" w:firstLineChars="200"/>
        <w:jc w:val="both"/>
        <w:rPr>
          <w:rFonts w:ascii="黑体" w:hAnsi="Calibri" w:eastAsia="黑体"/>
          <w:lang w:eastAsia="zh-CN"/>
        </w:rPr>
      </w:pPr>
    </w:p>
    <w:p w14:paraId="20D863D5">
      <w:pPr>
        <w:widowControl w:val="0"/>
        <w:spacing w:after="120" w:line="240" w:lineRule="auto"/>
        <w:ind w:left="480" w:leftChars="200" w:firstLine="480" w:firstLineChars="200"/>
        <w:jc w:val="both"/>
        <w:rPr>
          <w:rFonts w:ascii="黑体" w:hAnsi="Calibri" w:eastAsia="黑体"/>
          <w:lang w:eastAsia="zh-CN"/>
        </w:rPr>
      </w:pPr>
    </w:p>
    <w:p w14:paraId="3766C895">
      <w:pPr>
        <w:widowControl w:val="0"/>
        <w:spacing w:after="120" w:line="240" w:lineRule="auto"/>
        <w:ind w:left="480" w:leftChars="200" w:firstLine="480" w:firstLineChars="200"/>
        <w:jc w:val="both"/>
        <w:rPr>
          <w:rFonts w:ascii="黑体" w:hAnsi="Calibri" w:eastAsia="黑体"/>
          <w:lang w:eastAsia="zh-CN"/>
        </w:rPr>
      </w:pPr>
    </w:p>
    <w:p w14:paraId="3D10C93B">
      <w:pPr>
        <w:widowControl w:val="0"/>
        <w:spacing w:after="120" w:line="240" w:lineRule="auto"/>
        <w:ind w:left="480" w:leftChars="200" w:firstLine="480" w:firstLineChars="200"/>
        <w:jc w:val="both"/>
        <w:rPr>
          <w:rFonts w:ascii="黑体" w:hAnsi="Calibri" w:eastAsia="黑体"/>
          <w:lang w:eastAsia="zh-CN"/>
        </w:rPr>
      </w:pPr>
    </w:p>
    <w:p w14:paraId="2A05D67F">
      <w:pPr>
        <w:widowControl w:val="0"/>
        <w:spacing w:after="120" w:line="240" w:lineRule="auto"/>
        <w:ind w:left="480" w:leftChars="200" w:firstLine="480" w:firstLineChars="200"/>
        <w:jc w:val="both"/>
        <w:rPr>
          <w:rFonts w:ascii="黑体" w:hAnsi="Calibri" w:eastAsia="黑体"/>
          <w:lang w:eastAsia="zh-CN"/>
        </w:rPr>
      </w:pPr>
    </w:p>
    <w:p w14:paraId="52174F32">
      <w:pPr>
        <w:widowControl w:val="0"/>
        <w:spacing w:after="120" w:line="240" w:lineRule="auto"/>
        <w:ind w:left="480" w:leftChars="200" w:firstLine="480" w:firstLineChars="200"/>
        <w:jc w:val="both"/>
        <w:rPr>
          <w:rFonts w:ascii="黑体" w:hAnsi="Calibri" w:eastAsia="黑体"/>
          <w:lang w:eastAsia="zh-CN"/>
        </w:rPr>
      </w:pPr>
    </w:p>
    <w:p w14:paraId="1DE947C6">
      <w:pPr>
        <w:widowControl w:val="0"/>
        <w:spacing w:after="120" w:line="240" w:lineRule="auto"/>
        <w:ind w:left="480" w:leftChars="200" w:firstLine="480" w:firstLineChars="200"/>
        <w:jc w:val="both"/>
        <w:rPr>
          <w:rFonts w:ascii="黑体" w:hAnsi="Calibri" w:eastAsia="黑体"/>
          <w:lang w:eastAsia="zh-CN"/>
        </w:rPr>
      </w:pPr>
    </w:p>
    <w:p w14:paraId="193649E6">
      <w:pPr>
        <w:widowControl w:val="0"/>
        <w:jc w:val="center"/>
        <w:rPr>
          <w:rFonts w:ascii="黑体" w:hAnsi="Calibri" w:eastAsia="黑体"/>
          <w:b/>
          <w:kern w:val="2"/>
          <w:sz w:val="30"/>
          <w:szCs w:val="22"/>
          <w:lang w:eastAsia="zh-CN"/>
        </w:rPr>
      </w:pPr>
      <w:r>
        <w:rPr>
          <w:rFonts w:hint="eastAsia" w:ascii="黑体" w:hAnsi="Calibri" w:eastAsia="黑体" w:cstheme="minorBidi"/>
          <w:b/>
          <w:kern w:val="2"/>
          <w:sz w:val="30"/>
          <w:szCs w:val="22"/>
          <w:lang w:eastAsia="zh-CN"/>
        </w:rPr>
        <w:t>八、</w:t>
      </w:r>
      <w:bookmarkStart w:id="27" w:name="_Hlk72092634"/>
      <w:r>
        <w:rPr>
          <w:rFonts w:hint="eastAsia" w:ascii="黑体" w:hAnsi="Calibri" w:eastAsia="黑体" w:cstheme="minorBidi"/>
          <w:b/>
          <w:kern w:val="2"/>
          <w:sz w:val="30"/>
          <w:szCs w:val="22"/>
          <w:lang w:eastAsia="zh-CN"/>
        </w:rPr>
        <w:t>实质性条款响应情况表</w:t>
      </w:r>
      <w:bookmarkEnd w:id="27"/>
    </w:p>
    <w:p w14:paraId="6143DC64">
      <w:pPr>
        <w:widowControl w:val="0"/>
        <w:snapToGrid w:val="0"/>
        <w:jc w:val="both"/>
        <w:rPr>
          <w:rFonts w:ascii="Arial" w:hAnsi="Arial" w:eastAsia="宋体" w:cs="Arial"/>
          <w:kern w:val="2"/>
          <w:lang w:eastAsia="zh-CN"/>
        </w:rPr>
      </w:pPr>
      <w:r>
        <w:rPr>
          <w:rFonts w:hint="eastAsia" w:ascii="Arial" w:hAnsi="Arial" w:eastAsia="宋体" w:cs="Arial"/>
          <w:color w:val="000000"/>
          <w:kern w:val="2"/>
          <w:lang w:eastAsia="zh-CN"/>
        </w:rPr>
        <w:t>投标单位（投标人）名称：</w:t>
      </w:r>
    </w:p>
    <w:p w14:paraId="6C025F7D">
      <w:pPr>
        <w:widowControl w:val="0"/>
        <w:snapToGrid w:val="0"/>
        <w:jc w:val="both"/>
        <w:rPr>
          <w:rFonts w:ascii="宋体" w:hAnsi="宋体" w:eastAsia="宋体"/>
          <w:b/>
          <w:kern w:val="2"/>
          <w:lang w:eastAsia="zh-CN"/>
        </w:rPr>
      </w:pPr>
    </w:p>
    <w:tbl>
      <w:tblPr>
        <w:tblStyle w:val="9"/>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578"/>
        <w:gridCol w:w="3657"/>
        <w:gridCol w:w="2047"/>
        <w:gridCol w:w="1632"/>
        <w:gridCol w:w="942"/>
      </w:tblGrid>
      <w:tr w14:paraId="0915CE9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0FE776D9">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序号</w:t>
            </w:r>
          </w:p>
        </w:tc>
        <w:tc>
          <w:tcPr>
            <w:tcW w:w="3901" w:type="dxa"/>
            <w:vAlign w:val="center"/>
          </w:tcPr>
          <w:p w14:paraId="663467E1">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实质性条款具体内容</w:t>
            </w:r>
          </w:p>
        </w:tc>
        <w:tc>
          <w:tcPr>
            <w:tcW w:w="2176" w:type="dxa"/>
            <w:vAlign w:val="center"/>
          </w:tcPr>
          <w:p w14:paraId="6A2112F4">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投标文件响应</w:t>
            </w:r>
          </w:p>
        </w:tc>
        <w:tc>
          <w:tcPr>
            <w:tcW w:w="1732" w:type="dxa"/>
          </w:tcPr>
          <w:p w14:paraId="78F6549D">
            <w:pPr>
              <w:widowControl w:val="0"/>
              <w:spacing w:before="120" w:beforeLines="5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偏离情况</w:t>
            </w:r>
          </w:p>
        </w:tc>
        <w:tc>
          <w:tcPr>
            <w:tcW w:w="992" w:type="dxa"/>
            <w:vAlign w:val="center"/>
          </w:tcPr>
          <w:p w14:paraId="656F7E63">
            <w:pPr>
              <w:widowControl w:val="0"/>
              <w:jc w:val="center"/>
              <w:rPr>
                <w:rFonts w:ascii="宋体" w:hAnsi="宋体" w:eastAsia="宋体" w:cs="Arial"/>
                <w:b/>
                <w:kern w:val="2"/>
                <w:sz w:val="21"/>
                <w:szCs w:val="21"/>
                <w:lang w:eastAsia="zh-CN"/>
              </w:rPr>
            </w:pPr>
            <w:r>
              <w:rPr>
                <w:rFonts w:hint="eastAsia" w:ascii="宋体" w:hAnsi="宋体" w:eastAsia="宋体" w:cs="Arial"/>
                <w:b/>
                <w:kern w:val="2"/>
                <w:sz w:val="21"/>
                <w:szCs w:val="21"/>
                <w:lang w:eastAsia="zh-CN"/>
              </w:rPr>
              <w:t>说明</w:t>
            </w:r>
          </w:p>
        </w:tc>
      </w:tr>
      <w:tr w14:paraId="303E2AE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736980DF">
            <w:pPr>
              <w:widowControl w:val="0"/>
              <w:spacing w:line="300" w:lineRule="auto"/>
              <w:jc w:val="center"/>
              <w:rPr>
                <w:rFonts w:ascii="宋体" w:hAnsi="宋体" w:eastAsia="宋体"/>
                <w:b/>
                <w:color w:val="FF0000"/>
                <w:sz w:val="21"/>
                <w:szCs w:val="21"/>
                <w:lang w:eastAsia="zh-CN"/>
              </w:rPr>
            </w:pPr>
            <w:r>
              <w:rPr>
                <w:rFonts w:hint="eastAsia" w:ascii="宋体" w:hAnsi="宋体" w:eastAsia="宋体"/>
                <w:b/>
                <w:color w:val="FF0000"/>
                <w:sz w:val="21"/>
                <w:szCs w:val="21"/>
                <w:lang w:eastAsia="zh-CN"/>
              </w:rPr>
              <w:t>1</w:t>
            </w:r>
          </w:p>
        </w:tc>
        <w:tc>
          <w:tcPr>
            <w:tcW w:w="3901" w:type="dxa"/>
            <w:vAlign w:val="center"/>
          </w:tcPr>
          <w:p w14:paraId="61E11C48">
            <w:pPr>
              <w:widowControl w:val="0"/>
              <w:spacing w:line="300" w:lineRule="auto"/>
              <w:jc w:val="center"/>
              <w:rPr>
                <w:rFonts w:ascii="宋体" w:hAnsi="宋体" w:eastAsia="宋体"/>
                <w:b/>
                <w:color w:val="FF0000"/>
                <w:sz w:val="21"/>
                <w:szCs w:val="21"/>
                <w:lang w:eastAsia="zh-CN"/>
              </w:rPr>
            </w:pPr>
            <w:r>
              <w:rPr>
                <w:rFonts w:hint="eastAsia" w:ascii="宋体" w:hAnsi="宋体" w:eastAsia="宋体"/>
                <w:b/>
                <w:color w:val="FF0000"/>
                <w:sz w:val="21"/>
                <w:szCs w:val="21"/>
                <w:lang w:eastAsia="zh-CN"/>
              </w:rPr>
              <w:t>本项目招标文件中所有带★号条款内容</w:t>
            </w:r>
          </w:p>
        </w:tc>
        <w:tc>
          <w:tcPr>
            <w:tcW w:w="2176" w:type="dxa"/>
            <w:vAlign w:val="center"/>
          </w:tcPr>
          <w:p w14:paraId="49F250B4">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完全响应</w:t>
            </w:r>
          </w:p>
        </w:tc>
        <w:tc>
          <w:tcPr>
            <w:tcW w:w="1732" w:type="dxa"/>
            <w:vAlign w:val="center"/>
          </w:tcPr>
          <w:p w14:paraId="135E52AA">
            <w:pPr>
              <w:widowControl w:val="0"/>
              <w:spacing w:line="300" w:lineRule="auto"/>
              <w:jc w:val="center"/>
              <w:rPr>
                <w:rFonts w:ascii="宋体" w:hAnsi="宋体" w:eastAsia="宋体"/>
                <w:b/>
                <w:sz w:val="21"/>
                <w:szCs w:val="21"/>
                <w:lang w:eastAsia="zh-CN"/>
              </w:rPr>
            </w:pPr>
            <w:r>
              <w:rPr>
                <w:rFonts w:hint="eastAsia" w:ascii="宋体" w:hAnsi="宋体" w:eastAsia="宋体"/>
                <w:b/>
                <w:sz w:val="21"/>
                <w:szCs w:val="21"/>
                <w:lang w:eastAsia="zh-CN"/>
              </w:rPr>
              <w:t>无偏离</w:t>
            </w:r>
          </w:p>
        </w:tc>
        <w:tc>
          <w:tcPr>
            <w:tcW w:w="992" w:type="dxa"/>
            <w:vAlign w:val="center"/>
          </w:tcPr>
          <w:p w14:paraId="3709915A">
            <w:pPr>
              <w:widowControl w:val="0"/>
              <w:spacing w:line="300" w:lineRule="auto"/>
              <w:jc w:val="center"/>
              <w:rPr>
                <w:rFonts w:ascii="宋体" w:hAnsi="宋体" w:eastAsia="宋体"/>
                <w:b/>
                <w:color w:val="FF0000"/>
                <w:sz w:val="21"/>
                <w:szCs w:val="21"/>
                <w:lang w:eastAsia="zh-CN"/>
              </w:rPr>
            </w:pPr>
          </w:p>
        </w:tc>
      </w:tr>
    </w:tbl>
    <w:p w14:paraId="7CB9AAE8">
      <w:pPr>
        <w:widowControl w:val="0"/>
        <w:snapToGrid w:val="0"/>
        <w:jc w:val="both"/>
        <w:rPr>
          <w:rFonts w:ascii="宋体" w:hAnsi="宋体" w:eastAsia="宋体"/>
          <w:kern w:val="2"/>
          <w:lang w:eastAsia="zh-CN"/>
        </w:rPr>
      </w:pPr>
    </w:p>
    <w:p w14:paraId="1A568DB2">
      <w:pPr>
        <w:widowControl w:val="0"/>
        <w:snapToGrid w:val="0"/>
        <w:jc w:val="both"/>
        <w:rPr>
          <w:rFonts w:ascii="宋体" w:hAnsi="宋体" w:eastAsia="宋体"/>
          <w:b/>
          <w:kern w:val="2"/>
          <w:lang w:eastAsia="zh-CN"/>
        </w:rPr>
      </w:pPr>
      <w:r>
        <w:rPr>
          <w:rFonts w:hint="eastAsia" w:ascii="宋体" w:hAnsi="宋体" w:eastAsia="宋体"/>
          <w:b/>
          <w:kern w:val="2"/>
          <w:lang w:eastAsia="zh-CN"/>
        </w:rPr>
        <w:t>填写说明：</w:t>
      </w:r>
    </w:p>
    <w:p w14:paraId="7AAFAF87">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1、上表所列各项均为不可负偏离条款。</w:t>
      </w:r>
    </w:p>
    <w:p w14:paraId="5C233322">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2、“投标文件响应”一栏应当详细填写投标人自身响应情况，而不能不合理照搬照抄招标文件实质性条款具体内容。</w:t>
      </w:r>
      <w:r>
        <w:rPr>
          <w:rFonts w:hint="eastAsia" w:ascii="宋体" w:hAnsi="宋体" w:eastAsia="宋体" w:cs="宋体"/>
          <w:b/>
          <w:bCs/>
          <w:kern w:val="2"/>
          <w:lang w:eastAsia="zh-CN"/>
        </w:rPr>
        <w:t>如完全满足实质性条款具体内容可填写“完全响应”，除招标文件另有注明外，不强制要求逐条列出响应。</w:t>
      </w:r>
    </w:p>
    <w:p w14:paraId="0F93DC5E">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3、“偏离情况”一栏应填写</w:t>
      </w:r>
      <w:r>
        <w:rPr>
          <w:rFonts w:hint="eastAsia" w:ascii="宋体" w:hAnsi="宋体" w:eastAsia="宋体" w:cs="宋体"/>
          <w:kern w:val="2"/>
          <w:lang w:eastAsia="zh-CN"/>
        </w:rPr>
        <w:t>“</w:t>
      </w:r>
      <w:r>
        <w:rPr>
          <w:rFonts w:hint="eastAsia" w:ascii="宋体" w:hAnsi="宋体" w:eastAsia="宋体" w:cs="宋体"/>
          <w:b/>
          <w:bCs/>
          <w:kern w:val="2"/>
          <w:lang w:eastAsia="zh-CN"/>
        </w:rPr>
        <w:t>正偏离</w:t>
      </w:r>
      <w:r>
        <w:rPr>
          <w:rFonts w:hint="eastAsia" w:ascii="宋体" w:hAnsi="宋体" w:eastAsia="宋体" w:cs="宋体"/>
          <w:kern w:val="2"/>
          <w:lang w:eastAsia="zh-CN"/>
        </w:rPr>
        <w:t>”或“</w:t>
      </w:r>
      <w:r>
        <w:rPr>
          <w:rFonts w:hint="eastAsia" w:ascii="宋体" w:hAnsi="宋体" w:eastAsia="宋体" w:cs="宋体"/>
          <w:b/>
          <w:bCs/>
          <w:kern w:val="2"/>
          <w:lang w:eastAsia="zh-CN"/>
        </w:rPr>
        <w:t>负偏离</w:t>
      </w:r>
      <w:r>
        <w:rPr>
          <w:rFonts w:hint="eastAsia" w:ascii="宋体" w:hAnsi="宋体" w:eastAsia="宋体" w:cs="宋体"/>
          <w:kern w:val="2"/>
          <w:lang w:eastAsia="zh-CN"/>
        </w:rPr>
        <w:t>”或“</w:t>
      </w:r>
      <w:r>
        <w:rPr>
          <w:rFonts w:hint="eastAsia" w:ascii="宋体" w:hAnsi="宋体" w:eastAsia="宋体" w:cs="宋体"/>
          <w:b/>
          <w:bCs/>
          <w:kern w:val="2"/>
          <w:lang w:eastAsia="zh-CN"/>
        </w:rPr>
        <w:t>无偏离</w:t>
      </w:r>
      <w:r>
        <w:rPr>
          <w:rFonts w:hint="eastAsia" w:ascii="宋体" w:hAnsi="宋体" w:eastAsia="宋体" w:cs="宋体"/>
          <w:kern w:val="2"/>
          <w:lang w:eastAsia="zh-CN"/>
        </w:rPr>
        <w:t>”</w:t>
      </w:r>
      <w:r>
        <w:rPr>
          <w:rFonts w:hint="eastAsia" w:ascii="宋体" w:hAnsi="宋体" w:eastAsia="宋体" w:cs="宋体"/>
          <w:bCs/>
          <w:kern w:val="2"/>
          <w:lang w:eastAsia="zh-CN"/>
        </w:rPr>
        <w:t>，“正偏离”表示“投标响应优于实质性条款具体内容要求”，“负偏离”表示“投标响应不满足实质性条款具体内容要求”，“无偏离”表示“投标响应与实质性条款具体内容要求一致”。</w:t>
      </w:r>
    </w:p>
    <w:p w14:paraId="45CCDA52">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4、评审委员会有权对投标响应情况作出判断。</w:t>
      </w:r>
    </w:p>
    <w:p w14:paraId="60503CC4">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5、实质性响应条款“投标响应情况”与投标文件其它内容冲突的，以实质性响应条款“投标响应情况”为准。</w:t>
      </w:r>
    </w:p>
    <w:p w14:paraId="50FD7A51">
      <w:pPr>
        <w:widowControl w:val="0"/>
        <w:spacing w:line="276" w:lineRule="auto"/>
        <w:ind w:firstLine="480" w:firstLineChars="200"/>
        <w:jc w:val="both"/>
        <w:rPr>
          <w:rFonts w:ascii="宋体" w:hAnsi="宋体" w:eastAsia="宋体" w:cs="宋体"/>
          <w:bCs/>
          <w:kern w:val="2"/>
          <w:lang w:eastAsia="zh-CN"/>
        </w:rPr>
      </w:pPr>
      <w:r>
        <w:rPr>
          <w:rFonts w:hint="eastAsia" w:ascii="宋体" w:hAnsi="宋体" w:eastAsia="宋体" w:cs="宋体"/>
          <w:bCs/>
          <w:kern w:val="2"/>
          <w:lang w:eastAsia="zh-CN"/>
        </w:rPr>
        <w:t>6、以上实质性条款中要求提供证明材料，需如实提供证明材料扫描件，在“说明”一栏中列明证明材料的位置，以便评审；未要求提供证明材料的，投标人可以不提供。</w:t>
      </w:r>
    </w:p>
    <w:p w14:paraId="14EABB6E">
      <w:pPr>
        <w:widowControl w:val="0"/>
        <w:jc w:val="both"/>
        <w:rPr>
          <w:rFonts w:ascii="宋体" w:hAnsi="宋体" w:eastAsia="宋体"/>
          <w:b/>
          <w:bCs/>
          <w:szCs w:val="20"/>
          <w:lang w:eastAsia="zh-CN"/>
        </w:rPr>
      </w:pPr>
    </w:p>
    <w:p w14:paraId="6E32274B">
      <w:pPr>
        <w:widowControl w:val="0"/>
        <w:jc w:val="both"/>
        <w:rPr>
          <w:rFonts w:ascii="宋体" w:hAnsi="宋体" w:eastAsia="宋体"/>
          <w:b/>
          <w:bCs/>
          <w:szCs w:val="20"/>
          <w:lang w:eastAsia="zh-CN"/>
        </w:rPr>
      </w:pPr>
    </w:p>
    <w:p w14:paraId="3399CBCA">
      <w:pPr>
        <w:widowControl w:val="0"/>
        <w:jc w:val="both"/>
        <w:rPr>
          <w:rFonts w:ascii="宋体" w:hAnsi="宋体" w:eastAsia="宋体"/>
          <w:b/>
          <w:bCs/>
          <w:szCs w:val="20"/>
          <w:lang w:eastAsia="zh-CN"/>
        </w:rPr>
      </w:pPr>
    </w:p>
    <w:p w14:paraId="7CF0F8AC">
      <w:pPr>
        <w:widowControl w:val="0"/>
        <w:jc w:val="both"/>
        <w:rPr>
          <w:rFonts w:ascii="宋体" w:hAnsi="宋体" w:eastAsia="宋体"/>
          <w:b/>
          <w:bCs/>
          <w:szCs w:val="20"/>
          <w:lang w:eastAsia="zh-CN"/>
        </w:rPr>
      </w:pPr>
    </w:p>
    <w:p w14:paraId="4B67429F">
      <w:pPr>
        <w:widowControl w:val="0"/>
        <w:jc w:val="both"/>
        <w:rPr>
          <w:rFonts w:ascii="宋体" w:hAnsi="宋体" w:eastAsia="宋体"/>
          <w:b/>
          <w:bCs/>
          <w:szCs w:val="20"/>
          <w:lang w:eastAsia="zh-CN"/>
        </w:rPr>
      </w:pPr>
    </w:p>
    <w:p w14:paraId="0F941D22">
      <w:pPr>
        <w:widowControl w:val="0"/>
        <w:jc w:val="both"/>
        <w:rPr>
          <w:rFonts w:ascii="宋体" w:hAnsi="宋体" w:eastAsia="宋体"/>
          <w:b/>
          <w:bCs/>
          <w:szCs w:val="20"/>
          <w:lang w:eastAsia="zh-CN"/>
        </w:rPr>
      </w:pPr>
    </w:p>
    <w:p w14:paraId="12991EC6">
      <w:pPr>
        <w:widowControl w:val="0"/>
        <w:jc w:val="both"/>
        <w:rPr>
          <w:rFonts w:ascii="宋体" w:hAnsi="宋体" w:eastAsia="宋体"/>
          <w:b/>
          <w:bCs/>
          <w:szCs w:val="20"/>
          <w:lang w:eastAsia="zh-CN"/>
        </w:rPr>
      </w:pPr>
    </w:p>
    <w:p w14:paraId="535E7545">
      <w:pPr>
        <w:widowControl w:val="0"/>
        <w:jc w:val="both"/>
        <w:rPr>
          <w:rFonts w:ascii="宋体" w:hAnsi="宋体" w:eastAsia="宋体"/>
          <w:b/>
          <w:bCs/>
          <w:szCs w:val="20"/>
          <w:lang w:eastAsia="zh-CN"/>
        </w:rPr>
      </w:pPr>
    </w:p>
    <w:p w14:paraId="14686C1E">
      <w:pPr>
        <w:widowControl w:val="0"/>
        <w:jc w:val="both"/>
        <w:rPr>
          <w:rFonts w:ascii="宋体" w:hAnsi="宋体" w:eastAsia="宋体"/>
          <w:b/>
          <w:bCs/>
          <w:szCs w:val="20"/>
          <w:lang w:eastAsia="zh-CN"/>
        </w:rPr>
      </w:pPr>
    </w:p>
    <w:p w14:paraId="41041E8C">
      <w:pPr>
        <w:keepNext/>
        <w:keepLines/>
        <w:widowControl w:val="0"/>
        <w:spacing w:before="260" w:after="260" w:line="240" w:lineRule="auto"/>
        <w:jc w:val="center"/>
        <w:outlineLvl w:val="2"/>
        <w:rPr>
          <w:rFonts w:ascii="黑体" w:hAnsi="宋体" w:eastAsia="黑体"/>
          <w:b/>
          <w:kern w:val="2"/>
          <w:sz w:val="30"/>
          <w:szCs w:val="30"/>
          <w:lang w:eastAsia="zh-CN"/>
        </w:rPr>
      </w:pPr>
      <w:r>
        <w:rPr>
          <w:rFonts w:hint="eastAsia" w:ascii="黑体" w:hAnsi="宋体" w:eastAsia="黑体" w:cstheme="minorBidi"/>
          <w:b/>
          <w:kern w:val="2"/>
          <w:sz w:val="30"/>
          <w:szCs w:val="30"/>
          <w:lang w:eastAsia="zh-CN"/>
        </w:rPr>
        <w:t>九、技术要求偏离表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25"/>
        <w:gridCol w:w="2646"/>
        <w:gridCol w:w="2519"/>
        <w:gridCol w:w="1077"/>
        <w:gridCol w:w="787"/>
      </w:tblGrid>
      <w:tr w14:paraId="6A509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776" w:type="dxa"/>
            <w:vAlign w:val="center"/>
          </w:tcPr>
          <w:p w14:paraId="4AB02A7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序号</w:t>
            </w:r>
          </w:p>
        </w:tc>
        <w:tc>
          <w:tcPr>
            <w:tcW w:w="1266" w:type="dxa"/>
            <w:vAlign w:val="center"/>
          </w:tcPr>
          <w:p w14:paraId="739EF69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货物名称</w:t>
            </w:r>
          </w:p>
        </w:tc>
        <w:tc>
          <w:tcPr>
            <w:tcW w:w="3028" w:type="dxa"/>
            <w:vAlign w:val="center"/>
          </w:tcPr>
          <w:p w14:paraId="2090C0D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招标技术要求</w:t>
            </w:r>
          </w:p>
        </w:tc>
        <w:tc>
          <w:tcPr>
            <w:tcW w:w="2881" w:type="dxa"/>
            <w:vAlign w:val="center"/>
          </w:tcPr>
          <w:p w14:paraId="04B1B2E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投标技术响应</w:t>
            </w:r>
          </w:p>
        </w:tc>
        <w:tc>
          <w:tcPr>
            <w:tcW w:w="1210" w:type="dxa"/>
            <w:vAlign w:val="center"/>
          </w:tcPr>
          <w:p w14:paraId="358F360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偏离情况</w:t>
            </w:r>
          </w:p>
        </w:tc>
        <w:tc>
          <w:tcPr>
            <w:tcW w:w="874" w:type="dxa"/>
            <w:vAlign w:val="center"/>
          </w:tcPr>
          <w:p w14:paraId="10B14B7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说明</w:t>
            </w:r>
          </w:p>
        </w:tc>
      </w:tr>
      <w:tr w14:paraId="4FFE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776" w:type="dxa"/>
            <w:vMerge w:val="restart"/>
            <w:vAlign w:val="center"/>
          </w:tcPr>
          <w:p w14:paraId="25ABADAB">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266" w:type="dxa"/>
            <w:vMerge w:val="restart"/>
            <w:vAlign w:val="center"/>
          </w:tcPr>
          <w:p w14:paraId="42CF27BE">
            <w:pPr>
              <w:widowControl w:val="0"/>
              <w:jc w:val="both"/>
              <w:rPr>
                <w:rFonts w:ascii="Calibri" w:hAnsi="Calibri" w:eastAsia="宋体"/>
                <w:kern w:val="2"/>
                <w:sz w:val="21"/>
                <w:szCs w:val="22"/>
                <w:lang w:eastAsia="zh-CN"/>
              </w:rPr>
            </w:pPr>
          </w:p>
        </w:tc>
        <w:tc>
          <w:tcPr>
            <w:tcW w:w="3028" w:type="dxa"/>
          </w:tcPr>
          <w:p w14:paraId="76432BE3">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tcPr>
          <w:p w14:paraId="6F554295">
            <w:pPr>
              <w:widowControl w:val="0"/>
              <w:jc w:val="both"/>
              <w:rPr>
                <w:rFonts w:ascii="Calibri" w:hAnsi="Calibri" w:eastAsia="宋体"/>
                <w:kern w:val="2"/>
                <w:sz w:val="21"/>
                <w:szCs w:val="22"/>
                <w:lang w:eastAsia="zh-CN"/>
              </w:rPr>
            </w:pPr>
          </w:p>
        </w:tc>
        <w:tc>
          <w:tcPr>
            <w:tcW w:w="1210" w:type="dxa"/>
          </w:tcPr>
          <w:p w14:paraId="4B39AADE">
            <w:pPr>
              <w:widowControl w:val="0"/>
              <w:jc w:val="both"/>
              <w:rPr>
                <w:rFonts w:ascii="Calibri" w:hAnsi="Calibri" w:eastAsia="宋体"/>
                <w:kern w:val="2"/>
                <w:sz w:val="21"/>
                <w:szCs w:val="22"/>
                <w:lang w:eastAsia="zh-CN"/>
              </w:rPr>
            </w:pPr>
          </w:p>
        </w:tc>
        <w:tc>
          <w:tcPr>
            <w:tcW w:w="874" w:type="dxa"/>
          </w:tcPr>
          <w:p w14:paraId="7866D551">
            <w:pPr>
              <w:widowControl w:val="0"/>
              <w:jc w:val="both"/>
              <w:rPr>
                <w:rFonts w:ascii="Calibri" w:hAnsi="Calibri" w:eastAsia="宋体"/>
                <w:kern w:val="2"/>
                <w:sz w:val="21"/>
                <w:szCs w:val="22"/>
                <w:lang w:eastAsia="zh-CN"/>
              </w:rPr>
            </w:pPr>
          </w:p>
        </w:tc>
      </w:tr>
      <w:tr w14:paraId="24A6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776" w:type="dxa"/>
            <w:vMerge w:val="continue"/>
            <w:vAlign w:val="center"/>
          </w:tcPr>
          <w:p w14:paraId="78CD4E21">
            <w:pPr>
              <w:widowControl w:val="0"/>
              <w:jc w:val="both"/>
              <w:rPr>
                <w:rFonts w:ascii="Calibri" w:hAnsi="Calibri" w:eastAsia="宋体"/>
                <w:kern w:val="2"/>
                <w:sz w:val="21"/>
                <w:szCs w:val="22"/>
                <w:lang w:eastAsia="zh-CN"/>
              </w:rPr>
            </w:pPr>
          </w:p>
        </w:tc>
        <w:tc>
          <w:tcPr>
            <w:tcW w:w="1266" w:type="dxa"/>
            <w:vMerge w:val="continue"/>
            <w:vAlign w:val="center"/>
          </w:tcPr>
          <w:p w14:paraId="38FA1097">
            <w:pPr>
              <w:widowControl w:val="0"/>
              <w:jc w:val="both"/>
              <w:rPr>
                <w:rFonts w:ascii="Calibri" w:hAnsi="Calibri" w:eastAsia="宋体"/>
                <w:kern w:val="2"/>
                <w:sz w:val="21"/>
                <w:szCs w:val="22"/>
                <w:lang w:eastAsia="zh-CN"/>
              </w:rPr>
            </w:pPr>
          </w:p>
        </w:tc>
        <w:tc>
          <w:tcPr>
            <w:tcW w:w="3028" w:type="dxa"/>
          </w:tcPr>
          <w:p w14:paraId="451A2E4D">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tcPr>
          <w:p w14:paraId="5D6B88CC">
            <w:pPr>
              <w:widowControl w:val="0"/>
              <w:jc w:val="both"/>
              <w:rPr>
                <w:rFonts w:ascii="Calibri" w:hAnsi="Calibri" w:eastAsia="宋体"/>
                <w:kern w:val="2"/>
                <w:sz w:val="21"/>
                <w:szCs w:val="22"/>
                <w:lang w:eastAsia="zh-CN"/>
              </w:rPr>
            </w:pPr>
          </w:p>
        </w:tc>
        <w:tc>
          <w:tcPr>
            <w:tcW w:w="1210" w:type="dxa"/>
          </w:tcPr>
          <w:p w14:paraId="4F237580">
            <w:pPr>
              <w:widowControl w:val="0"/>
              <w:jc w:val="both"/>
              <w:rPr>
                <w:rFonts w:ascii="Calibri" w:hAnsi="Calibri" w:eastAsia="宋体"/>
                <w:kern w:val="2"/>
                <w:sz w:val="21"/>
                <w:szCs w:val="22"/>
                <w:lang w:eastAsia="zh-CN"/>
              </w:rPr>
            </w:pPr>
          </w:p>
        </w:tc>
        <w:tc>
          <w:tcPr>
            <w:tcW w:w="874" w:type="dxa"/>
          </w:tcPr>
          <w:p w14:paraId="7673867C">
            <w:pPr>
              <w:widowControl w:val="0"/>
              <w:jc w:val="both"/>
              <w:rPr>
                <w:rFonts w:ascii="Calibri" w:hAnsi="Calibri" w:eastAsia="宋体"/>
                <w:kern w:val="2"/>
                <w:sz w:val="21"/>
                <w:szCs w:val="22"/>
                <w:lang w:eastAsia="zh-CN"/>
              </w:rPr>
            </w:pPr>
          </w:p>
        </w:tc>
      </w:tr>
      <w:tr w14:paraId="38EE6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776" w:type="dxa"/>
            <w:vMerge w:val="continue"/>
          </w:tcPr>
          <w:p w14:paraId="010B68DD">
            <w:pPr>
              <w:widowControl w:val="0"/>
              <w:jc w:val="both"/>
              <w:rPr>
                <w:rFonts w:ascii="Calibri" w:hAnsi="Calibri" w:eastAsia="宋体"/>
                <w:kern w:val="2"/>
                <w:sz w:val="21"/>
                <w:szCs w:val="22"/>
                <w:lang w:eastAsia="zh-CN"/>
              </w:rPr>
            </w:pPr>
          </w:p>
        </w:tc>
        <w:tc>
          <w:tcPr>
            <w:tcW w:w="1266" w:type="dxa"/>
            <w:vMerge w:val="continue"/>
          </w:tcPr>
          <w:p w14:paraId="0C1BACC9">
            <w:pPr>
              <w:widowControl w:val="0"/>
              <w:jc w:val="both"/>
              <w:rPr>
                <w:rFonts w:ascii="Calibri" w:hAnsi="Calibri" w:eastAsia="宋体"/>
                <w:kern w:val="2"/>
                <w:sz w:val="21"/>
                <w:szCs w:val="22"/>
                <w:lang w:eastAsia="zh-CN"/>
              </w:rPr>
            </w:pPr>
          </w:p>
        </w:tc>
        <w:tc>
          <w:tcPr>
            <w:tcW w:w="3028" w:type="dxa"/>
          </w:tcPr>
          <w:p w14:paraId="6D573D3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tcPr>
          <w:p w14:paraId="749D22A1">
            <w:pPr>
              <w:widowControl w:val="0"/>
              <w:jc w:val="both"/>
              <w:rPr>
                <w:rFonts w:ascii="Calibri" w:hAnsi="Calibri" w:eastAsia="宋体"/>
                <w:kern w:val="2"/>
                <w:sz w:val="21"/>
                <w:szCs w:val="22"/>
                <w:lang w:eastAsia="zh-CN"/>
              </w:rPr>
            </w:pPr>
          </w:p>
        </w:tc>
        <w:tc>
          <w:tcPr>
            <w:tcW w:w="1210" w:type="dxa"/>
          </w:tcPr>
          <w:p w14:paraId="72387C0E">
            <w:pPr>
              <w:widowControl w:val="0"/>
              <w:jc w:val="both"/>
              <w:rPr>
                <w:rFonts w:ascii="Calibri" w:hAnsi="Calibri" w:eastAsia="宋体"/>
                <w:kern w:val="2"/>
                <w:sz w:val="21"/>
                <w:szCs w:val="22"/>
                <w:lang w:eastAsia="zh-CN"/>
              </w:rPr>
            </w:pPr>
          </w:p>
        </w:tc>
        <w:tc>
          <w:tcPr>
            <w:tcW w:w="874" w:type="dxa"/>
          </w:tcPr>
          <w:p w14:paraId="34A84249">
            <w:pPr>
              <w:widowControl w:val="0"/>
              <w:jc w:val="both"/>
              <w:rPr>
                <w:rFonts w:ascii="Calibri" w:hAnsi="Calibri" w:eastAsia="宋体"/>
                <w:kern w:val="2"/>
                <w:sz w:val="21"/>
                <w:szCs w:val="22"/>
                <w:lang w:eastAsia="zh-CN"/>
              </w:rPr>
            </w:pPr>
          </w:p>
        </w:tc>
      </w:tr>
      <w:tr w14:paraId="21F7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vMerge w:val="continue"/>
          </w:tcPr>
          <w:p w14:paraId="49BEAE0A">
            <w:pPr>
              <w:widowControl w:val="0"/>
              <w:jc w:val="both"/>
              <w:rPr>
                <w:rFonts w:ascii="Calibri" w:hAnsi="Calibri" w:eastAsia="宋体"/>
                <w:kern w:val="2"/>
                <w:sz w:val="21"/>
                <w:szCs w:val="22"/>
                <w:lang w:eastAsia="zh-CN"/>
              </w:rPr>
            </w:pPr>
          </w:p>
        </w:tc>
        <w:tc>
          <w:tcPr>
            <w:tcW w:w="1266" w:type="dxa"/>
            <w:vMerge w:val="continue"/>
          </w:tcPr>
          <w:p w14:paraId="3F5C96BC">
            <w:pPr>
              <w:widowControl w:val="0"/>
              <w:jc w:val="both"/>
              <w:rPr>
                <w:rFonts w:ascii="Calibri" w:hAnsi="Calibri" w:eastAsia="宋体"/>
                <w:kern w:val="2"/>
                <w:sz w:val="21"/>
                <w:szCs w:val="22"/>
                <w:lang w:eastAsia="zh-CN"/>
              </w:rPr>
            </w:pPr>
          </w:p>
        </w:tc>
        <w:tc>
          <w:tcPr>
            <w:tcW w:w="3028" w:type="dxa"/>
          </w:tcPr>
          <w:p w14:paraId="2ADD6A76">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tcPr>
          <w:p w14:paraId="58EC026E">
            <w:pPr>
              <w:widowControl w:val="0"/>
              <w:jc w:val="both"/>
              <w:rPr>
                <w:rFonts w:ascii="Calibri" w:hAnsi="Calibri" w:eastAsia="宋体"/>
                <w:kern w:val="2"/>
                <w:sz w:val="21"/>
                <w:szCs w:val="22"/>
                <w:lang w:eastAsia="zh-CN"/>
              </w:rPr>
            </w:pPr>
          </w:p>
        </w:tc>
        <w:tc>
          <w:tcPr>
            <w:tcW w:w="1210" w:type="dxa"/>
          </w:tcPr>
          <w:p w14:paraId="7B2871A6">
            <w:pPr>
              <w:widowControl w:val="0"/>
              <w:jc w:val="both"/>
              <w:rPr>
                <w:rFonts w:ascii="Calibri" w:hAnsi="Calibri" w:eastAsia="宋体"/>
                <w:kern w:val="2"/>
                <w:sz w:val="21"/>
                <w:szCs w:val="22"/>
                <w:lang w:eastAsia="zh-CN"/>
              </w:rPr>
            </w:pPr>
          </w:p>
        </w:tc>
        <w:tc>
          <w:tcPr>
            <w:tcW w:w="874" w:type="dxa"/>
          </w:tcPr>
          <w:p w14:paraId="43ECF3E6">
            <w:pPr>
              <w:widowControl w:val="0"/>
              <w:jc w:val="both"/>
              <w:rPr>
                <w:rFonts w:ascii="Calibri" w:hAnsi="Calibri" w:eastAsia="宋体"/>
                <w:kern w:val="2"/>
                <w:sz w:val="21"/>
                <w:szCs w:val="22"/>
                <w:lang w:eastAsia="zh-CN"/>
              </w:rPr>
            </w:pPr>
          </w:p>
        </w:tc>
      </w:tr>
      <w:tr w14:paraId="7D1B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vMerge w:val="restart"/>
            <w:vAlign w:val="center"/>
          </w:tcPr>
          <w:p w14:paraId="0E467B6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1266" w:type="dxa"/>
            <w:vMerge w:val="restart"/>
          </w:tcPr>
          <w:p w14:paraId="7D2FC6F5">
            <w:pPr>
              <w:widowControl w:val="0"/>
              <w:jc w:val="both"/>
              <w:rPr>
                <w:rFonts w:ascii="Calibri" w:hAnsi="Calibri" w:eastAsia="宋体"/>
                <w:kern w:val="2"/>
                <w:sz w:val="21"/>
                <w:szCs w:val="22"/>
                <w:lang w:eastAsia="zh-CN"/>
              </w:rPr>
            </w:pPr>
          </w:p>
        </w:tc>
        <w:tc>
          <w:tcPr>
            <w:tcW w:w="3028" w:type="dxa"/>
          </w:tcPr>
          <w:p w14:paraId="5C2F3B6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tcPr>
          <w:p w14:paraId="34C67C01">
            <w:pPr>
              <w:widowControl w:val="0"/>
              <w:jc w:val="both"/>
              <w:rPr>
                <w:rFonts w:ascii="Calibri" w:hAnsi="Calibri" w:eastAsia="宋体"/>
                <w:kern w:val="2"/>
                <w:sz w:val="21"/>
                <w:szCs w:val="22"/>
                <w:lang w:eastAsia="zh-CN"/>
              </w:rPr>
            </w:pPr>
          </w:p>
        </w:tc>
        <w:tc>
          <w:tcPr>
            <w:tcW w:w="1210" w:type="dxa"/>
          </w:tcPr>
          <w:p w14:paraId="51F641D8">
            <w:pPr>
              <w:widowControl w:val="0"/>
              <w:jc w:val="both"/>
              <w:rPr>
                <w:rFonts w:ascii="Calibri" w:hAnsi="Calibri" w:eastAsia="宋体"/>
                <w:kern w:val="2"/>
                <w:sz w:val="21"/>
                <w:szCs w:val="22"/>
                <w:lang w:eastAsia="zh-CN"/>
              </w:rPr>
            </w:pPr>
          </w:p>
        </w:tc>
        <w:tc>
          <w:tcPr>
            <w:tcW w:w="874" w:type="dxa"/>
          </w:tcPr>
          <w:p w14:paraId="629F1693">
            <w:pPr>
              <w:widowControl w:val="0"/>
              <w:jc w:val="both"/>
              <w:rPr>
                <w:rFonts w:ascii="Calibri" w:hAnsi="Calibri" w:eastAsia="宋体"/>
                <w:kern w:val="2"/>
                <w:sz w:val="21"/>
                <w:szCs w:val="22"/>
                <w:lang w:eastAsia="zh-CN"/>
              </w:rPr>
            </w:pPr>
          </w:p>
        </w:tc>
      </w:tr>
      <w:tr w14:paraId="082F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776" w:type="dxa"/>
            <w:vMerge w:val="continue"/>
          </w:tcPr>
          <w:p w14:paraId="0EA7EE97">
            <w:pPr>
              <w:widowControl w:val="0"/>
              <w:jc w:val="both"/>
              <w:rPr>
                <w:rFonts w:ascii="Calibri" w:hAnsi="Calibri" w:eastAsia="宋体"/>
                <w:kern w:val="2"/>
                <w:sz w:val="21"/>
                <w:szCs w:val="22"/>
                <w:lang w:eastAsia="zh-CN"/>
              </w:rPr>
            </w:pPr>
          </w:p>
        </w:tc>
        <w:tc>
          <w:tcPr>
            <w:tcW w:w="1266" w:type="dxa"/>
            <w:vMerge w:val="continue"/>
          </w:tcPr>
          <w:p w14:paraId="5B0E5B45">
            <w:pPr>
              <w:widowControl w:val="0"/>
              <w:jc w:val="both"/>
              <w:rPr>
                <w:rFonts w:ascii="Calibri" w:hAnsi="Calibri" w:eastAsia="宋体"/>
                <w:kern w:val="2"/>
                <w:sz w:val="21"/>
                <w:szCs w:val="22"/>
                <w:lang w:eastAsia="zh-CN"/>
              </w:rPr>
            </w:pPr>
          </w:p>
        </w:tc>
        <w:tc>
          <w:tcPr>
            <w:tcW w:w="3028" w:type="dxa"/>
          </w:tcPr>
          <w:p w14:paraId="4FA478D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881" w:type="dxa"/>
          </w:tcPr>
          <w:p w14:paraId="7F80B10F">
            <w:pPr>
              <w:widowControl w:val="0"/>
              <w:jc w:val="both"/>
              <w:rPr>
                <w:rFonts w:ascii="Calibri" w:hAnsi="Calibri" w:eastAsia="宋体"/>
                <w:kern w:val="2"/>
                <w:sz w:val="21"/>
                <w:szCs w:val="22"/>
                <w:lang w:eastAsia="zh-CN"/>
              </w:rPr>
            </w:pPr>
          </w:p>
        </w:tc>
        <w:tc>
          <w:tcPr>
            <w:tcW w:w="1210" w:type="dxa"/>
          </w:tcPr>
          <w:p w14:paraId="44A5690B">
            <w:pPr>
              <w:widowControl w:val="0"/>
              <w:jc w:val="both"/>
              <w:rPr>
                <w:rFonts w:ascii="Calibri" w:hAnsi="Calibri" w:eastAsia="宋体"/>
                <w:kern w:val="2"/>
                <w:sz w:val="21"/>
                <w:szCs w:val="22"/>
                <w:lang w:eastAsia="zh-CN"/>
              </w:rPr>
            </w:pPr>
          </w:p>
        </w:tc>
        <w:tc>
          <w:tcPr>
            <w:tcW w:w="874" w:type="dxa"/>
          </w:tcPr>
          <w:p w14:paraId="41BD45F7">
            <w:pPr>
              <w:widowControl w:val="0"/>
              <w:jc w:val="both"/>
              <w:rPr>
                <w:rFonts w:ascii="Calibri" w:hAnsi="Calibri" w:eastAsia="宋体"/>
                <w:kern w:val="2"/>
                <w:sz w:val="21"/>
                <w:szCs w:val="22"/>
                <w:lang w:eastAsia="zh-CN"/>
              </w:rPr>
            </w:pPr>
          </w:p>
        </w:tc>
      </w:tr>
    </w:tbl>
    <w:p w14:paraId="4F1BF1D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填写说明：</w:t>
      </w:r>
    </w:p>
    <w:p w14:paraId="22DB1D33">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1、技术要求偏离表的序号、货物名称、招标技术要求等栏目对应“用户需求书”中的“技术要求部分”章节相关内容。</w:t>
      </w:r>
    </w:p>
    <w:p w14:paraId="2A9966ED">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14:paraId="2C5A5EB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3、“偏离情况”一栏填写如实填写</w:t>
      </w:r>
      <w:r>
        <w:rPr>
          <w:rFonts w:hint="eastAsia" w:ascii="Calibri" w:hAnsi="Calibri" w:eastAsia="宋体" w:cstheme="minorBidi"/>
          <w:b/>
          <w:kern w:val="2"/>
          <w:sz w:val="21"/>
          <w:szCs w:val="22"/>
          <w:lang w:eastAsia="zh-CN"/>
        </w:rPr>
        <w:t>“正偏离”、“负偏离”或“无偏离”</w:t>
      </w:r>
      <w:r>
        <w:rPr>
          <w:rFonts w:hint="eastAsia" w:ascii="Calibri" w:hAnsi="Calibri" w:eastAsia="宋体" w:cstheme="minorBidi"/>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14:paraId="66AA0758">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4、未要求提供证明资料的招标技术要求，可以不提供证明资料（如实响应即可）。</w:t>
      </w:r>
    </w:p>
    <w:p w14:paraId="6590C75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14:paraId="5018057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6、投标人提供的证明资料，均要求原件备查。</w:t>
      </w:r>
    </w:p>
    <w:p w14:paraId="686C44D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7、评审委员会有权对投标人是否存在虚假响应予以认定，并视情况经招标机构报主管部门进行处理；</w:t>
      </w:r>
    </w:p>
    <w:p w14:paraId="5C56D37C">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8、除招标文件另有注明外，投标文件其它位置如出现与本表中投标参数不一致的信息，均以本表信息为准。</w:t>
      </w:r>
    </w:p>
    <w:p w14:paraId="67F79169">
      <w:pPr>
        <w:widowControl w:val="0"/>
        <w:jc w:val="both"/>
        <w:rPr>
          <w:rFonts w:ascii="Calibri" w:hAnsi="Calibri" w:eastAsia="宋体"/>
          <w:kern w:val="2"/>
          <w:sz w:val="21"/>
          <w:szCs w:val="22"/>
          <w:lang w:eastAsia="zh-CN"/>
        </w:rPr>
      </w:pPr>
    </w:p>
    <w:p w14:paraId="2C8A4ED3">
      <w:pPr>
        <w:widowControl w:val="0"/>
        <w:jc w:val="both"/>
        <w:rPr>
          <w:rFonts w:ascii="Calibri" w:hAnsi="Calibri" w:eastAsia="宋体"/>
          <w:kern w:val="2"/>
          <w:sz w:val="21"/>
          <w:szCs w:val="22"/>
          <w:lang w:eastAsia="zh-CN"/>
        </w:rPr>
      </w:pPr>
    </w:p>
    <w:p w14:paraId="6050FF69">
      <w:pPr>
        <w:widowControl w:val="0"/>
        <w:jc w:val="both"/>
        <w:rPr>
          <w:rFonts w:ascii="Calibri" w:hAnsi="Calibri" w:eastAsia="宋体"/>
          <w:kern w:val="2"/>
          <w:sz w:val="21"/>
          <w:szCs w:val="22"/>
          <w:lang w:eastAsia="zh-CN"/>
        </w:rPr>
      </w:pPr>
    </w:p>
    <w:p w14:paraId="5799A0CD">
      <w:pPr>
        <w:widowControl w:val="0"/>
        <w:jc w:val="both"/>
        <w:rPr>
          <w:rFonts w:ascii="Calibri" w:hAnsi="Calibri" w:eastAsia="宋体"/>
          <w:kern w:val="2"/>
          <w:sz w:val="21"/>
          <w:szCs w:val="22"/>
          <w:lang w:eastAsia="zh-CN"/>
        </w:rPr>
      </w:pPr>
    </w:p>
    <w:p w14:paraId="599B43CB">
      <w:pPr>
        <w:widowControl w:val="0"/>
        <w:jc w:val="both"/>
        <w:rPr>
          <w:rFonts w:ascii="Calibri" w:hAnsi="Calibri" w:eastAsia="宋体"/>
          <w:kern w:val="2"/>
          <w:sz w:val="21"/>
          <w:szCs w:val="22"/>
          <w:lang w:eastAsia="zh-CN"/>
        </w:rPr>
      </w:pPr>
    </w:p>
    <w:p w14:paraId="7C6B1E45">
      <w:pPr>
        <w:widowControl w:val="0"/>
        <w:jc w:val="both"/>
        <w:rPr>
          <w:rFonts w:ascii="Calibri" w:hAnsi="Calibri" w:eastAsia="宋体"/>
          <w:kern w:val="2"/>
          <w:sz w:val="21"/>
          <w:szCs w:val="22"/>
          <w:lang w:eastAsia="zh-CN"/>
        </w:rPr>
      </w:pPr>
    </w:p>
    <w:p w14:paraId="0D001464">
      <w:pPr>
        <w:widowControl w:val="0"/>
        <w:jc w:val="both"/>
        <w:rPr>
          <w:rFonts w:ascii="Calibri" w:hAnsi="Calibri" w:eastAsia="宋体"/>
          <w:kern w:val="2"/>
          <w:sz w:val="21"/>
          <w:szCs w:val="22"/>
          <w:lang w:eastAsia="zh-CN"/>
        </w:rPr>
      </w:pPr>
    </w:p>
    <w:p w14:paraId="2EC69316">
      <w:pPr>
        <w:keepNext/>
        <w:keepLines/>
        <w:widowControl w:val="0"/>
        <w:spacing w:before="260" w:after="260" w:line="240" w:lineRule="auto"/>
        <w:jc w:val="center"/>
        <w:outlineLvl w:val="2"/>
        <w:rPr>
          <w:rFonts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十、商务要求偏离表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456"/>
        <w:gridCol w:w="2484"/>
        <w:gridCol w:w="2404"/>
        <w:gridCol w:w="1172"/>
        <w:gridCol w:w="698"/>
      </w:tblGrid>
      <w:tr w14:paraId="5C16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1" w:type="dxa"/>
            <w:vAlign w:val="center"/>
          </w:tcPr>
          <w:p w14:paraId="7962A349">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序号</w:t>
            </w:r>
          </w:p>
        </w:tc>
        <w:tc>
          <w:tcPr>
            <w:tcW w:w="1573" w:type="dxa"/>
            <w:vAlign w:val="center"/>
          </w:tcPr>
          <w:p w14:paraId="7CDF2E37">
            <w:pPr>
              <w:widowControl w:val="0"/>
              <w:jc w:val="both"/>
              <w:rPr>
                <w:rFonts w:ascii="Calibri" w:hAnsi="Calibri" w:eastAsia="宋体"/>
                <w:kern w:val="2"/>
                <w:sz w:val="21"/>
                <w:szCs w:val="22"/>
                <w:lang w:eastAsia="zh-CN"/>
              </w:rPr>
            </w:pPr>
            <w:r>
              <w:rPr>
                <w:rFonts w:hint="eastAsia" w:eastAsia="宋体"/>
                <w:kern w:val="2"/>
                <w:sz w:val="21"/>
                <w:lang w:eastAsia="zh-CN"/>
              </w:rPr>
              <w:t>目录</w:t>
            </w:r>
          </w:p>
        </w:tc>
        <w:tc>
          <w:tcPr>
            <w:tcW w:w="2700" w:type="dxa"/>
            <w:vAlign w:val="center"/>
          </w:tcPr>
          <w:p w14:paraId="5927C0D5">
            <w:pPr>
              <w:widowControl w:val="0"/>
              <w:jc w:val="both"/>
              <w:rPr>
                <w:rFonts w:ascii="Calibri" w:hAnsi="Calibri" w:eastAsia="宋体"/>
                <w:b/>
                <w:kern w:val="2"/>
                <w:sz w:val="21"/>
                <w:szCs w:val="22"/>
                <w:lang w:eastAsia="zh-CN"/>
              </w:rPr>
            </w:pPr>
            <w:r>
              <w:rPr>
                <w:rFonts w:hint="eastAsia" w:eastAsia="宋体"/>
                <w:kern w:val="2"/>
                <w:sz w:val="21"/>
                <w:lang w:eastAsia="zh-CN"/>
              </w:rPr>
              <w:t>采购</w:t>
            </w:r>
            <w:r>
              <w:rPr>
                <w:rFonts w:hint="eastAsia" w:ascii="Calibri" w:hAnsi="Calibri" w:eastAsia="宋体" w:cstheme="minorBidi"/>
                <w:kern w:val="2"/>
                <w:sz w:val="21"/>
                <w:szCs w:val="22"/>
                <w:lang w:eastAsia="zh-CN"/>
              </w:rPr>
              <w:t>商务要求</w:t>
            </w:r>
          </w:p>
        </w:tc>
        <w:tc>
          <w:tcPr>
            <w:tcW w:w="2613" w:type="dxa"/>
            <w:vAlign w:val="center"/>
          </w:tcPr>
          <w:p w14:paraId="63374CEC">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投标商务响应</w:t>
            </w:r>
          </w:p>
        </w:tc>
        <w:tc>
          <w:tcPr>
            <w:tcW w:w="1262" w:type="dxa"/>
            <w:vAlign w:val="center"/>
          </w:tcPr>
          <w:p w14:paraId="18F0738D">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偏离情况</w:t>
            </w:r>
          </w:p>
        </w:tc>
        <w:tc>
          <w:tcPr>
            <w:tcW w:w="743" w:type="dxa"/>
            <w:vAlign w:val="center"/>
          </w:tcPr>
          <w:p w14:paraId="62AC4484">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说明</w:t>
            </w:r>
          </w:p>
        </w:tc>
      </w:tr>
      <w:tr w14:paraId="7314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572" w:type="dxa"/>
            <w:gridSpan w:val="6"/>
          </w:tcPr>
          <w:p w14:paraId="59D8F67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（一）免费保修期内售后服务要求</w:t>
            </w:r>
          </w:p>
        </w:tc>
      </w:tr>
      <w:tr w14:paraId="090C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81" w:type="dxa"/>
            <w:vAlign w:val="center"/>
          </w:tcPr>
          <w:p w14:paraId="73CE6C8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573" w:type="dxa"/>
          </w:tcPr>
          <w:p w14:paraId="3DC75C0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r>
              <w:rPr>
                <w:rFonts w:ascii="Calibri" w:hAnsi="Calibri" w:eastAsia="宋体" w:cstheme="minorBidi"/>
                <w:kern w:val="2"/>
                <w:sz w:val="21"/>
                <w:szCs w:val="22"/>
                <w:lang w:eastAsia="zh-CN"/>
              </w:rPr>
              <w:t>***</w:t>
            </w:r>
          </w:p>
        </w:tc>
        <w:tc>
          <w:tcPr>
            <w:tcW w:w="2700" w:type="dxa"/>
          </w:tcPr>
          <w:p w14:paraId="224226F9">
            <w:pPr>
              <w:widowControl w:val="0"/>
              <w:jc w:val="both"/>
              <w:rPr>
                <w:rFonts w:ascii="Calibri" w:hAnsi="Calibri" w:eastAsia="宋体"/>
                <w:b/>
                <w:kern w:val="2"/>
                <w:sz w:val="21"/>
                <w:szCs w:val="22"/>
                <w:lang w:eastAsia="zh-CN"/>
              </w:rPr>
            </w:pPr>
            <w:r>
              <w:rPr>
                <w:rFonts w:hint="eastAsia" w:ascii="Calibri" w:hAnsi="Calibri" w:eastAsia="宋体" w:cstheme="minorBidi"/>
                <w:kern w:val="2"/>
                <w:sz w:val="21"/>
                <w:szCs w:val="22"/>
                <w:lang w:eastAsia="zh-CN"/>
              </w:rPr>
              <w:t>……</w:t>
            </w:r>
          </w:p>
        </w:tc>
        <w:tc>
          <w:tcPr>
            <w:tcW w:w="2613" w:type="dxa"/>
          </w:tcPr>
          <w:p w14:paraId="7DE3ACF3">
            <w:pPr>
              <w:widowControl w:val="0"/>
              <w:jc w:val="both"/>
              <w:rPr>
                <w:rFonts w:ascii="Calibri" w:hAnsi="Calibri" w:eastAsia="宋体"/>
                <w:kern w:val="2"/>
                <w:sz w:val="21"/>
                <w:szCs w:val="22"/>
                <w:lang w:eastAsia="zh-CN"/>
              </w:rPr>
            </w:pPr>
          </w:p>
        </w:tc>
        <w:tc>
          <w:tcPr>
            <w:tcW w:w="1262" w:type="dxa"/>
          </w:tcPr>
          <w:p w14:paraId="67C4A8B4">
            <w:pPr>
              <w:widowControl w:val="0"/>
              <w:jc w:val="both"/>
              <w:rPr>
                <w:rFonts w:ascii="Calibri" w:hAnsi="Calibri" w:eastAsia="宋体"/>
                <w:kern w:val="2"/>
                <w:sz w:val="21"/>
                <w:szCs w:val="22"/>
                <w:lang w:eastAsia="zh-CN"/>
              </w:rPr>
            </w:pPr>
          </w:p>
        </w:tc>
        <w:tc>
          <w:tcPr>
            <w:tcW w:w="743" w:type="dxa"/>
          </w:tcPr>
          <w:p w14:paraId="432DA5CD">
            <w:pPr>
              <w:widowControl w:val="0"/>
              <w:jc w:val="both"/>
              <w:rPr>
                <w:rFonts w:ascii="Calibri" w:hAnsi="Calibri" w:eastAsia="宋体"/>
                <w:kern w:val="2"/>
                <w:sz w:val="21"/>
                <w:szCs w:val="22"/>
                <w:lang w:eastAsia="zh-CN"/>
              </w:rPr>
            </w:pPr>
          </w:p>
        </w:tc>
      </w:tr>
      <w:tr w14:paraId="633B9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81" w:type="dxa"/>
            <w:vAlign w:val="center"/>
          </w:tcPr>
          <w:p w14:paraId="4B59BF61">
            <w:pPr>
              <w:widowControl w:val="0"/>
              <w:jc w:val="both"/>
              <w:rPr>
                <w:rFonts w:ascii="Calibri" w:hAnsi="Calibri" w:eastAsia="宋体"/>
                <w:kern w:val="2"/>
                <w:sz w:val="21"/>
                <w:szCs w:val="22"/>
                <w:lang w:eastAsia="zh-CN"/>
              </w:rPr>
            </w:pPr>
            <w:r>
              <w:rPr>
                <w:rFonts w:ascii="Calibri" w:hAnsi="Calibri" w:eastAsia="宋体" w:cstheme="minorBidi"/>
                <w:kern w:val="2"/>
                <w:sz w:val="21"/>
                <w:szCs w:val="22"/>
                <w:lang w:eastAsia="zh-CN"/>
              </w:rPr>
              <w:t>2</w:t>
            </w:r>
          </w:p>
        </w:tc>
        <w:tc>
          <w:tcPr>
            <w:tcW w:w="1573" w:type="dxa"/>
          </w:tcPr>
          <w:p w14:paraId="267E9DFB">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700" w:type="dxa"/>
          </w:tcPr>
          <w:p w14:paraId="17FE17A9">
            <w:pPr>
              <w:widowControl w:val="0"/>
              <w:jc w:val="both"/>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w:t>
            </w:r>
          </w:p>
        </w:tc>
        <w:tc>
          <w:tcPr>
            <w:tcW w:w="2613" w:type="dxa"/>
          </w:tcPr>
          <w:p w14:paraId="31864415">
            <w:pPr>
              <w:widowControl w:val="0"/>
              <w:jc w:val="both"/>
              <w:rPr>
                <w:rFonts w:ascii="Calibri" w:hAnsi="Calibri" w:eastAsia="宋体"/>
                <w:kern w:val="2"/>
                <w:sz w:val="21"/>
                <w:szCs w:val="22"/>
                <w:lang w:eastAsia="zh-CN"/>
              </w:rPr>
            </w:pPr>
          </w:p>
        </w:tc>
        <w:tc>
          <w:tcPr>
            <w:tcW w:w="1262" w:type="dxa"/>
          </w:tcPr>
          <w:p w14:paraId="488DA3BC">
            <w:pPr>
              <w:widowControl w:val="0"/>
              <w:jc w:val="both"/>
              <w:rPr>
                <w:rFonts w:ascii="Calibri" w:hAnsi="Calibri" w:eastAsia="宋体"/>
                <w:kern w:val="2"/>
                <w:sz w:val="21"/>
                <w:szCs w:val="22"/>
                <w:lang w:eastAsia="zh-CN"/>
              </w:rPr>
            </w:pPr>
          </w:p>
        </w:tc>
        <w:tc>
          <w:tcPr>
            <w:tcW w:w="743" w:type="dxa"/>
          </w:tcPr>
          <w:p w14:paraId="38240462">
            <w:pPr>
              <w:widowControl w:val="0"/>
              <w:jc w:val="both"/>
              <w:rPr>
                <w:rFonts w:ascii="Calibri" w:hAnsi="Calibri" w:eastAsia="宋体"/>
                <w:kern w:val="2"/>
                <w:sz w:val="21"/>
                <w:szCs w:val="22"/>
                <w:lang w:eastAsia="zh-CN"/>
              </w:rPr>
            </w:pPr>
          </w:p>
        </w:tc>
      </w:tr>
      <w:tr w14:paraId="731D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681" w:type="dxa"/>
            <w:vAlign w:val="center"/>
          </w:tcPr>
          <w:p w14:paraId="1080F561">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c>
          <w:tcPr>
            <w:tcW w:w="1573" w:type="dxa"/>
          </w:tcPr>
          <w:p w14:paraId="3AAFCC93">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700" w:type="dxa"/>
          </w:tcPr>
          <w:p w14:paraId="3BD96D34">
            <w:pPr>
              <w:widowControl w:val="0"/>
              <w:jc w:val="both"/>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w:t>
            </w:r>
          </w:p>
        </w:tc>
        <w:tc>
          <w:tcPr>
            <w:tcW w:w="2613" w:type="dxa"/>
          </w:tcPr>
          <w:p w14:paraId="4D7D7F83">
            <w:pPr>
              <w:widowControl w:val="0"/>
              <w:jc w:val="both"/>
              <w:rPr>
                <w:rFonts w:ascii="Calibri" w:hAnsi="Calibri" w:eastAsia="宋体"/>
                <w:kern w:val="2"/>
                <w:sz w:val="21"/>
                <w:szCs w:val="22"/>
                <w:lang w:eastAsia="zh-CN"/>
              </w:rPr>
            </w:pPr>
          </w:p>
        </w:tc>
        <w:tc>
          <w:tcPr>
            <w:tcW w:w="1262" w:type="dxa"/>
          </w:tcPr>
          <w:p w14:paraId="2BE69201">
            <w:pPr>
              <w:widowControl w:val="0"/>
              <w:jc w:val="both"/>
              <w:rPr>
                <w:rFonts w:ascii="Calibri" w:hAnsi="Calibri" w:eastAsia="宋体"/>
                <w:kern w:val="2"/>
                <w:sz w:val="21"/>
                <w:szCs w:val="22"/>
                <w:lang w:eastAsia="zh-CN"/>
              </w:rPr>
            </w:pPr>
          </w:p>
        </w:tc>
        <w:tc>
          <w:tcPr>
            <w:tcW w:w="743" w:type="dxa"/>
          </w:tcPr>
          <w:p w14:paraId="6A5E598F">
            <w:pPr>
              <w:widowControl w:val="0"/>
              <w:jc w:val="both"/>
              <w:rPr>
                <w:rFonts w:ascii="Calibri" w:hAnsi="Calibri" w:eastAsia="宋体"/>
                <w:kern w:val="2"/>
                <w:sz w:val="21"/>
                <w:szCs w:val="22"/>
                <w:lang w:eastAsia="zh-CN"/>
              </w:rPr>
            </w:pPr>
          </w:p>
        </w:tc>
      </w:tr>
      <w:tr w14:paraId="2363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9572" w:type="dxa"/>
            <w:gridSpan w:val="6"/>
          </w:tcPr>
          <w:p w14:paraId="54E5D4FE">
            <w:pPr>
              <w:widowControl w:val="0"/>
              <w:jc w:val="both"/>
              <w:rPr>
                <w:rFonts w:ascii="Calibri" w:hAnsi="Calibri" w:eastAsia="宋体"/>
                <w:bCs/>
                <w:kern w:val="2"/>
                <w:sz w:val="21"/>
                <w:szCs w:val="22"/>
                <w:lang w:eastAsia="zh-CN"/>
              </w:rPr>
            </w:pPr>
            <w:r>
              <w:rPr>
                <w:rFonts w:hint="eastAsia" w:ascii="Calibri" w:hAnsi="Calibri" w:eastAsia="宋体" w:cstheme="minorBidi"/>
                <w:kern w:val="2"/>
                <w:sz w:val="21"/>
                <w:szCs w:val="22"/>
                <w:lang w:eastAsia="zh-CN"/>
              </w:rPr>
              <w:t>（二）其他商务要求</w:t>
            </w:r>
          </w:p>
        </w:tc>
      </w:tr>
      <w:tr w14:paraId="37C1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681" w:type="dxa"/>
          </w:tcPr>
          <w:p w14:paraId="0D98586A">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1</w:t>
            </w:r>
          </w:p>
        </w:tc>
        <w:tc>
          <w:tcPr>
            <w:tcW w:w="1573" w:type="dxa"/>
          </w:tcPr>
          <w:p w14:paraId="5B988240">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700" w:type="dxa"/>
          </w:tcPr>
          <w:p w14:paraId="7B5D0417">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613" w:type="dxa"/>
          </w:tcPr>
          <w:p w14:paraId="31145928">
            <w:pPr>
              <w:widowControl w:val="0"/>
              <w:jc w:val="both"/>
              <w:rPr>
                <w:rFonts w:ascii="Calibri" w:hAnsi="Calibri" w:eastAsia="宋体"/>
                <w:kern w:val="2"/>
                <w:sz w:val="21"/>
                <w:szCs w:val="22"/>
                <w:lang w:eastAsia="zh-CN"/>
              </w:rPr>
            </w:pPr>
          </w:p>
        </w:tc>
        <w:tc>
          <w:tcPr>
            <w:tcW w:w="1262" w:type="dxa"/>
          </w:tcPr>
          <w:p w14:paraId="5DF80755">
            <w:pPr>
              <w:widowControl w:val="0"/>
              <w:jc w:val="both"/>
              <w:rPr>
                <w:rFonts w:ascii="Calibri" w:hAnsi="Calibri" w:eastAsia="宋体"/>
                <w:kern w:val="2"/>
                <w:sz w:val="21"/>
                <w:szCs w:val="22"/>
                <w:lang w:eastAsia="zh-CN"/>
              </w:rPr>
            </w:pPr>
          </w:p>
        </w:tc>
        <w:tc>
          <w:tcPr>
            <w:tcW w:w="743" w:type="dxa"/>
          </w:tcPr>
          <w:p w14:paraId="046AA2A8">
            <w:pPr>
              <w:widowControl w:val="0"/>
              <w:jc w:val="both"/>
              <w:rPr>
                <w:rFonts w:ascii="Calibri" w:hAnsi="Calibri" w:eastAsia="宋体"/>
                <w:kern w:val="2"/>
                <w:sz w:val="21"/>
                <w:szCs w:val="22"/>
                <w:lang w:eastAsia="zh-CN"/>
              </w:rPr>
            </w:pPr>
          </w:p>
        </w:tc>
      </w:tr>
      <w:tr w14:paraId="0894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681" w:type="dxa"/>
          </w:tcPr>
          <w:p w14:paraId="162108BB">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2</w:t>
            </w:r>
          </w:p>
        </w:tc>
        <w:tc>
          <w:tcPr>
            <w:tcW w:w="1573" w:type="dxa"/>
          </w:tcPr>
          <w:p w14:paraId="7D9323D3">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700" w:type="dxa"/>
          </w:tcPr>
          <w:p w14:paraId="533E8C42">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613" w:type="dxa"/>
          </w:tcPr>
          <w:p w14:paraId="3B339D8A">
            <w:pPr>
              <w:widowControl w:val="0"/>
              <w:jc w:val="both"/>
              <w:rPr>
                <w:rFonts w:ascii="Calibri" w:hAnsi="Calibri" w:eastAsia="宋体"/>
                <w:kern w:val="2"/>
                <w:sz w:val="21"/>
                <w:szCs w:val="22"/>
                <w:lang w:eastAsia="zh-CN"/>
              </w:rPr>
            </w:pPr>
          </w:p>
        </w:tc>
        <w:tc>
          <w:tcPr>
            <w:tcW w:w="1262" w:type="dxa"/>
          </w:tcPr>
          <w:p w14:paraId="1608AEFB">
            <w:pPr>
              <w:widowControl w:val="0"/>
              <w:jc w:val="both"/>
              <w:rPr>
                <w:rFonts w:ascii="Calibri" w:hAnsi="Calibri" w:eastAsia="宋体"/>
                <w:kern w:val="2"/>
                <w:sz w:val="21"/>
                <w:szCs w:val="22"/>
                <w:lang w:eastAsia="zh-CN"/>
              </w:rPr>
            </w:pPr>
          </w:p>
        </w:tc>
        <w:tc>
          <w:tcPr>
            <w:tcW w:w="743" w:type="dxa"/>
          </w:tcPr>
          <w:p w14:paraId="22E62230">
            <w:pPr>
              <w:widowControl w:val="0"/>
              <w:jc w:val="both"/>
              <w:rPr>
                <w:rFonts w:ascii="Calibri" w:hAnsi="Calibri" w:eastAsia="宋体"/>
                <w:kern w:val="2"/>
                <w:sz w:val="21"/>
                <w:szCs w:val="22"/>
                <w:lang w:eastAsia="zh-CN"/>
              </w:rPr>
            </w:pPr>
          </w:p>
        </w:tc>
      </w:tr>
      <w:tr w14:paraId="645C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681" w:type="dxa"/>
          </w:tcPr>
          <w:p w14:paraId="039C5BE3">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3</w:t>
            </w:r>
          </w:p>
        </w:tc>
        <w:tc>
          <w:tcPr>
            <w:tcW w:w="1573" w:type="dxa"/>
          </w:tcPr>
          <w:p w14:paraId="6ADDD22F">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700" w:type="dxa"/>
          </w:tcPr>
          <w:p w14:paraId="3AAC096C">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613" w:type="dxa"/>
          </w:tcPr>
          <w:p w14:paraId="4F6300BC">
            <w:pPr>
              <w:widowControl w:val="0"/>
              <w:jc w:val="both"/>
              <w:rPr>
                <w:rFonts w:ascii="Calibri" w:hAnsi="Calibri" w:eastAsia="宋体"/>
                <w:kern w:val="2"/>
                <w:sz w:val="21"/>
                <w:szCs w:val="22"/>
                <w:lang w:eastAsia="zh-CN"/>
              </w:rPr>
            </w:pPr>
          </w:p>
        </w:tc>
        <w:tc>
          <w:tcPr>
            <w:tcW w:w="1262" w:type="dxa"/>
          </w:tcPr>
          <w:p w14:paraId="3CA0513E">
            <w:pPr>
              <w:widowControl w:val="0"/>
              <w:jc w:val="both"/>
              <w:rPr>
                <w:rFonts w:ascii="Calibri" w:hAnsi="Calibri" w:eastAsia="宋体"/>
                <w:kern w:val="2"/>
                <w:sz w:val="21"/>
                <w:szCs w:val="22"/>
                <w:lang w:eastAsia="zh-CN"/>
              </w:rPr>
            </w:pPr>
          </w:p>
        </w:tc>
        <w:tc>
          <w:tcPr>
            <w:tcW w:w="743" w:type="dxa"/>
          </w:tcPr>
          <w:p w14:paraId="12C5862B">
            <w:pPr>
              <w:widowControl w:val="0"/>
              <w:jc w:val="both"/>
              <w:rPr>
                <w:rFonts w:ascii="Calibri" w:hAnsi="Calibri" w:eastAsia="宋体"/>
                <w:kern w:val="2"/>
                <w:sz w:val="21"/>
                <w:szCs w:val="22"/>
                <w:lang w:eastAsia="zh-CN"/>
              </w:rPr>
            </w:pPr>
          </w:p>
        </w:tc>
      </w:tr>
      <w:tr w14:paraId="00327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681" w:type="dxa"/>
          </w:tcPr>
          <w:p w14:paraId="35EF8945">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4</w:t>
            </w:r>
          </w:p>
        </w:tc>
        <w:tc>
          <w:tcPr>
            <w:tcW w:w="1573" w:type="dxa"/>
          </w:tcPr>
          <w:p w14:paraId="745F1CF4">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700" w:type="dxa"/>
          </w:tcPr>
          <w:p w14:paraId="7728596E">
            <w:pPr>
              <w:widowControl w:val="0"/>
              <w:jc w:val="both"/>
              <w:rPr>
                <w:rFonts w:ascii="Calibri" w:hAnsi="Calibri" w:eastAsia="宋体"/>
                <w:kern w:val="2"/>
                <w:sz w:val="21"/>
                <w:szCs w:val="22"/>
                <w:lang w:eastAsia="zh-CN"/>
              </w:rPr>
            </w:pPr>
            <w:r>
              <w:rPr>
                <w:rFonts w:hint="eastAsia" w:ascii="Calibri" w:hAnsi="Calibri" w:eastAsia="宋体" w:cstheme="minorBidi"/>
                <w:kern w:val="2"/>
                <w:sz w:val="21"/>
                <w:szCs w:val="22"/>
                <w:lang w:eastAsia="zh-CN"/>
              </w:rPr>
              <w:t>……</w:t>
            </w:r>
          </w:p>
        </w:tc>
        <w:tc>
          <w:tcPr>
            <w:tcW w:w="2613" w:type="dxa"/>
          </w:tcPr>
          <w:p w14:paraId="52689FF5">
            <w:pPr>
              <w:widowControl w:val="0"/>
              <w:jc w:val="both"/>
              <w:rPr>
                <w:rFonts w:ascii="Calibri" w:hAnsi="Calibri" w:eastAsia="宋体"/>
                <w:kern w:val="2"/>
                <w:sz w:val="21"/>
                <w:szCs w:val="22"/>
                <w:lang w:eastAsia="zh-CN"/>
              </w:rPr>
            </w:pPr>
          </w:p>
        </w:tc>
        <w:tc>
          <w:tcPr>
            <w:tcW w:w="1262" w:type="dxa"/>
          </w:tcPr>
          <w:p w14:paraId="650EC22A">
            <w:pPr>
              <w:widowControl w:val="0"/>
              <w:jc w:val="both"/>
              <w:rPr>
                <w:rFonts w:ascii="Calibri" w:hAnsi="Calibri" w:eastAsia="宋体"/>
                <w:kern w:val="2"/>
                <w:sz w:val="21"/>
                <w:szCs w:val="22"/>
                <w:lang w:eastAsia="zh-CN"/>
              </w:rPr>
            </w:pPr>
          </w:p>
        </w:tc>
        <w:tc>
          <w:tcPr>
            <w:tcW w:w="743" w:type="dxa"/>
          </w:tcPr>
          <w:p w14:paraId="5180BF78">
            <w:pPr>
              <w:widowControl w:val="0"/>
              <w:jc w:val="both"/>
              <w:rPr>
                <w:rFonts w:ascii="Calibri" w:hAnsi="Calibri" w:eastAsia="宋体"/>
                <w:kern w:val="2"/>
                <w:sz w:val="21"/>
                <w:szCs w:val="22"/>
                <w:lang w:eastAsia="zh-CN"/>
              </w:rPr>
            </w:pPr>
          </w:p>
        </w:tc>
      </w:tr>
    </w:tbl>
    <w:p w14:paraId="299DA454">
      <w:pPr>
        <w:widowControl w:val="0"/>
        <w:jc w:val="both"/>
        <w:rPr>
          <w:rFonts w:ascii="Calibri" w:hAnsi="Calibri" w:eastAsia="宋体"/>
          <w:kern w:val="2"/>
          <w:sz w:val="21"/>
          <w:szCs w:val="22"/>
          <w:lang w:eastAsia="zh-CN"/>
        </w:rPr>
      </w:pPr>
    </w:p>
    <w:p w14:paraId="6F484DF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《商务要求偏离表》编制指引：</w:t>
      </w:r>
    </w:p>
    <w:p w14:paraId="4EB3F17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1、商务要求偏离表的序号、目录、招标商务要求等栏目对应“用户需求书”中的“商务要求”章节相关内容。</w:t>
      </w:r>
    </w:p>
    <w:p w14:paraId="4C31AC7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2、“投标商务响应”一栏必须一一对照“采购商务要求”，详细填写自身响应情况，而不能不合理照搬照抄招标文件的商务要求，以体现具体响应情况。</w:t>
      </w:r>
    </w:p>
    <w:p w14:paraId="0B72EAB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3、“偏离情况”一栏填写如实填写</w:t>
      </w:r>
      <w:r>
        <w:rPr>
          <w:rFonts w:hint="eastAsia" w:eastAsia="宋体"/>
          <w:b/>
          <w:kern w:val="2"/>
          <w:sz w:val="21"/>
          <w:lang w:eastAsia="zh-CN"/>
        </w:rPr>
        <w:t>“正偏离”、“负偏离”或“无偏离”，</w:t>
      </w:r>
      <w:r>
        <w:rPr>
          <w:rFonts w:hint="eastAsia" w:eastAsia="宋体"/>
          <w:kern w:val="2"/>
          <w:sz w:val="21"/>
          <w:lang w:eastAsia="zh-CN"/>
        </w:rPr>
        <w:t>其中：“正偏离”表示“投标响应优于招标商务要求”，“负偏离”表示“投标响应不满足招标商务要求”，“无偏离”表示“投标响应与招标商务要求一致”。</w:t>
      </w:r>
    </w:p>
    <w:p w14:paraId="6AE6477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“投标商务响应”对比“采购商务要求”存在响应不全（包括未响应整项招标商务要求或者未响应一项招标商务要求的部分内容），均视为“负偏离”。</w:t>
      </w:r>
    </w:p>
    <w:p w14:paraId="317CD05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4、带★号条款为不可偏离条款，如未响应或出现负偏离的，将作投标无效处理。</w:t>
      </w:r>
    </w:p>
    <w:p w14:paraId="07BDCEF3">
      <w:pPr>
        <w:widowControl w:val="0"/>
        <w:ind w:firstLine="420" w:firstLineChars="200"/>
        <w:jc w:val="both"/>
        <w:rPr>
          <w:rFonts w:ascii="Calibri" w:hAnsi="Calibri" w:eastAsia="宋体"/>
          <w:bCs/>
          <w:kern w:val="2"/>
          <w:sz w:val="21"/>
          <w:szCs w:val="21"/>
          <w:lang w:eastAsia="zh-CN"/>
        </w:rPr>
      </w:pPr>
    </w:p>
    <w:p w14:paraId="12088844">
      <w:pPr>
        <w:keepNext/>
        <w:keepLines/>
        <w:widowControl w:val="0"/>
        <w:spacing w:before="260" w:after="260" w:line="240" w:lineRule="auto"/>
        <w:jc w:val="center"/>
        <w:outlineLvl w:val="2"/>
        <w:rPr>
          <w:rFonts w:hint="eastAsia"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十一、技术保障措施</w:t>
      </w:r>
    </w:p>
    <w:p w14:paraId="79A62E9A">
      <w:pPr>
        <w:keepNext/>
        <w:keepLines/>
        <w:widowControl w:val="0"/>
        <w:spacing w:before="260" w:after="260" w:line="240" w:lineRule="auto"/>
        <w:jc w:val="center"/>
        <w:outlineLvl w:val="2"/>
        <w:rPr>
          <w:rFonts w:hint="eastAsia"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十二、售后服务方案</w:t>
      </w:r>
    </w:p>
    <w:p w14:paraId="68265331">
      <w:pPr>
        <w:keepNext/>
        <w:keepLines/>
        <w:widowControl w:val="0"/>
        <w:spacing w:before="260" w:after="260" w:line="240" w:lineRule="auto"/>
        <w:jc w:val="center"/>
        <w:outlineLvl w:val="2"/>
        <w:rPr>
          <w:rFonts w:hint="eastAsia"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十三、拟安排的项目负责人情况(仅限1人)</w:t>
      </w:r>
    </w:p>
    <w:p w14:paraId="237AC7BC">
      <w:pPr>
        <w:keepNext/>
        <w:keepLines/>
        <w:widowControl w:val="0"/>
        <w:spacing w:before="260" w:after="260" w:line="240" w:lineRule="auto"/>
        <w:jc w:val="center"/>
        <w:outlineLvl w:val="2"/>
        <w:rPr>
          <w:rFonts w:hint="eastAsia"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十四、拟安排的项目主要团队成员（主要技术人员）情况（项目负责人除外）</w:t>
      </w:r>
    </w:p>
    <w:p w14:paraId="4C18C5D3">
      <w:pPr>
        <w:keepNext/>
        <w:keepLines/>
        <w:widowControl w:val="0"/>
        <w:spacing w:before="260" w:after="260" w:line="240" w:lineRule="auto"/>
        <w:jc w:val="center"/>
        <w:outlineLvl w:val="2"/>
        <w:rPr>
          <w:rFonts w:hint="eastAsia"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十五、同类项目业绩</w:t>
      </w:r>
    </w:p>
    <w:p w14:paraId="48F2AC68">
      <w:pPr>
        <w:keepNext/>
        <w:keepLines/>
        <w:widowControl w:val="0"/>
        <w:spacing w:before="260" w:after="260" w:line="240" w:lineRule="auto"/>
        <w:jc w:val="center"/>
        <w:outlineLvl w:val="2"/>
        <w:rPr>
          <w:rFonts w:hint="eastAsia"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十六、投标人认证情况</w:t>
      </w:r>
    </w:p>
    <w:p w14:paraId="59E52934">
      <w:pPr>
        <w:keepNext/>
        <w:keepLines/>
        <w:widowControl w:val="0"/>
        <w:spacing w:before="260" w:after="260" w:line="240" w:lineRule="auto"/>
        <w:jc w:val="center"/>
        <w:outlineLvl w:val="2"/>
        <w:rPr>
          <w:rFonts w:hint="eastAsia"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十七、投标人荣誉情况</w:t>
      </w:r>
    </w:p>
    <w:p w14:paraId="1C4FAD01">
      <w:pPr>
        <w:keepNext/>
        <w:keepLines/>
        <w:widowControl w:val="0"/>
        <w:spacing w:before="260" w:after="260" w:line="240" w:lineRule="auto"/>
        <w:jc w:val="center"/>
        <w:outlineLvl w:val="2"/>
        <w:rPr>
          <w:rFonts w:hint="eastAsia"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十八、投标人自主知识产权产品（创新、设计）情况</w:t>
      </w:r>
    </w:p>
    <w:p w14:paraId="08F8377E">
      <w:pPr>
        <w:keepNext/>
        <w:keepLines/>
        <w:widowControl w:val="0"/>
        <w:spacing w:before="260" w:after="260" w:line="240" w:lineRule="auto"/>
        <w:jc w:val="center"/>
        <w:outlineLvl w:val="2"/>
        <w:rPr>
          <w:rFonts w:hint="eastAsia" w:ascii="黑体" w:hAnsi="宋体" w:eastAsia="黑体"/>
          <w:b/>
          <w:bCs/>
          <w:kern w:val="2"/>
          <w:sz w:val="30"/>
          <w:szCs w:val="30"/>
          <w:lang w:eastAsia="zh-CN"/>
        </w:rPr>
      </w:pPr>
      <w:r>
        <w:rPr>
          <w:rFonts w:hint="eastAsia" w:ascii="黑体" w:hAnsi="宋体" w:eastAsia="黑体" w:cstheme="minorBidi"/>
          <w:b/>
          <w:bCs/>
          <w:kern w:val="2"/>
          <w:sz w:val="30"/>
          <w:szCs w:val="30"/>
          <w:lang w:eastAsia="zh-CN"/>
        </w:rPr>
        <w:t>十九、诚信情况</w:t>
      </w:r>
    </w:p>
    <w:p w14:paraId="61ECF785">
      <w:pPr>
        <w:spacing w:before="120" w:after="120"/>
        <w:jc w:val="center"/>
        <w:outlineLvl w:val="9"/>
        <w:rPr>
          <w:rFonts w:ascii="宋体" w:hAnsi="宋体" w:eastAsia="宋体"/>
          <w:b/>
          <w:bCs/>
          <w:sz w:val="21"/>
          <w:szCs w:val="21"/>
        </w:rPr>
      </w:pPr>
      <w:bookmarkStart w:id="28" w:name="_Toc20940"/>
      <w:r>
        <w:rPr>
          <w:rFonts w:hint="eastAsia" w:ascii="黑体" w:eastAsia="宋体"/>
          <w:b/>
          <w:bCs/>
          <w:sz w:val="28"/>
          <w:szCs w:val="28"/>
          <w:lang w:eastAsia="zh-CN"/>
        </w:rPr>
        <w:t>二十、</w:t>
      </w:r>
      <w:r>
        <w:rPr>
          <w:rFonts w:hint="eastAsia" w:ascii="黑体"/>
          <w:b/>
          <w:bCs/>
          <w:sz w:val="28"/>
          <w:szCs w:val="28"/>
        </w:rPr>
        <w:t>投标人诚信承诺函</w:t>
      </w:r>
      <w:bookmarkEnd w:id="28"/>
    </w:p>
    <w:p w14:paraId="5B70D405">
      <w:pPr>
        <w:spacing w:line="360" w:lineRule="auto"/>
        <w:jc w:val="left"/>
        <w:rPr>
          <w:rFonts w:ascii="宋体" w:hAnsi="宋体" w:eastAsia="宋体"/>
          <w:b/>
          <w:szCs w:val="21"/>
        </w:rPr>
      </w:pPr>
      <w:r>
        <w:rPr>
          <w:rFonts w:hint="eastAsia" w:ascii="宋体" w:hAnsi="宋体" w:eastAsia="宋体"/>
          <w:b/>
          <w:szCs w:val="21"/>
        </w:rPr>
        <w:t>致：深圳市千里招标代理有限公司</w:t>
      </w:r>
    </w:p>
    <w:p w14:paraId="7AF82F9E">
      <w:pPr>
        <w:spacing w:line="360" w:lineRule="auto"/>
        <w:ind w:firstLine="480" w:firstLineChars="200"/>
        <w:jc w:val="left"/>
        <w:rPr>
          <w:rFonts w:ascii="宋体" w:hAnsi="宋体" w:eastAsia="宋体"/>
          <w:szCs w:val="21"/>
        </w:rPr>
      </w:pPr>
      <w:r>
        <w:rPr>
          <w:rFonts w:hint="eastAsia" w:ascii="宋体" w:hAnsi="宋体" w:eastAsia="宋体"/>
          <w:szCs w:val="21"/>
        </w:rPr>
        <w:t>我公司承诺近三年内在采购招标投标活动中，不存在以下情形：</w:t>
      </w:r>
    </w:p>
    <w:p w14:paraId="714A5B44">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（一）被纪检监察部门立案调查，违法违规事实成立的；</w:t>
      </w:r>
    </w:p>
    <w:p w14:paraId="1393EBF6">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（二）未按本条例规定签订、履行采购合同，造成严重后果的；</w:t>
      </w:r>
    </w:p>
    <w:p w14:paraId="320471F8">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（三）隐瞒真实情况，提供虚假资料的；</w:t>
      </w:r>
    </w:p>
    <w:p w14:paraId="33F3B446">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（四）以非法手段排斥其他供应商参与竞争的；</w:t>
      </w:r>
    </w:p>
    <w:p w14:paraId="77C27F1E">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（五）与其他采购参加人串通投标的；</w:t>
      </w:r>
    </w:p>
    <w:p w14:paraId="5676DE42">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（六）在采购活动中应当回避而未回避的；</w:t>
      </w:r>
    </w:p>
    <w:p w14:paraId="4CBDFD62">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（七）恶意投诉的；</w:t>
      </w:r>
    </w:p>
    <w:p w14:paraId="165A388D">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（八）向采购项目相关人行贿或者提供其他不当利益的；</w:t>
      </w:r>
    </w:p>
    <w:p w14:paraId="284743A3">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（九）阻碍、抗拒主管部门监督检查的；</w:t>
      </w:r>
    </w:p>
    <w:p w14:paraId="2FB85B8D">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（十）履约检查不合格或者评价为差的；</w:t>
      </w:r>
    </w:p>
    <w:p w14:paraId="56083D5D">
      <w:pPr>
        <w:tabs>
          <w:tab w:val="left" w:pos="567"/>
        </w:tabs>
        <w:spacing w:line="360" w:lineRule="auto"/>
        <w:ind w:left="420"/>
        <w:jc w:val="left"/>
        <w:rPr>
          <w:rFonts w:ascii="宋体" w:hAnsi="宋体" w:eastAsia="宋体"/>
          <w:sz w:val="21"/>
          <w:szCs w:val="21"/>
        </w:rPr>
      </w:pPr>
      <w:r>
        <w:rPr>
          <w:rFonts w:hint="eastAsia" w:ascii="宋体" w:hAnsi="宋体" w:eastAsia="宋体"/>
          <w:sz w:val="21"/>
          <w:szCs w:val="21"/>
        </w:rPr>
        <w:t>（十一）重大违法犯罪记录和被财政等政府主管部门处以禁止参与政府采购活动的情况；</w:t>
      </w:r>
    </w:p>
    <w:p w14:paraId="4CFBE06A">
      <w:pPr>
        <w:spacing w:line="360" w:lineRule="auto"/>
        <w:ind w:firstLine="480" w:firstLineChars="200"/>
        <w:jc w:val="left"/>
        <w:rPr>
          <w:rFonts w:ascii="宋体" w:hAnsi="宋体" w:eastAsia="宋体"/>
          <w:szCs w:val="21"/>
        </w:rPr>
      </w:pPr>
      <w:r>
        <w:rPr>
          <w:rFonts w:hint="eastAsia" w:ascii="宋体" w:hAnsi="宋体" w:eastAsia="宋体"/>
          <w:szCs w:val="21"/>
        </w:rPr>
        <w:t>（十二）主管部门认定的其他情形。</w:t>
      </w:r>
    </w:p>
    <w:p w14:paraId="3599CA5B">
      <w:pPr>
        <w:spacing w:line="360" w:lineRule="auto"/>
        <w:ind w:firstLine="480" w:firstLineChars="200"/>
        <w:jc w:val="left"/>
        <w:rPr>
          <w:rFonts w:ascii="宋体" w:hAnsi="宋体" w:eastAsia="宋体"/>
          <w:szCs w:val="21"/>
        </w:rPr>
      </w:pPr>
      <w:r>
        <w:rPr>
          <w:rFonts w:hint="eastAsia" w:ascii="宋体" w:hAnsi="宋体" w:eastAsia="宋体"/>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14:paraId="2F386398">
      <w:pPr>
        <w:spacing w:line="360" w:lineRule="auto"/>
        <w:ind w:firstLine="480" w:firstLineChars="200"/>
        <w:jc w:val="left"/>
        <w:rPr>
          <w:rFonts w:ascii="宋体" w:hAnsi="宋体" w:eastAsia="宋体"/>
          <w:szCs w:val="21"/>
        </w:rPr>
      </w:pPr>
      <w:r>
        <w:rPr>
          <w:rFonts w:hint="eastAsia" w:ascii="宋体" w:hAnsi="宋体" w:eastAsia="宋体"/>
          <w:szCs w:val="21"/>
        </w:rPr>
        <w:t>特此承诺。</w:t>
      </w:r>
    </w:p>
    <w:p w14:paraId="6988D0B2">
      <w:pPr>
        <w:spacing w:line="360" w:lineRule="auto"/>
        <w:jc w:val="both"/>
        <w:rPr>
          <w:rFonts w:ascii="宋体" w:hAnsi="宋体" w:eastAsia="宋体"/>
          <w:szCs w:val="21"/>
        </w:rPr>
      </w:pPr>
    </w:p>
    <w:p w14:paraId="458106B9">
      <w:pPr>
        <w:spacing w:line="360" w:lineRule="auto"/>
        <w:jc w:val="left"/>
        <w:rPr>
          <w:rFonts w:ascii="宋体" w:hAnsi="宋体" w:eastAsia="宋体"/>
          <w:szCs w:val="21"/>
        </w:rPr>
      </w:pPr>
    </w:p>
    <w:p w14:paraId="74214F3B">
      <w:pPr>
        <w:spacing w:line="360" w:lineRule="auto"/>
        <w:ind w:firstLine="3600" w:firstLineChars="1500"/>
        <w:jc w:val="left"/>
        <w:rPr>
          <w:rFonts w:ascii="宋体" w:hAnsi="宋体" w:eastAsia="宋体"/>
          <w:szCs w:val="21"/>
        </w:rPr>
      </w:pPr>
      <w:r>
        <w:rPr>
          <w:rFonts w:hint="eastAsia" w:ascii="宋体" w:hAnsi="宋体" w:eastAsia="宋体"/>
          <w:szCs w:val="21"/>
        </w:rPr>
        <w:t>投标单位：</w:t>
      </w:r>
    </w:p>
    <w:p w14:paraId="304206EC">
      <w:pPr>
        <w:spacing w:line="360" w:lineRule="auto"/>
        <w:jc w:val="left"/>
        <w:rPr>
          <w:rFonts w:ascii="宋体" w:hAnsi="宋体" w:eastAsia="宋体"/>
          <w:szCs w:val="21"/>
        </w:rPr>
      </w:pPr>
    </w:p>
    <w:p w14:paraId="37551B68">
      <w:pPr>
        <w:spacing w:line="360" w:lineRule="auto"/>
        <w:jc w:val="right"/>
        <w:rPr>
          <w:rFonts w:ascii="宋体" w:hAnsi="宋体" w:eastAsia="宋体"/>
          <w:szCs w:val="21"/>
        </w:rPr>
      </w:pPr>
      <w:r>
        <w:rPr>
          <w:rFonts w:hint="eastAsia" w:ascii="宋体" w:hAnsi="宋体" w:eastAsia="宋体"/>
          <w:szCs w:val="21"/>
        </w:rPr>
        <w:t>日期：</w:t>
      </w:r>
      <w:r>
        <w:rPr>
          <w:rFonts w:hint="eastAsia" w:ascii="宋体" w:hAnsi="宋体" w:eastAsia="宋体"/>
          <w:szCs w:val="21"/>
          <w:u w:val="single"/>
          <w:lang w:eastAsia="zh-CN"/>
        </w:rPr>
        <w:t xml:space="preserve">     </w:t>
      </w:r>
      <w:r>
        <w:rPr>
          <w:rFonts w:hint="eastAsia" w:ascii="宋体" w:hAnsi="宋体" w:eastAsia="宋体"/>
          <w:szCs w:val="21"/>
        </w:rPr>
        <w:t>年</w:t>
      </w:r>
      <w:r>
        <w:rPr>
          <w:rFonts w:hint="eastAsia" w:ascii="宋体" w:hAnsi="宋体" w:eastAsia="宋体"/>
          <w:szCs w:val="21"/>
          <w:u w:val="single"/>
          <w:lang w:eastAsia="zh-CN"/>
        </w:rPr>
        <w:t xml:space="preserve">     </w:t>
      </w:r>
      <w:r>
        <w:rPr>
          <w:rFonts w:hint="eastAsia" w:ascii="宋体" w:hAnsi="宋体" w:eastAsia="宋体"/>
          <w:szCs w:val="21"/>
        </w:rPr>
        <w:t>月</w:t>
      </w:r>
      <w:r>
        <w:rPr>
          <w:rFonts w:hint="eastAsia" w:ascii="宋体" w:hAnsi="宋体" w:eastAsia="宋体"/>
          <w:szCs w:val="21"/>
          <w:u w:val="single"/>
          <w:lang w:eastAsia="zh-CN"/>
        </w:rPr>
        <w:t xml:space="preserve">     </w:t>
      </w:r>
      <w:r>
        <w:rPr>
          <w:rFonts w:hint="eastAsia" w:ascii="宋体" w:hAnsi="宋体" w:eastAsia="宋体"/>
          <w:szCs w:val="21"/>
        </w:rPr>
        <w:t>日</w:t>
      </w:r>
    </w:p>
    <w:p w14:paraId="5EA3210E">
      <w:pPr>
        <w:widowControl/>
        <w:spacing w:line="360" w:lineRule="auto"/>
        <w:jc w:val="left"/>
        <w:rPr>
          <w:rFonts w:hint="eastAsia" w:ascii="黑体" w:hAnsi="宋体" w:eastAsia="黑体"/>
          <w:kern w:val="2"/>
          <w:szCs w:val="20"/>
          <w:highlight w:val="yellow"/>
          <w:lang w:eastAsia="zh-CN"/>
        </w:rPr>
      </w:pPr>
    </w:p>
    <w:p w14:paraId="6CEAD5D4">
      <w:pPr>
        <w:keepNext/>
        <w:keepLines/>
        <w:widowControl w:val="0"/>
        <w:spacing w:before="260" w:after="260" w:line="240" w:lineRule="auto"/>
        <w:jc w:val="center"/>
        <w:outlineLvl w:val="2"/>
        <w:rPr>
          <w:rFonts w:ascii="黑体" w:hAnsi="宋体" w:eastAsia="黑体"/>
          <w:b/>
          <w:bCs/>
          <w:kern w:val="2"/>
          <w:sz w:val="30"/>
          <w:szCs w:val="30"/>
          <w:lang w:eastAsia="zh-CN"/>
        </w:rPr>
      </w:pPr>
      <w:r>
        <w:rPr>
          <w:rFonts w:hint="eastAsia" w:ascii="黑体" w:hAnsi="宋体" w:eastAsia="黑体" w:cstheme="minorBidi"/>
          <w:b/>
          <w:bCs/>
          <w:kern w:val="2"/>
          <w:sz w:val="30"/>
          <w:szCs w:val="30"/>
          <w:lang w:eastAsia="zh-CN"/>
        </w:rPr>
        <w:t>二十一、</w:t>
      </w:r>
      <w:bookmarkStart w:id="29" w:name="_Hlk72062872"/>
      <w:r>
        <w:rPr>
          <w:rFonts w:hint="eastAsia" w:ascii="黑体" w:hAnsi="宋体" w:eastAsia="黑体" w:cstheme="minorBidi"/>
          <w:b/>
          <w:bCs/>
          <w:kern w:val="2"/>
          <w:sz w:val="30"/>
          <w:szCs w:val="30"/>
          <w:lang w:eastAsia="zh-CN"/>
        </w:rPr>
        <w:t>投标人认为需要加以说明的其他内容</w:t>
      </w:r>
      <w:bookmarkEnd w:id="29"/>
    </w:p>
    <w:p w14:paraId="7FFAD64C">
      <w:pPr>
        <w:widowControl/>
        <w:jc w:val="center"/>
        <w:rPr>
          <w:rFonts w:ascii="黑体" w:hAnsi="宋体" w:eastAsia="黑体"/>
          <w:szCs w:val="20"/>
          <w:lang w:eastAsia="zh-CN"/>
        </w:rPr>
      </w:pPr>
      <w:r>
        <w:rPr>
          <w:rFonts w:hint="eastAsia" w:ascii="黑体" w:hAnsi="宋体" w:eastAsia="黑体" w:cstheme="minorBidi"/>
          <w:szCs w:val="20"/>
          <w:lang w:eastAsia="zh-CN"/>
        </w:rPr>
        <w:t>（一）政府采购违法行为风险知悉确认书</w:t>
      </w:r>
    </w:p>
    <w:p w14:paraId="7E287801">
      <w:pPr>
        <w:widowControl/>
        <w:jc w:val="center"/>
        <w:rPr>
          <w:rFonts w:ascii="黑体" w:hAnsi="宋体" w:eastAsia="黑体"/>
          <w:szCs w:val="20"/>
          <w:lang w:eastAsia="zh-CN"/>
        </w:rPr>
      </w:pPr>
    </w:p>
    <w:p w14:paraId="7538DE3A">
      <w:pPr>
        <w:widowControl w:val="0"/>
        <w:spacing w:line="579" w:lineRule="exact"/>
        <w:ind w:firstLine="480" w:firstLineChars="200"/>
        <w:jc w:val="both"/>
        <w:rPr>
          <w:rFonts w:ascii="宋体" w:hAnsi="宋体" w:eastAsia="宋体" w:cs="仿宋_GB2312"/>
          <w:lang w:eastAsia="zh-CN"/>
        </w:rPr>
      </w:pPr>
      <w:r>
        <w:rPr>
          <w:rFonts w:hint="eastAsia" w:ascii="宋体" w:hAnsi="宋体" w:eastAsia="宋体" w:cs="仿宋_GB2312"/>
          <w:kern w:val="2"/>
          <w:lang w:eastAsia="zh-CN"/>
        </w:rPr>
        <w:t>本公司在投标前已充分知悉以下情形为参与政府采购活动时的重大风险事项，并承诺已对下述风险提示事项重点排查，做到严谨、诚信、依法依规参与政府采购活动。</w:t>
      </w:r>
    </w:p>
    <w:p w14:paraId="6A36DA50">
      <w:pPr>
        <w:widowControl w:val="0"/>
        <w:spacing w:line="579" w:lineRule="exact"/>
        <w:ind w:firstLine="482" w:firstLineChars="200"/>
        <w:jc w:val="both"/>
        <w:rPr>
          <w:rFonts w:ascii="宋体" w:hAnsi="宋体" w:eastAsia="宋体" w:cs="仿宋_GB2312"/>
          <w:kern w:val="2"/>
          <w:lang w:eastAsia="zh-CN"/>
        </w:rPr>
      </w:pPr>
      <w:r>
        <w:rPr>
          <w:rFonts w:hint="eastAsia" w:ascii="宋体" w:hAnsi="宋体" w:eastAsia="宋体" w:cs="仿宋_GB2312"/>
          <w:b/>
          <w:bCs/>
          <w:kern w:val="2"/>
          <w:lang w:eastAsia="zh-CN"/>
        </w:rPr>
        <w:t>一、本公司已充分知悉“隐瞒真实情况，提供虚假资料”的法定情形，相关情形包括但不限于</w:t>
      </w:r>
      <w:r>
        <w:rPr>
          <w:rFonts w:hint="eastAsia" w:ascii="宋体" w:hAnsi="宋体" w:eastAsia="宋体" w:cs="仿宋_GB2312"/>
          <w:kern w:val="2"/>
          <w:lang w:eastAsia="zh-CN"/>
        </w:rPr>
        <w:t>：</w:t>
      </w:r>
    </w:p>
    <w:p w14:paraId="5C005ADC">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（一）通过转让或者租借等方式从其他单位获取资格或者资质证书投标的。</w:t>
      </w:r>
    </w:p>
    <w:p w14:paraId="7BD433F3">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（二）由其他单位或者其他单位负责人在投标供应商编制的投标文件上加盖印章或者签字的。</w:t>
      </w:r>
    </w:p>
    <w:p w14:paraId="62BFBFA4">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（三）项目负责人或者主要技术人员不是本单位人员的。</w:t>
      </w:r>
    </w:p>
    <w:p w14:paraId="6F365932">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（四）投标保证金不是从投标供应商基本账户转出的。</w:t>
      </w:r>
    </w:p>
    <w:p w14:paraId="2B091BA7">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（五）其他隐瞒真实情况、提供虚假资料的行为。</w:t>
      </w:r>
    </w:p>
    <w:p w14:paraId="7DDDE6DB">
      <w:pPr>
        <w:widowControl w:val="0"/>
        <w:spacing w:line="579" w:lineRule="exact"/>
        <w:ind w:firstLine="482" w:firstLineChars="200"/>
        <w:jc w:val="both"/>
        <w:rPr>
          <w:rFonts w:ascii="宋体" w:hAnsi="宋体" w:eastAsia="宋体" w:cs="仿宋_GB2312"/>
          <w:kern w:val="2"/>
          <w:lang w:eastAsia="zh-CN"/>
        </w:rPr>
      </w:pPr>
      <w:r>
        <w:rPr>
          <w:rFonts w:hint="eastAsia" w:ascii="宋体" w:hAnsi="宋体" w:eastAsia="宋体" w:cs="仿宋_GB2312"/>
          <w:b/>
          <w:bCs/>
          <w:kern w:val="2"/>
          <w:lang w:eastAsia="zh-CN"/>
        </w:rPr>
        <w:t>二、本公司已充分知悉“与其他采购参加人串通投标”的法定情形，相关情形包括但不限于：</w:t>
      </w:r>
    </w:p>
    <w:p w14:paraId="0BFB4C3F">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（一）投标供应商之间相互约定给予未中标的供应商利益补偿。</w:t>
      </w:r>
    </w:p>
    <w:p w14:paraId="0F4E003E">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（二）不同投标供应商的法定代表人、主要经营负责人、项目投标授权代表人、项目负责人、主要技术人员为同一人、属同一单位或者在同一单位缴纳社会保险。</w:t>
      </w:r>
    </w:p>
    <w:p w14:paraId="02DC7047">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（三）不同投标供应商的投标文件由同一单位或者同一人编制，或者由同一人分阶段参与编制的。</w:t>
      </w:r>
    </w:p>
    <w:p w14:paraId="1B0955FB">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（四）不同投标供应商的投标文件或部分投标文件相互混装。</w:t>
      </w:r>
    </w:p>
    <w:p w14:paraId="4F3EB6DE">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（五）不同投标供应商的投标文件内容存在非正常一致。</w:t>
      </w:r>
    </w:p>
    <w:p w14:paraId="614D0351">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（六）由同一单位工作人员为两家以上（含两家）供应商进行同一项投标活动的。</w:t>
      </w:r>
    </w:p>
    <w:p w14:paraId="26CFA0A9">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（七）不同投标人的投标报价呈规律性差异。</w:t>
      </w:r>
    </w:p>
    <w:p w14:paraId="7A8AABFF">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（八）不同投标人的投标保证金从同一单位或者个人的账户转出。</w:t>
      </w:r>
    </w:p>
    <w:p w14:paraId="100A6958">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（九）主管部门依照法律、法规认定的其他情形。</w:t>
      </w:r>
    </w:p>
    <w:p w14:paraId="0C9D3E67">
      <w:pPr>
        <w:widowControl w:val="0"/>
        <w:spacing w:line="579" w:lineRule="exact"/>
        <w:ind w:firstLine="482" w:firstLineChars="200"/>
        <w:jc w:val="both"/>
        <w:rPr>
          <w:rFonts w:ascii="宋体" w:hAnsi="宋体" w:eastAsia="宋体" w:cs="仿宋_GB2312"/>
          <w:b/>
          <w:bCs/>
          <w:kern w:val="2"/>
          <w:lang w:eastAsia="zh-CN"/>
        </w:rPr>
      </w:pPr>
      <w:r>
        <w:rPr>
          <w:rFonts w:hint="eastAsia" w:ascii="宋体" w:hAnsi="宋体" w:eastAsia="宋体" w:cs="仿宋_GB2312"/>
          <w:b/>
          <w:bCs/>
          <w:kern w:val="2"/>
          <w:lang w:eastAsia="zh-CN"/>
        </w:rPr>
        <w:t>三、本公司已充分知悉下列情形所对应的法律风险，并在投标前已对相关风险事项进行排查。</w:t>
      </w:r>
    </w:p>
    <w:p w14:paraId="4FD44AC8">
      <w:pPr>
        <w:widowControl w:val="0"/>
        <w:spacing w:line="579" w:lineRule="exact"/>
        <w:ind w:firstLine="480" w:firstLineChars="200"/>
        <w:jc w:val="both"/>
        <w:rPr>
          <w:rFonts w:ascii="宋体" w:hAnsi="宋体" w:eastAsia="宋体" w:cs="仿宋_GB2312"/>
          <w:b/>
          <w:bCs/>
          <w:kern w:val="2"/>
          <w:lang w:eastAsia="zh-CN"/>
        </w:rPr>
      </w:pPr>
      <w:r>
        <w:rPr>
          <w:rFonts w:hint="eastAsia" w:ascii="宋体" w:hAnsi="宋体" w:eastAsia="宋体" w:cs="仿宋_GB2312"/>
          <w:kern w:val="2"/>
          <w:lang w:eastAsia="zh-CN"/>
        </w:rPr>
        <w:t>（一）对于</w:t>
      </w:r>
      <w:r>
        <w:rPr>
          <w:rFonts w:hint="eastAsia" w:ascii="宋体" w:hAnsi="宋体" w:eastAsia="宋体"/>
          <w:kern w:val="2"/>
          <w:lang w:eastAsia="zh-CN"/>
        </w:rPr>
        <w:t>从</w:t>
      </w:r>
      <w:r>
        <w:rPr>
          <w:rFonts w:hint="eastAsia" w:ascii="宋体" w:hAnsi="宋体" w:eastAsia="宋体" w:cs="仿宋_GB2312"/>
          <w:kern w:val="2"/>
          <w:lang w:eastAsia="zh-CN"/>
        </w:rPr>
        <w:t>其他主体</w:t>
      </w:r>
      <w:r>
        <w:rPr>
          <w:rFonts w:hint="eastAsia" w:ascii="宋体" w:hAnsi="宋体" w:eastAsia="宋体"/>
          <w:kern w:val="2"/>
          <w:lang w:eastAsia="zh-CN"/>
        </w:rPr>
        <w:t>获取</w:t>
      </w:r>
      <w:r>
        <w:rPr>
          <w:rFonts w:hint="eastAsia" w:ascii="宋体" w:hAnsi="宋体" w:eastAsia="宋体" w:cs="仿宋_GB2312"/>
          <w:kern w:val="2"/>
          <w:lang w:eastAsia="zh-CN"/>
        </w:rPr>
        <w:t>的投标资料，供应商应审慎核查，确保投标资料的真实性。</w:t>
      </w:r>
      <w:r>
        <w:rPr>
          <w:rFonts w:hint="eastAsia" w:ascii="宋体" w:hAnsi="宋体" w:eastAsia="宋体" w:cs="仿宋_GB2312"/>
          <w:b/>
          <w:bCs/>
          <w:kern w:val="2"/>
          <w:lang w:eastAsia="zh-CN"/>
        </w:rPr>
        <w:t>如主管部门查实投标文件中存在虚假资料的，无论相关资料是否由第三方或本公司员工提供，均不影响主管部门对供应商存在“隐瞒真实情况，提供虚假资料”违法行为的认定。</w:t>
      </w:r>
    </w:p>
    <w:p w14:paraId="36DFAF02">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161F4104">
      <w:pPr>
        <w:widowControl w:val="0"/>
        <w:spacing w:line="579" w:lineRule="exact"/>
        <w:ind w:firstLine="480" w:firstLineChars="200"/>
        <w:jc w:val="both"/>
        <w:rPr>
          <w:rFonts w:hint="eastAsia" w:ascii="宋体" w:hAnsi="宋体" w:eastAsia="宋体" w:cs="仿宋_GB2312"/>
          <w:kern w:val="2"/>
          <w:lang w:eastAsia="zh-CN"/>
        </w:rPr>
      </w:pPr>
      <w:r>
        <w:rPr>
          <w:rFonts w:hint="eastAsia" w:ascii="宋体" w:hAnsi="宋体" w:eastAsia="宋体" w:cs="仿宋_GB2312"/>
          <w:kern w:val="2"/>
          <w:lang w:eastAsia="zh-CN"/>
        </w:rPr>
        <w:t>（三）对于涉及安全生产、特种作业、抢险救灾、防疫等政府采购项目，供应商实施提供虚假资料、串通投标等违法行为的，主管部门将依法从严处理。</w:t>
      </w:r>
    </w:p>
    <w:p w14:paraId="722CEA9F">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（四）供应商应严格规范项目授权代表、员工参与招标投标的行为，加强对投标文件的审核。项目授权代表、员工</w:t>
      </w:r>
      <w:r>
        <w:rPr>
          <w:rFonts w:hint="eastAsia" w:ascii="宋体" w:hAnsi="宋体" w:eastAsia="宋体"/>
          <w:kern w:val="2"/>
          <w:lang w:eastAsia="zh-CN"/>
        </w:rPr>
        <w:t>编制、上传</w:t>
      </w:r>
      <w:r>
        <w:rPr>
          <w:rFonts w:hint="eastAsia" w:ascii="宋体" w:hAnsi="宋体" w:eastAsia="宋体" w:cs="仿宋_GB2312"/>
          <w:kern w:val="2"/>
          <w:lang w:eastAsia="zh-CN"/>
        </w:rPr>
        <w:t>投标文件</w:t>
      </w:r>
      <w:r>
        <w:rPr>
          <w:rFonts w:hint="eastAsia" w:ascii="宋体" w:hAnsi="宋体" w:eastAsia="宋体"/>
          <w:kern w:val="2"/>
          <w:lang w:eastAsia="zh-CN"/>
        </w:rPr>
        <w:t>等行为</w:t>
      </w:r>
      <w:r>
        <w:rPr>
          <w:rFonts w:hint="eastAsia" w:ascii="宋体" w:hAnsi="宋体" w:eastAsia="宋体" w:cs="仿宋_GB2312"/>
          <w:kern w:val="2"/>
          <w:lang w:eastAsia="zh-CN"/>
        </w:rPr>
        <w:t>违反政府采购法律法规或招标文件要求的，投标供应商应当依法承担相应法律责任。</w:t>
      </w:r>
    </w:p>
    <w:p w14:paraId="245BBE38">
      <w:pPr>
        <w:widowControl w:val="0"/>
        <w:spacing w:line="579" w:lineRule="exact"/>
        <w:ind w:firstLine="480" w:firstLineChars="200"/>
        <w:jc w:val="left"/>
        <w:rPr>
          <w:rFonts w:ascii="宋体" w:hAnsi="宋体" w:eastAsia="宋体" w:cs="仿宋_GB2312"/>
          <w:kern w:val="2"/>
          <w:lang w:eastAsia="zh-CN"/>
        </w:rPr>
      </w:pPr>
      <w:r>
        <w:rPr>
          <w:rFonts w:hint="eastAsia" w:ascii="宋体" w:hAnsi="宋体" w:eastAsia="宋体" w:cs="仿宋_GB2312"/>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13A68A4">
      <w:pPr>
        <w:widowControl w:val="0"/>
        <w:spacing w:line="579" w:lineRule="exact"/>
        <w:ind w:firstLine="480" w:firstLineChars="200"/>
        <w:jc w:val="both"/>
        <w:rPr>
          <w:rFonts w:ascii="宋体" w:hAnsi="宋体" w:eastAsia="宋体" w:cs="仿宋_GB2312"/>
          <w:kern w:val="2"/>
          <w:lang w:eastAsia="zh-CN"/>
        </w:rPr>
      </w:pPr>
      <w:r>
        <w:rPr>
          <w:rFonts w:hint="eastAsia" w:ascii="宋体" w:hAnsi="宋体" w:eastAsia="宋体" w:cs="仿宋_GB2312"/>
          <w:kern w:val="2"/>
          <w:lang w:eastAsia="zh-CN"/>
        </w:rPr>
        <w:t>（六）单位负责人为同一人或者存在直接控股、管理关系的不同供应商，不得参加同一合同项下的政府采购活动。相关情形</w:t>
      </w:r>
      <w:r>
        <w:rPr>
          <w:rFonts w:hint="eastAsia" w:ascii="宋体" w:hAnsi="宋体" w:eastAsia="宋体"/>
          <w:kern w:val="2"/>
          <w:lang w:eastAsia="zh-CN"/>
        </w:rPr>
        <w:t>如</w:t>
      </w:r>
      <w:r>
        <w:rPr>
          <w:rFonts w:hint="eastAsia" w:ascii="宋体" w:hAnsi="宋体" w:eastAsia="宋体" w:cs="仿宋_GB2312"/>
          <w:kern w:val="2"/>
          <w:lang w:eastAsia="zh-CN"/>
        </w:rPr>
        <w:t>查实，依法作投标无效处理；涉嫌串通投标等违法行为的，主管部门将依法调查处理。</w:t>
      </w:r>
    </w:p>
    <w:p w14:paraId="5DB591DE">
      <w:pPr>
        <w:widowControl w:val="0"/>
        <w:spacing w:line="579" w:lineRule="exact"/>
        <w:ind w:firstLine="482" w:firstLineChars="200"/>
        <w:jc w:val="both"/>
        <w:rPr>
          <w:rFonts w:ascii="宋体" w:hAnsi="宋体" w:eastAsia="宋体" w:cs="仿宋_GB2312"/>
          <w:b/>
          <w:bCs/>
          <w:kern w:val="2"/>
          <w:lang w:eastAsia="zh-CN"/>
        </w:rPr>
      </w:pPr>
      <w:r>
        <w:rPr>
          <w:rFonts w:hint="eastAsia" w:ascii="宋体" w:hAnsi="宋体" w:eastAsia="宋体" w:cs="仿宋_GB2312"/>
          <w:b/>
          <w:bCs/>
          <w:kern w:val="2"/>
          <w:lang w:eastAsia="zh-CN"/>
        </w:rPr>
        <w:t>四、本公司已充分知悉政府采购违法、违规行为的法律后果。</w:t>
      </w:r>
      <w:r>
        <w:rPr>
          <w:rFonts w:hint="eastAsia" w:ascii="宋体" w:hAnsi="宋体" w:eastAsia="宋体" w:cs="仿宋_GB2312"/>
          <w:kern w:val="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4B8411B">
      <w:pPr>
        <w:widowControl w:val="0"/>
        <w:spacing w:line="579" w:lineRule="exact"/>
        <w:ind w:firstLine="480" w:firstLineChars="200"/>
        <w:jc w:val="both"/>
        <w:rPr>
          <w:rFonts w:ascii="宋体" w:hAnsi="宋体" w:eastAsia="宋体" w:cs="仿宋_GB2312"/>
          <w:color w:val="FF0000"/>
          <w:kern w:val="2"/>
          <w:lang w:eastAsia="zh-CN"/>
        </w:rPr>
      </w:pPr>
      <w:r>
        <w:rPr>
          <w:rFonts w:hint="eastAsia" w:ascii="宋体" w:hAnsi="宋体" w:eastAsia="宋体" w:cs="仿宋_GB2312"/>
          <w:color w:val="FF0000"/>
          <w:kern w:val="2"/>
          <w:lang w:eastAsia="zh-CN"/>
        </w:rPr>
        <w:t>我司已阅读并确认：“本公司已仔细阅读《政府采购违法行为风险知悉确认书》，充分知悉违法行为的法律后果，并承诺将严谨、诚信、依法依规参与政府采购活动”。</w:t>
      </w:r>
    </w:p>
    <w:p w14:paraId="602053AF">
      <w:pPr>
        <w:widowControl w:val="0"/>
        <w:spacing w:line="579" w:lineRule="exact"/>
        <w:jc w:val="both"/>
        <w:rPr>
          <w:rFonts w:ascii="宋体" w:hAnsi="宋体" w:eastAsia="宋体" w:cs="仿宋_GB2312"/>
          <w:kern w:val="2"/>
          <w:u w:val="single"/>
          <w:lang w:eastAsia="zh-CN"/>
        </w:rPr>
      </w:pPr>
    </w:p>
    <w:p w14:paraId="5F24187A">
      <w:pPr>
        <w:widowControl w:val="0"/>
        <w:spacing w:line="560" w:lineRule="exact"/>
        <w:jc w:val="both"/>
        <w:rPr>
          <w:rFonts w:ascii="宋体" w:hAnsi="宋体" w:eastAsia="宋体" w:cs="宋体"/>
          <w:kern w:val="2"/>
          <w:sz w:val="18"/>
          <w:szCs w:val="18"/>
          <w:lang w:eastAsia="zh-CN"/>
        </w:rPr>
      </w:pPr>
    </w:p>
    <w:p w14:paraId="15BDD86A">
      <w:pPr>
        <w:widowControl w:val="0"/>
        <w:spacing w:before="60" w:beforeLines="25" w:after="60" w:afterLines="25"/>
        <w:jc w:val="right"/>
        <w:rPr>
          <w:rFonts w:hint="eastAsia" w:ascii="Calibri" w:hAnsi="Calibri" w:eastAsia="宋体"/>
          <w:kern w:val="2"/>
          <w:sz w:val="21"/>
          <w:szCs w:val="22"/>
          <w:lang w:eastAsia="zh-CN"/>
        </w:rPr>
      </w:pPr>
      <w:r>
        <w:rPr>
          <w:rFonts w:hint="eastAsia" w:ascii="Calibri" w:hAnsi="Calibri" w:eastAsia="宋体" w:cstheme="minorBidi"/>
          <w:kern w:val="2"/>
          <w:sz w:val="21"/>
          <w:szCs w:val="21"/>
          <w:lang w:eastAsia="zh-CN"/>
        </w:rPr>
        <w:t>投标人：</w:t>
      </w:r>
      <w:r>
        <w:rPr>
          <w:rFonts w:hint="eastAsia" w:ascii="宋体" w:hAnsi="宋体" w:eastAsia="宋体" w:cstheme="minorBidi"/>
          <w:kern w:val="2"/>
          <w:sz w:val="21"/>
          <w:szCs w:val="21"/>
          <w:u w:val="single"/>
          <w:lang w:eastAsia="zh-CN"/>
        </w:rPr>
        <w:t xml:space="preserve">                </w:t>
      </w:r>
      <w:r>
        <w:rPr>
          <w:rFonts w:hint="eastAsia" w:ascii="Calibri" w:hAnsi="Calibri" w:eastAsia="宋体" w:cstheme="minorBidi"/>
          <w:color w:val="FFFFFF"/>
          <w:kern w:val="2"/>
          <w:sz w:val="21"/>
          <w:szCs w:val="21"/>
          <w:u w:val="single"/>
          <w:lang w:eastAsia="zh-CN"/>
        </w:rPr>
        <w:t>.</w:t>
      </w:r>
    </w:p>
    <w:p w14:paraId="7CEBB3B6">
      <w:pPr>
        <w:widowControl w:val="0"/>
        <w:ind w:firstLine="645"/>
        <w:jc w:val="right"/>
        <w:rPr>
          <w:rFonts w:ascii="宋体" w:hAnsi="宋体" w:eastAsia="宋体"/>
          <w:kern w:val="2"/>
          <w:sz w:val="21"/>
          <w:szCs w:val="21"/>
          <w:lang w:eastAsia="zh-CN"/>
        </w:rPr>
      </w:pPr>
      <w:r>
        <w:rPr>
          <w:rFonts w:hint="eastAsia" w:ascii="宋体" w:hAnsi="宋体" w:eastAsia="宋体" w:cstheme="minorBidi"/>
          <w:kern w:val="2"/>
          <w:sz w:val="21"/>
          <w:szCs w:val="21"/>
          <w:lang w:eastAsia="zh-CN"/>
        </w:rPr>
        <w:t>日期：</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年</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月</w:t>
      </w:r>
      <w:r>
        <w:rPr>
          <w:rFonts w:hint="eastAsia" w:ascii="宋体" w:hAnsi="宋体" w:eastAsia="宋体" w:cstheme="minorBidi"/>
          <w:kern w:val="2"/>
          <w:sz w:val="21"/>
          <w:szCs w:val="21"/>
          <w:u w:val="single"/>
          <w:lang w:eastAsia="zh-CN"/>
        </w:rPr>
        <w:t xml:space="preserve">    </w:t>
      </w:r>
      <w:r>
        <w:rPr>
          <w:rFonts w:hint="eastAsia" w:ascii="宋体" w:hAnsi="宋体" w:eastAsia="宋体" w:cstheme="minorBidi"/>
          <w:kern w:val="2"/>
          <w:sz w:val="21"/>
          <w:szCs w:val="21"/>
          <w:lang w:eastAsia="zh-CN"/>
        </w:rPr>
        <w:t>日</w:t>
      </w:r>
    </w:p>
    <w:p w14:paraId="62DC7841">
      <w:pPr>
        <w:widowControl w:val="0"/>
        <w:adjustRightInd w:val="0"/>
        <w:snapToGrid w:val="0"/>
        <w:spacing w:line="360" w:lineRule="auto"/>
        <w:ind w:firstLine="494" w:firstLineChars="206"/>
        <w:jc w:val="left"/>
        <w:rPr>
          <w:rFonts w:ascii="宋体" w:hAnsi="宋体" w:eastAsia="宋体" w:cs="仿宋_GB2312"/>
          <w:kern w:val="2"/>
          <w:lang w:eastAsia="zh-CN"/>
        </w:rPr>
      </w:pPr>
    </w:p>
    <w:p w14:paraId="0B306A1E">
      <w:pPr>
        <w:widowControl/>
        <w:autoSpaceDE w:val="0"/>
        <w:autoSpaceDN w:val="0"/>
        <w:spacing w:line="400" w:lineRule="exact"/>
        <w:ind w:firstLine="480" w:firstLineChars="200"/>
        <w:jc w:val="left"/>
        <w:rPr>
          <w:rFonts w:ascii="宋体" w:hAnsi="宋体" w:eastAsia="宋体"/>
          <w:color w:val="FF0000"/>
          <w:spacing w:val="-4"/>
          <w:sz w:val="21"/>
          <w:szCs w:val="21"/>
          <w:lang w:eastAsia="zh-CN"/>
        </w:rPr>
      </w:pPr>
      <w:r>
        <w:rPr>
          <w:rFonts w:hint="eastAsia" w:ascii="宋体" w:hAnsi="宋体" w:eastAsia="宋体" w:cs="仿宋_GB2312"/>
          <w:kern w:val="2"/>
          <w:lang w:eastAsia="zh-CN"/>
        </w:rPr>
        <w:t>注：根据《深圳市财政局关于采购文件增加风险告知有关事项的通知》（深财购〔2022〕22号），该风险知悉确认书用于对供应商违法行为的警示，不作为供应商资格性审查及符合性审查条件。</w:t>
      </w:r>
    </w:p>
    <w:p w14:paraId="56711759">
      <w:pPr>
        <w:widowControl/>
        <w:jc w:val="center"/>
        <w:rPr>
          <w:rFonts w:ascii="黑体" w:hAnsi="宋体" w:eastAsia="黑体"/>
          <w:szCs w:val="20"/>
          <w:lang w:eastAsia="zh-CN"/>
        </w:rPr>
      </w:pPr>
      <w:r>
        <w:rPr>
          <w:rFonts w:hint="eastAsia" w:ascii="黑体" w:hAnsi="宋体" w:eastAsia="黑体" w:cstheme="minorBidi"/>
          <w:szCs w:val="20"/>
          <w:lang w:eastAsia="zh-CN"/>
        </w:rPr>
        <w:t>（二）投标人认为需要加以说明的其他内容（格式自定）</w:t>
      </w:r>
    </w:p>
    <w:p w14:paraId="45FA35C9">
      <w:pPr>
        <w:widowControl w:val="0"/>
        <w:spacing w:after="60" w:afterLines="25" w:line="300" w:lineRule="auto"/>
        <w:jc w:val="both"/>
        <w:rPr>
          <w:rFonts w:ascii="Arial" w:hAnsi="Arial" w:eastAsia="宋体"/>
          <w:kern w:val="2"/>
          <w:lang w:eastAsia="zh-CN"/>
        </w:rPr>
      </w:pPr>
    </w:p>
    <w:p w14:paraId="3E578E3A">
      <w:pPr>
        <w:keepNext/>
        <w:keepLines/>
        <w:widowControl w:val="0"/>
        <w:adjustRightInd w:val="0"/>
        <w:spacing w:before="260" w:after="260"/>
        <w:jc w:val="center"/>
        <w:textAlignment w:val="baseline"/>
        <w:outlineLvl w:val="1"/>
        <w:rPr>
          <w:rFonts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5330DBA2">
      <w:pPr>
        <w:widowControl w:val="0"/>
        <w:jc w:val="center"/>
        <w:rPr>
          <w:rFonts w:ascii="宋体" w:hAnsi="宋体" w:eastAsia="宋体"/>
          <w:b/>
          <w:kern w:val="2"/>
          <w:sz w:val="21"/>
          <w:szCs w:val="21"/>
          <w:lang w:eastAsia="zh-CN"/>
        </w:rPr>
      </w:pPr>
      <w:r>
        <w:rPr>
          <w:rFonts w:hint="eastAsia" w:ascii="宋体" w:hAnsi="宋体" w:eastAsia="宋体"/>
          <w:b/>
          <w:kern w:val="2"/>
          <w:sz w:val="21"/>
          <w:szCs w:val="21"/>
          <w:lang w:eastAsia="zh-CN"/>
        </w:rPr>
        <w:t>有专业类别的格式合同范本请选择相应的合同</w:t>
      </w:r>
    </w:p>
    <w:p w14:paraId="4621B0A2">
      <w:pPr>
        <w:widowControl w:val="0"/>
        <w:jc w:val="center"/>
        <w:rPr>
          <w:rFonts w:ascii="宋体" w:hAnsi="宋体" w:eastAsia="宋体"/>
          <w:b/>
          <w:kern w:val="2"/>
          <w:sz w:val="21"/>
          <w:szCs w:val="21"/>
          <w:lang w:eastAsia="zh-CN"/>
        </w:rPr>
      </w:pPr>
      <w:r>
        <w:rPr>
          <w:rFonts w:hint="eastAsia" w:ascii="宋体" w:hAnsi="宋体" w:eastAsia="宋体"/>
          <w:b/>
          <w:kern w:val="2"/>
          <w:sz w:val="21"/>
          <w:szCs w:val="21"/>
          <w:lang w:eastAsia="zh-CN"/>
        </w:rPr>
        <w:t>（仅供参考，采购单位需填写项目关键信息和违约责任条款）</w:t>
      </w:r>
    </w:p>
    <w:p w14:paraId="2B511EE7">
      <w:pPr>
        <w:widowControl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采购人：</w:t>
      </w:r>
    </w:p>
    <w:p w14:paraId="21933E22">
      <w:pPr>
        <w:widowControl w:val="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w:t>
      </w:r>
    </w:p>
    <w:p w14:paraId="5919B45C">
      <w:pPr>
        <w:widowControl w:val="0"/>
        <w:jc w:val="left"/>
        <w:rPr>
          <w:rFonts w:ascii="宋体" w:hAnsi="宋体" w:eastAsia="宋体"/>
          <w:kern w:val="2"/>
          <w:sz w:val="21"/>
          <w:szCs w:val="21"/>
          <w:lang w:eastAsia="zh-CN"/>
        </w:rPr>
      </w:pPr>
    </w:p>
    <w:p w14:paraId="1A8C2906">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根据深圳市</w:t>
      </w:r>
      <w:r>
        <w:rPr>
          <w:rFonts w:hint="eastAsia" w:ascii="宋体" w:hAnsi="宋体" w:eastAsia="宋体" w:cs="宋体"/>
          <w:kern w:val="2"/>
          <w:sz w:val="21"/>
          <w:szCs w:val="21"/>
          <w:lang w:eastAsia="zh-CN"/>
        </w:rPr>
        <w:t>****</w:t>
      </w:r>
      <w:r>
        <w:rPr>
          <w:rFonts w:hint="eastAsia" w:ascii="宋体" w:hAnsi="宋体" w:eastAsia="宋体"/>
          <w:kern w:val="2"/>
          <w:sz w:val="21"/>
          <w:szCs w:val="21"/>
          <w:lang w:eastAsia="zh-CN"/>
        </w:rPr>
        <w:t>号采购项目的投标结果，由单位为中标方。按照有关规定，经深圳市（以下简称甲方）和单位（以下简称乙方）协商，达成以下合同条款：</w:t>
      </w:r>
    </w:p>
    <w:p w14:paraId="0328876E">
      <w:pPr>
        <w:widowControl w:val="0"/>
        <w:spacing w:line="360" w:lineRule="auto"/>
        <w:ind w:firstLine="560"/>
        <w:jc w:val="left"/>
        <w:rPr>
          <w:rFonts w:ascii="宋体" w:hAnsi="宋体" w:eastAsia="宋体"/>
          <w:b/>
          <w:kern w:val="2"/>
          <w:sz w:val="21"/>
          <w:szCs w:val="21"/>
          <w:lang w:eastAsia="zh-CN"/>
        </w:rPr>
      </w:pPr>
      <w:r>
        <w:rPr>
          <w:rFonts w:hint="eastAsia" w:ascii="宋体" w:hAnsi="宋体" w:eastAsia="宋体"/>
          <w:b/>
          <w:kern w:val="2"/>
          <w:sz w:val="21"/>
          <w:szCs w:val="21"/>
          <w:lang w:eastAsia="zh-CN"/>
        </w:rPr>
        <w:t>第一条合同标的</w:t>
      </w:r>
    </w:p>
    <w:p w14:paraId="6C652545">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乙方根据甲方需求提供下列货物：</w:t>
      </w:r>
    </w:p>
    <w:p w14:paraId="70C92100">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货物名称、规格及数量详见。</w:t>
      </w:r>
    </w:p>
    <w:p w14:paraId="440C3BC6">
      <w:pPr>
        <w:widowControl w:val="0"/>
        <w:spacing w:line="360" w:lineRule="auto"/>
        <w:ind w:firstLine="560"/>
        <w:jc w:val="left"/>
        <w:rPr>
          <w:rFonts w:ascii="宋体" w:hAnsi="宋体" w:eastAsia="宋体"/>
          <w:b/>
          <w:kern w:val="2"/>
          <w:sz w:val="21"/>
          <w:szCs w:val="21"/>
          <w:lang w:eastAsia="zh-CN"/>
        </w:rPr>
      </w:pPr>
      <w:r>
        <w:rPr>
          <w:rFonts w:hint="eastAsia" w:ascii="宋体" w:hAnsi="宋体" w:eastAsia="宋体"/>
          <w:b/>
          <w:kern w:val="2"/>
          <w:sz w:val="21"/>
          <w:szCs w:val="21"/>
          <w:lang w:eastAsia="zh-CN"/>
        </w:rPr>
        <w:t>第二条合同价款</w:t>
      </w:r>
    </w:p>
    <w:p w14:paraId="4F1E6F10">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本合同项下总价款为（大写）人民币，分项价款详见。本合同总价款已包括乙方为履行本合同义务所发生的一切费用，系固定不变价格，且不随通货膨胀的影响而波动。</w:t>
      </w:r>
    </w:p>
    <w:p w14:paraId="0F87C005">
      <w:pPr>
        <w:widowControl w:val="0"/>
        <w:spacing w:line="360" w:lineRule="auto"/>
        <w:ind w:firstLine="560"/>
        <w:jc w:val="left"/>
        <w:rPr>
          <w:rFonts w:ascii="宋体" w:hAnsi="宋体" w:eastAsia="宋体"/>
          <w:b/>
          <w:kern w:val="2"/>
          <w:sz w:val="21"/>
          <w:szCs w:val="21"/>
          <w:lang w:eastAsia="zh-CN"/>
        </w:rPr>
      </w:pPr>
      <w:r>
        <w:rPr>
          <w:rFonts w:hint="eastAsia" w:ascii="宋体" w:hAnsi="宋体" w:eastAsia="宋体"/>
          <w:b/>
          <w:kern w:val="2"/>
          <w:sz w:val="21"/>
          <w:szCs w:val="21"/>
          <w:lang w:eastAsia="zh-CN"/>
        </w:rPr>
        <w:t>第三条权利保证</w:t>
      </w:r>
    </w:p>
    <w:p w14:paraId="113D5986">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68E6B9CB">
      <w:pPr>
        <w:widowControl w:val="0"/>
        <w:spacing w:line="360" w:lineRule="auto"/>
        <w:ind w:firstLine="560"/>
        <w:jc w:val="left"/>
        <w:rPr>
          <w:rFonts w:ascii="宋体" w:hAnsi="宋体" w:eastAsia="宋体"/>
          <w:b/>
          <w:kern w:val="2"/>
          <w:sz w:val="21"/>
          <w:szCs w:val="21"/>
          <w:lang w:eastAsia="zh-CN"/>
        </w:rPr>
      </w:pPr>
      <w:r>
        <w:rPr>
          <w:rFonts w:hint="eastAsia" w:ascii="宋体" w:hAnsi="宋体" w:eastAsia="宋体"/>
          <w:b/>
          <w:kern w:val="2"/>
          <w:sz w:val="21"/>
          <w:szCs w:val="21"/>
          <w:lang w:eastAsia="zh-CN"/>
        </w:rPr>
        <w:t>第四条质量保证</w:t>
      </w:r>
    </w:p>
    <w:p w14:paraId="77BAE416">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1、乙方所提供的货物的技术规格符合采购文件规定的技术规格，货物符合中华人民共和国的设计和制造生产标准或行业标准。</w:t>
      </w:r>
    </w:p>
    <w:p w14:paraId="2CE0F453">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2、乙方应保证货物是全新、未使用过的原装合格正品（包括零部件），并完全符合甲方要求的质量、规格和性能的要求。如货物安装或配置了软件的，乙方保证相关软件均为正版软件。</w:t>
      </w:r>
    </w:p>
    <w:p w14:paraId="3963D790">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3、乙方保证交货时一并提供货物的质量合格凭证或文件。</w:t>
      </w:r>
    </w:p>
    <w:p w14:paraId="72C0F50A">
      <w:pPr>
        <w:widowControl w:val="0"/>
        <w:spacing w:line="360" w:lineRule="auto"/>
        <w:jc w:val="left"/>
        <w:rPr>
          <w:rFonts w:ascii="宋体" w:hAnsi="宋体" w:eastAsia="宋体"/>
          <w:kern w:val="2"/>
          <w:sz w:val="21"/>
          <w:szCs w:val="21"/>
          <w:lang w:eastAsia="zh-CN"/>
        </w:rPr>
      </w:pPr>
    </w:p>
    <w:p w14:paraId="18407AAC">
      <w:pPr>
        <w:widowControl w:val="0"/>
        <w:spacing w:line="360" w:lineRule="auto"/>
        <w:ind w:firstLine="560"/>
        <w:jc w:val="left"/>
        <w:rPr>
          <w:rFonts w:ascii="宋体" w:hAnsi="宋体" w:eastAsia="宋体"/>
          <w:b/>
          <w:kern w:val="2"/>
          <w:sz w:val="21"/>
          <w:szCs w:val="21"/>
          <w:lang w:eastAsia="zh-CN"/>
        </w:rPr>
      </w:pPr>
      <w:r>
        <w:rPr>
          <w:rFonts w:hint="eastAsia" w:ascii="宋体" w:hAnsi="宋体" w:eastAsia="宋体"/>
          <w:b/>
          <w:kern w:val="2"/>
          <w:sz w:val="21"/>
          <w:szCs w:val="21"/>
          <w:lang w:eastAsia="zh-CN"/>
        </w:rPr>
        <w:t>第五条交货和验收</w:t>
      </w:r>
    </w:p>
    <w:p w14:paraId="672A761D">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1、乙方应按照本合同或招投标文件规定的时间和方式向甲方交付货物，交货地点由甲方指定。因交货产生的费用由乙方自行承担。</w:t>
      </w:r>
    </w:p>
    <w:p w14:paraId="6E7C44D4">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2、乙方交付的货物应当完全符合招投标文件所规定的货物、数量、质量和规格要求。乙方提供的货物不符合招投标文件和合同规定的，甲方有权拒收货物，由此引起的风险，由乙方承担。</w:t>
      </w:r>
    </w:p>
    <w:p w14:paraId="48B934EC">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234342D3">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4、甲方应当在到货后的个工作日内对货物进行验收；需要乙方对货物或系统进行安装调试的，甲方应在货物安装调试完毕后的个工作日内进行质量验收。</w:t>
      </w:r>
    </w:p>
    <w:p w14:paraId="24EF4DC4">
      <w:pPr>
        <w:widowControl w:val="0"/>
        <w:spacing w:line="360" w:lineRule="auto"/>
        <w:ind w:firstLine="560"/>
        <w:jc w:val="left"/>
        <w:rPr>
          <w:rFonts w:ascii="宋体" w:hAnsi="宋体" w:eastAsia="宋体"/>
          <w:b/>
          <w:kern w:val="2"/>
          <w:sz w:val="21"/>
          <w:szCs w:val="21"/>
          <w:lang w:eastAsia="zh-CN"/>
        </w:rPr>
      </w:pPr>
      <w:r>
        <w:rPr>
          <w:rFonts w:hint="eastAsia" w:ascii="宋体" w:hAnsi="宋体" w:eastAsia="宋体"/>
          <w:b/>
          <w:kern w:val="2"/>
          <w:sz w:val="21"/>
          <w:szCs w:val="21"/>
          <w:lang w:eastAsia="zh-CN"/>
        </w:rPr>
        <w:t>第六条保修及其他服务</w:t>
      </w:r>
    </w:p>
    <w:p w14:paraId="35F65ACD">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1、乙方应按照国家有关法律法规规章和“三包”规定和采购文件的要求及乙方在投标文件的相关承诺提供保修及其他服务。</w:t>
      </w:r>
    </w:p>
    <w:p w14:paraId="0C3A6820">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保修期内，乙方负责对其提供的货物进行维修和系统维护，不再收取任何费用。</w:t>
      </w:r>
      <w:r>
        <w:rPr>
          <w:rFonts w:hint="eastAsia" w:ascii="宋体" w:hAnsi="宋体" w:eastAsia="宋体"/>
          <w:kern w:val="2"/>
          <w:sz w:val="21"/>
          <w:szCs w:val="21"/>
          <w:lang w:eastAsia="zh-CN"/>
        </w:rPr>
        <w:t>所有货物保修服务方式均为乙方上门保修，即由乙方派员到货物使用现场维修，由此产生的一切费用均由乙方承担。保修期后的货物维护另行协商。</w:t>
      </w:r>
    </w:p>
    <w:p w14:paraId="17AE2ABF">
      <w:pPr>
        <w:widowControl w:val="0"/>
        <w:spacing w:line="360" w:lineRule="auto"/>
        <w:ind w:firstLine="560"/>
        <w:jc w:val="left"/>
        <w:rPr>
          <w:rFonts w:ascii="宋体" w:hAnsi="宋体" w:eastAsia="宋体"/>
          <w:b/>
          <w:kern w:val="2"/>
          <w:sz w:val="21"/>
          <w:szCs w:val="21"/>
          <w:lang w:eastAsia="zh-CN"/>
        </w:rPr>
      </w:pPr>
      <w:r>
        <w:rPr>
          <w:rFonts w:hint="eastAsia" w:ascii="宋体" w:hAnsi="宋体" w:eastAsia="宋体"/>
          <w:b/>
          <w:kern w:val="2"/>
          <w:sz w:val="21"/>
          <w:szCs w:val="21"/>
          <w:lang w:eastAsia="zh-CN"/>
        </w:rPr>
        <w:t>第七条履约保证金</w:t>
      </w:r>
    </w:p>
    <w:p w14:paraId="26F22B02">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1、乙方应在签订本合同之日，向甲方或甲方指定的机构提交履约保证金_________元。</w:t>
      </w:r>
    </w:p>
    <w:p w14:paraId="4A79A06E">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2、如乙方未能履行合同规定的义务，甲方有权从履约保证金中取得补偿。</w:t>
      </w:r>
    </w:p>
    <w:p w14:paraId="167449B1">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3、甲方在乙方履行完毕本合同项下全部义务后______天内无息退还乙方。</w:t>
      </w:r>
    </w:p>
    <w:p w14:paraId="1B227C15">
      <w:pPr>
        <w:widowControl w:val="0"/>
        <w:spacing w:line="360" w:lineRule="auto"/>
        <w:ind w:firstLine="560"/>
        <w:jc w:val="left"/>
        <w:rPr>
          <w:rFonts w:ascii="宋体" w:hAnsi="宋体" w:eastAsia="宋体"/>
          <w:kern w:val="2"/>
          <w:sz w:val="21"/>
          <w:szCs w:val="21"/>
          <w:lang w:eastAsia="zh-CN"/>
        </w:rPr>
      </w:pPr>
    </w:p>
    <w:p w14:paraId="23B80B79">
      <w:pPr>
        <w:widowControl w:val="0"/>
        <w:spacing w:line="360" w:lineRule="auto"/>
        <w:ind w:firstLine="560"/>
        <w:jc w:val="left"/>
        <w:rPr>
          <w:rFonts w:ascii="宋体" w:hAnsi="宋体" w:eastAsia="宋体"/>
          <w:b/>
          <w:kern w:val="2"/>
          <w:sz w:val="21"/>
          <w:szCs w:val="21"/>
          <w:lang w:eastAsia="zh-CN"/>
        </w:rPr>
      </w:pPr>
      <w:r>
        <w:rPr>
          <w:rFonts w:hint="eastAsia" w:ascii="宋体" w:hAnsi="宋体" w:eastAsia="宋体"/>
          <w:b/>
          <w:kern w:val="2"/>
          <w:sz w:val="21"/>
          <w:szCs w:val="21"/>
          <w:lang w:eastAsia="zh-CN"/>
        </w:rPr>
        <w:t>第八条付款方式</w:t>
      </w:r>
    </w:p>
    <w:p w14:paraId="302552AD">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按照招标文件规定的付款方式进行支付。</w:t>
      </w:r>
    </w:p>
    <w:p w14:paraId="76DAE4D4">
      <w:pPr>
        <w:widowControl w:val="0"/>
        <w:spacing w:line="360" w:lineRule="auto"/>
        <w:ind w:firstLine="560"/>
        <w:jc w:val="left"/>
        <w:rPr>
          <w:rFonts w:ascii="宋体" w:hAnsi="宋体" w:eastAsia="宋体"/>
          <w:b/>
          <w:kern w:val="2"/>
          <w:sz w:val="21"/>
          <w:szCs w:val="21"/>
          <w:lang w:eastAsia="zh-CN"/>
        </w:rPr>
      </w:pPr>
      <w:r>
        <w:rPr>
          <w:rFonts w:hint="eastAsia" w:ascii="宋体" w:hAnsi="宋体" w:eastAsia="宋体"/>
          <w:b/>
          <w:kern w:val="2"/>
          <w:sz w:val="21"/>
          <w:szCs w:val="21"/>
          <w:lang w:eastAsia="zh-CN"/>
        </w:rPr>
        <w:t>第九条违约责任</w:t>
      </w:r>
    </w:p>
    <w:p w14:paraId="5369EF0F">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１、甲方无正当理由拒收货物、拒付货物款的，由甲方向乙方偿付合同总价的【】%违约金。</w:t>
      </w:r>
    </w:p>
    <w:p w14:paraId="46864220">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２、甲方未按合同规定的期限向乙方支付货款的，每逾期1天甲方向乙方偿付欠款总额的【】‰滞纳金，但累计滞纳金总额不超过欠款总额的【】%。</w:t>
      </w:r>
    </w:p>
    <w:p w14:paraId="561DEEA0">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３、</w:t>
      </w:r>
      <w:r>
        <w:rPr>
          <w:rFonts w:ascii="宋体" w:hAnsi="宋体" w:eastAsia="宋体"/>
          <w:kern w:val="2"/>
          <w:sz w:val="21"/>
          <w:szCs w:val="21"/>
          <w:lang w:eastAsia="zh-CN"/>
        </w:rPr>
        <w:t>乙方逾期交付货物的，每逾期1天，乙方向甲方偿付逾期交货部分货款总额的</w:t>
      </w:r>
      <w:r>
        <w:rPr>
          <w:rFonts w:hint="eastAsia" w:ascii="宋体" w:hAnsi="宋体" w:eastAsia="宋体"/>
          <w:kern w:val="2"/>
          <w:sz w:val="21"/>
          <w:szCs w:val="21"/>
          <w:lang w:eastAsia="zh-CN"/>
        </w:rPr>
        <w:t>【】</w:t>
      </w:r>
      <w:r>
        <w:rPr>
          <w:rFonts w:ascii="宋体" w:hAnsi="宋体" w:eastAsia="宋体"/>
          <w:kern w:val="2"/>
          <w:sz w:val="21"/>
          <w:szCs w:val="21"/>
          <w:lang w:eastAsia="zh-CN"/>
        </w:rPr>
        <w:t>‰的滞纳金</w:t>
      </w:r>
      <w:r>
        <w:rPr>
          <w:rFonts w:hint="eastAsia" w:ascii="宋体" w:hAnsi="宋体" w:eastAsia="宋体"/>
          <w:kern w:val="2"/>
          <w:sz w:val="21"/>
          <w:szCs w:val="21"/>
          <w:lang w:eastAsia="zh-CN"/>
        </w:rPr>
        <w:t>。如乙方逾期交货达天，甲方有权解除合同，履约保证金不予退回，同时乙方应向甲方支付合同总价【】％的违约金。</w:t>
      </w:r>
    </w:p>
    <w:p w14:paraId="71488175">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4、乙方所交付的货物品种、型号、规格不符合合同规定的，甲方有权拒收。甲方拒收的，乙方应向甲方支付货款总额【】%的违约金。</w:t>
      </w:r>
    </w:p>
    <w:p w14:paraId="67686FBA">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5、在乙方承诺的或国家规定的质量保证期内（取两者中最长的期限），</w:t>
      </w:r>
      <w:r>
        <w:rPr>
          <w:rFonts w:ascii="宋体" w:hAnsi="宋体" w:eastAsia="宋体"/>
          <w:kern w:val="2"/>
          <w:sz w:val="21"/>
          <w:szCs w:val="21"/>
          <w:lang w:eastAsia="zh-CN"/>
        </w:rPr>
        <w:t>如经乙方两次维修</w:t>
      </w:r>
      <w:r>
        <w:rPr>
          <w:rFonts w:hint="eastAsia" w:ascii="宋体" w:hAnsi="宋体" w:eastAsia="宋体"/>
          <w:kern w:val="2"/>
          <w:sz w:val="21"/>
          <w:szCs w:val="21"/>
          <w:lang w:eastAsia="zh-CN"/>
        </w:rPr>
        <w:t>或更换</w:t>
      </w:r>
      <w:r>
        <w:rPr>
          <w:rFonts w:ascii="宋体" w:hAnsi="宋体" w:eastAsia="宋体"/>
          <w:kern w:val="2"/>
          <w:sz w:val="21"/>
          <w:szCs w:val="21"/>
          <w:lang w:eastAsia="zh-CN"/>
        </w:rPr>
        <w:t>，货物仍不能达到合同约定</w:t>
      </w:r>
      <w:r>
        <w:rPr>
          <w:rFonts w:hint="eastAsia" w:ascii="宋体" w:hAnsi="宋体" w:eastAsia="宋体"/>
          <w:kern w:val="2"/>
          <w:sz w:val="21"/>
          <w:szCs w:val="21"/>
          <w:lang w:eastAsia="zh-CN"/>
        </w:rPr>
        <w:t>的</w:t>
      </w:r>
      <w:r>
        <w:rPr>
          <w:rFonts w:ascii="宋体" w:hAnsi="宋体" w:eastAsia="宋体"/>
          <w:kern w:val="2"/>
          <w:sz w:val="21"/>
          <w:szCs w:val="21"/>
          <w:lang w:eastAsia="zh-CN"/>
        </w:rPr>
        <w:t>质量标准，甲方有权退货，乙方</w:t>
      </w:r>
      <w:r>
        <w:rPr>
          <w:rFonts w:hint="eastAsia" w:ascii="宋体" w:hAnsi="宋体" w:eastAsia="宋体"/>
          <w:kern w:val="2"/>
          <w:sz w:val="21"/>
          <w:szCs w:val="21"/>
          <w:lang w:eastAsia="zh-CN"/>
        </w:rPr>
        <w:t>应</w:t>
      </w:r>
      <w:r>
        <w:rPr>
          <w:rFonts w:ascii="宋体" w:hAnsi="宋体" w:eastAsia="宋体"/>
          <w:kern w:val="2"/>
          <w:sz w:val="21"/>
          <w:szCs w:val="21"/>
          <w:lang w:eastAsia="zh-CN"/>
        </w:rPr>
        <w:t>退回全部货款</w:t>
      </w:r>
      <w:r>
        <w:rPr>
          <w:rFonts w:hint="eastAsia" w:ascii="宋体" w:hAnsi="宋体" w:eastAsia="宋体"/>
          <w:kern w:val="2"/>
          <w:sz w:val="21"/>
          <w:szCs w:val="21"/>
          <w:lang w:eastAsia="zh-CN"/>
        </w:rPr>
        <w:t>并</w:t>
      </w:r>
      <w:r>
        <w:rPr>
          <w:rFonts w:ascii="宋体" w:hAnsi="宋体" w:eastAsia="宋体"/>
          <w:kern w:val="2"/>
          <w:sz w:val="21"/>
          <w:szCs w:val="21"/>
          <w:lang w:eastAsia="zh-CN"/>
        </w:rPr>
        <w:t>赔偿甲方因此遭受的损失。</w:t>
      </w:r>
    </w:p>
    <w:p w14:paraId="7B1486F3">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6、乙方未履行本合同项下的其他义务或违反其在投标文件中的相关承诺的，应按合同总价款的【】%向甲方承担违约责任。</w:t>
      </w:r>
    </w:p>
    <w:p w14:paraId="729D5211">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7、乙方在承担上述一项或多项违约责任后，仍应继续履行合同规定的义务（甲方解除合同的除外）。甲方未能及时追究乙方的任何一项违约责任并不表明甲方放弃追究乙方该项或其他违约责任。</w:t>
      </w:r>
    </w:p>
    <w:p w14:paraId="1692EEA3">
      <w:pPr>
        <w:widowControl w:val="0"/>
        <w:spacing w:line="360" w:lineRule="auto"/>
        <w:ind w:firstLine="560"/>
        <w:jc w:val="left"/>
        <w:rPr>
          <w:rFonts w:ascii="宋体" w:hAnsi="宋体" w:eastAsia="宋体"/>
          <w:b/>
          <w:kern w:val="2"/>
          <w:sz w:val="21"/>
          <w:szCs w:val="21"/>
          <w:lang w:eastAsia="zh-CN"/>
        </w:rPr>
      </w:pPr>
      <w:r>
        <w:rPr>
          <w:rFonts w:hint="eastAsia" w:ascii="宋体" w:hAnsi="宋体" w:eastAsia="宋体"/>
          <w:b/>
          <w:kern w:val="2"/>
          <w:sz w:val="21"/>
          <w:szCs w:val="21"/>
          <w:lang w:eastAsia="zh-CN"/>
        </w:rPr>
        <w:t>第十条合同的变更和终止</w:t>
      </w:r>
    </w:p>
    <w:p w14:paraId="1F3CD6EC">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除《中华人民共和国政府采购法》第４９条、第５０条第二款规定的情形外，本合同一经签订，甲乙双方不得擅自变更、中止或终止合同。</w:t>
      </w:r>
    </w:p>
    <w:p w14:paraId="1FED915A">
      <w:pPr>
        <w:widowControl w:val="0"/>
        <w:spacing w:line="360" w:lineRule="auto"/>
        <w:ind w:firstLine="560"/>
        <w:jc w:val="left"/>
        <w:rPr>
          <w:rFonts w:ascii="宋体" w:hAnsi="宋体" w:eastAsia="宋体"/>
          <w:b/>
          <w:kern w:val="2"/>
          <w:sz w:val="21"/>
          <w:szCs w:val="21"/>
          <w:lang w:eastAsia="zh-CN"/>
        </w:rPr>
      </w:pPr>
      <w:r>
        <w:rPr>
          <w:rFonts w:hint="eastAsia" w:ascii="宋体" w:hAnsi="宋体" w:eastAsia="宋体"/>
          <w:b/>
          <w:kern w:val="2"/>
          <w:sz w:val="21"/>
          <w:szCs w:val="21"/>
          <w:lang w:eastAsia="zh-CN"/>
        </w:rPr>
        <w:t>第十一条争议的解决</w:t>
      </w:r>
    </w:p>
    <w:p w14:paraId="3E142A82">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1、因货物的质量问题发生争议的，应当邀请国家认可的质量检测机构对货物质量进行鉴定。货物符合标准的，鉴定费由甲方承担；货物不符合质量标准的，鉴定费由乙方承担。</w:t>
      </w:r>
    </w:p>
    <w:p w14:paraId="36A2669A">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2、因履行本合同引起的或与本合同有关的争议，甲、乙双方应首先通过友好协商解决，如果协商不能解决争议，则向甲方所在地有管辖权的人民法院提起诉讼；</w:t>
      </w:r>
    </w:p>
    <w:p w14:paraId="1941EAF5">
      <w:pPr>
        <w:widowControl w:val="0"/>
        <w:spacing w:line="360" w:lineRule="auto"/>
        <w:ind w:firstLine="560"/>
        <w:jc w:val="left"/>
        <w:rPr>
          <w:rFonts w:ascii="宋体" w:hAnsi="宋体" w:eastAsia="宋体"/>
          <w:b/>
          <w:kern w:val="2"/>
          <w:sz w:val="21"/>
          <w:szCs w:val="21"/>
          <w:lang w:eastAsia="zh-CN"/>
        </w:rPr>
      </w:pPr>
      <w:r>
        <w:rPr>
          <w:rFonts w:hint="eastAsia" w:ascii="宋体" w:hAnsi="宋体" w:eastAsia="宋体"/>
          <w:b/>
          <w:kern w:val="2"/>
          <w:sz w:val="21"/>
          <w:szCs w:val="21"/>
          <w:lang w:eastAsia="zh-CN"/>
        </w:rPr>
        <w:t>第十二条合同生效及其他</w:t>
      </w:r>
    </w:p>
    <w:p w14:paraId="7FAC5472">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1、下列文件均为本合同的重要组成部分：</w:t>
      </w:r>
    </w:p>
    <w:p w14:paraId="0EBDE6A5">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（1）本项目的采购文件、答疑及补充通知；</w:t>
      </w:r>
    </w:p>
    <w:p w14:paraId="6167CC63">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（2）本项目中标的投标文件；</w:t>
      </w:r>
    </w:p>
    <w:p w14:paraId="77CB03B4">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14:paraId="47C5CBF7">
      <w:pPr>
        <w:widowControl w:val="0"/>
        <w:spacing w:line="360" w:lineRule="auto"/>
        <w:jc w:val="both"/>
        <w:rPr>
          <w:rFonts w:ascii="宋体" w:hAnsi="宋体" w:eastAsia="宋体"/>
          <w:b/>
          <w:bCs/>
          <w:kern w:val="2"/>
          <w:sz w:val="21"/>
          <w:szCs w:val="21"/>
          <w:lang w:eastAsia="zh-CN"/>
        </w:rPr>
      </w:pPr>
      <w:r>
        <w:rPr>
          <w:rFonts w:hint="eastAsia" w:ascii="宋体" w:hAnsi="宋体" w:eastAsia="宋体"/>
          <w:bCs/>
          <w:kern w:val="2"/>
          <w:sz w:val="21"/>
          <w:szCs w:val="21"/>
          <w:lang w:eastAsia="zh-CN"/>
        </w:rPr>
        <w:t>以上文件互为补充，如果出现内容冲突的情况，为准的优先顺序为（2）、（1）、（3）。</w:t>
      </w:r>
    </w:p>
    <w:p w14:paraId="14A2F752">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2、本合同一式___份，甲、乙方双方各执份，具有同等法律效力。本合同自双方法人代表签字（盖章）认可之日起生效。</w:t>
      </w:r>
    </w:p>
    <w:p w14:paraId="4355F18D">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3、本合同未尽事宜，双方友好协商，达成解决方案，经双方签字后，可作为本合同的有效附件。</w:t>
      </w:r>
    </w:p>
    <w:p w14:paraId="1C67897D">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14:paraId="21ED2E17">
      <w:pPr>
        <w:widowControl w:val="0"/>
        <w:spacing w:line="360" w:lineRule="auto"/>
        <w:ind w:firstLine="560"/>
        <w:jc w:val="left"/>
        <w:rPr>
          <w:rFonts w:ascii="宋体" w:hAnsi="宋体" w:eastAsia="宋体"/>
          <w:kern w:val="2"/>
          <w:sz w:val="21"/>
          <w:szCs w:val="21"/>
          <w:lang w:eastAsia="zh-CN"/>
        </w:rPr>
      </w:pPr>
      <w:r>
        <w:rPr>
          <w:rFonts w:hint="eastAsia" w:ascii="宋体" w:hAnsi="宋体" w:eastAsia="宋体"/>
          <w:kern w:val="2"/>
          <w:sz w:val="21"/>
          <w:szCs w:val="21"/>
          <w:lang w:eastAsia="zh-CN"/>
        </w:rPr>
        <w:t>甲方（采购人）：（盖章）               乙方（供应商）：（盖章）</w:t>
      </w:r>
    </w:p>
    <w:p w14:paraId="3B84962C">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法定代表人：                           法定代表人：</w:t>
      </w:r>
    </w:p>
    <w:p w14:paraId="2C4456B0">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14:paraId="26994F58">
      <w:pPr>
        <w:widowControl w:val="0"/>
        <w:spacing w:line="360" w:lineRule="auto"/>
        <w:ind w:firstLine="560"/>
        <w:jc w:val="left"/>
        <w:rPr>
          <w:rFonts w:ascii="宋体" w:hAnsi="宋体" w:eastAsia="宋体" w:cs="宋体"/>
          <w:kern w:val="2"/>
          <w:sz w:val="21"/>
          <w:szCs w:val="21"/>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               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p>
    <w:p w14:paraId="1860DF8A">
      <w:pPr>
        <w:widowControl w:val="0"/>
        <w:spacing w:line="360" w:lineRule="auto"/>
        <w:jc w:val="both"/>
        <w:rPr>
          <w:rFonts w:ascii="宋体" w:hAnsi="宋体" w:eastAsia="宋体"/>
          <w:kern w:val="2"/>
          <w:sz w:val="21"/>
          <w:szCs w:val="21"/>
          <w:lang w:eastAsia="zh-CN"/>
        </w:rPr>
      </w:pPr>
    </w:p>
    <w:p w14:paraId="6BE50B81">
      <w:pPr>
        <w:widowControl/>
        <w:jc w:val="center"/>
        <w:rPr>
          <w:rFonts w:ascii="仿宋" w:hAnsi="仿宋" w:eastAsia="仿宋"/>
          <w:kern w:val="2"/>
          <w:sz w:val="28"/>
          <w:szCs w:val="28"/>
          <w:lang w:eastAsia="zh-CN"/>
        </w:rPr>
      </w:pPr>
      <w:r>
        <w:rPr>
          <w:rFonts w:hint="eastAsia" w:ascii="宋体" w:hAnsi="宋体" w:eastAsia="宋体"/>
          <w:b/>
          <w:kern w:val="2"/>
          <w:sz w:val="21"/>
          <w:szCs w:val="21"/>
          <w:lang w:eastAsia="zh-CN"/>
        </w:rPr>
        <w:t>注：本合同样本仅供参考，具体条款内容由采购单位和中标单位协商确定。</w:t>
      </w:r>
    </w:p>
    <w:p w14:paraId="426E0C54">
      <w:pPr>
        <w:keepNext/>
        <w:keepLines/>
        <w:widowControl w:val="0"/>
        <w:spacing w:before="340" w:after="60" w:afterLines="25" w:line="578" w:lineRule="auto"/>
        <w:jc w:val="center"/>
        <w:outlineLvl w:val="0"/>
        <w:rPr>
          <w:rFonts w:ascii="Arial" w:hAnsi="Arial" w:eastAsia="宋体"/>
          <w:b/>
          <w:bCs/>
          <w:kern w:val="44"/>
          <w:sz w:val="32"/>
          <w:szCs w:val="32"/>
          <w:lang w:eastAsia="zh-CN"/>
        </w:rPr>
      </w:pPr>
      <w:r>
        <w:rPr>
          <w:rFonts w:hint="eastAsia" w:ascii="Arial" w:hAnsi="Arial" w:eastAsia="宋体"/>
          <w:b/>
          <w:bCs/>
          <w:kern w:val="44"/>
          <w:sz w:val="32"/>
          <w:szCs w:val="32"/>
          <w:lang w:eastAsia="zh-CN"/>
        </w:rPr>
        <w:t>第二册  通用条款（公开招标）</w:t>
      </w:r>
    </w:p>
    <w:p w14:paraId="07DC9DC8">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30" w:name="_Toc1312"/>
      <w:r>
        <w:rPr>
          <w:rFonts w:hint="eastAsia" w:ascii="Arial" w:hAnsi="Arial" w:eastAsia="宋体"/>
          <w:b/>
          <w:kern w:val="2"/>
          <w:sz w:val="32"/>
          <w:lang w:eastAsia="zh-CN"/>
        </w:rPr>
        <w:t>第一章  总则</w:t>
      </w:r>
      <w:bookmarkEnd w:id="30"/>
    </w:p>
    <w:p w14:paraId="45CA906E">
      <w:pPr>
        <w:widowControl/>
        <w:wordWrap w:val="0"/>
        <w:autoSpaceDE w:val="0"/>
        <w:autoSpaceDN w:val="0"/>
        <w:spacing w:line="360" w:lineRule="auto"/>
        <w:ind w:right="808" w:firstLine="482" w:firstLineChars="200"/>
        <w:jc w:val="both"/>
        <w:rPr>
          <w:rFonts w:eastAsia="宋体"/>
          <w:b/>
          <w:kern w:val="2"/>
          <w:lang w:eastAsia="zh-CN"/>
        </w:rPr>
      </w:pPr>
      <w:r>
        <w:rPr>
          <w:rFonts w:eastAsia="宋体"/>
          <w:b/>
          <w:kern w:val="2"/>
          <w:lang w:eastAsia="zh-CN"/>
        </w:rPr>
        <w:t>1.通用条款说明</w:t>
      </w:r>
    </w:p>
    <w:p w14:paraId="53FFFED9">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14:paraId="2574171F">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14:paraId="7C203DB7">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14:paraId="36236A42">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14:paraId="343E8524">
      <w:pPr>
        <w:widowControl/>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14:paraId="5DD15A66">
      <w:pPr>
        <w:widowControl/>
        <w:wordWrap w:val="0"/>
        <w:autoSpaceDE w:val="0"/>
        <w:autoSpaceDN w:val="0"/>
        <w:spacing w:line="360" w:lineRule="auto"/>
        <w:ind w:right="808" w:firstLine="482" w:firstLineChars="200"/>
        <w:jc w:val="both"/>
        <w:rPr>
          <w:rFonts w:eastAsia="宋体"/>
          <w:b/>
          <w:kern w:val="2"/>
          <w:lang w:eastAsia="zh-CN"/>
        </w:rPr>
      </w:pPr>
      <w:r>
        <w:rPr>
          <w:rFonts w:eastAsia="宋体"/>
          <w:b/>
          <w:kern w:val="2"/>
          <w:lang w:eastAsia="zh-CN"/>
        </w:rPr>
        <w:t>2．招标说明</w:t>
      </w:r>
    </w:p>
    <w:p w14:paraId="5AB83DF7">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14:paraId="39D9A054">
      <w:pPr>
        <w:widowControl/>
        <w:wordWrap w:val="0"/>
        <w:autoSpaceDE w:val="0"/>
        <w:autoSpaceDN w:val="0"/>
        <w:spacing w:line="360" w:lineRule="auto"/>
        <w:ind w:right="808" w:firstLine="482" w:firstLineChars="200"/>
        <w:jc w:val="both"/>
        <w:rPr>
          <w:rFonts w:eastAsia="宋体"/>
          <w:b/>
          <w:kern w:val="2"/>
          <w:lang w:eastAsia="zh-CN"/>
        </w:rPr>
      </w:pPr>
      <w:r>
        <w:rPr>
          <w:rFonts w:eastAsia="宋体"/>
          <w:b/>
          <w:kern w:val="2"/>
          <w:lang w:eastAsia="zh-CN"/>
        </w:rPr>
        <w:t>3．定义</w:t>
      </w:r>
    </w:p>
    <w:p w14:paraId="23BECAC0">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14:paraId="54961689">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14:paraId="2B86DF53">
      <w:pPr>
        <w:widowControl/>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hint="eastAsia" w:eastAsia="宋体"/>
          <w:kern w:val="2"/>
          <w:lang w:eastAsia="zh-CN"/>
        </w:rPr>
        <w:t>指根据采购人的委托，代理采购事宜的机构</w:t>
      </w:r>
      <w:r>
        <w:rPr>
          <w:rFonts w:eastAsia="宋体"/>
          <w:kern w:val="2"/>
          <w:lang w:eastAsia="zh-CN"/>
        </w:rPr>
        <w:t>；本文件所述的“采购代理机构”指</w:t>
      </w:r>
      <w:r>
        <w:rPr>
          <w:rFonts w:hint="eastAsia" w:eastAsia="宋体"/>
          <w:kern w:val="2"/>
          <w:lang w:eastAsia="zh-CN"/>
        </w:rPr>
        <w:t>深圳市千里招标代理有限公司</w:t>
      </w:r>
      <w:r>
        <w:rPr>
          <w:rFonts w:eastAsia="宋体"/>
          <w:kern w:val="2"/>
          <w:lang w:eastAsia="zh-CN"/>
        </w:rPr>
        <w:t>；</w:t>
      </w:r>
    </w:p>
    <w:p w14:paraId="17B768C4">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3.3“投标人”，即供应商，指参加投标竞争并愿意按照招标文件要求向采购人提供货物、工程或者服务的依法成立的法人、其他组织或者自然人；</w:t>
      </w:r>
    </w:p>
    <w:p w14:paraId="3CC0E1D7">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3.4“评审委员会”是依据《深圳经济特区政府采购条例》、《深圳经济特区政府采购条例实施细则》等有关规定组建的专门负责本次招标其评审工作的临时性机构；</w:t>
      </w:r>
    </w:p>
    <w:p w14:paraId="4750681F">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3.5“日期”指公历日；</w:t>
      </w:r>
    </w:p>
    <w:p w14:paraId="03413AB9">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3.6“合同”指由本次招标所产生的合同或合约文件；</w:t>
      </w:r>
    </w:p>
    <w:p w14:paraId="0454CE85">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14:paraId="09AEFC4C">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3.8“网上投标”指通过深圳市自行采购系统网站上传电子投标文件；</w:t>
      </w:r>
    </w:p>
    <w:p w14:paraId="44B5573A">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3.9招标文件中的标题或题名仅起引导作用，而不应视为对招标文件内容的理解和解释。</w:t>
      </w:r>
    </w:p>
    <w:p w14:paraId="7D270EDA">
      <w:pPr>
        <w:widowControl/>
        <w:wordWrap w:val="0"/>
        <w:autoSpaceDE w:val="0"/>
        <w:autoSpaceDN w:val="0"/>
        <w:spacing w:line="360" w:lineRule="auto"/>
        <w:ind w:right="808" w:firstLine="482" w:firstLineChars="200"/>
        <w:jc w:val="both"/>
        <w:rPr>
          <w:rFonts w:eastAsia="宋体"/>
          <w:b/>
          <w:kern w:val="2"/>
          <w:lang w:eastAsia="zh-CN"/>
        </w:rPr>
      </w:pPr>
      <w:r>
        <w:rPr>
          <w:rFonts w:hint="eastAsia" w:eastAsia="宋体"/>
          <w:b/>
          <w:kern w:val="2"/>
          <w:lang w:eastAsia="zh-CN"/>
        </w:rPr>
        <w:t>4.政府采购供应商责任</w:t>
      </w:r>
    </w:p>
    <w:p w14:paraId="7570F2AC">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4.1欢迎诚信、有实力和有社会责任心的供应商参与政府采购事业。</w:t>
      </w:r>
    </w:p>
    <w:p w14:paraId="11CB1BEE">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4.2投标人应当遵循公平竞争的原则，不得恶意串通，不得妨碍其他投标人的竞争行为，不得损害采购人或者其他投标人的合法权益。如违反上述要求，经核实后，供应商的投标无效。</w:t>
      </w:r>
    </w:p>
    <w:p w14:paraId="4B8002B4">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5．投标人参加政府采购的条件</w:t>
      </w:r>
    </w:p>
    <w:p w14:paraId="560100C4">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5.1投标人应在投标前在深圳交易集团有限公司政府采购业务分公司进行注册并办理电子密钥。《供应商注册及信息变更指引》详见www.szggzy.com网站“交易服务指南-政府采购”。</w:t>
      </w:r>
    </w:p>
    <w:p w14:paraId="43D9D6A6">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5.2投标人资格要求</w:t>
      </w:r>
    </w:p>
    <w:p w14:paraId="17AE7B0C">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参加本项目的投标人应具备的资格条件详见本项目招标公告中“投标人资格要求”（即申请人的资格要求）的内容。</w:t>
      </w:r>
    </w:p>
    <w:p w14:paraId="46BCF238">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5.3联合体投标</w:t>
      </w:r>
    </w:p>
    <w:p w14:paraId="6784C065">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5.3.1以下有关联合体投标的条款仅适用于允许投标人组成联合体投标的项目。</w:t>
      </w:r>
    </w:p>
    <w:p w14:paraId="4A7623DE">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5.3.2由两个或两个以上的自然人、法人或者其他组织可以组成一个联合体，以一个供应商的身份共同投标时，应符合以下原则：</w:t>
      </w:r>
    </w:p>
    <w:p w14:paraId="48DA8445">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（1）投标联合体各方参加政府采购活动应当具备下列条件：</w:t>
      </w:r>
    </w:p>
    <w:p w14:paraId="5C6909CE">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1、具有独立承担民事责任的能力；</w:t>
      </w:r>
    </w:p>
    <w:p w14:paraId="29005337">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2、有良好的商业信誉和健全的财务会计制度；</w:t>
      </w:r>
    </w:p>
    <w:p w14:paraId="5008EA9F">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3、具有履行合同所必需的设备和专业技术能力；</w:t>
      </w:r>
    </w:p>
    <w:p w14:paraId="27F6F6C6">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4、有依法缴纳税收和社会保障资金的良好记录；</w:t>
      </w:r>
    </w:p>
    <w:p w14:paraId="0000A39E">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5、参加政府采购活动前三年内，在经营活动中没有重大违法记录；</w:t>
      </w:r>
    </w:p>
    <w:p w14:paraId="2380E541">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6、法律、行政法规规定的其他条件。</w:t>
      </w:r>
    </w:p>
    <w:p w14:paraId="0E1D2827">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（2）在投标截止前，投标联合体各方均应注册成采购代理机构供应商；</w:t>
      </w:r>
    </w:p>
    <w:p w14:paraId="36C04554">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（3）联合体中有同类资质的供应商按照联合体分工承担相同工作的，应当按照资质等级较低的供应商确定资质等级；</w:t>
      </w:r>
    </w:p>
    <w:p w14:paraId="7FE87245">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（4）是否允许联合体参加投标，应当由采购人和采购代理机构根据项目的实际情况和潜在供应商的数量自主决定，如果决定接受联合体投标则应当在招标公告中明示；</w:t>
      </w:r>
    </w:p>
    <w:p w14:paraId="3936F3C6">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（5）投标人的投标文件及中标后签署的合同协议对联合体各方均具有法律约束力；</w:t>
      </w:r>
    </w:p>
    <w:p w14:paraId="467CEE4B">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（6）联合体各方应当签订联合体投标协议，明确约定各方拟承担的工作和责任，并将该协议随投标文件一并递交给采购代理机构；</w:t>
      </w:r>
    </w:p>
    <w:p w14:paraId="6326405D">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（7）联合体中标后，联合体各方应当共同与采购人签订合同，就中标项目向采购人承担连带责任；</w:t>
      </w:r>
    </w:p>
    <w:p w14:paraId="64EF08E7">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6FE00A6">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（9）本通用条款中“投标人”一词亦指联合体各方，专用条款另有规定或说明的除外。</w:t>
      </w:r>
    </w:p>
    <w:p w14:paraId="21FC2DF1">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6．政策导向</w:t>
      </w:r>
    </w:p>
    <w:p w14:paraId="5118DD47">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6.1政府采购支持本国产品、支持中小企业、监狱企业和残疾人福利性单位发展，支持乡村产业振兴，支持创新、节能减排、绿色环保等。</w:t>
      </w:r>
    </w:p>
    <w:p w14:paraId="46E045A6">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6.2本项目落实深圳市政府采购供应商诚信管理政策要求。</w:t>
      </w:r>
    </w:p>
    <w:p w14:paraId="0D6646C3">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6.3本项目支持投标人性别平等的相关政策。</w:t>
      </w:r>
    </w:p>
    <w:p w14:paraId="42FFD9CC">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7.本项目若涉及采购货物，则合格的货物及相应服务应满足以下要求：</w:t>
      </w:r>
    </w:p>
    <w:p w14:paraId="3C0B7908">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7.1必须是全新、未使用过的原装合格正品（包括零部件），如安装或配置了软件的，须为正版软件。</w:t>
      </w:r>
    </w:p>
    <w:p w14:paraId="5DCD0B5F">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7.2国产的货物及其有关服务必须符合中华人民共和国的设计、制造生产标准及行业标准。招标公告有其他要求的，亦应符合其要求。</w:t>
      </w:r>
    </w:p>
    <w:p w14:paraId="62F95737">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A4691A5">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1E3372FA">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6689145">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7.6工期要求：投标人在投标时对其所投项目应提交交货进度、交货计划等，在合同规定的时间内完成项目实施工作。</w:t>
      </w:r>
    </w:p>
    <w:p w14:paraId="576B64B2">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7.7投标人必须承担的设备运输、安装调试、验收检测和提供设备操作说明书、图纸等其他相关及类似的义务。</w:t>
      </w:r>
    </w:p>
    <w:p w14:paraId="5F7CE00D">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8．投标费用</w:t>
      </w:r>
    </w:p>
    <w:p w14:paraId="0338CA1C">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不论投标结果如何，投标人应承担其编制投标文件与递交投标文件所涉及的一切费用。</w:t>
      </w:r>
    </w:p>
    <w:p w14:paraId="23110A01">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9．踏勘现场</w:t>
      </w:r>
    </w:p>
    <w:p w14:paraId="2FB71F46">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14:paraId="4A7A3DB3">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9.2投标人及其人员经过采购人的允许，可以进入采购人的项目现场踏勘。若招标文件要求投标人于统一时间地点踏勘现场的，投标人应当按时前往。</w:t>
      </w:r>
    </w:p>
    <w:p w14:paraId="5CB5FB6F">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9.3采购人应当通过采购代理机构向投标人提供有关现场的书面资料和数据。</w:t>
      </w:r>
    </w:p>
    <w:p w14:paraId="7214B794">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9.4任何人或任何组织在踏勘现场时向投标人提供的任何书面资料或口头承诺，未经采购代理机构在网上发布或书面通知，均作无效处理。</w:t>
      </w:r>
    </w:p>
    <w:p w14:paraId="7B361534">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9.5未参与踏勘现场不作为否定投标人资格的理由。</w:t>
      </w:r>
    </w:p>
    <w:p w14:paraId="5DD241F8">
      <w:pPr>
        <w:widowControl/>
        <w:wordWrap w:val="0"/>
        <w:autoSpaceDE w:val="0"/>
        <w:autoSpaceDN w:val="0"/>
        <w:spacing w:line="360" w:lineRule="auto"/>
        <w:ind w:right="808" w:firstLine="482" w:firstLineChars="200"/>
        <w:jc w:val="both"/>
        <w:rPr>
          <w:rFonts w:hint="eastAsia" w:eastAsia="宋体"/>
          <w:b/>
          <w:kern w:val="2"/>
          <w:lang w:eastAsia="zh-CN"/>
        </w:rPr>
      </w:pPr>
      <w:r>
        <w:rPr>
          <w:rFonts w:hint="eastAsia" w:eastAsia="宋体"/>
          <w:b/>
          <w:kern w:val="2"/>
          <w:lang w:eastAsia="zh-CN"/>
        </w:rPr>
        <w:t>10．标前会议</w:t>
      </w:r>
    </w:p>
    <w:p w14:paraId="68EB20E6">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14:paraId="4D739470">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10.2任何人或任何组织在标前会议时向投标人提供的任何书面资料或口头承诺，未经采购代理机构在网上发布或书面通知，均作无效处理。</w:t>
      </w:r>
    </w:p>
    <w:p w14:paraId="2B222DCB">
      <w:pPr>
        <w:widowControl/>
        <w:wordWrap w:val="0"/>
        <w:autoSpaceDE w:val="0"/>
        <w:autoSpaceDN w:val="0"/>
        <w:spacing w:line="360" w:lineRule="auto"/>
        <w:ind w:right="808" w:firstLine="480" w:firstLineChars="200"/>
        <w:jc w:val="both"/>
        <w:rPr>
          <w:rFonts w:eastAsia="宋体"/>
          <w:kern w:val="2"/>
          <w:lang w:eastAsia="zh-CN"/>
        </w:rPr>
      </w:pPr>
      <w:r>
        <w:rPr>
          <w:rFonts w:hint="eastAsia" w:eastAsia="宋体"/>
          <w:kern w:val="2"/>
          <w:lang w:eastAsia="zh-CN"/>
        </w:rPr>
        <w:t>10.3未参与标前会议不作为否定投标人资格的理由。</w:t>
      </w:r>
      <w:r>
        <w:rPr>
          <w:rFonts w:hint="eastAsia" w:eastAsia="宋体"/>
          <w:kern w:val="2"/>
          <w:lang w:eastAsia="zh-CN"/>
        </w:rPr>
        <w:br w:type="page"/>
      </w:r>
    </w:p>
    <w:p w14:paraId="3C81E832">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31" w:name="_Toc696"/>
      <w:r>
        <w:rPr>
          <w:rFonts w:hint="eastAsia" w:ascii="Arial" w:hAnsi="Arial" w:eastAsia="宋体"/>
          <w:b/>
          <w:kern w:val="2"/>
          <w:sz w:val="32"/>
          <w:lang w:eastAsia="zh-CN"/>
        </w:rPr>
        <w:t>第二章</w:t>
      </w:r>
      <w:bookmarkStart w:id="32" w:name="_Toc16272"/>
      <w:bookmarkStart w:id="33" w:name="_Toc4237"/>
      <w:bookmarkStart w:id="34" w:name="_Toc25500"/>
      <w:r>
        <w:rPr>
          <w:rFonts w:hint="eastAsia" w:ascii="Arial" w:hAnsi="Arial" w:eastAsia="宋体"/>
          <w:b/>
          <w:kern w:val="2"/>
          <w:sz w:val="32"/>
          <w:lang w:eastAsia="zh-CN"/>
        </w:rPr>
        <w:t xml:space="preserve">  招标文件</w:t>
      </w:r>
      <w:bookmarkEnd w:id="31"/>
      <w:bookmarkEnd w:id="32"/>
      <w:bookmarkEnd w:id="33"/>
      <w:bookmarkEnd w:id="34"/>
    </w:p>
    <w:p w14:paraId="66192C3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1</w:t>
      </w:r>
      <w:r>
        <w:rPr>
          <w:rFonts w:hint="eastAsia" w:eastAsia="宋体"/>
          <w:kern w:val="2"/>
          <w:sz w:val="21"/>
          <w:lang w:eastAsia="zh-CN"/>
        </w:rPr>
        <w:t>．</w:t>
      </w:r>
      <w:bookmarkStart w:id="35" w:name="_Hlk72399819"/>
      <w:r>
        <w:rPr>
          <w:rFonts w:hint="eastAsia" w:eastAsia="宋体"/>
          <w:kern w:val="2"/>
          <w:sz w:val="21"/>
          <w:lang w:eastAsia="zh-CN"/>
        </w:rPr>
        <w:t>招标文件的编制与组成</w:t>
      </w:r>
    </w:p>
    <w:p w14:paraId="1232D6F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1</w:t>
      </w:r>
      <w:r>
        <w:rPr>
          <w:rFonts w:hint="eastAsia" w:eastAsia="宋体"/>
          <w:kern w:val="2"/>
          <w:sz w:val="21"/>
          <w:lang w:eastAsia="zh-CN"/>
        </w:rPr>
        <w:t>.1招标文件除以下内容外，采购代理机构在招标期间发出的澄清或修改等相关公告或通知内容，均是招标文件的组成部分，对投标人起约束作用；</w:t>
      </w:r>
    </w:p>
    <w:p w14:paraId="39CF5EC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招标文件包括下列内容：</w:t>
      </w:r>
    </w:p>
    <w:p w14:paraId="14395D7F">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第一册  专用条款</w:t>
      </w:r>
    </w:p>
    <w:p w14:paraId="54509A78">
      <w:pPr>
        <w:widowControl w:val="0"/>
        <w:ind w:left="1234" w:leftChars="514"/>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关键信息</w:t>
      </w:r>
    </w:p>
    <w:p w14:paraId="5E879F1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招标公告</w:t>
      </w:r>
    </w:p>
    <w:p w14:paraId="2C89AEB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对通用条款的补充内容及其他关键信息</w:t>
      </w:r>
    </w:p>
    <w:p w14:paraId="3BA0C5B3">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用户需求书</w:t>
      </w:r>
    </w:p>
    <w:p w14:paraId="15D953A8">
      <w:pPr>
        <w:widowControl w:val="0"/>
        <w:ind w:left="720" w:leftChars="300" w:firstLine="411" w:firstLineChars="196"/>
        <w:jc w:val="both"/>
        <w:rPr>
          <w:rFonts w:ascii="宋体" w:hAnsi="宋体" w:eastAsia="宋体"/>
          <w:kern w:val="2"/>
          <w:sz w:val="21"/>
          <w:szCs w:val="21"/>
          <w:lang w:eastAsia="zh-CN"/>
        </w:rPr>
      </w:pPr>
      <w:r>
        <w:rPr>
          <w:rFonts w:hint="eastAsia" w:ascii="Calibri" w:hAnsi="Calibri" w:eastAsia="宋体" w:cstheme="minorBidi"/>
          <w:kern w:val="2"/>
          <w:sz w:val="21"/>
          <w:szCs w:val="22"/>
          <w:lang w:eastAsia="zh-CN"/>
        </w:rPr>
        <w:t xml:space="preserve">第四章 </w:t>
      </w:r>
      <w:r>
        <w:rPr>
          <w:rFonts w:ascii="Calibri" w:hAnsi="Calibri" w:eastAsia="宋体" w:cstheme="minorBidi"/>
          <w:kern w:val="2"/>
          <w:sz w:val="21"/>
          <w:szCs w:val="22"/>
          <w:lang w:eastAsia="zh-CN"/>
        </w:rPr>
        <w:t xml:space="preserve"> </w:t>
      </w:r>
      <w:r>
        <w:rPr>
          <w:rFonts w:hint="eastAsia" w:ascii="Calibri" w:hAnsi="Calibri" w:eastAsia="宋体" w:cstheme="minorBidi"/>
          <w:kern w:val="2"/>
          <w:sz w:val="21"/>
          <w:szCs w:val="22"/>
          <w:lang w:eastAsia="zh-CN"/>
        </w:rPr>
        <w:t>投标文件格式及附件</w:t>
      </w:r>
    </w:p>
    <w:p w14:paraId="7DE3D5F3">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合同条款及格式</w:t>
      </w:r>
    </w:p>
    <w:p w14:paraId="5BA0B884">
      <w:pPr>
        <w:widowControl w:val="0"/>
        <w:ind w:left="480" w:leftChars="200" w:firstLine="413" w:firstLineChars="196"/>
        <w:jc w:val="both"/>
        <w:rPr>
          <w:rFonts w:ascii="宋体" w:hAnsi="宋体" w:eastAsia="宋体"/>
          <w:b/>
          <w:kern w:val="2"/>
          <w:sz w:val="21"/>
          <w:szCs w:val="21"/>
          <w:lang w:eastAsia="zh-CN"/>
        </w:rPr>
      </w:pPr>
      <w:r>
        <w:rPr>
          <w:rFonts w:hint="eastAsia" w:ascii="宋体" w:hAnsi="宋体" w:eastAsia="宋体" w:cstheme="minorBidi"/>
          <w:b/>
          <w:kern w:val="2"/>
          <w:sz w:val="21"/>
          <w:szCs w:val="21"/>
          <w:lang w:eastAsia="zh-CN"/>
        </w:rPr>
        <w:t>第二册  通用条款</w:t>
      </w:r>
    </w:p>
    <w:p w14:paraId="6B8B5ACD">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第一章  总则</w:t>
      </w:r>
    </w:p>
    <w:p w14:paraId="6D29BEB6">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第二章  招标文件</w:t>
      </w:r>
    </w:p>
    <w:p w14:paraId="4A3FACC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第三章  投标文件的编制</w:t>
      </w:r>
    </w:p>
    <w:p w14:paraId="616118AF">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第四章  投标文件的递交</w:t>
      </w:r>
    </w:p>
    <w:p w14:paraId="136EAD08">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第五章  开标</w:t>
      </w:r>
    </w:p>
    <w:p w14:paraId="4923ABB3">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第六章  评审要求</w:t>
      </w:r>
    </w:p>
    <w:p w14:paraId="0892C646">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第七章  评审程序及评审方法</w:t>
      </w:r>
    </w:p>
    <w:p w14:paraId="25217C61">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第八章  定标及公示</w:t>
      </w:r>
    </w:p>
    <w:p w14:paraId="726580BB">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第九章  公开采购失败的后续处理</w:t>
      </w:r>
    </w:p>
    <w:p w14:paraId="2F9CD523">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第十章  合同的授予与备案</w:t>
      </w:r>
    </w:p>
    <w:p w14:paraId="025E91A5">
      <w:pPr>
        <w:widowControl w:val="0"/>
        <w:ind w:left="720" w:leftChars="300" w:firstLine="411" w:firstLineChars="196"/>
        <w:jc w:val="both"/>
        <w:rPr>
          <w:rFonts w:ascii="宋体" w:hAnsi="宋体" w:eastAsia="宋体"/>
          <w:kern w:val="2"/>
          <w:sz w:val="21"/>
          <w:szCs w:val="21"/>
          <w:lang w:eastAsia="zh-CN"/>
        </w:rPr>
      </w:pPr>
      <w:r>
        <w:rPr>
          <w:rFonts w:hint="eastAsia" w:ascii="宋体" w:hAnsi="宋体" w:eastAsia="宋体" w:cstheme="minorBidi"/>
          <w:kern w:val="2"/>
          <w:sz w:val="21"/>
          <w:szCs w:val="21"/>
          <w:lang w:eastAsia="zh-CN"/>
        </w:rPr>
        <w:t>第十一章  质疑处理</w:t>
      </w:r>
    </w:p>
    <w:p w14:paraId="6ED9E27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1</w:t>
      </w:r>
      <w:r>
        <w:rPr>
          <w:rFonts w:hint="eastAsia" w:eastAsia="宋体"/>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9D16E98">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hint="eastAsia" w:eastAsia="宋体"/>
          <w:kern w:val="2"/>
          <w:sz w:val="21"/>
          <w:szCs w:val="21"/>
          <w:lang w:eastAsia="zh-CN"/>
        </w:rPr>
        <w:t>1</w:t>
      </w:r>
      <w:r>
        <w:rPr>
          <w:rFonts w:eastAsia="宋体"/>
          <w:kern w:val="2"/>
          <w:sz w:val="21"/>
          <w:szCs w:val="21"/>
          <w:lang w:eastAsia="zh-CN"/>
        </w:rPr>
        <w:t>1</w:t>
      </w:r>
      <w:r>
        <w:rPr>
          <w:rFonts w:hint="eastAsia" w:eastAsia="宋体"/>
          <w:kern w:val="2"/>
          <w:sz w:val="21"/>
          <w:szCs w:val="21"/>
          <w:lang w:eastAsia="zh-CN"/>
        </w:rPr>
        <w:t>.3</w:t>
      </w:r>
      <w:r>
        <w:rPr>
          <w:rFonts w:hint="eastAsia" w:eastAsia="宋体"/>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14:paraId="2ADAA3C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．招标文件的澄清</w:t>
      </w:r>
    </w:p>
    <w:p w14:paraId="2E0A6F7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.1招标文件澄清的目的是澄清、解答投标人在查阅招标文件后或现场踏勘中可能提出的与投标有关的疑问或询问。</w:t>
      </w:r>
    </w:p>
    <w:p w14:paraId="133A129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.2投标人如对招标文件内容有疑问，应当在招标公告规定的澄清（提问）截止时间前以网上提问的形式通过网上政府采购系统提交采购代理机构。</w:t>
      </w:r>
    </w:p>
    <w:p w14:paraId="67B25B7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2</w:t>
      </w:r>
      <w:r>
        <w:rPr>
          <w:rFonts w:hint="eastAsia" w:eastAsia="宋体"/>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hint="eastAsia" w:eastAsia="宋体"/>
          <w:kern w:val="2"/>
          <w:sz w:val="21"/>
          <w:lang w:eastAsia="zh-CN"/>
        </w:rPr>
        <w:t>、1</w:t>
      </w:r>
      <w:r>
        <w:rPr>
          <w:rFonts w:eastAsia="宋体"/>
          <w:kern w:val="2"/>
          <w:sz w:val="21"/>
          <w:lang w:eastAsia="zh-CN"/>
        </w:rPr>
        <w:t>3.4</w:t>
      </w:r>
      <w:r>
        <w:rPr>
          <w:rFonts w:hint="eastAsia" w:eastAsia="宋体"/>
          <w:kern w:val="2"/>
          <w:sz w:val="21"/>
          <w:lang w:eastAsia="zh-CN"/>
        </w:rPr>
        <w:t>款规定执行。</w:t>
      </w:r>
    </w:p>
    <w:p w14:paraId="6B64886E">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3．招标文件的修改</w:t>
      </w:r>
    </w:p>
    <w:p w14:paraId="441A8FB4">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3.1招标文件发出后，在投标截止日期前任何时候，确需要变更招标文件内容的，采购代理机构可主动或在解答投标人提出的澄清问题时对招标文件进行修改。</w:t>
      </w:r>
    </w:p>
    <w:p w14:paraId="24348E0B">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3.2招标文件的修改以书面形式（包括采购代理机构网站发布方式，如更正公告等）发送给所有投标人，招标文件的修改内容作为招标文件的组成部分，并具有约束力。</w:t>
      </w:r>
    </w:p>
    <w:p w14:paraId="3738B4FB">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14:paraId="6F62F70E">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5"/>
    </w:p>
    <w:p w14:paraId="5D18C477">
      <w:pPr>
        <w:widowControl/>
        <w:wordWrap w:val="0"/>
        <w:autoSpaceDE w:val="0"/>
        <w:autoSpaceDN w:val="0"/>
        <w:spacing w:line="360" w:lineRule="auto"/>
        <w:ind w:right="808" w:firstLine="482" w:firstLineChars="200"/>
        <w:jc w:val="both"/>
        <w:rPr>
          <w:rFonts w:eastAsia="宋体"/>
          <w:b/>
          <w:kern w:val="2"/>
          <w:lang w:eastAsia="zh-CN"/>
        </w:rPr>
      </w:pPr>
    </w:p>
    <w:p w14:paraId="13678962">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36" w:name="_Toc13741"/>
      <w:bookmarkStart w:id="37" w:name="_Toc18814"/>
      <w:bookmarkStart w:id="38" w:name="_Toc31413"/>
      <w:bookmarkStart w:id="39" w:name="_Toc17279"/>
      <w:r>
        <w:rPr>
          <w:rFonts w:hint="eastAsia" w:ascii="Arial" w:hAnsi="Arial" w:eastAsia="宋体"/>
          <w:b/>
          <w:kern w:val="2"/>
          <w:sz w:val="32"/>
          <w:lang w:eastAsia="zh-CN"/>
        </w:rPr>
        <w:t>第三章  投标文件的编制</w:t>
      </w:r>
      <w:bookmarkEnd w:id="36"/>
      <w:bookmarkEnd w:id="37"/>
      <w:bookmarkEnd w:id="38"/>
      <w:bookmarkEnd w:id="39"/>
    </w:p>
    <w:p w14:paraId="0396F4D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14．</w:t>
      </w:r>
      <w:bookmarkStart w:id="40" w:name="_Hlk72400236"/>
      <w:r>
        <w:rPr>
          <w:rFonts w:hint="eastAsia" w:eastAsia="宋体"/>
          <w:kern w:val="2"/>
          <w:sz w:val="21"/>
          <w:lang w:eastAsia="zh-CN"/>
        </w:rPr>
        <w:t>投标文件的语言及度量单位</w:t>
      </w:r>
    </w:p>
    <w:p w14:paraId="2F3D0F9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FDE047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14.2除技术规范另有规定外，投标文件使用的度量单位，均采用中华人民共和国法定计量单位。</w:t>
      </w:r>
    </w:p>
    <w:bookmarkEnd w:id="40"/>
    <w:p w14:paraId="4F54C1E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15．</w:t>
      </w:r>
      <w:bookmarkStart w:id="41" w:name="_Hlk72401567"/>
      <w:r>
        <w:rPr>
          <w:rFonts w:hint="eastAsia" w:eastAsia="宋体"/>
          <w:kern w:val="2"/>
          <w:sz w:val="21"/>
          <w:lang w:eastAsia="zh-CN"/>
        </w:rPr>
        <w:t>投标文件的组成</w:t>
      </w:r>
    </w:p>
    <w:p w14:paraId="6D411D8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具体内容在招标文件专用条款中进行规定。</w:t>
      </w:r>
    </w:p>
    <w:p w14:paraId="1D87EC58">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14:paraId="232BB17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投标文件包括本通用条款第</w:t>
      </w:r>
      <w:r>
        <w:rPr>
          <w:rFonts w:eastAsia="宋体"/>
          <w:kern w:val="2"/>
          <w:sz w:val="21"/>
          <w:lang w:eastAsia="zh-CN"/>
        </w:rPr>
        <w:t>15条中规定的内容。如招标文件提供了投标文件格式，则</w:t>
      </w:r>
      <w:r>
        <w:rPr>
          <w:rFonts w:hint="eastAsia" w:eastAsia="宋体"/>
          <w:b/>
          <w:bCs/>
          <w:kern w:val="2"/>
          <w:sz w:val="21"/>
          <w:lang w:eastAsia="zh-CN"/>
        </w:rPr>
        <w:t>投标人提交的投标文件应毫无例外地使用招标文件所提供的相应格式</w:t>
      </w:r>
      <w:r>
        <w:rPr>
          <w:rFonts w:hint="eastAsia" w:eastAsia="宋体"/>
          <w:kern w:val="2"/>
          <w:sz w:val="21"/>
          <w:lang w:eastAsia="zh-CN"/>
        </w:rPr>
        <w:t>（表格均可按同样格式扩展）。</w:t>
      </w:r>
    </w:p>
    <w:p w14:paraId="19D2F78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17．投标货币</w:t>
      </w:r>
    </w:p>
    <w:p w14:paraId="11AEA65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本项目的投标报价应以人民币计。</w:t>
      </w:r>
    </w:p>
    <w:bookmarkEnd w:id="41"/>
    <w:p w14:paraId="50E794D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w:t>
      </w:r>
      <w:bookmarkStart w:id="42" w:name="_Hlk72401735"/>
      <w:r>
        <w:rPr>
          <w:rFonts w:hint="eastAsia" w:eastAsia="宋体"/>
          <w:kern w:val="2"/>
          <w:sz w:val="21"/>
          <w:lang w:eastAsia="zh-CN"/>
        </w:rPr>
        <w:t>证明投标文件投标技术方案的合格性和符合招标文件规定的文件要求</w:t>
      </w:r>
    </w:p>
    <w:p w14:paraId="6FBF0E4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w:t>
      </w:r>
      <w:r>
        <w:rPr>
          <w:rFonts w:eastAsia="宋体"/>
          <w:kern w:val="2"/>
          <w:sz w:val="21"/>
          <w:lang w:eastAsia="zh-CN"/>
        </w:rPr>
        <w:t>.1</w:t>
      </w:r>
      <w:r>
        <w:rPr>
          <w:rFonts w:hint="eastAsia" w:eastAsia="宋体"/>
          <w:kern w:val="2"/>
          <w:sz w:val="21"/>
          <w:lang w:eastAsia="zh-CN"/>
        </w:rPr>
        <w:t>投标人应提交证明文件，证明其投标技术方案项下的货物和服务的合格性符合招标文件规定。该投标技术方案及其证明文件均作为投标文件组成部分。</w:t>
      </w:r>
    </w:p>
    <w:p w14:paraId="00CF6EE8">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8</w:t>
      </w:r>
      <w:r>
        <w:rPr>
          <w:rFonts w:eastAsia="宋体"/>
          <w:kern w:val="2"/>
          <w:sz w:val="21"/>
          <w:lang w:eastAsia="zh-CN"/>
        </w:rPr>
        <w:t>.2</w:t>
      </w:r>
      <w:r>
        <w:rPr>
          <w:rFonts w:hint="eastAsia" w:eastAsia="宋体"/>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55655A6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18.2.1主要技术指标和性能的详细说明。</w:t>
      </w:r>
    </w:p>
    <w:p w14:paraId="0AEF991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w:t>
      </w:r>
      <w:r>
        <w:rPr>
          <w:rFonts w:eastAsia="宋体"/>
          <w:kern w:val="2"/>
          <w:sz w:val="21"/>
          <w:lang w:eastAsia="zh-CN"/>
        </w:rPr>
        <w:t>2</w:t>
      </w:r>
      <w:r>
        <w:rPr>
          <w:rFonts w:hint="eastAsia" w:eastAsia="宋体"/>
          <w:kern w:val="2"/>
          <w:sz w:val="21"/>
          <w:lang w:eastAsia="zh-CN"/>
        </w:rPr>
        <w:t>投标产品从采购人开始使用至招标文件中规定的周期内正常、连续地使用所必须的备件和专用工具清单，包括备件和专用工具的货源及现行价格。</w:t>
      </w:r>
    </w:p>
    <w:p w14:paraId="56AA0B4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w:t>
      </w:r>
      <w:r>
        <w:rPr>
          <w:rFonts w:eastAsia="宋体"/>
          <w:kern w:val="2"/>
          <w:sz w:val="21"/>
          <w:lang w:eastAsia="zh-CN"/>
        </w:rPr>
        <w:t>3</w:t>
      </w:r>
      <w:r>
        <w:rPr>
          <w:rFonts w:hint="eastAsia" w:eastAsia="宋体"/>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350221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14:paraId="2060937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783E613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18.3相关资料不符合18.2款要求的，评审委员会有权认定为投标技术方案不合格响应，其相关分数予以扣减或作投标无效处理。</w:t>
      </w:r>
    </w:p>
    <w:p w14:paraId="73DCAC5D">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8</w:t>
      </w:r>
      <w:r>
        <w:rPr>
          <w:rFonts w:eastAsia="宋体"/>
          <w:kern w:val="2"/>
          <w:sz w:val="21"/>
          <w:lang w:eastAsia="zh-CN"/>
        </w:rPr>
        <w:t>.</w:t>
      </w:r>
      <w:r>
        <w:rPr>
          <w:rFonts w:hint="eastAsia" w:eastAsia="宋体"/>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14:paraId="44BF20B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18.5除非另有规定或说明，投标人对同一项目投标时，不得同时提供两套或两套以上的投标方案。</w:t>
      </w:r>
    </w:p>
    <w:bookmarkEnd w:id="42"/>
    <w:p w14:paraId="2F9CEF1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19．</w:t>
      </w:r>
      <w:bookmarkStart w:id="43" w:name="_Hlk72402034"/>
      <w:r>
        <w:rPr>
          <w:rFonts w:hint="eastAsia" w:eastAsia="宋体"/>
          <w:kern w:val="2"/>
          <w:sz w:val="21"/>
          <w:lang w:eastAsia="zh-CN"/>
        </w:rPr>
        <w:t>投标文件其他证明文件的要求</w:t>
      </w:r>
    </w:p>
    <w:p w14:paraId="478739E0">
      <w:pPr>
        <w:widowControl/>
        <w:wordWrap w:val="0"/>
        <w:autoSpaceDE w:val="0"/>
        <w:autoSpaceDN w:val="0"/>
        <w:spacing w:line="400" w:lineRule="exact"/>
        <w:ind w:right="808" w:firstLine="420" w:firstLineChars="200"/>
        <w:jc w:val="both"/>
        <w:rPr>
          <w:rFonts w:eastAsia="宋体"/>
          <w:color w:val="FF0000"/>
          <w:kern w:val="2"/>
          <w:sz w:val="21"/>
          <w:lang w:eastAsia="zh-CN"/>
        </w:rPr>
      </w:pPr>
      <w:r>
        <w:rPr>
          <w:rFonts w:hint="eastAsia" w:eastAsia="宋体"/>
          <w:kern w:val="2"/>
          <w:sz w:val="21"/>
          <w:lang w:eastAsia="zh-CN"/>
        </w:rPr>
        <w:t>19.1</w:t>
      </w:r>
      <w:bookmarkStart w:id="44" w:name="_Hlk71407299"/>
      <w:r>
        <w:rPr>
          <w:rFonts w:hint="eastAsia" w:eastAsia="宋体"/>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4"/>
    <w:p w14:paraId="08AC5CD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01D1DDC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20．投标有效期</w:t>
      </w:r>
    </w:p>
    <w:bookmarkEnd w:id="43"/>
    <w:p w14:paraId="5BD47DA3">
      <w:pPr>
        <w:widowControl/>
        <w:wordWrap w:val="0"/>
        <w:autoSpaceDE w:val="0"/>
        <w:autoSpaceDN w:val="0"/>
        <w:spacing w:line="400" w:lineRule="exact"/>
        <w:ind w:right="808" w:firstLine="420" w:firstLineChars="200"/>
        <w:jc w:val="both"/>
        <w:rPr>
          <w:rFonts w:eastAsia="宋体"/>
          <w:kern w:val="2"/>
          <w:sz w:val="21"/>
          <w:lang w:eastAsia="zh-CN"/>
        </w:rPr>
      </w:pPr>
      <w:bookmarkStart w:id="45" w:name="_Hlk72402214"/>
      <w:r>
        <w:rPr>
          <w:rFonts w:hint="eastAsia" w:eastAsia="宋体"/>
          <w:kern w:val="2"/>
          <w:sz w:val="21"/>
          <w:lang w:eastAsia="zh-CN"/>
        </w:rPr>
        <w:t>20.1投标有效期为</w:t>
      </w:r>
      <w:r>
        <w:rPr>
          <w:rFonts w:hint="eastAsia" w:ascii="Arial" w:hAnsi="Arial" w:eastAsia="宋体" w:cs="Arial"/>
          <w:kern w:val="2"/>
          <w:sz w:val="21"/>
          <w:lang w:eastAsia="zh-CN"/>
        </w:rPr>
        <w:t>从投标截止之日算起的日历天数。</w:t>
      </w:r>
      <w:r>
        <w:rPr>
          <w:rFonts w:hint="eastAsia" w:eastAsia="宋体"/>
          <w:kern w:val="2"/>
          <w:sz w:val="21"/>
          <w:lang w:eastAsia="zh-CN"/>
        </w:rPr>
        <w:t>在此期限内，所有投标文件均保持有效。</w:t>
      </w:r>
    </w:p>
    <w:p w14:paraId="0DF9C09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14:paraId="5900E29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20</w:t>
      </w:r>
      <w:r>
        <w:rPr>
          <w:rFonts w:eastAsia="宋体"/>
          <w:kern w:val="2"/>
          <w:sz w:val="21"/>
          <w:lang w:eastAsia="zh-CN"/>
        </w:rPr>
        <w:t>.3</w:t>
      </w:r>
      <w:r>
        <w:rPr>
          <w:rFonts w:hint="eastAsia" w:eastAsia="宋体"/>
          <w:kern w:val="2"/>
          <w:sz w:val="21"/>
          <w:lang w:eastAsia="zh-CN"/>
        </w:rPr>
        <w:t>中标供应商的投标文件有效期，截止于完成本招标文件规定的全部项目内容，并通过竣工验收及保修期结束。</w:t>
      </w:r>
    </w:p>
    <w:bookmarkEnd w:id="45"/>
    <w:p w14:paraId="299EB305">
      <w:pPr>
        <w:widowControl/>
        <w:wordWrap w:val="0"/>
        <w:autoSpaceDE w:val="0"/>
        <w:autoSpaceDN w:val="0"/>
        <w:spacing w:line="400" w:lineRule="exact"/>
        <w:ind w:right="808" w:firstLine="420" w:firstLineChars="200"/>
        <w:jc w:val="both"/>
        <w:rPr>
          <w:rFonts w:hint="eastAsia" w:eastAsia="宋体"/>
          <w:kern w:val="2"/>
          <w:sz w:val="21"/>
          <w:lang w:eastAsia="zh-CN"/>
        </w:rPr>
      </w:pPr>
      <w:r>
        <w:rPr>
          <w:rFonts w:hint="eastAsia" w:eastAsia="宋体"/>
          <w:kern w:val="2"/>
          <w:sz w:val="21"/>
          <w:lang w:eastAsia="zh-CN"/>
        </w:rPr>
        <w:t>21．</w:t>
      </w:r>
      <w:bookmarkStart w:id="46" w:name="_Hlk72402325"/>
      <w:r>
        <w:rPr>
          <w:rFonts w:hint="eastAsia" w:eastAsia="宋体"/>
          <w:kern w:val="2"/>
          <w:sz w:val="21"/>
          <w:lang w:eastAsia="zh-CN"/>
        </w:rPr>
        <w:t>关于投标保证金</w:t>
      </w:r>
    </w:p>
    <w:p w14:paraId="1B70A315">
      <w:pPr>
        <w:widowControl/>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lang w:eastAsia="zh-CN"/>
        </w:rPr>
        <w:t>根据《深圳市财政局关于调整政府采购投标（响应）保证金管理政策的通知》（深财购〔2021〕51号）文的规定，本项目不收取投标保证金。</w:t>
      </w:r>
    </w:p>
    <w:p w14:paraId="1BCB4F4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22．投标人的替代方案</w:t>
      </w:r>
    </w:p>
    <w:p w14:paraId="03A383F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EA32F0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6"/>
    <w:p w14:paraId="36FC7DC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w:t>
      </w:r>
      <w:bookmarkStart w:id="47" w:name="_Hlk72402860"/>
      <w:r>
        <w:rPr>
          <w:rFonts w:eastAsia="宋体"/>
          <w:kern w:val="2"/>
          <w:sz w:val="21"/>
          <w:lang w:eastAsia="zh-CN"/>
        </w:rPr>
        <w:t>投标文件的</w:t>
      </w:r>
      <w:r>
        <w:rPr>
          <w:rFonts w:hint="eastAsia" w:eastAsia="宋体"/>
          <w:kern w:val="2"/>
          <w:sz w:val="21"/>
          <w:lang w:eastAsia="zh-CN"/>
        </w:rPr>
        <w:t>制作</w:t>
      </w:r>
      <w:r>
        <w:rPr>
          <w:rFonts w:eastAsia="宋体"/>
          <w:kern w:val="2"/>
          <w:sz w:val="21"/>
          <w:lang w:eastAsia="zh-CN"/>
        </w:rPr>
        <w:t>要求</w:t>
      </w:r>
    </w:p>
    <w:p w14:paraId="6B20206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23.1投标人应准备所投项目的电子投标文件一份。</w:t>
      </w:r>
    </w:p>
    <w:p w14:paraId="324986E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23.2投标人在使用《投标书编制软件》编制投标书时须注意：</w:t>
      </w:r>
    </w:p>
    <w:p w14:paraId="5D8CC75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14:paraId="69DD084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23.2.2不能用非本公司的电子密钥加密本公司的投标文件，或者用其它公司的登录用户上传本公司的投标文件。</w:t>
      </w:r>
    </w:p>
    <w:p w14:paraId="1AA6AD2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23.2.3要求用《投标书编制软件》编制投标书的包，不能用其它方式编制投标书。编制投标文件时，电脑须连通互联网。</w:t>
      </w:r>
    </w:p>
    <w:p w14:paraId="1055BAF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23.2.4投标文件不能带病毒。采购代理机构将用专业杀毒软件对投标文件进行病毒检测，如果这两种软件均报告发现病毒，则采购代理机构认为该投标文件带病毒。</w:t>
      </w:r>
    </w:p>
    <w:p w14:paraId="25850B2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23.2.6投标人在编辑投标文件时，在投标文件目录中属于本节点内容的必须在本节点中填写，填写到其他节点或附件，一切后果由供应商自行承担。</w:t>
      </w:r>
    </w:p>
    <w:p w14:paraId="0B919FE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23.2.7投标文件编写完成后，必须用属于投标人的电子密钥或电子营业执照进行加密，否则视同未盖公章，将导致投标文件无效。</w:t>
      </w:r>
    </w:p>
    <w:p w14:paraId="29A5419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14:paraId="75737FF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23.2.9如果开标时出现网络故障、技术故障，影响了政府采购活动，采购代理机构有权采取措施如延期、接受无法从网上上传的投标书等，以保障政府采购活动的公开、公平和公正。</w:t>
      </w:r>
    </w:p>
    <w:p w14:paraId="75ABA27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23.3电报、电话、传真形式的投标概不接受。</w:t>
      </w:r>
    </w:p>
    <w:p w14:paraId="05779CA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23.4经投标人电子密钥或电子营业执照加密的投标文件无须盖章或签字，专用条款另有要求的除外。</w:t>
      </w:r>
    </w:p>
    <w:p w14:paraId="2B261358">
      <w:pPr>
        <w:widowControl/>
        <w:wordWrap w:val="0"/>
        <w:autoSpaceDE w:val="0"/>
        <w:autoSpaceDN w:val="0"/>
        <w:spacing w:line="400" w:lineRule="exact"/>
        <w:ind w:right="808" w:firstLine="422" w:firstLineChars="200"/>
        <w:jc w:val="both"/>
        <w:rPr>
          <w:rFonts w:eastAsia="宋体"/>
          <w:kern w:val="2"/>
          <w:sz w:val="21"/>
          <w:lang w:eastAsia="zh-CN"/>
        </w:rPr>
      </w:pPr>
      <w:r>
        <w:rPr>
          <w:rFonts w:hint="eastAsia" w:eastAsia="宋体"/>
          <w:b/>
          <w:kern w:val="2"/>
          <w:sz w:val="21"/>
          <w:lang w:eastAsia="zh-CN"/>
        </w:rPr>
        <w:t>23.5</w:t>
      </w:r>
      <w:r>
        <w:rPr>
          <w:rFonts w:hint="eastAsia" w:eastAsia="宋体"/>
          <w:kern w:val="2"/>
          <w:sz w:val="21"/>
          <w:lang w:eastAsia="zh-CN"/>
        </w:rPr>
        <w:t>各类资格（资质）文件提供扫描件，专用条款另有要求的除外。</w:t>
      </w:r>
      <w:bookmarkEnd w:id="47"/>
    </w:p>
    <w:p w14:paraId="73C2EDB5">
      <w:pPr>
        <w:widowControl/>
        <w:wordWrap w:val="0"/>
        <w:autoSpaceDE w:val="0"/>
        <w:autoSpaceDN w:val="0"/>
        <w:spacing w:line="360" w:lineRule="auto"/>
        <w:ind w:right="808" w:firstLine="482" w:firstLineChars="200"/>
        <w:jc w:val="both"/>
        <w:rPr>
          <w:rFonts w:eastAsia="宋体"/>
          <w:b/>
          <w:kern w:val="2"/>
          <w:lang w:eastAsia="zh-CN"/>
        </w:rPr>
      </w:pPr>
    </w:p>
    <w:p w14:paraId="5691E65D">
      <w:pPr>
        <w:widowControl/>
        <w:wordWrap w:val="0"/>
        <w:autoSpaceDE w:val="0"/>
        <w:autoSpaceDN w:val="0"/>
        <w:spacing w:line="360" w:lineRule="auto"/>
        <w:ind w:right="808" w:firstLine="482" w:firstLineChars="200"/>
        <w:jc w:val="both"/>
        <w:rPr>
          <w:rFonts w:eastAsia="宋体"/>
          <w:b/>
          <w:kern w:val="2"/>
          <w:lang w:eastAsia="zh-CN"/>
        </w:rPr>
      </w:pPr>
    </w:p>
    <w:p w14:paraId="6B7CE3B9">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48" w:name="_Toc18062"/>
      <w:bookmarkStart w:id="49" w:name="_Toc26761"/>
      <w:bookmarkStart w:id="50" w:name="_Toc21427"/>
      <w:bookmarkStart w:id="51" w:name="_Toc28552"/>
      <w:r>
        <w:rPr>
          <w:rFonts w:hint="eastAsia" w:ascii="Arial" w:hAnsi="Arial" w:eastAsia="宋体"/>
          <w:b/>
          <w:kern w:val="2"/>
          <w:sz w:val="32"/>
          <w:lang w:eastAsia="zh-CN"/>
        </w:rPr>
        <w:t>第四章</w:t>
      </w:r>
      <w:bookmarkStart w:id="52" w:name="_Toc30105"/>
      <w:r>
        <w:rPr>
          <w:rFonts w:hint="eastAsia" w:ascii="Arial" w:hAnsi="Arial" w:eastAsia="宋体"/>
          <w:b/>
          <w:kern w:val="2"/>
          <w:sz w:val="32"/>
          <w:lang w:eastAsia="zh-CN"/>
        </w:rPr>
        <w:t xml:space="preserve">  投标文件的</w:t>
      </w:r>
      <w:bookmarkEnd w:id="48"/>
      <w:r>
        <w:rPr>
          <w:rFonts w:hint="eastAsia" w:ascii="Arial" w:hAnsi="Arial" w:eastAsia="宋体"/>
          <w:b/>
          <w:kern w:val="2"/>
          <w:sz w:val="32"/>
          <w:lang w:eastAsia="zh-CN"/>
        </w:rPr>
        <w:t>递交</w:t>
      </w:r>
      <w:bookmarkEnd w:id="49"/>
      <w:bookmarkEnd w:id="50"/>
      <w:bookmarkEnd w:id="51"/>
      <w:bookmarkEnd w:id="52"/>
    </w:p>
    <w:p w14:paraId="3FEEF00F">
      <w:pPr>
        <w:widowControl/>
        <w:wordWrap w:val="0"/>
        <w:autoSpaceDE w:val="0"/>
        <w:autoSpaceDN w:val="0"/>
        <w:spacing w:line="400" w:lineRule="exact"/>
        <w:ind w:right="808" w:firstLine="420" w:firstLineChars="200"/>
        <w:jc w:val="both"/>
        <w:rPr>
          <w:rFonts w:eastAsia="宋体"/>
          <w:kern w:val="2"/>
          <w:sz w:val="21"/>
          <w:lang w:eastAsia="zh-CN"/>
        </w:rPr>
      </w:pPr>
      <w:bookmarkStart w:id="53" w:name="_Hlk72405459"/>
      <w:r>
        <w:rPr>
          <w:rFonts w:hint="eastAsia" w:eastAsia="宋体"/>
          <w:kern w:val="2"/>
          <w:sz w:val="21"/>
          <w:lang w:eastAsia="zh-CN"/>
        </w:rPr>
        <w:t>24．投标文件的保密</w:t>
      </w:r>
    </w:p>
    <w:p w14:paraId="4DBEC29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eastAsia="宋体"/>
          <w:kern w:val="2"/>
          <w:sz w:val="21"/>
          <w:highlight w:val="yellow"/>
          <w:lang w:eastAsia="zh-CN"/>
        </w:rPr>
        <w:t>(注意：加密的投标文件开标时须使用加密文件时使用的锁在项目规定时间内解密！)</w:t>
      </w:r>
    </w:p>
    <w:p w14:paraId="559DCE3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24.2若采购项目出现延期情况：</w:t>
      </w:r>
    </w:p>
    <w:p w14:paraId="08D49BD5">
      <w:pPr>
        <w:widowControl/>
        <w:wordWrap w:val="0"/>
        <w:autoSpaceDE w:val="0"/>
        <w:autoSpaceDN w:val="0"/>
        <w:spacing w:line="400" w:lineRule="exact"/>
        <w:ind w:right="808" w:firstLine="420" w:firstLineChars="200"/>
        <w:jc w:val="both"/>
        <w:rPr>
          <w:rFonts w:ascii="黑体" w:eastAsia="黑体"/>
          <w:kern w:val="2"/>
          <w:lang w:eastAsia="zh-CN"/>
        </w:rPr>
      </w:pPr>
      <w:r>
        <w:rPr>
          <w:rFonts w:hint="eastAsia" w:eastAsia="宋体"/>
          <w:kern w:val="2"/>
          <w:sz w:val="21"/>
          <w:lang w:eastAsia="zh-CN"/>
        </w:rPr>
        <w:t>如果供下载的招标文件有更新，投标人必须重新下载招标文件、重新制作投标文件、重新加密投标文件、重新上传投标文件。</w:t>
      </w:r>
    </w:p>
    <w:p w14:paraId="1804F27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25．上传投标文件及投标截止日期</w:t>
      </w:r>
    </w:p>
    <w:p w14:paraId="7E78BF7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w:t>
      </w:r>
      <w:r>
        <w:rPr>
          <w:rFonts w:eastAsia="宋体"/>
          <w:kern w:val="2"/>
          <w:sz w:val="21"/>
          <w:lang w:eastAsia="zh-CN"/>
        </w:rPr>
        <w:t>.</w:t>
      </w:r>
      <w:r>
        <w:rPr>
          <w:rFonts w:hint="eastAsia" w:eastAsia="宋体"/>
          <w:kern w:val="2"/>
          <w:sz w:val="21"/>
          <w:lang w:eastAsia="zh-CN"/>
        </w:rPr>
        <w:t>1实行网上投标，</w:t>
      </w:r>
      <w:r>
        <w:rPr>
          <w:rFonts w:eastAsia="宋体"/>
          <w:kern w:val="2"/>
          <w:sz w:val="21"/>
          <w:lang w:eastAsia="zh-CN"/>
        </w:rPr>
        <w:t>投标人必须</w:t>
      </w:r>
      <w:r>
        <w:rPr>
          <w:rFonts w:hint="eastAsia" w:eastAsia="宋体"/>
          <w:kern w:val="2"/>
          <w:sz w:val="21"/>
          <w:lang w:eastAsia="zh-CN"/>
        </w:rPr>
        <w:t>在招标</w:t>
      </w:r>
      <w:r>
        <w:rPr>
          <w:rFonts w:eastAsia="宋体"/>
          <w:kern w:val="2"/>
          <w:sz w:val="21"/>
          <w:lang w:eastAsia="zh-CN"/>
        </w:rPr>
        <w:t>文件规定的投标截止时间前</w:t>
      </w:r>
      <w:r>
        <w:rPr>
          <w:rFonts w:hint="eastAsia" w:eastAsia="宋体"/>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cstheme="minorBidi"/>
          <w:b/>
          <w:bCs/>
          <w:kern w:val="2"/>
          <w:sz w:val="21"/>
          <w:szCs w:val="21"/>
          <w:lang w:eastAsia="zh-CN"/>
        </w:rPr>
        <w:t>深圳公共资源交易中心（深圳交易集团有限公司政府采购业务分公司）</w:t>
      </w:r>
      <w:r>
        <w:rPr>
          <w:rFonts w:hint="eastAsia" w:ascii="宋体" w:hAnsi="宋体" w:eastAsia="宋体" w:cstheme="minorBidi"/>
          <w:b/>
          <w:bCs/>
          <w:kern w:val="2"/>
          <w:sz w:val="21"/>
          <w:szCs w:val="22"/>
          <w:lang w:eastAsia="zh-CN"/>
        </w:rPr>
        <w:t>（地址：深圳市南山区沙河西路3185号南山智谷A座（深圳交易集团总部大楼）3楼）</w:t>
      </w:r>
      <w:r>
        <w:rPr>
          <w:rFonts w:hint="eastAsia" w:eastAsia="宋体"/>
          <w:b/>
          <w:bCs/>
          <w:kern w:val="2"/>
          <w:sz w:val="21"/>
          <w:szCs w:val="21"/>
          <w:lang w:eastAsia="zh-CN"/>
        </w:rPr>
        <w:t>协助上传，但上传过程中投标截止时间到达仍无法上传成功的，由投标人自行负责。</w:t>
      </w:r>
    </w:p>
    <w:p w14:paraId="2D5B8BA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14:paraId="3DFEFAE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25</w:t>
      </w:r>
      <w:r>
        <w:rPr>
          <w:rFonts w:eastAsia="宋体"/>
          <w:kern w:val="2"/>
          <w:sz w:val="21"/>
          <w:lang w:eastAsia="zh-CN"/>
        </w:rPr>
        <w:t>.</w:t>
      </w:r>
      <w:r>
        <w:rPr>
          <w:rFonts w:hint="eastAsia" w:eastAsia="宋体"/>
          <w:kern w:val="2"/>
          <w:sz w:val="21"/>
          <w:lang w:eastAsia="zh-CN"/>
        </w:rPr>
        <w:t>3投标截止时间以后不得上传投标文件。</w:t>
      </w:r>
    </w:p>
    <w:bookmarkEnd w:id="53"/>
    <w:p w14:paraId="3AA5C45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26.样品、现场演示、方案讲解</w:t>
      </w:r>
    </w:p>
    <w:p w14:paraId="09EBC3D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26.1样品、现场演示、方案讲解等事项在招标文件专用条款中进行规定。</w:t>
      </w:r>
    </w:p>
    <w:p w14:paraId="1A0575D7">
      <w:pPr>
        <w:widowControl/>
        <w:wordWrap w:val="0"/>
        <w:autoSpaceDE w:val="0"/>
        <w:autoSpaceDN w:val="0"/>
        <w:spacing w:line="400" w:lineRule="exact"/>
        <w:ind w:right="808" w:firstLine="420" w:firstLineChars="200"/>
        <w:jc w:val="both"/>
        <w:rPr>
          <w:rFonts w:eastAsia="宋体"/>
          <w:kern w:val="2"/>
          <w:sz w:val="21"/>
          <w:lang w:eastAsia="zh-CN"/>
        </w:rPr>
      </w:pPr>
      <w:bookmarkStart w:id="54" w:name="_Hlk72428346"/>
      <w:r>
        <w:rPr>
          <w:rFonts w:eastAsia="宋体"/>
          <w:kern w:val="2"/>
          <w:sz w:val="21"/>
          <w:lang w:eastAsia="zh-CN"/>
        </w:rPr>
        <w:t>2</w:t>
      </w:r>
      <w:r>
        <w:rPr>
          <w:rFonts w:hint="eastAsia" w:eastAsia="宋体"/>
          <w:kern w:val="2"/>
          <w:sz w:val="21"/>
          <w:lang w:eastAsia="zh-CN"/>
        </w:rPr>
        <w:t>7．</w:t>
      </w:r>
      <w:r>
        <w:rPr>
          <w:rFonts w:eastAsia="宋体"/>
          <w:kern w:val="2"/>
          <w:sz w:val="21"/>
          <w:lang w:eastAsia="zh-CN"/>
        </w:rPr>
        <w:t>投标文件的修改和撤销</w:t>
      </w:r>
    </w:p>
    <w:p w14:paraId="1CE93E13">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7</w:t>
      </w:r>
      <w:r>
        <w:rPr>
          <w:rFonts w:eastAsia="宋体"/>
          <w:kern w:val="2"/>
          <w:sz w:val="21"/>
          <w:lang w:eastAsia="zh-CN"/>
        </w:rPr>
        <w:t>.</w:t>
      </w:r>
      <w:r>
        <w:rPr>
          <w:rFonts w:hint="eastAsia" w:eastAsia="宋体"/>
          <w:kern w:val="2"/>
          <w:sz w:val="21"/>
          <w:lang w:eastAsia="zh-CN"/>
        </w:rPr>
        <w:t>1</w:t>
      </w:r>
      <w:r>
        <w:rPr>
          <w:rFonts w:eastAsia="宋体"/>
          <w:kern w:val="2"/>
          <w:sz w:val="21"/>
          <w:lang w:eastAsia="zh-CN"/>
        </w:rPr>
        <w:t>投标方在提交投标文件后可对其投标文件进行修改</w:t>
      </w:r>
      <w:r>
        <w:rPr>
          <w:rFonts w:hint="eastAsia" w:eastAsia="宋体"/>
          <w:kern w:val="2"/>
          <w:sz w:val="21"/>
          <w:lang w:eastAsia="zh-CN"/>
        </w:rPr>
        <w:t>并重新上传投标文件</w:t>
      </w:r>
      <w:r>
        <w:rPr>
          <w:rFonts w:eastAsia="宋体"/>
          <w:kern w:val="2"/>
          <w:sz w:val="21"/>
          <w:lang w:eastAsia="zh-CN"/>
        </w:rPr>
        <w:t>或</w:t>
      </w:r>
      <w:r>
        <w:rPr>
          <w:rFonts w:hint="eastAsia" w:eastAsia="宋体"/>
          <w:kern w:val="2"/>
          <w:sz w:val="21"/>
          <w:lang w:eastAsia="zh-CN"/>
        </w:rPr>
        <w:t>在网上进行</w:t>
      </w:r>
      <w:r>
        <w:rPr>
          <w:rFonts w:eastAsia="宋体"/>
          <w:kern w:val="2"/>
          <w:sz w:val="21"/>
          <w:lang w:eastAsia="zh-CN"/>
        </w:rPr>
        <w:t>撤销</w:t>
      </w:r>
      <w:r>
        <w:rPr>
          <w:rFonts w:hint="eastAsia" w:eastAsia="宋体"/>
          <w:kern w:val="2"/>
          <w:sz w:val="21"/>
          <w:lang w:eastAsia="zh-CN"/>
        </w:rPr>
        <w:t>投标的操作</w:t>
      </w:r>
      <w:r>
        <w:rPr>
          <w:rFonts w:eastAsia="宋体"/>
          <w:kern w:val="2"/>
          <w:sz w:val="21"/>
          <w:lang w:eastAsia="zh-CN"/>
        </w:rPr>
        <w:t>。</w:t>
      </w:r>
    </w:p>
    <w:p w14:paraId="4071AA3E">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7</w:t>
      </w:r>
      <w:r>
        <w:rPr>
          <w:rFonts w:eastAsia="宋体"/>
          <w:kern w:val="2"/>
          <w:sz w:val="21"/>
          <w:lang w:eastAsia="zh-CN"/>
        </w:rPr>
        <w:t>.</w:t>
      </w:r>
      <w:r>
        <w:rPr>
          <w:rFonts w:hint="eastAsia" w:eastAsia="宋体"/>
          <w:kern w:val="2"/>
          <w:sz w:val="21"/>
          <w:lang w:eastAsia="zh-CN"/>
        </w:rPr>
        <w:t>2</w:t>
      </w:r>
      <w:r>
        <w:rPr>
          <w:rFonts w:eastAsia="宋体"/>
          <w:kern w:val="2"/>
          <w:sz w:val="21"/>
          <w:lang w:eastAsia="zh-CN"/>
        </w:rPr>
        <w:t>投标截止时间以后不得修改投标文件。</w:t>
      </w:r>
    </w:p>
    <w:p w14:paraId="2062C51B">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7</w:t>
      </w:r>
      <w:r>
        <w:rPr>
          <w:rFonts w:eastAsia="宋体"/>
          <w:kern w:val="2"/>
          <w:sz w:val="21"/>
          <w:lang w:eastAsia="zh-CN"/>
        </w:rPr>
        <w:t>.</w:t>
      </w:r>
      <w:r>
        <w:rPr>
          <w:rFonts w:hint="eastAsia" w:eastAsia="宋体"/>
          <w:kern w:val="2"/>
          <w:sz w:val="21"/>
          <w:lang w:eastAsia="zh-CN"/>
        </w:rPr>
        <w:t>3从投标截止期至投标人在投标文件中确定的投标有效期之间的这段时间内，投标人不得撤回其投标。</w:t>
      </w:r>
    </w:p>
    <w:p w14:paraId="4474392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27.4采购代理机构不退还投标文件，专用条款另有规定的除外。</w:t>
      </w:r>
    </w:p>
    <w:bookmarkEnd w:id="54"/>
    <w:p w14:paraId="484F111F">
      <w:pPr>
        <w:widowControl/>
        <w:wordWrap w:val="0"/>
        <w:autoSpaceDE w:val="0"/>
        <w:autoSpaceDN w:val="0"/>
        <w:spacing w:line="360" w:lineRule="auto"/>
        <w:ind w:right="808" w:firstLine="482" w:firstLineChars="200"/>
        <w:jc w:val="both"/>
        <w:rPr>
          <w:rFonts w:eastAsia="宋体"/>
          <w:b/>
          <w:kern w:val="2"/>
          <w:lang w:eastAsia="zh-CN"/>
        </w:rPr>
      </w:pPr>
    </w:p>
    <w:p w14:paraId="0C4EAF72">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55" w:name="第五章1"/>
      <w:bookmarkEnd w:id="55"/>
      <w:bookmarkStart w:id="56" w:name="_Toc1658"/>
      <w:bookmarkStart w:id="57" w:name="_Toc13806"/>
      <w:bookmarkStart w:id="58" w:name="_Toc73517666"/>
      <w:bookmarkStart w:id="59" w:name="_Toc73518144"/>
      <w:bookmarkStart w:id="60" w:name="_Toc101074881"/>
      <w:bookmarkStart w:id="61" w:name="_Toc14713"/>
      <w:bookmarkStart w:id="62" w:name="_Toc2041"/>
      <w:bookmarkStart w:id="63" w:name="_Toc100052391"/>
      <w:r>
        <w:rPr>
          <w:rFonts w:hint="eastAsia" w:ascii="Arial" w:hAnsi="Arial" w:eastAsia="宋体"/>
          <w:b/>
          <w:kern w:val="2"/>
          <w:sz w:val="32"/>
          <w:lang w:eastAsia="zh-CN"/>
        </w:rPr>
        <w:t>第五章</w:t>
      </w:r>
      <w:bookmarkStart w:id="64" w:name="_Toc4434"/>
      <w:r>
        <w:rPr>
          <w:rFonts w:hint="eastAsia" w:ascii="Arial" w:hAnsi="Arial" w:eastAsia="宋体"/>
          <w:b/>
          <w:kern w:val="2"/>
          <w:sz w:val="32"/>
          <w:lang w:eastAsia="zh-CN"/>
        </w:rPr>
        <w:t xml:space="preserve">  开标</w:t>
      </w:r>
      <w:bookmarkEnd w:id="56"/>
      <w:bookmarkEnd w:id="57"/>
      <w:bookmarkEnd w:id="58"/>
      <w:bookmarkEnd w:id="59"/>
      <w:bookmarkEnd w:id="60"/>
      <w:bookmarkEnd w:id="61"/>
      <w:bookmarkEnd w:id="62"/>
      <w:bookmarkEnd w:id="63"/>
      <w:bookmarkEnd w:id="64"/>
    </w:p>
    <w:p w14:paraId="17075AAE">
      <w:pPr>
        <w:widowControl/>
        <w:wordWrap w:val="0"/>
        <w:autoSpaceDE w:val="0"/>
        <w:autoSpaceDN w:val="0"/>
        <w:spacing w:line="400" w:lineRule="exact"/>
        <w:ind w:right="808" w:firstLine="420" w:firstLineChars="200"/>
        <w:jc w:val="both"/>
        <w:rPr>
          <w:rFonts w:eastAsia="宋体"/>
          <w:kern w:val="2"/>
          <w:sz w:val="21"/>
          <w:lang w:eastAsia="zh-CN"/>
        </w:rPr>
      </w:pPr>
      <w:bookmarkStart w:id="65" w:name="_Toc73517668"/>
      <w:bookmarkStart w:id="66" w:name="_Toc73518146"/>
      <w:bookmarkStart w:id="67" w:name="_Toc100052393"/>
      <w:bookmarkStart w:id="68" w:name="_Toc101074882"/>
      <w:r>
        <w:rPr>
          <w:rFonts w:hint="eastAsia" w:eastAsia="宋体"/>
          <w:kern w:val="2"/>
          <w:sz w:val="21"/>
          <w:lang w:eastAsia="zh-CN"/>
        </w:rPr>
        <w:t>28．开标</w:t>
      </w:r>
    </w:p>
    <w:p w14:paraId="13B71C7B">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8</w:t>
      </w:r>
      <w:r>
        <w:rPr>
          <w:rFonts w:eastAsia="宋体"/>
          <w:kern w:val="2"/>
          <w:sz w:val="21"/>
          <w:lang w:eastAsia="zh-CN"/>
        </w:rPr>
        <w:t>.</w:t>
      </w:r>
      <w:r>
        <w:rPr>
          <w:rFonts w:hint="eastAsia" w:eastAsia="宋体"/>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153684D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14:paraId="3B6A1A24">
      <w:pPr>
        <w:widowControl/>
        <w:wordWrap w:val="0"/>
        <w:autoSpaceDE w:val="0"/>
        <w:autoSpaceDN w:val="0"/>
        <w:spacing w:line="360" w:lineRule="auto"/>
        <w:ind w:right="808" w:firstLine="482" w:firstLineChars="200"/>
        <w:jc w:val="both"/>
        <w:rPr>
          <w:rFonts w:eastAsia="宋体"/>
          <w:b/>
          <w:kern w:val="2"/>
          <w:lang w:eastAsia="zh-CN"/>
        </w:rPr>
      </w:pPr>
    </w:p>
    <w:bookmarkEnd w:id="65"/>
    <w:bookmarkEnd w:id="66"/>
    <w:p w14:paraId="64063772">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69" w:name="第六章1"/>
      <w:bookmarkEnd w:id="69"/>
      <w:bookmarkStart w:id="70" w:name="_Toc29197"/>
      <w:bookmarkStart w:id="71" w:name="_Toc27869"/>
      <w:bookmarkStart w:id="72" w:name="_Toc7319"/>
      <w:bookmarkStart w:id="73" w:name="_Toc20179"/>
      <w:r>
        <w:rPr>
          <w:rFonts w:hint="eastAsia" w:ascii="Arial" w:hAnsi="Arial" w:eastAsia="宋体"/>
          <w:b/>
          <w:kern w:val="2"/>
          <w:sz w:val="32"/>
          <w:lang w:eastAsia="zh-CN"/>
        </w:rPr>
        <w:t>第六章</w:t>
      </w:r>
      <w:bookmarkStart w:id="74" w:name="_Toc29225"/>
      <w:r>
        <w:rPr>
          <w:rFonts w:hint="eastAsia" w:ascii="Arial" w:hAnsi="Arial" w:eastAsia="宋体"/>
          <w:b/>
          <w:kern w:val="2"/>
          <w:sz w:val="32"/>
          <w:lang w:eastAsia="zh-CN"/>
        </w:rPr>
        <w:t xml:space="preserve">  评审要求</w:t>
      </w:r>
      <w:bookmarkEnd w:id="67"/>
      <w:bookmarkEnd w:id="68"/>
      <w:bookmarkEnd w:id="70"/>
      <w:bookmarkEnd w:id="71"/>
      <w:bookmarkEnd w:id="72"/>
      <w:bookmarkEnd w:id="73"/>
      <w:bookmarkEnd w:id="74"/>
    </w:p>
    <w:p w14:paraId="6BDABB4A">
      <w:pPr>
        <w:widowControl/>
        <w:wordWrap w:val="0"/>
        <w:autoSpaceDE w:val="0"/>
        <w:autoSpaceDN w:val="0"/>
        <w:spacing w:line="400" w:lineRule="exact"/>
        <w:ind w:right="808" w:firstLine="420" w:firstLineChars="200"/>
        <w:jc w:val="both"/>
        <w:rPr>
          <w:rFonts w:eastAsia="宋体"/>
          <w:kern w:val="2"/>
          <w:sz w:val="21"/>
          <w:lang w:eastAsia="zh-CN"/>
        </w:rPr>
      </w:pPr>
      <w:bookmarkStart w:id="75" w:name="第七章1"/>
      <w:bookmarkEnd w:id="75"/>
      <w:bookmarkStart w:id="76" w:name="_Toc19125"/>
      <w:bookmarkStart w:id="77" w:name="_Toc1296"/>
      <w:bookmarkStart w:id="78" w:name="_Toc20125"/>
      <w:bookmarkStart w:id="79" w:name="_Toc100052397"/>
      <w:bookmarkStart w:id="80" w:name="_Toc101074883"/>
      <w:r>
        <w:rPr>
          <w:rFonts w:hint="eastAsia" w:eastAsia="宋体"/>
          <w:kern w:val="2"/>
          <w:sz w:val="21"/>
          <w:lang w:eastAsia="zh-CN"/>
        </w:rPr>
        <w:t>29．评审委员会组成</w:t>
      </w:r>
    </w:p>
    <w:p w14:paraId="64BED21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29.1网上开标结束后召开评审会议，</w:t>
      </w:r>
      <w:r>
        <w:rPr>
          <w:rFonts w:hint="eastAsia" w:eastAsia="宋体"/>
          <w:kern w:val="2"/>
          <w:sz w:val="21"/>
          <w:szCs w:val="21"/>
          <w:lang w:eastAsia="zh-CN"/>
        </w:rPr>
        <w:t>评审委员会</w:t>
      </w:r>
      <w:r>
        <w:rPr>
          <w:rFonts w:hint="eastAsia" w:eastAsia="宋体"/>
          <w:kern w:val="2"/>
          <w:sz w:val="21"/>
          <w:lang w:eastAsia="zh-CN"/>
        </w:rPr>
        <w:t>由采购代理机构依法组建，负责评审活动。</w:t>
      </w:r>
    </w:p>
    <w:p w14:paraId="1AF605E5">
      <w:pPr>
        <w:widowControl/>
        <w:wordWrap w:val="0"/>
        <w:autoSpaceDE w:val="0"/>
        <w:autoSpaceDN w:val="0"/>
        <w:spacing w:line="400" w:lineRule="exact"/>
        <w:ind w:right="808" w:firstLine="420" w:firstLineChars="200"/>
        <w:jc w:val="both"/>
        <w:rPr>
          <w:rFonts w:eastAsia="宋体"/>
          <w:kern w:val="2"/>
          <w:sz w:val="21"/>
          <w:lang w:eastAsia="zh-CN"/>
        </w:rPr>
      </w:pPr>
      <w:bookmarkStart w:id="81" w:name="_Hlk72436580"/>
      <w:r>
        <w:rPr>
          <w:rFonts w:hint="eastAsia" w:eastAsia="宋体"/>
          <w:kern w:val="2"/>
          <w:sz w:val="21"/>
          <w:lang w:eastAsia="zh-CN"/>
        </w:rPr>
        <w:t>评审委员会由采购人代表和评审专家组成，成员人数应当为5人以上单数（部分条件下为7人以上单数），其中评审专家不得少于成员总数的三分之二。</w:t>
      </w:r>
      <w:bookmarkEnd w:id="81"/>
      <w:r>
        <w:rPr>
          <w:rFonts w:hint="eastAsia" w:eastAsia="宋体"/>
          <w:kern w:val="2"/>
          <w:sz w:val="21"/>
          <w:lang w:eastAsia="zh-CN"/>
        </w:rPr>
        <w:t>评定分离项目</w:t>
      </w:r>
      <w:r>
        <w:rPr>
          <w:rFonts w:eastAsia="宋体"/>
          <w:kern w:val="2"/>
          <w:sz w:val="21"/>
          <w:lang w:eastAsia="zh-CN"/>
        </w:rPr>
        <w:t>评审专家</w:t>
      </w:r>
      <w:r>
        <w:rPr>
          <w:rFonts w:hint="eastAsia" w:eastAsia="宋体"/>
          <w:kern w:val="2"/>
          <w:sz w:val="21"/>
          <w:lang w:eastAsia="zh-CN"/>
        </w:rPr>
        <w:t>均</w:t>
      </w:r>
      <w:r>
        <w:rPr>
          <w:rFonts w:eastAsia="宋体"/>
          <w:kern w:val="2"/>
          <w:sz w:val="21"/>
          <w:lang w:eastAsia="zh-CN"/>
        </w:rPr>
        <w:t>由</w:t>
      </w:r>
      <w:r>
        <w:rPr>
          <w:rFonts w:hint="eastAsia" w:eastAsia="宋体"/>
          <w:kern w:val="2"/>
          <w:sz w:val="21"/>
          <w:lang w:eastAsia="zh-CN"/>
        </w:rPr>
        <w:t>评审专家组成。</w:t>
      </w:r>
      <w:r>
        <w:rPr>
          <w:rFonts w:hint="eastAsia" w:eastAsia="宋体"/>
          <w:kern w:val="2"/>
          <w:sz w:val="21"/>
          <w:szCs w:val="21"/>
          <w:lang w:eastAsia="zh-CN"/>
        </w:rPr>
        <w:t>评审专家一般是</w:t>
      </w:r>
      <w:r>
        <w:rPr>
          <w:rFonts w:hint="eastAsia" w:eastAsia="宋体"/>
          <w:kern w:val="2"/>
          <w:sz w:val="21"/>
          <w:lang w:eastAsia="zh-CN"/>
        </w:rPr>
        <w:t>从深圳市政府采购评审专家库中随机抽取。采购人代表须持本单位签发的《评审授权书》参加评审。</w:t>
      </w:r>
    </w:p>
    <w:p w14:paraId="0235484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29.2评审定标应当遵循公平、公正、科学、择优的原则。</w:t>
      </w:r>
    </w:p>
    <w:p w14:paraId="07E48E1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29.3评审活动依法进行，任何单位和个人不得非法干预评标过程和结果。</w:t>
      </w:r>
    </w:p>
    <w:p w14:paraId="0453DE9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29.4评审过程中不允许违背评标程序或采用招标文件未载明的评标方法或评标因素进行评标。</w:t>
      </w:r>
    </w:p>
    <w:p w14:paraId="254BE59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14:paraId="4E8A629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30．向评审委员会提供的资料</w:t>
      </w:r>
    </w:p>
    <w:p w14:paraId="1F7D10D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30.1公开发布的招标文件，包括图纸、服务清单、答疑文件等；</w:t>
      </w:r>
    </w:p>
    <w:p w14:paraId="4407DA6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30.2其他评标必须的资料。</w:t>
      </w:r>
    </w:p>
    <w:p w14:paraId="06A8E15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30.3</w:t>
      </w:r>
      <w:r>
        <w:rPr>
          <w:rFonts w:hint="eastAsia" w:eastAsia="宋体"/>
          <w:kern w:val="2"/>
          <w:sz w:val="21"/>
          <w:szCs w:val="21"/>
          <w:lang w:eastAsia="zh-CN"/>
        </w:rPr>
        <w:t>评审委员会</w:t>
      </w:r>
      <w:r>
        <w:rPr>
          <w:rFonts w:hint="eastAsia" w:eastAsia="宋体"/>
          <w:kern w:val="2"/>
          <w:sz w:val="21"/>
          <w:lang w:eastAsia="zh-CN"/>
        </w:rPr>
        <w:t>应当认真研究招标文件，至少应了解熟悉以下内容：</w:t>
      </w:r>
    </w:p>
    <w:p w14:paraId="1741234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（1）招标的目的；</w:t>
      </w:r>
    </w:p>
    <w:p w14:paraId="3F32BDF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（2）招标项目需求的范围和性质；</w:t>
      </w:r>
    </w:p>
    <w:p w14:paraId="67C4372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（3）招标文件规定的投标人的资格、财政预算限额、商务条款；</w:t>
      </w:r>
    </w:p>
    <w:p w14:paraId="495388C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（4）招标文件规定的评标程序、评标方法和评标因素；</w:t>
      </w:r>
    </w:p>
    <w:p w14:paraId="67E07D3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（5）招标文件所列示的资格性审查表及符合性审查表。</w:t>
      </w:r>
    </w:p>
    <w:p w14:paraId="6282420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31．独立评审</w:t>
      </w:r>
    </w:p>
    <w:p w14:paraId="43C75FC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1</w:t>
      </w:r>
      <w:r>
        <w:rPr>
          <w:rFonts w:hint="eastAsia" w:eastAsia="宋体"/>
          <w:kern w:val="2"/>
          <w:sz w:val="21"/>
          <w:lang w:eastAsia="zh-CN"/>
        </w:rPr>
        <w:t>.1</w:t>
      </w:r>
      <w:r>
        <w:rPr>
          <w:rFonts w:hint="eastAsia" w:eastAsia="宋体"/>
          <w:kern w:val="2"/>
          <w:sz w:val="21"/>
          <w:szCs w:val="21"/>
          <w:lang w:eastAsia="zh-CN"/>
        </w:rPr>
        <w:t>评审委员会</w:t>
      </w:r>
      <w:r>
        <w:rPr>
          <w:rFonts w:hint="eastAsia" w:eastAsia="宋体"/>
          <w:kern w:val="2"/>
          <w:sz w:val="21"/>
          <w:lang w:eastAsia="zh-CN"/>
        </w:rPr>
        <w:t>成员的评标活动应当独立进行，并应遵循投标文件初审、澄清有关问题、比较与评价、确定中标供应商、编写评审报告的工作程序。</w:t>
      </w:r>
    </w:p>
    <w:p w14:paraId="12F8D9C5">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82" w:name="_Toc18761"/>
      <w:r>
        <w:rPr>
          <w:rFonts w:hint="eastAsia" w:ascii="Arial" w:hAnsi="Arial" w:eastAsia="宋体"/>
          <w:b/>
          <w:kern w:val="2"/>
          <w:sz w:val="32"/>
          <w:lang w:eastAsia="zh-CN"/>
        </w:rPr>
        <w:t>第七章</w:t>
      </w:r>
      <w:bookmarkStart w:id="83" w:name="_Toc26636"/>
      <w:r>
        <w:rPr>
          <w:rFonts w:hint="eastAsia" w:ascii="Arial" w:hAnsi="Arial" w:eastAsia="宋体"/>
          <w:b/>
          <w:kern w:val="2"/>
          <w:sz w:val="32"/>
          <w:lang w:eastAsia="zh-CN"/>
        </w:rPr>
        <w:t xml:space="preserve">  评审程序</w:t>
      </w:r>
      <w:bookmarkStart w:id="84" w:name="_Toc73517671"/>
      <w:bookmarkStart w:id="85" w:name="_Toc73518149"/>
      <w:r>
        <w:rPr>
          <w:rFonts w:hint="eastAsia" w:ascii="Arial" w:hAnsi="Arial" w:eastAsia="宋体"/>
          <w:b/>
          <w:kern w:val="2"/>
          <w:sz w:val="32"/>
          <w:lang w:eastAsia="zh-CN"/>
        </w:rPr>
        <w:t>及评审方法</w:t>
      </w:r>
      <w:bookmarkEnd w:id="76"/>
      <w:bookmarkEnd w:id="77"/>
      <w:bookmarkEnd w:id="78"/>
      <w:bookmarkEnd w:id="79"/>
      <w:bookmarkEnd w:id="80"/>
      <w:bookmarkEnd w:id="82"/>
      <w:bookmarkEnd w:id="83"/>
    </w:p>
    <w:bookmarkEnd w:id="84"/>
    <w:bookmarkEnd w:id="85"/>
    <w:p w14:paraId="18A34E6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32．投标文件初审</w:t>
      </w:r>
    </w:p>
    <w:p w14:paraId="11A3158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32.1投标文件初审包括资格性审查和符合性审查。</w:t>
      </w:r>
    </w:p>
    <w:p w14:paraId="59B7E31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资格性审查：依据法律法规和招标文件的规定，对投标文件中的资格证明等进行审查，以确定投标供应商是否具备投标资格。</w:t>
      </w:r>
    </w:p>
    <w:p w14:paraId="45C3051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符合性审查：依据招标文件的规定，对投标文件的有效性、完整性和对招标文件的响应程度进行审查，以确定是否满足符合性审查的要求。</w:t>
      </w:r>
    </w:p>
    <w:p w14:paraId="0CEF1CE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32.2投标文件初审内容请详见《资格性审查表》和《符合性审查表》部分。投标人若有一条审查不通过则按投标无效处理。</w:t>
      </w:r>
    </w:p>
    <w:p w14:paraId="78E237F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32.3投标文件初审中关于供应商家数的计算：</w:t>
      </w:r>
    </w:p>
    <w:p w14:paraId="6A4B270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1DBC0D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eastAsia="宋体"/>
          <w:kern w:val="2"/>
          <w:sz w:val="21"/>
          <w:szCs w:val="21"/>
          <w:lang w:eastAsia="zh-CN"/>
        </w:rPr>
        <w:t>评审委员会</w:t>
      </w:r>
      <w:r>
        <w:rPr>
          <w:rFonts w:hint="eastAsia" w:eastAsia="宋体"/>
          <w:kern w:val="2"/>
          <w:sz w:val="21"/>
          <w:lang w:eastAsia="zh-CN"/>
        </w:rPr>
        <w:t>按照招标文件规定的方式确定一个投标人获得中标人推荐资格，招标文件未规定的采取随机抽取方式确定，其他同品牌投标人不作为中标候选人。</w:t>
      </w:r>
    </w:p>
    <w:p w14:paraId="3D077AF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14:paraId="6263EEE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32.4投标人投标文件作无效处理的情形，具体包括但不限于以下：</w:t>
      </w:r>
    </w:p>
    <w:p w14:paraId="10E4905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ascii="宋体" w:hAnsi="宋体" w:eastAsia="宋体"/>
          <w:kern w:val="2"/>
          <w:sz w:val="21"/>
          <w:lang w:eastAsia="zh-CN"/>
        </w:rPr>
        <w:t>32.4.1</w:t>
      </w:r>
      <w:r>
        <w:rPr>
          <w:rFonts w:hint="eastAsia" w:eastAsia="宋体"/>
          <w:kern w:val="2"/>
          <w:sz w:val="21"/>
          <w:lang w:eastAsia="zh-CN"/>
        </w:rPr>
        <w:t>不同投标人的投标文件由同一单位或者同一个人编制，或者由同一个人分阶段参与编制；</w:t>
      </w:r>
    </w:p>
    <w:p w14:paraId="18119025">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hAnsi="宋体" w:eastAsia="宋体"/>
          <w:kern w:val="2"/>
          <w:sz w:val="21"/>
          <w:lang w:eastAsia="zh-CN"/>
        </w:rPr>
        <w:t>32.4.</w:t>
      </w:r>
      <w:r>
        <w:rPr>
          <w:rFonts w:hint="eastAsia" w:ascii="宋体" w:hAnsi="宋体" w:eastAsia="宋体"/>
          <w:kern w:val="2"/>
          <w:sz w:val="21"/>
          <w:lang w:eastAsia="zh-CN"/>
        </w:rPr>
        <w:t>2</w:t>
      </w:r>
      <w:r>
        <w:rPr>
          <w:rFonts w:hint="eastAsia" w:eastAsia="宋体"/>
          <w:kern w:val="2"/>
          <w:sz w:val="21"/>
          <w:lang w:eastAsia="zh-CN"/>
        </w:rPr>
        <w:t>不同投标人委托同一单位或者个人办理投标事宜；</w:t>
      </w:r>
    </w:p>
    <w:p w14:paraId="1CF7972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32.4.3不同投标人的投标文件载明的项目管理成员或者联系人员为同一人；</w:t>
      </w:r>
    </w:p>
    <w:p w14:paraId="020B038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32.4.4不同投标人的投标文件异常一致或者投标报价呈规律性差异；</w:t>
      </w:r>
    </w:p>
    <w:p w14:paraId="77FE785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32.4.5</w:t>
      </w:r>
      <w:r>
        <w:rPr>
          <w:rFonts w:eastAsia="宋体"/>
          <w:kern w:val="2"/>
          <w:sz w:val="21"/>
          <w:lang w:eastAsia="zh-CN"/>
        </w:rPr>
        <w:t>不同投标供应商的投标文件或部分投标文件相互混装</w:t>
      </w:r>
      <w:r>
        <w:rPr>
          <w:rFonts w:hint="eastAsia" w:eastAsia="宋体"/>
          <w:kern w:val="2"/>
          <w:sz w:val="21"/>
          <w:lang w:eastAsia="zh-CN"/>
        </w:rPr>
        <w:t>；</w:t>
      </w:r>
    </w:p>
    <w:p w14:paraId="04F9EC2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32.4.6投标供应商之间相互约定给予未中标的供应商利益补偿；</w:t>
      </w:r>
    </w:p>
    <w:p w14:paraId="1315D10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32.4.7不同投标供应商的法定代表人、主要经营负责人、项目投标授权代表人、项目负责人、主要技术人员为同一人、属同一单位或者同一单位缴纳社会保险；</w:t>
      </w:r>
    </w:p>
    <w:p w14:paraId="5D58876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32.4.8不同投标供应商的投标文件内容存在非正常一致；</w:t>
      </w:r>
    </w:p>
    <w:p w14:paraId="1498F7F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32.4.9在同一单位工作人员为两家以上（含两家）供应商进行同一项投标活动；</w:t>
      </w:r>
    </w:p>
    <w:p w14:paraId="3F3AA02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32.4.10主管部门依照法律、法规认定的其他情形。</w:t>
      </w:r>
    </w:p>
    <w:p w14:paraId="451EBAE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32.5对不属于《资格性审查表》和《符合性审查表》所列的其他情形，除专用条款另有规定和32.4条款所列情形外，不得作为投标无效的理由。</w:t>
      </w:r>
    </w:p>
    <w:p w14:paraId="338A07A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33．澄清有关问题</w:t>
      </w:r>
    </w:p>
    <w:p w14:paraId="07BB3FCE">
      <w:pPr>
        <w:widowControl/>
        <w:wordWrap w:val="0"/>
        <w:autoSpaceDE w:val="0"/>
        <w:autoSpaceDN w:val="0"/>
        <w:spacing w:line="400" w:lineRule="exact"/>
        <w:ind w:right="808" w:firstLine="420" w:firstLineChars="200"/>
        <w:jc w:val="both"/>
        <w:rPr>
          <w:rFonts w:eastAsia="宋体"/>
          <w:kern w:val="2"/>
          <w:sz w:val="21"/>
          <w:lang w:eastAsia="zh-CN"/>
        </w:rPr>
      </w:pPr>
      <w:bookmarkStart w:id="86" w:name="_Hlk71407321"/>
      <w:r>
        <w:rPr>
          <w:rFonts w:hint="eastAsia" w:eastAsia="宋体"/>
          <w:kern w:val="2"/>
          <w:sz w:val="21"/>
          <w:lang w:eastAsia="zh-CN"/>
        </w:rPr>
        <w:t>3</w:t>
      </w:r>
      <w:r>
        <w:rPr>
          <w:rFonts w:eastAsia="宋体"/>
          <w:kern w:val="2"/>
          <w:sz w:val="21"/>
          <w:lang w:eastAsia="zh-CN"/>
        </w:rPr>
        <w:t>3.1</w:t>
      </w:r>
      <w:r>
        <w:rPr>
          <w:rFonts w:hint="eastAsia" w:eastAsia="宋体"/>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eastAsia="宋体"/>
          <w:kern w:val="2"/>
          <w:sz w:val="21"/>
          <w:lang w:eastAsia="zh-CN"/>
        </w:rPr>
        <w:t>，评审委员会有权进行评判，但对同一条款的评判应适用于每个投标人。</w:t>
      </w:r>
      <w:bookmarkEnd w:id="86"/>
    </w:p>
    <w:p w14:paraId="4BEC109D">
      <w:pPr>
        <w:widowControl/>
        <w:wordWrap w:val="0"/>
        <w:autoSpaceDE w:val="0"/>
        <w:autoSpaceDN w:val="0"/>
        <w:spacing w:line="400" w:lineRule="exact"/>
        <w:ind w:right="808" w:firstLine="420" w:firstLineChars="200"/>
        <w:jc w:val="both"/>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3.2</w:t>
      </w:r>
      <w:r>
        <w:rPr>
          <w:rFonts w:eastAsia="宋体"/>
          <w:kern w:val="2"/>
          <w:sz w:val="21"/>
          <w:lang w:eastAsia="zh-CN"/>
        </w:rPr>
        <w:t>评</w:t>
      </w:r>
      <w:r>
        <w:rPr>
          <w:rFonts w:hint="eastAsia" w:eastAsia="宋体"/>
          <w:kern w:val="2"/>
          <w:sz w:val="21"/>
          <w:lang w:eastAsia="zh-CN"/>
        </w:rPr>
        <w:t>审</w:t>
      </w:r>
      <w:r>
        <w:rPr>
          <w:rFonts w:eastAsia="宋体"/>
          <w:kern w:val="2"/>
          <w:sz w:val="21"/>
          <w:lang w:eastAsia="zh-CN"/>
        </w:rPr>
        <w:t>委员会发现招标文件存在歧义、重大缺陷导致评</w:t>
      </w:r>
      <w:r>
        <w:rPr>
          <w:rFonts w:hint="eastAsia" w:eastAsia="宋体"/>
          <w:kern w:val="2"/>
          <w:sz w:val="21"/>
          <w:lang w:eastAsia="zh-CN"/>
        </w:rPr>
        <w:t>审</w:t>
      </w:r>
      <w:r>
        <w:rPr>
          <w:rFonts w:eastAsia="宋体"/>
          <w:kern w:val="2"/>
          <w:sz w:val="21"/>
          <w:lang w:eastAsia="zh-CN"/>
        </w:rPr>
        <w:t>工作无法进行，或者招标文件内容违反国家有关强制性规定的，应当停止评</w:t>
      </w:r>
      <w:r>
        <w:rPr>
          <w:rFonts w:hint="eastAsia" w:eastAsia="宋体"/>
          <w:kern w:val="2"/>
          <w:sz w:val="21"/>
          <w:lang w:eastAsia="zh-CN"/>
        </w:rPr>
        <w:t>审</w:t>
      </w:r>
      <w:r>
        <w:rPr>
          <w:rFonts w:eastAsia="宋体"/>
          <w:kern w:val="2"/>
          <w:sz w:val="21"/>
          <w:lang w:eastAsia="zh-CN"/>
        </w:rPr>
        <w:t>工作，与</w:t>
      </w:r>
      <w:r>
        <w:rPr>
          <w:rFonts w:hint="eastAsia" w:eastAsia="宋体"/>
          <w:kern w:val="2"/>
          <w:sz w:val="21"/>
          <w:lang w:eastAsia="zh-CN"/>
        </w:rPr>
        <w:t>采购代理机构</w:t>
      </w:r>
      <w:r>
        <w:rPr>
          <w:rFonts w:eastAsia="宋体"/>
          <w:kern w:val="2"/>
          <w:sz w:val="21"/>
          <w:lang w:eastAsia="zh-CN"/>
        </w:rPr>
        <w:t>沟通并作书面记录。</w:t>
      </w:r>
      <w:r>
        <w:rPr>
          <w:rFonts w:hint="eastAsia" w:eastAsia="宋体"/>
          <w:kern w:val="2"/>
          <w:sz w:val="21"/>
          <w:lang w:eastAsia="zh-CN"/>
        </w:rPr>
        <w:t>经</w:t>
      </w:r>
      <w:r>
        <w:rPr>
          <w:rFonts w:eastAsia="宋体"/>
          <w:kern w:val="2"/>
          <w:sz w:val="21"/>
          <w:lang w:eastAsia="zh-CN"/>
        </w:rPr>
        <w:t>确认后，</w:t>
      </w:r>
      <w:r>
        <w:rPr>
          <w:rFonts w:hint="eastAsia" w:eastAsia="宋体"/>
          <w:kern w:val="2"/>
          <w:sz w:val="21"/>
          <w:lang w:eastAsia="zh-CN"/>
        </w:rPr>
        <w:t>项目</w:t>
      </w:r>
      <w:r>
        <w:rPr>
          <w:rFonts w:eastAsia="宋体"/>
          <w:kern w:val="2"/>
          <w:sz w:val="21"/>
          <w:lang w:eastAsia="zh-CN"/>
        </w:rPr>
        <w:t>应当修改招标文件，重新组织采购活动。</w:t>
      </w:r>
    </w:p>
    <w:p w14:paraId="0BC70B10">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hint="eastAsia" w:eastAsia="宋体"/>
          <w:kern w:val="2"/>
          <w:sz w:val="21"/>
          <w:lang w:eastAsia="zh-CN"/>
        </w:rPr>
        <w:t>对于投标文件中含义不明确、同类问题表述不一致或者有明显文字和计算错误的内容，评审委员会应当以书面形式要求投标人作出必要的澄清、说明或者补正。</w:t>
      </w:r>
    </w:p>
    <w:p w14:paraId="1A1C999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8848A8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根据本通用条款第34条，凡属于评审委员会在评审中发现的算术错误进行核实的修改不在此列。</w:t>
      </w:r>
    </w:p>
    <w:p w14:paraId="7A4151B0">
      <w:pPr>
        <w:widowControl/>
        <w:wordWrap w:val="0"/>
        <w:autoSpaceDE w:val="0"/>
        <w:autoSpaceDN w:val="0"/>
        <w:spacing w:line="400" w:lineRule="exact"/>
        <w:ind w:right="808" w:firstLine="420" w:firstLineChars="200"/>
        <w:jc w:val="both"/>
        <w:rPr>
          <w:rFonts w:eastAsia="宋体"/>
          <w:kern w:val="2"/>
          <w:sz w:val="21"/>
          <w:lang w:eastAsia="zh-CN"/>
        </w:rPr>
      </w:pPr>
      <w:bookmarkStart w:id="87" w:name="_Toc73517673"/>
      <w:bookmarkStart w:id="88" w:name="_Toc73518151"/>
      <w:bookmarkStart w:id="89" w:name="_Toc73521581"/>
      <w:bookmarkStart w:id="90" w:name="_Toc73521669"/>
      <w:bookmarkStart w:id="91" w:name="_Toc100052400"/>
      <w:r>
        <w:rPr>
          <w:rFonts w:hint="eastAsia" w:eastAsia="宋体"/>
          <w:kern w:val="2"/>
          <w:sz w:val="21"/>
          <w:lang w:eastAsia="zh-CN"/>
        </w:rPr>
        <w:t>34．错误的修正</w:t>
      </w:r>
      <w:bookmarkEnd w:id="87"/>
      <w:bookmarkEnd w:id="88"/>
      <w:bookmarkEnd w:id="89"/>
      <w:bookmarkEnd w:id="90"/>
      <w:bookmarkEnd w:id="91"/>
    </w:p>
    <w:p w14:paraId="261AA35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投标文件报价出现前后不一致的，除专用条款另有规定外，按照下列规定修正：</w:t>
      </w:r>
    </w:p>
    <w:p w14:paraId="67007A9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34.1投标文件中开标一览表投标报价内容与投标文件中投标报价相应内容不一致的，以开标一览表为准；</w:t>
      </w:r>
    </w:p>
    <w:p w14:paraId="695443A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34.2大写金额和小写金额不一致的，以大写金额为准；</w:t>
      </w:r>
    </w:p>
    <w:p w14:paraId="128FF2A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34.3单价金额小数点或者百分比有明显错位，以开标一览表的总价为准，并修改单价；</w:t>
      </w:r>
    </w:p>
    <w:p w14:paraId="3803FB7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34.4总价金额与按单价汇总金额不一致的，以单价金额计算结果为准。</w:t>
      </w:r>
    </w:p>
    <w:p w14:paraId="7C41618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34.5同时出现两种以上不一致的，按照前款规定的顺序修正。修正后的报价按照本通用条款33条的规定，经投标人确认后产生约束力，投标人不确认的，其投标无效。</w:t>
      </w:r>
    </w:p>
    <w:p w14:paraId="324E838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35．投标文件的比较与评价</w:t>
      </w:r>
    </w:p>
    <w:p w14:paraId="2598ED7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B2CD03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评审委员会成员对需要共同认定的事项存在争议的，应当按照少数服从多数的原则作出结论。持不同意见的评审委员会成员应当书面作出说明，否则视为无异议。</w:t>
      </w:r>
    </w:p>
    <w:p w14:paraId="3A1FCDC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36.实地考察或资料查验</w:t>
      </w:r>
    </w:p>
    <w:p w14:paraId="1D05A5C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36.1在评审过程中，评审委员会有权决定是否对本项目投标人进行实地考察或资料查验（原件）。投标人应随时做好接受实地考察或资料查验的准备。</w:t>
      </w:r>
    </w:p>
    <w:p w14:paraId="7AE26E6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37．评审方法</w:t>
      </w:r>
    </w:p>
    <w:p w14:paraId="6DBDF567">
      <w:pPr>
        <w:widowControl/>
        <w:wordWrap w:val="0"/>
        <w:autoSpaceDE w:val="0"/>
        <w:autoSpaceDN w:val="0"/>
        <w:spacing w:line="400" w:lineRule="exact"/>
        <w:ind w:right="808" w:firstLine="420" w:firstLineChars="200"/>
        <w:jc w:val="both"/>
        <w:rPr>
          <w:rFonts w:eastAsia="宋体"/>
          <w:kern w:val="2"/>
          <w:sz w:val="21"/>
          <w:lang w:eastAsia="zh-CN"/>
        </w:rPr>
      </w:pPr>
      <w:bookmarkStart w:id="92" w:name="_Hlk72438142"/>
      <w:r>
        <w:rPr>
          <w:rFonts w:hint="eastAsia" w:eastAsia="宋体"/>
          <w:kern w:val="2"/>
          <w:sz w:val="21"/>
          <w:lang w:eastAsia="zh-CN"/>
        </w:rPr>
        <w:t>37.1.1最低价法</w:t>
      </w:r>
    </w:p>
    <w:p w14:paraId="3739767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最低价法，是指完全满足招标文件实质性要求，按照报价由低到高的顺序，依据招标文件中规定的数量或者比例推荐候选中标供应商。</w:t>
      </w:r>
    </w:p>
    <w:p w14:paraId="4E5DB8A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37.1.2综合评分法</w:t>
      </w:r>
    </w:p>
    <w:bookmarkEnd w:id="92"/>
    <w:p w14:paraId="7BCAB49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综合评分法，是指在满足招标文件全部实质性要求的前提下，按照招标文件中规定的各项因素进行综合评审，评审总得分排名前列的投标人，作为推荐的候选中标供应商。</w:t>
      </w:r>
    </w:p>
    <w:p w14:paraId="5EF1C99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37.2本项目采用的评审方法见本项目招标文件第一册“专用条款”的相关内容。</w:t>
      </w:r>
    </w:p>
    <w:p w14:paraId="7FA78A0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37.3重新评审的情形</w:t>
      </w:r>
    </w:p>
    <w:p w14:paraId="2AB9624B">
      <w:pPr>
        <w:widowControl/>
        <w:wordWrap w:val="0"/>
        <w:autoSpaceDE w:val="0"/>
        <w:autoSpaceDN w:val="0"/>
        <w:spacing w:line="400" w:lineRule="exact"/>
        <w:ind w:right="808" w:firstLine="420" w:firstLineChars="200"/>
        <w:jc w:val="both"/>
        <w:rPr>
          <w:rFonts w:eastAsia="宋体"/>
          <w:b/>
          <w:bCs/>
          <w:kern w:val="2"/>
          <w:sz w:val="21"/>
          <w:lang w:eastAsia="zh-CN"/>
        </w:rPr>
      </w:pPr>
      <w:r>
        <w:rPr>
          <w:rFonts w:hint="eastAsia" w:eastAsia="宋体"/>
          <w:sz w:val="21"/>
          <w:lang w:eastAsia="zh-CN"/>
        </w:rPr>
        <w:t>评审结果汇总完成后，除下列情形外，任何人不得修改评审结果：</w:t>
      </w:r>
    </w:p>
    <w:p w14:paraId="59D81D37">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37.3.1分值汇总计算错误的；</w:t>
      </w:r>
    </w:p>
    <w:p w14:paraId="2572B6BB">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37.3.2分项评分超出评分标准范围的；</w:t>
      </w:r>
    </w:p>
    <w:p w14:paraId="1E15106B">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37.3.3评审委员会成员对客观评审因素评分不一致的；</w:t>
      </w:r>
    </w:p>
    <w:p w14:paraId="4EE3CC7E">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37.3.4经评审委员会认定评分畸高、畸低的。</w:t>
      </w:r>
    </w:p>
    <w:p w14:paraId="7BC740AE">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6F99E4A4">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投标人对本条第一款情形提出质疑的，采购人或者采购代理机构可以组织原评审委员会进行重新评审，重新评审改变评审结果的，应当书面报告本级财政部门。</w:t>
      </w:r>
    </w:p>
    <w:p w14:paraId="0AA29F4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37.4重新组建评审委员会的情形</w:t>
      </w:r>
    </w:p>
    <w:p w14:paraId="62C7B8BA">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评审委员会或者其成员存在下列情形导致评审结果无效的，重新组建评审委员会进行评标，并书面报告本级财政部门：</w:t>
      </w:r>
    </w:p>
    <w:p w14:paraId="3B8044E8">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37.4.1评审委员会组成不符合《政府采购货物和服务招标投标管理办法》规定的；</w:t>
      </w:r>
    </w:p>
    <w:p w14:paraId="085A9D80">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37.4.2有《政府采购货物和服务招标投标管理办法》第六十二条第一至五项情形的；</w:t>
      </w:r>
    </w:p>
    <w:p w14:paraId="6536B4E6">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37.4.3评审委员会及其成员独立评标受到非法干预的；</w:t>
      </w:r>
    </w:p>
    <w:p w14:paraId="17B53FDC">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37.4.4有政府采购法实施条例第七十五条规定的违法行为的。</w:t>
      </w:r>
    </w:p>
    <w:p w14:paraId="7EF05626">
      <w:pPr>
        <w:widowControl/>
        <w:wordWrap w:val="0"/>
        <w:autoSpaceDE w:val="0"/>
        <w:autoSpaceDN w:val="0"/>
        <w:spacing w:line="400" w:lineRule="exact"/>
        <w:ind w:right="808" w:firstLine="420" w:firstLineChars="200"/>
        <w:jc w:val="both"/>
        <w:rPr>
          <w:rFonts w:eastAsia="宋体"/>
          <w:sz w:val="21"/>
          <w:lang w:eastAsia="zh-CN"/>
        </w:rPr>
      </w:pPr>
      <w:r>
        <w:rPr>
          <w:rFonts w:hint="eastAsia" w:eastAsia="宋体"/>
          <w:sz w:val="21"/>
          <w:lang w:eastAsia="zh-CN"/>
        </w:rPr>
        <w:t>有违法违规行为的原评审委员会成员不得参加重新组建的评审委员会。</w:t>
      </w:r>
    </w:p>
    <w:p w14:paraId="229FF0F2">
      <w:pPr>
        <w:widowControl/>
        <w:wordWrap w:val="0"/>
        <w:autoSpaceDE w:val="0"/>
        <w:autoSpaceDN w:val="0"/>
        <w:spacing w:line="360" w:lineRule="auto"/>
        <w:ind w:right="808" w:firstLine="482" w:firstLineChars="200"/>
        <w:jc w:val="both"/>
        <w:rPr>
          <w:rFonts w:eastAsia="宋体"/>
          <w:b/>
          <w:kern w:val="2"/>
          <w:lang w:eastAsia="zh-CN"/>
        </w:rPr>
      </w:pPr>
    </w:p>
    <w:p w14:paraId="688F5214">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93" w:name="第八章1"/>
      <w:bookmarkEnd w:id="93"/>
      <w:bookmarkStart w:id="94" w:name="_Toc26094"/>
      <w:bookmarkStart w:id="95" w:name="_Toc1513"/>
      <w:bookmarkStart w:id="96" w:name="_Toc30568"/>
      <w:bookmarkStart w:id="97" w:name="_Toc13341"/>
      <w:r>
        <w:rPr>
          <w:rFonts w:hint="eastAsia" w:ascii="Arial" w:hAnsi="Arial" w:eastAsia="宋体"/>
          <w:b/>
          <w:kern w:val="2"/>
          <w:sz w:val="32"/>
          <w:lang w:eastAsia="zh-CN"/>
        </w:rPr>
        <w:t>第八章</w:t>
      </w:r>
      <w:bookmarkStart w:id="98" w:name="_Toc24537"/>
      <w:r>
        <w:rPr>
          <w:rFonts w:hint="eastAsia" w:ascii="Arial" w:hAnsi="Arial" w:eastAsia="宋体"/>
          <w:b/>
          <w:kern w:val="2"/>
          <w:sz w:val="32"/>
          <w:lang w:eastAsia="zh-CN"/>
        </w:rPr>
        <w:t xml:space="preserve">  定标及公示</w:t>
      </w:r>
      <w:bookmarkEnd w:id="94"/>
      <w:bookmarkEnd w:id="95"/>
      <w:bookmarkEnd w:id="96"/>
      <w:bookmarkEnd w:id="97"/>
      <w:bookmarkEnd w:id="98"/>
    </w:p>
    <w:p w14:paraId="1F2F7C0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38．定标方法</w:t>
      </w:r>
    </w:p>
    <w:p w14:paraId="34CAEA6C">
      <w:pPr>
        <w:widowControl/>
        <w:wordWrap w:val="0"/>
        <w:autoSpaceDE w:val="0"/>
        <w:autoSpaceDN w:val="0"/>
        <w:spacing w:line="400" w:lineRule="exact"/>
        <w:ind w:right="808" w:firstLine="420" w:firstLineChars="200"/>
        <w:jc w:val="both"/>
        <w:rPr>
          <w:rFonts w:eastAsia="宋体"/>
          <w:kern w:val="2"/>
          <w:sz w:val="21"/>
          <w:lang w:eastAsia="zh-CN"/>
        </w:rPr>
      </w:pPr>
      <w:bookmarkStart w:id="99" w:name="_Hlk73782795"/>
      <w:r>
        <w:rPr>
          <w:rFonts w:hint="eastAsia" w:eastAsia="宋体"/>
          <w:kern w:val="2"/>
          <w:sz w:val="21"/>
          <w:lang w:eastAsia="zh-CN"/>
        </w:rPr>
        <w:t>38.1非评定分离项目定标方法</w:t>
      </w:r>
    </w:p>
    <w:p w14:paraId="0FD526A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w:t>
      </w:r>
      <w:r>
        <w:rPr>
          <w:rFonts w:eastAsia="宋体"/>
          <w:kern w:val="2"/>
          <w:sz w:val="21"/>
          <w:lang w:eastAsia="zh-CN"/>
        </w:rPr>
        <w:t>.</w:t>
      </w:r>
      <w:r>
        <w:rPr>
          <w:rFonts w:hint="eastAsia" w:eastAsia="宋体"/>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14:paraId="62C00F1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14:paraId="69467E7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5B46E60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38.2评定分离项目定标方法</w:t>
      </w:r>
    </w:p>
    <w:p w14:paraId="165DA33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141D642">
      <w:pPr>
        <w:widowControl/>
        <w:wordWrap w:val="0"/>
        <w:autoSpaceDE w:val="0"/>
        <w:autoSpaceDN w:val="0"/>
        <w:spacing w:line="400" w:lineRule="exact"/>
        <w:ind w:right="808" w:firstLine="420" w:firstLineChars="200"/>
        <w:jc w:val="both"/>
        <w:rPr>
          <w:rFonts w:eastAsia="宋体"/>
          <w:kern w:val="2"/>
          <w:sz w:val="21"/>
          <w:lang w:eastAsia="zh-CN"/>
        </w:rPr>
      </w:pPr>
      <w:r>
        <w:rPr>
          <w:rFonts w:ascii="宋体" w:hAnsi="宋体" w:eastAsia="宋体"/>
          <w:kern w:val="2"/>
          <w:sz w:val="21"/>
          <w:szCs w:val="21"/>
          <w:lang w:eastAsia="zh-CN"/>
        </w:rPr>
        <w:t>38.2.2</w:t>
      </w:r>
      <w:bookmarkStart w:id="100" w:name="_Hlk71469733"/>
      <w:r>
        <w:rPr>
          <w:rFonts w:eastAsia="宋体"/>
          <w:kern w:val="2"/>
          <w:sz w:val="21"/>
          <w:lang w:eastAsia="zh-CN"/>
        </w:rPr>
        <w:t>适用评定分离的政府采购项目，采用综合评分法评</w:t>
      </w:r>
      <w:r>
        <w:rPr>
          <w:rFonts w:hint="eastAsia" w:eastAsia="宋体"/>
          <w:kern w:val="2"/>
          <w:sz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lang w:eastAsia="zh-CN"/>
        </w:rPr>
        <w:t>三个合格的候选中标供应商。</w:t>
      </w:r>
    </w:p>
    <w:p w14:paraId="7542679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38.2.3</w:t>
      </w:r>
      <w:bookmarkStart w:id="101" w:name="_Hlk71469688"/>
      <w:r>
        <w:rPr>
          <w:rFonts w:eastAsia="宋体"/>
          <w:kern w:val="2"/>
          <w:sz w:val="21"/>
          <w:lang w:eastAsia="zh-CN"/>
        </w:rPr>
        <w:t>适用评定分离的政府采购项目，</w:t>
      </w:r>
      <w:r>
        <w:rPr>
          <w:rFonts w:hint="eastAsia" w:eastAsia="宋体"/>
          <w:kern w:val="2"/>
          <w:sz w:val="21"/>
          <w:lang w:eastAsia="zh-CN"/>
        </w:rPr>
        <w:t>按照自定法确定中标供应商：自定法是指采购人组织定标委员会，由定标委员会在三家候选中标供应商中确定中标供应商。</w:t>
      </w:r>
      <w:bookmarkEnd w:id="100"/>
      <w:bookmarkEnd w:id="101"/>
    </w:p>
    <w:p w14:paraId="2D113878">
      <w:pPr>
        <w:widowControl/>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hint="eastAsia" w:eastAsia="宋体"/>
          <w:kern w:val="2"/>
          <w:sz w:val="21"/>
          <w:lang w:eastAsia="zh-CN"/>
        </w:rPr>
        <w:t>采购代理机构。具体定标程序及相关要求以按照《</w:t>
      </w:r>
      <w:r>
        <w:rPr>
          <w:rFonts w:eastAsia="宋体"/>
          <w:kern w:val="2"/>
          <w:sz w:val="21"/>
          <w:lang w:eastAsia="zh-CN"/>
        </w:rPr>
        <w:t>深圳市财政局关于印发</w:t>
      </w:r>
      <w:r>
        <w:rPr>
          <w:rFonts w:hint="eastAsia" w:ascii="宋体" w:hAnsi="宋体" w:eastAsia="宋体"/>
          <w:kern w:val="2"/>
          <w:sz w:val="21"/>
          <w:lang w:eastAsia="zh-CN"/>
        </w:rPr>
        <w:t>〈</w:t>
      </w:r>
      <w:r>
        <w:rPr>
          <w:rFonts w:eastAsia="宋体"/>
          <w:kern w:val="2"/>
          <w:sz w:val="21"/>
          <w:lang w:eastAsia="zh-CN"/>
        </w:rPr>
        <w:t>深圳市政府采购评标定标分离管理办法</w:t>
      </w:r>
      <w:r>
        <w:rPr>
          <w:rFonts w:hint="eastAsia" w:ascii="宋体" w:hAnsi="宋体" w:eastAsia="宋体"/>
          <w:kern w:val="2"/>
          <w:sz w:val="21"/>
          <w:lang w:eastAsia="zh-CN"/>
        </w:rPr>
        <w:t>〉</w:t>
      </w:r>
      <w:r>
        <w:rPr>
          <w:rFonts w:eastAsia="宋体"/>
          <w:kern w:val="2"/>
          <w:sz w:val="21"/>
          <w:lang w:eastAsia="zh-CN"/>
        </w:rPr>
        <w:t>的通知</w:t>
      </w:r>
      <w:r>
        <w:rPr>
          <w:rFonts w:hint="eastAsia" w:eastAsia="宋体"/>
          <w:kern w:val="2"/>
          <w:sz w:val="21"/>
          <w:lang w:eastAsia="zh-CN"/>
        </w:rPr>
        <w:t>》（深财规【2</w:t>
      </w:r>
      <w:r>
        <w:rPr>
          <w:rFonts w:eastAsia="宋体"/>
          <w:kern w:val="2"/>
          <w:sz w:val="21"/>
          <w:lang w:eastAsia="zh-CN"/>
        </w:rPr>
        <w:t>020</w:t>
      </w:r>
      <w:r>
        <w:rPr>
          <w:rFonts w:hint="eastAsia" w:eastAsia="宋体"/>
          <w:kern w:val="2"/>
          <w:sz w:val="21"/>
          <w:lang w:eastAsia="zh-CN"/>
        </w:rPr>
        <w:t>】1号）执行。</w:t>
      </w:r>
    </w:p>
    <w:p w14:paraId="514B3AF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说明：采购人及投标供应商应按照上述方法提前做好相关准备。</w:t>
      </w:r>
    </w:p>
    <w:p w14:paraId="50E8AC6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38.3专用条款另有规定的，按专用条款相关要求定标。</w:t>
      </w:r>
      <w:bookmarkEnd w:id="99"/>
    </w:p>
    <w:p w14:paraId="63DD20F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39．编写评审报告</w:t>
      </w:r>
    </w:p>
    <w:p w14:paraId="21B82D7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0524AD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40．中标公告</w:t>
      </w:r>
    </w:p>
    <w:p w14:paraId="455D87D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40.1</w:t>
      </w:r>
      <w:bookmarkStart w:id="102" w:name="_Hlk72438709"/>
      <w:r>
        <w:rPr>
          <w:rFonts w:hint="eastAsia" w:eastAsia="宋体"/>
          <w:kern w:val="2"/>
          <w:sz w:val="21"/>
          <w:lang w:eastAsia="zh-CN"/>
        </w:rPr>
        <w:t>为体现“公开、公平、公正”的原则，评审结束后经采购人确认（确定）评审结果，采购代理机构将在</w:t>
      </w:r>
      <w:r>
        <w:rPr>
          <w:rFonts w:hint="eastAsia" w:eastAsia="宋体"/>
          <w:b/>
          <w:bCs/>
          <w:kern w:val="2"/>
          <w:sz w:val="21"/>
          <w:lang w:eastAsia="zh-CN"/>
        </w:rPr>
        <w:t>深圳政府采购自行采购系统（https://zxcg.szggzy.com/home/index.html）</w:t>
      </w:r>
      <w:r>
        <w:rPr>
          <w:rFonts w:hint="eastAsia" w:eastAsia="宋体"/>
          <w:kern w:val="2"/>
          <w:sz w:val="21"/>
          <w:lang w:eastAsia="zh-CN"/>
        </w:rPr>
        <w:t>上发布中标结果公告。</w:t>
      </w:r>
      <w:bookmarkEnd w:id="102"/>
      <w:bookmarkStart w:id="103" w:name="_Hlk72438751"/>
      <w:r>
        <w:rPr>
          <w:rFonts w:hint="eastAsia" w:eastAsia="宋体"/>
          <w:kern w:val="2"/>
          <w:sz w:val="21"/>
          <w:lang w:eastAsia="zh-CN"/>
        </w:rPr>
        <w:t>供应商如对评审结果有异议，</w:t>
      </w:r>
      <w:r>
        <w:rPr>
          <w:rFonts w:eastAsia="宋体"/>
          <w:kern w:val="2"/>
          <w:sz w:val="21"/>
          <w:lang w:eastAsia="zh-CN"/>
        </w:rPr>
        <w:t>可在发布公示日期起</w:t>
      </w:r>
      <w:r>
        <w:rPr>
          <w:rFonts w:hint="eastAsia" w:eastAsia="宋体"/>
          <w:kern w:val="2"/>
          <w:sz w:val="21"/>
          <w:lang w:eastAsia="zh-CN"/>
        </w:rPr>
        <w:t>七</w:t>
      </w:r>
      <w:r>
        <w:rPr>
          <w:rFonts w:eastAsia="宋体"/>
          <w:kern w:val="2"/>
          <w:sz w:val="21"/>
          <w:lang w:eastAsia="zh-CN"/>
        </w:rPr>
        <w:t>个工作日内向</w:t>
      </w:r>
      <w:r>
        <w:rPr>
          <w:rFonts w:hint="eastAsia" w:eastAsia="宋体"/>
          <w:kern w:val="2"/>
          <w:sz w:val="21"/>
          <w:lang w:eastAsia="zh-CN"/>
        </w:rPr>
        <w:t>采购代理机构</w:t>
      </w:r>
      <w:r>
        <w:rPr>
          <w:rFonts w:eastAsia="宋体"/>
          <w:kern w:val="2"/>
          <w:sz w:val="21"/>
          <w:lang w:eastAsia="zh-CN"/>
        </w:rPr>
        <w:t>提出。监督电话：0755-21070507。</w:t>
      </w:r>
      <w:r>
        <w:rPr>
          <w:rFonts w:hint="eastAsia" w:eastAsia="宋体"/>
          <w:kern w:val="2"/>
          <w:sz w:val="21"/>
          <w:lang w:eastAsia="zh-CN"/>
        </w:rPr>
        <w:t>若在公示期内未提出质疑，则视为认同该评审结果。</w:t>
      </w:r>
    </w:p>
    <w:bookmarkEnd w:id="103"/>
    <w:p w14:paraId="6D7E411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40.2质疑、投诉供应商应保证质疑、投诉内容的真实性和可靠性，并承担相应的法律责任。</w:t>
      </w:r>
    </w:p>
    <w:p w14:paraId="4F361FA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41．中标通知书</w:t>
      </w:r>
    </w:p>
    <w:p w14:paraId="57806279">
      <w:pPr>
        <w:widowControl/>
        <w:wordWrap w:val="0"/>
        <w:autoSpaceDE w:val="0"/>
        <w:autoSpaceDN w:val="0"/>
        <w:spacing w:line="400" w:lineRule="exact"/>
        <w:ind w:right="808" w:firstLine="420" w:firstLineChars="200"/>
        <w:jc w:val="both"/>
        <w:rPr>
          <w:rFonts w:eastAsia="宋体"/>
          <w:kern w:val="2"/>
          <w:sz w:val="21"/>
          <w:szCs w:val="21"/>
          <w:lang w:eastAsia="zh-CN"/>
        </w:rPr>
      </w:pPr>
      <w:r>
        <w:rPr>
          <w:rFonts w:hint="eastAsia" w:eastAsia="宋体"/>
          <w:kern w:val="2"/>
          <w:sz w:val="21"/>
          <w:szCs w:val="21"/>
          <w:lang w:eastAsia="zh-CN"/>
        </w:rPr>
        <w:t>41</w:t>
      </w:r>
      <w:r>
        <w:rPr>
          <w:rFonts w:eastAsia="宋体"/>
          <w:kern w:val="2"/>
          <w:sz w:val="21"/>
          <w:szCs w:val="21"/>
          <w:lang w:eastAsia="zh-CN"/>
        </w:rPr>
        <w:t>.</w:t>
      </w:r>
      <w:r>
        <w:rPr>
          <w:rFonts w:hint="eastAsia" w:eastAsia="宋体"/>
          <w:kern w:val="2"/>
          <w:sz w:val="21"/>
          <w:szCs w:val="21"/>
          <w:lang w:eastAsia="zh-CN"/>
        </w:rPr>
        <w:t>1</w:t>
      </w:r>
      <w:bookmarkStart w:id="104" w:name="_Hlk72438863"/>
      <w:r>
        <w:rPr>
          <w:rFonts w:hint="eastAsia" w:eastAsia="宋体"/>
          <w:kern w:val="2"/>
          <w:sz w:val="21"/>
          <w:szCs w:val="21"/>
          <w:lang w:eastAsia="zh-CN"/>
        </w:rPr>
        <w:t>中标公告公布以后无异常的情况下，中标供应商和采购人可自行登录</w:t>
      </w:r>
      <w:r>
        <w:rPr>
          <w:rFonts w:hint="eastAsia" w:eastAsia="宋体"/>
          <w:b/>
          <w:bCs/>
          <w:kern w:val="2"/>
          <w:sz w:val="21"/>
          <w:szCs w:val="21"/>
          <w:lang w:eastAsia="zh-CN"/>
        </w:rPr>
        <w:t>“</w:t>
      </w:r>
      <w:r>
        <w:rPr>
          <w:rFonts w:hint="eastAsia" w:eastAsia="宋体"/>
          <w:kern w:val="2"/>
          <w:sz w:val="21"/>
          <w:lang w:eastAsia="zh-CN"/>
        </w:rPr>
        <w:t>深圳政府采购自行采购系统（https://trade.szggzy.com/ggzy/center/#/login）</w:t>
      </w:r>
      <w:r>
        <w:rPr>
          <w:rFonts w:hint="eastAsia" w:eastAsia="宋体"/>
          <w:b/>
          <w:bCs/>
          <w:kern w:val="2"/>
          <w:sz w:val="21"/>
          <w:szCs w:val="21"/>
          <w:lang w:eastAsia="zh-CN"/>
        </w:rPr>
        <w:t>”</w:t>
      </w:r>
      <w:r>
        <w:rPr>
          <w:rFonts w:hint="eastAsia" w:eastAsia="宋体"/>
          <w:kern w:val="2"/>
          <w:sz w:val="21"/>
          <w:szCs w:val="21"/>
          <w:lang w:eastAsia="zh-CN"/>
        </w:rPr>
        <w:t>上打印</w:t>
      </w:r>
      <w:r>
        <w:rPr>
          <w:rFonts w:hint="eastAsia" w:eastAsia="宋体"/>
          <w:b/>
          <w:kern w:val="2"/>
          <w:sz w:val="21"/>
          <w:szCs w:val="21"/>
          <w:lang w:eastAsia="zh-CN"/>
        </w:rPr>
        <w:t>《数字中标通知书》</w:t>
      </w:r>
      <w:r>
        <w:rPr>
          <w:rFonts w:hint="eastAsia" w:eastAsia="宋体"/>
          <w:kern w:val="2"/>
          <w:sz w:val="21"/>
          <w:szCs w:val="21"/>
          <w:lang w:eastAsia="zh-CN"/>
        </w:rPr>
        <w:t>。</w:t>
      </w:r>
      <w:bookmarkEnd w:id="104"/>
    </w:p>
    <w:p w14:paraId="79AC68C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41</w:t>
      </w:r>
      <w:r>
        <w:rPr>
          <w:rFonts w:eastAsia="宋体"/>
          <w:kern w:val="2"/>
          <w:sz w:val="21"/>
          <w:lang w:eastAsia="zh-CN"/>
        </w:rPr>
        <w:t>.2</w:t>
      </w:r>
      <w:r>
        <w:rPr>
          <w:rFonts w:hint="eastAsia" w:eastAsia="宋体"/>
          <w:kern w:val="2"/>
          <w:sz w:val="21"/>
          <w:lang w:eastAsia="zh-CN"/>
        </w:rPr>
        <w:t>中标通知书是合同的重要组成部分。</w:t>
      </w:r>
    </w:p>
    <w:p w14:paraId="7ABB25E3">
      <w:pPr>
        <w:widowControl/>
        <w:wordWrap w:val="0"/>
        <w:autoSpaceDE w:val="0"/>
        <w:autoSpaceDN w:val="0"/>
        <w:spacing w:line="400" w:lineRule="exact"/>
        <w:ind w:right="808" w:firstLine="420" w:firstLineChars="200"/>
        <w:jc w:val="both"/>
        <w:rPr>
          <w:rFonts w:eastAsia="宋体"/>
          <w:kern w:val="2"/>
          <w:sz w:val="21"/>
          <w:lang w:eastAsia="zh-CN"/>
        </w:rPr>
      </w:pPr>
      <w:bookmarkStart w:id="105" w:name="_Hlk71407340"/>
      <w:r>
        <w:rPr>
          <w:rFonts w:hint="eastAsia" w:eastAsia="宋体"/>
          <w:kern w:val="2"/>
          <w:sz w:val="21"/>
          <w:lang w:eastAsia="zh-CN"/>
        </w:rPr>
        <w:t>41.3因质疑投诉或其它原因导致项目结果变更或采购终止的，采购代理机构有权吊销中标通知书。</w:t>
      </w:r>
    </w:p>
    <w:bookmarkEnd w:id="105"/>
    <w:p w14:paraId="0EDFD237">
      <w:pPr>
        <w:widowControl/>
        <w:wordWrap w:val="0"/>
        <w:autoSpaceDE w:val="0"/>
        <w:autoSpaceDN w:val="0"/>
        <w:spacing w:line="360" w:lineRule="auto"/>
        <w:ind w:right="808" w:firstLine="482" w:firstLineChars="200"/>
        <w:jc w:val="both"/>
        <w:rPr>
          <w:rFonts w:eastAsia="宋体"/>
          <w:b/>
          <w:kern w:val="2"/>
          <w:lang w:eastAsia="zh-CN"/>
        </w:rPr>
      </w:pPr>
    </w:p>
    <w:p w14:paraId="7691AEA9">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106" w:name="第九章1"/>
      <w:bookmarkEnd w:id="106"/>
      <w:bookmarkStart w:id="107" w:name="_Toc24474"/>
      <w:bookmarkStart w:id="108" w:name="_Toc11736"/>
      <w:bookmarkStart w:id="109" w:name="_Toc17412"/>
      <w:bookmarkStart w:id="110" w:name="_Toc25733"/>
      <w:bookmarkStart w:id="111" w:name="_Toc20277"/>
      <w:bookmarkStart w:id="112" w:name="_Toc101074884"/>
      <w:bookmarkStart w:id="113" w:name="_Toc100052407"/>
      <w:bookmarkStart w:id="114" w:name="_Toc73517678"/>
      <w:r>
        <w:rPr>
          <w:rFonts w:hint="eastAsia" w:ascii="Arial" w:hAnsi="Arial" w:eastAsia="宋体"/>
          <w:b/>
          <w:kern w:val="2"/>
          <w:sz w:val="32"/>
          <w:lang w:eastAsia="zh-CN"/>
        </w:rPr>
        <w:t>第九章  公开采购失败的后续处理</w:t>
      </w:r>
      <w:bookmarkEnd w:id="107"/>
      <w:bookmarkEnd w:id="108"/>
      <w:bookmarkEnd w:id="109"/>
      <w:bookmarkEnd w:id="110"/>
      <w:bookmarkEnd w:id="111"/>
    </w:p>
    <w:p w14:paraId="06A85F9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42．公开招标失败的处理</w:t>
      </w:r>
    </w:p>
    <w:p w14:paraId="72D8941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szCs w:val="21"/>
          <w:lang w:eastAsia="zh-CN"/>
        </w:rPr>
        <w:t>42.1本项目公开招标过程中若由于投标截止后</w:t>
      </w:r>
      <w:r>
        <w:rPr>
          <w:rFonts w:hint="eastAsia" w:eastAsia="宋体"/>
          <w:kern w:val="2"/>
          <w:sz w:val="21"/>
          <w:lang w:eastAsia="zh-CN"/>
        </w:rPr>
        <w:t>实际递交</w:t>
      </w:r>
      <w:r>
        <w:rPr>
          <w:rFonts w:eastAsia="宋体"/>
          <w:kern w:val="2"/>
          <w:sz w:val="21"/>
          <w:lang w:eastAsia="zh-CN"/>
        </w:rPr>
        <w:t>投标</w:t>
      </w:r>
      <w:r>
        <w:rPr>
          <w:rFonts w:hint="eastAsia" w:eastAsia="宋体"/>
          <w:kern w:val="2"/>
          <w:sz w:val="21"/>
          <w:lang w:eastAsia="zh-CN"/>
        </w:rPr>
        <w:t>文件的供应商数量不足、经</w:t>
      </w:r>
      <w:r>
        <w:rPr>
          <w:rFonts w:hint="eastAsia" w:eastAsia="宋体"/>
          <w:kern w:val="2"/>
          <w:sz w:val="21"/>
          <w:szCs w:val="21"/>
          <w:lang w:eastAsia="zh-CN"/>
        </w:rPr>
        <w:t>评审委员会</w:t>
      </w:r>
      <w:r>
        <w:rPr>
          <w:rFonts w:hint="eastAsia" w:eastAsia="宋体"/>
          <w:kern w:val="2"/>
          <w:sz w:val="21"/>
          <w:lang w:eastAsia="zh-CN"/>
        </w:rPr>
        <w:t>评审对招标文件作实质响应的供应商不足等原因造成公开招标失败，可由</w:t>
      </w:r>
      <w:r>
        <w:rPr>
          <w:rFonts w:hint="eastAsia" w:eastAsia="宋体" w:cs="宋体"/>
          <w:kern w:val="2"/>
          <w:sz w:val="21"/>
          <w:lang w:eastAsia="zh-CN"/>
        </w:rPr>
        <w:t>采购代理机构</w:t>
      </w:r>
      <w:r>
        <w:rPr>
          <w:rFonts w:hint="eastAsia" w:eastAsia="宋体"/>
          <w:kern w:val="2"/>
          <w:sz w:val="21"/>
          <w:lang w:eastAsia="zh-CN"/>
        </w:rPr>
        <w:t>重新组织采购。</w:t>
      </w:r>
    </w:p>
    <w:p w14:paraId="4C75C90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42.2对公开招标失败的项目，评审委员会在出具该项目招标失败结论的同时，可以提出重新采购组织形式的建议，以及进一步完善招标文件的资格、技术、商务要求的修改建议。</w:t>
      </w:r>
    </w:p>
    <w:p w14:paraId="16F9CF6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42.3重新组织采购有以下两种组织形式：</w:t>
      </w:r>
    </w:p>
    <w:p w14:paraId="0C6BC7E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（1）由采购代理机构重新组织公开招标；</w:t>
      </w:r>
    </w:p>
    <w:p w14:paraId="53EC3BE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（2）根据实际情况需要向同级财政部门提出非公开招标方式申请，经同级财政部门批准，公开招标失败采购项目可转为竞争性谈判或单一来源谈判方式采购。</w:t>
      </w:r>
    </w:p>
    <w:p w14:paraId="2A8FAC8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42.4公开招标失败的采购项目重新组织公开招标，由采购代理机构重新按公开招标流程组织采购活动。</w:t>
      </w:r>
    </w:p>
    <w:p w14:paraId="4FB1B9B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42.5公开招标失败的采购项目经同级财政部门批准转为竞争性谈判或单一来源谈判方式采购的，按规定要求组织政府采购工作。</w:t>
      </w:r>
    </w:p>
    <w:p w14:paraId="05DCF440">
      <w:pPr>
        <w:widowControl/>
        <w:wordWrap w:val="0"/>
        <w:autoSpaceDE w:val="0"/>
        <w:autoSpaceDN w:val="0"/>
        <w:spacing w:line="360" w:lineRule="auto"/>
        <w:ind w:right="808" w:firstLine="482" w:firstLineChars="200"/>
        <w:jc w:val="both"/>
        <w:rPr>
          <w:rFonts w:eastAsia="宋体"/>
          <w:b/>
          <w:kern w:val="2"/>
          <w:lang w:eastAsia="zh-CN"/>
        </w:rPr>
      </w:pPr>
    </w:p>
    <w:bookmarkEnd w:id="112"/>
    <w:bookmarkEnd w:id="113"/>
    <w:bookmarkEnd w:id="114"/>
    <w:p w14:paraId="30DBA623">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115" w:name="第十章1"/>
      <w:bookmarkEnd w:id="115"/>
      <w:bookmarkStart w:id="116" w:name="_Toc26432"/>
      <w:bookmarkStart w:id="117" w:name="_Toc13677"/>
      <w:bookmarkStart w:id="118" w:name="_Toc9122"/>
      <w:bookmarkStart w:id="119" w:name="_Toc27904"/>
      <w:bookmarkStart w:id="120" w:name="_Toc26814"/>
      <w:r>
        <w:rPr>
          <w:rFonts w:hint="eastAsia" w:ascii="Arial" w:hAnsi="Arial" w:eastAsia="宋体"/>
          <w:b/>
          <w:kern w:val="2"/>
          <w:sz w:val="32"/>
          <w:lang w:eastAsia="zh-CN"/>
        </w:rPr>
        <w:t>第十章  合同的授予与备案</w:t>
      </w:r>
      <w:bookmarkEnd w:id="116"/>
      <w:bookmarkEnd w:id="117"/>
      <w:bookmarkEnd w:id="118"/>
      <w:bookmarkEnd w:id="119"/>
      <w:bookmarkEnd w:id="120"/>
    </w:p>
    <w:p w14:paraId="0590C804">
      <w:pPr>
        <w:widowControl/>
        <w:wordWrap w:val="0"/>
        <w:autoSpaceDE w:val="0"/>
        <w:autoSpaceDN w:val="0"/>
        <w:spacing w:line="400" w:lineRule="exact"/>
        <w:ind w:right="808" w:firstLine="420" w:firstLineChars="200"/>
        <w:jc w:val="both"/>
        <w:rPr>
          <w:rFonts w:eastAsia="宋体"/>
          <w:kern w:val="2"/>
          <w:sz w:val="21"/>
          <w:lang w:eastAsia="zh-CN"/>
        </w:rPr>
      </w:pPr>
      <w:bookmarkStart w:id="121" w:name="_33._合同授予标准"/>
      <w:bookmarkEnd w:id="121"/>
      <w:bookmarkStart w:id="122" w:name="_Toc100052408"/>
      <w:bookmarkStart w:id="123" w:name="_Toc73517679"/>
      <w:bookmarkStart w:id="124" w:name="_Toc73521586"/>
      <w:bookmarkStart w:id="125" w:name="_Toc73518157"/>
      <w:bookmarkStart w:id="126" w:name="_Toc73521674"/>
      <w:bookmarkStart w:id="127" w:name="_Hlk72439088"/>
      <w:r>
        <w:rPr>
          <w:rFonts w:hint="eastAsia" w:eastAsia="宋体"/>
          <w:kern w:val="2"/>
          <w:sz w:val="21"/>
          <w:lang w:eastAsia="zh-CN"/>
        </w:rPr>
        <w:t>43．合同授予标准</w:t>
      </w:r>
      <w:bookmarkEnd w:id="122"/>
      <w:bookmarkEnd w:id="123"/>
      <w:bookmarkEnd w:id="124"/>
      <w:bookmarkEnd w:id="125"/>
      <w:bookmarkEnd w:id="126"/>
    </w:p>
    <w:p w14:paraId="30EA9C2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本项目的合同将授予经本招标文件规定评审确定的中标供应商。</w:t>
      </w:r>
    </w:p>
    <w:p w14:paraId="6EC62501">
      <w:pPr>
        <w:widowControl/>
        <w:wordWrap w:val="0"/>
        <w:autoSpaceDE w:val="0"/>
        <w:autoSpaceDN w:val="0"/>
        <w:spacing w:line="400" w:lineRule="exact"/>
        <w:ind w:right="808" w:firstLine="420" w:firstLineChars="200"/>
        <w:jc w:val="both"/>
        <w:rPr>
          <w:rFonts w:eastAsia="宋体"/>
          <w:kern w:val="2"/>
          <w:sz w:val="21"/>
          <w:lang w:eastAsia="zh-CN"/>
        </w:rPr>
      </w:pPr>
      <w:bookmarkStart w:id="128" w:name="_Toc73521587"/>
      <w:bookmarkStart w:id="129" w:name="_Toc73521675"/>
      <w:bookmarkStart w:id="130" w:name="_Toc100052409"/>
      <w:bookmarkStart w:id="131" w:name="_Toc73518158"/>
      <w:bookmarkStart w:id="132" w:name="_Toc73517680"/>
      <w:r>
        <w:rPr>
          <w:rFonts w:hint="eastAsia" w:eastAsia="宋体"/>
          <w:kern w:val="2"/>
          <w:sz w:val="21"/>
          <w:lang w:eastAsia="zh-CN"/>
        </w:rPr>
        <w:t>44．</w:t>
      </w:r>
      <w:bookmarkEnd w:id="128"/>
      <w:bookmarkEnd w:id="129"/>
      <w:bookmarkEnd w:id="130"/>
      <w:bookmarkEnd w:id="131"/>
      <w:bookmarkEnd w:id="132"/>
      <w:r>
        <w:rPr>
          <w:rFonts w:hint="eastAsia" w:eastAsia="宋体"/>
          <w:kern w:val="2"/>
          <w:sz w:val="21"/>
          <w:lang w:eastAsia="zh-CN"/>
        </w:rPr>
        <w:t>接受和拒绝任何或所有投标的权力</w:t>
      </w:r>
    </w:p>
    <w:p w14:paraId="6B232F8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14:paraId="149CEB84">
      <w:pPr>
        <w:widowControl/>
        <w:wordWrap w:val="0"/>
        <w:autoSpaceDE w:val="0"/>
        <w:autoSpaceDN w:val="0"/>
        <w:spacing w:line="400" w:lineRule="exact"/>
        <w:ind w:right="808" w:firstLine="420" w:firstLineChars="200"/>
        <w:jc w:val="both"/>
        <w:rPr>
          <w:rFonts w:eastAsia="宋体"/>
          <w:kern w:val="2"/>
          <w:sz w:val="21"/>
          <w:lang w:eastAsia="zh-CN"/>
        </w:rPr>
      </w:pPr>
      <w:bookmarkStart w:id="133" w:name="_Toc100052410"/>
      <w:bookmarkStart w:id="134" w:name="_Toc73518160"/>
      <w:bookmarkStart w:id="135" w:name="_Toc73521589"/>
      <w:bookmarkStart w:id="136" w:name="_Toc73517682"/>
      <w:bookmarkStart w:id="137" w:name="_Toc73521677"/>
      <w:r>
        <w:rPr>
          <w:rFonts w:hint="eastAsia" w:eastAsia="宋体"/>
          <w:kern w:val="2"/>
          <w:sz w:val="21"/>
          <w:lang w:eastAsia="zh-CN"/>
        </w:rPr>
        <w:t>45．合同的签订</w:t>
      </w:r>
      <w:bookmarkEnd w:id="133"/>
      <w:bookmarkEnd w:id="134"/>
      <w:bookmarkEnd w:id="135"/>
      <w:bookmarkEnd w:id="136"/>
      <w:bookmarkEnd w:id="137"/>
    </w:p>
    <w:p w14:paraId="5D03717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45.1中标人将于中标通知书发出之日起十个工作日内，按照采购文件（招标文件和投标文件等）内容与采购人签订政府采购合同；合同的实质性内容应当符合招标文件的规定；</w:t>
      </w:r>
    </w:p>
    <w:p w14:paraId="4853727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45.2中标人如不按本通用条款第45</w:t>
      </w:r>
      <w:r>
        <w:rPr>
          <w:rFonts w:eastAsia="宋体"/>
          <w:kern w:val="2"/>
          <w:sz w:val="21"/>
          <w:lang w:eastAsia="zh-CN"/>
        </w:rPr>
        <w:t>.1</w:t>
      </w:r>
      <w:r>
        <w:rPr>
          <w:rFonts w:hint="eastAsia" w:eastAsia="宋体"/>
          <w:kern w:val="2"/>
          <w:sz w:val="21"/>
          <w:lang w:eastAsia="zh-CN"/>
        </w:rPr>
        <w:t>款的规定与采购人签订合同，</w:t>
      </w:r>
      <w:r>
        <w:rPr>
          <w:rFonts w:eastAsia="宋体" w:cs="宋体"/>
          <w:sz w:val="21"/>
          <w:lang w:eastAsia="zh-CN"/>
        </w:rPr>
        <w:t>情节严重的，由</w:t>
      </w:r>
      <w:r>
        <w:rPr>
          <w:rFonts w:hint="eastAsia" w:eastAsia="宋体" w:cs="宋体"/>
          <w:sz w:val="21"/>
          <w:lang w:eastAsia="zh-CN"/>
        </w:rPr>
        <w:t>同级财政</w:t>
      </w:r>
      <w:r>
        <w:rPr>
          <w:rFonts w:eastAsia="宋体" w:cs="宋体"/>
          <w:sz w:val="21"/>
          <w:lang w:eastAsia="zh-CN"/>
        </w:rPr>
        <w:t>部门记入供应商诚信档案，予以通报</w:t>
      </w:r>
      <w:r>
        <w:rPr>
          <w:rFonts w:hint="eastAsia" w:eastAsia="宋体"/>
          <w:kern w:val="2"/>
          <w:sz w:val="21"/>
          <w:lang w:eastAsia="zh-CN"/>
        </w:rPr>
        <w:t>；</w:t>
      </w:r>
    </w:p>
    <w:p w14:paraId="1F3FF58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45.3中标人应当按照合同约定履行义务，完成中标项目，不得将中标项目转让（转包）给他人。</w:t>
      </w:r>
    </w:p>
    <w:p w14:paraId="67C97816">
      <w:pPr>
        <w:widowControl/>
        <w:wordWrap w:val="0"/>
        <w:autoSpaceDE w:val="0"/>
        <w:autoSpaceDN w:val="0"/>
        <w:spacing w:line="400" w:lineRule="exact"/>
        <w:ind w:right="808" w:firstLine="420" w:firstLineChars="200"/>
        <w:jc w:val="both"/>
        <w:rPr>
          <w:rFonts w:eastAsia="宋体"/>
          <w:kern w:val="2"/>
          <w:sz w:val="21"/>
          <w:lang w:eastAsia="zh-CN"/>
        </w:rPr>
      </w:pPr>
      <w:bookmarkStart w:id="138" w:name="_Toc73521678"/>
      <w:bookmarkStart w:id="139" w:name="_Toc73521590"/>
      <w:bookmarkStart w:id="140" w:name="_Toc73517683"/>
      <w:bookmarkStart w:id="141" w:name="_Toc100052411"/>
      <w:bookmarkStart w:id="142" w:name="_Toc73518161"/>
      <w:r>
        <w:rPr>
          <w:rFonts w:hint="eastAsia" w:eastAsia="宋体"/>
          <w:kern w:val="2"/>
          <w:sz w:val="21"/>
          <w:lang w:eastAsia="zh-CN"/>
        </w:rPr>
        <w:t>46．履约担保</w:t>
      </w:r>
      <w:bookmarkEnd w:id="138"/>
      <w:bookmarkEnd w:id="139"/>
      <w:bookmarkEnd w:id="140"/>
      <w:bookmarkEnd w:id="141"/>
      <w:bookmarkEnd w:id="142"/>
    </w:p>
    <w:p w14:paraId="64AD85D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46.1在签订项目合同的同时，中标人应按“对通用条款的补充内容”中规定的金额向采购人提交履约担保；</w:t>
      </w:r>
    </w:p>
    <w:p w14:paraId="29397ACD">
      <w:pPr>
        <w:widowControl/>
        <w:wordWrap w:val="0"/>
        <w:autoSpaceDE w:val="0"/>
        <w:autoSpaceDN w:val="0"/>
        <w:spacing w:line="400" w:lineRule="exact"/>
        <w:ind w:right="808"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lang w:eastAsia="zh-CN"/>
        </w:rPr>
        <w:t>中标</w:t>
      </w:r>
      <w:r>
        <w:rPr>
          <w:rFonts w:hint="eastAsia" w:eastAsia="宋体"/>
          <w:kern w:val="2"/>
          <w:sz w:val="21"/>
          <w:lang w:eastAsia="zh-CN"/>
        </w:rPr>
        <w:t>人</w:t>
      </w:r>
      <w:r>
        <w:rPr>
          <w:rFonts w:eastAsia="宋体"/>
          <w:kern w:val="2"/>
          <w:sz w:val="21"/>
          <w:lang w:eastAsia="zh-CN"/>
        </w:rPr>
        <w:t>提交履约</w:t>
      </w:r>
      <w:r>
        <w:rPr>
          <w:rFonts w:hint="eastAsia" w:eastAsia="宋体"/>
          <w:kern w:val="2"/>
          <w:sz w:val="21"/>
          <w:lang w:eastAsia="zh-CN"/>
        </w:rPr>
        <w:t>担保不是</w:t>
      </w:r>
      <w:r>
        <w:rPr>
          <w:rFonts w:eastAsia="宋体"/>
          <w:kern w:val="2"/>
          <w:sz w:val="21"/>
          <w:lang w:eastAsia="zh-CN"/>
        </w:rPr>
        <w:t>合同签订的</w:t>
      </w:r>
      <w:r>
        <w:rPr>
          <w:rFonts w:hint="eastAsia" w:eastAsia="宋体"/>
          <w:kern w:val="2"/>
          <w:sz w:val="21"/>
          <w:lang w:eastAsia="zh-CN"/>
        </w:rPr>
        <w:t>前提</w:t>
      </w:r>
      <w:r>
        <w:rPr>
          <w:rFonts w:eastAsia="宋体"/>
          <w:kern w:val="2"/>
          <w:sz w:val="21"/>
          <w:lang w:eastAsia="zh-CN"/>
        </w:rPr>
        <w:t>条件，不要求中标</w:t>
      </w:r>
      <w:r>
        <w:rPr>
          <w:rFonts w:hint="eastAsia" w:eastAsia="宋体"/>
          <w:kern w:val="2"/>
          <w:sz w:val="21"/>
          <w:lang w:eastAsia="zh-CN"/>
        </w:rPr>
        <w:t>人</w:t>
      </w:r>
      <w:r>
        <w:rPr>
          <w:rFonts w:eastAsia="宋体"/>
          <w:kern w:val="2"/>
          <w:sz w:val="21"/>
          <w:lang w:eastAsia="zh-CN"/>
        </w:rPr>
        <w:t>提供除法律、法规明确规定外的其他担保</w:t>
      </w:r>
      <w:r>
        <w:rPr>
          <w:rFonts w:hint="eastAsia" w:eastAsia="宋体"/>
          <w:kern w:val="2"/>
          <w:sz w:val="21"/>
          <w:lang w:eastAsia="zh-CN"/>
        </w:rPr>
        <w:t>。</w:t>
      </w:r>
    </w:p>
    <w:p w14:paraId="3005964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47.合同备案</w:t>
      </w:r>
    </w:p>
    <w:p w14:paraId="25BB1F2F">
      <w:pPr>
        <w:widowControl/>
        <w:wordWrap w:val="0"/>
        <w:autoSpaceDE w:val="0"/>
        <w:autoSpaceDN w:val="0"/>
        <w:spacing w:line="400" w:lineRule="exact"/>
        <w:ind w:right="808" w:firstLine="420" w:firstLineChars="200"/>
        <w:jc w:val="both"/>
        <w:rPr>
          <w:rFonts w:ascii="黑体" w:eastAsia="黑体"/>
          <w:kern w:val="2"/>
          <w:lang w:eastAsia="zh-CN"/>
        </w:rPr>
      </w:pPr>
      <w:r>
        <w:rPr>
          <w:rFonts w:hint="eastAsia" w:eastAsia="宋体"/>
          <w:kern w:val="2"/>
          <w:sz w:val="21"/>
          <w:lang w:eastAsia="zh-CN"/>
        </w:rPr>
        <w:t>采购人与中标供应商自中标通知书发出之日起10个工作日内签订政府采购合同，并按财政部门规定提交备案。</w:t>
      </w:r>
      <w:r>
        <w:rPr>
          <w:rFonts w:hint="eastAsia" w:ascii="黑体" w:eastAsia="黑体"/>
          <w:kern w:val="2"/>
          <w:lang w:eastAsia="zh-CN"/>
        </w:rPr>
        <w:t>48.合同变更</w:t>
      </w:r>
    </w:p>
    <w:p w14:paraId="78012DD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合同变更事宜按《深圳市财政局关于优化政府采购合同备案的通知》（深财发保〔2022〕2号）相关规定执行。</w:t>
      </w:r>
    </w:p>
    <w:p w14:paraId="1F604DD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49.项目验收</w:t>
      </w:r>
    </w:p>
    <w:p w14:paraId="6802005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49.1采购人应当按照招标文件和合同规定的标准和方法，及时组织验收。</w:t>
      </w:r>
    </w:p>
    <w:p w14:paraId="7D2826A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50.宣传</w:t>
      </w:r>
    </w:p>
    <w:p w14:paraId="00C0479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凡与政府采购活动有关的宣传或广告，若当中提及政府采购，</w:t>
      </w:r>
      <w:r>
        <w:rPr>
          <w:rFonts w:eastAsia="宋体"/>
          <w:kern w:val="2"/>
          <w:sz w:val="21"/>
          <w:lang w:eastAsia="zh-CN"/>
        </w:rPr>
        <w:t>必须事先将具体对外宣传方案报</w:t>
      </w:r>
      <w:r>
        <w:rPr>
          <w:rFonts w:hint="eastAsia" w:eastAsia="宋体"/>
          <w:kern w:val="2"/>
          <w:sz w:val="21"/>
          <w:lang w:eastAsia="zh-CN"/>
        </w:rPr>
        <w:t>同级财政部门</w:t>
      </w:r>
      <w:r>
        <w:rPr>
          <w:rFonts w:eastAsia="宋体"/>
          <w:kern w:val="2"/>
          <w:sz w:val="21"/>
          <w:lang w:eastAsia="zh-CN"/>
        </w:rPr>
        <w:t>和</w:t>
      </w:r>
      <w:r>
        <w:rPr>
          <w:rFonts w:hint="eastAsia" w:eastAsia="宋体"/>
          <w:kern w:val="2"/>
          <w:sz w:val="21"/>
          <w:lang w:eastAsia="zh-CN"/>
        </w:rPr>
        <w:t>采购代理机构</w:t>
      </w:r>
      <w:r>
        <w:rPr>
          <w:rFonts w:eastAsia="宋体"/>
          <w:kern w:val="2"/>
          <w:sz w:val="21"/>
          <w:lang w:eastAsia="zh-CN"/>
        </w:rPr>
        <w:t>，并征得其同意。对外市场宣传包括但不限于以下形式：</w:t>
      </w:r>
    </w:p>
    <w:p w14:paraId="534819DC">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14:paraId="35BEF7E1">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14:paraId="5B4DB32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c.工作</w:t>
      </w:r>
      <w:r>
        <w:rPr>
          <w:rFonts w:eastAsia="宋体"/>
          <w:kern w:val="2"/>
          <w:sz w:val="21"/>
          <w:lang w:eastAsia="zh-CN"/>
        </w:rPr>
        <w:t>人员向其他消费群体宣传。</w:t>
      </w:r>
    </w:p>
    <w:p w14:paraId="02B87D4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51.供应商违法责任</w:t>
      </w:r>
    </w:p>
    <w:p w14:paraId="691C42B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w:t>
      </w:r>
      <w:r>
        <w:rPr>
          <w:rFonts w:eastAsia="宋体"/>
          <w:kern w:val="2"/>
          <w:sz w:val="21"/>
          <w:lang w:eastAsia="zh-CN"/>
        </w:rPr>
        <w:t>1.1</w:t>
      </w:r>
      <w:r>
        <w:rPr>
          <w:rFonts w:hint="eastAsia" w:eastAsia="宋体"/>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41E348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（1）在采购活动中应当回避而未回避的；</w:t>
      </w:r>
    </w:p>
    <w:p w14:paraId="49A2D43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（2）未按本条例规定签订、履行采购合同，造成严重后果的；</w:t>
      </w:r>
    </w:p>
    <w:p w14:paraId="52DC312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（3）隐瞒真实情况，提供虚假资料的；</w:t>
      </w:r>
    </w:p>
    <w:p w14:paraId="05C4C1C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（4）以非法手段排斥其他供应商参与竞争的；</w:t>
      </w:r>
    </w:p>
    <w:p w14:paraId="5141784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（5）与其他采购参加人串通投标的；</w:t>
      </w:r>
    </w:p>
    <w:p w14:paraId="070AC51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（6）恶意投诉的；</w:t>
      </w:r>
    </w:p>
    <w:p w14:paraId="473BD6D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（7）向采购项目相关人行贿或者提供其他不当利益的；</w:t>
      </w:r>
    </w:p>
    <w:p w14:paraId="6D12D69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（8）阻碍、抗拒主管部门监督检查的；</w:t>
      </w:r>
    </w:p>
    <w:p w14:paraId="11C8FA5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（9）其他违反本条例规定的行为。</w:t>
      </w:r>
    </w:p>
    <w:p w14:paraId="0CB6782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w:t>
      </w:r>
      <w:r>
        <w:rPr>
          <w:rFonts w:eastAsia="宋体"/>
          <w:kern w:val="2"/>
          <w:sz w:val="21"/>
          <w:lang w:eastAsia="zh-CN"/>
        </w:rPr>
        <w:t>1.2</w:t>
      </w:r>
      <w:r>
        <w:rPr>
          <w:rFonts w:hint="eastAsia" w:eastAsia="宋体"/>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3" w:name="_Hlk72440769"/>
      <w:r>
        <w:rPr>
          <w:rFonts w:hint="eastAsia" w:eastAsia="宋体"/>
          <w:kern w:val="2"/>
          <w:sz w:val="21"/>
          <w:lang w:eastAsia="zh-CN"/>
        </w:rPr>
        <w:t>采购代理机构或采购人不予退还其交纳的谈判保证金，情节严重的，并由主管部门</w:t>
      </w:r>
      <w:bookmarkEnd w:id="143"/>
      <w:r>
        <w:rPr>
          <w:rFonts w:hint="eastAsia" w:eastAsia="宋体"/>
          <w:kern w:val="2"/>
          <w:sz w:val="21"/>
          <w:lang w:eastAsia="zh-CN"/>
        </w:rPr>
        <w:t>记入供应商诚信档案，予以通报：</w:t>
      </w:r>
    </w:p>
    <w:p w14:paraId="327A6A1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w:t>
      </w:r>
      <w:r>
        <w:rPr>
          <w:rFonts w:eastAsia="宋体"/>
          <w:kern w:val="2"/>
          <w:sz w:val="21"/>
          <w:lang w:eastAsia="zh-CN"/>
        </w:rPr>
        <w:t>）投标截止后，撤销投标的；</w:t>
      </w:r>
    </w:p>
    <w:p w14:paraId="63BD4965">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hint="eastAsia" w:eastAsia="宋体"/>
          <w:kern w:val="2"/>
          <w:sz w:val="21"/>
          <w:lang w:eastAsia="zh-CN"/>
        </w:rPr>
        <w:t>2</w:t>
      </w:r>
      <w:r>
        <w:rPr>
          <w:rFonts w:eastAsia="宋体"/>
          <w:kern w:val="2"/>
          <w:sz w:val="21"/>
          <w:lang w:eastAsia="zh-CN"/>
        </w:rPr>
        <w:t>）中标后无正当理由未在规定期限内签订合同的；</w:t>
      </w:r>
    </w:p>
    <w:p w14:paraId="63F1444A">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hint="eastAsia" w:eastAsia="宋体"/>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14:paraId="26DA8C11">
      <w:pPr>
        <w:widowControl/>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hint="eastAsia" w:eastAsia="宋体"/>
          <w:kern w:val="2"/>
          <w:sz w:val="21"/>
          <w:lang w:eastAsia="zh-CN"/>
        </w:rPr>
        <w:t>4</w:t>
      </w:r>
      <w:r>
        <w:rPr>
          <w:rFonts w:eastAsia="宋体"/>
          <w:kern w:val="2"/>
          <w:sz w:val="21"/>
          <w:lang w:eastAsia="zh-CN"/>
        </w:rPr>
        <w:t>）拒绝履行合同义务的</w:t>
      </w:r>
      <w:r>
        <w:rPr>
          <w:rFonts w:hint="eastAsia" w:eastAsia="宋体"/>
          <w:kern w:val="2"/>
          <w:sz w:val="21"/>
          <w:lang w:eastAsia="zh-CN"/>
        </w:rPr>
        <w:t>。</w:t>
      </w:r>
    </w:p>
    <w:bookmarkEnd w:id="127"/>
    <w:p w14:paraId="53FE3261">
      <w:pPr>
        <w:widowControl/>
        <w:wordWrap w:val="0"/>
        <w:autoSpaceDE w:val="0"/>
        <w:autoSpaceDN w:val="0"/>
        <w:spacing w:line="360" w:lineRule="auto"/>
        <w:ind w:right="808" w:firstLine="482" w:firstLineChars="200"/>
        <w:jc w:val="both"/>
        <w:rPr>
          <w:rFonts w:eastAsia="宋体"/>
          <w:b/>
          <w:kern w:val="2"/>
          <w:lang w:eastAsia="zh-CN"/>
        </w:rPr>
      </w:pPr>
    </w:p>
    <w:p w14:paraId="701F998B">
      <w:pPr>
        <w:keepNext/>
        <w:keepLines/>
        <w:widowControl/>
        <w:wordWrap w:val="0"/>
        <w:autoSpaceDE w:val="0"/>
        <w:autoSpaceDN w:val="0"/>
        <w:spacing w:line="360" w:lineRule="auto"/>
        <w:ind w:right="808" w:firstLine="643" w:firstLineChars="200"/>
        <w:jc w:val="center"/>
        <w:outlineLvl w:val="1"/>
        <w:rPr>
          <w:rFonts w:ascii="Arial" w:hAnsi="Arial" w:eastAsia="宋体"/>
          <w:b/>
          <w:kern w:val="2"/>
          <w:sz w:val="32"/>
          <w:lang w:eastAsia="zh-CN"/>
        </w:rPr>
      </w:pPr>
      <w:bookmarkStart w:id="144" w:name="_Toc19433"/>
      <w:r>
        <w:rPr>
          <w:rFonts w:hint="eastAsia" w:ascii="Arial" w:hAnsi="Arial" w:eastAsia="宋体"/>
          <w:b/>
          <w:kern w:val="2"/>
          <w:sz w:val="32"/>
          <w:lang w:eastAsia="zh-CN"/>
        </w:rPr>
        <w:t>第十一章  质疑处理</w:t>
      </w:r>
      <w:bookmarkEnd w:id="144"/>
    </w:p>
    <w:p w14:paraId="2A7A2473">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52.质疑提出与答复</w:t>
      </w:r>
    </w:p>
    <w:p w14:paraId="0CCEDCA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52.1提出质疑</w:t>
      </w:r>
    </w:p>
    <w:p w14:paraId="264178BD">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14:paraId="49401AC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52.2</w:t>
      </w:r>
      <w:r>
        <w:rPr>
          <w:rFonts w:eastAsia="宋体"/>
          <w:kern w:val="2"/>
          <w:sz w:val="21"/>
          <w:lang w:eastAsia="zh-CN"/>
        </w:rPr>
        <w:t>法律依据</w:t>
      </w:r>
    </w:p>
    <w:p w14:paraId="1621B1C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《中华人民共和国政府采购法》、《中华人民共和国政府采购法实施条例》、</w:t>
      </w:r>
      <w:r>
        <w:rPr>
          <w:rFonts w:eastAsia="宋体"/>
          <w:kern w:val="2"/>
          <w:sz w:val="21"/>
          <w:lang w:eastAsia="zh-CN"/>
        </w:rPr>
        <w:t>《</w:t>
      </w:r>
      <w:r>
        <w:rPr>
          <w:rFonts w:hint="eastAsia" w:eastAsia="宋体"/>
          <w:kern w:val="2"/>
          <w:sz w:val="21"/>
          <w:lang w:eastAsia="zh-CN"/>
        </w:rPr>
        <w:t>深圳经济特区政府采购</w:t>
      </w:r>
      <w:r>
        <w:rPr>
          <w:rFonts w:eastAsia="宋体"/>
          <w:kern w:val="2"/>
          <w:sz w:val="21"/>
          <w:lang w:eastAsia="zh-CN"/>
        </w:rPr>
        <w:t>条例</w:t>
      </w:r>
      <w:r>
        <w:rPr>
          <w:rFonts w:hint="eastAsia" w:eastAsia="宋体"/>
          <w:kern w:val="2"/>
          <w:sz w:val="21"/>
          <w:lang w:eastAsia="zh-CN"/>
        </w:rPr>
        <w:t>》、《深圳经济特区政府采购条例实施细则》、《政府采购质疑和投诉办法》（财政部令第94号）和其他有关法律法规规定。</w:t>
      </w:r>
    </w:p>
    <w:p w14:paraId="3E794CF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52.3质疑条件</w:t>
      </w:r>
    </w:p>
    <w:p w14:paraId="4CF87CE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52.3.1提出质疑的供应商应当是参与所质疑项目采购活动的供应商；</w:t>
      </w:r>
      <w:bookmarkStart w:id="145" w:name="_Hlk75374941"/>
      <w:r>
        <w:rPr>
          <w:rFonts w:hint="eastAsia" w:eastAsia="宋体"/>
          <w:kern w:val="2"/>
          <w:sz w:val="21"/>
          <w:lang w:eastAsia="zh-CN"/>
        </w:rPr>
        <w:t>以联合体形式参与的，质疑应当由组成联合体的所有成员共同提出</w:t>
      </w:r>
      <w:bookmarkEnd w:id="145"/>
      <w:r>
        <w:rPr>
          <w:rFonts w:hint="eastAsia" w:eastAsia="宋体"/>
          <w:kern w:val="2"/>
          <w:sz w:val="21"/>
          <w:lang w:eastAsia="zh-CN"/>
        </w:rPr>
        <w:t>；</w:t>
      </w:r>
    </w:p>
    <w:p w14:paraId="570A066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1D9365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52.3.3应提交书面质疑函，质疑函应当包括以下内容：</w:t>
      </w:r>
    </w:p>
    <w:p w14:paraId="610ABC4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（1）供应商的名称（或者姓名）、地址、邮编、邮箱、联系人及联系电话；</w:t>
      </w:r>
    </w:p>
    <w:p w14:paraId="213FC94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（2）质疑项目的名称、编号；</w:t>
      </w:r>
    </w:p>
    <w:p w14:paraId="6E25267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（3）具体、明确的质疑对象、质疑事项和质疑请求；</w:t>
      </w:r>
    </w:p>
    <w:p w14:paraId="148E0D94">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（4）因质疑事项而受损害的权益；</w:t>
      </w:r>
    </w:p>
    <w:p w14:paraId="0F9A979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（5）事实依据；</w:t>
      </w:r>
    </w:p>
    <w:p w14:paraId="711CCB1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（6）必要的法律依据；</w:t>
      </w:r>
    </w:p>
    <w:p w14:paraId="6F5C67F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（7）提出质疑的日期。</w:t>
      </w:r>
    </w:p>
    <w:p w14:paraId="2D5A7E3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供应商为自然人的，应当由本人签字；供应商为法人或者其他组织的，应当由法定代表人（负责人），或者其授权代理人签字或者盖章，并加盖公章。</w:t>
      </w:r>
    </w:p>
    <w:p w14:paraId="228164A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52.4提交</w:t>
      </w:r>
      <w:r>
        <w:rPr>
          <w:rFonts w:eastAsia="宋体"/>
          <w:kern w:val="2"/>
          <w:sz w:val="21"/>
          <w:lang w:eastAsia="zh-CN"/>
        </w:rPr>
        <w:t>材料</w:t>
      </w:r>
    </w:p>
    <w:p w14:paraId="264687F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21E9E99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D17CEE5">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52.5收文地点</w:t>
      </w:r>
    </w:p>
    <w:p w14:paraId="69D9C39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地址：深圳市千里招标代理有限公司（地址：深圳市龙华区民治街道民强社区梅龙路和民旺路相交处民治商贸广场B2102）。</w:t>
      </w:r>
    </w:p>
    <w:p w14:paraId="1D4194F8">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52.6收文办理</w:t>
      </w:r>
      <w:r>
        <w:rPr>
          <w:rFonts w:eastAsia="宋体"/>
          <w:kern w:val="2"/>
          <w:sz w:val="21"/>
          <w:lang w:eastAsia="zh-CN"/>
        </w:rPr>
        <w:t>程序</w:t>
      </w:r>
    </w:p>
    <w:p w14:paraId="593712D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14:paraId="502329D9">
      <w:pPr>
        <w:widowControl/>
        <w:wordWrap w:val="0"/>
        <w:autoSpaceDE w:val="0"/>
        <w:autoSpaceDN w:val="0"/>
        <w:spacing w:line="400" w:lineRule="exact"/>
        <w:ind w:right="808" w:firstLine="420" w:firstLineChars="200"/>
        <w:jc w:val="both"/>
        <w:rPr>
          <w:rFonts w:ascii="仿宋" w:hAnsi="仿宋" w:eastAsia="仿宋"/>
          <w:kern w:val="2"/>
          <w:sz w:val="28"/>
          <w:szCs w:val="28"/>
          <w:lang w:eastAsia="zh-CN"/>
        </w:rPr>
      </w:pPr>
      <w:r>
        <w:rPr>
          <w:rFonts w:hint="eastAsia" w:eastAsia="宋体"/>
          <w:kern w:val="2"/>
          <w:sz w:val="21"/>
          <w:lang w:eastAsia="zh-CN"/>
        </w:rPr>
        <w:t>52.6.2供应商提交的质疑材料不符合质疑条件的，视情况处理：</w:t>
      </w:r>
    </w:p>
    <w:p w14:paraId="1552343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供应商提交的质疑材料不全或者未按要求签字或者盖章的，采购代理机构应当一次性告知供应商需补正的内容和补正期限。</w:t>
      </w:r>
    </w:p>
    <w:p w14:paraId="3492E1B9">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供应商提交的质疑存在下列情形之一的，不予受理：</w:t>
      </w:r>
    </w:p>
    <w:p w14:paraId="74085A47">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（1）质疑主体不满足要求的；</w:t>
      </w:r>
    </w:p>
    <w:p w14:paraId="284C4ECA">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（2）供应商自身权益未受到损害的；</w:t>
      </w:r>
    </w:p>
    <w:p w14:paraId="09A6CE00">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（3）供应商未在法定质疑期限内提出质疑的；</w:t>
      </w:r>
    </w:p>
    <w:p w14:paraId="1D0DDA7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（4）质疑材料不全或者未按要求签字或者盖章的情况下，要求补正后，逾期未补正或者补正后仍不符合规定的；</w:t>
      </w:r>
    </w:p>
    <w:p w14:paraId="6453F6A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（5）其他不符合受理条件情形的。</w:t>
      </w:r>
    </w:p>
    <w:p w14:paraId="4527D65C">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质疑事项不予受理的，采购代理机构应当向供应商出具不符合质疑条件告知书。</w:t>
      </w:r>
    </w:p>
    <w:p w14:paraId="56624586">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52.7质疑答复时限</w:t>
      </w:r>
    </w:p>
    <w:p w14:paraId="449033AE">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自收文之日起七个工作日内。</w:t>
      </w:r>
    </w:p>
    <w:p w14:paraId="09073F9F">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52.8投诉</w:t>
      </w:r>
    </w:p>
    <w:p w14:paraId="727F2362">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对质疑答复不满意或者未在规定时间内答复的，提出质疑的供应商可以在答复期满后15个工作日内向本项目预算主管单位投诉。</w:t>
      </w:r>
    </w:p>
    <w:p w14:paraId="659C2BFB">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53.质疑后续处理</w:t>
      </w:r>
    </w:p>
    <w:p w14:paraId="23419BF1">
      <w:pPr>
        <w:widowControl/>
        <w:wordWrap w:val="0"/>
        <w:autoSpaceDE w:val="0"/>
        <w:autoSpaceDN w:val="0"/>
        <w:spacing w:line="400" w:lineRule="exact"/>
        <w:ind w:right="808" w:firstLine="420" w:firstLineChars="200"/>
        <w:jc w:val="both"/>
        <w:rPr>
          <w:rFonts w:eastAsia="宋体"/>
          <w:kern w:val="2"/>
          <w:sz w:val="21"/>
          <w:lang w:eastAsia="zh-CN"/>
        </w:rPr>
      </w:pPr>
      <w:r>
        <w:rPr>
          <w:rFonts w:hint="eastAsia" w:eastAsia="宋体"/>
          <w:kern w:val="2"/>
          <w:sz w:val="21"/>
          <w:lang w:eastAsia="zh-CN"/>
        </w:rPr>
        <w:t>53.1供应商质疑不成立，或者成立但未对中标、成交结果构成影响的，继续开展采购活动。</w:t>
      </w:r>
    </w:p>
    <w:p w14:paraId="598F2316">
      <w:pPr>
        <w:widowControl/>
        <w:wordWrap w:val="0"/>
        <w:autoSpaceDE w:val="0"/>
        <w:autoSpaceDN w:val="0"/>
        <w:spacing w:line="400" w:lineRule="exact"/>
        <w:ind w:right="808" w:firstLine="420" w:firstLineChars="200"/>
        <w:jc w:val="both"/>
        <w:rPr>
          <w:rFonts w:ascii="微软雅黑" w:hAnsi="微软雅黑" w:eastAsia="微软雅黑" w:cs="微软雅黑"/>
          <w:color w:val="333333"/>
          <w:lang w:val="en" w:eastAsia="en"/>
        </w:rPr>
        <w:sectPr>
          <w:headerReference r:id="rId3" w:type="default"/>
          <w:footerReference r:id="rId4" w:type="default"/>
          <w:pgMar w:top="1440" w:right="1800" w:bottom="1440" w:left="1800" w:header="708" w:footer="708" w:gutter="0"/>
          <w:cols w:space="708" w:num="1"/>
        </w:sectPr>
      </w:pPr>
      <w:r>
        <w:rPr>
          <w:rFonts w:hint="eastAsia" w:eastAsia="宋体"/>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77F88C8D">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773EFEA5">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观澜校区物化实验AI考评系统采购-A</w:t>
      </w:r>
    </w:p>
    <w:tbl>
      <w:tblPr>
        <w:tblStyle w:val="15"/>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146679E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A014ED5">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065BCB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0E6151C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26B8B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0E348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673A27E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DF260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E3845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龙华区教育局自行采购投标及履约承诺函</w:t>
            </w:r>
          </w:p>
        </w:tc>
      </w:tr>
      <w:tr w14:paraId="6657692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9EA2D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0495F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177E9FF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4E3AC8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93ECF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分项报价清单</w:t>
            </w:r>
          </w:p>
        </w:tc>
      </w:tr>
      <w:tr w14:paraId="2EDEF09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A5CD4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01A87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股东构成审查表</w:t>
            </w:r>
          </w:p>
        </w:tc>
      </w:tr>
      <w:tr w14:paraId="75A4C79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82CA9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8C0935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242AF57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50B20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0C5D2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2A73AC1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AC962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E5B02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4856D7C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D39E0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0FFF9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技术要求偏离表</w:t>
            </w:r>
          </w:p>
        </w:tc>
      </w:tr>
      <w:tr w14:paraId="2477DB1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8899B0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9D9F4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商务要求偏离表</w:t>
            </w:r>
          </w:p>
        </w:tc>
      </w:tr>
      <w:tr w14:paraId="7224FFE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00178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3311F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r>
      <w:tr w14:paraId="5ACA581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31C31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A7DB5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售后服务方案</w:t>
            </w:r>
          </w:p>
        </w:tc>
      </w:tr>
      <w:tr w14:paraId="74E4268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3AC15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9F698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拟安排的项目负责人情况(仅限1人)</w:t>
            </w:r>
          </w:p>
        </w:tc>
      </w:tr>
      <w:tr w14:paraId="5C2A63E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C11DE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915B3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r>
      <w:tr w14:paraId="4692381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A578E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5B4020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同类项目业绩</w:t>
            </w:r>
          </w:p>
        </w:tc>
      </w:tr>
      <w:tr w14:paraId="325D68D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9E50C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CD145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投标人认证情况</w:t>
            </w:r>
          </w:p>
        </w:tc>
      </w:tr>
      <w:tr w14:paraId="5197564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78A100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137EA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投标人荣誉情况</w:t>
            </w:r>
          </w:p>
        </w:tc>
      </w:tr>
      <w:tr w14:paraId="03869B7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CA337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B4072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投标人自主知识产权产品（创新、设计）情况</w:t>
            </w:r>
          </w:p>
        </w:tc>
      </w:tr>
      <w:tr w14:paraId="700CC67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40296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03FF6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r>
    </w:tbl>
    <w:p w14:paraId="07530145">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070B72DA">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7739C47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092AB148">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LHAZXDL-2024-00161-001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观澜校区物化实验AI考评系统采购-A</w:t>
      </w:r>
      <w:r>
        <w:rPr>
          <w:rFonts w:ascii="仿宋" w:hAnsi="仿宋" w:eastAsia="仿宋" w:cs="仿宋"/>
          <w:color w:val="333333"/>
          <w:u w:val="single" w:color="333333"/>
          <w:lang w:val="en" w:eastAsia="en"/>
        </w:rPr>
        <w:br w:type="textWrapping"/>
      </w:r>
    </w:p>
    <w:p w14:paraId="02E3AADF">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2A4D0E55">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6345FE9E">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6D234426">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2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7BD11A1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ACD571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909C92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1FD3FE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0D68482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D59EC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6EA670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330E1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4FB211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356C5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7059A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初步评审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4B0CC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44CB6CA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0A5008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24F63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04C5B4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14:paraId="5634D42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7C9DE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DB3D4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DD3AF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75DC3FD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F13F7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ACCB0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1C5C4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14:paraId="509DF3A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35535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56CD4C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40874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3148AB7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31C512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3407E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DA689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6EF3FF24">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098FA9E7">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1F0E5A9B">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2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242F5FA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C20CC2E">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341915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EDF946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7DF3671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F6F70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BE06C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CFCEEA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r>
              <w:rPr>
                <w:rFonts w:ascii="仿宋" w:hAnsi="仿宋" w:eastAsia="仿宋" w:cs="仿宋"/>
                <w:color w:val="666666"/>
                <w:lang w:val="en" w:eastAsia="en"/>
              </w:rPr>
              <w:br w:type="textWrapping"/>
            </w:r>
            <w:r>
              <w:rPr>
                <w:rFonts w:ascii="仿宋" w:hAnsi="仿宋" w:eastAsia="仿宋" w:cs="仿宋"/>
                <w:color w:val="666666"/>
                <w:lang w:val="en" w:eastAsia="en"/>
              </w:rPr>
              <w:t>2、参与本项目投标前三年内，在经营活动中没有重大违法记录（由供应商在《龙华区教育局自行采购投标及履约承诺函》中作出声明）。：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2、参与本项目投标前三年内，在经营活动中没有重大违法记录（由供应商在《龙华区教育局自行采购投标及履约承诺函》中作出声明）。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4、具备《中华人民共和国政府采购法》第二十二条第一款的条件（由供应商在《龙华区教育局自行采购投标及履约承诺函》中作出声明）。</w:t>
            </w:r>
            <w:r>
              <w:rPr>
                <w:rFonts w:ascii="仿宋" w:hAnsi="仿宋" w:eastAsia="仿宋" w:cs="仿宋"/>
                <w:color w:val="666666"/>
                <w:lang w:val="en" w:eastAsia="en"/>
              </w:rPr>
              <w:br w:type="textWrapping"/>
            </w:r>
            <w:r>
              <w:rPr>
                <w:rFonts w:ascii="仿宋" w:hAnsi="仿宋" w:eastAsia="仿宋" w:cs="仿宋"/>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仿宋" w:hAnsi="仿宋" w:eastAsia="仿宋" w:cs="仿宋"/>
                <w:color w:val="666666"/>
                <w:lang w:val="en" w:eastAsia="en"/>
              </w:rPr>
              <w:br w:type="textWrapping"/>
            </w:r>
            <w:r>
              <w:rPr>
                <w:rFonts w:ascii="仿宋" w:hAnsi="仿宋" w:eastAsia="仿宋" w:cs="仿宋"/>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仿宋" w:hAnsi="仿宋" w:eastAsia="仿宋" w:cs="仿宋"/>
                <w:color w:val="666666"/>
                <w:lang w:val="en" w:eastAsia="en"/>
              </w:rPr>
              <w:br w:type="textWrapping"/>
            </w:r>
            <w:r>
              <w:rPr>
                <w:rFonts w:ascii="仿宋" w:hAnsi="仿宋" w:eastAsia="仿宋" w:cs="仿宋"/>
                <w:color w:val="666666"/>
                <w:lang w:val="en" w:eastAsia="en"/>
              </w:rPr>
              <w:t>6、为采购项目提供整体设计、规范编制或者项目管理、监理、检测等服务的供应商，不得再参加该采购项目同一合同项下的其他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6、为采购项目提供整体设计、规范编制或者项目管理、监理、检测等服务的供应商，不得再参加该采购项目同一合同项下的其他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7、单位负责人为同一人或者存在直接控股、管理关系的不同供应商，不得参加同一合同项下的政府采购活动。（由供应商在《龙华区教育局自行采购投标及履约承诺函》中作出承诺）。：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7、单位负责人为同一人或者存在直接控股、管理关系的不同供应商，不得参加同一合同项下的政府采购活动。（由供应商在《龙华区教育局自行采购投标及履约承诺函》中作出承诺）。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8、本项目不属于专门面向中小微企业采购项目。：</w:t>
            </w:r>
            <w:r>
              <w:rPr>
                <w:rFonts w:ascii="仿宋" w:hAnsi="仿宋" w:eastAsia="仿宋" w:cs="仿宋"/>
                <w:color w:val="666666"/>
                <w:lang w:val="en" w:eastAsia="en"/>
              </w:rPr>
              <w:br w:type="textWrapping"/>
            </w:r>
            <w:r>
              <w:rPr>
                <w:rFonts w:ascii="仿宋" w:hAnsi="仿宋" w:eastAsia="仿宋" w:cs="仿宋"/>
                <w:color w:val="666666"/>
                <w:lang w:val="en" w:eastAsia="en"/>
              </w:rPr>
              <w:t>8、本项目不属于专门面向中小微企业采购项目。</w:t>
            </w:r>
            <w:r>
              <w:rPr>
                <w:rFonts w:ascii="仿宋" w:hAnsi="仿宋" w:eastAsia="仿宋" w:cs="仿宋"/>
                <w:color w:val="666666"/>
                <w:lang w:val="en" w:eastAsia="en"/>
              </w:rPr>
              <w:br w:type="textWrapping"/>
            </w:r>
            <w:r>
              <w:rPr>
                <w:rFonts w:ascii="仿宋" w:hAnsi="仿宋" w:eastAsia="仿宋" w:cs="仿宋"/>
                <w:color w:val="666666"/>
                <w:lang w:val="en" w:eastAsia="en"/>
              </w:rPr>
              <w:t>9、本项目不接受联合体投标，不接受进口产品参与投标，不允许转包、分包。（由供应商在《龙华区教育局自行采购投标及履约承诺函》中作出承诺）。：</w:t>
            </w:r>
            <w:r>
              <w:rPr>
                <w:rFonts w:ascii="仿宋" w:hAnsi="仿宋" w:eastAsia="仿宋" w:cs="仿宋"/>
                <w:color w:val="666666"/>
                <w:lang w:val="en" w:eastAsia="en"/>
              </w:rPr>
              <w:br w:type="textWrapping"/>
            </w:r>
            <w:r>
              <w:rPr>
                <w:rFonts w:ascii="仿宋" w:hAnsi="仿宋" w:eastAsia="仿宋" w:cs="仿宋"/>
                <w:color w:val="666666"/>
                <w:lang w:val="en" w:eastAsia="en"/>
              </w:rPr>
              <w:t>9、本项目不接受联合体投标，不接受进口产品参与投标，不允许转包、分包。（由供应商在《龙华区教育局自行采购投标及履约承诺函》中作出承诺）。</w:t>
            </w:r>
          </w:p>
        </w:tc>
      </w:tr>
    </w:tbl>
    <w:p w14:paraId="70833FBE">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初步评审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2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1AA8024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E9419B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22B6EE4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1DBB7F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38AAF46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A6845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B9AE1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1F6E8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1C8F556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592E65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25599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5C593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不得将一个包的内容拆开投标；</w:t>
            </w:r>
          </w:p>
        </w:tc>
      </w:tr>
      <w:tr w14:paraId="6543A4F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2CBEE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E41B5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04977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14:paraId="723A605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FC882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656A3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1F4A1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14:paraId="2EBC426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9B297A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2DEA3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240B22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505B45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8A54C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B0EEB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013DB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327F817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C735C6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68056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A56D23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14:paraId="59C45A2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E0F38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B4769F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397E0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14:paraId="080C3B2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36000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28599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6F9C2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14:paraId="488834F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64A70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5F0AD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14D87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投标文件用不属于本公司的电子密钥进行加密的；</w:t>
            </w:r>
          </w:p>
        </w:tc>
      </w:tr>
      <w:tr w14:paraId="1B0BD22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53F03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1B4B46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3733C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不同投标供应商投标文件文件制作机器码”一致；</w:t>
            </w:r>
          </w:p>
        </w:tc>
      </w:tr>
      <w:tr w14:paraId="721ED1E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6B19B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49201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F8ABF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不同投标供应商投标文件文件创建标识码”一致；</w:t>
            </w:r>
          </w:p>
        </w:tc>
      </w:tr>
      <w:tr w14:paraId="1BBACFF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A2E83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4FB5F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949F9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14:paraId="64389375">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2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462A70F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91E2B60">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6386574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CF205B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2EC29A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A11322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7EEF03C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B6594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D5F6C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0A91C7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CACEC9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735885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EA3149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EF649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61DBE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1B0C9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（一）评审内容： 投标人针对本项目的需求制定技术保障措施，内容包含但不限于： 1.技术方案； 2.项目管理方案； 3.培训方案。 （二）评分标准： 1.满足以上3项要求得10分，满足以上2项要求得5分，满足以上1项要求得1分，其他不得分。 2.在此基础上，评审委员会根据采购文件的需求和投标文件响应情况进一步评审： （1）优：项目技术保障措施内容全面、具体，对用户需求理解程度高，数据准确详实，符合项目需求的，加90分； （2）良：项目技术保障措施内容较为全面、具体，对用户需求理解程度较高，数据准确较详实，较符合项目需求的，加50分； （3）中：项目技术保障措施内容基本满足要求，对用户需求理解程度一般，数据基本准确，基本符合项目需求的，加10分。 （4）差：项目技术保障措施评价为差或未提供者不得分。 本项最高得100分。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F7EE20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EE1EC2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39889AE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B3C97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D8BC6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售后服务方案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CAFB46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评审内容： 投标人应在投标文件中针对本项目详细说明售后服务方案，方案应包括： (1)售后服务期间应急响应时间、服务网点及能力； (2)售后服务专业性； (3)售后服务保障能力。 满足以上3项要求得10分，满足以上2项要求得5分，满足以上1项要求得1分，其他不得分。 评审标准： 在投标人以上内容提供的基础上，评审委员会根据以下评审标准分档打分： （1）投标文件响应内容全面； （2）投标文件响应内容具体； （3）投标文件响应内容针对性强； （4）投标文件响应内容科学合理； （5）投标文件响应内容可操作性强。 满足以上五项要求的评价为优，得,90分。 满足以上四项要求的评价为良，得50分。 满足以上三项要求的评价为中，得10分。 其它情况的评价为差，不得分。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67C03A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197A6E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336EC9B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E02640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4B74D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技术规格偏离情况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673055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评审委员会根据技术需求参数响应情况进行打分，各项技术参数指标及要求全部满足的得满分，所有标注▲”的重要参数每项负偏离（含不符合或者不满足、不响应）一项扣15分，一般参数每负偏离（含不符合或者不满足、不响应）一项扣1分，扣完为止。 证明文件： 注：投标人须按《技术规格偏离表》中的要求提供相关证明资料，如要求提供厂家网站截图说明书厂家出具的参数文件检验报告”等证明资料的，需按要求提供相关证明资料；提供的证明资料与所填写内容不一致的，以证明资料为准，原件备查。证明资料未提供，或提供的证明资料不清或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8DC03D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B1E2F2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r>
      <w:tr w14:paraId="0E68636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BDEFED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5203C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 (仅限1人)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E2AB2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拟安排的项目负责人（仅限1人）需为投标人自有员工（提供社保证明），否则本项不得分，在此基础上： 1.具有人社部门颁发的计算机技术与软件专业技术资格（级别：高级或以上（含副高），专业：系统与规划管理师）证书或计算机技术与软件专业技术资格（级别：高级或以上（含副高），专业：信息系统项目管理师）证书； 2.具有行政机关或事业单位颁发的信息安全保障人员认证（CISAW）证书； 3.具有工信部门颁发的智能运维工程师证书； 4.具有工信部门颁发的人工智能类专业中级（或以上）职称证书； 5.具有工信部门颁发的网络技术工程师（高级或以上（含副高））证书； 提供以上5项得100分，提供以上任意4项60分，提供以上任意3项30分，提供以上任意2项10分，未提供或其他情况不得分。 证明文件： 1.提供开标日前由投标人为拟投入本项目的负责人缴交的载有政府部门公章（或专用章）的2024年7月-2024年9月近三个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 2.第1-5项提供有效证书扫描件； 3.未提供或未按要求提供或提供的不清晰导致评审委员会无法判断的，不得分。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464021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D6FBBC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r>
      <w:tr w14:paraId="0F27A48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246AF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5BE66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071A7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拟安排项目团队成员（项目负责人除外）需为投标人自有员工（提供社保证明），否则本项不得分，在此基础上： 一、技术负责人（1名）： 1.具有行政机关或事业单位颁发的注册信息安全工程师（CISE）证书； 2.具有人社部门或工信部门颁发的（高级或以上（含副高））软件开发工程师证书。 以上每提供1项得15分，技术负责人最高得30分，其他情况不得分。 二、终端及应急保障服务负责人（1名）： 1.具有注册信息安全工程师（CISE）证书； 2.具有人社部门或工信部门颁发的智能化系统工程师证书； 3.具有人社部门或工信部门颁发的（高级或以上（含副高））软件开发工程师证书。 以上每提供1项得10分，终端及应急保障服务负责人最高得30分，其他情况不得分。 三、安全售后负责人（1人）： 1.具有行政机关或事业单位颁发的注册人信息安全工程师(CISE)证书。 2.具有工信部门颁发的安防系统工程师（高级或以上（含副高））证书。 以上每提供1项得10分，安全售后负责人最高得20分，其他情况不得分。 四、项目实施团队（4人）： 团队成员（技术负责人、终端及应急保障服务负责人、安全售后负责人除外）中具有人社部门或工信部门或信息产业部门颁发的通信类或广电类或信息工程类专业中级（或以上）职称的，每提供一人得5分，项目实施团队最高得20分，其他情况不得分。 证明文件： 1.提供开标日前由投标人为相关人员缴交的载有政府部门公章（或专用章）的2024年7月-2024年9月近三个月任意一个月的社保缴交证明材料，如开标日上一个月的社保材料因政府部门原因暂时无法取得，则可以往前顺延一个月；社保资料至少显示缴交养老保险信息，未显示该信息的该社保资料则不符合要求，原件备查。如供应商为新成立企业且成立时间不足1个月的，需承诺相关人员为投标人自有员工，承诺函格式自拟并加盖公章； 2.提供上述评分项中对应的有效证书扫描件； 3.未提供或未按要求提供或提供的不清晰导致评审委员会无法判断的，不得分。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0FF67E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16F720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2C43690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B36D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A9766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商务部分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5BC81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E52B63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404059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39A6E2C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06269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2D4226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商务条款偏离情况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AD438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投标人应如实填写《商务条款偏离情况》，评审小组根据响应情况进行打分，除带★”实质性条款外全部满足要求的得100分，每负偏离一项扣15分。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DD1FAA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868D7F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r>
      <w:tr w14:paraId="387FC91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C47EF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4E49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同类项目业绩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130D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投标人（如投标人为分公司或分支机构可用其总公司业绩）2021年10月1日至本项目投标截止时间，（以签订合同日期为准）在同类项目业绩情况：每提供1个得20分，最高得100分。每项业绩须按以下要求提供完整准确的证明文件，一年一签的长期服务续签合同只计算一个业绩。 证明文件： 提供合同或协议关键页（关键信息包括但不仅限于合同的项目名称、服务内容（采购标的）、签订日期等），未提供的不得分，原件备查。 评分中出现无证明资料或专家无法凭所提供资料判断是否得分的情况，一律作不得分处理。 通过上述资料无法判断是否得分的，也可以同时提供能证明得分的其它资料，如项目报告或采购单位（或被服务单位）出具的证明文件等。</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E5B313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201AAA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7A0597E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FDDEFA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FE353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9F4517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1.具有质量管理体系认证证书得25分； 2.具有售后服务认证证书得25分； 3.具有环境管理体系认证证书得25分； 4.具有职业健康安全管理体系认证证书得25分； 本项最高得100分，未提供或其他情况不得分。 证明文件： 1.提供证书扫描件及全国认证认可信息公共服务平台（cx.cnca.cn）认证信息查询截图（截图需显示证书状态为有效）。相关证书在公开渠道无法查询的，投标人需提供颁发部门或者监管机构的证明材料，证明证书真实有效且为合法机构颁发； 2.如投标人为分支机构，提供其总公司的证书也可按照评分规则计分；证书单位名称需与投标人名称或其总公司名称一致，否则不得分； 3.未提供或未按要求提供或提供的不清晰导致评审委员会无法判断的，不得分。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B65777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E2AA36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14:paraId="0D77F48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A2EBE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C0A36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投标人荣誉情况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F81662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投标人获得过行政机关或事业单位颁发的科学技术或信息技术相关奖项，国家级的得100分，省级（含副省级）的得30分，其他情况不得分，最高得100分。 证明文件： 1.提供奖项照片或获奖（荣誉）证书等证明材料，如投标人为分公司或分支机构，提供其总公司获奖证书也可按照评分规则计分；获奖单位名称需与投标人名称或其总公司名称一致，否则不得分； 2.未提供或未按要求提供或提供的不清晰导致评审委员会无法判断的，不得分。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836E59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1EBDF1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2608971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D080F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5EFFB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投标人自主知识产权产品（创新、设计）情况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1E0044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1.具有图像数据和电子身份标识识别类相关计算机软件著作权登记证书或专利证书。 2.具有视频AI分析集约管控平台类相关计算机软件著作权登记证书或专利证书。 3.具有智能识别系统类相关计算机软件著作权登记证书或专利证书。 4.具有云视频分析引擎类相关计算机软件著作权登记证书或专利证书。 5.具有智能运维平台类相关计算机软件著作权登记证书或专利证书。 提供任意一项得20分，最高得100分，未提供或其他情况不得分。 （投标人提供的计算机软件著作权登记证书名称或专利证书名称与招标文件要求不必完全一致，用途一致或相近即可） 评审标准： 1.提供国家版权部门或国家知识产权部门颁发的有效证书扫描件（知识产权人或专利权人需为投标人，如投标人为分公司或分支机构，可提供总公司相应证书。证书单位名称需与投标人名称或其总公司名称一致，否则不得分）； 2.未提供或未按要求提供或提供的不清晰导致评审委员会无法判断的，不得分。</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C9A4D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14832B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2423CC3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9B6A5A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763E5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B2B18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考察内容： 投标人承诺在参与自行采购活动中未出现诚信或安全相关问题且不在相关主管部门处理措施实施期限内的本项得100分，否则不得分。 证明文件： 投标人须提供的《诚信承诺函》，按采购文件格式要求提供，不提供或提供的不符合要求或提供不清晰导致专家无法判断的均不得分。如被认定提供的陈述与事实不符受到行政处罚的，依法追究其责任。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82B1E9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743CF6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bl>
    <w:p w14:paraId="51F2BADA">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7EBF334D">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10%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CC"/>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94947">
    <w:pPr>
      <w:pStyle w:val="6"/>
      <w:jc w:val="center"/>
    </w:pPr>
  </w:p>
  <w:p w14:paraId="20BA6E3F">
    <w:pPr>
      <w:pStyle w:val="6"/>
      <w:spacing w:after="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4632D">
    <w:pPr>
      <w:pStyle w:val="7"/>
      <w:spacing w:after="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09221C"/>
    <w:multiLevelType w:val="singleLevel"/>
    <w:tmpl w:val="B609221C"/>
    <w:lvl w:ilvl="0" w:tentative="0">
      <w:start w:val="1"/>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158264A0"/>
    <w:multiLevelType w:val="singleLevel"/>
    <w:tmpl w:val="158264A0"/>
    <w:lvl w:ilvl="0" w:tentative="0">
      <w:start w:val="1"/>
      <w:numFmt w:val="decimal"/>
      <w:lvlText w:val="%1."/>
      <w:lvlJc w:val="left"/>
      <w:pPr>
        <w:tabs>
          <w:tab w:val="left" w:pos="312"/>
        </w:tabs>
      </w:pPr>
    </w:lvl>
  </w:abstractNum>
  <w:abstractNum w:abstractNumId="3">
    <w:nsid w:val="721CBBE0"/>
    <w:multiLevelType w:val="singleLevel"/>
    <w:tmpl w:val="721CBBE0"/>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UzNDRlOTBkNTc5N2M2NzRiZjZlMGY0NzJmMzgxZGUifQ=="/>
  </w:docVars>
  <w:rsids>
    <w:rsidRoot w:val="00A77B3E"/>
    <w:rsid w:val="00A77B3E"/>
    <w:rsid w:val="00CA2A55"/>
    <w:rsid w:val="06CB437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11">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annotation text"/>
    <w:basedOn w:val="1"/>
    <w:qFormat/>
    <w:uiPriority w:val="0"/>
  </w:style>
  <w:style w:type="paragraph" w:styleId="4">
    <w:name w:val="Body Text"/>
    <w:basedOn w:val="1"/>
    <w:next w:val="5"/>
    <w:qFormat/>
    <w:uiPriority w:val="0"/>
    <w:pPr>
      <w:spacing w:line="360" w:lineRule="auto"/>
    </w:pPr>
    <w:rPr>
      <w:b/>
      <w:bCs/>
    </w:rPr>
  </w:style>
  <w:style w:type="paragraph" w:styleId="5">
    <w:name w:val="Body Text 2"/>
    <w:basedOn w:val="1"/>
    <w:qFormat/>
    <w:uiPriority w:val="0"/>
    <w:pPr>
      <w:spacing w:after="120" w:line="480" w:lineRule="auto"/>
    </w:pPr>
  </w:style>
  <w:style w:type="paragraph" w:styleId="6">
    <w:name w:val="footer"/>
    <w:basedOn w:val="1"/>
    <w:link w:val="13"/>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7">
    <w:name w:val="header"/>
    <w:basedOn w:val="1"/>
    <w:link w:val="12"/>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paragraph" w:styleId="8">
    <w:name w:val="Normal (Web)"/>
    <w:basedOn w:val="1"/>
    <w:qFormat/>
    <w:uiPriority w:val="99"/>
  </w:style>
  <w:style w:type="table" w:styleId="10">
    <w:name w:val="Table Grid"/>
    <w:basedOn w:val="9"/>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rFonts w:eastAsia="宋体"/>
      <w:sz w:val="18"/>
      <w:szCs w:val="18"/>
    </w:rPr>
  </w:style>
  <w:style w:type="character" w:customStyle="1" w:styleId="13">
    <w:name w:val="页脚 Char"/>
    <w:basedOn w:val="11"/>
    <w:link w:val="6"/>
    <w:qFormat/>
    <w:uiPriority w:val="99"/>
    <w:rPr>
      <w:rFonts w:eastAsia="宋体"/>
      <w:sz w:val="18"/>
      <w:szCs w:val="18"/>
    </w:rPr>
  </w:style>
  <w:style w:type="paragraph" w:customStyle="1" w:styleId="14">
    <w:name w:val="USE 1"/>
    <w:basedOn w:val="1"/>
    <w:qFormat/>
    <w:uiPriority w:val="0"/>
    <w:pPr>
      <w:spacing w:line="200" w:lineRule="atLeast"/>
    </w:pPr>
    <w:rPr>
      <w:rFonts w:ascii="宋体" w:hAnsi="宋体"/>
      <w:b/>
      <w:szCs w:val="28"/>
    </w:rPr>
  </w:style>
  <w:style w:type="table" w:customStyle="1" w:styleId="15">
    <w:name w:val="typo_table"/>
    <w:basedOn w:val="9"/>
    <w:uiPriority w:val="0"/>
  </w:style>
  <w:style w:type="paragraph" w:customStyle="1" w:styleId="16">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17">
    <w:name w:val="base"/>
    <w:basedOn w:val="11"/>
    <w:qFormat/>
    <w:uiPriority w:val="0"/>
    <w:rPr>
      <w:rFonts w:ascii="仿宋" w:hAnsi="仿宋" w:eastAsia="仿宋" w:cs="仿宋"/>
      <w:b/>
      <w:bCs/>
      <w:sz w:val="28"/>
      <w:szCs w:val="28"/>
    </w:rPr>
  </w:style>
  <w:style w:type="paragraph" w:customStyle="1" w:styleId="18">
    <w:name w:val="typo_p"/>
    <w:basedOn w:val="1"/>
    <w:qFormat/>
    <w:uiPriority w:val="0"/>
    <w:pPr>
      <w:spacing w:line="432" w:lineRule="atLeast"/>
    </w:pPr>
    <w:rPr>
      <w:rFonts w:ascii="微软雅黑" w:hAnsi="微软雅黑" w:eastAsia="微软雅黑" w:cs="微软雅黑"/>
      <w:color w:val="333333"/>
    </w:rPr>
  </w:style>
  <w:style w:type="character" w:customStyle="1" w:styleId="19">
    <w:name w:val="span"/>
    <w:basedOn w:val="11"/>
    <w:qFormat/>
    <w:uiPriority w:val="0"/>
    <w:rPr>
      <w:rFonts w:ascii="仿宋" w:hAnsi="仿宋" w:eastAsia="仿宋" w:cs="仿宋"/>
    </w:rPr>
  </w:style>
  <w:style w:type="character" w:customStyle="1" w:styleId="20">
    <w:name w:val="underline"/>
    <w:basedOn w:val="11"/>
    <w:qFormat/>
    <w:uiPriority w:val="0"/>
  </w:style>
  <w:style w:type="paragraph" w:customStyle="1" w:styleId="21">
    <w:name w:val="div"/>
    <w:basedOn w:val="1"/>
    <w:qFormat/>
    <w:uiPriority w:val="0"/>
    <w:pPr>
      <w:keepLines/>
      <w:spacing w:line="432" w:lineRule="atLeast"/>
    </w:pPr>
    <w:rPr>
      <w:rFonts w:ascii="微软雅黑" w:hAnsi="微软雅黑" w:eastAsia="微软雅黑" w:cs="微软雅黑"/>
      <w:color w:val="333333"/>
    </w:rPr>
  </w:style>
  <w:style w:type="character" w:customStyle="1" w:styleId="22">
    <w:name w:val="step-methods_step-item_label"/>
    <w:basedOn w:val="11"/>
    <w:qFormat/>
    <w:uiPriority w:val="0"/>
  </w:style>
  <w:style w:type="table" w:customStyle="1" w:styleId="23">
    <w:name w:val="typo_table_0"/>
    <w:basedOn w:val="9"/>
    <w:qFormat/>
    <w:uiPriority w:val="0"/>
  </w:style>
  <w:style w:type="character" w:customStyle="1" w:styleId="24">
    <w:name w:val="strong"/>
    <w:basedOn w:val="11"/>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94</Pages>
  <Words>13975</Words>
  <Characters>14901</Characters>
  <Lines>1</Lines>
  <Paragraphs>1</Paragraphs>
  <TotalTime>0</TotalTime>
  <ScaleCrop>false</ScaleCrop>
  <LinksUpToDate>false</LinksUpToDate>
  <CharactersWithSpaces>14957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2024-10-21T10:51:53Z</dcterms:created>
  <dc:creator>Administrator</dc:creator>
  <cp:lastModifiedBy>景山</cp:lastModifiedBy>
  <dcterms:modified xsi:type="dcterms:W3CDTF">2024-10-21T10:52:37Z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76FD313BF3C140158A14BBAAC6C4BBC6_12</vt:lpwstr>
  </property>
</Properties>
</file>