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41A8E">
      <w:pPr>
        <w:widowControl/>
        <w:spacing w:before="0" w:beforeAutospacing="1" w:after="0" w:afterAutospacing="1"/>
        <w:jc w:val="center"/>
        <w:outlineLvl w:val="0"/>
        <w:rPr>
          <w:rFonts w:hint="eastAsia" w:ascii="黑体" w:hAnsi="宋体" w:eastAsia="黑体" w:cs="黑体"/>
          <w:sz w:val="40"/>
          <w:szCs w:val="40"/>
          <w:lang w:eastAsia="zh-CN"/>
        </w:rPr>
      </w:pPr>
      <w:r>
        <w:rPr>
          <w:rFonts w:hint="eastAsia" w:ascii="黑体" w:hAnsi="宋体" w:eastAsia="黑体" w:cs="黑体"/>
          <w:sz w:val="40"/>
          <w:szCs w:val="40"/>
          <w:lang w:eastAsia="zh-CN"/>
        </w:rPr>
        <w:t>招标文件信息</w:t>
      </w:r>
    </w:p>
    <w:p w14:paraId="0865C251">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p>
    <w:p w14:paraId="0728EEE3">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项目编号：</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LHAZXDL-2024-00074</w:t>
      </w:r>
    </w:p>
    <w:p w14:paraId="03B26E63">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项目名称：</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至美校区图书馆设施设备采购</w:t>
      </w:r>
    </w:p>
    <w:p w14:paraId="290CEDB0">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包    号：</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A</w:t>
      </w:r>
    </w:p>
    <w:p w14:paraId="630F7C26">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项目类型：</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货物类</w:t>
      </w:r>
    </w:p>
    <w:p w14:paraId="301C2730">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采购方式：</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公开招标</w:t>
      </w:r>
    </w:p>
    <w:p w14:paraId="061D1145">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货币类型：</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人民币</w:t>
      </w:r>
    </w:p>
    <w:p w14:paraId="0DD60B80">
      <w:pPr>
        <w:keepNext/>
        <w:keepLines/>
        <w:widowControl w:val="0"/>
        <w:spacing w:before="340" w:after="78" w:afterLines="25" w:line="578" w:lineRule="auto"/>
        <w:jc w:val="both"/>
        <w:outlineLvl w:val="0"/>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评标方法：</w:t>
      </w:r>
      <w:r>
        <w:rPr>
          <w:rFonts w:hint="eastAsia" w:ascii="宋体" w:hAnsi="宋体" w:eastAsia="宋体" w:cs="宋体"/>
          <w:b/>
          <w:bCs/>
          <w:kern w:val="44"/>
          <w:sz w:val="32"/>
          <w:szCs w:val="32"/>
          <w:lang w:eastAsia="zh-CN"/>
        </w:rPr>
        <w:tab/>
      </w:r>
      <w:r>
        <w:rPr>
          <w:rFonts w:hint="eastAsia" w:ascii="宋体" w:hAnsi="宋体" w:eastAsia="宋体" w:cs="宋体"/>
          <w:b/>
          <w:bCs/>
          <w:kern w:val="44"/>
          <w:sz w:val="32"/>
          <w:szCs w:val="32"/>
          <w:lang w:eastAsia="zh-CN"/>
        </w:rPr>
        <w:t>综合评分法</w:t>
      </w:r>
    </w:p>
    <w:p w14:paraId="471BEB20">
      <w:pPr>
        <w:widowControl w:val="0"/>
        <w:tabs>
          <w:tab w:val="left" w:pos="2790"/>
        </w:tabs>
        <w:snapToGrid w:val="0"/>
        <w:spacing w:line="440" w:lineRule="exact"/>
        <w:jc w:val="left"/>
        <w:rPr>
          <w:rFonts w:hint="eastAsia" w:ascii="宋体" w:hAnsi="宋体" w:eastAsia="宋体"/>
          <w:kern w:val="2"/>
          <w:sz w:val="30"/>
          <w:szCs w:val="30"/>
          <w:lang w:eastAsia="zh-CN"/>
        </w:rPr>
      </w:pPr>
    </w:p>
    <w:p w14:paraId="5793DBEA">
      <w:pPr>
        <w:widowControl w:val="0"/>
        <w:jc w:val="both"/>
        <w:rPr>
          <w:rFonts w:hint="eastAsia" w:ascii="黑体" w:hAnsi="黑体" w:eastAsia="黑体"/>
          <w:kern w:val="2"/>
          <w:sz w:val="40"/>
          <w:szCs w:val="40"/>
          <w:lang w:eastAsia="zh-CN"/>
        </w:rPr>
      </w:pPr>
      <w:r>
        <w:rPr>
          <w:rFonts w:hint="eastAsia" w:ascii="黑体" w:hAnsi="黑体" w:eastAsia="黑体"/>
          <w:kern w:val="2"/>
          <w:sz w:val="40"/>
          <w:szCs w:val="40"/>
          <w:lang w:eastAsia="zh-CN"/>
        </w:rPr>
        <w:br w:type="page"/>
      </w:r>
    </w:p>
    <w:p w14:paraId="5BAE3105">
      <w:pPr>
        <w:widowControl w:val="0"/>
        <w:tabs>
          <w:tab w:val="left" w:pos="2790"/>
        </w:tabs>
        <w:snapToGrid w:val="0"/>
        <w:jc w:val="center"/>
        <w:outlineLvl w:val="0"/>
        <w:rPr>
          <w:rFonts w:hint="eastAsia"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9"/>
        <w:gridCol w:w="8077"/>
      </w:tblGrid>
      <w:tr w14:paraId="0B6B4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168A643">
            <w:pPr>
              <w:widowControl w:val="0"/>
              <w:spacing w:line="290" w:lineRule="exact"/>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序号</w:t>
            </w:r>
          </w:p>
        </w:tc>
        <w:tc>
          <w:tcPr>
            <w:tcW w:w="823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737D1E8">
            <w:pPr>
              <w:widowControl w:val="0"/>
              <w:spacing w:line="290" w:lineRule="exact"/>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内容</w:t>
            </w:r>
          </w:p>
        </w:tc>
      </w:tr>
      <w:tr w14:paraId="20E89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930025C">
            <w:pPr>
              <w:widowControl w:val="0"/>
              <w:spacing w:line="290" w:lineRule="exact"/>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1</w:t>
            </w:r>
          </w:p>
        </w:tc>
        <w:tc>
          <w:tcPr>
            <w:tcW w:w="8230" w:type="dxa"/>
            <w:tcBorders>
              <w:top w:val="single" w:color="000000" w:sz="8" w:space="0"/>
              <w:left w:val="single" w:color="000000" w:sz="8" w:space="0"/>
              <w:bottom w:val="single" w:color="000000" w:sz="8" w:space="0"/>
              <w:right w:val="single" w:color="000000" w:sz="8" w:space="0"/>
            </w:tcBorders>
          </w:tcPr>
          <w:p w14:paraId="45C603B1">
            <w:pPr>
              <w:widowControl w:val="0"/>
              <w:spacing w:line="290" w:lineRule="exact"/>
              <w:jc w:val="both"/>
              <w:rPr>
                <w:rFonts w:hint="eastAsia"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rPr>
              <w:t>）。</w:t>
            </w:r>
          </w:p>
        </w:tc>
      </w:tr>
    </w:tbl>
    <w:p w14:paraId="5077CC14">
      <w:pPr>
        <w:widowControl w:val="0"/>
        <w:tabs>
          <w:tab w:val="left" w:pos="2790"/>
        </w:tabs>
        <w:snapToGrid w:val="0"/>
        <w:jc w:val="center"/>
        <w:rPr>
          <w:rFonts w:hint="eastAsia" w:ascii="黑体" w:hAnsi="黑体" w:eastAsia="黑体"/>
          <w:kern w:val="2"/>
          <w:sz w:val="40"/>
          <w:szCs w:val="40"/>
          <w:lang w:eastAsia="zh-CN"/>
        </w:rPr>
      </w:pPr>
    </w:p>
    <w:p w14:paraId="6506689E">
      <w:pPr>
        <w:widowControl w:val="0"/>
        <w:tabs>
          <w:tab w:val="left" w:pos="2790"/>
        </w:tabs>
        <w:snapToGrid w:val="0"/>
        <w:jc w:val="center"/>
        <w:outlineLvl w:val="0"/>
        <w:rPr>
          <w:rFonts w:hint="eastAsia"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4"/>
        <w:gridCol w:w="8082"/>
      </w:tblGrid>
      <w:tr w14:paraId="2ACB6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F9760A4">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15F2444">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内容</w:t>
            </w:r>
          </w:p>
        </w:tc>
      </w:tr>
      <w:tr w14:paraId="4764D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57417B">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E77A732">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不得将一个包的内容拆开投标；</w:t>
            </w:r>
          </w:p>
        </w:tc>
      </w:tr>
      <w:tr w14:paraId="68661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B52D8">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1C9308B">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对同一项目投标时，不得提供两套以上的投标方案（招标文件另有规定的除外）；</w:t>
            </w:r>
          </w:p>
        </w:tc>
      </w:tr>
      <w:tr w14:paraId="63BB6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2817C7">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C63202E">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分项报价或投标总价不得高于</w:t>
            </w:r>
            <w:bookmarkStart w:id="0" w:name="_Hlk71832186"/>
            <w:r>
              <w:rPr>
                <w:rFonts w:hint="eastAsia" w:ascii="Calibri" w:hAnsi="Calibri" w:eastAsia="宋体" w:cstheme="minorBidi"/>
                <w:kern w:val="2"/>
                <w:sz w:val="21"/>
                <w:szCs w:val="22"/>
                <w:lang w:eastAsia="zh-CN"/>
              </w:rPr>
              <w:t>相应预算金额（或设定的预算金额下的最高限价）</w:t>
            </w:r>
            <w:bookmarkEnd w:id="0"/>
            <w:r>
              <w:rPr>
                <w:rFonts w:hint="eastAsia" w:ascii="Calibri" w:hAnsi="Calibri" w:eastAsia="宋体" w:cstheme="minorBidi"/>
                <w:kern w:val="2"/>
                <w:sz w:val="21"/>
                <w:szCs w:val="22"/>
                <w:lang w:eastAsia="zh-CN"/>
              </w:rPr>
              <w:t>；</w:t>
            </w:r>
          </w:p>
        </w:tc>
      </w:tr>
      <w:tr w14:paraId="4FF3D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8F037">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9FC3BC9">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4983C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310F56">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B841AD0">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4CAEB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FAF35">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43C6E4D">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未按招标文件所提供的样式填写《投标函》；未按招标文件所提供的《政府采购投标及履约承诺函》进行承诺；未按招标文件对投标文件组成的要求提供投标文件；</w:t>
            </w:r>
          </w:p>
        </w:tc>
      </w:tr>
      <w:tr w14:paraId="6EFB68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79B73">
            <w:pPr>
              <w:widowControl/>
              <w:jc w:val="center"/>
              <w:textAlignment w:val="top"/>
              <w:rPr>
                <w:rFonts w:ascii="Calibri" w:hAnsi="Calibri" w:eastAsia="宋体"/>
                <w:kern w:val="2"/>
                <w:sz w:val="21"/>
                <w:szCs w:val="22"/>
                <w:lang w:eastAsia="zh-CN"/>
              </w:rPr>
            </w:pPr>
            <w:r>
              <w:rPr>
                <w:rFonts w:hint="eastAsia" w:ascii="Calibri" w:hAnsi="Calibri" w:eastAsia="宋体" w:cstheme="minorBidi"/>
                <w:kern w:val="2"/>
                <w:sz w:val="21"/>
                <w:szCs w:val="22"/>
                <w:lang w:eastAsia="zh-CN"/>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D40D0D5">
            <w:pPr>
              <w:widowControl/>
              <w:jc w:val="left"/>
              <w:textAlignment w:val="top"/>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采购标的/所投产品/货物清单/报价等任意一类有缺漏项或响应不全，或者对招标文件规定的项目需求内容或者需求数量进行修改，评审委员会判定投标响应不满足采购需求；</w:t>
            </w:r>
          </w:p>
        </w:tc>
      </w:tr>
      <w:tr w14:paraId="18376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63DAB">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BC6DFF4">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投标文件存在列放位置错误，导致属于信息公开情形的没有被公开；</w:t>
            </w:r>
          </w:p>
        </w:tc>
      </w:tr>
      <w:tr w14:paraId="4B047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691AA">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D6AA71F">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投标文件电子文档不得带病毒；</w:t>
            </w:r>
          </w:p>
        </w:tc>
      </w:tr>
      <w:tr w14:paraId="3C7081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F79291">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E6B16F5">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投标文件用不属于本公司的电子密钥或电子营业执照进行加密的；</w:t>
            </w:r>
          </w:p>
        </w:tc>
      </w:tr>
      <w:tr w14:paraId="3E0C3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10507">
            <w:pPr>
              <w:widowControl/>
              <w:jc w:val="center"/>
              <w:textAlignment w:val="top"/>
              <w:rPr>
                <w:rFonts w:ascii="Calibri" w:hAnsi="Calibri" w:eastAsia="宋体"/>
                <w:kern w:val="2"/>
                <w:sz w:val="21"/>
                <w:lang w:eastAsia="zh-CN"/>
              </w:rPr>
            </w:pPr>
            <w:r>
              <w:rPr>
                <w:rFonts w:hint="eastAsia" w:ascii="Calibri" w:hAnsi="Calibri" w:eastAsia="宋体" w:cstheme="minorBidi"/>
                <w:kern w:val="2"/>
                <w:sz w:val="21"/>
                <w:lang w:eastAsia="zh-CN"/>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FB75401">
            <w:pPr>
              <w:widowControl/>
              <w:jc w:val="left"/>
              <w:textAlignment w:val="top"/>
              <w:rPr>
                <w:rFonts w:ascii="Calibri" w:hAnsi="Calibri" w:eastAsia="宋体"/>
                <w:kern w:val="2"/>
                <w:sz w:val="21"/>
                <w:lang w:eastAsia="zh-CN"/>
              </w:rPr>
            </w:pPr>
            <w:r>
              <w:rPr>
                <w:rFonts w:hint="eastAsia" w:eastAsia="宋体"/>
                <w:kern w:val="2"/>
                <w:sz w:val="21"/>
                <w:lang w:eastAsia="zh-CN"/>
              </w:rPr>
              <w:t>不同投标供应商投标文件“文件制作机器码”一致；</w:t>
            </w:r>
          </w:p>
        </w:tc>
      </w:tr>
      <w:tr w14:paraId="59DE3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310D5">
            <w:pPr>
              <w:widowControl/>
              <w:jc w:val="center"/>
              <w:textAlignment w:val="top"/>
              <w:rPr>
                <w:rFonts w:ascii="Calibri" w:hAnsi="Calibri" w:eastAsia="宋体"/>
                <w:kern w:val="2"/>
                <w:sz w:val="21"/>
                <w:lang w:eastAsia="zh-CN"/>
              </w:rPr>
            </w:pPr>
            <w:r>
              <w:rPr>
                <w:rFonts w:hint="eastAsia" w:ascii="Calibri" w:hAnsi="Calibri" w:eastAsia="宋体" w:cstheme="minorBidi"/>
                <w:kern w:val="2"/>
                <w:sz w:val="21"/>
                <w:lang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11A3750">
            <w:pPr>
              <w:widowControl/>
              <w:jc w:val="left"/>
              <w:textAlignment w:val="top"/>
              <w:rPr>
                <w:rFonts w:ascii="Calibri" w:hAnsi="Calibri" w:eastAsia="宋体"/>
                <w:kern w:val="2"/>
                <w:sz w:val="21"/>
                <w:lang w:eastAsia="zh-CN"/>
              </w:rPr>
            </w:pPr>
            <w:r>
              <w:rPr>
                <w:rFonts w:hint="eastAsia" w:eastAsia="宋体"/>
                <w:kern w:val="2"/>
                <w:sz w:val="21"/>
                <w:lang w:eastAsia="zh-CN"/>
              </w:rPr>
              <w:t>不同投标供应商投标文件“文件创建标识码”一致；</w:t>
            </w:r>
          </w:p>
        </w:tc>
      </w:tr>
      <w:tr w14:paraId="5395F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FC6467">
            <w:pPr>
              <w:widowControl/>
              <w:jc w:val="center"/>
              <w:textAlignment w:val="top"/>
              <w:rPr>
                <w:rFonts w:ascii="Calibri" w:hAnsi="Calibri" w:eastAsia="宋体"/>
                <w:kern w:val="2"/>
                <w:sz w:val="21"/>
                <w:szCs w:val="21"/>
                <w:lang w:eastAsia="zh-CN"/>
              </w:rPr>
            </w:pPr>
            <w:r>
              <w:rPr>
                <w:rFonts w:hint="eastAsia" w:ascii="宋体" w:hAnsi="宋体" w:eastAsia="宋体" w:cs="宋体"/>
                <w:sz w:val="21"/>
                <w:szCs w:val="21"/>
                <w:lang w:eastAsia="zh-CN"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B8EF7AF">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法律、法规、规章、规范性文件规定的其他情形。</w:t>
            </w:r>
          </w:p>
        </w:tc>
      </w:tr>
    </w:tbl>
    <w:p w14:paraId="24369C1E">
      <w:pPr>
        <w:widowControl w:val="0"/>
        <w:tabs>
          <w:tab w:val="left" w:pos="2790"/>
        </w:tabs>
        <w:snapToGrid w:val="0"/>
        <w:jc w:val="left"/>
        <w:rPr>
          <w:rFonts w:ascii="Calibri" w:hAnsi="Calibri" w:eastAsia="宋体"/>
          <w:kern w:val="2"/>
          <w:lang w:eastAsia="zh-CN"/>
        </w:rPr>
      </w:pPr>
    </w:p>
    <w:p w14:paraId="2C002E3B">
      <w:pPr>
        <w:widowControl w:val="0"/>
        <w:tabs>
          <w:tab w:val="left" w:pos="2790"/>
        </w:tabs>
        <w:snapToGrid w:val="0"/>
        <w:jc w:val="left"/>
        <w:rPr>
          <w:rFonts w:ascii="Calibri" w:hAnsi="Calibri" w:eastAsia="宋体"/>
          <w:kern w:val="2"/>
          <w:lang w:eastAsia="zh-CN"/>
        </w:rPr>
      </w:pPr>
    </w:p>
    <w:p w14:paraId="3F52830B">
      <w:pPr>
        <w:widowControl w:val="0"/>
        <w:tabs>
          <w:tab w:val="left" w:pos="2790"/>
        </w:tabs>
        <w:snapToGrid w:val="0"/>
        <w:jc w:val="left"/>
        <w:rPr>
          <w:rFonts w:ascii="Calibri" w:hAnsi="Calibri" w:eastAsia="宋体"/>
          <w:kern w:val="2"/>
          <w:lang w:eastAsia="zh-CN"/>
        </w:rPr>
      </w:pPr>
    </w:p>
    <w:p w14:paraId="69A0947B">
      <w:pPr>
        <w:widowControl w:val="0"/>
        <w:tabs>
          <w:tab w:val="left" w:pos="2790"/>
        </w:tabs>
        <w:snapToGrid w:val="0"/>
        <w:jc w:val="left"/>
        <w:rPr>
          <w:rFonts w:ascii="Calibri" w:hAnsi="Calibri" w:eastAsia="宋体"/>
          <w:kern w:val="2"/>
          <w:lang w:eastAsia="zh-CN"/>
        </w:rPr>
      </w:pPr>
    </w:p>
    <w:p w14:paraId="2AC0A074">
      <w:pPr>
        <w:widowControl/>
        <w:spacing w:before="100" w:beforeAutospacing="1" w:afterAutospacing="1"/>
        <w:jc w:val="center"/>
        <w:outlineLvl w:val="0"/>
        <w:rPr>
          <w:rFonts w:hint="eastAsia" w:ascii="黑体" w:hAnsi="宋体" w:eastAsia="黑体"/>
          <w:kern w:val="2"/>
          <w:sz w:val="40"/>
          <w:szCs w:val="40"/>
          <w:lang w:eastAsia="zh-CN"/>
        </w:rPr>
      </w:pPr>
      <w:r>
        <w:rPr>
          <w:rFonts w:hint="eastAsia" w:ascii="黑体" w:hAnsi="黑体" w:eastAsia="黑体" w:cstheme="minorBidi"/>
          <w:kern w:val="2"/>
          <w:sz w:val="40"/>
          <w:szCs w:val="40"/>
          <w:lang w:eastAsia="zh-CN"/>
        </w:rPr>
        <w:br w:type="page"/>
      </w:r>
      <w:r>
        <w:rPr>
          <w:rFonts w:hint="eastAsia" w:ascii="黑体" w:hAnsi="黑体" w:eastAsia="黑体" w:cstheme="minorBidi"/>
          <w:kern w:val="2"/>
          <w:sz w:val="40"/>
          <w:szCs w:val="40"/>
          <w:lang w:eastAsia="zh-CN"/>
        </w:rPr>
        <w:t>评标信息</w:t>
      </w:r>
    </w:p>
    <w:tbl>
      <w:tblPr>
        <w:tblStyle w:val="1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417"/>
        <w:gridCol w:w="463"/>
        <w:gridCol w:w="1406"/>
        <w:gridCol w:w="935"/>
        <w:gridCol w:w="5509"/>
      </w:tblGrid>
      <w:tr w14:paraId="2B06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141" w:type="dxa"/>
            <w:gridSpan w:val="5"/>
            <w:shd w:val="clear" w:color="auto" w:fill="auto"/>
            <w:vAlign w:val="center"/>
          </w:tcPr>
          <w:p w14:paraId="399C95F7">
            <w:pPr>
              <w:widowControl w:val="0"/>
              <w:jc w:val="left"/>
              <w:rPr>
                <w:rFonts w:ascii="宋体" w:hAnsi="Calibri" w:eastAsia="宋体"/>
                <w:b/>
                <w:bCs/>
                <w:kern w:val="2"/>
                <w:szCs w:val="22"/>
                <w:lang w:eastAsia="zh-CN"/>
              </w:rPr>
            </w:pPr>
            <w:r>
              <w:rPr>
                <w:rFonts w:ascii="Calibri" w:hAnsi="Calibri" w:eastAsia="宋体" w:cstheme="minorBidi"/>
                <w:b/>
                <w:bCs/>
                <w:kern w:val="2"/>
                <w:sz w:val="21"/>
                <w:szCs w:val="22"/>
                <w:lang w:eastAsia="zh-CN"/>
              </w:rPr>
              <w:t>评标方法：综合评分法</w:t>
            </w:r>
          </w:p>
        </w:tc>
      </w:tr>
      <w:tr w14:paraId="70A7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141" w:type="dxa"/>
            <w:gridSpan w:val="5"/>
            <w:shd w:val="clear" w:color="auto" w:fill="auto"/>
            <w:vAlign w:val="center"/>
          </w:tcPr>
          <w:p w14:paraId="4FEE02E0">
            <w:pPr>
              <w:widowControl w:val="0"/>
              <w:ind w:firstLine="42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综合评分法，是指投标文件满足采购文件全部实质性要求，且按照评审因素的量化指标评审得分最高的响应供应商为中标候选人的评审方法。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14:paraId="0159BCA4">
            <w:pPr>
              <w:widowControl w:val="0"/>
              <w:ind w:firstLine="420"/>
              <w:jc w:val="both"/>
              <w:rPr>
                <w:rFonts w:ascii="Calibri" w:hAnsi="Calibri" w:eastAsia="宋体"/>
                <w:kern w:val="2"/>
                <w:sz w:val="21"/>
                <w:szCs w:val="22"/>
                <w:lang w:eastAsia="zh-CN"/>
              </w:rPr>
            </w:pPr>
          </w:p>
          <w:p w14:paraId="7914F1E4">
            <w:pPr>
              <w:widowControl w:val="0"/>
              <w:ind w:firstLine="420"/>
              <w:jc w:val="both"/>
              <w:rPr>
                <w:rFonts w:ascii="Calibri" w:hAnsi="Calibri" w:eastAsia="宋体"/>
                <w:kern w:val="2"/>
                <w:sz w:val="21"/>
                <w:szCs w:val="21"/>
                <w:lang w:eastAsia="zh-CN"/>
              </w:rPr>
            </w:pPr>
            <w:r>
              <w:rPr>
                <w:rFonts w:ascii="Calibri" w:hAnsi="Calibri" w:eastAsia="宋体" w:cstheme="minorBidi"/>
                <w:kern w:val="2"/>
                <w:sz w:val="21"/>
                <w:szCs w:val="21"/>
                <w:lang w:eastAsia="zh-CN"/>
              </w:rPr>
              <w:t>价格分计算方法：</w:t>
            </w:r>
          </w:p>
          <w:p w14:paraId="2142C70A">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14:paraId="1BD25A42">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 xml:space="preserve">投标报价得分=(评标基准价／投标报价)×100 </w:t>
            </w:r>
          </w:p>
          <w:p w14:paraId="091B6178">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 xml:space="preserve">评标总得分＝F1×A1＋F2×A2＋……＋Fn×An </w:t>
            </w:r>
          </w:p>
          <w:p w14:paraId="4B7D4B73">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 xml:space="preserve">F1、F2……Fn分别为各项评审因素的得分； </w:t>
            </w:r>
          </w:p>
          <w:p w14:paraId="19946529">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 xml:space="preserve">A1、A2、……An 分别为各项评审因素所占的权重(A1＋A2＋……＋An＝1)。 </w:t>
            </w:r>
          </w:p>
          <w:p w14:paraId="650EBDF0">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评标过程中，不得去掉报价中的最高报价和最低报价。</w:t>
            </w:r>
          </w:p>
          <w:p w14:paraId="0F35D924">
            <w:pPr>
              <w:widowControl/>
              <w:spacing w:before="100" w:beforeAutospacing="0" w:afterAutospacing="0"/>
              <w:ind w:left="420"/>
              <w:jc w:val="left"/>
              <w:rPr>
                <w:rFonts w:hint="eastAsia" w:ascii="宋体" w:hAnsi="宋体" w:eastAsia="宋体"/>
                <w:kern w:val="2"/>
                <w:lang w:eastAsia="zh-CN"/>
              </w:rPr>
            </w:pPr>
            <w:r>
              <w:rPr>
                <w:rFonts w:hint="eastAsia" w:ascii="宋体" w:hAnsi="宋体" w:eastAsia="宋体" w:cstheme="minorBidi"/>
                <w:kern w:val="2"/>
                <w:sz w:val="21"/>
                <w:szCs w:val="21"/>
                <w:lang w:eastAsia="zh-CN"/>
              </w:rPr>
              <w:t>因落实政府采购政策进行价格调整的，以调整后的价格计算评标基准价和投标报价。</w:t>
            </w:r>
          </w:p>
        </w:tc>
      </w:tr>
      <w:tr w14:paraId="4B0E4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A6E9A1">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序号</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4DC8ACE">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评分项</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A39D8F">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权重（%）</w:t>
            </w:r>
          </w:p>
        </w:tc>
      </w:tr>
      <w:tr w14:paraId="13FFD2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tcBorders>
              <w:top w:val="single" w:color="000000" w:sz="8" w:space="0"/>
              <w:left w:val="single" w:color="000000" w:sz="8" w:space="0"/>
              <w:bottom w:val="single" w:color="000000" w:sz="8" w:space="0"/>
              <w:right w:val="single" w:color="000000" w:sz="8" w:space="0"/>
            </w:tcBorders>
            <w:shd w:val="clear" w:color="auto" w:fill="FFFFFF"/>
          </w:tcPr>
          <w:p w14:paraId="0A903B0B">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1</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cPr>
          <w:p w14:paraId="630E2549">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价格</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cPr>
          <w:p w14:paraId="0377018C">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30</w:t>
            </w:r>
          </w:p>
        </w:tc>
      </w:tr>
      <w:tr w14:paraId="450570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restart"/>
            <w:tcBorders>
              <w:top w:val="single" w:color="000000" w:sz="8" w:space="0"/>
              <w:left w:val="single" w:color="000000" w:sz="8" w:space="0"/>
              <w:right w:val="single" w:color="000000" w:sz="8" w:space="0"/>
            </w:tcBorders>
            <w:shd w:val="clear" w:color="auto" w:fill="FFFFFF"/>
          </w:tcPr>
          <w:p w14:paraId="50C9F685">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2</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cPr>
          <w:p w14:paraId="168033AC">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技术部分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cPr>
          <w:p w14:paraId="1B2CA222">
            <w:pPr>
              <w:widowControl w:val="0"/>
              <w:snapToGrid w:val="0"/>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57</w:t>
            </w:r>
          </w:p>
        </w:tc>
      </w:tr>
      <w:tr w14:paraId="52552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1108C00D">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9E89BD">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97BDFF">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评分因素</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591BCC">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权重</w:t>
            </w:r>
            <w:r>
              <w:rPr>
                <w:rFonts w:hint="eastAsia" w:ascii="宋体" w:hAnsi="宋体" w:eastAsia="宋体" w:cs="宋体"/>
                <w:bCs/>
                <w:kern w:val="2"/>
                <w:sz w:val="21"/>
                <w:szCs w:val="21"/>
                <w:lang w:eastAsia="zh-CN"/>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674436">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评分准则</w:t>
            </w:r>
          </w:p>
        </w:tc>
      </w:tr>
      <w:tr w14:paraId="52A4FB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3A75996E">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A45B17">
            <w:pPr>
              <w:widowControl w:val="0"/>
              <w:spacing w:line="240" w:lineRule="exact"/>
              <w:jc w:val="center"/>
              <w:rPr>
                <w:rFonts w:hint="eastAsia" w:ascii="宋体" w:hAnsi="宋体" w:eastAsia="宋体" w:cs="宋体"/>
                <w:kern w:val="2"/>
                <w:sz w:val="21"/>
                <w:szCs w:val="21"/>
                <w:lang w:eastAsia="zh-CN"/>
              </w:rPr>
            </w:pPr>
            <w:r>
              <w:rPr>
                <w:rFonts w:ascii="宋体" w:hAnsi="宋体" w:eastAsia="宋体" w:cstheme="minorBidi"/>
                <w:kern w:val="2"/>
                <w:sz w:val="21"/>
                <w:szCs w:val="21"/>
                <w:lang w:eastAsia="zh-CN"/>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F81AD7">
            <w:pPr>
              <w:widowControl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技术保障措施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811FDA">
            <w:pPr>
              <w:widowControl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4</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69F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在投标文件中详细说明技术保障措施：</w:t>
            </w:r>
          </w:p>
          <w:p w14:paraId="49315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技术保障措施契合项目需求、售后服务保障及时、内容具体详细、可操作性强评价为优，</w:t>
            </w:r>
          </w:p>
          <w:p w14:paraId="750F8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技术保障措施较契合项目需求、售后服务保障较及时、内容较具体详细、可操作性较强评价为良，</w:t>
            </w:r>
          </w:p>
          <w:p w14:paraId="0EA4F4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技术保障措施基本满足项目需求、有相应售后服务保障举措、内容不全面、可操作性一般评价为中，</w:t>
            </w:r>
          </w:p>
          <w:p w14:paraId="070BD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上述情况之外的评价为差，以下主观分表述同上。评审小组根据响应情况进行分档评分，按优得4分，良2分，中1分，差不得分。</w:t>
            </w:r>
          </w:p>
        </w:tc>
      </w:tr>
      <w:tr w14:paraId="171EE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769FDED6">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B5040EB">
            <w:pPr>
              <w:widowControl w:val="0"/>
              <w:spacing w:line="240" w:lineRule="exact"/>
              <w:jc w:val="center"/>
              <w:rPr>
                <w:rFonts w:hint="eastAsia" w:ascii="宋体" w:hAnsi="宋体" w:eastAsia="宋体" w:cs="宋体"/>
                <w:kern w:val="2"/>
                <w:sz w:val="21"/>
                <w:szCs w:val="21"/>
                <w:lang w:eastAsia="zh-CN"/>
              </w:rPr>
            </w:pPr>
            <w:r>
              <w:rPr>
                <w:rFonts w:ascii="宋体" w:hAnsi="宋体" w:eastAsia="宋体" w:cstheme="minorBidi"/>
                <w:kern w:val="2"/>
                <w:sz w:val="21"/>
                <w:szCs w:val="21"/>
                <w:lang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AAF3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技术规格偏离情况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535F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40</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2B86E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 xml:space="preserve">评审小组根据《技术规格偏离表》（以下简称“偏离表”）响应情况进行打分，全部满足的得40分，除实质性条款外，一般参数负偏离一项扣0.1分，重点技术参数▲项负偏离一项扣3分。扣完为止。 </w:t>
            </w:r>
          </w:p>
          <w:p w14:paraId="4CF347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r>
      <w:tr w14:paraId="6339D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429B805A">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33436D">
            <w:pPr>
              <w:widowControl w:val="0"/>
              <w:spacing w:line="240" w:lineRule="exact"/>
              <w:jc w:val="center"/>
              <w:rPr>
                <w:rFonts w:hint="eastAsia" w:ascii="宋体" w:hAnsi="宋体" w:eastAsia="宋体" w:cs="宋体"/>
                <w:kern w:val="2"/>
                <w:sz w:val="21"/>
                <w:szCs w:val="21"/>
                <w:lang w:eastAsia="zh-CN"/>
              </w:rPr>
            </w:pPr>
            <w:r>
              <w:rPr>
                <w:rFonts w:ascii="宋体" w:hAnsi="宋体" w:eastAsia="宋体" w:cstheme="minorBidi"/>
                <w:kern w:val="2"/>
                <w:sz w:val="21"/>
                <w:szCs w:val="21"/>
                <w:lang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58D9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施工安全保障措施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8284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31B68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评审内容：</w:t>
            </w:r>
          </w:p>
          <w:p w14:paraId="787A76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投标人提供的技术保障措施须包含以下内容：</w:t>
            </w:r>
          </w:p>
          <w:p w14:paraId="5F469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（1）工作措施</w:t>
            </w:r>
          </w:p>
          <w:p w14:paraId="58C85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（2）工作方法</w:t>
            </w:r>
          </w:p>
          <w:p w14:paraId="64583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（3）工作手段</w:t>
            </w:r>
          </w:p>
          <w:p w14:paraId="3296B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（4）工作流程等方面服务内容。</w:t>
            </w:r>
          </w:p>
          <w:p w14:paraId="187AFA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评分标准：</w:t>
            </w:r>
          </w:p>
          <w:p w14:paraId="312C9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（1）技术保障措施内容完整、具体，整体科学合理、针对性强、可操作性强，评审为优的，得3分；</w:t>
            </w:r>
          </w:p>
          <w:p w14:paraId="2C77D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 xml:space="preserve">（2）技术保障措施内容较完整、具体，较合理、有一定针对性、一定可操作性，评审为良的，得2分； </w:t>
            </w:r>
          </w:p>
          <w:p w14:paraId="6D1363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 xml:space="preserve">（3）技术保障措施内容基本完整、具体，合理性、针对性一般、可操作性一般，评审为中的，得1分； </w:t>
            </w:r>
          </w:p>
          <w:p w14:paraId="6AFFA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（4）技术保障措施内容不全，不合理、无针对性、无可操作性，评审为差的，得0分。</w:t>
            </w:r>
          </w:p>
        </w:tc>
      </w:tr>
      <w:tr w14:paraId="75D53D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6D08C0FD">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1B18DF">
            <w:pPr>
              <w:widowControl w:val="0"/>
              <w:spacing w:line="240" w:lineRule="exact"/>
              <w:jc w:val="center"/>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E4D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设计方案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724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5</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601A6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 xml:space="preserve">投标单位进行现场踏勘之后，根据甲方实际情况在投标文件中详细说明设计方案，评审委员会根据投标人投标时提供的设计方案（包括效果图及方案说明），从以下方面进行评价： </w:t>
            </w:r>
          </w:p>
          <w:p w14:paraId="705E2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 xml:space="preserve">1.设计方案的效果图及方案说明根据学校现场的情况，符合学校的实际情况，科学合理，评价为优； </w:t>
            </w:r>
          </w:p>
          <w:p w14:paraId="08C072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 xml:space="preserve">2.设计方案效果图及方案说明根据学校现场的情况，基本符合学校的实际情况，设计方案较合理，评价为良； </w:t>
            </w:r>
          </w:p>
          <w:p w14:paraId="3AD49E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3.设计方案的效果图及方案说明根据学校现场的情况，不符合学校的实际情况，评价为差。 按优得 5 分，良 3分，中1分，差 0 分。</w:t>
            </w:r>
          </w:p>
        </w:tc>
      </w:tr>
      <w:tr w14:paraId="72425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1C9FE481">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E3271E">
            <w:pPr>
              <w:widowControl w:val="0"/>
              <w:spacing w:line="240" w:lineRule="exact"/>
              <w:jc w:val="center"/>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5</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9603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宋体" w:hAnsi="宋体" w:eastAsia="宋体" w:cs="宋体"/>
                <w:kern w:val="2"/>
                <w:sz w:val="21"/>
                <w:szCs w:val="22"/>
                <w:lang w:eastAsia="zh-CN"/>
              </w:rPr>
            </w:pPr>
            <w:r>
              <w:rPr>
                <w:rFonts w:hint="eastAsia" w:ascii="宋体" w:hAnsi="宋体" w:eastAsia="宋体" w:cs="宋体"/>
                <w:color w:val="000000"/>
                <w:sz w:val="21"/>
                <w:szCs w:val="22"/>
                <w:lang w:eastAsia="zh-CN" w:bidi="ar"/>
              </w:rPr>
              <w:t>技术力量</w:t>
            </w:r>
            <w:r>
              <w:rPr>
                <w:rFonts w:hint="eastAsia" w:ascii="宋体" w:hAnsi="宋体" w:eastAsia="宋体" w:cs="宋体"/>
                <w:kern w:val="2"/>
                <w:sz w:val="21"/>
                <w:szCs w:val="22"/>
                <w:lang w:eastAsia="zh-CN"/>
              </w:rPr>
              <w:t>（项目负责人除外）</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067B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5</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7757CF45">
            <w:pPr>
              <w:widowControl w:val="0"/>
              <w:tabs>
                <w:tab w:val="left" w:pos="4995"/>
              </w:tabs>
              <w:jc w:val="both"/>
              <w:rPr>
                <w:rFonts w:hint="eastAsia" w:ascii="宋体" w:hAnsi="宋体" w:eastAsia="宋体" w:cs="宋体"/>
                <w:b/>
                <w:sz w:val="21"/>
                <w:szCs w:val="22"/>
                <w:lang w:eastAsia="zh-CN"/>
              </w:rPr>
            </w:pPr>
            <w:r>
              <w:rPr>
                <w:rFonts w:hint="eastAsia" w:ascii="宋体" w:hAnsi="宋体" w:eastAsia="宋体" w:cs="宋体"/>
                <w:b/>
                <w:sz w:val="21"/>
                <w:szCs w:val="22"/>
                <w:lang w:eastAsia="zh-CN"/>
              </w:rPr>
              <w:t>（一）评分内容：</w:t>
            </w:r>
          </w:p>
          <w:p w14:paraId="001BC98D">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要求投标人拟安排的项目团队成员</w:t>
            </w:r>
            <w:r>
              <w:rPr>
                <w:rFonts w:hint="eastAsia" w:ascii="宋体" w:hAnsi="宋体" w:eastAsia="宋体" w:cs="宋体"/>
                <w:color w:val="000000"/>
                <w:kern w:val="2"/>
                <w:sz w:val="21"/>
                <w:szCs w:val="22"/>
                <w:lang w:eastAsia="zh-CN"/>
              </w:rPr>
              <w:t>不低于</w:t>
            </w:r>
            <w:r>
              <w:rPr>
                <w:rFonts w:ascii="宋体" w:hAnsi="宋体" w:eastAsia="宋体" w:cs="宋体"/>
                <w:kern w:val="2"/>
                <w:sz w:val="21"/>
                <w:szCs w:val="22"/>
                <w:lang w:eastAsia="zh-CN"/>
              </w:rPr>
              <w:t>5</w:t>
            </w:r>
            <w:r>
              <w:rPr>
                <w:rFonts w:hint="eastAsia" w:ascii="宋体" w:hAnsi="宋体" w:eastAsia="宋体" w:cs="宋体"/>
                <w:kern w:val="2"/>
                <w:sz w:val="21"/>
                <w:szCs w:val="22"/>
                <w:lang w:eastAsia="zh-CN"/>
              </w:rPr>
              <w:t>人，</w:t>
            </w:r>
            <w:r>
              <w:rPr>
                <w:rFonts w:hint="eastAsia" w:ascii="宋体" w:hAnsi="宋体" w:eastAsia="宋体" w:cs="宋体"/>
                <w:color w:val="000000"/>
                <w:kern w:val="2"/>
                <w:sz w:val="21"/>
                <w:szCs w:val="22"/>
                <w:lang w:eastAsia="zh-CN"/>
              </w:rPr>
              <w:t>须</w:t>
            </w:r>
            <w:r>
              <w:rPr>
                <w:rFonts w:hint="eastAsia" w:ascii="宋体" w:hAnsi="宋体" w:eastAsia="宋体" w:cs="宋体"/>
                <w:kern w:val="2"/>
                <w:sz w:val="21"/>
                <w:szCs w:val="22"/>
                <w:lang w:eastAsia="zh-CN"/>
              </w:rPr>
              <w:t>为投标单位自有员工（以社保为准，</w:t>
            </w:r>
            <w:r>
              <w:rPr>
                <w:rFonts w:hint="eastAsia" w:ascii="宋体" w:hAnsi="宋体" w:eastAsia="宋体" w:cs="宋体"/>
                <w:color w:val="000000"/>
                <w:kern w:val="2"/>
                <w:sz w:val="21"/>
                <w:szCs w:val="22"/>
                <w:lang w:eastAsia="zh-CN"/>
              </w:rPr>
              <w:t>同时要求投入人员</w:t>
            </w:r>
            <w:r>
              <w:rPr>
                <w:rFonts w:hint="eastAsia" w:ascii="宋体" w:hAnsi="宋体" w:eastAsia="宋体" w:cs="宋体"/>
                <w:kern w:val="2"/>
                <w:sz w:val="21"/>
                <w:szCs w:val="22"/>
                <w:lang w:eastAsia="zh-CN"/>
              </w:rPr>
              <w:t>，提供团队成员名单，否则本项不得分）。在此基础上，团队技术人员（项目负责人除外）具有：</w:t>
            </w:r>
          </w:p>
          <w:p w14:paraId="553EBA10">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（1）1人或以上具有人力资源和社会保障部门颁发的信息系统项目管理师；</w:t>
            </w:r>
          </w:p>
          <w:p w14:paraId="3AD146CE">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（2）1人或以上</w:t>
            </w:r>
            <w:r>
              <w:rPr>
                <w:rFonts w:hint="eastAsia" w:ascii="宋体" w:hAnsi="宋体" w:eastAsia="宋体" w:cs="宋体"/>
                <w:color w:val="000000"/>
                <w:sz w:val="21"/>
                <w:szCs w:val="22"/>
                <w:lang w:eastAsia="zh-CN"/>
              </w:rPr>
              <w:t>具有人力资源和社会保障部门颁发的电子</w:t>
            </w:r>
            <w:r>
              <w:rPr>
                <w:rFonts w:hint="eastAsia" w:ascii="宋体" w:hAnsi="宋体" w:eastAsia="宋体" w:cs="宋体"/>
                <w:kern w:val="2"/>
                <w:sz w:val="21"/>
                <w:szCs w:val="22"/>
                <w:lang w:eastAsia="zh-CN"/>
              </w:rPr>
              <w:t>技术工程师中级或以上专业技术资格证；</w:t>
            </w:r>
          </w:p>
          <w:p w14:paraId="39C7FD69">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（3）1人或以上具有人力资源和社会保障部门颁发的系统规划与管理师；</w:t>
            </w:r>
          </w:p>
          <w:p w14:paraId="6B4416C0">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（4）1人或以上具有人力资源和社会保障部门颁发的网络工程师；</w:t>
            </w:r>
          </w:p>
          <w:p w14:paraId="48EFE370">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（5）1人或以上具有中国信息安全测评中心颁发的注册信息安全专业人员（CISP）证书；</w:t>
            </w:r>
          </w:p>
          <w:p w14:paraId="1A002F8C">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以上每满足1项得1分，全部满足得5分；</w:t>
            </w:r>
          </w:p>
          <w:p w14:paraId="4DA34763">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注：同一人持有不同证书不可重复得分，同一人员同时满足多项要求的，仅按最高分值项计算1次分值。</w:t>
            </w:r>
          </w:p>
          <w:p w14:paraId="23A62C6A">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（二）评分依据：</w:t>
            </w:r>
          </w:p>
          <w:p w14:paraId="144F4BBF">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1.要求投标人提供相关证明资料作为得分依据。评分中出现无证明资料或专家无法凭所提供资料判断是否得分的情况，一律作不得分处理。</w:t>
            </w:r>
          </w:p>
          <w:p w14:paraId="19AB2B7B">
            <w:pPr>
              <w:widowControl w:val="0"/>
              <w:jc w:val="both"/>
              <w:rPr>
                <w:rFonts w:hint="eastAsia" w:ascii="宋体" w:hAnsi="宋体" w:eastAsia="宋体" w:cs="宋体"/>
                <w:sz w:val="21"/>
                <w:szCs w:val="22"/>
                <w:lang w:eastAsia="zh-CN"/>
              </w:rPr>
            </w:pPr>
            <w:r>
              <w:rPr>
                <w:rFonts w:hint="eastAsia" w:ascii="宋体" w:hAnsi="宋体" w:eastAsia="宋体" w:cs="宋体"/>
                <w:kern w:val="2"/>
                <w:sz w:val="21"/>
                <w:szCs w:val="22"/>
                <w:lang w:eastAsia="zh-CN"/>
              </w:rPr>
              <w:t>2.要求提供通过投标人缴纳的近3个月（由于社保部门原因最近一个月</w:t>
            </w:r>
            <w:r>
              <w:rPr>
                <w:rFonts w:hint="eastAsia" w:ascii="宋体" w:hAnsi="宋体" w:eastAsia="宋体" w:cs="宋体"/>
                <w:sz w:val="21"/>
                <w:szCs w:val="22"/>
                <w:lang w:eastAsia="zh-CN"/>
              </w:rPr>
              <w:t>的社保证明无法提供的可往前顺延一个月）的社保证明作为本单位员工的证明依据。（如供应商为新成立且成立时间不足三个月可提供加盖公章的情况说明或证明材料亦视为符合。）</w:t>
            </w:r>
          </w:p>
          <w:p w14:paraId="11E26782">
            <w:pPr>
              <w:widowControl w:val="0"/>
              <w:jc w:val="left"/>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3.以上资料均要求提供扫描件或复印件并加盖投标人公章，原件备查。</w:t>
            </w:r>
          </w:p>
        </w:tc>
      </w:tr>
      <w:tr w14:paraId="3AAFF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restart"/>
            <w:tcBorders>
              <w:top w:val="single" w:color="000000" w:sz="8" w:space="0"/>
              <w:left w:val="single" w:color="000000" w:sz="8" w:space="0"/>
              <w:right w:val="single" w:color="000000" w:sz="8" w:space="0"/>
            </w:tcBorders>
            <w:shd w:val="clear" w:color="auto" w:fill="FFFFFF"/>
          </w:tcPr>
          <w:p w14:paraId="4BFAF9A3">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3</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cPr>
          <w:p w14:paraId="14829CA6">
            <w:pPr>
              <w:widowControl w:val="0"/>
              <w:snapToGrid w:val="0"/>
              <w:jc w:val="center"/>
              <w:rPr>
                <w:rFonts w:hint="eastAsia" w:ascii="宋体" w:hAnsi="宋体" w:eastAsia="宋体" w:cs="宋体"/>
                <w:b/>
                <w:bCs/>
                <w:kern w:val="2"/>
                <w:sz w:val="21"/>
                <w:szCs w:val="21"/>
                <w:lang w:eastAsia="zh-CN"/>
              </w:rPr>
            </w:pPr>
            <w:r>
              <w:rPr>
                <w:rFonts w:hint="eastAsia" w:ascii="宋体" w:hAnsi="宋体" w:eastAsia="宋体" w:cstheme="minorBidi"/>
                <w:b/>
                <w:bCs/>
                <w:kern w:val="2"/>
                <w:sz w:val="21"/>
                <w:szCs w:val="21"/>
                <w:lang w:eastAsia="zh-CN"/>
              </w:rPr>
              <w:t>商务</w:t>
            </w:r>
            <w:r>
              <w:rPr>
                <w:rFonts w:hint="eastAsia" w:ascii="宋体" w:hAnsi="宋体" w:eastAsia="宋体" w:cs="宋体"/>
                <w:b/>
                <w:bCs/>
                <w:kern w:val="2"/>
                <w:sz w:val="21"/>
                <w:szCs w:val="21"/>
                <w:lang w:eastAsia="zh-CN"/>
              </w:rPr>
              <w:t>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cPr>
          <w:p w14:paraId="7F037663">
            <w:pPr>
              <w:widowControl w:val="0"/>
              <w:snapToGrid w:val="0"/>
              <w:jc w:val="center"/>
              <w:rPr>
                <w:rFonts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13</w:t>
            </w:r>
          </w:p>
        </w:tc>
      </w:tr>
      <w:tr w14:paraId="716FE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4E981D42">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83B0B3">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C467C">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评分因素</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F392E4">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权重</w:t>
            </w:r>
            <w:r>
              <w:rPr>
                <w:rFonts w:hint="eastAsia" w:ascii="宋体" w:hAnsi="宋体" w:eastAsia="宋体" w:cs="宋体"/>
                <w:bCs/>
                <w:kern w:val="2"/>
                <w:sz w:val="21"/>
                <w:szCs w:val="21"/>
                <w:lang w:eastAsia="zh-CN"/>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1265E0">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评分准则</w:t>
            </w:r>
          </w:p>
        </w:tc>
      </w:tr>
      <w:tr w14:paraId="37B106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33512DB6">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2D21B1">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BA93F5">
            <w:pPr>
              <w:widowControl w:val="0"/>
              <w:jc w:val="center"/>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商务条款偏离情况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0EACC0">
            <w:pPr>
              <w:widowControl w:val="0"/>
              <w:wordWrap w:val="0"/>
              <w:jc w:val="center"/>
              <w:textAlignment w:val="top"/>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0BA3597F">
            <w:pPr>
              <w:widowControl w:val="0"/>
              <w:jc w:val="both"/>
              <w:rPr>
                <w:rFonts w:hint="eastAsia"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评审内容：</w:t>
            </w:r>
          </w:p>
          <w:p w14:paraId="4FF00B2D">
            <w:pPr>
              <w:widowControl w:val="0"/>
              <w:jc w:val="both"/>
              <w:rPr>
                <w:rFonts w:hint="eastAsia" w:ascii="宋体" w:hAnsi="宋体" w:eastAsia="宋体" w:cs="宋体"/>
                <w:kern w:val="2"/>
                <w:sz w:val="21"/>
                <w:szCs w:val="22"/>
                <w:lang w:eastAsia="zh-CN"/>
              </w:rPr>
            </w:pPr>
            <w:r>
              <w:rPr>
                <w:rFonts w:hint="eastAsia" w:ascii="宋体" w:hAnsi="宋体" w:eastAsia="宋体" w:cs="宋体"/>
                <w:color w:val="000000"/>
                <w:kern w:val="2"/>
                <w:sz w:val="21"/>
                <w:szCs w:val="22"/>
                <w:lang w:eastAsia="zh-CN"/>
              </w:rPr>
              <w:t>投标人应如实填写《商务条款偏离情况》，评审小组根据响应情况进行打分，全部满足要求的得3分，每负偏离一项扣1分，</w:t>
            </w:r>
            <w:r>
              <w:rPr>
                <w:rFonts w:hint="eastAsia" w:ascii="宋体" w:hAnsi="宋体" w:eastAsia="宋体" w:cs="宋体"/>
                <w:kern w:val="2"/>
                <w:sz w:val="21"/>
                <w:szCs w:val="22"/>
                <w:lang w:eastAsia="zh-CN"/>
              </w:rPr>
              <w:t>扣完为止。</w:t>
            </w:r>
          </w:p>
        </w:tc>
      </w:tr>
      <w:tr w14:paraId="78674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208015FE">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6A2600">
            <w:pPr>
              <w:widowControl w:val="0"/>
              <w:snapToGrid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1C512D">
            <w:pPr>
              <w:widowControl w:val="0"/>
              <w:jc w:val="center"/>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同类业绩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9D72CB">
            <w:pPr>
              <w:widowControl w:val="0"/>
              <w:wordWrap w:val="0"/>
              <w:jc w:val="center"/>
              <w:textAlignment w:val="top"/>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0B70B12D">
            <w:pPr>
              <w:widowControl w:val="0"/>
              <w:jc w:val="both"/>
              <w:rPr>
                <w:rFonts w:hint="eastAsia"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评审内容：</w:t>
            </w:r>
          </w:p>
          <w:p w14:paraId="45C8AFBC">
            <w:pPr>
              <w:widowControl w:val="0"/>
              <w:wordWrap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投标人提供2021年1月1日至本项目投标截止之日（以合同签订时间为准），承接过智慧教室建设相关项目的业绩情况，每提供1个得0.5分，最高为2分。</w:t>
            </w:r>
          </w:p>
          <w:p w14:paraId="4500B706">
            <w:pPr>
              <w:widowControl w:val="0"/>
              <w:jc w:val="both"/>
              <w:rPr>
                <w:rFonts w:hint="eastAsia"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证明文件：</w:t>
            </w:r>
          </w:p>
          <w:p w14:paraId="055C8339">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要求投标人提供项目的合同关键页（包括但不限于：合同名称页、合同主要内容页、合同签订日期页、合同双方签字盖章页）复印件或扫描件加盖投标人公章，未按要求提供或提供不清晰导致专家无法判断的不得分</w:t>
            </w:r>
          </w:p>
        </w:tc>
      </w:tr>
      <w:tr w14:paraId="07A495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0954633F">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F950CD">
            <w:pPr>
              <w:widowControl w:val="0"/>
              <w:snapToGrid w:val="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43648F">
            <w:pPr>
              <w:widowControl w:val="0"/>
              <w:jc w:val="center"/>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现场勘查</w:t>
            </w:r>
          </w:p>
          <w:p w14:paraId="022A9A1C">
            <w:pPr>
              <w:widowControl w:val="0"/>
              <w:wordWrap w:val="0"/>
              <w:jc w:val="center"/>
              <w:textAlignment w:val="top"/>
              <w:rPr>
                <w:rFonts w:hint="eastAsia" w:ascii="宋体" w:hAnsi="宋体" w:eastAsia="宋体" w:cs="宋体"/>
                <w:color w:val="000000"/>
                <w:kern w:val="2"/>
                <w:sz w:val="21"/>
                <w:szCs w:val="22"/>
                <w:lang w:eastAsia="zh-CN"/>
              </w:rPr>
            </w:pP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829037">
            <w:pPr>
              <w:widowControl w:val="0"/>
              <w:wordWrap w:val="0"/>
              <w:jc w:val="center"/>
              <w:textAlignment w:val="top"/>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4A4DEA4F">
            <w:pPr>
              <w:widowControl w:val="0"/>
              <w:wordWrap w:val="0"/>
              <w:jc w:val="both"/>
              <w:rPr>
                <w:rFonts w:hint="eastAsia" w:ascii="宋体" w:hAnsi="宋体" w:eastAsia="宋体" w:cs="宋体"/>
                <w:b/>
                <w:bCs/>
                <w:kern w:val="2"/>
                <w:sz w:val="21"/>
                <w:szCs w:val="22"/>
                <w:lang w:eastAsia="zh-CN"/>
              </w:rPr>
            </w:pPr>
            <w:r>
              <w:rPr>
                <w:rFonts w:hint="eastAsia" w:ascii="宋体" w:hAnsi="宋体" w:eastAsia="宋体" w:cs="宋体"/>
                <w:b/>
                <w:bCs/>
                <w:kern w:val="2"/>
                <w:sz w:val="21"/>
                <w:szCs w:val="22"/>
                <w:lang w:eastAsia="zh-CN"/>
              </w:rPr>
              <w:t>评审内容：</w:t>
            </w:r>
          </w:p>
          <w:p w14:paraId="0C29FA81">
            <w:pPr>
              <w:widowControl w:val="0"/>
              <w:jc w:val="both"/>
              <w:rPr>
                <w:rFonts w:hint="eastAsia" w:ascii="宋体" w:hAnsi="宋体" w:eastAsia="宋体" w:cs="宋体"/>
                <w:kern w:val="2"/>
                <w:sz w:val="21"/>
                <w:szCs w:val="22"/>
                <w:lang w:eastAsia="zh-CN"/>
              </w:rPr>
            </w:pPr>
            <w:r>
              <w:rPr>
                <w:rFonts w:hint="eastAsia" w:ascii="宋体" w:hAnsi="宋体" w:eastAsia="宋体" w:cs="宋体"/>
                <w:color w:val="000000"/>
                <w:kern w:val="2"/>
                <w:sz w:val="21"/>
                <w:szCs w:val="22"/>
                <w:lang w:eastAsia="zh-CN"/>
              </w:rPr>
              <w:t>投标单位人员到学校现场踏勘，以掌握学校环境情况以及图书馆的相关信息。投标单位提交由采购方统一出具的现场踏勘文件。提交踏勘证明文件的得3分，不提供得0分。</w:t>
            </w:r>
          </w:p>
          <w:p w14:paraId="539A45D7">
            <w:pPr>
              <w:widowControl w:val="0"/>
              <w:jc w:val="both"/>
              <w:rPr>
                <w:rFonts w:hint="eastAsia" w:ascii="宋体" w:hAnsi="宋体" w:eastAsia="宋体" w:cs="宋体"/>
                <w:color w:val="000000"/>
                <w:kern w:val="2"/>
                <w:sz w:val="21"/>
                <w:szCs w:val="22"/>
                <w:lang w:eastAsia="zh-CN"/>
              </w:rPr>
            </w:pPr>
            <w:r>
              <w:rPr>
                <w:rFonts w:hint="eastAsia" w:ascii="宋体" w:hAnsi="宋体" w:eastAsia="宋体" w:cs="宋体"/>
                <w:b/>
                <w:bCs/>
                <w:kern w:val="2"/>
                <w:sz w:val="21"/>
                <w:szCs w:val="22"/>
                <w:lang w:eastAsia="zh-CN"/>
              </w:rPr>
              <w:t>证明文件：</w:t>
            </w:r>
            <w:r>
              <w:rPr>
                <w:rFonts w:hint="eastAsia" w:ascii="宋体" w:hAnsi="宋体" w:eastAsia="宋体" w:cs="宋体"/>
                <w:color w:val="000000"/>
                <w:kern w:val="2"/>
                <w:sz w:val="21"/>
                <w:szCs w:val="22"/>
                <w:lang w:eastAsia="zh-CN"/>
              </w:rPr>
              <w:t>提供由采购方统一出具的盖章现场踏勘证明。未按要求提供或提供不清晰导致专家无法判断的不得分。</w:t>
            </w:r>
          </w:p>
          <w:p w14:paraId="2D23D1A1">
            <w:pPr>
              <w:widowControl/>
              <w:ind w:firstLine="420" w:firstLineChars="200"/>
              <w:jc w:val="left"/>
              <w:rPr>
                <w:rFonts w:hint="eastAsia" w:ascii="宋体" w:hAnsi="宋体" w:eastAsia="宋体" w:cs="宋体"/>
                <w:color w:val="000000"/>
                <w:sz w:val="21"/>
                <w:szCs w:val="22"/>
                <w:lang w:eastAsia="zh-CN"/>
              </w:rPr>
            </w:pPr>
            <w:r>
              <w:rPr>
                <w:rFonts w:hint="eastAsia" w:ascii="宋体" w:hAnsi="宋体" w:eastAsia="宋体" w:cs="宋体"/>
                <w:color w:val="000000"/>
                <w:kern w:val="2"/>
                <w:sz w:val="21"/>
                <w:szCs w:val="22"/>
                <w:lang w:eastAsia="zh-CN"/>
              </w:rPr>
              <w:t>现场勘查时间：采购公告载明的采购文件领取时间之日起的第3个日历日（采购文件领取时间之日为第一个日历日）</w:t>
            </w:r>
            <w:r>
              <w:rPr>
                <w:rFonts w:hint="eastAsia" w:ascii="宋体" w:hAnsi="宋体" w:eastAsia="宋体" w:cs="宋体"/>
                <w:color w:val="000000"/>
                <w:sz w:val="21"/>
                <w:szCs w:val="22"/>
                <w:lang w:eastAsia="zh-CN"/>
              </w:rPr>
              <w:t>上午9：00-11：30到达现场开始进行踏勘，以充分了解本项目的实施效果影响、详细需求、位置、情况及任何其它足以影响投标报价的情况并获得现场踏勘证明。</w:t>
            </w:r>
          </w:p>
          <w:p w14:paraId="1386AE39">
            <w:pPr>
              <w:widowControl w:val="0"/>
              <w:spacing w:line="240" w:lineRule="auto"/>
              <w:jc w:val="both"/>
              <w:rPr>
                <w:rFonts w:hint="eastAsia" w:ascii="宋体" w:hAnsi="宋体" w:eastAsia="宋体" w:cs="宋体"/>
                <w:b/>
                <w:bCs/>
                <w:kern w:val="2"/>
                <w:sz w:val="21"/>
                <w:szCs w:val="21"/>
                <w:lang w:eastAsia="zh-CN"/>
              </w:rPr>
            </w:pPr>
            <w:r>
              <w:rPr>
                <w:rFonts w:hint="eastAsia" w:ascii="宋体" w:hAnsi="宋体" w:eastAsia="宋体" w:cs="宋体"/>
                <w:color w:val="000000"/>
                <w:sz w:val="21"/>
                <w:szCs w:val="21"/>
                <w:lang w:eastAsia="zh-CN"/>
              </w:rPr>
              <w:t>踏勘地点：</w:t>
            </w:r>
            <w:r>
              <w:rPr>
                <w:rFonts w:hint="eastAsia" w:ascii="宋体" w:hAnsi="宋体" w:eastAsia="宋体" w:cs="宋体"/>
                <w:color w:val="000000"/>
                <w:kern w:val="2"/>
                <w:sz w:val="21"/>
                <w:szCs w:val="21"/>
                <w:lang w:eastAsia="zh-CN"/>
              </w:rPr>
              <w:t>龙华区实验学校教育集团至美校区</w:t>
            </w:r>
            <w:r>
              <w:rPr>
                <w:rFonts w:hint="eastAsia" w:ascii="宋体" w:hAnsi="宋体" w:eastAsia="宋体" w:cs="宋体"/>
                <w:color w:val="000000"/>
                <w:sz w:val="21"/>
                <w:szCs w:val="21"/>
                <w:lang w:eastAsia="zh-CN"/>
              </w:rPr>
              <w:t xml:space="preserve">  联系人：</w:t>
            </w:r>
            <w:r>
              <w:rPr>
                <w:rFonts w:hint="eastAsia" w:ascii="宋体" w:hAnsi="宋体" w:eastAsia="宋体" w:cs="宋体"/>
                <w:color w:val="000000"/>
                <w:kern w:val="2"/>
                <w:sz w:val="21"/>
                <w:szCs w:val="21"/>
                <w:lang w:eastAsia="zh-CN"/>
              </w:rPr>
              <w:t>吴老师 13760451303</w:t>
            </w:r>
          </w:p>
        </w:tc>
      </w:tr>
      <w:tr w14:paraId="6C2F4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blCellSpacing w:w="0" w:type="dxa"/>
          <w:jc w:val="center"/>
        </w:trPr>
        <w:tc>
          <w:tcPr>
            <w:tcW w:w="436" w:type="dxa"/>
            <w:vMerge w:val="continue"/>
            <w:tcBorders>
              <w:left w:val="single" w:color="000000" w:sz="8" w:space="0"/>
              <w:right w:val="single" w:color="000000" w:sz="8" w:space="0"/>
            </w:tcBorders>
            <w:shd w:val="clear" w:color="auto" w:fill="FFFFFF"/>
            <w:vAlign w:val="center"/>
          </w:tcPr>
          <w:p w14:paraId="6CFB6314">
            <w:pPr>
              <w:widowControl w:val="0"/>
              <w:snapToGrid w:val="0"/>
              <w:jc w:val="both"/>
              <w:rPr>
                <w:rFonts w:hint="eastAsia" w:ascii="宋体" w:hAnsi="宋体" w:eastAsia="宋体" w:cs="宋体"/>
                <w:b/>
                <w:bCs/>
                <w:kern w:val="2"/>
                <w:sz w:val="21"/>
                <w:szCs w:val="21"/>
                <w:lang w:eastAsia="zh-CN"/>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97475B">
            <w:pPr>
              <w:widowControl w:val="0"/>
              <w:snapToGrid w:val="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E4F275">
            <w:pPr>
              <w:widowControl w:val="0"/>
              <w:wordWrap w:val="0"/>
              <w:jc w:val="center"/>
              <w:textAlignment w:val="top"/>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诚信承诺函</w:t>
            </w:r>
          </w:p>
        </w:tc>
        <w:tc>
          <w:tcPr>
            <w:tcW w:w="9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3BBB42">
            <w:pPr>
              <w:widowControl w:val="0"/>
              <w:wordWrap w:val="0"/>
              <w:jc w:val="center"/>
              <w:textAlignment w:val="top"/>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5</w:t>
            </w:r>
          </w:p>
        </w:tc>
        <w:tc>
          <w:tcPr>
            <w:tcW w:w="5768" w:type="dxa"/>
            <w:tcBorders>
              <w:top w:val="single" w:color="000000" w:sz="8" w:space="0"/>
              <w:left w:val="single" w:color="000000" w:sz="8" w:space="0"/>
              <w:bottom w:val="single" w:color="000000" w:sz="8" w:space="0"/>
              <w:right w:val="single" w:color="000000" w:sz="8" w:space="0"/>
            </w:tcBorders>
            <w:shd w:val="clear" w:color="auto" w:fill="FFFFFF"/>
            <w:vAlign w:val="top"/>
          </w:tcPr>
          <w:p w14:paraId="7EA63225">
            <w:pPr>
              <w:widowControl w:val="0"/>
              <w:wordWrap w:val="0"/>
              <w:jc w:val="both"/>
              <w:textAlignment w:val="top"/>
              <w:rPr>
                <w:rFonts w:hint="eastAsia" w:ascii="宋体" w:hAnsi="宋体" w:eastAsia="宋体" w:cs="宋体"/>
                <w:color w:val="000000"/>
                <w:kern w:val="2"/>
                <w:sz w:val="21"/>
                <w:szCs w:val="22"/>
                <w:lang w:eastAsia="zh-CN"/>
              </w:rPr>
            </w:pPr>
            <w:r>
              <w:rPr>
                <w:rFonts w:hint="eastAsia" w:ascii="宋体" w:hAnsi="宋体" w:eastAsia="宋体" w:cs="宋体"/>
                <w:color w:val="000000"/>
                <w:kern w:val="2"/>
                <w:sz w:val="21"/>
                <w:szCs w:val="22"/>
                <w:lang w:eastAsia="zh-CN"/>
              </w:rPr>
              <w:t>响应供应商承诺在参与龙华区教育局自行采购活动中出现诚信或安全相关问题且在相关主管部门处理措施实施期限内的本项不得分，否则得满分。须提供《诚信承诺函》，按采购文件格式要求提供，不提供或未提供的不得分。如被认定提供的陈述与事实不符受到行政处罚的，依法追究其责任。</w:t>
            </w:r>
          </w:p>
        </w:tc>
      </w:tr>
    </w:tbl>
    <w:p w14:paraId="3D22B5E6">
      <w:pPr>
        <w:widowControl w:val="0"/>
        <w:jc w:val="both"/>
        <w:rPr>
          <w:rFonts w:ascii="Calibri" w:hAnsi="Calibri" w:eastAsia="宋体"/>
          <w:kern w:val="2"/>
          <w:sz w:val="21"/>
          <w:szCs w:val="22"/>
          <w:lang w:eastAsia="zh-CN"/>
        </w:rPr>
      </w:pPr>
    </w:p>
    <w:p w14:paraId="0DD8C084">
      <w:pPr>
        <w:widowControl w:val="0"/>
        <w:ind w:firstLine="420" w:firstLineChars="2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730845F9">
      <w:pPr>
        <w:widowControl w:val="0"/>
        <w:ind w:firstLine="420" w:firstLineChars="200"/>
        <w:jc w:val="both"/>
        <w:rPr>
          <w:rFonts w:hint="eastAsia" w:ascii="Calibri" w:hAnsi="Calibri" w:eastAsia="宋体"/>
          <w:color w:val="0C0C0C"/>
          <w:kern w:val="2"/>
          <w:sz w:val="21"/>
          <w:szCs w:val="22"/>
          <w:lang w:eastAsia="zh-CN"/>
        </w:rPr>
      </w:pPr>
      <w:r>
        <w:rPr>
          <w:rFonts w:hint="eastAsia" w:ascii="Calibri" w:hAnsi="Calibri" w:eastAsia="宋体" w:cstheme="minorBidi"/>
          <w:color w:val="0C0C0C"/>
          <w:kern w:val="2"/>
          <w:sz w:val="21"/>
          <w:szCs w:val="22"/>
          <w:lang w:eastAsia="zh-CN"/>
        </w:rPr>
        <w:t>2.对于要求提供检测（检验）报告的，设置检测（检验）报告评审因素需与采购项目实际需要相适应或与合同履行相关，不得简单追求检测报告/检验报告数量，增加供应商投标成本，若设置检测报告要求的需明确检测的具体内容、依据的标准及查询的网址，且检测机构需取得市场监督管理部门认定的资质。例如：投标人所投产品需通过由市场监督管理部门资质认定的第三方检测机构关于甲醛含量符合GB...合格的检测，需同时提供检测机构体现产品检测能力的“检验检测机构资质证书”、标注CMA或CNAS标识的检测报告及检测报告在全国认证认可信息公共服务平台网站（http://cx.cnca.cn/CertECloud/qts/qts/qtsPage）查询截图扫描件作为得分依据，否则不得分。</w:t>
      </w:r>
    </w:p>
    <w:p w14:paraId="1532744D">
      <w:pPr>
        <w:widowControl w:val="0"/>
        <w:jc w:val="both"/>
        <w:rPr>
          <w:rFonts w:ascii="Calibri" w:hAnsi="Calibri" w:eastAsia="宋体"/>
          <w:b/>
          <w:kern w:val="2"/>
          <w:sz w:val="120"/>
          <w:szCs w:val="120"/>
          <w:lang w:eastAsia="zh-CN"/>
        </w:rPr>
      </w:pPr>
    </w:p>
    <w:p w14:paraId="3B55049E">
      <w:pPr>
        <w:widowControl w:val="0"/>
        <w:spacing w:line="360" w:lineRule="auto"/>
        <w:jc w:val="both"/>
        <w:rPr>
          <w:rFonts w:ascii="Calibri" w:hAnsi="Calibri" w:eastAsia="宋体"/>
          <w:b/>
          <w:kern w:val="2"/>
          <w:sz w:val="120"/>
          <w:szCs w:val="120"/>
          <w:lang w:eastAsia="zh-CN"/>
        </w:rPr>
      </w:pPr>
    </w:p>
    <w:p w14:paraId="3FE63204">
      <w:pPr>
        <w:widowControl w:val="0"/>
        <w:spacing w:line="360" w:lineRule="auto"/>
        <w:jc w:val="both"/>
        <w:rPr>
          <w:rFonts w:ascii="Calibri" w:hAnsi="Calibri" w:eastAsia="宋体"/>
          <w:b/>
          <w:kern w:val="2"/>
          <w:sz w:val="120"/>
          <w:szCs w:val="120"/>
          <w:lang w:eastAsia="zh-CN"/>
        </w:rPr>
      </w:pPr>
    </w:p>
    <w:p w14:paraId="282D0094">
      <w:pPr>
        <w:widowControl w:val="0"/>
        <w:jc w:val="center"/>
        <w:rPr>
          <w:rFonts w:hint="eastAsia" w:ascii="Calibri" w:hAnsi="Calibri" w:eastAsia="宋体" w:cstheme="minorBidi"/>
          <w:b/>
          <w:kern w:val="2"/>
          <w:sz w:val="120"/>
          <w:szCs w:val="120"/>
          <w:lang w:eastAsia="zh-CN"/>
        </w:rPr>
      </w:pPr>
      <w:r>
        <w:rPr>
          <w:rFonts w:hint="eastAsia" w:ascii="Calibri" w:hAnsi="Calibri" w:eastAsia="宋体" w:cstheme="minorBidi"/>
          <w:b/>
          <w:kern w:val="2"/>
          <w:sz w:val="120"/>
          <w:szCs w:val="120"/>
          <w:lang w:eastAsia="zh-CN"/>
        </w:rPr>
        <w:br w:type="page"/>
      </w:r>
    </w:p>
    <w:p w14:paraId="52D2142F">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自行采购</w:t>
      </w:r>
    </w:p>
    <w:p w14:paraId="02C9BA91">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1E0CF61D">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（货物类）</w:t>
      </w:r>
    </w:p>
    <w:p w14:paraId="0DFBE746">
      <w:pPr>
        <w:widowControl w:val="0"/>
        <w:jc w:val="both"/>
        <w:rPr>
          <w:rFonts w:ascii="Calibri" w:hAnsi="Calibri" w:eastAsia="宋体"/>
          <w:kern w:val="2"/>
          <w:sz w:val="21"/>
          <w:szCs w:val="22"/>
          <w:lang w:eastAsia="zh-CN"/>
        </w:rPr>
      </w:pPr>
    </w:p>
    <w:p w14:paraId="25EC9976">
      <w:pPr>
        <w:widowControl w:val="0"/>
        <w:jc w:val="both"/>
        <w:rPr>
          <w:rFonts w:ascii="Calibri" w:hAnsi="Calibri" w:eastAsia="宋体"/>
          <w:kern w:val="2"/>
          <w:sz w:val="21"/>
          <w:szCs w:val="22"/>
          <w:lang w:eastAsia="zh-CN"/>
        </w:rPr>
      </w:pPr>
    </w:p>
    <w:p w14:paraId="15C409FA">
      <w:pPr>
        <w:widowControl w:val="0"/>
        <w:jc w:val="both"/>
        <w:rPr>
          <w:rFonts w:ascii="Calibri" w:hAnsi="Calibri" w:eastAsia="宋体"/>
          <w:kern w:val="2"/>
          <w:sz w:val="21"/>
          <w:szCs w:val="22"/>
          <w:lang w:eastAsia="zh-CN"/>
        </w:rPr>
      </w:pPr>
    </w:p>
    <w:p w14:paraId="5C63EDE5">
      <w:pPr>
        <w:widowControl w:val="0"/>
        <w:jc w:val="both"/>
        <w:rPr>
          <w:rFonts w:ascii="Calibri" w:hAnsi="Calibri" w:eastAsia="宋体"/>
          <w:kern w:val="2"/>
          <w:sz w:val="21"/>
          <w:szCs w:val="22"/>
          <w:lang w:eastAsia="zh-CN"/>
        </w:rPr>
      </w:pPr>
    </w:p>
    <w:p w14:paraId="3721ED21">
      <w:pPr>
        <w:widowControl w:val="0"/>
        <w:jc w:val="both"/>
        <w:rPr>
          <w:rFonts w:ascii="Calibri" w:hAnsi="Calibri" w:eastAsia="宋体"/>
          <w:kern w:val="2"/>
          <w:sz w:val="21"/>
          <w:szCs w:val="22"/>
          <w:lang w:eastAsia="zh-CN"/>
        </w:rPr>
      </w:pPr>
    </w:p>
    <w:p w14:paraId="3D1CD681">
      <w:pPr>
        <w:widowControl w:val="0"/>
        <w:jc w:val="both"/>
        <w:rPr>
          <w:rFonts w:ascii="Calibri" w:hAnsi="Calibri" w:eastAsia="宋体"/>
          <w:kern w:val="2"/>
          <w:sz w:val="21"/>
          <w:szCs w:val="22"/>
          <w:lang w:eastAsia="zh-CN"/>
        </w:rPr>
      </w:pPr>
    </w:p>
    <w:p w14:paraId="263FB727">
      <w:pPr>
        <w:widowControl w:val="0"/>
        <w:jc w:val="both"/>
        <w:rPr>
          <w:rFonts w:ascii="Calibri" w:hAnsi="Calibri" w:eastAsia="宋体"/>
          <w:kern w:val="2"/>
          <w:sz w:val="21"/>
          <w:szCs w:val="22"/>
          <w:lang w:eastAsia="zh-CN"/>
        </w:rPr>
      </w:pPr>
    </w:p>
    <w:p w14:paraId="3EDCD4BA">
      <w:pPr>
        <w:widowControl w:val="0"/>
        <w:jc w:val="both"/>
        <w:rPr>
          <w:rFonts w:ascii="Calibri" w:hAnsi="Calibri" w:eastAsia="宋体"/>
          <w:kern w:val="2"/>
          <w:sz w:val="21"/>
          <w:szCs w:val="22"/>
          <w:lang w:eastAsia="zh-CN"/>
        </w:rPr>
      </w:pPr>
    </w:p>
    <w:p w14:paraId="413398DC">
      <w:pPr>
        <w:widowControl w:val="0"/>
        <w:jc w:val="both"/>
        <w:rPr>
          <w:rFonts w:ascii="Calibri" w:hAnsi="Calibri" w:eastAsia="宋体"/>
          <w:kern w:val="2"/>
          <w:sz w:val="21"/>
          <w:szCs w:val="22"/>
          <w:lang w:eastAsia="zh-CN"/>
        </w:rPr>
      </w:pPr>
    </w:p>
    <w:p w14:paraId="0F9DC4A5">
      <w:pPr>
        <w:widowControl w:val="0"/>
        <w:jc w:val="both"/>
        <w:rPr>
          <w:rFonts w:ascii="Calibri" w:hAnsi="Calibri" w:eastAsia="宋体"/>
          <w:kern w:val="2"/>
          <w:sz w:val="21"/>
          <w:szCs w:val="22"/>
          <w:lang w:eastAsia="zh-CN"/>
        </w:rPr>
      </w:pPr>
    </w:p>
    <w:p w14:paraId="588B9D81">
      <w:pPr>
        <w:widowControl w:val="0"/>
        <w:jc w:val="both"/>
        <w:rPr>
          <w:rFonts w:ascii="Calibri" w:hAnsi="Calibri" w:eastAsia="宋体"/>
          <w:kern w:val="2"/>
          <w:sz w:val="21"/>
          <w:szCs w:val="22"/>
          <w:lang w:eastAsia="zh-CN"/>
        </w:rPr>
      </w:pPr>
    </w:p>
    <w:p w14:paraId="422FE191">
      <w:pPr>
        <w:widowControl w:val="0"/>
        <w:jc w:val="both"/>
        <w:rPr>
          <w:rFonts w:ascii="Calibri" w:hAnsi="Calibri" w:eastAsia="宋体"/>
          <w:kern w:val="2"/>
          <w:sz w:val="21"/>
          <w:szCs w:val="22"/>
          <w:lang w:eastAsia="zh-CN"/>
        </w:rPr>
      </w:pPr>
    </w:p>
    <w:p w14:paraId="1D223840">
      <w:pPr>
        <w:widowControl w:val="0"/>
        <w:jc w:val="center"/>
        <w:rPr>
          <w:rFonts w:hint="eastAsia" w:ascii="Calibri" w:hAnsi="Calibri" w:eastAsia="宋体"/>
          <w:b/>
          <w:kern w:val="2"/>
          <w:sz w:val="44"/>
          <w:szCs w:val="44"/>
          <w:lang w:eastAsia="zh-CN"/>
        </w:rPr>
      </w:pPr>
      <w:r>
        <w:rPr>
          <w:rFonts w:hint="eastAsia" w:ascii="宋体" w:hAnsi="宋体" w:eastAsia="宋体" w:cstheme="minorBidi"/>
          <w:b/>
          <w:kern w:val="2"/>
          <w:sz w:val="44"/>
          <w:szCs w:val="44"/>
          <w:lang w:eastAsia="zh-CN"/>
        </w:rPr>
        <w:t>深圳市拓泰实业有限公司</w:t>
      </w:r>
    </w:p>
    <w:p w14:paraId="16C8A6A0">
      <w:pPr>
        <w:widowControl w:val="0"/>
        <w:jc w:val="center"/>
        <w:rPr>
          <w:rFonts w:ascii="Calibri" w:hAnsi="Calibri" w:eastAsia="宋体"/>
          <w:b/>
          <w:kern w:val="2"/>
          <w:sz w:val="44"/>
          <w:szCs w:val="44"/>
          <w:lang w:eastAsia="zh-CN"/>
        </w:rPr>
      </w:pPr>
      <w:r>
        <w:rPr>
          <w:rFonts w:hint="eastAsia" w:ascii="宋体" w:hAnsi="宋体" w:eastAsia="宋体" w:cstheme="minorBidi"/>
          <w:b/>
          <w:kern w:val="2"/>
          <w:sz w:val="44"/>
          <w:szCs w:val="44"/>
          <w:lang w:eastAsia="zh-CN"/>
        </w:rPr>
        <w:t>（</w:t>
      </w:r>
      <w:r>
        <w:rPr>
          <w:rFonts w:ascii="Calibri" w:hAnsi="Calibri" w:eastAsia="宋体" w:cstheme="minorBidi"/>
          <w:b/>
          <w:kern w:val="2"/>
          <w:sz w:val="44"/>
          <w:szCs w:val="44"/>
          <w:lang w:eastAsia="zh-CN"/>
        </w:rPr>
        <w:t>20</w:t>
      </w:r>
      <w:r>
        <w:rPr>
          <w:rFonts w:hint="eastAsia" w:ascii="Calibri" w:hAnsi="Calibri" w:eastAsia="宋体" w:cstheme="minorBidi"/>
          <w:b/>
          <w:kern w:val="2"/>
          <w:sz w:val="44"/>
          <w:szCs w:val="44"/>
          <w:lang w:eastAsia="zh-CN"/>
        </w:rPr>
        <w:t>24</w:t>
      </w:r>
      <w:r>
        <w:rPr>
          <w:rFonts w:hint="eastAsia" w:ascii="宋体" w:hAnsi="宋体" w:eastAsia="宋体" w:cstheme="minorBidi"/>
          <w:b/>
          <w:kern w:val="2"/>
          <w:sz w:val="44"/>
          <w:szCs w:val="44"/>
          <w:lang w:eastAsia="zh-CN"/>
        </w:rPr>
        <w:t>）</w:t>
      </w:r>
    </w:p>
    <w:p w14:paraId="769DEAE7">
      <w:pPr>
        <w:widowControl w:val="0"/>
        <w:ind w:firstLine="6786" w:firstLineChars="1300"/>
        <w:jc w:val="center"/>
        <w:rPr>
          <w:rFonts w:ascii="Calibri" w:hAnsi="Calibri" w:eastAsia="宋体"/>
          <w:bCs/>
          <w:color w:val="FF0000"/>
          <w:kern w:val="2"/>
          <w:sz w:val="21"/>
          <w:szCs w:val="22"/>
          <w:lang w:eastAsia="zh-CN"/>
        </w:rPr>
      </w:pPr>
      <w:r>
        <w:rPr>
          <w:rFonts w:hint="eastAsia" w:ascii="Calibri" w:hAnsi="Calibri" w:eastAsia="宋体" w:cstheme="minorBidi"/>
          <w:b/>
          <w:color w:val="FF0000"/>
          <w:kern w:val="2"/>
          <w:sz w:val="52"/>
          <w:szCs w:val="52"/>
          <w:lang w:eastAsia="zh-CN"/>
        </w:rPr>
        <w:br w:type="page"/>
      </w:r>
    </w:p>
    <w:p w14:paraId="6D61359B">
      <w:pPr>
        <w:widowControl w:val="0"/>
        <w:ind w:firstLine="3654" w:firstLineChars="1300"/>
        <w:jc w:val="both"/>
        <w:rPr>
          <w:rFonts w:hint="eastAsia" w:ascii="宋体" w:hAnsi="宋体" w:eastAsia="宋体"/>
          <w:color w:val="FF0000"/>
          <w:kern w:val="2"/>
          <w:sz w:val="21"/>
          <w:szCs w:val="21"/>
          <w:lang w:eastAsia="zh-CN"/>
        </w:rPr>
      </w:pPr>
      <w:bookmarkStart w:id="1" w:name="_Hlk73564573"/>
      <w:r>
        <w:rPr>
          <w:rFonts w:hint="eastAsia" w:ascii="宋体" w:hAnsi="宋体" w:eastAsia="黑体" w:cstheme="minorBidi"/>
          <w:b/>
          <w:bCs/>
          <w:color w:val="FF0000"/>
          <w:kern w:val="44"/>
          <w:sz w:val="28"/>
          <w:szCs w:val="44"/>
          <w:lang w:eastAsia="zh-CN"/>
        </w:rPr>
        <w:t>警示条款</w:t>
      </w:r>
    </w:p>
    <w:p w14:paraId="6CD66EB7">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7C3B03E">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3A40D64F">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2F27C64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757E9AAE">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6D75F2FC">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2FD3CE08">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4ED028DF">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5DA649D5">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4467F0B1">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38B7E180">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二、《深圳经济特区政府采购条例实施细则》第七十五条 </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4B13695">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三、《深圳经济特区政府采购条例实施细则》第七十七条 </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DA09F2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bookmarkEnd w:id="1"/>
    <w:p w14:paraId="5962A2DE">
      <w:pPr>
        <w:widowControl w:val="0"/>
        <w:ind w:firstLine="402" w:firstLineChars="200"/>
        <w:jc w:val="left"/>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5D103FA3">
      <w:pPr>
        <w:widowControl w:val="0"/>
        <w:snapToGrid w:val="0"/>
        <w:spacing w:line="360" w:lineRule="exact"/>
        <w:jc w:val="left"/>
        <w:rPr>
          <w:rFonts w:hint="eastAsia" w:ascii="宋体" w:hAnsi="宋体" w:eastAsia="宋体" w:cs="宋体"/>
          <w:color w:val="000000"/>
          <w:lang w:eastAsia="zh-CN"/>
        </w:rPr>
      </w:pPr>
    </w:p>
    <w:p w14:paraId="14A32BF3">
      <w:pPr>
        <w:widowControl w:val="0"/>
        <w:snapToGrid w:val="0"/>
        <w:spacing w:line="360" w:lineRule="exact"/>
        <w:jc w:val="left"/>
        <w:rPr>
          <w:rFonts w:hint="eastAsia" w:ascii="宋体" w:hAnsi="宋体" w:eastAsia="宋体" w:cs="宋体"/>
          <w:color w:val="000000"/>
          <w:lang w:eastAsia="zh-CN"/>
        </w:rPr>
      </w:pPr>
    </w:p>
    <w:p w14:paraId="7A789DFA">
      <w:pPr>
        <w:widowControl w:val="0"/>
        <w:snapToGrid w:val="0"/>
        <w:spacing w:line="360" w:lineRule="exact"/>
        <w:jc w:val="left"/>
        <w:rPr>
          <w:rFonts w:hint="eastAsia" w:ascii="宋体" w:hAnsi="宋体" w:eastAsia="宋体" w:cs="宋体"/>
          <w:color w:val="000000"/>
          <w:lang w:eastAsia="zh-CN"/>
        </w:rPr>
      </w:pPr>
    </w:p>
    <w:p w14:paraId="20BCB6CB">
      <w:pPr>
        <w:widowControl w:val="0"/>
        <w:snapToGrid w:val="0"/>
        <w:spacing w:line="360" w:lineRule="exact"/>
        <w:jc w:val="left"/>
        <w:rPr>
          <w:rFonts w:hint="eastAsia" w:ascii="宋体" w:hAnsi="宋体" w:eastAsia="宋体" w:cs="宋体"/>
          <w:color w:val="000000"/>
          <w:lang w:eastAsia="zh-CN"/>
        </w:rPr>
      </w:pPr>
    </w:p>
    <w:p w14:paraId="151C74C4">
      <w:pPr>
        <w:widowControl w:val="0"/>
        <w:snapToGrid w:val="0"/>
        <w:spacing w:line="360" w:lineRule="exact"/>
        <w:jc w:val="left"/>
        <w:rPr>
          <w:rFonts w:hint="eastAsia" w:ascii="宋体" w:hAnsi="宋体" w:eastAsia="宋体" w:cs="宋体"/>
          <w:color w:val="000000"/>
          <w:lang w:eastAsia="zh-CN"/>
        </w:rPr>
      </w:pPr>
    </w:p>
    <w:p w14:paraId="28C519BE">
      <w:pPr>
        <w:widowControl w:val="0"/>
        <w:snapToGrid w:val="0"/>
        <w:spacing w:line="360" w:lineRule="exact"/>
        <w:jc w:val="left"/>
        <w:rPr>
          <w:rFonts w:hint="eastAsia" w:ascii="宋体" w:hAnsi="宋体" w:eastAsia="宋体" w:cs="宋体"/>
          <w:color w:val="000000"/>
          <w:lang w:eastAsia="zh-CN"/>
        </w:rPr>
      </w:pPr>
    </w:p>
    <w:p w14:paraId="3D7C85EF">
      <w:pPr>
        <w:widowControl w:val="0"/>
        <w:snapToGrid w:val="0"/>
        <w:spacing w:line="360" w:lineRule="exact"/>
        <w:jc w:val="left"/>
        <w:rPr>
          <w:rFonts w:hint="eastAsia" w:ascii="宋体" w:hAnsi="宋体" w:eastAsia="宋体" w:cs="宋体"/>
          <w:color w:val="000000"/>
          <w:lang w:eastAsia="zh-CN"/>
        </w:rPr>
      </w:pPr>
    </w:p>
    <w:p w14:paraId="12C37745">
      <w:pPr>
        <w:widowControl w:val="0"/>
        <w:snapToGrid w:val="0"/>
        <w:spacing w:line="360" w:lineRule="exact"/>
        <w:jc w:val="left"/>
        <w:rPr>
          <w:rFonts w:hint="eastAsia" w:ascii="宋体" w:hAnsi="宋体" w:eastAsia="宋体" w:cs="宋体"/>
          <w:color w:val="000000"/>
          <w:lang w:eastAsia="zh-CN"/>
        </w:rPr>
      </w:pPr>
    </w:p>
    <w:p w14:paraId="10B9C287">
      <w:pPr>
        <w:widowControl w:val="0"/>
        <w:snapToGrid w:val="0"/>
        <w:spacing w:line="360" w:lineRule="exact"/>
        <w:jc w:val="left"/>
        <w:rPr>
          <w:rFonts w:hint="eastAsia" w:ascii="宋体" w:hAnsi="宋体" w:eastAsia="宋体" w:cs="宋体"/>
          <w:color w:val="000000"/>
          <w:lang w:eastAsia="zh-CN"/>
        </w:rPr>
      </w:pPr>
    </w:p>
    <w:p w14:paraId="21A19F81">
      <w:pPr>
        <w:widowControl w:val="0"/>
        <w:snapToGrid w:val="0"/>
        <w:spacing w:line="360" w:lineRule="exact"/>
        <w:jc w:val="left"/>
        <w:rPr>
          <w:rFonts w:hint="eastAsia" w:ascii="宋体" w:hAnsi="宋体" w:eastAsia="宋体" w:cs="宋体"/>
          <w:color w:val="000000"/>
          <w:lang w:eastAsia="zh-CN"/>
        </w:rPr>
      </w:pPr>
    </w:p>
    <w:p w14:paraId="0C800462">
      <w:pPr>
        <w:widowControl w:val="0"/>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目   录</w:t>
      </w:r>
    </w:p>
    <w:p w14:paraId="06517488">
      <w:pPr>
        <w:widowControl w:val="0"/>
        <w:jc w:val="both"/>
        <w:rPr>
          <w:rFonts w:ascii="Calibri" w:hAnsi="Calibri" w:eastAsia="宋体"/>
          <w:b/>
          <w:kern w:val="2"/>
          <w:lang w:eastAsia="zh-CN"/>
        </w:rPr>
      </w:pPr>
      <w:r>
        <w:rPr>
          <w:rFonts w:hint="eastAsia" w:ascii="Calibri" w:hAnsi="Calibri" w:eastAsia="宋体" w:cstheme="minorBidi"/>
          <w:b/>
          <w:kern w:val="2"/>
          <w:lang w:eastAsia="zh-CN"/>
        </w:rPr>
        <w:t>第一册  专用条款</w:t>
      </w:r>
    </w:p>
    <w:p w14:paraId="1B8104FC">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关键信息</w:t>
      </w:r>
    </w:p>
    <w:p w14:paraId="496F3D65">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5B115141">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5EFA3AB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第三章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用户需求书</w:t>
      </w:r>
    </w:p>
    <w:p w14:paraId="12B98E67">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第四章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投标文件组成要求及格式</w:t>
      </w:r>
    </w:p>
    <w:p w14:paraId="5DD868F6">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23F69234">
      <w:pPr>
        <w:widowControl w:val="0"/>
        <w:jc w:val="both"/>
        <w:rPr>
          <w:rFonts w:ascii="Calibri" w:hAnsi="Calibri" w:eastAsia="宋体"/>
          <w:b/>
          <w:kern w:val="2"/>
          <w:szCs w:val="22"/>
          <w:lang w:eastAsia="zh-CN"/>
        </w:rPr>
      </w:pPr>
    </w:p>
    <w:p w14:paraId="60159086">
      <w:pPr>
        <w:widowControl w:val="0"/>
        <w:jc w:val="both"/>
        <w:rPr>
          <w:rFonts w:ascii="Calibri" w:hAnsi="Calibri" w:eastAsia="宋体"/>
          <w:b/>
          <w:kern w:val="2"/>
          <w:lang w:eastAsia="zh-CN"/>
        </w:rPr>
      </w:pPr>
      <w:r>
        <w:rPr>
          <w:rFonts w:hint="eastAsia" w:ascii="Calibri" w:hAnsi="Calibri" w:eastAsia="宋体" w:cstheme="minorBidi"/>
          <w:b/>
          <w:kern w:val="2"/>
          <w:lang w:eastAsia="zh-CN"/>
        </w:rPr>
        <w:t>第二册  通用条款</w:t>
      </w:r>
    </w:p>
    <w:p w14:paraId="769844D1">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0456CAA7">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1D3E9206">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6892DBE6">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17E8F03A">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6A9248FD">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00FD4184">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38E60E75">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308ABFC2">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4D44F28D">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50F40E0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          第十一章  质疑处理</w:t>
      </w:r>
    </w:p>
    <w:p w14:paraId="2ECEEF65">
      <w:pPr>
        <w:widowControl w:val="0"/>
        <w:jc w:val="both"/>
        <w:rPr>
          <w:rFonts w:ascii="Calibri" w:hAnsi="Calibri" w:eastAsia="宋体"/>
          <w:kern w:val="2"/>
          <w:sz w:val="21"/>
          <w:szCs w:val="22"/>
          <w:lang w:eastAsia="zh-CN"/>
        </w:rPr>
      </w:pPr>
    </w:p>
    <w:p w14:paraId="77A4B053">
      <w:pPr>
        <w:widowControl w:val="0"/>
        <w:jc w:val="both"/>
        <w:rPr>
          <w:rFonts w:ascii="Calibri" w:hAnsi="Calibri" w:eastAsia="宋体"/>
          <w:kern w:val="2"/>
          <w:sz w:val="21"/>
          <w:szCs w:val="22"/>
          <w:lang w:eastAsia="zh-CN"/>
        </w:rPr>
      </w:pPr>
    </w:p>
    <w:p w14:paraId="5EBDC3DE">
      <w:pPr>
        <w:widowControl/>
        <w:jc w:val="left"/>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111B025F">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第一册  专用条款</w:t>
      </w:r>
    </w:p>
    <w:p w14:paraId="5D5CFA5B">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第一章  招标公告</w:t>
      </w:r>
    </w:p>
    <w:p w14:paraId="5943BA44">
      <w:pPr>
        <w:widowControl w:val="0"/>
        <w:spacing w:line="36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116DC9D4">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1、供应商须为在中国境内注册的独立法人或非法人组织（独立法人提供营业执照扫描件/非法人组织则提供相应证照扫描件）。</w:t>
      </w:r>
    </w:p>
    <w:p w14:paraId="61229AA5">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2、供应商必须为深圳市政府采购注册供应商（提供注册卡扫描件或网站信息查询截图）。</w:t>
      </w:r>
    </w:p>
    <w:p w14:paraId="2E3574B0">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3、供应商须按截图要求提供通过“信用中国”网（www.creditchina.gov.cn）信用信息下载扫描件（详见采购文件相应章节）。</w:t>
      </w:r>
    </w:p>
    <w:p w14:paraId="2472F39D">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4、供应商必须按照采购文件所提供的《龙华区教育局自行采购投标及履约承诺函》进行承诺。</w:t>
      </w:r>
    </w:p>
    <w:p w14:paraId="0D1219FF">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投标人需根据实际填写“股东构成审查表”（详见采购文件相应章节）（提供投标人所在地的市场监督管理部门“商事登记簿查询（商事主体登记及备案信息查询）”，参考示例“深圳市市场监督管理局一一商事登记簿查询（商事主体登记及备案信息查询）： https://amr.sz.gov.cn/outer/entSelect/gs.html”）</w:t>
      </w:r>
    </w:p>
    <w:p w14:paraId="2E1568E6">
      <w:pPr>
        <w:widowControl w:val="0"/>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6、本项目不接受进口产品投标，不接受联合体投标。</w:t>
      </w:r>
    </w:p>
    <w:p w14:paraId="218A9686">
      <w:pPr>
        <w:widowControl w:val="0"/>
        <w:ind w:firstLine="630" w:firstLineChars="300"/>
        <w:jc w:val="both"/>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7、本项目是（否）专门面向中小企业采购：是。</w:t>
      </w:r>
    </w:p>
    <w:p w14:paraId="0EAF8F9A">
      <w:pPr>
        <w:widowControl w:val="0"/>
        <w:wordWrap w:val="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83668F9">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（2）供应商投标（上传投标文件）必须先行办理注册手续，具体请按照本公告“六、其他补充事宜</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相关内容指引办理。</w:t>
      </w:r>
    </w:p>
    <w:p w14:paraId="4FE17293">
      <w:pPr>
        <w:widowControl w:val="0"/>
        <w:snapToGrid w:val="0"/>
        <w:spacing w:line="300" w:lineRule="auto"/>
        <w:ind w:firstLine="480" w:firstLineChars="200"/>
        <w:jc w:val="both"/>
        <w:rPr>
          <w:rFonts w:ascii="Arial" w:hAnsi="Arial" w:eastAsia="宋体"/>
          <w:kern w:val="2"/>
          <w:lang w:eastAsia="zh-CN"/>
        </w:rPr>
      </w:pPr>
    </w:p>
    <w:p w14:paraId="09676A02">
      <w:pPr>
        <w:widowControl w:val="0"/>
        <w:spacing w:after="78" w:afterLines="25"/>
        <w:jc w:val="center"/>
        <w:rPr>
          <w:rFonts w:ascii="Calibri" w:hAnsi="Calibri" w:eastAsia="宋体"/>
          <w:b/>
          <w:color w:val="FF0000"/>
          <w:kern w:val="2"/>
          <w:sz w:val="30"/>
          <w:szCs w:val="30"/>
          <w:lang w:eastAsia="zh-CN"/>
        </w:rPr>
      </w:pPr>
      <w:r>
        <w:rPr>
          <w:rFonts w:hint="eastAsia" w:ascii="Arial" w:hAnsi="Arial" w:eastAsia="宋体"/>
          <w:b/>
          <w:color w:val="FF0000"/>
          <w:kern w:val="2"/>
          <w:sz w:val="30"/>
          <w:szCs w:val="30"/>
          <w:lang w:eastAsia="zh-CN"/>
        </w:rPr>
        <w:t>完整公告内容以网站公布信息为准，详见：深圳政府采购自行采购系统</w:t>
      </w:r>
      <w:r>
        <w:rPr>
          <w:rFonts w:hint="eastAsia" w:ascii="Calibri" w:hAnsi="Calibri" w:eastAsia="宋体" w:cstheme="minorBidi"/>
          <w:b/>
          <w:color w:val="FF0000"/>
          <w:kern w:val="2"/>
          <w:sz w:val="30"/>
          <w:szCs w:val="30"/>
          <w:lang w:eastAsia="zh-CN"/>
        </w:rPr>
        <w:t>网（https://zxcg.szggzy.com/home/index.html）</w:t>
      </w:r>
    </w:p>
    <w:p w14:paraId="0A8B8DBE">
      <w:pPr>
        <w:widowControl w:val="0"/>
        <w:spacing w:after="78" w:afterLines="25"/>
        <w:jc w:val="both"/>
        <w:rPr>
          <w:rFonts w:ascii="Arial" w:hAnsi="Arial" w:eastAsia="宋体"/>
          <w:b/>
          <w:color w:val="FF0000"/>
          <w:kern w:val="2"/>
          <w:sz w:val="30"/>
          <w:szCs w:val="30"/>
          <w:lang w:eastAsia="zh-CN"/>
        </w:rPr>
      </w:pPr>
    </w:p>
    <w:p w14:paraId="67BDAA76">
      <w:pPr>
        <w:widowControl w:val="0"/>
        <w:jc w:val="both"/>
        <w:rPr>
          <w:rFonts w:hint="eastAsia" w:ascii="宋体" w:hAnsi="宋体" w:eastAsia="宋体"/>
          <w:b/>
          <w:bCs/>
          <w:sz w:val="28"/>
          <w:szCs w:val="28"/>
          <w:lang w:eastAsia="zh-CN"/>
        </w:rPr>
      </w:pPr>
      <w:r>
        <w:rPr>
          <w:rFonts w:hint="eastAsia" w:ascii="宋体" w:hAnsi="宋体" w:eastAsia="宋体"/>
          <w:b/>
          <w:bCs/>
          <w:sz w:val="28"/>
          <w:szCs w:val="28"/>
          <w:lang w:eastAsia="zh-CN"/>
        </w:rPr>
        <w:br w:type="page"/>
      </w:r>
    </w:p>
    <w:p w14:paraId="6326D394">
      <w:pPr>
        <w:keepNext/>
        <w:keepLines/>
        <w:widowControl w:val="0"/>
        <w:spacing w:before="260" w:after="260" w:line="416" w:lineRule="auto"/>
        <w:jc w:val="center"/>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 xml:space="preserve">第二章 </w:t>
      </w:r>
      <w:bookmarkStart w:id="2" w:name="_Hlk71926094"/>
      <w:r>
        <w:rPr>
          <w:rFonts w:hint="eastAsia" w:ascii="宋体" w:hAnsi="宋体" w:eastAsia="宋体"/>
          <w:b/>
          <w:bCs/>
          <w:sz w:val="28"/>
          <w:szCs w:val="28"/>
          <w:lang w:eastAsia="zh-CN"/>
        </w:rPr>
        <w:t>对通用条款的补充内容及其他关键信息</w:t>
      </w:r>
      <w:bookmarkEnd w:id="2"/>
    </w:p>
    <w:p w14:paraId="68887D7C">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bookmarkStart w:id="3" w:name="_Toc73521547"/>
      <w:bookmarkStart w:id="4" w:name="_Toc73517639"/>
      <w:bookmarkStart w:id="5" w:name="_Toc101074876"/>
      <w:bookmarkStart w:id="6" w:name="_Toc60560625"/>
      <w:bookmarkStart w:id="7" w:name="_Toc73521635"/>
      <w:bookmarkStart w:id="8" w:name="_Toc73518117"/>
      <w:bookmarkStart w:id="9" w:name="_Toc100052364"/>
      <w:bookmarkStart w:id="10" w:name="_Toc60631620"/>
      <w:r>
        <w:rPr>
          <w:rFonts w:hint="eastAsia" w:ascii="宋体" w:hAnsi="宋体" w:eastAsia="宋体"/>
          <w:b/>
          <w:bCs/>
          <w:lang w:eastAsia="zh-CN"/>
        </w:rPr>
        <w:t>一、对通用条款的补充内容</w:t>
      </w:r>
    </w:p>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
        <w:gridCol w:w="1634"/>
        <w:gridCol w:w="6310"/>
      </w:tblGrid>
      <w:tr w14:paraId="0283F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9B82C2">
            <w:pPr>
              <w:widowControl w:val="0"/>
              <w:jc w:val="center"/>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通用条款序号</w:t>
            </w:r>
          </w:p>
        </w:tc>
        <w:tc>
          <w:tcPr>
            <w:tcW w:w="1755" w:type="dxa"/>
            <w:vAlign w:val="center"/>
          </w:tcPr>
          <w:p w14:paraId="5DD868A6">
            <w:pPr>
              <w:widowControl w:val="0"/>
              <w:jc w:val="center"/>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涉及事项</w:t>
            </w:r>
          </w:p>
        </w:tc>
        <w:tc>
          <w:tcPr>
            <w:tcW w:w="6795" w:type="dxa"/>
            <w:vAlign w:val="center"/>
          </w:tcPr>
          <w:p w14:paraId="750393DE">
            <w:pPr>
              <w:widowControl w:val="0"/>
              <w:jc w:val="center"/>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 xml:space="preserve">具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体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补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容</w:t>
            </w:r>
          </w:p>
        </w:tc>
      </w:tr>
      <w:tr w14:paraId="2C3A4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A0A4B4F">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.1</w:t>
            </w:r>
          </w:p>
        </w:tc>
        <w:tc>
          <w:tcPr>
            <w:tcW w:w="1755" w:type="dxa"/>
            <w:vAlign w:val="center"/>
          </w:tcPr>
          <w:p w14:paraId="13DE824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p>
        </w:tc>
        <w:tc>
          <w:tcPr>
            <w:tcW w:w="6795" w:type="dxa"/>
            <w:vAlign w:val="center"/>
          </w:tcPr>
          <w:p w14:paraId="2CD17167">
            <w:pPr>
              <w:widowControl w:val="0"/>
              <w:jc w:val="left"/>
              <w:rPr>
                <w:rFonts w:hint="eastAsia" w:ascii="宋体" w:hAnsi="宋体" w:eastAsia="宋体"/>
                <w:kern w:val="2"/>
                <w:sz w:val="21"/>
                <w:szCs w:val="22"/>
                <w:lang w:eastAsia="zh-CN"/>
              </w:rPr>
            </w:pPr>
            <w:r>
              <w:rPr>
                <w:rFonts w:hint="eastAsia" w:ascii="宋体" w:hAnsi="宋体" w:eastAsia="宋体"/>
                <w:kern w:val="2"/>
                <w:sz w:val="21"/>
                <w:szCs w:val="22"/>
                <w:lang w:eastAsia="zh-CN"/>
              </w:rPr>
              <w:t>深圳市龙华区实验学校教育集团</w:t>
            </w:r>
          </w:p>
        </w:tc>
      </w:tr>
      <w:tr w14:paraId="1F7653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7BAFB9">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.2</w:t>
            </w:r>
          </w:p>
        </w:tc>
        <w:tc>
          <w:tcPr>
            <w:tcW w:w="1755" w:type="dxa"/>
            <w:vAlign w:val="center"/>
          </w:tcPr>
          <w:p w14:paraId="575897C6">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采购代理机构</w:t>
            </w:r>
          </w:p>
        </w:tc>
        <w:tc>
          <w:tcPr>
            <w:tcW w:w="6795" w:type="dxa"/>
            <w:vAlign w:val="center"/>
          </w:tcPr>
          <w:p w14:paraId="27E0B8E5">
            <w:pPr>
              <w:widowControl w:val="0"/>
              <w:jc w:val="left"/>
              <w:rPr>
                <w:rFonts w:hint="eastAsia" w:ascii="宋体" w:hAnsi="宋体" w:eastAsia="宋体"/>
                <w:kern w:val="2"/>
                <w:sz w:val="21"/>
                <w:szCs w:val="22"/>
                <w:lang w:eastAsia="zh-CN"/>
              </w:rPr>
            </w:pPr>
            <w:r>
              <w:rPr>
                <w:rFonts w:hint="eastAsia" w:ascii="宋体" w:hAnsi="宋体" w:eastAsia="宋体" w:cs="Arial"/>
                <w:kern w:val="2"/>
                <w:sz w:val="21"/>
                <w:szCs w:val="21"/>
                <w:lang w:eastAsia="zh-CN"/>
              </w:rPr>
              <w:t>本文件所述的“采购代理机构”</w:t>
            </w:r>
            <w:r>
              <w:rPr>
                <w:rFonts w:ascii="宋体" w:hAnsi="宋体" w:eastAsia="宋体" w:cs="Arial"/>
                <w:kern w:val="2"/>
                <w:sz w:val="21"/>
                <w:szCs w:val="21"/>
                <w:lang w:eastAsia="zh-CN"/>
              </w:rPr>
              <w:t>指</w:t>
            </w:r>
            <w:r>
              <w:rPr>
                <w:rFonts w:hint="eastAsia" w:ascii="宋体" w:hAnsi="宋体" w:eastAsia="宋体" w:cs="Arial"/>
                <w:b/>
                <w:bCs/>
                <w:kern w:val="2"/>
                <w:sz w:val="21"/>
                <w:szCs w:val="21"/>
                <w:lang w:eastAsia="zh-CN"/>
              </w:rPr>
              <w:t>深圳市拓泰实业有限公司</w:t>
            </w:r>
            <w:r>
              <w:rPr>
                <w:rFonts w:hint="eastAsia" w:ascii="Arial" w:hAnsi="Arial" w:eastAsia="宋体"/>
                <w:kern w:val="2"/>
                <w:sz w:val="21"/>
                <w:lang w:eastAsia="zh-CN"/>
              </w:rPr>
              <w:t>。本项目具体由深圳市拓泰实业有限公司执行</w:t>
            </w:r>
            <w:r>
              <w:rPr>
                <w:rFonts w:hint="eastAsia" w:ascii="Arial" w:hAnsi="Arial" w:eastAsia="宋体"/>
                <w:bCs/>
                <w:kern w:val="2"/>
                <w:sz w:val="21"/>
                <w:lang w:eastAsia="zh-CN"/>
              </w:rPr>
              <w:t>。</w:t>
            </w:r>
          </w:p>
        </w:tc>
      </w:tr>
      <w:tr w14:paraId="4C234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EC5E8D">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w:t>
            </w:r>
            <w:r>
              <w:rPr>
                <w:rFonts w:ascii="宋体" w:hAnsi="宋体" w:eastAsia="宋体" w:cstheme="minorBidi"/>
                <w:kern w:val="2"/>
                <w:sz w:val="21"/>
                <w:szCs w:val="22"/>
                <w:lang w:eastAsia="zh-CN"/>
              </w:rPr>
              <w:t>.3</w:t>
            </w:r>
          </w:p>
        </w:tc>
        <w:tc>
          <w:tcPr>
            <w:tcW w:w="1755" w:type="dxa"/>
            <w:vAlign w:val="center"/>
          </w:tcPr>
          <w:p w14:paraId="58EBAC2D">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联合体投标</w:t>
            </w:r>
          </w:p>
        </w:tc>
        <w:tc>
          <w:tcPr>
            <w:tcW w:w="6795" w:type="dxa"/>
            <w:vAlign w:val="center"/>
          </w:tcPr>
          <w:p w14:paraId="05A1356D">
            <w:pPr>
              <w:widowControl w:val="0"/>
              <w:jc w:val="left"/>
              <w:rPr>
                <w:rFonts w:ascii="Arial" w:hAnsi="Arial" w:eastAsia="宋体"/>
                <w:kern w:val="2"/>
                <w:sz w:val="21"/>
                <w:lang w:eastAsia="zh-CN"/>
              </w:rPr>
            </w:pPr>
            <w:r>
              <w:rPr>
                <w:rFonts w:hint="eastAsia" w:ascii="Arial" w:hAnsi="Arial" w:eastAsia="宋体"/>
                <w:kern w:val="2"/>
                <w:sz w:val="21"/>
                <w:lang w:eastAsia="zh-CN"/>
              </w:rPr>
              <w:t>不接受</w:t>
            </w:r>
          </w:p>
        </w:tc>
      </w:tr>
      <w:tr w14:paraId="2E917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64D85D">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w:t>
            </w:r>
          </w:p>
        </w:tc>
        <w:tc>
          <w:tcPr>
            <w:tcW w:w="1755" w:type="dxa"/>
            <w:vAlign w:val="center"/>
          </w:tcPr>
          <w:p w14:paraId="43068064">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踏勘现场</w:t>
            </w:r>
          </w:p>
        </w:tc>
        <w:tc>
          <w:tcPr>
            <w:tcW w:w="6795" w:type="dxa"/>
            <w:vAlign w:val="center"/>
          </w:tcPr>
          <w:p w14:paraId="4DE16D08">
            <w:pPr>
              <w:widowControl w:val="0"/>
              <w:jc w:val="left"/>
              <w:rPr>
                <w:rFonts w:ascii="Arial" w:hAnsi="Arial" w:eastAsia="宋体"/>
                <w:kern w:val="2"/>
                <w:sz w:val="21"/>
                <w:lang w:eastAsia="zh-CN"/>
              </w:rPr>
            </w:pPr>
            <w:r>
              <w:rPr>
                <w:rFonts w:hint="eastAsia" w:ascii="Arial" w:hAnsi="Arial" w:eastAsia="宋体"/>
                <w:kern w:val="2"/>
                <w:sz w:val="21"/>
                <w:lang w:eastAsia="zh-CN"/>
              </w:rPr>
              <w:t>组织</w:t>
            </w:r>
          </w:p>
        </w:tc>
      </w:tr>
      <w:tr w14:paraId="0156E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167F63">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0</w:t>
            </w:r>
          </w:p>
        </w:tc>
        <w:tc>
          <w:tcPr>
            <w:tcW w:w="1755" w:type="dxa"/>
            <w:vAlign w:val="center"/>
          </w:tcPr>
          <w:p w14:paraId="568E4291">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标前会议</w:t>
            </w:r>
          </w:p>
        </w:tc>
        <w:tc>
          <w:tcPr>
            <w:tcW w:w="6795" w:type="dxa"/>
            <w:vAlign w:val="center"/>
          </w:tcPr>
          <w:p w14:paraId="74880496">
            <w:pPr>
              <w:widowControl w:val="0"/>
              <w:jc w:val="left"/>
              <w:rPr>
                <w:rFonts w:ascii="Arial" w:hAnsi="Arial" w:eastAsia="宋体"/>
                <w:kern w:val="2"/>
                <w:sz w:val="21"/>
                <w:lang w:eastAsia="zh-CN"/>
              </w:rPr>
            </w:pPr>
            <w:r>
              <w:rPr>
                <w:rFonts w:hint="eastAsia" w:ascii="Arial" w:hAnsi="Arial" w:eastAsia="宋体"/>
                <w:kern w:val="2"/>
                <w:sz w:val="21"/>
                <w:lang w:eastAsia="zh-CN"/>
              </w:rPr>
              <w:t>不组织</w:t>
            </w:r>
          </w:p>
        </w:tc>
      </w:tr>
      <w:tr w14:paraId="7C0D2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05BAED1">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3</w:t>
            </w:r>
          </w:p>
        </w:tc>
        <w:tc>
          <w:tcPr>
            <w:tcW w:w="1755" w:type="dxa"/>
            <w:vAlign w:val="center"/>
          </w:tcPr>
          <w:p w14:paraId="04CF554B">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招标文件的澄清和修改</w:t>
            </w:r>
          </w:p>
        </w:tc>
        <w:tc>
          <w:tcPr>
            <w:tcW w:w="6795" w:type="dxa"/>
            <w:vAlign w:val="center"/>
          </w:tcPr>
          <w:p w14:paraId="685CC682">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不晚于投标截止日三日前，投标人有义务在招标期间在采购代理机构网站浏览与本项目有关的澄清和修改信息。</w:t>
            </w:r>
          </w:p>
        </w:tc>
      </w:tr>
      <w:tr w14:paraId="70806C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1DAA7D">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0</w:t>
            </w:r>
          </w:p>
        </w:tc>
        <w:tc>
          <w:tcPr>
            <w:tcW w:w="1755" w:type="dxa"/>
            <w:vAlign w:val="center"/>
          </w:tcPr>
          <w:p w14:paraId="08929405">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投标有效期</w:t>
            </w:r>
          </w:p>
        </w:tc>
        <w:tc>
          <w:tcPr>
            <w:tcW w:w="6795" w:type="dxa"/>
            <w:vAlign w:val="center"/>
          </w:tcPr>
          <w:p w14:paraId="08E6AB4A">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120日历天（从投标截止之日算起）</w:t>
            </w:r>
          </w:p>
        </w:tc>
      </w:tr>
      <w:tr w14:paraId="344BF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3157B0">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2</w:t>
            </w:r>
          </w:p>
        </w:tc>
        <w:tc>
          <w:tcPr>
            <w:tcW w:w="1755" w:type="dxa"/>
            <w:vAlign w:val="center"/>
          </w:tcPr>
          <w:p w14:paraId="7BA4D39F">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投标人的替代方案</w:t>
            </w:r>
          </w:p>
        </w:tc>
        <w:tc>
          <w:tcPr>
            <w:tcW w:w="6795" w:type="dxa"/>
            <w:vAlign w:val="center"/>
          </w:tcPr>
          <w:p w14:paraId="555ABEAF">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不接受</w:t>
            </w:r>
          </w:p>
        </w:tc>
      </w:tr>
      <w:tr w14:paraId="5585A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DB09B0">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5</w:t>
            </w:r>
          </w:p>
        </w:tc>
        <w:tc>
          <w:tcPr>
            <w:tcW w:w="1755" w:type="dxa"/>
            <w:vAlign w:val="center"/>
          </w:tcPr>
          <w:p w14:paraId="61922264">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投标文件的大小</w:t>
            </w:r>
          </w:p>
        </w:tc>
        <w:tc>
          <w:tcPr>
            <w:tcW w:w="6795" w:type="dxa"/>
            <w:vAlign w:val="center"/>
          </w:tcPr>
          <w:p w14:paraId="1FF004FB">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投标文件大小不得超过100MB</w:t>
            </w:r>
          </w:p>
        </w:tc>
      </w:tr>
      <w:tr w14:paraId="016CC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250C82">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6</w:t>
            </w:r>
          </w:p>
        </w:tc>
        <w:tc>
          <w:tcPr>
            <w:tcW w:w="1755" w:type="dxa"/>
            <w:vAlign w:val="center"/>
          </w:tcPr>
          <w:p w14:paraId="7F5D726B">
            <w:pPr>
              <w:widowControl w:val="0"/>
              <w:jc w:val="center"/>
              <w:rPr>
                <w:rFonts w:hint="eastAsia" w:ascii="宋体" w:hAnsi="宋体" w:eastAsia="宋体"/>
                <w:kern w:val="2"/>
                <w:sz w:val="21"/>
                <w:szCs w:val="22"/>
                <w:lang w:eastAsia="zh-CN"/>
              </w:rPr>
            </w:pPr>
            <w:bookmarkStart w:id="11" w:name="_Hlk71664860"/>
            <w:r>
              <w:rPr>
                <w:rFonts w:hint="eastAsia" w:ascii="宋体" w:hAnsi="宋体" w:eastAsia="宋体" w:cstheme="minorBidi"/>
                <w:kern w:val="2"/>
                <w:sz w:val="21"/>
                <w:szCs w:val="22"/>
                <w:lang w:eastAsia="zh-CN"/>
              </w:rPr>
              <w:t>样品、现场演示、方案讲解</w:t>
            </w:r>
            <w:bookmarkEnd w:id="11"/>
          </w:p>
        </w:tc>
        <w:tc>
          <w:tcPr>
            <w:tcW w:w="6795" w:type="dxa"/>
            <w:vAlign w:val="center"/>
          </w:tcPr>
          <w:p w14:paraId="00E9D76B">
            <w:pPr>
              <w:widowControl w:val="0"/>
              <w:jc w:val="left"/>
              <w:rPr>
                <w:rFonts w:hint="eastAsia" w:ascii="宋体" w:hAnsi="宋体" w:eastAsia="宋体"/>
                <w:kern w:val="2"/>
                <w:sz w:val="21"/>
                <w:szCs w:val="22"/>
                <w:lang w:eastAsia="zh-CN"/>
              </w:rPr>
            </w:pPr>
            <w:r>
              <w:rPr>
                <w:rFonts w:hint="eastAsia" w:ascii="宋体" w:hAnsi="宋体" w:eastAsia="宋体" w:cs="宋体"/>
                <w:kern w:val="2"/>
                <w:sz w:val="21"/>
                <w:szCs w:val="22"/>
                <w:lang w:eastAsia="zh-CN"/>
              </w:rPr>
              <w:t>现场演示讲解要求，具体安排见其他关键信息章节</w:t>
            </w:r>
          </w:p>
        </w:tc>
      </w:tr>
      <w:tr w14:paraId="4353D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DB0948">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7</w:t>
            </w:r>
          </w:p>
        </w:tc>
        <w:tc>
          <w:tcPr>
            <w:tcW w:w="1755" w:type="dxa"/>
            <w:vAlign w:val="center"/>
          </w:tcPr>
          <w:p w14:paraId="4E26C9EC">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评审方法</w:t>
            </w:r>
          </w:p>
        </w:tc>
        <w:tc>
          <w:tcPr>
            <w:tcW w:w="6795" w:type="dxa"/>
            <w:vAlign w:val="center"/>
          </w:tcPr>
          <w:p w14:paraId="2BA33A1A">
            <w:pPr>
              <w:widowControl w:val="0"/>
              <w:jc w:val="left"/>
              <w:rPr>
                <w:rFonts w:hint="eastAsia" w:ascii="宋体" w:hAnsi="宋体" w:eastAsia="宋体"/>
                <w:kern w:val="2"/>
                <w:sz w:val="21"/>
                <w:szCs w:val="22"/>
                <w:lang w:eastAsia="zh-CN"/>
              </w:rPr>
            </w:pPr>
            <w:r>
              <w:rPr>
                <w:rFonts w:ascii="宋体" w:hAnsi="宋体" w:eastAsia="宋体" w:cstheme="minorBidi"/>
                <w:b/>
                <w:bCs/>
                <w:kern w:val="2"/>
                <w:sz w:val="21"/>
                <w:szCs w:val="22"/>
                <w:lang w:eastAsia="zh-CN"/>
              </w:rPr>
              <w:t>综合评分法</w:t>
            </w:r>
          </w:p>
        </w:tc>
      </w:tr>
      <w:tr w14:paraId="52F33D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F8BA0B">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8</w:t>
            </w:r>
          </w:p>
        </w:tc>
        <w:tc>
          <w:tcPr>
            <w:tcW w:w="1755" w:type="dxa"/>
            <w:vAlign w:val="center"/>
          </w:tcPr>
          <w:p w14:paraId="3D600553">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定标方法</w:t>
            </w:r>
          </w:p>
        </w:tc>
        <w:tc>
          <w:tcPr>
            <w:tcW w:w="6795" w:type="dxa"/>
            <w:vAlign w:val="center"/>
          </w:tcPr>
          <w:p w14:paraId="3FB94CD8">
            <w:pPr>
              <w:widowControl w:val="0"/>
              <w:jc w:val="left"/>
              <w:rPr>
                <w:rFonts w:hint="eastAsia" w:ascii="宋体" w:hAnsi="宋体" w:eastAsia="宋体"/>
                <w:b/>
                <w:bCs/>
                <w:kern w:val="2"/>
                <w:sz w:val="21"/>
                <w:szCs w:val="22"/>
                <w:highlight w:val="yellow"/>
                <w:lang w:eastAsia="zh-CN"/>
              </w:rPr>
            </w:pPr>
            <w:r>
              <w:rPr>
                <w:rFonts w:hint="eastAsia" w:ascii="宋体" w:hAnsi="宋体" w:eastAsia="宋体"/>
                <w:b/>
                <w:bCs/>
                <w:kern w:val="2"/>
                <w:sz w:val="21"/>
                <w:szCs w:val="21"/>
                <w:highlight w:val="yellow"/>
                <w:lang w:eastAsia="zh-CN"/>
              </w:rPr>
              <w:t>非评定分离</w:t>
            </w:r>
          </w:p>
        </w:tc>
      </w:tr>
      <w:tr w14:paraId="4BB19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D5EA14">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6</w:t>
            </w:r>
          </w:p>
        </w:tc>
        <w:tc>
          <w:tcPr>
            <w:tcW w:w="1755" w:type="dxa"/>
            <w:vAlign w:val="center"/>
          </w:tcPr>
          <w:p w14:paraId="72561DE6">
            <w:pPr>
              <w:widowControl w:val="0"/>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履约担保</w:t>
            </w:r>
          </w:p>
        </w:tc>
        <w:tc>
          <w:tcPr>
            <w:tcW w:w="6795" w:type="dxa"/>
            <w:vAlign w:val="center"/>
          </w:tcPr>
          <w:p w14:paraId="72A6D9C5">
            <w:pPr>
              <w:widowControl w:val="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不需要</w:t>
            </w:r>
          </w:p>
        </w:tc>
      </w:tr>
      <w:bookmarkEnd w:id="3"/>
      <w:bookmarkEnd w:id="4"/>
      <w:bookmarkEnd w:id="5"/>
      <w:bookmarkEnd w:id="6"/>
      <w:bookmarkEnd w:id="7"/>
      <w:bookmarkEnd w:id="8"/>
      <w:bookmarkEnd w:id="9"/>
      <w:bookmarkEnd w:id="10"/>
    </w:tbl>
    <w:p w14:paraId="7523D62D">
      <w:pPr>
        <w:widowControl/>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14:paraId="285C170A">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r>
        <w:rPr>
          <w:rFonts w:hint="eastAsia" w:ascii="宋体" w:hAnsi="宋体" w:eastAsia="宋体"/>
          <w:b/>
          <w:bCs/>
          <w:lang w:eastAsia="zh-CN"/>
        </w:rPr>
        <w:t>二、其他关键信息</w:t>
      </w:r>
    </w:p>
    <w:p w14:paraId="19E29AA6">
      <w:pPr>
        <w:widowControl w:val="0"/>
        <w:tabs>
          <w:tab w:val="left" w:pos="720"/>
        </w:tabs>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（一）</w:t>
      </w:r>
      <w:r>
        <w:rPr>
          <w:rFonts w:hint="eastAsia" w:ascii="黑体" w:hAnsi="宋体" w:eastAsia="黑体" w:cstheme="minorBidi"/>
          <w:bCs/>
          <w:kern w:val="2"/>
          <w:szCs w:val="22"/>
          <w:lang w:eastAsia="zh-CN"/>
        </w:rPr>
        <w:t>与“对通用条款的补充内容”章节相关的事项</w:t>
      </w:r>
    </w:p>
    <w:p w14:paraId="268D8080">
      <w:pPr>
        <w:widowControl w:val="0"/>
        <w:tabs>
          <w:tab w:val="left" w:pos="720"/>
        </w:tabs>
        <w:jc w:val="both"/>
        <w:rPr>
          <w:rFonts w:hint="eastAsia"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5781D182">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3359"/>
        <w:gridCol w:w="2544"/>
      </w:tblGrid>
      <w:tr w14:paraId="66B4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303A8524">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评标方法</w:t>
            </w:r>
          </w:p>
        </w:tc>
        <w:tc>
          <w:tcPr>
            <w:tcW w:w="3235" w:type="dxa"/>
          </w:tcPr>
          <w:p w14:paraId="76FE712F">
            <w:pPr>
              <w:widowControl w:val="0"/>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FE"/>
            </w:r>
            <w:r>
              <w:rPr>
                <w:rFonts w:hint="eastAsia" w:ascii="Calibri" w:hAnsi="Calibri" w:eastAsia="宋体" w:cstheme="minorBidi"/>
                <w:kern w:val="2"/>
                <w:sz w:val="21"/>
                <w:szCs w:val="22"/>
                <w:lang w:eastAsia="zh-CN"/>
              </w:rPr>
              <w:t>综合评分法</w:t>
            </w:r>
          </w:p>
        </w:tc>
        <w:tc>
          <w:tcPr>
            <w:tcW w:w="2450" w:type="dxa"/>
          </w:tcPr>
          <w:p w14:paraId="6E9571C4">
            <w:pPr>
              <w:widowControl w:val="0"/>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A8"/>
            </w:r>
            <w:r>
              <w:rPr>
                <w:rFonts w:hint="eastAsia" w:hAnsi="Calibri" w:eastAsia="宋体" w:cstheme="minorBidi"/>
                <w:kern w:val="2"/>
                <w:sz w:val="21"/>
                <w:szCs w:val="22"/>
                <w:lang w:eastAsia="zh-CN"/>
              </w:rPr>
              <w:t>最低价法</w:t>
            </w:r>
          </w:p>
        </w:tc>
      </w:tr>
      <w:tr w14:paraId="0D25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39E8556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候选中标供应商家数</w:t>
            </w:r>
          </w:p>
        </w:tc>
        <w:tc>
          <w:tcPr>
            <w:tcW w:w="3235" w:type="dxa"/>
          </w:tcPr>
          <w:p w14:paraId="66F595A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c>
          <w:tcPr>
            <w:tcW w:w="2450" w:type="dxa"/>
          </w:tcPr>
          <w:p w14:paraId="045062DF">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r>
      <w:tr w14:paraId="584C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21E9A601">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中标供应商家数</w:t>
            </w:r>
          </w:p>
        </w:tc>
        <w:tc>
          <w:tcPr>
            <w:tcW w:w="3235" w:type="dxa"/>
          </w:tcPr>
          <w:p w14:paraId="7C57195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tcPr>
          <w:p w14:paraId="59AB74EF">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bl>
    <w:p w14:paraId="36741892">
      <w:pPr>
        <w:widowControl w:val="0"/>
        <w:tabs>
          <w:tab w:val="left" w:pos="720"/>
        </w:tabs>
        <w:jc w:val="both"/>
        <w:rPr>
          <w:rFonts w:hint="eastAsia" w:ascii="黑体" w:hAnsi="宋体" w:eastAsia="黑体"/>
          <w:kern w:val="2"/>
          <w:szCs w:val="22"/>
          <w:lang w:eastAsia="zh-CN"/>
        </w:rPr>
      </w:pPr>
    </w:p>
    <w:p w14:paraId="1481FDB9">
      <w:pPr>
        <w:widowControl w:val="0"/>
        <w:tabs>
          <w:tab w:val="left" w:pos="720"/>
        </w:tabs>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（二）其他事项</w:t>
      </w:r>
    </w:p>
    <w:p w14:paraId="03977591">
      <w:pPr>
        <w:widowControl w:val="0"/>
        <w:tabs>
          <w:tab w:val="left" w:pos="720"/>
        </w:tabs>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1、关于享受优惠政策的主体、价格扣除比例及采购标的所属行业</w:t>
      </w:r>
    </w:p>
    <w:p w14:paraId="3ECEC340">
      <w:pPr>
        <w:widowControl w:val="0"/>
        <w:ind w:firstLine="413" w:firstLineChars="196"/>
        <w:jc w:val="both"/>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（1）</w:t>
      </w:r>
      <w:r>
        <w:rPr>
          <w:rFonts w:hint="eastAsia" w:ascii="Calibri" w:hAnsi="Calibri" w:eastAsia="宋体" w:cstheme="minorBidi"/>
          <w:b/>
          <w:bCs/>
          <w:kern w:val="2"/>
          <w:sz w:val="21"/>
          <w:szCs w:val="22"/>
          <w:lang w:eastAsia="zh-CN"/>
        </w:rPr>
        <w:t>专门面向中小企业采购的项目（包括联合体或分包预留中小企业份额的项目），不再执行价格扣除比例。</w:t>
      </w:r>
    </w:p>
    <w:p w14:paraId="7035B97E">
      <w:pPr>
        <w:widowControl w:val="0"/>
        <w:ind w:firstLine="411" w:firstLineChars="196"/>
        <w:jc w:val="both"/>
        <w:rPr>
          <w:rFonts w:ascii="Arial" w:hAnsi="Arial" w:eastAsia="宋体"/>
          <w:b/>
          <w:color w:val="0000FF"/>
          <w:kern w:val="2"/>
          <w:sz w:val="21"/>
          <w:szCs w:val="21"/>
          <w:highlight w:val="yellow"/>
          <w:lang w:eastAsia="zh-CN"/>
        </w:rPr>
      </w:pPr>
      <w:r>
        <w:rPr>
          <w:rFonts w:hint="eastAsia" w:ascii="宋体" w:hAnsi="宋体" w:eastAsia="宋体" w:cstheme="minorBidi"/>
          <w:kern w:val="2"/>
          <w:sz w:val="21"/>
          <w:szCs w:val="22"/>
          <w:lang w:eastAsia="zh-CN"/>
        </w:rPr>
        <w:t>（2）</w:t>
      </w:r>
      <w:r>
        <w:rPr>
          <w:rFonts w:hint="eastAsia" w:ascii="Calibri" w:hAnsi="Calibri" w:eastAsia="宋体" w:cstheme="minorBidi"/>
          <w:kern w:val="2"/>
          <w:sz w:val="21"/>
          <w:szCs w:val="22"/>
          <w:lang w:eastAsia="zh-CN"/>
        </w:rPr>
        <w:t>非</w:t>
      </w:r>
      <w:r>
        <w:rPr>
          <w:rFonts w:hint="eastAsia" w:hAnsi="Calibri" w:eastAsia="宋体" w:cstheme="minorBidi"/>
          <w:kern w:val="2"/>
          <w:sz w:val="21"/>
          <w:szCs w:val="22"/>
          <w:lang w:eastAsia="zh-CN"/>
        </w:rPr>
        <w:t>专门面向中小企业采购的项目，</w:t>
      </w:r>
      <w:r>
        <w:rPr>
          <w:rFonts w:hint="eastAsia" w:ascii="Calibri" w:hAnsi="Calibri" w:eastAsia="宋体" w:cstheme="minorBidi"/>
          <w:kern w:val="2"/>
          <w:sz w:val="21"/>
          <w:szCs w:val="22"/>
          <w:lang w:eastAsia="zh-CN"/>
        </w:rPr>
        <w:t>应</w:t>
      </w:r>
      <w:r>
        <w:rPr>
          <w:rFonts w:hint="eastAsia" w:hAnsi="Calibri" w:eastAsia="宋体" w:cstheme="minorBidi"/>
          <w:kern w:val="2"/>
          <w:sz w:val="21"/>
          <w:szCs w:val="22"/>
          <w:lang w:eastAsia="zh-CN"/>
        </w:rPr>
        <w:t>执行价格扣除比例</w:t>
      </w:r>
      <w:r>
        <w:rPr>
          <w:rFonts w:hint="eastAsia" w:ascii="Calibri" w:hAnsi="Calibri" w:eastAsia="宋体" w:cstheme="minorBidi"/>
          <w:kern w:val="2"/>
          <w:sz w:val="21"/>
          <w:szCs w:val="22"/>
          <w:lang w:eastAsia="zh-CN"/>
        </w:rPr>
        <w:t>：</w:t>
      </w:r>
      <w:r>
        <w:rPr>
          <w:rFonts w:hint="eastAsia" w:ascii="宋体" w:hAnsi="宋体" w:eastAsia="宋体" w:cstheme="minorBidi"/>
          <w:kern w:val="2"/>
          <w:sz w:val="21"/>
          <w:szCs w:val="22"/>
          <w:lang w:eastAsia="zh-CN"/>
        </w:rPr>
        <w:t>投标人提供的货物（以招标文件用户需求书“货物需求明细”的“货物名称”一栏为准）全部均由优惠主体制造的，对其投标总价给予</w:t>
      </w:r>
      <w:r>
        <w:rPr>
          <w:rFonts w:hint="eastAsia" w:ascii="宋体" w:hAnsi="宋体" w:eastAsia="宋体" w:cstheme="minorBidi"/>
          <w:kern w:val="2"/>
          <w:sz w:val="21"/>
          <w:szCs w:val="22"/>
          <w:u w:val="single"/>
          <w:lang w:eastAsia="zh-CN"/>
        </w:rPr>
        <w:t xml:space="preserve"> 10%</w:t>
      </w:r>
      <w:r>
        <w:rPr>
          <w:rFonts w:hint="eastAsia" w:ascii="宋体" w:hAnsi="宋体" w:eastAsia="宋体"/>
          <w:b/>
          <w:kern w:val="2"/>
          <w:u w:val="single"/>
          <w:lang w:eastAsia="zh-CN"/>
        </w:rPr>
        <w:t xml:space="preserve">  </w:t>
      </w:r>
      <w:r>
        <w:rPr>
          <w:rFonts w:hint="eastAsia" w:ascii="宋体" w:hAnsi="宋体" w:eastAsia="宋体" w:cstheme="minorBidi"/>
          <w:kern w:val="2"/>
          <w:sz w:val="21"/>
          <w:szCs w:val="22"/>
          <w:lang w:eastAsia="zh-CN"/>
        </w:rPr>
        <w:t>的扣除，用扣除后的价格参与评审。满足多项优惠政策的企业，不重复享受多项价格扣除政策。</w:t>
      </w:r>
      <w:r>
        <w:rPr>
          <w:rFonts w:hint="eastAsia" w:ascii="Arial" w:hAnsi="Arial" w:eastAsia="宋体"/>
          <w:b/>
          <w:kern w:val="2"/>
          <w:sz w:val="21"/>
          <w:szCs w:val="21"/>
          <w:lang w:eastAsia="zh-CN"/>
        </w:rPr>
        <w:t>政策调整后价格仅作为评审依据，不作为中标价格。</w:t>
      </w:r>
    </w:p>
    <w:p w14:paraId="54A5EDBE">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w:t>
      </w:r>
      <w:r>
        <w:rPr>
          <w:rFonts w:hint="eastAsia" w:ascii="宋体" w:hAnsi="宋体" w:eastAsia="宋体" w:cs="宋体"/>
          <w:b/>
          <w:bCs/>
          <w:kern w:val="2"/>
          <w:sz w:val="21"/>
          <w:szCs w:val="21"/>
          <w:lang w:eastAsia="zh-CN"/>
        </w:rPr>
        <w:t>（a）</w:t>
      </w:r>
      <w:r>
        <w:rPr>
          <w:rFonts w:hint="eastAsia" w:ascii="宋体" w:hAnsi="宋体" w:eastAsia="宋体" w:cs="宋体"/>
          <w:kern w:val="2"/>
          <w:sz w:val="21"/>
          <w:szCs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eastAsia="宋体" w:cstheme="minorBidi"/>
          <w:kern w:val="2"/>
          <w:sz w:val="21"/>
          <w:szCs w:val="22"/>
          <w:lang w:eastAsia="zh-CN"/>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kern w:val="2"/>
          <w:sz w:val="21"/>
          <w:szCs w:val="21"/>
          <w:lang w:eastAsia="zh-CN"/>
        </w:rPr>
        <w:t>(b)</w:t>
      </w:r>
      <w:r>
        <w:rPr>
          <w:rFonts w:hint="eastAsia" w:ascii="宋体" w:hAnsi="宋体" w:eastAsia="宋体" w:cs="宋体"/>
          <w:kern w:val="2"/>
          <w:sz w:val="21"/>
          <w:szCs w:val="21"/>
          <w:lang w:eastAsia="zh-CN"/>
        </w:rPr>
        <w:t>优惠主体制造是指货物由优惠主体生产且使用该优惠主体商号或者注册商标；投标人提供的货物既有优惠主体制造货物，又有非优惠主体制造货物的，不给予价格扣除。</w:t>
      </w:r>
    </w:p>
    <w:p w14:paraId="30A79F1B">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12" w:name="_Hlk71970739"/>
      <w:r>
        <w:rPr>
          <w:rFonts w:hint="eastAsia" w:ascii="宋体" w:hAnsi="宋体" w:eastAsia="宋体" w:cs="宋体"/>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kern w:val="2"/>
          <w:sz w:val="21"/>
          <w:szCs w:val="21"/>
          <w:lang w:eastAsia="zh-CN"/>
        </w:rPr>
        <w:t>《中小企业声明函》中相关企业所属行业应当与采购标的所属行业相一致。</w:t>
      </w:r>
      <w:r>
        <w:rPr>
          <w:rFonts w:hint="eastAsia" w:ascii="宋体" w:hAnsi="宋体" w:eastAsia="宋体" w:cs="宋体"/>
          <w:kern w:val="2"/>
          <w:sz w:val="21"/>
          <w:szCs w:val="21"/>
          <w:lang w:eastAsia="zh-CN"/>
        </w:rPr>
        <w:t>本项目</w:t>
      </w:r>
      <w:bookmarkStart w:id="13" w:name="_Hlk71924718"/>
      <w:r>
        <w:rPr>
          <w:rFonts w:hint="eastAsia" w:ascii="宋体" w:hAnsi="宋体" w:eastAsia="宋体" w:cs="宋体"/>
          <w:kern w:val="2"/>
          <w:sz w:val="21"/>
          <w:szCs w:val="21"/>
          <w:lang w:eastAsia="zh-CN"/>
        </w:rPr>
        <w:t>采购标的（货物）对应的中小企业划分标准所属行业</w:t>
      </w:r>
      <w:bookmarkEnd w:id="13"/>
      <w:r>
        <w:rPr>
          <w:rFonts w:hint="eastAsia" w:ascii="宋体" w:hAnsi="宋体" w:eastAsia="宋体" w:cs="宋体"/>
          <w:kern w:val="2"/>
          <w:sz w:val="21"/>
          <w:szCs w:val="21"/>
          <w:lang w:eastAsia="zh-CN"/>
        </w:rPr>
        <w:t>为</w:t>
      </w:r>
      <w:r>
        <w:rPr>
          <w:rFonts w:hint="eastAsia" w:ascii="宋体" w:hAnsi="宋体" w:eastAsia="宋体" w:cs="宋体"/>
          <w:color w:val="FF0000"/>
          <w:kern w:val="2"/>
          <w:sz w:val="21"/>
          <w:szCs w:val="21"/>
          <w:u w:val="single"/>
          <w:lang w:eastAsia="zh-CN"/>
        </w:rPr>
        <w:t xml:space="preserve">  </w:t>
      </w:r>
      <w:r>
        <w:rPr>
          <w:rFonts w:hint="eastAsia" w:ascii="宋体" w:hAnsi="宋体" w:eastAsia="宋体" w:cs="宋体"/>
          <w:b/>
          <w:bCs/>
          <w:color w:val="FF0000"/>
          <w:kern w:val="2"/>
          <w:highlight w:val="yellow"/>
          <w:u w:val="single"/>
          <w:lang w:eastAsia="zh-CN"/>
        </w:rPr>
        <w:t>工</w:t>
      </w:r>
      <w:r>
        <w:rPr>
          <w:rFonts w:hint="eastAsia" w:ascii="宋体" w:hAnsi="宋体" w:eastAsia="宋体" w:cs="宋体"/>
          <w:color w:val="FF0000"/>
          <w:kern w:val="2"/>
          <w:sz w:val="21"/>
          <w:szCs w:val="21"/>
          <w:u w:val="single"/>
          <w:lang w:eastAsia="zh-CN"/>
        </w:rPr>
        <w:t xml:space="preserve">  </w:t>
      </w:r>
      <w:r>
        <w:rPr>
          <w:rFonts w:hint="eastAsia" w:ascii="宋体" w:hAnsi="宋体" w:eastAsia="宋体" w:cs="宋体"/>
          <w:kern w:val="2"/>
          <w:sz w:val="21"/>
          <w:szCs w:val="21"/>
          <w:lang w:eastAsia="zh-CN"/>
        </w:rPr>
        <w:t>业。</w:t>
      </w:r>
      <w:bookmarkEnd w:id="12"/>
    </w:p>
    <w:p w14:paraId="71381180">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41FACF68">
      <w:pPr>
        <w:widowControl w:val="0"/>
        <w:tabs>
          <w:tab w:val="left" w:pos="720"/>
        </w:tabs>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（5）享受价格扣除获得政府采购合同的，小微企业不得将合同分包给大中型企业。</w:t>
      </w:r>
    </w:p>
    <w:p w14:paraId="21DFE638">
      <w:pPr>
        <w:widowControl w:val="0"/>
        <w:tabs>
          <w:tab w:val="left" w:pos="720"/>
        </w:tabs>
        <w:ind w:firstLine="480" w:firstLineChars="200"/>
        <w:jc w:val="both"/>
        <w:rPr>
          <w:rFonts w:hint="eastAsia" w:ascii="黑体" w:hAnsi="宋体" w:eastAsia="黑体"/>
          <w:kern w:val="2"/>
          <w:szCs w:val="22"/>
          <w:lang w:eastAsia="zh-CN"/>
        </w:rPr>
      </w:pPr>
    </w:p>
    <w:p w14:paraId="30D2A58D">
      <w:pPr>
        <w:widowControl w:val="0"/>
        <w:spacing w:line="360" w:lineRule="auto"/>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rPr>
        <w:t>2.关于政府采购订单融资政策</w:t>
      </w:r>
    </w:p>
    <w:p w14:paraId="0EB20BB1">
      <w:pPr>
        <w:widowControl w:val="0"/>
        <w:ind w:firstLine="420" w:firstLineChars="200"/>
        <w:jc w:val="both"/>
        <w:rPr>
          <w:rFonts w:hint="eastAsia" w:ascii="宋体" w:hAnsi="宋体" w:eastAsia="宋体"/>
          <w:b/>
          <w:kern w:val="2"/>
          <w:sz w:val="21"/>
          <w:lang w:eastAsia="zh-CN"/>
        </w:rPr>
      </w:pPr>
      <w:r>
        <w:rPr>
          <w:rFonts w:hint="eastAsia" w:eastAsia="宋体"/>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B2FA9D3">
      <w:pPr>
        <w:widowControl w:val="0"/>
        <w:tabs>
          <w:tab w:val="left" w:pos="720"/>
        </w:tabs>
        <w:jc w:val="both"/>
        <w:rPr>
          <w:rFonts w:hint="eastAsia" w:ascii="宋体" w:hAnsi="宋体" w:eastAsia="宋体"/>
          <w:b/>
          <w:bCs/>
          <w:color w:val="FF0000"/>
          <w:kern w:val="2"/>
          <w:sz w:val="21"/>
          <w:szCs w:val="22"/>
          <w:lang w:eastAsia="zh-CN"/>
        </w:rPr>
      </w:pPr>
      <w:r>
        <w:rPr>
          <w:rFonts w:hint="eastAsia" w:ascii="宋体" w:hAnsi="宋体" w:eastAsia="宋体" w:cstheme="minorBidi"/>
          <w:b/>
          <w:bCs/>
          <w:color w:val="FF0000"/>
          <w:kern w:val="2"/>
          <w:sz w:val="21"/>
          <w:szCs w:val="22"/>
          <w:lang w:eastAsia="zh-CN"/>
        </w:rPr>
        <w:t>3、</w:t>
      </w:r>
      <w:r>
        <w:rPr>
          <w:rFonts w:ascii="宋体" w:hAnsi="宋体" w:eastAsia="宋体" w:cstheme="minorBidi"/>
          <w:b/>
          <w:bCs/>
          <w:color w:val="FF0000"/>
          <w:kern w:val="2"/>
          <w:sz w:val="21"/>
          <w:szCs w:val="22"/>
          <w:lang w:eastAsia="zh-CN"/>
        </w:rPr>
        <w:t>本项目为代理服务项目，将向中标</w:t>
      </w:r>
      <w:r>
        <w:rPr>
          <w:rFonts w:hint="eastAsia" w:ascii="宋体" w:hAnsi="宋体" w:eastAsia="宋体" w:cstheme="minorBidi"/>
          <w:b/>
          <w:bCs/>
          <w:color w:val="FF0000"/>
          <w:kern w:val="2"/>
          <w:sz w:val="21"/>
          <w:szCs w:val="22"/>
          <w:lang w:eastAsia="zh-CN"/>
        </w:rPr>
        <w:t>（成交）</w:t>
      </w:r>
      <w:r>
        <w:rPr>
          <w:rFonts w:ascii="宋体" w:hAnsi="宋体" w:eastAsia="宋体" w:cstheme="minorBidi"/>
          <w:b/>
          <w:bCs/>
          <w:color w:val="FF0000"/>
          <w:kern w:val="2"/>
          <w:sz w:val="21"/>
          <w:szCs w:val="22"/>
          <w:lang w:eastAsia="zh-CN"/>
        </w:rPr>
        <w:t>供应商收取代理服务费</w:t>
      </w:r>
      <w:r>
        <w:rPr>
          <w:rFonts w:hint="eastAsia" w:ascii="宋体" w:hAnsi="宋体" w:eastAsia="宋体" w:cstheme="minorBidi"/>
          <w:b/>
          <w:bCs/>
          <w:color w:val="FF0000"/>
          <w:kern w:val="2"/>
          <w:sz w:val="21"/>
          <w:szCs w:val="22"/>
          <w:lang w:eastAsia="zh-CN"/>
        </w:rPr>
        <w:t>。</w:t>
      </w:r>
    </w:p>
    <w:p w14:paraId="67FAAF2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供应商在领取《中标（成交）通知书》之前须向深圳市拓泰实业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eastAsia="宋体" w:cstheme="minorBidi"/>
          <w:b/>
          <w:bCs/>
          <w:color w:val="FF0000"/>
          <w:kern w:val="2"/>
          <w:sz w:val="21"/>
          <w:szCs w:val="21"/>
          <w:u w:val="single"/>
          <w:lang w:eastAsia="zh-CN"/>
        </w:rPr>
        <w:t>货物采购</w:t>
      </w:r>
      <w:r>
        <w:rPr>
          <w:rFonts w:hint="eastAsia" w:ascii="宋体" w:hAnsi="宋体" w:eastAsia="宋体" w:cstheme="minorBidi"/>
          <w:color w:val="FF0000"/>
          <w:kern w:val="2"/>
          <w:sz w:val="21"/>
          <w:szCs w:val="21"/>
          <w:lang w:eastAsia="zh-CN"/>
        </w:rPr>
        <w:t>：</w:t>
      </w:r>
    </w:p>
    <w:p w14:paraId="38B8C38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（1）代理服务费以《中标（成交）通知书》确定的中标（成交）金额作为计算基数，按差额定率累进法计算。</w:t>
      </w:r>
    </w:p>
    <w:p w14:paraId="1B5158D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（2）中标（成交）金额的各部分费率如下表：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870"/>
        <w:gridCol w:w="1870"/>
        <w:gridCol w:w="1870"/>
      </w:tblGrid>
      <w:tr w14:paraId="0EE1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CB62E4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中标（成交）金额</w:t>
            </w:r>
          </w:p>
        </w:tc>
        <w:tc>
          <w:tcPr>
            <w:tcW w:w="1799" w:type="dxa"/>
            <w:vAlign w:val="center"/>
          </w:tcPr>
          <w:p w14:paraId="0F51739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货物采购</w:t>
            </w:r>
          </w:p>
        </w:tc>
        <w:tc>
          <w:tcPr>
            <w:tcW w:w="1799" w:type="dxa"/>
            <w:vAlign w:val="center"/>
          </w:tcPr>
          <w:p w14:paraId="04EE84C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服务采购</w:t>
            </w:r>
          </w:p>
        </w:tc>
        <w:tc>
          <w:tcPr>
            <w:tcW w:w="1799" w:type="dxa"/>
            <w:vAlign w:val="center"/>
          </w:tcPr>
          <w:p w14:paraId="210F228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工程采购</w:t>
            </w:r>
          </w:p>
        </w:tc>
      </w:tr>
      <w:tr w14:paraId="7D6A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1618BB">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100万元以下</w:t>
            </w:r>
          </w:p>
        </w:tc>
        <w:tc>
          <w:tcPr>
            <w:tcW w:w="1799" w:type="dxa"/>
            <w:vAlign w:val="center"/>
          </w:tcPr>
          <w:p w14:paraId="6A2A24B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2B627AC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35C5198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w:t>
            </w:r>
          </w:p>
        </w:tc>
      </w:tr>
      <w:tr w14:paraId="228E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7841C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100万元（含）-500万元</w:t>
            </w:r>
          </w:p>
        </w:tc>
        <w:tc>
          <w:tcPr>
            <w:tcW w:w="1799" w:type="dxa"/>
            <w:vAlign w:val="center"/>
          </w:tcPr>
          <w:p w14:paraId="2C85BAF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1.1%</w:t>
            </w:r>
          </w:p>
        </w:tc>
        <w:tc>
          <w:tcPr>
            <w:tcW w:w="1799" w:type="dxa"/>
            <w:vAlign w:val="center"/>
          </w:tcPr>
          <w:p w14:paraId="01C1B4D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2A78DB21">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0.7%</w:t>
            </w:r>
          </w:p>
        </w:tc>
      </w:tr>
      <w:tr w14:paraId="7A45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55F57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500万元（含）-1000万元</w:t>
            </w:r>
          </w:p>
        </w:tc>
        <w:tc>
          <w:tcPr>
            <w:tcW w:w="1799" w:type="dxa"/>
            <w:vAlign w:val="center"/>
          </w:tcPr>
          <w:p w14:paraId="4CDB02E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08D47BE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0.45%</w:t>
            </w:r>
          </w:p>
        </w:tc>
        <w:tc>
          <w:tcPr>
            <w:tcW w:w="1799" w:type="dxa"/>
            <w:vAlign w:val="center"/>
          </w:tcPr>
          <w:p w14:paraId="464B4A3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0.55%</w:t>
            </w:r>
          </w:p>
        </w:tc>
      </w:tr>
      <w:tr w14:paraId="3D36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377984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1000万元（含）-5000万元</w:t>
            </w:r>
          </w:p>
        </w:tc>
        <w:tc>
          <w:tcPr>
            <w:tcW w:w="1799" w:type="dxa"/>
            <w:vAlign w:val="center"/>
          </w:tcPr>
          <w:p w14:paraId="04D60DF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w:t>
            </w:r>
          </w:p>
        </w:tc>
        <w:tc>
          <w:tcPr>
            <w:tcW w:w="1799" w:type="dxa"/>
            <w:vAlign w:val="center"/>
          </w:tcPr>
          <w:p w14:paraId="23E57F3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55BADBC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0.35%</w:t>
            </w:r>
          </w:p>
        </w:tc>
      </w:tr>
      <w:tr w14:paraId="2DA4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7CFE75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5000万元（含）-1亿元</w:t>
            </w:r>
          </w:p>
        </w:tc>
        <w:tc>
          <w:tcPr>
            <w:tcW w:w="1799" w:type="dxa"/>
            <w:vAlign w:val="center"/>
          </w:tcPr>
          <w:p w14:paraId="450A0EC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3BFF3FC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0.1%</w:t>
            </w:r>
          </w:p>
        </w:tc>
        <w:tc>
          <w:tcPr>
            <w:tcW w:w="1799" w:type="dxa"/>
            <w:vAlign w:val="center"/>
          </w:tcPr>
          <w:p w14:paraId="38B0DFE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w:t>
            </w:r>
          </w:p>
        </w:tc>
      </w:tr>
      <w:tr w14:paraId="72E2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0722E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1亿元（含）-5亿元</w:t>
            </w:r>
          </w:p>
        </w:tc>
        <w:tc>
          <w:tcPr>
            <w:tcW w:w="1799" w:type="dxa"/>
            <w:vAlign w:val="center"/>
          </w:tcPr>
          <w:p w14:paraId="69772B7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7A1544C0">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4A179118">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r>
      <w:tr w14:paraId="4BCF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6106CB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5亿元（含）-10亿元</w:t>
            </w:r>
          </w:p>
        </w:tc>
        <w:tc>
          <w:tcPr>
            <w:tcW w:w="1799" w:type="dxa"/>
            <w:vAlign w:val="center"/>
          </w:tcPr>
          <w:p w14:paraId="3B9EBCA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0F9C081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2200C4B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r>
      <w:tr w14:paraId="4A09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A1E8D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10亿元（含）-50亿元</w:t>
            </w:r>
          </w:p>
        </w:tc>
        <w:tc>
          <w:tcPr>
            <w:tcW w:w="1799" w:type="dxa"/>
            <w:vAlign w:val="center"/>
          </w:tcPr>
          <w:p w14:paraId="011088C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D8474A6">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95FC14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r>
      <w:tr w14:paraId="2410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7078F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50亿元（含）-100亿元</w:t>
            </w:r>
          </w:p>
        </w:tc>
        <w:tc>
          <w:tcPr>
            <w:tcW w:w="1799" w:type="dxa"/>
            <w:vAlign w:val="center"/>
          </w:tcPr>
          <w:p w14:paraId="77D9B1D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34FFB71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7895C3D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r>
      <w:tr w14:paraId="6175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584B3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100亿元（含）以上</w:t>
            </w:r>
          </w:p>
        </w:tc>
        <w:tc>
          <w:tcPr>
            <w:tcW w:w="1799" w:type="dxa"/>
            <w:vAlign w:val="center"/>
          </w:tcPr>
          <w:p w14:paraId="1C8481B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6F18CC1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2FCF5455">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r>
    </w:tbl>
    <w:p w14:paraId="37B76B64">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备注：1.每宗交易代理服务费不低于 5000 元；</w:t>
      </w:r>
    </w:p>
    <w:p w14:paraId="0AC30BA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2.对于报总价的采购类项目，中标（成交）价为中标（成交）金额；对于报单价或折扣或费率的采购类项目，中标（成交）价为预算上限金额或经委托方与代理方确定的支付上限金额。</w:t>
      </w:r>
    </w:p>
    <w:p w14:paraId="53C56169">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如某货物采购项目，中标（成交）金额为600万元，总共交纳的代理服务费的具体计算过程如下：</w:t>
      </w:r>
    </w:p>
    <w:p w14:paraId="6577DEFC">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标准代理服务费＝（100万以下部分的代理服务费）+（100万～500万部分的代理服务费）+（500万～600万部分的代理服务费）＝100万元×1.5%+（500-100）万元×1.1%+（600-500）万元×0.8%=1.5万元+4.4万元+0.8万元＝6.7万元</w:t>
      </w:r>
    </w:p>
    <w:p w14:paraId="59DE6AC3">
      <w:pPr>
        <w:widowControl/>
        <w:ind w:firstLine="420"/>
        <w:jc w:val="left"/>
        <w:rPr>
          <w:rFonts w:hint="eastAsia" w:ascii="宋体" w:hAnsi="宋体" w:eastAsia="黑体"/>
          <w:bCs/>
          <w:kern w:val="44"/>
          <w:sz w:val="21"/>
          <w:szCs w:val="21"/>
          <w:lang w:eastAsia="zh-CN"/>
        </w:rPr>
      </w:pPr>
      <w:r>
        <w:rPr>
          <w:rFonts w:hint="eastAsia" w:ascii="宋体" w:hAnsi="宋体" w:eastAsia="宋体" w:cstheme="minorBidi"/>
          <w:color w:val="FF0000"/>
          <w:kern w:val="2"/>
          <w:sz w:val="21"/>
          <w:szCs w:val="21"/>
          <w:lang w:eastAsia="zh-CN"/>
        </w:rPr>
        <w:t>（3）中标（成交）供应商成交后，必须按规定采用银行对公转账方式向</w:t>
      </w:r>
      <w:r>
        <w:rPr>
          <w:rFonts w:hint="eastAsia" w:ascii="宋体" w:hAnsi="宋体" w:eastAsia="宋体" w:cstheme="minorBidi"/>
          <w:color w:val="FF0000"/>
          <w:kern w:val="2"/>
          <w:sz w:val="21"/>
          <w:szCs w:val="21"/>
          <w:lang w:val="en-US" w:eastAsia="zh-CN"/>
        </w:rPr>
        <w:t>代理机构</w:t>
      </w:r>
      <w:r>
        <w:rPr>
          <w:rFonts w:hint="eastAsia" w:ascii="宋体" w:hAnsi="宋体" w:eastAsia="宋体" w:cstheme="minorBidi"/>
          <w:color w:val="FF0000"/>
          <w:kern w:val="2"/>
          <w:sz w:val="21"/>
          <w:szCs w:val="21"/>
          <w:lang w:eastAsia="zh-CN"/>
        </w:rPr>
        <w:t>直接交纳代理服务费，交纳信息及要求按照缴款（付款）通知书执行。</w:t>
      </w:r>
    </w:p>
    <w:p w14:paraId="296B1D8D">
      <w:pPr>
        <w:widowControl/>
        <w:ind w:firstLine="420"/>
        <w:jc w:val="left"/>
        <w:rPr>
          <w:rFonts w:hint="eastAsia" w:ascii="宋体" w:hAnsi="宋体" w:eastAsia="宋体"/>
          <w:color w:val="FF0000"/>
          <w:kern w:val="2"/>
          <w:sz w:val="21"/>
          <w:szCs w:val="21"/>
          <w:lang w:eastAsia="zh-CN"/>
        </w:rPr>
      </w:pPr>
    </w:p>
    <w:p w14:paraId="11A86A69">
      <w:pPr>
        <w:widowControl/>
        <w:ind w:firstLine="420"/>
        <w:jc w:val="left"/>
        <w:rPr>
          <w:rFonts w:hint="eastAsia" w:ascii="宋体" w:hAnsi="宋体" w:eastAsia="黑体"/>
          <w:bCs/>
          <w:kern w:val="44"/>
          <w:sz w:val="21"/>
          <w:szCs w:val="21"/>
          <w:lang w:eastAsia="zh-CN"/>
        </w:rPr>
      </w:pPr>
    </w:p>
    <w:p w14:paraId="6172A7F0">
      <w:pPr>
        <w:widowControl/>
        <w:jc w:val="left"/>
        <w:rPr>
          <w:rFonts w:hint="eastAsia" w:ascii="宋体" w:hAnsi="宋体" w:eastAsia="黑体"/>
          <w:bCs/>
          <w:kern w:val="44"/>
          <w:sz w:val="28"/>
          <w:szCs w:val="44"/>
          <w:lang w:eastAsia="zh-CN"/>
        </w:rPr>
      </w:pPr>
      <w:r>
        <w:rPr>
          <w:rFonts w:ascii="宋体" w:hAnsi="宋体" w:eastAsia="黑体"/>
          <w:bCs/>
          <w:kern w:val="44"/>
          <w:sz w:val="28"/>
          <w:szCs w:val="44"/>
          <w:lang w:eastAsia="zh-CN"/>
        </w:rPr>
        <w:br w:type="page"/>
      </w:r>
    </w:p>
    <w:p w14:paraId="39B0DE7F">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46A79C0E">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一、项目基本信息</w:t>
      </w:r>
    </w:p>
    <w:tbl>
      <w:tblPr>
        <w:tblStyle w:val="13"/>
        <w:tblW w:w="5000" w:type="pct"/>
        <w:jc w:val="center"/>
        <w:tblLayout w:type="fixed"/>
        <w:tblCellMar>
          <w:top w:w="15" w:type="dxa"/>
          <w:left w:w="15" w:type="dxa"/>
          <w:bottom w:w="15" w:type="dxa"/>
          <w:right w:w="15" w:type="dxa"/>
        </w:tblCellMar>
      </w:tblPr>
      <w:tblGrid>
        <w:gridCol w:w="689"/>
        <w:gridCol w:w="2615"/>
        <w:gridCol w:w="2821"/>
        <w:gridCol w:w="2545"/>
      </w:tblGrid>
      <w:tr w14:paraId="722E50B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vAlign w:val="center"/>
          </w:tcPr>
          <w:p w14:paraId="58A3DDC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vAlign w:val="center"/>
          </w:tcPr>
          <w:p w14:paraId="2E164F4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vAlign w:val="center"/>
          </w:tcPr>
          <w:p w14:paraId="7E3EA9A0">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vAlign w:val="center"/>
          </w:tcPr>
          <w:p w14:paraId="56A8F01D">
            <w:pPr>
              <w:widowControl w:val="0"/>
              <w:jc w:val="center"/>
              <w:rPr>
                <w:rFonts w:ascii="Calibri" w:hAnsi="Calibri" w:eastAsia="宋体"/>
                <w:kern w:val="2"/>
                <w:sz w:val="21"/>
                <w:szCs w:val="22"/>
                <w:lang w:eastAsia="zh-CN"/>
              </w:rPr>
            </w:pPr>
            <w:r>
              <w:rPr>
                <w:rFonts w:hint="eastAsia" w:ascii="宋体" w:hAnsi="宋体" w:eastAsia="宋体" w:cstheme="minorBidi"/>
                <w:kern w:val="2"/>
                <w:lang w:eastAsia="zh-CN"/>
              </w:rPr>
              <w:t>财政预算限额（元）</w:t>
            </w:r>
          </w:p>
        </w:tc>
      </w:tr>
      <w:tr w14:paraId="7FAC120E">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A7FF99F">
            <w:pPr>
              <w:widowControl w:val="0"/>
              <w:jc w:val="center"/>
              <w:rPr>
                <w:rFonts w:hint="eastAsia" w:ascii="宋体" w:hAnsi="宋体" w:eastAsia="宋体"/>
                <w:kern w:val="2"/>
                <w:lang w:eastAsia="zh-CN"/>
              </w:rPr>
            </w:pPr>
            <w:r>
              <w:rPr>
                <w:rFonts w:hint="eastAsia" w:ascii="宋体" w:hAnsi="宋体" w:eastAsia="宋体" w:cstheme="minorBidi"/>
                <w:kern w:val="2"/>
                <w:lang w:eastAsia="zh-CN"/>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28E1C9CD">
            <w:pPr>
              <w:widowControl w:val="0"/>
              <w:jc w:val="center"/>
              <w:rPr>
                <w:rFonts w:hint="eastAsia" w:ascii="宋体" w:hAnsi="宋体" w:eastAsia="宋体"/>
                <w:kern w:val="2"/>
                <w:lang w:eastAsia="zh-CN"/>
              </w:rPr>
            </w:pPr>
            <w:r>
              <w:rPr>
                <w:rFonts w:hint="eastAsia" w:ascii="宋体" w:hAnsi="宋体" w:eastAsia="宋体" w:cstheme="minorBidi"/>
                <w:kern w:val="2"/>
                <w:lang w:eastAsia="zh-CN"/>
              </w:rPr>
              <w:t xml:space="preserve"> LHAZXDL-2024-00074</w:t>
            </w:r>
          </w:p>
        </w:tc>
        <w:tc>
          <w:tcPr>
            <w:tcW w:w="2906" w:type="dxa"/>
            <w:tcBorders>
              <w:top w:val="single" w:color="000000" w:sz="4" w:space="0"/>
              <w:left w:val="single" w:color="000000" w:sz="4" w:space="0"/>
              <w:bottom w:val="single" w:color="auto" w:sz="4" w:space="0"/>
              <w:right w:val="single" w:color="000000" w:sz="4" w:space="0"/>
            </w:tcBorders>
            <w:vAlign w:val="center"/>
          </w:tcPr>
          <w:p w14:paraId="55DD8539">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至美校区图书馆设施设备采购</w:t>
            </w:r>
          </w:p>
        </w:tc>
        <w:tc>
          <w:tcPr>
            <w:tcW w:w="2622" w:type="dxa"/>
            <w:tcBorders>
              <w:top w:val="single" w:color="000000" w:sz="4" w:space="0"/>
              <w:left w:val="single" w:color="000000" w:sz="4" w:space="0"/>
              <w:bottom w:val="single" w:color="auto" w:sz="4" w:space="0"/>
              <w:right w:val="single" w:color="000000" w:sz="4" w:space="0"/>
            </w:tcBorders>
            <w:vAlign w:val="center"/>
          </w:tcPr>
          <w:p w14:paraId="22AF51FF">
            <w:pPr>
              <w:widowControl w:val="0"/>
              <w:jc w:val="both"/>
              <w:rPr>
                <w:rFonts w:ascii="宋体" w:hAnsi="宋体" w:eastAsia="宋体"/>
                <w:kern w:val="2"/>
                <w:lang w:eastAsia="zh-CN"/>
              </w:rPr>
            </w:pPr>
            <w:r>
              <w:rPr>
                <w:rFonts w:ascii="宋体" w:hAnsi="宋体" w:eastAsia="宋体" w:cstheme="minorBidi"/>
                <w:kern w:val="2"/>
                <w:lang w:eastAsia="zh-CN"/>
              </w:rPr>
              <w:tab/>
            </w:r>
            <w:r>
              <w:rPr>
                <w:rFonts w:ascii="宋体" w:hAnsi="宋体" w:eastAsia="宋体" w:cstheme="minorBidi"/>
                <w:kern w:val="2"/>
                <w:lang w:eastAsia="zh-CN"/>
              </w:rPr>
              <w:t>980000</w:t>
            </w:r>
            <w:r>
              <w:rPr>
                <w:rFonts w:hint="eastAsia" w:ascii="宋体" w:hAnsi="宋体" w:eastAsia="宋体" w:cstheme="minorBidi"/>
                <w:kern w:val="2"/>
                <w:lang w:eastAsia="zh-CN"/>
              </w:rPr>
              <w:t>.00</w:t>
            </w:r>
          </w:p>
        </w:tc>
      </w:tr>
    </w:tbl>
    <w:p w14:paraId="443FD443">
      <w:pPr>
        <w:widowControl w:val="0"/>
        <w:jc w:val="both"/>
        <w:rPr>
          <w:rFonts w:ascii="Calibri" w:hAnsi="Calibri" w:eastAsia="宋体"/>
          <w:kern w:val="2"/>
          <w:lang w:eastAsia="zh-CN"/>
        </w:rPr>
      </w:pPr>
      <w:r>
        <w:rPr>
          <w:rFonts w:hint="eastAsia" w:ascii="Arial" w:hAnsi="Arial" w:eastAsia="宋体"/>
          <w:b/>
          <w:color w:val="FF0000"/>
          <w:kern w:val="2"/>
          <w:lang w:eastAsia="zh-CN"/>
        </w:rPr>
        <w:t>本项目控制金额为人民币</w:t>
      </w:r>
      <w:r>
        <w:rPr>
          <w:rFonts w:hint="eastAsia" w:ascii="Arial" w:hAnsi="Arial" w:eastAsia="宋体"/>
          <w:b/>
          <w:color w:val="FF0000"/>
          <w:kern w:val="2"/>
          <w:lang w:val="en-US" w:eastAsia="zh-CN"/>
        </w:rPr>
        <w:t>980000.00</w:t>
      </w:r>
      <w:r>
        <w:rPr>
          <w:rFonts w:hint="eastAsia" w:ascii="Arial" w:hAnsi="Arial" w:eastAsia="宋体"/>
          <w:b/>
          <w:color w:val="0000FF"/>
          <w:kern w:val="2"/>
          <w:lang w:eastAsia="zh-CN"/>
        </w:rPr>
        <w:t>元</w:t>
      </w:r>
      <w:r>
        <w:rPr>
          <w:rFonts w:hint="eastAsia" w:ascii="Arial" w:hAnsi="Arial" w:eastAsia="宋体"/>
          <w:b/>
          <w:color w:val="FF0000"/>
          <w:kern w:val="2"/>
          <w:lang w:eastAsia="zh-CN"/>
        </w:rPr>
        <w:t>，投标报价超出控制金额将作投标无效处理。</w:t>
      </w:r>
    </w:p>
    <w:p w14:paraId="0901A205">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二、</w:t>
      </w:r>
      <w:r>
        <w:rPr>
          <w:rFonts w:hint="eastAsia" w:ascii="Arial" w:hAnsi="Arial" w:eastAsia="宋体"/>
          <w:b/>
          <w:color w:val="FF0000"/>
          <w:kern w:val="2"/>
          <w:sz w:val="32"/>
          <w:szCs w:val="32"/>
          <w:lang w:eastAsia="zh-CN"/>
        </w:rPr>
        <w:t>★</w:t>
      </w:r>
      <w:r>
        <w:rPr>
          <w:rFonts w:hint="eastAsia" w:ascii="Arial" w:hAnsi="Arial" w:eastAsia="宋体"/>
          <w:b/>
          <w:kern w:val="2"/>
          <w:sz w:val="32"/>
          <w:szCs w:val="32"/>
          <w:lang w:eastAsia="zh-CN"/>
        </w:rPr>
        <w:t>货物需求明细</w:t>
      </w:r>
    </w:p>
    <w:p w14:paraId="539AD167">
      <w:pPr>
        <w:widowControl w:val="0"/>
        <w:jc w:val="both"/>
        <w:rPr>
          <w:rFonts w:ascii="Calibri" w:hAnsi="Calibri" w:eastAsia="宋体"/>
          <w:kern w:val="2"/>
          <w:sz w:val="21"/>
          <w:szCs w:val="22"/>
          <w:lang w:eastAsia="zh-CN"/>
        </w:rPr>
      </w:pPr>
      <w:r>
        <w:rPr>
          <w:rFonts w:hint="eastAsia" w:ascii="宋体" w:hAnsi="宋体" w:eastAsia="宋体" w:cstheme="minorBidi"/>
          <w:b/>
          <w:color w:val="FF0000"/>
          <w:kern w:val="2"/>
          <w:sz w:val="32"/>
          <w:szCs w:val="32"/>
          <w:lang w:eastAsia="zh-CN"/>
        </w:rPr>
        <w:t>本项目核心产品为：</w:t>
      </w:r>
      <w:r>
        <w:rPr>
          <w:rFonts w:hint="eastAsia" w:ascii="宋体" w:hAnsi="宋体" w:eastAsia="宋体" w:cstheme="minorBidi"/>
          <w:b/>
          <w:color w:val="FF0000"/>
          <w:kern w:val="2"/>
          <w:sz w:val="32"/>
          <w:szCs w:val="32"/>
          <w:u w:val="single"/>
          <w:lang w:eastAsia="zh-CN"/>
        </w:rPr>
        <w:t xml:space="preserve"> 图书管理系统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532"/>
        <w:gridCol w:w="703"/>
        <w:gridCol w:w="563"/>
        <w:gridCol w:w="1061"/>
        <w:gridCol w:w="1188"/>
        <w:gridCol w:w="1124"/>
        <w:gridCol w:w="1124"/>
      </w:tblGrid>
      <w:tr w14:paraId="4141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66" w:type="dxa"/>
            <w:vMerge w:val="restart"/>
            <w:noWrap w:val="0"/>
            <w:vAlign w:val="center"/>
          </w:tcPr>
          <w:p w14:paraId="3CE7E4E9">
            <w:pPr>
              <w:widowControl w:val="0"/>
              <w:jc w:val="center"/>
              <w:rPr>
                <w:rFonts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序号</w:t>
            </w:r>
          </w:p>
        </w:tc>
        <w:tc>
          <w:tcPr>
            <w:tcW w:w="2553" w:type="dxa"/>
            <w:vMerge w:val="restart"/>
            <w:noWrap w:val="0"/>
            <w:vAlign w:val="center"/>
          </w:tcPr>
          <w:p w14:paraId="6CCFB966">
            <w:pPr>
              <w:widowControl w:val="0"/>
              <w:jc w:val="center"/>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货物名称</w:t>
            </w:r>
          </w:p>
        </w:tc>
        <w:tc>
          <w:tcPr>
            <w:tcW w:w="709" w:type="dxa"/>
            <w:vMerge w:val="restart"/>
            <w:noWrap w:val="0"/>
            <w:vAlign w:val="center"/>
          </w:tcPr>
          <w:p w14:paraId="0EBD6E66">
            <w:pPr>
              <w:widowControl w:val="0"/>
              <w:jc w:val="center"/>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数量</w:t>
            </w:r>
          </w:p>
        </w:tc>
        <w:tc>
          <w:tcPr>
            <w:tcW w:w="567" w:type="dxa"/>
            <w:vMerge w:val="restart"/>
            <w:noWrap w:val="0"/>
            <w:vAlign w:val="center"/>
          </w:tcPr>
          <w:p w14:paraId="3237DC91">
            <w:pPr>
              <w:widowControl w:val="0"/>
              <w:jc w:val="center"/>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单位</w:t>
            </w:r>
          </w:p>
        </w:tc>
        <w:tc>
          <w:tcPr>
            <w:tcW w:w="2268" w:type="dxa"/>
            <w:gridSpan w:val="2"/>
            <w:noWrap w:val="0"/>
            <w:vAlign w:val="top"/>
          </w:tcPr>
          <w:p w14:paraId="51AE0B1F">
            <w:pPr>
              <w:widowControl w:val="0"/>
              <w:jc w:val="center"/>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单价限额(元)</w:t>
            </w:r>
          </w:p>
        </w:tc>
        <w:tc>
          <w:tcPr>
            <w:tcW w:w="1134" w:type="dxa"/>
            <w:vMerge w:val="restart"/>
            <w:noWrap/>
            <w:vAlign w:val="center"/>
          </w:tcPr>
          <w:p w14:paraId="03036451">
            <w:pPr>
              <w:widowControl w:val="0"/>
              <w:jc w:val="center"/>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备注</w:t>
            </w:r>
          </w:p>
        </w:tc>
        <w:tc>
          <w:tcPr>
            <w:tcW w:w="1134" w:type="dxa"/>
            <w:vMerge w:val="restart"/>
            <w:noWrap w:val="0"/>
            <w:vAlign w:val="top"/>
          </w:tcPr>
          <w:p w14:paraId="2F8CD728">
            <w:pPr>
              <w:widowControl w:val="0"/>
              <w:jc w:val="both"/>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财 政 预 算 限 额（元）</w:t>
            </w:r>
          </w:p>
        </w:tc>
      </w:tr>
      <w:tr w14:paraId="295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6" w:type="dxa"/>
            <w:vMerge w:val="continue"/>
            <w:noWrap w:val="0"/>
            <w:vAlign w:val="center"/>
          </w:tcPr>
          <w:p w14:paraId="3E81254F">
            <w:pPr>
              <w:widowControl w:val="0"/>
              <w:jc w:val="center"/>
              <w:rPr>
                <w:rFonts w:hint="eastAsia" w:ascii="Calibri" w:hAnsi="Calibri" w:eastAsia="宋体"/>
                <w:b/>
                <w:bCs/>
                <w:kern w:val="2"/>
                <w:sz w:val="20"/>
                <w:szCs w:val="20"/>
                <w:lang w:eastAsia="zh-CN"/>
              </w:rPr>
            </w:pPr>
          </w:p>
        </w:tc>
        <w:tc>
          <w:tcPr>
            <w:tcW w:w="2553" w:type="dxa"/>
            <w:vMerge w:val="continue"/>
            <w:noWrap w:val="0"/>
            <w:vAlign w:val="center"/>
          </w:tcPr>
          <w:p w14:paraId="758CE9BE">
            <w:pPr>
              <w:widowControl w:val="0"/>
              <w:jc w:val="center"/>
              <w:rPr>
                <w:rFonts w:hint="eastAsia" w:ascii="Calibri" w:hAnsi="Calibri" w:eastAsia="宋体"/>
                <w:b/>
                <w:bCs/>
                <w:kern w:val="2"/>
                <w:sz w:val="20"/>
                <w:szCs w:val="20"/>
                <w:lang w:eastAsia="zh-CN"/>
              </w:rPr>
            </w:pPr>
          </w:p>
        </w:tc>
        <w:tc>
          <w:tcPr>
            <w:tcW w:w="709" w:type="dxa"/>
            <w:vMerge w:val="continue"/>
            <w:noWrap w:val="0"/>
            <w:vAlign w:val="center"/>
          </w:tcPr>
          <w:p w14:paraId="3C56A3C5">
            <w:pPr>
              <w:widowControl w:val="0"/>
              <w:jc w:val="center"/>
              <w:rPr>
                <w:rFonts w:hint="eastAsia" w:ascii="Calibri" w:hAnsi="Calibri" w:eastAsia="宋体"/>
                <w:b/>
                <w:bCs/>
                <w:kern w:val="2"/>
                <w:sz w:val="20"/>
                <w:szCs w:val="20"/>
                <w:lang w:eastAsia="zh-CN"/>
              </w:rPr>
            </w:pPr>
          </w:p>
        </w:tc>
        <w:tc>
          <w:tcPr>
            <w:tcW w:w="567" w:type="dxa"/>
            <w:vMerge w:val="continue"/>
            <w:noWrap w:val="0"/>
            <w:vAlign w:val="center"/>
          </w:tcPr>
          <w:p w14:paraId="3F2E9389">
            <w:pPr>
              <w:widowControl w:val="0"/>
              <w:jc w:val="center"/>
              <w:rPr>
                <w:rFonts w:hint="eastAsia" w:ascii="Calibri" w:hAnsi="Calibri" w:eastAsia="宋体"/>
                <w:b/>
                <w:bCs/>
                <w:kern w:val="2"/>
                <w:sz w:val="20"/>
                <w:szCs w:val="20"/>
                <w:lang w:eastAsia="zh-CN"/>
              </w:rPr>
            </w:pPr>
          </w:p>
        </w:tc>
        <w:tc>
          <w:tcPr>
            <w:tcW w:w="1070" w:type="dxa"/>
            <w:noWrap w:val="0"/>
            <w:vAlign w:val="top"/>
          </w:tcPr>
          <w:p w14:paraId="4F939B91">
            <w:pPr>
              <w:widowControl w:val="0"/>
              <w:jc w:val="center"/>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单价</w:t>
            </w:r>
          </w:p>
        </w:tc>
        <w:tc>
          <w:tcPr>
            <w:tcW w:w="1198" w:type="dxa"/>
            <w:noWrap w:val="0"/>
            <w:vAlign w:val="top"/>
          </w:tcPr>
          <w:p w14:paraId="515A3D3D">
            <w:pPr>
              <w:widowControl w:val="0"/>
              <w:jc w:val="center"/>
              <w:rPr>
                <w:rFonts w:hint="eastAsia" w:ascii="Calibri" w:hAnsi="Calibri" w:eastAsia="宋体"/>
                <w:b/>
                <w:bCs/>
                <w:kern w:val="2"/>
                <w:sz w:val="20"/>
                <w:szCs w:val="20"/>
                <w:lang w:eastAsia="zh-CN"/>
              </w:rPr>
            </w:pPr>
            <w:r>
              <w:rPr>
                <w:rFonts w:hint="eastAsia" w:ascii="Calibri" w:hAnsi="Calibri" w:eastAsia="宋体" w:cstheme="minorBidi"/>
                <w:b/>
                <w:bCs/>
                <w:kern w:val="2"/>
                <w:sz w:val="20"/>
                <w:szCs w:val="20"/>
                <w:lang w:eastAsia="zh-CN"/>
              </w:rPr>
              <w:t>单项总额(单价乘以数量)</w:t>
            </w:r>
          </w:p>
        </w:tc>
        <w:tc>
          <w:tcPr>
            <w:tcW w:w="1134" w:type="dxa"/>
            <w:vMerge w:val="continue"/>
            <w:noWrap/>
            <w:vAlign w:val="center"/>
          </w:tcPr>
          <w:p w14:paraId="531A14F8">
            <w:pPr>
              <w:widowControl w:val="0"/>
              <w:jc w:val="center"/>
              <w:rPr>
                <w:rFonts w:hint="eastAsia" w:ascii="Calibri" w:hAnsi="Calibri" w:eastAsia="宋体"/>
                <w:b/>
                <w:bCs/>
                <w:kern w:val="2"/>
                <w:sz w:val="20"/>
                <w:szCs w:val="20"/>
                <w:lang w:eastAsia="zh-CN"/>
              </w:rPr>
            </w:pPr>
          </w:p>
        </w:tc>
        <w:tc>
          <w:tcPr>
            <w:tcW w:w="1134" w:type="dxa"/>
            <w:vMerge w:val="continue"/>
            <w:noWrap w:val="0"/>
            <w:vAlign w:val="top"/>
          </w:tcPr>
          <w:p w14:paraId="434F82C1">
            <w:pPr>
              <w:widowControl w:val="0"/>
              <w:jc w:val="both"/>
              <w:rPr>
                <w:rFonts w:hint="eastAsia" w:ascii="Calibri" w:hAnsi="Calibri" w:eastAsia="宋体"/>
                <w:b/>
                <w:bCs/>
                <w:kern w:val="2"/>
                <w:sz w:val="20"/>
                <w:szCs w:val="20"/>
                <w:lang w:eastAsia="zh-CN"/>
              </w:rPr>
            </w:pPr>
          </w:p>
        </w:tc>
      </w:tr>
      <w:tr w14:paraId="7C6E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051136D0">
            <w:pPr>
              <w:widowControl/>
              <w:jc w:val="center"/>
              <w:rPr>
                <w:rFonts w:ascii="宋体" w:hAnsi="宋体" w:eastAsia="宋体"/>
                <w:color w:val="000000"/>
                <w:sz w:val="20"/>
                <w:szCs w:val="20"/>
                <w:lang w:eastAsia="zh-CN"/>
              </w:rPr>
            </w:pPr>
            <w:r>
              <w:rPr>
                <w:rFonts w:hint="eastAsia" w:ascii="Calibri" w:hAnsi="Calibri" w:eastAsia="宋体" w:cstheme="minorBidi"/>
                <w:color w:val="000000"/>
                <w:kern w:val="2"/>
                <w:sz w:val="20"/>
                <w:szCs w:val="20"/>
                <w:lang w:eastAsia="zh-CN"/>
              </w:rPr>
              <w:t xml:space="preserve">1 </w:t>
            </w:r>
          </w:p>
        </w:tc>
        <w:tc>
          <w:tcPr>
            <w:tcW w:w="2553" w:type="dxa"/>
            <w:noWrap w:val="0"/>
            <w:vAlign w:val="center"/>
          </w:tcPr>
          <w:p w14:paraId="4CF0CFD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图书管理系统(核心产品)</w:t>
            </w:r>
          </w:p>
        </w:tc>
        <w:tc>
          <w:tcPr>
            <w:tcW w:w="709" w:type="dxa"/>
            <w:noWrap w:val="0"/>
            <w:vAlign w:val="center"/>
          </w:tcPr>
          <w:p w14:paraId="0EEED904">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50388CB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0E1E0DB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39000 </w:t>
            </w:r>
          </w:p>
        </w:tc>
        <w:tc>
          <w:tcPr>
            <w:tcW w:w="1198" w:type="dxa"/>
            <w:noWrap w:val="0"/>
            <w:vAlign w:val="center"/>
          </w:tcPr>
          <w:p w14:paraId="4EE1639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39000 </w:t>
            </w:r>
          </w:p>
        </w:tc>
        <w:tc>
          <w:tcPr>
            <w:tcW w:w="1134" w:type="dxa"/>
            <w:noWrap/>
            <w:vAlign w:val="top"/>
          </w:tcPr>
          <w:p w14:paraId="50F0DED3">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restart"/>
            <w:noWrap w:val="0"/>
            <w:vAlign w:val="center"/>
          </w:tcPr>
          <w:p w14:paraId="0BA00292">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9</w:t>
            </w:r>
            <w:r>
              <w:rPr>
                <w:rFonts w:ascii="Calibri" w:hAnsi="Calibri" w:eastAsia="宋体" w:cstheme="minorBidi"/>
                <w:kern w:val="2"/>
                <w:sz w:val="20"/>
                <w:szCs w:val="20"/>
                <w:lang w:eastAsia="zh-CN"/>
              </w:rPr>
              <w:t>80000.00</w:t>
            </w:r>
          </w:p>
        </w:tc>
      </w:tr>
      <w:tr w14:paraId="6BB9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286759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 </w:t>
            </w:r>
          </w:p>
        </w:tc>
        <w:tc>
          <w:tcPr>
            <w:tcW w:w="2553" w:type="dxa"/>
            <w:noWrap w:val="0"/>
            <w:vAlign w:val="center"/>
          </w:tcPr>
          <w:p w14:paraId="20387246">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一体式馆员工作站</w:t>
            </w:r>
            <w:r>
              <w:rPr>
                <w:rFonts w:hint="eastAsia" w:ascii="Calibri" w:hAnsi="Calibri" w:eastAsia="宋体" w:cstheme="minorBidi"/>
                <w:kern w:val="2"/>
                <w:sz w:val="20"/>
                <w:szCs w:val="20"/>
                <w:lang w:eastAsia="zh-CN"/>
              </w:rPr>
              <w:br w:type="textWrapping"/>
            </w:r>
            <w:r>
              <w:rPr>
                <w:rFonts w:hint="eastAsia" w:ascii="Calibri" w:hAnsi="Calibri" w:eastAsia="宋体" w:cstheme="minorBidi"/>
                <w:kern w:val="2"/>
                <w:sz w:val="20"/>
                <w:szCs w:val="20"/>
                <w:lang w:eastAsia="zh-CN"/>
              </w:rPr>
              <w:t>/借还书机</w:t>
            </w:r>
          </w:p>
        </w:tc>
        <w:tc>
          <w:tcPr>
            <w:tcW w:w="709" w:type="dxa"/>
            <w:noWrap w:val="0"/>
            <w:vAlign w:val="center"/>
          </w:tcPr>
          <w:p w14:paraId="651D49C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7FDD14D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1B454E9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31000 </w:t>
            </w:r>
          </w:p>
        </w:tc>
        <w:tc>
          <w:tcPr>
            <w:tcW w:w="1198" w:type="dxa"/>
            <w:noWrap w:val="0"/>
            <w:vAlign w:val="center"/>
          </w:tcPr>
          <w:p w14:paraId="7E46B7E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31000 </w:t>
            </w:r>
          </w:p>
        </w:tc>
        <w:tc>
          <w:tcPr>
            <w:tcW w:w="1134" w:type="dxa"/>
            <w:noWrap/>
            <w:vAlign w:val="top"/>
          </w:tcPr>
          <w:p w14:paraId="281272B5">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1D82277">
            <w:pPr>
              <w:widowControl w:val="0"/>
              <w:jc w:val="center"/>
              <w:rPr>
                <w:rFonts w:hint="eastAsia" w:ascii="Calibri" w:hAnsi="Calibri" w:eastAsia="宋体"/>
                <w:kern w:val="2"/>
                <w:sz w:val="20"/>
                <w:szCs w:val="20"/>
                <w:lang w:eastAsia="zh-CN"/>
              </w:rPr>
            </w:pPr>
          </w:p>
        </w:tc>
      </w:tr>
      <w:tr w14:paraId="733E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6EB50B5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 </w:t>
            </w:r>
          </w:p>
        </w:tc>
        <w:tc>
          <w:tcPr>
            <w:tcW w:w="2553" w:type="dxa"/>
            <w:noWrap w:val="0"/>
            <w:vAlign w:val="center"/>
          </w:tcPr>
          <w:p w14:paraId="19AE14B2">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读卡器</w:t>
            </w:r>
          </w:p>
        </w:tc>
        <w:tc>
          <w:tcPr>
            <w:tcW w:w="709" w:type="dxa"/>
            <w:noWrap w:val="0"/>
            <w:vAlign w:val="center"/>
          </w:tcPr>
          <w:p w14:paraId="4FB1F338">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43E74BA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台</w:t>
            </w:r>
          </w:p>
        </w:tc>
        <w:tc>
          <w:tcPr>
            <w:tcW w:w="1070" w:type="dxa"/>
            <w:noWrap w:val="0"/>
            <w:vAlign w:val="center"/>
          </w:tcPr>
          <w:p w14:paraId="3366546B">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490 </w:t>
            </w:r>
          </w:p>
        </w:tc>
        <w:tc>
          <w:tcPr>
            <w:tcW w:w="1198" w:type="dxa"/>
            <w:noWrap w:val="0"/>
            <w:vAlign w:val="center"/>
          </w:tcPr>
          <w:p w14:paraId="0DF5D90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490 </w:t>
            </w:r>
          </w:p>
        </w:tc>
        <w:tc>
          <w:tcPr>
            <w:tcW w:w="1134" w:type="dxa"/>
            <w:noWrap/>
            <w:vAlign w:val="top"/>
          </w:tcPr>
          <w:p w14:paraId="0A5ABD90">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0464863A">
            <w:pPr>
              <w:widowControl w:val="0"/>
              <w:jc w:val="center"/>
              <w:rPr>
                <w:rFonts w:hint="eastAsia" w:ascii="Calibri" w:hAnsi="Calibri" w:eastAsia="宋体"/>
                <w:kern w:val="2"/>
                <w:sz w:val="20"/>
                <w:szCs w:val="20"/>
                <w:lang w:eastAsia="zh-CN"/>
              </w:rPr>
            </w:pPr>
          </w:p>
        </w:tc>
      </w:tr>
      <w:tr w14:paraId="7005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6A8C14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 </w:t>
            </w:r>
          </w:p>
        </w:tc>
        <w:tc>
          <w:tcPr>
            <w:tcW w:w="2553" w:type="dxa"/>
            <w:noWrap w:val="0"/>
            <w:vAlign w:val="center"/>
          </w:tcPr>
          <w:p w14:paraId="5480B61D">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定制读者证</w:t>
            </w:r>
          </w:p>
        </w:tc>
        <w:tc>
          <w:tcPr>
            <w:tcW w:w="709" w:type="dxa"/>
            <w:noWrap w:val="0"/>
            <w:vAlign w:val="center"/>
          </w:tcPr>
          <w:p w14:paraId="5D30EC7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1600</w:t>
            </w:r>
          </w:p>
        </w:tc>
        <w:tc>
          <w:tcPr>
            <w:tcW w:w="567" w:type="dxa"/>
            <w:noWrap w:val="0"/>
            <w:vAlign w:val="center"/>
          </w:tcPr>
          <w:p w14:paraId="1F6E3D5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张</w:t>
            </w:r>
          </w:p>
        </w:tc>
        <w:tc>
          <w:tcPr>
            <w:tcW w:w="1070" w:type="dxa"/>
            <w:noWrap w:val="0"/>
            <w:vAlign w:val="center"/>
          </w:tcPr>
          <w:p w14:paraId="708D754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5 </w:t>
            </w:r>
          </w:p>
        </w:tc>
        <w:tc>
          <w:tcPr>
            <w:tcW w:w="1198" w:type="dxa"/>
            <w:noWrap w:val="0"/>
            <w:vAlign w:val="center"/>
          </w:tcPr>
          <w:p w14:paraId="0BE6845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7200 </w:t>
            </w:r>
          </w:p>
        </w:tc>
        <w:tc>
          <w:tcPr>
            <w:tcW w:w="1134" w:type="dxa"/>
            <w:noWrap/>
            <w:vAlign w:val="top"/>
          </w:tcPr>
          <w:p w14:paraId="4AEA9CA2">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65673204">
            <w:pPr>
              <w:widowControl w:val="0"/>
              <w:jc w:val="center"/>
              <w:rPr>
                <w:rFonts w:hint="eastAsia" w:ascii="Calibri" w:hAnsi="Calibri" w:eastAsia="宋体"/>
                <w:kern w:val="2"/>
                <w:sz w:val="20"/>
                <w:szCs w:val="20"/>
                <w:lang w:eastAsia="zh-CN"/>
              </w:rPr>
            </w:pPr>
          </w:p>
        </w:tc>
      </w:tr>
      <w:tr w14:paraId="2551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40CF5F3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5 </w:t>
            </w:r>
          </w:p>
        </w:tc>
        <w:tc>
          <w:tcPr>
            <w:tcW w:w="2553" w:type="dxa"/>
            <w:noWrap w:val="0"/>
            <w:vAlign w:val="center"/>
          </w:tcPr>
          <w:p w14:paraId="1BD292C3">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智慧图书发布终端</w:t>
            </w:r>
          </w:p>
        </w:tc>
        <w:tc>
          <w:tcPr>
            <w:tcW w:w="709" w:type="dxa"/>
            <w:noWrap w:val="0"/>
            <w:vAlign w:val="center"/>
          </w:tcPr>
          <w:p w14:paraId="6D7FBD7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7265033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台</w:t>
            </w:r>
          </w:p>
        </w:tc>
        <w:tc>
          <w:tcPr>
            <w:tcW w:w="1070" w:type="dxa"/>
            <w:noWrap w:val="0"/>
            <w:vAlign w:val="center"/>
          </w:tcPr>
          <w:p w14:paraId="6DCF998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25800 </w:t>
            </w:r>
          </w:p>
        </w:tc>
        <w:tc>
          <w:tcPr>
            <w:tcW w:w="1198" w:type="dxa"/>
            <w:noWrap w:val="0"/>
            <w:vAlign w:val="center"/>
          </w:tcPr>
          <w:p w14:paraId="0C0E8C8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25800 </w:t>
            </w:r>
          </w:p>
        </w:tc>
        <w:tc>
          <w:tcPr>
            <w:tcW w:w="1134" w:type="dxa"/>
            <w:noWrap/>
            <w:vAlign w:val="top"/>
          </w:tcPr>
          <w:p w14:paraId="1016F0C2">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DCC4900">
            <w:pPr>
              <w:widowControl w:val="0"/>
              <w:jc w:val="center"/>
              <w:rPr>
                <w:rFonts w:hint="eastAsia" w:ascii="Calibri" w:hAnsi="Calibri" w:eastAsia="宋体"/>
                <w:kern w:val="2"/>
                <w:sz w:val="20"/>
                <w:szCs w:val="20"/>
                <w:lang w:eastAsia="zh-CN"/>
              </w:rPr>
            </w:pPr>
          </w:p>
        </w:tc>
      </w:tr>
      <w:tr w14:paraId="34A1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48ED844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6 </w:t>
            </w:r>
          </w:p>
        </w:tc>
        <w:tc>
          <w:tcPr>
            <w:tcW w:w="2553" w:type="dxa"/>
            <w:noWrap w:val="0"/>
            <w:vAlign w:val="center"/>
          </w:tcPr>
          <w:p w14:paraId="4A4D659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电子墨水屏阅读器</w:t>
            </w:r>
          </w:p>
        </w:tc>
        <w:tc>
          <w:tcPr>
            <w:tcW w:w="709" w:type="dxa"/>
            <w:noWrap w:val="0"/>
            <w:vAlign w:val="center"/>
          </w:tcPr>
          <w:p w14:paraId="36A10CDB">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5</w:t>
            </w:r>
          </w:p>
        </w:tc>
        <w:tc>
          <w:tcPr>
            <w:tcW w:w="567" w:type="dxa"/>
            <w:noWrap w:val="0"/>
            <w:vAlign w:val="center"/>
          </w:tcPr>
          <w:p w14:paraId="0E0B1B9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台</w:t>
            </w:r>
          </w:p>
        </w:tc>
        <w:tc>
          <w:tcPr>
            <w:tcW w:w="1070" w:type="dxa"/>
            <w:noWrap w:val="0"/>
            <w:vAlign w:val="center"/>
          </w:tcPr>
          <w:p w14:paraId="3F5D9E0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3900 </w:t>
            </w:r>
          </w:p>
        </w:tc>
        <w:tc>
          <w:tcPr>
            <w:tcW w:w="1198" w:type="dxa"/>
            <w:noWrap w:val="0"/>
            <w:vAlign w:val="center"/>
          </w:tcPr>
          <w:p w14:paraId="6D628E2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19500 </w:t>
            </w:r>
          </w:p>
        </w:tc>
        <w:tc>
          <w:tcPr>
            <w:tcW w:w="1134" w:type="dxa"/>
            <w:noWrap/>
            <w:vAlign w:val="top"/>
          </w:tcPr>
          <w:p w14:paraId="7D1ACBCB">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3F91A2A7">
            <w:pPr>
              <w:widowControl w:val="0"/>
              <w:jc w:val="center"/>
              <w:rPr>
                <w:rFonts w:hint="eastAsia" w:ascii="Calibri" w:hAnsi="Calibri" w:eastAsia="宋体"/>
                <w:kern w:val="2"/>
                <w:sz w:val="20"/>
                <w:szCs w:val="20"/>
                <w:lang w:eastAsia="zh-CN"/>
              </w:rPr>
            </w:pPr>
          </w:p>
        </w:tc>
      </w:tr>
      <w:tr w14:paraId="6589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152699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 </w:t>
            </w:r>
          </w:p>
        </w:tc>
        <w:tc>
          <w:tcPr>
            <w:tcW w:w="2553" w:type="dxa"/>
            <w:noWrap w:val="0"/>
            <w:vAlign w:val="center"/>
          </w:tcPr>
          <w:p w14:paraId="60792E2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阅读平台功能</w:t>
            </w:r>
          </w:p>
        </w:tc>
        <w:tc>
          <w:tcPr>
            <w:tcW w:w="709" w:type="dxa"/>
            <w:noWrap w:val="0"/>
            <w:vAlign w:val="center"/>
          </w:tcPr>
          <w:p w14:paraId="05189A1A">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1411840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1636EB8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29000 </w:t>
            </w:r>
          </w:p>
        </w:tc>
        <w:tc>
          <w:tcPr>
            <w:tcW w:w="1198" w:type="dxa"/>
            <w:noWrap w:val="0"/>
            <w:vAlign w:val="center"/>
          </w:tcPr>
          <w:p w14:paraId="37EE23C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29000 </w:t>
            </w:r>
          </w:p>
        </w:tc>
        <w:tc>
          <w:tcPr>
            <w:tcW w:w="1134" w:type="dxa"/>
            <w:noWrap/>
            <w:vAlign w:val="top"/>
          </w:tcPr>
          <w:p w14:paraId="5AF6B1B4">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33AB001C">
            <w:pPr>
              <w:widowControl w:val="0"/>
              <w:jc w:val="center"/>
              <w:rPr>
                <w:rFonts w:hint="eastAsia" w:ascii="Calibri" w:hAnsi="Calibri" w:eastAsia="宋体"/>
                <w:kern w:val="2"/>
                <w:sz w:val="20"/>
                <w:szCs w:val="20"/>
                <w:lang w:eastAsia="zh-CN"/>
              </w:rPr>
            </w:pPr>
          </w:p>
        </w:tc>
      </w:tr>
      <w:tr w14:paraId="54F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566" w:type="dxa"/>
            <w:noWrap w:val="0"/>
            <w:vAlign w:val="center"/>
          </w:tcPr>
          <w:p w14:paraId="6972627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8 </w:t>
            </w:r>
          </w:p>
        </w:tc>
        <w:tc>
          <w:tcPr>
            <w:tcW w:w="2553" w:type="dxa"/>
            <w:noWrap w:val="0"/>
            <w:vAlign w:val="center"/>
          </w:tcPr>
          <w:p w14:paraId="3FB5F05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阅读资源</w:t>
            </w:r>
          </w:p>
        </w:tc>
        <w:tc>
          <w:tcPr>
            <w:tcW w:w="709" w:type="dxa"/>
            <w:noWrap w:val="0"/>
            <w:vAlign w:val="center"/>
          </w:tcPr>
          <w:p w14:paraId="097C21E5">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7A41B867">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2BE074F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29100 </w:t>
            </w:r>
          </w:p>
        </w:tc>
        <w:tc>
          <w:tcPr>
            <w:tcW w:w="1198" w:type="dxa"/>
            <w:noWrap w:val="0"/>
            <w:vAlign w:val="center"/>
          </w:tcPr>
          <w:p w14:paraId="3252EDF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29100 </w:t>
            </w:r>
          </w:p>
        </w:tc>
        <w:tc>
          <w:tcPr>
            <w:tcW w:w="1134" w:type="dxa"/>
            <w:noWrap/>
            <w:vAlign w:val="top"/>
          </w:tcPr>
          <w:p w14:paraId="0ADE92C4">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228EA274">
            <w:pPr>
              <w:widowControl w:val="0"/>
              <w:jc w:val="center"/>
              <w:rPr>
                <w:rFonts w:hint="eastAsia" w:ascii="Calibri" w:hAnsi="Calibri" w:eastAsia="宋体"/>
                <w:kern w:val="2"/>
                <w:sz w:val="20"/>
                <w:szCs w:val="20"/>
                <w:lang w:eastAsia="zh-CN"/>
              </w:rPr>
            </w:pPr>
          </w:p>
        </w:tc>
      </w:tr>
      <w:tr w14:paraId="7CD2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6428D3D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9 </w:t>
            </w:r>
          </w:p>
        </w:tc>
        <w:tc>
          <w:tcPr>
            <w:tcW w:w="2553" w:type="dxa"/>
            <w:noWrap w:val="0"/>
            <w:vAlign w:val="center"/>
          </w:tcPr>
          <w:p w14:paraId="598F2FA6">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OPC查询机</w:t>
            </w:r>
          </w:p>
        </w:tc>
        <w:tc>
          <w:tcPr>
            <w:tcW w:w="709" w:type="dxa"/>
            <w:noWrap w:val="0"/>
            <w:vAlign w:val="center"/>
          </w:tcPr>
          <w:p w14:paraId="1DE78A5F">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181D7ED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2822535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17900 </w:t>
            </w:r>
          </w:p>
        </w:tc>
        <w:tc>
          <w:tcPr>
            <w:tcW w:w="1198" w:type="dxa"/>
            <w:noWrap w:val="0"/>
            <w:vAlign w:val="center"/>
          </w:tcPr>
          <w:p w14:paraId="7F0CED1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17900 </w:t>
            </w:r>
          </w:p>
        </w:tc>
        <w:tc>
          <w:tcPr>
            <w:tcW w:w="1134" w:type="dxa"/>
            <w:noWrap/>
            <w:vAlign w:val="top"/>
          </w:tcPr>
          <w:p w14:paraId="6C531F2E">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4B21468F">
            <w:pPr>
              <w:widowControl w:val="0"/>
              <w:jc w:val="center"/>
              <w:rPr>
                <w:rFonts w:hint="eastAsia" w:ascii="Calibri" w:hAnsi="Calibri" w:eastAsia="宋体"/>
                <w:kern w:val="2"/>
                <w:sz w:val="20"/>
                <w:szCs w:val="20"/>
                <w:lang w:eastAsia="zh-CN"/>
              </w:rPr>
            </w:pPr>
          </w:p>
        </w:tc>
      </w:tr>
      <w:tr w14:paraId="3F2B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5539B46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10 </w:t>
            </w:r>
          </w:p>
        </w:tc>
        <w:tc>
          <w:tcPr>
            <w:tcW w:w="2553" w:type="dxa"/>
            <w:noWrap w:val="0"/>
            <w:vAlign w:val="center"/>
          </w:tcPr>
          <w:p w14:paraId="011E21E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图书导览云屏</w:t>
            </w:r>
          </w:p>
        </w:tc>
        <w:tc>
          <w:tcPr>
            <w:tcW w:w="709" w:type="dxa"/>
            <w:noWrap w:val="0"/>
            <w:vAlign w:val="center"/>
          </w:tcPr>
          <w:p w14:paraId="24E8CD48">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2329065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台</w:t>
            </w:r>
          </w:p>
        </w:tc>
        <w:tc>
          <w:tcPr>
            <w:tcW w:w="1070" w:type="dxa"/>
            <w:noWrap w:val="0"/>
            <w:vAlign w:val="center"/>
          </w:tcPr>
          <w:p w14:paraId="4834D46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13300 </w:t>
            </w:r>
          </w:p>
        </w:tc>
        <w:tc>
          <w:tcPr>
            <w:tcW w:w="1198" w:type="dxa"/>
            <w:noWrap w:val="0"/>
            <w:vAlign w:val="center"/>
          </w:tcPr>
          <w:p w14:paraId="2BF1CC4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26600 </w:t>
            </w:r>
          </w:p>
        </w:tc>
        <w:tc>
          <w:tcPr>
            <w:tcW w:w="1134" w:type="dxa"/>
            <w:noWrap/>
            <w:vAlign w:val="top"/>
          </w:tcPr>
          <w:p w14:paraId="74148878">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AA40A6D">
            <w:pPr>
              <w:widowControl w:val="0"/>
              <w:jc w:val="center"/>
              <w:rPr>
                <w:rFonts w:hint="eastAsia" w:ascii="Calibri" w:hAnsi="Calibri" w:eastAsia="宋体"/>
                <w:kern w:val="2"/>
                <w:sz w:val="20"/>
                <w:szCs w:val="20"/>
                <w:lang w:eastAsia="zh-CN"/>
              </w:rPr>
            </w:pPr>
          </w:p>
        </w:tc>
      </w:tr>
      <w:tr w14:paraId="1B67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3A1F8B0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11 </w:t>
            </w:r>
          </w:p>
        </w:tc>
        <w:tc>
          <w:tcPr>
            <w:tcW w:w="2553" w:type="dxa"/>
            <w:noWrap w:val="0"/>
            <w:vAlign w:val="center"/>
          </w:tcPr>
          <w:p w14:paraId="11E851A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人机共存空气消毒机</w:t>
            </w:r>
          </w:p>
        </w:tc>
        <w:tc>
          <w:tcPr>
            <w:tcW w:w="709" w:type="dxa"/>
            <w:noWrap w:val="0"/>
            <w:vAlign w:val="center"/>
          </w:tcPr>
          <w:p w14:paraId="6AEAE6CF">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23D2FC5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台</w:t>
            </w:r>
          </w:p>
        </w:tc>
        <w:tc>
          <w:tcPr>
            <w:tcW w:w="1070" w:type="dxa"/>
            <w:noWrap w:val="0"/>
            <w:vAlign w:val="center"/>
          </w:tcPr>
          <w:p w14:paraId="1265AA3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3900 </w:t>
            </w:r>
          </w:p>
        </w:tc>
        <w:tc>
          <w:tcPr>
            <w:tcW w:w="1198" w:type="dxa"/>
            <w:noWrap w:val="0"/>
            <w:vAlign w:val="center"/>
          </w:tcPr>
          <w:p w14:paraId="40D5FF8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7800 </w:t>
            </w:r>
          </w:p>
        </w:tc>
        <w:tc>
          <w:tcPr>
            <w:tcW w:w="1134" w:type="dxa"/>
            <w:noWrap/>
            <w:vAlign w:val="top"/>
          </w:tcPr>
          <w:p w14:paraId="52C6883B">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15483764">
            <w:pPr>
              <w:widowControl w:val="0"/>
              <w:jc w:val="center"/>
              <w:rPr>
                <w:rFonts w:hint="eastAsia" w:ascii="Calibri" w:hAnsi="Calibri" w:eastAsia="宋体"/>
                <w:kern w:val="2"/>
                <w:sz w:val="20"/>
                <w:szCs w:val="20"/>
                <w:lang w:eastAsia="zh-CN"/>
              </w:rPr>
            </w:pPr>
          </w:p>
        </w:tc>
      </w:tr>
      <w:tr w14:paraId="5B0D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57C41E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12 </w:t>
            </w:r>
          </w:p>
        </w:tc>
        <w:tc>
          <w:tcPr>
            <w:tcW w:w="2553" w:type="dxa"/>
            <w:noWrap w:val="0"/>
            <w:vAlign w:val="center"/>
          </w:tcPr>
          <w:p w14:paraId="34A4687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阅读亭</w:t>
            </w:r>
          </w:p>
        </w:tc>
        <w:tc>
          <w:tcPr>
            <w:tcW w:w="709" w:type="dxa"/>
            <w:noWrap w:val="0"/>
            <w:vAlign w:val="center"/>
          </w:tcPr>
          <w:p w14:paraId="5A129A93">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7A4F3397">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组</w:t>
            </w:r>
          </w:p>
        </w:tc>
        <w:tc>
          <w:tcPr>
            <w:tcW w:w="1070" w:type="dxa"/>
            <w:noWrap w:val="0"/>
            <w:vAlign w:val="center"/>
          </w:tcPr>
          <w:p w14:paraId="70A96E3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79000 </w:t>
            </w:r>
          </w:p>
        </w:tc>
        <w:tc>
          <w:tcPr>
            <w:tcW w:w="1198" w:type="dxa"/>
            <w:noWrap w:val="0"/>
            <w:vAlign w:val="center"/>
          </w:tcPr>
          <w:p w14:paraId="175EAD5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79000 </w:t>
            </w:r>
          </w:p>
        </w:tc>
        <w:tc>
          <w:tcPr>
            <w:tcW w:w="1134" w:type="dxa"/>
            <w:noWrap/>
            <w:vAlign w:val="top"/>
          </w:tcPr>
          <w:p w14:paraId="3F019195">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1DCC92A">
            <w:pPr>
              <w:widowControl w:val="0"/>
              <w:jc w:val="center"/>
              <w:rPr>
                <w:rFonts w:hint="eastAsia" w:ascii="Calibri" w:hAnsi="Calibri" w:eastAsia="宋体"/>
                <w:kern w:val="2"/>
                <w:sz w:val="20"/>
                <w:szCs w:val="20"/>
                <w:lang w:eastAsia="zh-CN"/>
              </w:rPr>
            </w:pPr>
          </w:p>
        </w:tc>
      </w:tr>
      <w:tr w14:paraId="0C9D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05F1FA4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13 </w:t>
            </w:r>
          </w:p>
        </w:tc>
        <w:tc>
          <w:tcPr>
            <w:tcW w:w="2553" w:type="dxa"/>
            <w:noWrap w:val="0"/>
            <w:vAlign w:val="center"/>
          </w:tcPr>
          <w:p w14:paraId="1BE94590">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面板开关</w:t>
            </w:r>
          </w:p>
        </w:tc>
        <w:tc>
          <w:tcPr>
            <w:tcW w:w="709" w:type="dxa"/>
            <w:noWrap w:val="0"/>
            <w:vAlign w:val="center"/>
          </w:tcPr>
          <w:p w14:paraId="16B326FF">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5</w:t>
            </w:r>
          </w:p>
        </w:tc>
        <w:tc>
          <w:tcPr>
            <w:tcW w:w="567" w:type="dxa"/>
            <w:noWrap w:val="0"/>
            <w:vAlign w:val="center"/>
          </w:tcPr>
          <w:p w14:paraId="7508907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18E0BD6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90 </w:t>
            </w:r>
          </w:p>
        </w:tc>
        <w:tc>
          <w:tcPr>
            <w:tcW w:w="1198" w:type="dxa"/>
            <w:noWrap w:val="0"/>
            <w:vAlign w:val="center"/>
          </w:tcPr>
          <w:p w14:paraId="221EB947">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450 </w:t>
            </w:r>
          </w:p>
        </w:tc>
        <w:tc>
          <w:tcPr>
            <w:tcW w:w="1134" w:type="dxa"/>
            <w:noWrap/>
            <w:vAlign w:val="top"/>
          </w:tcPr>
          <w:p w14:paraId="6DCC1142">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20328FE0">
            <w:pPr>
              <w:widowControl w:val="0"/>
              <w:jc w:val="center"/>
              <w:rPr>
                <w:rFonts w:hint="eastAsia" w:ascii="Calibri" w:hAnsi="Calibri" w:eastAsia="宋体"/>
                <w:kern w:val="2"/>
                <w:sz w:val="20"/>
                <w:szCs w:val="20"/>
                <w:lang w:eastAsia="zh-CN"/>
              </w:rPr>
            </w:pPr>
          </w:p>
        </w:tc>
      </w:tr>
      <w:tr w14:paraId="4EF9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FA0168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14 </w:t>
            </w:r>
          </w:p>
        </w:tc>
        <w:tc>
          <w:tcPr>
            <w:tcW w:w="2553" w:type="dxa"/>
            <w:noWrap w:val="0"/>
            <w:vAlign w:val="center"/>
          </w:tcPr>
          <w:p w14:paraId="2AF1CCA8">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数字红外无线教学扩声系统主机</w:t>
            </w:r>
          </w:p>
        </w:tc>
        <w:tc>
          <w:tcPr>
            <w:tcW w:w="709" w:type="dxa"/>
            <w:noWrap w:val="0"/>
            <w:vAlign w:val="center"/>
          </w:tcPr>
          <w:p w14:paraId="1CCF4B20">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54421E2B">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0293B6CB">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3830 </w:t>
            </w:r>
          </w:p>
        </w:tc>
        <w:tc>
          <w:tcPr>
            <w:tcW w:w="1198" w:type="dxa"/>
            <w:noWrap w:val="0"/>
            <w:vAlign w:val="center"/>
          </w:tcPr>
          <w:p w14:paraId="1CCFD3A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3830 </w:t>
            </w:r>
          </w:p>
        </w:tc>
        <w:tc>
          <w:tcPr>
            <w:tcW w:w="1134" w:type="dxa"/>
            <w:noWrap/>
            <w:vAlign w:val="top"/>
          </w:tcPr>
          <w:p w14:paraId="36EBB1DB">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97766E6">
            <w:pPr>
              <w:widowControl w:val="0"/>
              <w:jc w:val="center"/>
              <w:rPr>
                <w:rFonts w:hint="eastAsia" w:ascii="Calibri" w:hAnsi="Calibri" w:eastAsia="宋体"/>
                <w:kern w:val="2"/>
                <w:sz w:val="20"/>
                <w:szCs w:val="20"/>
                <w:lang w:eastAsia="zh-CN"/>
              </w:rPr>
            </w:pPr>
          </w:p>
        </w:tc>
      </w:tr>
      <w:tr w14:paraId="56A6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007BFF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15 </w:t>
            </w:r>
          </w:p>
        </w:tc>
        <w:tc>
          <w:tcPr>
            <w:tcW w:w="2553" w:type="dxa"/>
            <w:noWrap w:val="0"/>
            <w:vAlign w:val="center"/>
          </w:tcPr>
          <w:p w14:paraId="015C1E80">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数字红外无线麦克风</w:t>
            </w:r>
          </w:p>
        </w:tc>
        <w:tc>
          <w:tcPr>
            <w:tcW w:w="709" w:type="dxa"/>
            <w:noWrap w:val="0"/>
            <w:vAlign w:val="center"/>
          </w:tcPr>
          <w:p w14:paraId="52AB8BB7">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7992BCA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440AEFB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690 </w:t>
            </w:r>
          </w:p>
        </w:tc>
        <w:tc>
          <w:tcPr>
            <w:tcW w:w="1198" w:type="dxa"/>
            <w:noWrap w:val="0"/>
            <w:vAlign w:val="center"/>
          </w:tcPr>
          <w:p w14:paraId="5AB3561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690 </w:t>
            </w:r>
          </w:p>
        </w:tc>
        <w:tc>
          <w:tcPr>
            <w:tcW w:w="1134" w:type="dxa"/>
            <w:noWrap/>
            <w:vAlign w:val="top"/>
          </w:tcPr>
          <w:p w14:paraId="56FBB608">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446DC7E">
            <w:pPr>
              <w:widowControl w:val="0"/>
              <w:jc w:val="center"/>
              <w:rPr>
                <w:rFonts w:hint="eastAsia" w:ascii="Calibri" w:hAnsi="Calibri" w:eastAsia="宋体"/>
                <w:kern w:val="2"/>
                <w:sz w:val="20"/>
                <w:szCs w:val="20"/>
                <w:lang w:eastAsia="zh-CN"/>
              </w:rPr>
            </w:pPr>
          </w:p>
        </w:tc>
      </w:tr>
      <w:tr w14:paraId="47C3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5A424CA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16 </w:t>
            </w:r>
          </w:p>
        </w:tc>
        <w:tc>
          <w:tcPr>
            <w:tcW w:w="2553" w:type="dxa"/>
            <w:noWrap w:val="0"/>
            <w:vAlign w:val="center"/>
          </w:tcPr>
          <w:p w14:paraId="47825277">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数字红外接收器</w:t>
            </w:r>
          </w:p>
        </w:tc>
        <w:tc>
          <w:tcPr>
            <w:tcW w:w="709" w:type="dxa"/>
            <w:noWrap w:val="0"/>
            <w:vAlign w:val="center"/>
          </w:tcPr>
          <w:p w14:paraId="65240C92">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1D8B874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05A3802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485 </w:t>
            </w:r>
          </w:p>
        </w:tc>
        <w:tc>
          <w:tcPr>
            <w:tcW w:w="1198" w:type="dxa"/>
            <w:noWrap w:val="0"/>
            <w:vAlign w:val="center"/>
          </w:tcPr>
          <w:p w14:paraId="5A8126D7">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970 </w:t>
            </w:r>
          </w:p>
        </w:tc>
        <w:tc>
          <w:tcPr>
            <w:tcW w:w="1134" w:type="dxa"/>
            <w:noWrap/>
            <w:vAlign w:val="top"/>
          </w:tcPr>
          <w:p w14:paraId="28F54979">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23AFD4A1">
            <w:pPr>
              <w:widowControl w:val="0"/>
              <w:jc w:val="center"/>
              <w:rPr>
                <w:rFonts w:hint="eastAsia" w:ascii="Calibri" w:hAnsi="Calibri" w:eastAsia="宋体"/>
                <w:kern w:val="2"/>
                <w:sz w:val="20"/>
                <w:szCs w:val="20"/>
                <w:lang w:eastAsia="zh-CN"/>
              </w:rPr>
            </w:pPr>
          </w:p>
        </w:tc>
      </w:tr>
      <w:tr w14:paraId="624E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5C1C8D6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17 </w:t>
            </w:r>
          </w:p>
        </w:tc>
        <w:tc>
          <w:tcPr>
            <w:tcW w:w="2553" w:type="dxa"/>
            <w:noWrap w:val="0"/>
            <w:vAlign w:val="center"/>
          </w:tcPr>
          <w:p w14:paraId="14659F2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线阵列音柱</w:t>
            </w:r>
          </w:p>
        </w:tc>
        <w:tc>
          <w:tcPr>
            <w:tcW w:w="709" w:type="dxa"/>
            <w:noWrap w:val="0"/>
            <w:vAlign w:val="center"/>
          </w:tcPr>
          <w:p w14:paraId="3C420510">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564E86B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只</w:t>
            </w:r>
          </w:p>
        </w:tc>
        <w:tc>
          <w:tcPr>
            <w:tcW w:w="1070" w:type="dxa"/>
            <w:noWrap w:val="0"/>
            <w:vAlign w:val="center"/>
          </w:tcPr>
          <w:p w14:paraId="129E9C8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780 </w:t>
            </w:r>
          </w:p>
        </w:tc>
        <w:tc>
          <w:tcPr>
            <w:tcW w:w="1198" w:type="dxa"/>
            <w:noWrap w:val="0"/>
            <w:vAlign w:val="center"/>
          </w:tcPr>
          <w:p w14:paraId="2E11209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1560 </w:t>
            </w:r>
          </w:p>
        </w:tc>
        <w:tc>
          <w:tcPr>
            <w:tcW w:w="1134" w:type="dxa"/>
            <w:noWrap/>
            <w:vAlign w:val="top"/>
          </w:tcPr>
          <w:p w14:paraId="5F5305E2">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64A290AE">
            <w:pPr>
              <w:widowControl w:val="0"/>
              <w:jc w:val="center"/>
              <w:rPr>
                <w:rFonts w:hint="eastAsia" w:ascii="Calibri" w:hAnsi="Calibri" w:eastAsia="宋体"/>
                <w:kern w:val="2"/>
                <w:sz w:val="20"/>
                <w:szCs w:val="20"/>
                <w:lang w:eastAsia="zh-CN"/>
              </w:rPr>
            </w:pPr>
          </w:p>
        </w:tc>
      </w:tr>
      <w:tr w14:paraId="2967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1539F22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18 </w:t>
            </w:r>
          </w:p>
        </w:tc>
        <w:tc>
          <w:tcPr>
            <w:tcW w:w="2553" w:type="dxa"/>
            <w:noWrap w:val="0"/>
            <w:vAlign w:val="center"/>
          </w:tcPr>
          <w:p w14:paraId="256A242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6.5英寸吸顶扬声器</w:t>
            </w:r>
          </w:p>
        </w:tc>
        <w:tc>
          <w:tcPr>
            <w:tcW w:w="709" w:type="dxa"/>
            <w:noWrap w:val="0"/>
            <w:vAlign w:val="center"/>
          </w:tcPr>
          <w:p w14:paraId="45D7A176">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360ABDD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只</w:t>
            </w:r>
          </w:p>
        </w:tc>
        <w:tc>
          <w:tcPr>
            <w:tcW w:w="1070" w:type="dxa"/>
            <w:noWrap w:val="0"/>
            <w:vAlign w:val="center"/>
          </w:tcPr>
          <w:p w14:paraId="66F57F5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690 </w:t>
            </w:r>
          </w:p>
        </w:tc>
        <w:tc>
          <w:tcPr>
            <w:tcW w:w="1198" w:type="dxa"/>
            <w:noWrap w:val="0"/>
            <w:vAlign w:val="center"/>
          </w:tcPr>
          <w:p w14:paraId="7C85CBE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1380 </w:t>
            </w:r>
          </w:p>
        </w:tc>
        <w:tc>
          <w:tcPr>
            <w:tcW w:w="1134" w:type="dxa"/>
            <w:noWrap/>
            <w:vAlign w:val="top"/>
          </w:tcPr>
          <w:p w14:paraId="2032E835">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190C04D0">
            <w:pPr>
              <w:widowControl w:val="0"/>
              <w:jc w:val="center"/>
              <w:rPr>
                <w:rFonts w:hint="eastAsia" w:ascii="Calibri" w:hAnsi="Calibri" w:eastAsia="宋体"/>
                <w:kern w:val="2"/>
                <w:sz w:val="20"/>
                <w:szCs w:val="20"/>
                <w:lang w:eastAsia="zh-CN"/>
              </w:rPr>
            </w:pPr>
          </w:p>
        </w:tc>
      </w:tr>
      <w:tr w14:paraId="4018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65DFAD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19 </w:t>
            </w:r>
          </w:p>
        </w:tc>
        <w:tc>
          <w:tcPr>
            <w:tcW w:w="2553" w:type="dxa"/>
            <w:noWrap w:val="0"/>
            <w:vAlign w:val="center"/>
          </w:tcPr>
          <w:p w14:paraId="0BF27CED">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充电底座</w:t>
            </w:r>
          </w:p>
        </w:tc>
        <w:tc>
          <w:tcPr>
            <w:tcW w:w="709" w:type="dxa"/>
            <w:noWrap w:val="0"/>
            <w:vAlign w:val="center"/>
          </w:tcPr>
          <w:p w14:paraId="2672B066">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78B7F09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4A8EA13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290 </w:t>
            </w:r>
          </w:p>
        </w:tc>
        <w:tc>
          <w:tcPr>
            <w:tcW w:w="1198" w:type="dxa"/>
            <w:noWrap w:val="0"/>
            <w:vAlign w:val="center"/>
          </w:tcPr>
          <w:p w14:paraId="12B02DD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290 </w:t>
            </w:r>
          </w:p>
        </w:tc>
        <w:tc>
          <w:tcPr>
            <w:tcW w:w="1134" w:type="dxa"/>
            <w:noWrap/>
            <w:vAlign w:val="top"/>
          </w:tcPr>
          <w:p w14:paraId="52425BA3">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2CF89B00">
            <w:pPr>
              <w:widowControl w:val="0"/>
              <w:jc w:val="center"/>
              <w:rPr>
                <w:rFonts w:hint="eastAsia" w:ascii="Calibri" w:hAnsi="Calibri" w:eastAsia="宋体"/>
                <w:kern w:val="2"/>
                <w:sz w:val="20"/>
                <w:szCs w:val="20"/>
                <w:lang w:eastAsia="zh-CN"/>
              </w:rPr>
            </w:pPr>
          </w:p>
        </w:tc>
      </w:tr>
      <w:tr w14:paraId="72D9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39C2DB5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20 </w:t>
            </w:r>
          </w:p>
        </w:tc>
        <w:tc>
          <w:tcPr>
            <w:tcW w:w="2553" w:type="dxa"/>
            <w:noWrap w:val="0"/>
            <w:vAlign w:val="center"/>
          </w:tcPr>
          <w:p w14:paraId="05EFBE5D">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机柜</w:t>
            </w:r>
          </w:p>
        </w:tc>
        <w:tc>
          <w:tcPr>
            <w:tcW w:w="709" w:type="dxa"/>
            <w:noWrap w:val="0"/>
            <w:vAlign w:val="center"/>
          </w:tcPr>
          <w:p w14:paraId="5758ECD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5B7CFBF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29A47D4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1730 </w:t>
            </w:r>
          </w:p>
        </w:tc>
        <w:tc>
          <w:tcPr>
            <w:tcW w:w="1198" w:type="dxa"/>
            <w:noWrap w:val="0"/>
            <w:vAlign w:val="center"/>
          </w:tcPr>
          <w:p w14:paraId="7C39846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1730 </w:t>
            </w:r>
          </w:p>
        </w:tc>
        <w:tc>
          <w:tcPr>
            <w:tcW w:w="1134" w:type="dxa"/>
            <w:noWrap/>
            <w:vAlign w:val="top"/>
          </w:tcPr>
          <w:p w14:paraId="590F02BA">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48693351">
            <w:pPr>
              <w:widowControl w:val="0"/>
              <w:jc w:val="center"/>
              <w:rPr>
                <w:rFonts w:hint="eastAsia" w:ascii="Calibri" w:hAnsi="Calibri" w:eastAsia="宋体"/>
                <w:kern w:val="2"/>
                <w:sz w:val="20"/>
                <w:szCs w:val="20"/>
                <w:lang w:eastAsia="zh-CN"/>
              </w:rPr>
            </w:pPr>
          </w:p>
        </w:tc>
      </w:tr>
      <w:tr w14:paraId="3408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533CE7D7">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21 </w:t>
            </w:r>
          </w:p>
        </w:tc>
        <w:tc>
          <w:tcPr>
            <w:tcW w:w="2553" w:type="dxa"/>
            <w:noWrap w:val="0"/>
            <w:vAlign w:val="center"/>
          </w:tcPr>
          <w:p w14:paraId="603B0BC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移动还书箱</w:t>
            </w:r>
          </w:p>
        </w:tc>
        <w:tc>
          <w:tcPr>
            <w:tcW w:w="709" w:type="dxa"/>
            <w:noWrap w:val="0"/>
            <w:vAlign w:val="center"/>
          </w:tcPr>
          <w:p w14:paraId="25776255">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4DB1119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5981A11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3690 </w:t>
            </w:r>
          </w:p>
        </w:tc>
        <w:tc>
          <w:tcPr>
            <w:tcW w:w="1198" w:type="dxa"/>
            <w:noWrap w:val="0"/>
            <w:vAlign w:val="center"/>
          </w:tcPr>
          <w:p w14:paraId="6622028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3690 </w:t>
            </w:r>
          </w:p>
        </w:tc>
        <w:tc>
          <w:tcPr>
            <w:tcW w:w="1134" w:type="dxa"/>
            <w:noWrap/>
            <w:vAlign w:val="top"/>
          </w:tcPr>
          <w:p w14:paraId="27474F30">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46EEA618">
            <w:pPr>
              <w:widowControl w:val="0"/>
              <w:jc w:val="center"/>
              <w:rPr>
                <w:rFonts w:hint="eastAsia" w:ascii="Calibri" w:hAnsi="Calibri" w:eastAsia="宋体"/>
                <w:kern w:val="2"/>
                <w:sz w:val="20"/>
                <w:szCs w:val="20"/>
                <w:lang w:eastAsia="zh-CN"/>
              </w:rPr>
            </w:pPr>
          </w:p>
        </w:tc>
      </w:tr>
      <w:tr w14:paraId="3A66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ACD417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22 </w:t>
            </w:r>
          </w:p>
        </w:tc>
        <w:tc>
          <w:tcPr>
            <w:tcW w:w="2553" w:type="dxa"/>
            <w:noWrap/>
            <w:vAlign w:val="center"/>
          </w:tcPr>
          <w:p w14:paraId="0052FE4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安全门禁（单通道）</w:t>
            </w:r>
          </w:p>
        </w:tc>
        <w:tc>
          <w:tcPr>
            <w:tcW w:w="709" w:type="dxa"/>
            <w:noWrap w:val="0"/>
            <w:vAlign w:val="center"/>
          </w:tcPr>
          <w:p w14:paraId="7F15702F">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6</w:t>
            </w:r>
          </w:p>
        </w:tc>
        <w:tc>
          <w:tcPr>
            <w:tcW w:w="567" w:type="dxa"/>
            <w:noWrap w:val="0"/>
            <w:vAlign w:val="center"/>
          </w:tcPr>
          <w:p w14:paraId="5A4F191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491D429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16900 </w:t>
            </w:r>
          </w:p>
        </w:tc>
        <w:tc>
          <w:tcPr>
            <w:tcW w:w="1198" w:type="dxa"/>
            <w:noWrap w:val="0"/>
            <w:vAlign w:val="center"/>
          </w:tcPr>
          <w:p w14:paraId="1729201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101400 </w:t>
            </w:r>
          </w:p>
        </w:tc>
        <w:tc>
          <w:tcPr>
            <w:tcW w:w="1134" w:type="dxa"/>
            <w:noWrap/>
            <w:vAlign w:val="top"/>
          </w:tcPr>
          <w:p w14:paraId="0C42C076">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40929F82">
            <w:pPr>
              <w:widowControl w:val="0"/>
              <w:jc w:val="center"/>
              <w:rPr>
                <w:rFonts w:hint="eastAsia" w:ascii="Calibri" w:hAnsi="Calibri" w:eastAsia="宋体"/>
                <w:kern w:val="2"/>
                <w:sz w:val="20"/>
                <w:szCs w:val="20"/>
                <w:lang w:eastAsia="zh-CN"/>
              </w:rPr>
            </w:pPr>
          </w:p>
        </w:tc>
      </w:tr>
      <w:tr w14:paraId="1DE0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40AFDC5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23 </w:t>
            </w:r>
          </w:p>
        </w:tc>
        <w:tc>
          <w:tcPr>
            <w:tcW w:w="2553" w:type="dxa"/>
            <w:noWrap w:val="0"/>
            <w:vAlign w:val="center"/>
          </w:tcPr>
          <w:p w14:paraId="61251C23">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网线</w:t>
            </w:r>
          </w:p>
        </w:tc>
        <w:tc>
          <w:tcPr>
            <w:tcW w:w="709" w:type="dxa"/>
            <w:noWrap w:val="0"/>
            <w:vAlign w:val="center"/>
          </w:tcPr>
          <w:p w14:paraId="06000485">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3</w:t>
            </w:r>
          </w:p>
        </w:tc>
        <w:tc>
          <w:tcPr>
            <w:tcW w:w="567" w:type="dxa"/>
            <w:noWrap w:val="0"/>
            <w:vAlign w:val="center"/>
          </w:tcPr>
          <w:p w14:paraId="4F6F411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箱</w:t>
            </w:r>
          </w:p>
        </w:tc>
        <w:tc>
          <w:tcPr>
            <w:tcW w:w="1070" w:type="dxa"/>
            <w:noWrap w:val="0"/>
            <w:vAlign w:val="center"/>
          </w:tcPr>
          <w:p w14:paraId="6870C33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850 </w:t>
            </w:r>
          </w:p>
        </w:tc>
        <w:tc>
          <w:tcPr>
            <w:tcW w:w="1198" w:type="dxa"/>
            <w:noWrap w:val="0"/>
            <w:vAlign w:val="center"/>
          </w:tcPr>
          <w:p w14:paraId="39729B2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2550 </w:t>
            </w:r>
          </w:p>
        </w:tc>
        <w:tc>
          <w:tcPr>
            <w:tcW w:w="1134" w:type="dxa"/>
            <w:noWrap/>
            <w:vAlign w:val="top"/>
          </w:tcPr>
          <w:p w14:paraId="537E6D43">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DE446CB">
            <w:pPr>
              <w:widowControl w:val="0"/>
              <w:jc w:val="center"/>
              <w:rPr>
                <w:rFonts w:hint="eastAsia" w:ascii="Calibri" w:hAnsi="Calibri" w:eastAsia="宋体"/>
                <w:kern w:val="2"/>
                <w:sz w:val="20"/>
                <w:szCs w:val="20"/>
                <w:lang w:eastAsia="zh-CN"/>
              </w:rPr>
            </w:pPr>
          </w:p>
        </w:tc>
      </w:tr>
      <w:tr w14:paraId="0B46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0B6F725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24 </w:t>
            </w:r>
          </w:p>
        </w:tc>
        <w:tc>
          <w:tcPr>
            <w:tcW w:w="2553" w:type="dxa"/>
            <w:noWrap w:val="0"/>
            <w:vAlign w:val="center"/>
          </w:tcPr>
          <w:p w14:paraId="664C17EA">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智慧图书管理系统集成</w:t>
            </w:r>
          </w:p>
        </w:tc>
        <w:tc>
          <w:tcPr>
            <w:tcW w:w="709" w:type="dxa"/>
            <w:noWrap w:val="0"/>
            <w:vAlign w:val="center"/>
          </w:tcPr>
          <w:p w14:paraId="33986B7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23DF2F9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2C99E3B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19560 </w:t>
            </w:r>
          </w:p>
        </w:tc>
        <w:tc>
          <w:tcPr>
            <w:tcW w:w="1198" w:type="dxa"/>
            <w:noWrap w:val="0"/>
            <w:vAlign w:val="center"/>
          </w:tcPr>
          <w:p w14:paraId="6E71A28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19560 </w:t>
            </w:r>
          </w:p>
        </w:tc>
        <w:tc>
          <w:tcPr>
            <w:tcW w:w="1134" w:type="dxa"/>
            <w:noWrap/>
            <w:vAlign w:val="top"/>
          </w:tcPr>
          <w:p w14:paraId="1E295DE7">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5D8266C">
            <w:pPr>
              <w:widowControl w:val="0"/>
              <w:jc w:val="center"/>
              <w:rPr>
                <w:rFonts w:hint="eastAsia" w:ascii="Calibri" w:hAnsi="Calibri" w:eastAsia="宋体"/>
                <w:kern w:val="2"/>
                <w:sz w:val="20"/>
                <w:szCs w:val="20"/>
                <w:lang w:eastAsia="zh-CN"/>
              </w:rPr>
            </w:pPr>
          </w:p>
        </w:tc>
      </w:tr>
      <w:tr w14:paraId="4E22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5DE6F817">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25 </w:t>
            </w:r>
          </w:p>
        </w:tc>
        <w:tc>
          <w:tcPr>
            <w:tcW w:w="2553" w:type="dxa"/>
            <w:noWrap w:val="0"/>
            <w:vAlign w:val="center"/>
          </w:tcPr>
          <w:p w14:paraId="3FD9037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定制靠墙直行书柜</w:t>
            </w:r>
          </w:p>
        </w:tc>
        <w:tc>
          <w:tcPr>
            <w:tcW w:w="709" w:type="dxa"/>
            <w:noWrap w:val="0"/>
            <w:vAlign w:val="center"/>
          </w:tcPr>
          <w:p w14:paraId="660618E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315</w:t>
            </w:r>
          </w:p>
        </w:tc>
        <w:tc>
          <w:tcPr>
            <w:tcW w:w="567" w:type="dxa"/>
            <w:noWrap w:val="0"/>
            <w:vAlign w:val="center"/>
          </w:tcPr>
          <w:p w14:paraId="58345F3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m2</w:t>
            </w:r>
          </w:p>
        </w:tc>
        <w:tc>
          <w:tcPr>
            <w:tcW w:w="1070" w:type="dxa"/>
            <w:noWrap w:val="0"/>
            <w:vAlign w:val="center"/>
          </w:tcPr>
          <w:p w14:paraId="621A1DF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850 </w:t>
            </w:r>
          </w:p>
        </w:tc>
        <w:tc>
          <w:tcPr>
            <w:tcW w:w="1198" w:type="dxa"/>
            <w:noWrap w:val="0"/>
            <w:vAlign w:val="center"/>
          </w:tcPr>
          <w:p w14:paraId="29C44A8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267750 </w:t>
            </w:r>
          </w:p>
        </w:tc>
        <w:tc>
          <w:tcPr>
            <w:tcW w:w="1134" w:type="dxa"/>
            <w:noWrap/>
            <w:vAlign w:val="top"/>
          </w:tcPr>
          <w:p w14:paraId="0B69C140">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1B548D04">
            <w:pPr>
              <w:widowControl w:val="0"/>
              <w:jc w:val="center"/>
              <w:rPr>
                <w:rFonts w:hint="eastAsia" w:ascii="Calibri" w:hAnsi="Calibri" w:eastAsia="宋体"/>
                <w:kern w:val="2"/>
                <w:sz w:val="20"/>
                <w:szCs w:val="20"/>
                <w:lang w:eastAsia="zh-CN"/>
              </w:rPr>
            </w:pPr>
          </w:p>
        </w:tc>
      </w:tr>
      <w:tr w14:paraId="445B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03956E1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26 </w:t>
            </w:r>
          </w:p>
        </w:tc>
        <w:tc>
          <w:tcPr>
            <w:tcW w:w="2553" w:type="dxa"/>
            <w:noWrap w:val="0"/>
            <w:vAlign w:val="center"/>
          </w:tcPr>
          <w:p w14:paraId="39AC08EA">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定制阅读区阶梯座椅</w:t>
            </w:r>
          </w:p>
        </w:tc>
        <w:tc>
          <w:tcPr>
            <w:tcW w:w="709" w:type="dxa"/>
            <w:noWrap w:val="0"/>
            <w:vAlign w:val="center"/>
          </w:tcPr>
          <w:p w14:paraId="0914381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22</w:t>
            </w:r>
          </w:p>
        </w:tc>
        <w:tc>
          <w:tcPr>
            <w:tcW w:w="567" w:type="dxa"/>
            <w:noWrap w:val="0"/>
            <w:vAlign w:val="center"/>
          </w:tcPr>
          <w:p w14:paraId="77B783E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m2</w:t>
            </w:r>
          </w:p>
        </w:tc>
        <w:tc>
          <w:tcPr>
            <w:tcW w:w="1070" w:type="dxa"/>
            <w:noWrap w:val="0"/>
            <w:vAlign w:val="center"/>
          </w:tcPr>
          <w:p w14:paraId="6E7C4D5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460 </w:t>
            </w:r>
          </w:p>
        </w:tc>
        <w:tc>
          <w:tcPr>
            <w:tcW w:w="1198" w:type="dxa"/>
            <w:noWrap w:val="0"/>
            <w:vAlign w:val="center"/>
          </w:tcPr>
          <w:p w14:paraId="4E5FA97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10120 </w:t>
            </w:r>
          </w:p>
        </w:tc>
        <w:tc>
          <w:tcPr>
            <w:tcW w:w="1134" w:type="dxa"/>
            <w:noWrap/>
            <w:vAlign w:val="top"/>
          </w:tcPr>
          <w:p w14:paraId="5AF79FC0">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1A60621D">
            <w:pPr>
              <w:widowControl w:val="0"/>
              <w:jc w:val="center"/>
              <w:rPr>
                <w:rFonts w:hint="eastAsia" w:ascii="Calibri" w:hAnsi="Calibri" w:eastAsia="宋体"/>
                <w:kern w:val="2"/>
                <w:sz w:val="20"/>
                <w:szCs w:val="20"/>
                <w:lang w:eastAsia="zh-CN"/>
              </w:rPr>
            </w:pPr>
          </w:p>
        </w:tc>
      </w:tr>
      <w:tr w14:paraId="5289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07F47F0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27 </w:t>
            </w:r>
          </w:p>
        </w:tc>
        <w:tc>
          <w:tcPr>
            <w:tcW w:w="2553" w:type="dxa"/>
            <w:noWrap w:val="0"/>
            <w:vAlign w:val="center"/>
          </w:tcPr>
          <w:p w14:paraId="447B26C3">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电气配线</w:t>
            </w:r>
          </w:p>
        </w:tc>
        <w:tc>
          <w:tcPr>
            <w:tcW w:w="709" w:type="dxa"/>
            <w:noWrap w:val="0"/>
            <w:vAlign w:val="center"/>
          </w:tcPr>
          <w:p w14:paraId="5A3AE49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1800</w:t>
            </w:r>
          </w:p>
        </w:tc>
        <w:tc>
          <w:tcPr>
            <w:tcW w:w="567" w:type="dxa"/>
            <w:noWrap w:val="0"/>
            <w:vAlign w:val="center"/>
          </w:tcPr>
          <w:p w14:paraId="186FFD1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m</w:t>
            </w:r>
          </w:p>
        </w:tc>
        <w:tc>
          <w:tcPr>
            <w:tcW w:w="1070" w:type="dxa"/>
            <w:noWrap w:val="0"/>
            <w:vAlign w:val="center"/>
          </w:tcPr>
          <w:p w14:paraId="0BD6D37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12 </w:t>
            </w:r>
          </w:p>
        </w:tc>
        <w:tc>
          <w:tcPr>
            <w:tcW w:w="1198" w:type="dxa"/>
            <w:noWrap w:val="0"/>
            <w:vAlign w:val="center"/>
          </w:tcPr>
          <w:p w14:paraId="42EC866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21600 </w:t>
            </w:r>
          </w:p>
        </w:tc>
        <w:tc>
          <w:tcPr>
            <w:tcW w:w="1134" w:type="dxa"/>
            <w:noWrap/>
            <w:vAlign w:val="top"/>
          </w:tcPr>
          <w:p w14:paraId="2509E712">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783B8DD9">
            <w:pPr>
              <w:widowControl w:val="0"/>
              <w:jc w:val="center"/>
              <w:rPr>
                <w:rFonts w:hint="eastAsia" w:ascii="Calibri" w:hAnsi="Calibri" w:eastAsia="宋体"/>
                <w:kern w:val="2"/>
                <w:sz w:val="20"/>
                <w:szCs w:val="20"/>
                <w:lang w:eastAsia="zh-CN"/>
              </w:rPr>
            </w:pPr>
          </w:p>
        </w:tc>
      </w:tr>
      <w:tr w14:paraId="3428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5E89CD7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28 </w:t>
            </w:r>
          </w:p>
        </w:tc>
        <w:tc>
          <w:tcPr>
            <w:tcW w:w="2553" w:type="dxa"/>
            <w:noWrap w:val="0"/>
            <w:vAlign w:val="center"/>
          </w:tcPr>
          <w:p w14:paraId="7D1D573D">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定制服务台</w:t>
            </w:r>
          </w:p>
        </w:tc>
        <w:tc>
          <w:tcPr>
            <w:tcW w:w="709" w:type="dxa"/>
            <w:noWrap w:val="0"/>
            <w:vAlign w:val="center"/>
          </w:tcPr>
          <w:p w14:paraId="7FFB2AE1">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233473A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项</w:t>
            </w:r>
          </w:p>
        </w:tc>
        <w:tc>
          <w:tcPr>
            <w:tcW w:w="1070" w:type="dxa"/>
            <w:noWrap w:val="0"/>
            <w:vAlign w:val="center"/>
          </w:tcPr>
          <w:p w14:paraId="1FB88D0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21700 </w:t>
            </w:r>
          </w:p>
        </w:tc>
        <w:tc>
          <w:tcPr>
            <w:tcW w:w="1198" w:type="dxa"/>
            <w:noWrap w:val="0"/>
            <w:vAlign w:val="center"/>
          </w:tcPr>
          <w:p w14:paraId="1E34360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21700 </w:t>
            </w:r>
          </w:p>
        </w:tc>
        <w:tc>
          <w:tcPr>
            <w:tcW w:w="1134" w:type="dxa"/>
            <w:noWrap/>
            <w:vAlign w:val="top"/>
          </w:tcPr>
          <w:p w14:paraId="55DBDBCC">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61E3333F">
            <w:pPr>
              <w:widowControl w:val="0"/>
              <w:jc w:val="center"/>
              <w:rPr>
                <w:rFonts w:hint="eastAsia" w:ascii="Calibri" w:hAnsi="Calibri" w:eastAsia="宋体"/>
                <w:kern w:val="2"/>
                <w:sz w:val="20"/>
                <w:szCs w:val="20"/>
                <w:lang w:eastAsia="zh-CN"/>
              </w:rPr>
            </w:pPr>
          </w:p>
        </w:tc>
      </w:tr>
      <w:tr w14:paraId="5022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0BDF231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 </w:t>
            </w:r>
          </w:p>
        </w:tc>
        <w:tc>
          <w:tcPr>
            <w:tcW w:w="2553" w:type="dxa"/>
            <w:noWrap w:val="0"/>
            <w:vAlign w:val="center"/>
          </w:tcPr>
          <w:p w14:paraId="523D3732">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定制前厅圆形摆台</w:t>
            </w:r>
          </w:p>
        </w:tc>
        <w:tc>
          <w:tcPr>
            <w:tcW w:w="709" w:type="dxa"/>
            <w:noWrap w:val="0"/>
            <w:vAlign w:val="center"/>
          </w:tcPr>
          <w:p w14:paraId="274EF1A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7EBE969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29E8DDC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5800 </w:t>
            </w:r>
          </w:p>
        </w:tc>
        <w:tc>
          <w:tcPr>
            <w:tcW w:w="1198" w:type="dxa"/>
            <w:noWrap w:val="0"/>
            <w:vAlign w:val="center"/>
          </w:tcPr>
          <w:p w14:paraId="73EBF86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5800 </w:t>
            </w:r>
          </w:p>
        </w:tc>
        <w:tc>
          <w:tcPr>
            <w:tcW w:w="1134" w:type="dxa"/>
            <w:noWrap/>
            <w:vAlign w:val="top"/>
          </w:tcPr>
          <w:p w14:paraId="4336DEB8">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6B5F7050">
            <w:pPr>
              <w:widowControl w:val="0"/>
              <w:jc w:val="center"/>
              <w:rPr>
                <w:rFonts w:hint="eastAsia" w:ascii="Calibri" w:hAnsi="Calibri" w:eastAsia="宋体"/>
                <w:kern w:val="2"/>
                <w:sz w:val="20"/>
                <w:szCs w:val="20"/>
                <w:lang w:eastAsia="zh-CN"/>
              </w:rPr>
            </w:pPr>
          </w:p>
        </w:tc>
      </w:tr>
      <w:tr w14:paraId="55B6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3408C5E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30 </w:t>
            </w:r>
          </w:p>
        </w:tc>
        <w:tc>
          <w:tcPr>
            <w:tcW w:w="2553" w:type="dxa"/>
            <w:noWrap w:val="0"/>
            <w:vAlign w:val="center"/>
          </w:tcPr>
          <w:p w14:paraId="601682B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雕塑</w:t>
            </w:r>
          </w:p>
        </w:tc>
        <w:tc>
          <w:tcPr>
            <w:tcW w:w="709" w:type="dxa"/>
            <w:noWrap w:val="0"/>
            <w:vAlign w:val="center"/>
          </w:tcPr>
          <w:p w14:paraId="58DA9D4D">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15A44F1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个</w:t>
            </w:r>
          </w:p>
        </w:tc>
        <w:tc>
          <w:tcPr>
            <w:tcW w:w="1070" w:type="dxa"/>
            <w:noWrap w:val="0"/>
            <w:vAlign w:val="center"/>
          </w:tcPr>
          <w:p w14:paraId="62D4084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7500 </w:t>
            </w:r>
          </w:p>
        </w:tc>
        <w:tc>
          <w:tcPr>
            <w:tcW w:w="1198" w:type="dxa"/>
            <w:noWrap w:val="0"/>
            <w:vAlign w:val="center"/>
          </w:tcPr>
          <w:p w14:paraId="4AD60D2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7500 </w:t>
            </w:r>
          </w:p>
        </w:tc>
        <w:tc>
          <w:tcPr>
            <w:tcW w:w="1134" w:type="dxa"/>
            <w:noWrap/>
            <w:vAlign w:val="top"/>
          </w:tcPr>
          <w:p w14:paraId="24742E92">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22FDA7E6">
            <w:pPr>
              <w:widowControl w:val="0"/>
              <w:jc w:val="center"/>
              <w:rPr>
                <w:rFonts w:hint="eastAsia" w:ascii="Calibri" w:hAnsi="Calibri" w:eastAsia="宋体"/>
                <w:kern w:val="2"/>
                <w:sz w:val="20"/>
                <w:szCs w:val="20"/>
                <w:lang w:eastAsia="zh-CN"/>
              </w:rPr>
            </w:pPr>
          </w:p>
        </w:tc>
      </w:tr>
      <w:tr w14:paraId="4678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0F23F4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31 </w:t>
            </w:r>
          </w:p>
        </w:tc>
        <w:tc>
          <w:tcPr>
            <w:tcW w:w="2553" w:type="dxa"/>
            <w:noWrap w:val="0"/>
            <w:vAlign w:val="center"/>
          </w:tcPr>
          <w:p w14:paraId="53E766D3">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定制直行书柜</w:t>
            </w:r>
          </w:p>
        </w:tc>
        <w:tc>
          <w:tcPr>
            <w:tcW w:w="709" w:type="dxa"/>
            <w:noWrap w:val="0"/>
            <w:vAlign w:val="center"/>
          </w:tcPr>
          <w:p w14:paraId="21D93EC4">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92</w:t>
            </w:r>
          </w:p>
        </w:tc>
        <w:tc>
          <w:tcPr>
            <w:tcW w:w="567" w:type="dxa"/>
            <w:noWrap w:val="0"/>
            <w:vAlign w:val="center"/>
          </w:tcPr>
          <w:p w14:paraId="1F854D0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m2</w:t>
            </w:r>
          </w:p>
        </w:tc>
        <w:tc>
          <w:tcPr>
            <w:tcW w:w="1070" w:type="dxa"/>
            <w:noWrap w:val="0"/>
            <w:vAlign w:val="center"/>
          </w:tcPr>
          <w:p w14:paraId="7FAE987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850 </w:t>
            </w:r>
          </w:p>
        </w:tc>
        <w:tc>
          <w:tcPr>
            <w:tcW w:w="1198" w:type="dxa"/>
            <w:noWrap w:val="0"/>
            <w:vAlign w:val="center"/>
          </w:tcPr>
          <w:p w14:paraId="16D2329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78200 </w:t>
            </w:r>
          </w:p>
        </w:tc>
        <w:tc>
          <w:tcPr>
            <w:tcW w:w="1134" w:type="dxa"/>
            <w:noWrap/>
            <w:vAlign w:val="top"/>
          </w:tcPr>
          <w:p w14:paraId="39676F55">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6BE45AFB">
            <w:pPr>
              <w:widowControl w:val="0"/>
              <w:jc w:val="center"/>
              <w:rPr>
                <w:rFonts w:hint="eastAsia" w:ascii="Calibri" w:hAnsi="Calibri" w:eastAsia="宋体"/>
                <w:kern w:val="2"/>
                <w:sz w:val="20"/>
                <w:szCs w:val="20"/>
                <w:lang w:eastAsia="zh-CN"/>
              </w:rPr>
            </w:pPr>
          </w:p>
        </w:tc>
      </w:tr>
      <w:tr w14:paraId="2FC4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06D1D8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32 </w:t>
            </w:r>
          </w:p>
        </w:tc>
        <w:tc>
          <w:tcPr>
            <w:tcW w:w="2553" w:type="dxa"/>
            <w:noWrap w:val="0"/>
            <w:vAlign w:val="center"/>
          </w:tcPr>
          <w:p w14:paraId="6E98E2BB">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定制弧形半高书柜</w:t>
            </w:r>
          </w:p>
        </w:tc>
        <w:tc>
          <w:tcPr>
            <w:tcW w:w="709" w:type="dxa"/>
            <w:noWrap w:val="0"/>
            <w:vAlign w:val="center"/>
          </w:tcPr>
          <w:p w14:paraId="699CC4A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18</w:t>
            </w:r>
          </w:p>
        </w:tc>
        <w:tc>
          <w:tcPr>
            <w:tcW w:w="567" w:type="dxa"/>
            <w:noWrap w:val="0"/>
            <w:vAlign w:val="center"/>
          </w:tcPr>
          <w:p w14:paraId="64C5457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m2</w:t>
            </w:r>
          </w:p>
        </w:tc>
        <w:tc>
          <w:tcPr>
            <w:tcW w:w="1070" w:type="dxa"/>
            <w:noWrap w:val="0"/>
            <w:vAlign w:val="center"/>
          </w:tcPr>
          <w:p w14:paraId="1B0A0F1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1100 </w:t>
            </w:r>
          </w:p>
        </w:tc>
        <w:tc>
          <w:tcPr>
            <w:tcW w:w="1198" w:type="dxa"/>
            <w:noWrap w:val="0"/>
            <w:vAlign w:val="center"/>
          </w:tcPr>
          <w:p w14:paraId="2D71462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19800 </w:t>
            </w:r>
          </w:p>
        </w:tc>
        <w:tc>
          <w:tcPr>
            <w:tcW w:w="1134" w:type="dxa"/>
            <w:noWrap/>
            <w:vAlign w:val="top"/>
          </w:tcPr>
          <w:p w14:paraId="0DC71D83">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0513EBBF">
            <w:pPr>
              <w:widowControl w:val="0"/>
              <w:jc w:val="center"/>
              <w:rPr>
                <w:rFonts w:hint="eastAsia" w:ascii="Calibri" w:hAnsi="Calibri" w:eastAsia="宋体"/>
                <w:kern w:val="2"/>
                <w:sz w:val="20"/>
                <w:szCs w:val="20"/>
                <w:lang w:eastAsia="zh-CN"/>
              </w:rPr>
            </w:pPr>
          </w:p>
        </w:tc>
      </w:tr>
      <w:tr w14:paraId="76A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9A7F34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33 </w:t>
            </w:r>
          </w:p>
        </w:tc>
        <w:tc>
          <w:tcPr>
            <w:tcW w:w="2553" w:type="dxa"/>
            <w:noWrap w:val="0"/>
            <w:vAlign w:val="center"/>
          </w:tcPr>
          <w:p w14:paraId="0EEB00A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定制靠墙软包坐垫</w:t>
            </w:r>
          </w:p>
        </w:tc>
        <w:tc>
          <w:tcPr>
            <w:tcW w:w="709" w:type="dxa"/>
            <w:noWrap w:val="0"/>
            <w:vAlign w:val="center"/>
          </w:tcPr>
          <w:p w14:paraId="7F53ED17">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29</w:t>
            </w:r>
          </w:p>
        </w:tc>
        <w:tc>
          <w:tcPr>
            <w:tcW w:w="567" w:type="dxa"/>
            <w:noWrap w:val="0"/>
            <w:vAlign w:val="center"/>
          </w:tcPr>
          <w:p w14:paraId="5355C7B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m</w:t>
            </w:r>
          </w:p>
        </w:tc>
        <w:tc>
          <w:tcPr>
            <w:tcW w:w="1070" w:type="dxa"/>
            <w:noWrap w:val="0"/>
            <w:vAlign w:val="center"/>
          </w:tcPr>
          <w:p w14:paraId="720F130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450 </w:t>
            </w:r>
          </w:p>
        </w:tc>
        <w:tc>
          <w:tcPr>
            <w:tcW w:w="1198" w:type="dxa"/>
            <w:noWrap w:val="0"/>
            <w:vAlign w:val="center"/>
          </w:tcPr>
          <w:p w14:paraId="4EA57AF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13050 </w:t>
            </w:r>
          </w:p>
        </w:tc>
        <w:tc>
          <w:tcPr>
            <w:tcW w:w="1134" w:type="dxa"/>
            <w:noWrap/>
            <w:vAlign w:val="top"/>
          </w:tcPr>
          <w:p w14:paraId="56435157">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06E0D014">
            <w:pPr>
              <w:widowControl w:val="0"/>
              <w:jc w:val="center"/>
              <w:rPr>
                <w:rFonts w:hint="eastAsia" w:ascii="Calibri" w:hAnsi="Calibri" w:eastAsia="宋体"/>
                <w:kern w:val="2"/>
                <w:sz w:val="20"/>
                <w:szCs w:val="20"/>
                <w:lang w:eastAsia="zh-CN"/>
              </w:rPr>
            </w:pPr>
          </w:p>
        </w:tc>
      </w:tr>
      <w:tr w14:paraId="5DB5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87D083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34 </w:t>
            </w:r>
          </w:p>
        </w:tc>
        <w:tc>
          <w:tcPr>
            <w:tcW w:w="2553" w:type="dxa"/>
            <w:noWrap w:val="0"/>
            <w:vAlign w:val="center"/>
          </w:tcPr>
          <w:p w14:paraId="1350A3B6">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定制弧形皮革座椅</w:t>
            </w:r>
          </w:p>
        </w:tc>
        <w:tc>
          <w:tcPr>
            <w:tcW w:w="709" w:type="dxa"/>
            <w:noWrap w:val="0"/>
            <w:vAlign w:val="center"/>
          </w:tcPr>
          <w:p w14:paraId="17C46741">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513B450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606FEA7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1800 </w:t>
            </w:r>
          </w:p>
        </w:tc>
        <w:tc>
          <w:tcPr>
            <w:tcW w:w="1198" w:type="dxa"/>
            <w:noWrap w:val="0"/>
            <w:vAlign w:val="center"/>
          </w:tcPr>
          <w:p w14:paraId="20BD989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3600 </w:t>
            </w:r>
          </w:p>
        </w:tc>
        <w:tc>
          <w:tcPr>
            <w:tcW w:w="1134" w:type="dxa"/>
            <w:noWrap/>
            <w:vAlign w:val="top"/>
          </w:tcPr>
          <w:p w14:paraId="5402E2C9">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6695F13B">
            <w:pPr>
              <w:widowControl w:val="0"/>
              <w:jc w:val="center"/>
              <w:rPr>
                <w:rFonts w:hint="eastAsia" w:ascii="Calibri" w:hAnsi="Calibri" w:eastAsia="宋体"/>
                <w:kern w:val="2"/>
                <w:sz w:val="20"/>
                <w:szCs w:val="20"/>
                <w:lang w:eastAsia="zh-CN"/>
              </w:rPr>
            </w:pPr>
          </w:p>
        </w:tc>
      </w:tr>
      <w:tr w14:paraId="66D1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B00827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35 </w:t>
            </w:r>
          </w:p>
        </w:tc>
        <w:tc>
          <w:tcPr>
            <w:tcW w:w="2553" w:type="dxa"/>
            <w:noWrap w:val="0"/>
            <w:vAlign w:val="center"/>
          </w:tcPr>
          <w:p w14:paraId="11708461">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定制弧形皮革休闲沙发</w:t>
            </w:r>
          </w:p>
        </w:tc>
        <w:tc>
          <w:tcPr>
            <w:tcW w:w="709" w:type="dxa"/>
            <w:noWrap w:val="0"/>
            <w:vAlign w:val="center"/>
          </w:tcPr>
          <w:p w14:paraId="26B8D82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68B880E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7279F3A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3700 </w:t>
            </w:r>
          </w:p>
        </w:tc>
        <w:tc>
          <w:tcPr>
            <w:tcW w:w="1198" w:type="dxa"/>
            <w:noWrap w:val="0"/>
            <w:vAlign w:val="center"/>
          </w:tcPr>
          <w:p w14:paraId="5196207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7400 </w:t>
            </w:r>
          </w:p>
        </w:tc>
        <w:tc>
          <w:tcPr>
            <w:tcW w:w="1134" w:type="dxa"/>
            <w:noWrap/>
            <w:vAlign w:val="top"/>
          </w:tcPr>
          <w:p w14:paraId="3BBDEEDA">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72AAF873">
            <w:pPr>
              <w:widowControl w:val="0"/>
              <w:jc w:val="center"/>
              <w:rPr>
                <w:rFonts w:hint="eastAsia" w:ascii="Calibri" w:hAnsi="Calibri" w:eastAsia="宋体"/>
                <w:kern w:val="2"/>
                <w:sz w:val="20"/>
                <w:szCs w:val="20"/>
                <w:lang w:eastAsia="zh-CN"/>
              </w:rPr>
            </w:pPr>
          </w:p>
        </w:tc>
      </w:tr>
      <w:tr w14:paraId="4384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F3BAB1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36 </w:t>
            </w:r>
          </w:p>
        </w:tc>
        <w:tc>
          <w:tcPr>
            <w:tcW w:w="2553" w:type="dxa"/>
            <w:noWrap w:val="0"/>
            <w:vAlign w:val="center"/>
          </w:tcPr>
          <w:p w14:paraId="6F1B3102">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定制实木靠墙阅读桌</w:t>
            </w:r>
          </w:p>
        </w:tc>
        <w:tc>
          <w:tcPr>
            <w:tcW w:w="709" w:type="dxa"/>
            <w:noWrap w:val="0"/>
            <w:vAlign w:val="center"/>
          </w:tcPr>
          <w:p w14:paraId="0F4C26C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32</w:t>
            </w:r>
          </w:p>
        </w:tc>
        <w:tc>
          <w:tcPr>
            <w:tcW w:w="567" w:type="dxa"/>
            <w:noWrap w:val="0"/>
            <w:vAlign w:val="center"/>
          </w:tcPr>
          <w:p w14:paraId="627801F8">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m</w:t>
            </w:r>
          </w:p>
        </w:tc>
        <w:tc>
          <w:tcPr>
            <w:tcW w:w="1070" w:type="dxa"/>
            <w:noWrap w:val="0"/>
            <w:vAlign w:val="center"/>
          </w:tcPr>
          <w:p w14:paraId="02360FDB">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430 </w:t>
            </w:r>
          </w:p>
        </w:tc>
        <w:tc>
          <w:tcPr>
            <w:tcW w:w="1198" w:type="dxa"/>
            <w:noWrap w:val="0"/>
            <w:vAlign w:val="center"/>
          </w:tcPr>
          <w:p w14:paraId="70A194A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13760 </w:t>
            </w:r>
          </w:p>
        </w:tc>
        <w:tc>
          <w:tcPr>
            <w:tcW w:w="1134" w:type="dxa"/>
            <w:noWrap/>
            <w:vAlign w:val="top"/>
          </w:tcPr>
          <w:p w14:paraId="6B8B0C1F">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5018258">
            <w:pPr>
              <w:widowControl w:val="0"/>
              <w:jc w:val="center"/>
              <w:rPr>
                <w:rFonts w:hint="eastAsia" w:ascii="Calibri" w:hAnsi="Calibri" w:eastAsia="宋体"/>
                <w:kern w:val="2"/>
                <w:sz w:val="20"/>
                <w:szCs w:val="20"/>
                <w:lang w:eastAsia="zh-CN"/>
              </w:rPr>
            </w:pPr>
          </w:p>
        </w:tc>
      </w:tr>
      <w:tr w14:paraId="19BD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B0D1EE6">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37 </w:t>
            </w:r>
          </w:p>
        </w:tc>
        <w:tc>
          <w:tcPr>
            <w:tcW w:w="2553" w:type="dxa"/>
            <w:noWrap w:val="0"/>
            <w:vAlign w:val="center"/>
          </w:tcPr>
          <w:p w14:paraId="0CB2DB6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定制圆形坐垫</w:t>
            </w:r>
          </w:p>
        </w:tc>
        <w:tc>
          <w:tcPr>
            <w:tcW w:w="709" w:type="dxa"/>
            <w:noWrap w:val="0"/>
            <w:vAlign w:val="center"/>
          </w:tcPr>
          <w:p w14:paraId="7894CF54">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21F9F9A2">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25965C8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850 </w:t>
            </w:r>
          </w:p>
        </w:tc>
        <w:tc>
          <w:tcPr>
            <w:tcW w:w="1198" w:type="dxa"/>
            <w:noWrap w:val="0"/>
            <w:vAlign w:val="center"/>
          </w:tcPr>
          <w:p w14:paraId="243706A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1700 </w:t>
            </w:r>
          </w:p>
        </w:tc>
        <w:tc>
          <w:tcPr>
            <w:tcW w:w="1134" w:type="dxa"/>
            <w:noWrap/>
            <w:vAlign w:val="top"/>
          </w:tcPr>
          <w:p w14:paraId="74F527EF">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486ED546">
            <w:pPr>
              <w:widowControl w:val="0"/>
              <w:jc w:val="center"/>
              <w:rPr>
                <w:rFonts w:hint="eastAsia" w:ascii="Calibri" w:hAnsi="Calibri" w:eastAsia="宋体"/>
                <w:kern w:val="2"/>
                <w:sz w:val="20"/>
                <w:szCs w:val="20"/>
                <w:lang w:eastAsia="zh-CN"/>
              </w:rPr>
            </w:pPr>
          </w:p>
        </w:tc>
      </w:tr>
      <w:tr w14:paraId="7D77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07267DC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38 </w:t>
            </w:r>
          </w:p>
        </w:tc>
        <w:tc>
          <w:tcPr>
            <w:tcW w:w="2553" w:type="dxa"/>
            <w:noWrap w:val="0"/>
            <w:vAlign w:val="center"/>
          </w:tcPr>
          <w:p w14:paraId="38521B24">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定制四人桌椅（含阅读椅）</w:t>
            </w:r>
          </w:p>
        </w:tc>
        <w:tc>
          <w:tcPr>
            <w:tcW w:w="709" w:type="dxa"/>
            <w:noWrap w:val="0"/>
            <w:vAlign w:val="center"/>
          </w:tcPr>
          <w:p w14:paraId="74CE7817">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4</w:t>
            </w:r>
          </w:p>
        </w:tc>
        <w:tc>
          <w:tcPr>
            <w:tcW w:w="567" w:type="dxa"/>
            <w:noWrap w:val="0"/>
            <w:vAlign w:val="center"/>
          </w:tcPr>
          <w:p w14:paraId="4CC5226D">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6EADE2A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2650 </w:t>
            </w:r>
          </w:p>
        </w:tc>
        <w:tc>
          <w:tcPr>
            <w:tcW w:w="1198" w:type="dxa"/>
            <w:noWrap w:val="0"/>
            <w:vAlign w:val="center"/>
          </w:tcPr>
          <w:p w14:paraId="7BAE90D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10600 </w:t>
            </w:r>
          </w:p>
        </w:tc>
        <w:tc>
          <w:tcPr>
            <w:tcW w:w="1134" w:type="dxa"/>
            <w:noWrap/>
            <w:vAlign w:val="top"/>
          </w:tcPr>
          <w:p w14:paraId="65A604A6">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565540CE">
            <w:pPr>
              <w:widowControl w:val="0"/>
              <w:jc w:val="center"/>
              <w:rPr>
                <w:rFonts w:hint="eastAsia" w:ascii="Calibri" w:hAnsi="Calibri" w:eastAsia="宋体"/>
                <w:kern w:val="2"/>
                <w:sz w:val="20"/>
                <w:szCs w:val="20"/>
                <w:lang w:eastAsia="zh-CN"/>
              </w:rPr>
            </w:pPr>
          </w:p>
        </w:tc>
      </w:tr>
      <w:tr w14:paraId="545B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A26F165">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39 </w:t>
            </w:r>
          </w:p>
        </w:tc>
        <w:tc>
          <w:tcPr>
            <w:tcW w:w="2553" w:type="dxa"/>
            <w:noWrap w:val="0"/>
            <w:vAlign w:val="center"/>
          </w:tcPr>
          <w:p w14:paraId="5FBDDF93">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定制2人桌椅（含阅读椅）</w:t>
            </w:r>
          </w:p>
        </w:tc>
        <w:tc>
          <w:tcPr>
            <w:tcW w:w="709" w:type="dxa"/>
            <w:noWrap w:val="0"/>
            <w:vAlign w:val="center"/>
          </w:tcPr>
          <w:p w14:paraId="108E5DA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2</w:t>
            </w:r>
          </w:p>
        </w:tc>
        <w:tc>
          <w:tcPr>
            <w:tcW w:w="567" w:type="dxa"/>
            <w:noWrap w:val="0"/>
            <w:vAlign w:val="center"/>
          </w:tcPr>
          <w:p w14:paraId="7B0AF72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097FCD1B">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1850 </w:t>
            </w:r>
          </w:p>
        </w:tc>
        <w:tc>
          <w:tcPr>
            <w:tcW w:w="1198" w:type="dxa"/>
            <w:noWrap w:val="0"/>
            <w:vAlign w:val="center"/>
          </w:tcPr>
          <w:p w14:paraId="1264AF5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3700 </w:t>
            </w:r>
          </w:p>
        </w:tc>
        <w:tc>
          <w:tcPr>
            <w:tcW w:w="1134" w:type="dxa"/>
            <w:noWrap/>
            <w:vAlign w:val="top"/>
          </w:tcPr>
          <w:p w14:paraId="3D0F9E99">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1B784063">
            <w:pPr>
              <w:widowControl w:val="0"/>
              <w:jc w:val="center"/>
              <w:rPr>
                <w:rFonts w:hint="eastAsia" w:ascii="Calibri" w:hAnsi="Calibri" w:eastAsia="宋体"/>
                <w:kern w:val="2"/>
                <w:sz w:val="20"/>
                <w:szCs w:val="20"/>
                <w:lang w:eastAsia="zh-CN"/>
              </w:rPr>
            </w:pPr>
          </w:p>
        </w:tc>
      </w:tr>
      <w:tr w14:paraId="43C0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4555D97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40 </w:t>
            </w:r>
          </w:p>
        </w:tc>
        <w:tc>
          <w:tcPr>
            <w:tcW w:w="2553" w:type="dxa"/>
            <w:noWrap w:val="0"/>
            <w:vAlign w:val="center"/>
          </w:tcPr>
          <w:p w14:paraId="14851A6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定制小黑板</w:t>
            </w:r>
          </w:p>
        </w:tc>
        <w:tc>
          <w:tcPr>
            <w:tcW w:w="709" w:type="dxa"/>
            <w:noWrap w:val="0"/>
            <w:vAlign w:val="center"/>
          </w:tcPr>
          <w:p w14:paraId="1CB567F9">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3</w:t>
            </w:r>
          </w:p>
        </w:tc>
        <w:tc>
          <w:tcPr>
            <w:tcW w:w="567" w:type="dxa"/>
            <w:noWrap w:val="0"/>
            <w:vAlign w:val="center"/>
          </w:tcPr>
          <w:p w14:paraId="1B60B5A4">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块</w:t>
            </w:r>
          </w:p>
        </w:tc>
        <w:tc>
          <w:tcPr>
            <w:tcW w:w="1070" w:type="dxa"/>
            <w:noWrap w:val="0"/>
            <w:vAlign w:val="center"/>
          </w:tcPr>
          <w:p w14:paraId="5CE6C6B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410 </w:t>
            </w:r>
          </w:p>
        </w:tc>
        <w:tc>
          <w:tcPr>
            <w:tcW w:w="1198" w:type="dxa"/>
            <w:noWrap w:val="0"/>
            <w:vAlign w:val="center"/>
          </w:tcPr>
          <w:p w14:paraId="713F42C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1230 </w:t>
            </w:r>
          </w:p>
        </w:tc>
        <w:tc>
          <w:tcPr>
            <w:tcW w:w="1134" w:type="dxa"/>
            <w:noWrap/>
            <w:vAlign w:val="top"/>
          </w:tcPr>
          <w:p w14:paraId="53CDE893">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7F69DD79">
            <w:pPr>
              <w:widowControl w:val="0"/>
              <w:jc w:val="center"/>
              <w:rPr>
                <w:rFonts w:hint="eastAsia" w:ascii="Calibri" w:hAnsi="Calibri" w:eastAsia="宋体"/>
                <w:kern w:val="2"/>
                <w:sz w:val="20"/>
                <w:szCs w:val="20"/>
                <w:lang w:eastAsia="zh-CN"/>
              </w:rPr>
            </w:pPr>
          </w:p>
        </w:tc>
      </w:tr>
      <w:tr w14:paraId="2BF9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51B44AFB">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41 </w:t>
            </w:r>
          </w:p>
        </w:tc>
        <w:tc>
          <w:tcPr>
            <w:tcW w:w="2553" w:type="dxa"/>
            <w:noWrap w:val="0"/>
            <w:vAlign w:val="center"/>
          </w:tcPr>
          <w:p w14:paraId="79CFF178">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定制6人会议桌</w:t>
            </w:r>
          </w:p>
        </w:tc>
        <w:tc>
          <w:tcPr>
            <w:tcW w:w="709" w:type="dxa"/>
            <w:noWrap w:val="0"/>
            <w:vAlign w:val="center"/>
          </w:tcPr>
          <w:p w14:paraId="6B1D0135">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1</w:t>
            </w:r>
          </w:p>
        </w:tc>
        <w:tc>
          <w:tcPr>
            <w:tcW w:w="567" w:type="dxa"/>
            <w:noWrap w:val="0"/>
            <w:vAlign w:val="center"/>
          </w:tcPr>
          <w:p w14:paraId="0078F97A">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05AD474F">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2200 </w:t>
            </w:r>
          </w:p>
        </w:tc>
        <w:tc>
          <w:tcPr>
            <w:tcW w:w="1198" w:type="dxa"/>
            <w:noWrap w:val="0"/>
            <w:vAlign w:val="center"/>
          </w:tcPr>
          <w:p w14:paraId="27AE13D7">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2200 </w:t>
            </w:r>
          </w:p>
        </w:tc>
        <w:tc>
          <w:tcPr>
            <w:tcW w:w="1134" w:type="dxa"/>
            <w:noWrap/>
            <w:vAlign w:val="top"/>
          </w:tcPr>
          <w:p w14:paraId="70D48713">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2AD71635">
            <w:pPr>
              <w:widowControl w:val="0"/>
              <w:jc w:val="center"/>
              <w:rPr>
                <w:rFonts w:hint="eastAsia" w:ascii="Calibri" w:hAnsi="Calibri" w:eastAsia="宋体"/>
                <w:kern w:val="2"/>
                <w:sz w:val="20"/>
                <w:szCs w:val="20"/>
                <w:lang w:eastAsia="zh-CN"/>
              </w:rPr>
            </w:pPr>
          </w:p>
        </w:tc>
      </w:tr>
      <w:tr w14:paraId="7732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7375B279">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42 </w:t>
            </w:r>
          </w:p>
        </w:tc>
        <w:tc>
          <w:tcPr>
            <w:tcW w:w="2553" w:type="dxa"/>
            <w:noWrap w:val="0"/>
            <w:vAlign w:val="center"/>
          </w:tcPr>
          <w:p w14:paraId="65F689F1">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定制8人长条桌</w:t>
            </w:r>
          </w:p>
        </w:tc>
        <w:tc>
          <w:tcPr>
            <w:tcW w:w="709" w:type="dxa"/>
            <w:noWrap w:val="0"/>
            <w:vAlign w:val="center"/>
          </w:tcPr>
          <w:p w14:paraId="7B8C4AE8">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6</w:t>
            </w:r>
          </w:p>
        </w:tc>
        <w:tc>
          <w:tcPr>
            <w:tcW w:w="567" w:type="dxa"/>
            <w:noWrap w:val="0"/>
            <w:vAlign w:val="center"/>
          </w:tcPr>
          <w:p w14:paraId="49D72043">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105723FC">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2900 </w:t>
            </w:r>
          </w:p>
        </w:tc>
        <w:tc>
          <w:tcPr>
            <w:tcW w:w="1198" w:type="dxa"/>
            <w:noWrap w:val="0"/>
            <w:vAlign w:val="center"/>
          </w:tcPr>
          <w:p w14:paraId="4C08673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17400 </w:t>
            </w:r>
          </w:p>
        </w:tc>
        <w:tc>
          <w:tcPr>
            <w:tcW w:w="1134" w:type="dxa"/>
            <w:noWrap/>
            <w:vAlign w:val="top"/>
          </w:tcPr>
          <w:p w14:paraId="0012CCBB">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6AD93306">
            <w:pPr>
              <w:widowControl w:val="0"/>
              <w:jc w:val="center"/>
              <w:rPr>
                <w:rFonts w:hint="eastAsia" w:ascii="Calibri" w:hAnsi="Calibri" w:eastAsia="宋体"/>
                <w:kern w:val="2"/>
                <w:sz w:val="20"/>
                <w:szCs w:val="20"/>
                <w:lang w:eastAsia="zh-CN"/>
              </w:rPr>
            </w:pPr>
          </w:p>
        </w:tc>
      </w:tr>
      <w:tr w14:paraId="0D87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6" w:type="dxa"/>
            <w:noWrap w:val="0"/>
            <w:vAlign w:val="center"/>
          </w:tcPr>
          <w:p w14:paraId="2CB2D30B">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43 </w:t>
            </w:r>
          </w:p>
        </w:tc>
        <w:tc>
          <w:tcPr>
            <w:tcW w:w="2553" w:type="dxa"/>
            <w:noWrap w:val="0"/>
            <w:vAlign w:val="center"/>
          </w:tcPr>
          <w:p w14:paraId="0202B7DC">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定制标准阅览椅</w:t>
            </w:r>
          </w:p>
        </w:tc>
        <w:tc>
          <w:tcPr>
            <w:tcW w:w="709" w:type="dxa"/>
            <w:noWrap w:val="0"/>
            <w:vAlign w:val="center"/>
          </w:tcPr>
          <w:p w14:paraId="3884769E">
            <w:pPr>
              <w:widowControl w:val="0"/>
              <w:jc w:val="center"/>
              <w:rPr>
                <w:rFonts w:hint="eastAsia" w:ascii="Calibri" w:hAnsi="Calibri" w:eastAsia="宋体"/>
                <w:kern w:val="2"/>
                <w:sz w:val="20"/>
                <w:szCs w:val="20"/>
                <w:lang w:eastAsia="zh-CN"/>
              </w:rPr>
            </w:pPr>
            <w:r>
              <w:rPr>
                <w:rFonts w:hint="eastAsia" w:ascii="Calibri" w:hAnsi="Calibri" w:eastAsia="宋体" w:cstheme="minorBidi"/>
                <w:kern w:val="2"/>
                <w:sz w:val="20"/>
                <w:szCs w:val="20"/>
                <w:lang w:eastAsia="zh-CN"/>
              </w:rPr>
              <w:t>80</w:t>
            </w:r>
          </w:p>
        </w:tc>
        <w:tc>
          <w:tcPr>
            <w:tcW w:w="567" w:type="dxa"/>
            <w:noWrap w:val="0"/>
            <w:vAlign w:val="center"/>
          </w:tcPr>
          <w:p w14:paraId="7F8BFE71">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套</w:t>
            </w:r>
          </w:p>
        </w:tc>
        <w:tc>
          <w:tcPr>
            <w:tcW w:w="1070" w:type="dxa"/>
            <w:noWrap w:val="0"/>
            <w:vAlign w:val="center"/>
          </w:tcPr>
          <w:p w14:paraId="54DFB2EE">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280 </w:t>
            </w:r>
          </w:p>
        </w:tc>
        <w:tc>
          <w:tcPr>
            <w:tcW w:w="1198" w:type="dxa"/>
            <w:noWrap w:val="0"/>
            <w:vAlign w:val="center"/>
          </w:tcPr>
          <w:p w14:paraId="7DF530E0">
            <w:pPr>
              <w:widowControl w:val="0"/>
              <w:jc w:val="center"/>
              <w:rPr>
                <w:rFonts w:hint="eastAsia" w:ascii="Calibri" w:hAnsi="Calibri" w:eastAsia="宋体"/>
                <w:color w:val="000000"/>
                <w:kern w:val="2"/>
                <w:sz w:val="20"/>
                <w:szCs w:val="20"/>
                <w:lang w:eastAsia="zh-CN"/>
              </w:rPr>
            </w:pPr>
            <w:r>
              <w:rPr>
                <w:rFonts w:hint="eastAsia" w:ascii="Calibri" w:hAnsi="Calibri" w:eastAsia="宋体" w:cstheme="minorBidi"/>
                <w:color w:val="000000"/>
                <w:kern w:val="2"/>
                <w:sz w:val="20"/>
                <w:szCs w:val="20"/>
                <w:lang w:eastAsia="zh-CN"/>
              </w:rPr>
              <w:t xml:space="preserve">22400 </w:t>
            </w:r>
          </w:p>
        </w:tc>
        <w:tc>
          <w:tcPr>
            <w:tcW w:w="1134" w:type="dxa"/>
            <w:noWrap/>
            <w:vAlign w:val="top"/>
          </w:tcPr>
          <w:p w14:paraId="10A6F09B">
            <w:pPr>
              <w:widowControl w:val="0"/>
              <w:jc w:val="both"/>
              <w:rPr>
                <w:rFonts w:ascii="Calibri" w:hAnsi="Calibri" w:eastAsia="宋体"/>
                <w:kern w:val="2"/>
                <w:sz w:val="21"/>
                <w:szCs w:val="22"/>
                <w:lang w:eastAsia="zh-CN"/>
              </w:rPr>
            </w:pPr>
            <w:r>
              <w:rPr>
                <w:rFonts w:hint="eastAsia" w:ascii="Calibri" w:hAnsi="Calibri" w:eastAsia="宋体" w:cstheme="minorBidi"/>
                <w:kern w:val="2"/>
                <w:sz w:val="20"/>
                <w:szCs w:val="20"/>
                <w:lang w:eastAsia="zh-CN"/>
              </w:rPr>
              <w:t>拒绝进口</w:t>
            </w:r>
          </w:p>
        </w:tc>
        <w:tc>
          <w:tcPr>
            <w:tcW w:w="1134" w:type="dxa"/>
            <w:vMerge w:val="continue"/>
            <w:noWrap w:val="0"/>
            <w:vAlign w:val="top"/>
          </w:tcPr>
          <w:p w14:paraId="0F2140CD">
            <w:pPr>
              <w:widowControl w:val="0"/>
              <w:jc w:val="center"/>
              <w:rPr>
                <w:rFonts w:hint="eastAsia" w:ascii="Calibri" w:hAnsi="Calibri" w:eastAsia="宋体"/>
                <w:kern w:val="2"/>
                <w:sz w:val="20"/>
                <w:szCs w:val="20"/>
                <w:lang w:eastAsia="zh-CN"/>
              </w:rPr>
            </w:pPr>
          </w:p>
        </w:tc>
      </w:tr>
    </w:tbl>
    <w:p w14:paraId="0092C138">
      <w:pPr>
        <w:widowControl w:val="0"/>
        <w:jc w:val="both"/>
        <w:rPr>
          <w:rFonts w:ascii="Calibri" w:hAnsi="Calibri" w:eastAsia="宋体"/>
          <w:color w:val="FF0000"/>
          <w:kern w:val="2"/>
          <w:sz w:val="21"/>
          <w:szCs w:val="22"/>
          <w:lang w:eastAsia="zh-CN"/>
        </w:rPr>
      </w:pPr>
    </w:p>
    <w:p w14:paraId="649519C2">
      <w:pPr>
        <w:widowControl w:val="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备注：</w:t>
      </w:r>
    </w:p>
    <w:p w14:paraId="43233CC9">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1、“备注”栏注明有“接受进口”或“允许进口”的产品允许投标人选用进口产品参与投标，但不排斥国内产品投标；未注明“接受进口”或“允许进口”的产品均不接受进口产品投标。</w:t>
      </w:r>
    </w:p>
    <w:p w14:paraId="10FF77D6">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39164F2">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3、如注明有单价控制金额的产品，投标人对该产品的报价不得超过控制金额，否则将作投标无效处理。</w:t>
      </w:r>
    </w:p>
    <w:p w14:paraId="5790B132">
      <w:pPr>
        <w:widowControl w:val="0"/>
        <w:ind w:firstLine="420" w:firstLineChars="200"/>
        <w:jc w:val="both"/>
        <w:rPr>
          <w:rFonts w:hint="eastAsia"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4、根据《政府采购货物和服务招标投标管理办法》（财政部令第87号）第三十一条规定，单一产品项目或非单一产品项目中的核心产品均应明确品牌，投标人未填报品牌的将作投标无效处理。</w:t>
      </w:r>
    </w:p>
    <w:p w14:paraId="47C62D85">
      <w:pPr>
        <w:keepNext/>
        <w:keepLines/>
        <w:widowControl w:val="0"/>
        <w:spacing w:before="260" w:after="260" w:line="416" w:lineRule="auto"/>
        <w:jc w:val="center"/>
        <w:outlineLvl w:val="1"/>
        <w:rPr>
          <w:rFonts w:ascii="Cambria" w:hAnsi="Cambria" w:eastAsia="宋体"/>
          <w:b/>
          <w:bCs/>
          <w:kern w:val="2"/>
          <w:sz w:val="32"/>
          <w:szCs w:val="32"/>
          <w:lang w:eastAsia="zh-CN"/>
        </w:rPr>
      </w:pPr>
      <w:bookmarkStart w:id="14" w:name="_Toc128884461"/>
      <w:r>
        <w:rPr>
          <w:rFonts w:hint="eastAsia" w:ascii="Cambria" w:hAnsi="Cambria" w:eastAsia="宋体" w:cstheme="majorBidi"/>
          <w:b/>
          <w:bCs/>
          <w:kern w:val="2"/>
          <w:sz w:val="32"/>
          <w:szCs w:val="32"/>
          <w:lang w:eastAsia="zh-CN"/>
        </w:rPr>
        <w:t>三、实质性条款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093"/>
      </w:tblGrid>
      <w:tr w14:paraId="05B0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22EDAE6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7483" w:type="dxa"/>
            <w:vAlign w:val="center"/>
          </w:tcPr>
          <w:p w14:paraId="1F230A30">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实质性条款具体内容</w:t>
            </w:r>
          </w:p>
        </w:tc>
      </w:tr>
      <w:tr w14:paraId="5804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8C0C7EF">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7483" w:type="dxa"/>
          </w:tcPr>
          <w:p w14:paraId="59118A7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本项目招标文件中所有带★号条款内容</w:t>
            </w:r>
          </w:p>
        </w:tc>
      </w:tr>
      <w:bookmarkEnd w:id="14"/>
    </w:tbl>
    <w:p w14:paraId="357F3E1C">
      <w:pPr>
        <w:widowControl w:val="0"/>
        <w:jc w:val="both"/>
        <w:rPr>
          <w:rFonts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注</w:t>
      </w:r>
      <w:r>
        <w:rPr>
          <w:rFonts w:hint="eastAsia" w:ascii="Calibri" w:hAnsi="Calibri" w:eastAsia="宋体" w:cstheme="minorBidi"/>
          <w:kern w:val="2"/>
          <w:sz w:val="21"/>
          <w:szCs w:val="22"/>
          <w:lang w:eastAsia="zh-CN"/>
        </w:rPr>
        <w:t>：</w:t>
      </w:r>
      <w:r>
        <w:rPr>
          <w:rFonts w:hint="eastAsia" w:ascii="Calibri" w:hAnsi="Calibri" w:eastAsia="宋体" w:cstheme="minorBidi"/>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4EA08F34">
      <w:pPr>
        <w:keepNext/>
        <w:keepLines/>
        <w:widowControl w:val="0"/>
        <w:tabs>
          <w:tab w:val="left" w:pos="1680"/>
        </w:tabs>
        <w:spacing w:before="260" w:after="78" w:afterLines="25"/>
        <w:jc w:val="center"/>
        <w:outlineLvl w:val="2"/>
        <w:rPr>
          <w:rFonts w:ascii="Arial" w:hAnsi="Arial" w:eastAsia="宋体"/>
          <w:b/>
          <w:bCs/>
          <w:color w:val="FF0000"/>
          <w:kern w:val="2"/>
          <w:sz w:val="32"/>
          <w:szCs w:val="32"/>
          <w:lang w:eastAsia="zh-CN"/>
        </w:rPr>
      </w:pPr>
      <w:r>
        <w:rPr>
          <w:rFonts w:hint="eastAsia" w:ascii="Calibri" w:hAnsi="Calibri" w:eastAsia="宋体" w:cstheme="minorBidi"/>
          <w:b/>
          <w:color w:val="FF0000"/>
          <w:kern w:val="2"/>
          <w:sz w:val="32"/>
          <w:szCs w:val="32"/>
          <w:lang w:eastAsia="zh-CN"/>
        </w:rPr>
        <w:t>四</w:t>
      </w:r>
      <w:r>
        <w:rPr>
          <w:rFonts w:hint="eastAsia" w:ascii="Arial" w:hAnsi="Arial" w:eastAsia="宋体"/>
          <w:b/>
          <w:bCs/>
          <w:color w:val="FF0000"/>
          <w:kern w:val="2"/>
          <w:sz w:val="32"/>
          <w:szCs w:val="32"/>
          <w:lang w:eastAsia="zh-CN"/>
        </w:rPr>
        <w:t>、商务和服务条款要求</w:t>
      </w:r>
    </w:p>
    <w:tbl>
      <w:tblPr>
        <w:tblStyle w:val="13"/>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693"/>
        <w:gridCol w:w="5846"/>
      </w:tblGrid>
      <w:tr w14:paraId="3963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center"/>
          </w:tcPr>
          <w:p w14:paraId="661C1617">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序号</w:t>
            </w:r>
          </w:p>
        </w:tc>
        <w:tc>
          <w:tcPr>
            <w:tcW w:w="1620" w:type="dxa"/>
            <w:noWrap w:val="0"/>
            <w:vAlign w:val="center"/>
          </w:tcPr>
          <w:p w14:paraId="4A4D8940">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目录</w:t>
            </w:r>
          </w:p>
        </w:tc>
        <w:tc>
          <w:tcPr>
            <w:tcW w:w="5594" w:type="dxa"/>
            <w:noWrap w:val="0"/>
            <w:vAlign w:val="center"/>
          </w:tcPr>
          <w:p w14:paraId="3E000FAA">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采购商务需求</w:t>
            </w:r>
          </w:p>
        </w:tc>
      </w:tr>
      <w:tr w14:paraId="7ACE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noWrap w:val="0"/>
            <w:vAlign w:val="top"/>
          </w:tcPr>
          <w:p w14:paraId="5301FD31">
            <w:pPr>
              <w:widowControl w:val="0"/>
              <w:jc w:val="both"/>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（一）免费保修期内售后服务要求</w:t>
            </w:r>
          </w:p>
        </w:tc>
      </w:tr>
      <w:tr w14:paraId="3725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noWrap w:val="0"/>
            <w:vAlign w:val="center"/>
          </w:tcPr>
          <w:p w14:paraId="5753AF1B">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1</w:t>
            </w:r>
          </w:p>
        </w:tc>
        <w:tc>
          <w:tcPr>
            <w:tcW w:w="1620" w:type="dxa"/>
            <w:noWrap w:val="0"/>
            <w:vAlign w:val="center"/>
          </w:tcPr>
          <w:p w14:paraId="450307CD">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免费保修期</w:t>
            </w:r>
          </w:p>
        </w:tc>
        <w:tc>
          <w:tcPr>
            <w:tcW w:w="5594" w:type="dxa"/>
            <w:noWrap w:val="0"/>
            <w:vAlign w:val="top"/>
          </w:tcPr>
          <w:p w14:paraId="65A3DAA7">
            <w:pPr>
              <w:widowControl w:val="0"/>
              <w:jc w:val="both"/>
              <w:rPr>
                <w:rFonts w:hint="eastAsia" w:ascii="宋体" w:hAnsi="宋体" w:eastAsia="宋体" w:cs="宋体"/>
                <w:b/>
                <w:kern w:val="2"/>
                <w:sz w:val="21"/>
                <w:szCs w:val="22"/>
                <w:lang w:eastAsia="zh-CN"/>
              </w:rPr>
            </w:pPr>
            <w:r>
              <w:rPr>
                <w:rFonts w:hint="eastAsia" w:ascii="宋体" w:hAnsi="宋体" w:eastAsia="宋体" w:cs="宋体"/>
                <w:kern w:val="2"/>
                <w:sz w:val="21"/>
                <w:szCs w:val="22"/>
                <w:lang w:eastAsia="zh-CN"/>
              </w:rPr>
              <w:t>★</w:t>
            </w:r>
            <w:r>
              <w:rPr>
                <w:rFonts w:hint="eastAsia" w:ascii="宋体" w:hAnsi="宋体" w:eastAsia="宋体" w:cs="宋体"/>
                <w:bCs/>
                <w:kern w:val="2"/>
                <w:sz w:val="21"/>
                <w:szCs w:val="22"/>
                <w:lang w:eastAsia="zh-CN"/>
              </w:rPr>
              <w:t>货物免费保修期至少__3__年，时间自最终验收合格并交付使用之日起计算。</w:t>
            </w:r>
          </w:p>
        </w:tc>
      </w:tr>
      <w:tr w14:paraId="4CB8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14:paraId="0AC4295E">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2</w:t>
            </w:r>
          </w:p>
        </w:tc>
        <w:tc>
          <w:tcPr>
            <w:tcW w:w="1620" w:type="dxa"/>
            <w:noWrap w:val="0"/>
            <w:vAlign w:val="top"/>
          </w:tcPr>
          <w:p w14:paraId="4E1144B1">
            <w:pPr>
              <w:widowControl w:val="0"/>
              <w:jc w:val="both"/>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维修响应及故障解决时间</w:t>
            </w:r>
          </w:p>
        </w:tc>
        <w:tc>
          <w:tcPr>
            <w:tcW w:w="5594" w:type="dxa"/>
            <w:noWrap w:val="0"/>
            <w:vAlign w:val="top"/>
          </w:tcPr>
          <w:p w14:paraId="7CE08682">
            <w:pPr>
              <w:widowControl w:val="0"/>
              <w:jc w:val="both"/>
              <w:rPr>
                <w:rFonts w:hint="eastAsia" w:ascii="宋体" w:hAnsi="宋体" w:eastAsia="宋体" w:cs="宋体"/>
                <w:b/>
                <w:kern w:val="2"/>
                <w:sz w:val="21"/>
                <w:szCs w:val="22"/>
                <w:lang w:eastAsia="zh-CN"/>
              </w:rPr>
            </w:pPr>
            <w:r>
              <w:rPr>
                <w:rFonts w:hint="eastAsia" w:ascii="宋体" w:hAnsi="宋体" w:eastAsia="宋体" w:cs="宋体"/>
                <w:bCs/>
                <w:kern w:val="2"/>
                <w:sz w:val="21"/>
                <w:szCs w:val="22"/>
                <w:lang w:eastAsia="zh-CN"/>
              </w:rPr>
              <w:t>在保修期内，一旦发生质量问题，响应供应商保证在接到通知24小时内赶到现场进行修理或更换。</w:t>
            </w:r>
          </w:p>
        </w:tc>
      </w:tr>
      <w:tr w14:paraId="0B5D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14:paraId="3F370D05">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w:t>
            </w:r>
          </w:p>
        </w:tc>
        <w:tc>
          <w:tcPr>
            <w:tcW w:w="1620" w:type="dxa"/>
            <w:noWrap w:val="0"/>
            <w:vAlign w:val="center"/>
          </w:tcPr>
          <w:p w14:paraId="611993A7">
            <w:pPr>
              <w:widowControl w:val="0"/>
              <w:jc w:val="both"/>
              <w:rPr>
                <w:rFonts w:hint="eastAsia" w:ascii="宋体" w:hAnsi="宋体" w:eastAsia="宋体" w:cs="宋体"/>
                <w:b/>
                <w:kern w:val="2"/>
                <w:sz w:val="21"/>
                <w:szCs w:val="22"/>
                <w:lang w:eastAsia="zh-CN"/>
              </w:rPr>
            </w:pPr>
            <w:r>
              <w:rPr>
                <w:rFonts w:hint="eastAsia" w:ascii="宋体" w:hAnsi="宋体" w:eastAsia="宋体" w:cs="宋体"/>
                <w:kern w:val="2"/>
                <w:sz w:val="21"/>
                <w:szCs w:val="22"/>
                <w:lang w:eastAsia="zh-CN"/>
              </w:rPr>
              <w:t>其他</w:t>
            </w:r>
          </w:p>
        </w:tc>
        <w:tc>
          <w:tcPr>
            <w:tcW w:w="5594" w:type="dxa"/>
            <w:noWrap w:val="0"/>
            <w:vAlign w:val="center"/>
          </w:tcPr>
          <w:p w14:paraId="4898B1F6">
            <w:pPr>
              <w:widowControl w:val="0"/>
              <w:jc w:val="both"/>
              <w:rPr>
                <w:rFonts w:hint="eastAsia" w:ascii="宋体" w:hAnsi="宋体" w:eastAsia="宋体" w:cs="宋体"/>
                <w:b/>
                <w:kern w:val="2"/>
                <w:sz w:val="21"/>
                <w:szCs w:val="22"/>
                <w:lang w:eastAsia="zh-CN"/>
              </w:rPr>
            </w:pPr>
            <w:r>
              <w:rPr>
                <w:rFonts w:hint="eastAsia" w:ascii="宋体" w:hAnsi="宋体" w:eastAsia="宋体" w:cs="宋体"/>
                <w:bCs/>
                <w:kern w:val="2"/>
                <w:sz w:val="21"/>
                <w:szCs w:val="22"/>
                <w:lang w:eastAsia="zh-CN"/>
              </w:rPr>
              <w:t>响应供应商应按其投标文件中的承诺，进行其他售后服务工作。</w:t>
            </w:r>
          </w:p>
        </w:tc>
      </w:tr>
      <w:tr w14:paraId="2243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noWrap w:val="0"/>
            <w:vAlign w:val="top"/>
          </w:tcPr>
          <w:p w14:paraId="2FDA509E">
            <w:pPr>
              <w:widowControl w:val="0"/>
              <w:jc w:val="both"/>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（二）免费保修期外售后服务要求（可选）</w:t>
            </w:r>
          </w:p>
        </w:tc>
      </w:tr>
      <w:tr w14:paraId="32CB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50648FD1">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1</w:t>
            </w:r>
          </w:p>
        </w:tc>
        <w:tc>
          <w:tcPr>
            <w:tcW w:w="1620" w:type="dxa"/>
            <w:noWrap w:val="0"/>
            <w:vAlign w:val="top"/>
          </w:tcPr>
          <w:p w14:paraId="031F439D">
            <w:pPr>
              <w:widowControl w:val="0"/>
              <w:jc w:val="both"/>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w:t>
            </w:r>
          </w:p>
        </w:tc>
        <w:tc>
          <w:tcPr>
            <w:tcW w:w="5594" w:type="dxa"/>
            <w:noWrap w:val="0"/>
            <w:vAlign w:val="top"/>
          </w:tcPr>
          <w:p w14:paraId="2B7F6CD5">
            <w:pPr>
              <w:widowControl w:val="0"/>
              <w:jc w:val="both"/>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w:t>
            </w:r>
          </w:p>
        </w:tc>
      </w:tr>
      <w:tr w14:paraId="6CBE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5C7C9576">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2</w:t>
            </w:r>
          </w:p>
        </w:tc>
        <w:tc>
          <w:tcPr>
            <w:tcW w:w="1620" w:type="dxa"/>
            <w:noWrap w:val="0"/>
            <w:vAlign w:val="top"/>
          </w:tcPr>
          <w:p w14:paraId="064DF10E">
            <w:pPr>
              <w:widowControl w:val="0"/>
              <w:jc w:val="both"/>
              <w:rPr>
                <w:rFonts w:hint="eastAsia" w:ascii="宋体" w:hAnsi="宋体" w:eastAsia="宋体" w:cs="宋体"/>
                <w:b/>
                <w:kern w:val="2"/>
                <w:sz w:val="21"/>
                <w:szCs w:val="22"/>
                <w:lang w:eastAsia="zh-CN"/>
              </w:rPr>
            </w:pPr>
          </w:p>
        </w:tc>
        <w:tc>
          <w:tcPr>
            <w:tcW w:w="5594" w:type="dxa"/>
            <w:noWrap w:val="0"/>
            <w:vAlign w:val="top"/>
          </w:tcPr>
          <w:p w14:paraId="1A845E49">
            <w:pPr>
              <w:widowControl w:val="0"/>
              <w:jc w:val="both"/>
              <w:rPr>
                <w:rFonts w:hint="eastAsia" w:ascii="宋体" w:hAnsi="宋体" w:eastAsia="宋体" w:cs="宋体"/>
                <w:b/>
                <w:kern w:val="2"/>
                <w:sz w:val="21"/>
                <w:szCs w:val="22"/>
                <w:lang w:eastAsia="zh-CN"/>
              </w:rPr>
            </w:pPr>
          </w:p>
        </w:tc>
      </w:tr>
      <w:tr w14:paraId="6F46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5EAF5DD5">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w:t>
            </w:r>
          </w:p>
        </w:tc>
        <w:tc>
          <w:tcPr>
            <w:tcW w:w="1620" w:type="dxa"/>
            <w:noWrap w:val="0"/>
            <w:vAlign w:val="top"/>
          </w:tcPr>
          <w:p w14:paraId="24E34D4A">
            <w:pPr>
              <w:widowControl w:val="0"/>
              <w:jc w:val="both"/>
              <w:rPr>
                <w:rFonts w:hint="eastAsia" w:ascii="宋体" w:hAnsi="宋体" w:eastAsia="宋体" w:cs="宋体"/>
                <w:b/>
                <w:kern w:val="2"/>
                <w:sz w:val="21"/>
                <w:szCs w:val="22"/>
                <w:lang w:eastAsia="zh-CN"/>
              </w:rPr>
            </w:pPr>
          </w:p>
        </w:tc>
        <w:tc>
          <w:tcPr>
            <w:tcW w:w="5594" w:type="dxa"/>
            <w:noWrap w:val="0"/>
            <w:vAlign w:val="top"/>
          </w:tcPr>
          <w:p w14:paraId="3695E636">
            <w:pPr>
              <w:widowControl w:val="0"/>
              <w:jc w:val="both"/>
              <w:rPr>
                <w:rFonts w:hint="eastAsia" w:ascii="宋体" w:hAnsi="宋体" w:eastAsia="宋体" w:cs="宋体"/>
                <w:b/>
                <w:kern w:val="2"/>
                <w:sz w:val="21"/>
                <w:szCs w:val="22"/>
                <w:lang w:eastAsia="zh-CN"/>
              </w:rPr>
            </w:pPr>
          </w:p>
        </w:tc>
      </w:tr>
      <w:tr w14:paraId="4522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74" w:type="dxa"/>
            <w:gridSpan w:val="3"/>
            <w:noWrap w:val="0"/>
            <w:vAlign w:val="top"/>
          </w:tcPr>
          <w:p w14:paraId="6547CAF6">
            <w:pPr>
              <w:widowControl w:val="0"/>
              <w:jc w:val="both"/>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（三）其他商务要求</w:t>
            </w:r>
          </w:p>
        </w:tc>
      </w:tr>
      <w:tr w14:paraId="2E85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2F48BFD8">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1</w:t>
            </w:r>
          </w:p>
        </w:tc>
        <w:tc>
          <w:tcPr>
            <w:tcW w:w="1620" w:type="dxa"/>
            <w:vMerge w:val="restart"/>
            <w:noWrap w:val="0"/>
            <w:vAlign w:val="center"/>
          </w:tcPr>
          <w:p w14:paraId="414EFCCB">
            <w:pPr>
              <w:widowControl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关于交货</w:t>
            </w:r>
          </w:p>
        </w:tc>
        <w:tc>
          <w:tcPr>
            <w:tcW w:w="5594" w:type="dxa"/>
            <w:noWrap w:val="0"/>
            <w:vAlign w:val="top"/>
          </w:tcPr>
          <w:p w14:paraId="621857D9">
            <w:pPr>
              <w:widowControl w:val="0"/>
              <w:jc w:val="both"/>
              <w:rPr>
                <w:rFonts w:hint="eastAsia" w:ascii="宋体" w:hAnsi="宋体" w:eastAsia="宋体" w:cs="宋体"/>
                <w:b/>
                <w:kern w:val="2"/>
                <w:sz w:val="21"/>
                <w:szCs w:val="22"/>
                <w:lang w:eastAsia="zh-CN"/>
              </w:rPr>
            </w:pPr>
            <w:r>
              <w:rPr>
                <w:rFonts w:hint="eastAsia" w:ascii="宋体" w:hAnsi="宋体" w:eastAsia="宋体" w:cs="宋体"/>
                <w:bCs/>
                <w:kern w:val="2"/>
                <w:sz w:val="21"/>
                <w:szCs w:val="22"/>
                <w:lang w:eastAsia="zh-CN"/>
              </w:rPr>
              <w:t>1.1</w:t>
            </w:r>
            <w:r>
              <w:rPr>
                <w:rFonts w:hint="eastAsia" w:ascii="宋体" w:hAnsi="宋体" w:eastAsia="宋体" w:cs="宋体"/>
                <w:kern w:val="2"/>
                <w:sz w:val="21"/>
                <w:szCs w:val="22"/>
                <w:lang w:eastAsia="zh-CN"/>
              </w:rPr>
              <w:t>★</w:t>
            </w:r>
            <w:r>
              <w:rPr>
                <w:rFonts w:hint="eastAsia" w:ascii="宋体" w:hAnsi="宋体" w:eastAsia="宋体" w:cs="宋体"/>
                <w:bCs/>
                <w:kern w:val="2"/>
                <w:sz w:val="21"/>
                <w:szCs w:val="22"/>
                <w:lang w:eastAsia="zh-CN"/>
              </w:rPr>
              <w:t>签订合同后</w:t>
            </w:r>
            <w:r>
              <w:rPr>
                <w:rFonts w:hint="eastAsia" w:ascii="宋体" w:hAnsi="宋体" w:eastAsia="宋体" w:cs="宋体"/>
                <w:bCs/>
                <w:kern w:val="2"/>
                <w:sz w:val="21"/>
                <w:szCs w:val="22"/>
                <w:u w:val="single"/>
                <w:lang w:eastAsia="zh-CN"/>
              </w:rPr>
              <w:t>20</w:t>
            </w:r>
            <w:r>
              <w:rPr>
                <w:rFonts w:hint="eastAsia" w:ascii="宋体" w:hAnsi="宋体" w:eastAsia="宋体" w:cs="宋体"/>
                <w:bCs/>
                <w:kern w:val="2"/>
                <w:sz w:val="21"/>
                <w:szCs w:val="22"/>
                <w:lang w:eastAsia="zh-CN"/>
              </w:rPr>
              <w:t>天（日历日）内。</w:t>
            </w:r>
          </w:p>
        </w:tc>
      </w:tr>
      <w:tr w14:paraId="5BBA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noWrap w:val="0"/>
            <w:vAlign w:val="center"/>
          </w:tcPr>
          <w:p w14:paraId="75D5A264">
            <w:pPr>
              <w:widowControl w:val="0"/>
              <w:jc w:val="center"/>
              <w:rPr>
                <w:rFonts w:hint="eastAsia" w:ascii="宋体" w:hAnsi="宋体" w:eastAsia="宋体" w:cs="宋体"/>
                <w:b/>
                <w:kern w:val="2"/>
                <w:sz w:val="21"/>
                <w:szCs w:val="22"/>
                <w:lang w:eastAsia="zh-CN"/>
              </w:rPr>
            </w:pPr>
          </w:p>
        </w:tc>
        <w:tc>
          <w:tcPr>
            <w:tcW w:w="1620" w:type="dxa"/>
            <w:vMerge w:val="continue"/>
            <w:noWrap w:val="0"/>
            <w:vAlign w:val="center"/>
          </w:tcPr>
          <w:p w14:paraId="7D8117E0">
            <w:pPr>
              <w:widowControl w:val="0"/>
              <w:jc w:val="center"/>
              <w:rPr>
                <w:rFonts w:hint="eastAsia" w:ascii="宋体" w:hAnsi="宋体" w:eastAsia="宋体" w:cs="宋体"/>
                <w:kern w:val="2"/>
                <w:sz w:val="21"/>
                <w:szCs w:val="22"/>
                <w:lang w:eastAsia="zh-CN"/>
              </w:rPr>
            </w:pPr>
          </w:p>
        </w:tc>
        <w:tc>
          <w:tcPr>
            <w:tcW w:w="5594" w:type="dxa"/>
            <w:noWrap w:val="0"/>
            <w:vAlign w:val="top"/>
          </w:tcPr>
          <w:p w14:paraId="539DA587">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1.2响应供应商必须承担的设备运输、安装调试、验收检测和提供设备操作说明书、图纸等其他类似的义务。</w:t>
            </w:r>
          </w:p>
        </w:tc>
      </w:tr>
      <w:tr w14:paraId="2E48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7D00EADA">
            <w:pPr>
              <w:widowControl w:val="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2</w:t>
            </w:r>
          </w:p>
        </w:tc>
        <w:tc>
          <w:tcPr>
            <w:tcW w:w="1620" w:type="dxa"/>
            <w:vMerge w:val="restart"/>
            <w:noWrap w:val="0"/>
            <w:vAlign w:val="center"/>
          </w:tcPr>
          <w:p w14:paraId="7965DEAD">
            <w:pPr>
              <w:widowControl w:val="0"/>
              <w:jc w:val="center"/>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关于验收</w:t>
            </w:r>
          </w:p>
        </w:tc>
        <w:tc>
          <w:tcPr>
            <w:tcW w:w="5594" w:type="dxa"/>
            <w:noWrap w:val="0"/>
            <w:vAlign w:val="top"/>
          </w:tcPr>
          <w:p w14:paraId="2AAC2584">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2.1响应供应商货物经过双方检验认可后，签署验收报告，产品保修期自验收合格之日起算，由响应供应商提供产品保修文件。</w:t>
            </w:r>
          </w:p>
        </w:tc>
      </w:tr>
      <w:tr w14:paraId="09CB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177D0C07">
            <w:pPr>
              <w:widowControl w:val="0"/>
              <w:jc w:val="center"/>
              <w:rPr>
                <w:rFonts w:hint="eastAsia" w:ascii="宋体" w:hAnsi="宋体" w:eastAsia="宋体" w:cs="宋体"/>
                <w:b/>
                <w:kern w:val="2"/>
                <w:sz w:val="21"/>
                <w:szCs w:val="22"/>
                <w:lang w:eastAsia="zh-CN"/>
              </w:rPr>
            </w:pPr>
          </w:p>
        </w:tc>
        <w:tc>
          <w:tcPr>
            <w:tcW w:w="1620" w:type="dxa"/>
            <w:vMerge w:val="continue"/>
            <w:noWrap w:val="0"/>
            <w:vAlign w:val="top"/>
          </w:tcPr>
          <w:p w14:paraId="1FAFFCAD">
            <w:pPr>
              <w:widowControl w:val="0"/>
              <w:jc w:val="both"/>
              <w:rPr>
                <w:rFonts w:hint="eastAsia" w:ascii="宋体" w:hAnsi="宋体" w:eastAsia="宋体" w:cs="宋体"/>
                <w:b/>
                <w:kern w:val="2"/>
                <w:sz w:val="21"/>
                <w:szCs w:val="22"/>
                <w:lang w:eastAsia="zh-CN"/>
              </w:rPr>
            </w:pPr>
          </w:p>
        </w:tc>
        <w:tc>
          <w:tcPr>
            <w:tcW w:w="5594" w:type="dxa"/>
            <w:noWrap w:val="0"/>
            <w:vAlign w:val="top"/>
          </w:tcPr>
          <w:p w14:paraId="768AABB2">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2.2当满足以下条件时，采购人才向中标供应商签发货物验收报告：</w:t>
            </w:r>
          </w:p>
          <w:p w14:paraId="02E6426E">
            <w:pPr>
              <w:widowControl w:val="0"/>
              <w:tabs>
                <w:tab w:val="left" w:pos="1260"/>
              </w:tabs>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a、中标供应商已按照合同规定提供了全部产品及完整的技术资料。</w:t>
            </w:r>
          </w:p>
          <w:p w14:paraId="1FA8BACB">
            <w:pPr>
              <w:widowControl w:val="0"/>
              <w:tabs>
                <w:tab w:val="left" w:pos="1260"/>
              </w:tabs>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b、货物符合采购文件技术规格书的要求，性能满足要求。</w:t>
            </w:r>
          </w:p>
          <w:p w14:paraId="7417B4D2">
            <w:pPr>
              <w:widowControl w:val="0"/>
              <w:tabs>
                <w:tab w:val="left" w:pos="1260"/>
              </w:tabs>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c、货物具备产品合格证。</w:t>
            </w:r>
          </w:p>
        </w:tc>
      </w:tr>
      <w:tr w14:paraId="0324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1E7F39FF">
            <w:pPr>
              <w:widowControl w:val="0"/>
              <w:jc w:val="center"/>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3</w:t>
            </w:r>
          </w:p>
        </w:tc>
        <w:tc>
          <w:tcPr>
            <w:tcW w:w="1620" w:type="dxa"/>
            <w:vMerge w:val="restart"/>
            <w:noWrap w:val="0"/>
            <w:vAlign w:val="center"/>
          </w:tcPr>
          <w:p w14:paraId="66446DCC">
            <w:pPr>
              <w:widowControl w:val="0"/>
              <w:jc w:val="center"/>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违约责任</w:t>
            </w:r>
          </w:p>
        </w:tc>
        <w:tc>
          <w:tcPr>
            <w:tcW w:w="5594" w:type="dxa"/>
            <w:noWrap w:val="0"/>
            <w:vAlign w:val="top"/>
          </w:tcPr>
          <w:p w14:paraId="060E8B28">
            <w:pPr>
              <w:widowControl w:val="0"/>
              <w:jc w:val="both"/>
              <w:rPr>
                <w:rFonts w:hint="eastAsia" w:ascii="宋体" w:hAnsi="宋体" w:eastAsia="宋体" w:cs="宋体"/>
                <w:bCs/>
                <w:kern w:val="2"/>
                <w:sz w:val="21"/>
                <w:szCs w:val="22"/>
                <w:lang w:eastAsia="zh-CN"/>
              </w:rPr>
            </w:pPr>
            <w:r>
              <w:rPr>
                <w:rFonts w:hint="eastAsia" w:ascii="宋体" w:hAnsi="宋体" w:eastAsia="宋体" w:cs="宋体"/>
                <w:kern w:val="2"/>
                <w:sz w:val="21"/>
                <w:szCs w:val="22"/>
                <w:lang w:eastAsia="zh-CN"/>
              </w:rPr>
              <w:t>3.1如中标供应商未按照投标文件中承诺的时间交货或提供服务，中标供应商应承担延期交货和延期服务的违约责任，并赔偿采购人因此造成的实际经济损失，采购人有权终止合同。</w:t>
            </w:r>
          </w:p>
        </w:tc>
      </w:tr>
      <w:tr w14:paraId="5E0F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50D2E77D">
            <w:pPr>
              <w:widowControl w:val="0"/>
              <w:jc w:val="center"/>
              <w:rPr>
                <w:rFonts w:hint="eastAsia" w:ascii="宋体" w:hAnsi="宋体" w:eastAsia="宋体" w:cs="宋体"/>
                <w:bCs/>
                <w:kern w:val="2"/>
                <w:sz w:val="21"/>
                <w:szCs w:val="22"/>
                <w:lang w:eastAsia="zh-CN"/>
              </w:rPr>
            </w:pPr>
          </w:p>
        </w:tc>
        <w:tc>
          <w:tcPr>
            <w:tcW w:w="1620" w:type="dxa"/>
            <w:vMerge w:val="continue"/>
            <w:noWrap w:val="0"/>
            <w:vAlign w:val="center"/>
          </w:tcPr>
          <w:p w14:paraId="63EF1BBA">
            <w:pPr>
              <w:widowControl w:val="0"/>
              <w:jc w:val="center"/>
              <w:rPr>
                <w:rFonts w:hint="eastAsia" w:ascii="宋体" w:hAnsi="宋体" w:eastAsia="宋体" w:cs="宋体"/>
                <w:bCs/>
                <w:kern w:val="2"/>
                <w:sz w:val="21"/>
                <w:szCs w:val="22"/>
                <w:lang w:eastAsia="zh-CN"/>
              </w:rPr>
            </w:pPr>
          </w:p>
        </w:tc>
        <w:tc>
          <w:tcPr>
            <w:tcW w:w="5594" w:type="dxa"/>
            <w:noWrap w:val="0"/>
            <w:vAlign w:val="top"/>
          </w:tcPr>
          <w:p w14:paraId="5ED06B2B">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 xml:space="preserve">3.2中标供应商所交设备的品种、型号、规格、质量、功能、技术参数等方面不能实质性满足采购文件要求的，采购人有权拒绝收货，中标供应商向采购人偿付项目采购金额【15】% （10%以上20%以下）的违约金并采取更换、补足等补救措施，致使逾期交付的，还应承担逾期交付的违约责任。 </w:t>
            </w:r>
          </w:p>
        </w:tc>
      </w:tr>
      <w:tr w14:paraId="00A2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038ED7C7">
            <w:pPr>
              <w:widowControl w:val="0"/>
              <w:jc w:val="center"/>
              <w:rPr>
                <w:rFonts w:hint="eastAsia" w:ascii="宋体" w:hAnsi="宋体" w:eastAsia="宋体" w:cs="宋体"/>
                <w:bCs/>
                <w:kern w:val="2"/>
                <w:sz w:val="21"/>
                <w:szCs w:val="22"/>
                <w:lang w:eastAsia="zh-CN"/>
              </w:rPr>
            </w:pPr>
          </w:p>
        </w:tc>
        <w:tc>
          <w:tcPr>
            <w:tcW w:w="1620" w:type="dxa"/>
            <w:vMerge w:val="continue"/>
            <w:noWrap w:val="0"/>
            <w:vAlign w:val="center"/>
          </w:tcPr>
          <w:p w14:paraId="241C4052">
            <w:pPr>
              <w:widowControl w:val="0"/>
              <w:jc w:val="center"/>
              <w:rPr>
                <w:rFonts w:hint="eastAsia" w:ascii="宋体" w:hAnsi="宋体" w:eastAsia="宋体" w:cs="宋体"/>
                <w:bCs/>
                <w:kern w:val="2"/>
                <w:sz w:val="21"/>
                <w:szCs w:val="22"/>
                <w:lang w:eastAsia="zh-CN"/>
              </w:rPr>
            </w:pPr>
          </w:p>
        </w:tc>
        <w:tc>
          <w:tcPr>
            <w:tcW w:w="5594" w:type="dxa"/>
            <w:noWrap w:val="0"/>
            <w:vAlign w:val="top"/>
          </w:tcPr>
          <w:p w14:paraId="595B90C2">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3.3中标供应商不能交付设备的，中标供应商向采购人偿付项目采购金额【15】%（10%以上20%以下）的违约金。</w:t>
            </w:r>
          </w:p>
        </w:tc>
      </w:tr>
      <w:tr w14:paraId="0ACC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61254F0A">
            <w:pPr>
              <w:widowControl w:val="0"/>
              <w:jc w:val="center"/>
              <w:rPr>
                <w:rFonts w:hint="eastAsia" w:ascii="宋体" w:hAnsi="宋体" w:eastAsia="宋体" w:cs="宋体"/>
                <w:bCs/>
                <w:kern w:val="2"/>
                <w:sz w:val="21"/>
                <w:szCs w:val="22"/>
                <w:lang w:eastAsia="zh-CN"/>
              </w:rPr>
            </w:pPr>
          </w:p>
        </w:tc>
        <w:tc>
          <w:tcPr>
            <w:tcW w:w="1620" w:type="dxa"/>
            <w:vMerge w:val="continue"/>
            <w:noWrap w:val="0"/>
            <w:vAlign w:val="top"/>
          </w:tcPr>
          <w:p w14:paraId="36BB237D">
            <w:pPr>
              <w:widowControl w:val="0"/>
              <w:jc w:val="both"/>
              <w:rPr>
                <w:rFonts w:hint="eastAsia" w:ascii="宋体" w:hAnsi="宋体" w:eastAsia="宋体" w:cs="宋体"/>
                <w:bCs/>
                <w:kern w:val="2"/>
                <w:sz w:val="21"/>
                <w:szCs w:val="22"/>
                <w:lang w:eastAsia="zh-CN"/>
              </w:rPr>
            </w:pPr>
          </w:p>
        </w:tc>
        <w:tc>
          <w:tcPr>
            <w:tcW w:w="5594" w:type="dxa"/>
            <w:noWrap w:val="0"/>
            <w:vAlign w:val="top"/>
          </w:tcPr>
          <w:p w14:paraId="531C1AFF">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3.4中标供应商逾期交付货物的，每逾期1天，中标供应商向采购人偿付逾期交货部分货款总额的【3】‰（1‰以上5‰以下）的违约金。如中标供应商逾期交货达</w:t>
            </w:r>
            <w:r>
              <w:rPr>
                <w:rFonts w:hint="eastAsia" w:ascii="宋体" w:hAnsi="宋体" w:eastAsia="宋体" w:cs="宋体"/>
                <w:bCs/>
                <w:kern w:val="2"/>
                <w:sz w:val="21"/>
                <w:szCs w:val="22"/>
                <w:u w:val="single"/>
                <w:lang w:eastAsia="zh-CN"/>
              </w:rPr>
              <w:t xml:space="preserve">  3 </w:t>
            </w:r>
            <w:r>
              <w:rPr>
                <w:rFonts w:hint="eastAsia" w:ascii="宋体" w:hAnsi="宋体" w:eastAsia="宋体" w:cs="宋体"/>
                <w:bCs/>
                <w:kern w:val="2"/>
                <w:sz w:val="21"/>
                <w:szCs w:val="22"/>
                <w:lang w:eastAsia="zh-CN"/>
              </w:rPr>
              <w:t>天，采购人有权解除合同。</w:t>
            </w:r>
          </w:p>
        </w:tc>
      </w:tr>
      <w:tr w14:paraId="78BF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0F4ECA35">
            <w:pPr>
              <w:widowControl w:val="0"/>
              <w:jc w:val="center"/>
              <w:rPr>
                <w:rFonts w:hint="eastAsia" w:ascii="宋体" w:hAnsi="宋体" w:eastAsia="宋体" w:cs="宋体"/>
                <w:bCs/>
                <w:kern w:val="2"/>
                <w:sz w:val="21"/>
                <w:szCs w:val="22"/>
                <w:lang w:eastAsia="zh-CN"/>
              </w:rPr>
            </w:pPr>
          </w:p>
        </w:tc>
        <w:tc>
          <w:tcPr>
            <w:tcW w:w="1620" w:type="dxa"/>
            <w:vMerge w:val="continue"/>
            <w:noWrap w:val="0"/>
            <w:vAlign w:val="top"/>
          </w:tcPr>
          <w:p w14:paraId="47A85485">
            <w:pPr>
              <w:widowControl w:val="0"/>
              <w:jc w:val="both"/>
              <w:rPr>
                <w:rFonts w:hint="eastAsia" w:ascii="宋体" w:hAnsi="宋体" w:eastAsia="宋体" w:cs="宋体"/>
                <w:bCs/>
                <w:kern w:val="2"/>
                <w:sz w:val="21"/>
                <w:szCs w:val="22"/>
                <w:lang w:eastAsia="zh-CN"/>
              </w:rPr>
            </w:pPr>
          </w:p>
        </w:tc>
        <w:tc>
          <w:tcPr>
            <w:tcW w:w="5594" w:type="dxa"/>
            <w:noWrap w:val="0"/>
            <w:vAlign w:val="top"/>
          </w:tcPr>
          <w:p w14:paraId="2236F948">
            <w:pPr>
              <w:widowControl w:val="0"/>
              <w:jc w:val="both"/>
              <w:rPr>
                <w:rFonts w:hint="eastAsia" w:ascii="宋体" w:hAnsi="宋体" w:eastAsia="宋体" w:cs="宋体"/>
                <w:b/>
                <w:kern w:val="2"/>
                <w:sz w:val="21"/>
                <w:szCs w:val="22"/>
                <w:lang w:eastAsia="zh-CN"/>
              </w:rPr>
            </w:pPr>
            <w:r>
              <w:rPr>
                <w:rFonts w:hint="eastAsia" w:ascii="宋体" w:hAnsi="宋体" w:eastAsia="宋体" w:cs="宋体"/>
                <w:bCs/>
                <w:kern w:val="2"/>
                <w:sz w:val="21"/>
                <w:szCs w:val="22"/>
                <w:lang w:eastAsia="zh-CN"/>
              </w:rPr>
              <w:t>3.5在中标供应商承诺的或国家规定的质量保证期内（取两者中最长的期限），如经中标供应商两次维修或更换，货物仍不能达到采购文件要求及投标文件承诺的质量标准，采购人有权退货，中标供应商应退回全部货款并赔偿采购人因此遭受的损失。</w:t>
            </w:r>
          </w:p>
        </w:tc>
      </w:tr>
      <w:tr w14:paraId="48D5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2FB89A6B">
            <w:pPr>
              <w:widowControl w:val="0"/>
              <w:jc w:val="center"/>
              <w:rPr>
                <w:rFonts w:hint="eastAsia" w:ascii="宋体" w:hAnsi="宋体" w:eastAsia="宋体" w:cs="宋体"/>
                <w:bCs/>
                <w:kern w:val="2"/>
                <w:sz w:val="21"/>
                <w:szCs w:val="22"/>
                <w:lang w:eastAsia="zh-CN"/>
              </w:rPr>
            </w:pPr>
          </w:p>
        </w:tc>
        <w:tc>
          <w:tcPr>
            <w:tcW w:w="1620" w:type="dxa"/>
            <w:vMerge w:val="continue"/>
            <w:noWrap w:val="0"/>
            <w:vAlign w:val="top"/>
          </w:tcPr>
          <w:p w14:paraId="29955C09">
            <w:pPr>
              <w:widowControl w:val="0"/>
              <w:jc w:val="both"/>
              <w:rPr>
                <w:rFonts w:hint="eastAsia" w:ascii="宋体" w:hAnsi="宋体" w:eastAsia="宋体" w:cs="宋体"/>
                <w:bCs/>
                <w:kern w:val="2"/>
                <w:sz w:val="21"/>
                <w:szCs w:val="22"/>
                <w:lang w:eastAsia="zh-CN"/>
              </w:rPr>
            </w:pPr>
          </w:p>
        </w:tc>
        <w:tc>
          <w:tcPr>
            <w:tcW w:w="5594" w:type="dxa"/>
            <w:noWrap w:val="0"/>
            <w:vAlign w:val="top"/>
          </w:tcPr>
          <w:p w14:paraId="26119900">
            <w:pPr>
              <w:widowControl w:val="0"/>
              <w:jc w:val="both"/>
              <w:rPr>
                <w:rFonts w:hint="eastAsia" w:ascii="宋体" w:hAnsi="宋体" w:eastAsia="宋体" w:cs="宋体"/>
                <w:b/>
                <w:kern w:val="2"/>
                <w:sz w:val="21"/>
                <w:szCs w:val="22"/>
                <w:lang w:eastAsia="zh-CN"/>
              </w:rPr>
            </w:pPr>
            <w:r>
              <w:rPr>
                <w:rFonts w:hint="eastAsia" w:ascii="宋体" w:hAnsi="宋体" w:eastAsia="宋体" w:cs="宋体"/>
                <w:bCs/>
                <w:kern w:val="2"/>
                <w:sz w:val="21"/>
                <w:szCs w:val="22"/>
                <w:lang w:eastAsia="zh-CN"/>
              </w:rPr>
              <w:t>3.6中标供应商在承担上述一项或多项违约责任后，仍应继续履行合同规定的义务（采购人解除合同的除外）。采购人未能及时追究中标供应商的任何一项违约责任并不表明采购人放弃追究中标供应商该项或其他违约责任。</w:t>
            </w:r>
          </w:p>
        </w:tc>
      </w:tr>
      <w:tr w14:paraId="6A31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5192D50C">
            <w:pPr>
              <w:widowControl w:val="0"/>
              <w:jc w:val="center"/>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4</w:t>
            </w:r>
          </w:p>
        </w:tc>
        <w:tc>
          <w:tcPr>
            <w:tcW w:w="1620" w:type="dxa"/>
            <w:noWrap w:val="0"/>
            <w:vAlign w:val="top"/>
          </w:tcPr>
          <w:p w14:paraId="5044EAFF">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其他</w:t>
            </w:r>
          </w:p>
        </w:tc>
        <w:tc>
          <w:tcPr>
            <w:tcW w:w="5594" w:type="dxa"/>
            <w:noWrap w:val="0"/>
            <w:vAlign w:val="top"/>
          </w:tcPr>
          <w:p w14:paraId="4B17BB60">
            <w:pPr>
              <w:widowControl w:val="0"/>
              <w:jc w:val="both"/>
              <w:rPr>
                <w:rFonts w:hint="eastAsia" w:ascii="宋体" w:hAnsi="宋体" w:eastAsia="宋体" w:cs="宋体"/>
                <w:bCs/>
                <w:kern w:val="2"/>
                <w:sz w:val="21"/>
                <w:szCs w:val="22"/>
                <w:lang w:eastAsia="zh-CN"/>
              </w:rPr>
            </w:pPr>
            <w:r>
              <w:rPr>
                <w:rFonts w:hint="eastAsia" w:ascii="宋体" w:hAnsi="宋体" w:eastAsia="宋体" w:cs="宋体"/>
                <w:bCs/>
                <w:kern w:val="2"/>
                <w:sz w:val="21"/>
                <w:szCs w:val="22"/>
                <w:lang w:eastAsia="zh-CN"/>
              </w:rPr>
              <w:t>响应供应商应按其投标文件中的承诺，进行其他售后服务工作。</w:t>
            </w:r>
          </w:p>
        </w:tc>
      </w:tr>
    </w:tbl>
    <w:p w14:paraId="1B627BA7">
      <w:pPr>
        <w:widowControl w:val="0"/>
        <w:ind w:firstLine="422" w:firstLineChars="200"/>
        <w:jc w:val="both"/>
        <w:rPr>
          <w:rFonts w:ascii="Calibri" w:hAnsi="Calibri" w:eastAsia="宋体"/>
          <w:b/>
          <w:kern w:val="2"/>
          <w:sz w:val="21"/>
          <w:szCs w:val="21"/>
          <w:lang w:eastAsia="zh-CN"/>
        </w:rPr>
      </w:pPr>
    </w:p>
    <w:p w14:paraId="6F77DF7E">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1"/>
          <w:lang w:eastAsia="zh-CN"/>
        </w:rPr>
        <w:t>说明：</w:t>
      </w:r>
      <w:r>
        <w:rPr>
          <w:rFonts w:ascii="Calibri" w:hAnsi="Calibri" w:eastAsia="宋体" w:cstheme="minorBidi"/>
          <w:b/>
          <w:kern w:val="2"/>
          <w:sz w:val="21"/>
          <w:szCs w:val="22"/>
          <w:lang w:eastAsia="zh-CN"/>
        </w:rPr>
        <w:t>1</w:t>
      </w:r>
      <w:r>
        <w:rPr>
          <w:rFonts w:hint="eastAsia" w:ascii="Calibri" w:hAnsi="Calibri" w:eastAsia="宋体" w:cstheme="minorBidi"/>
          <w:b/>
          <w:kern w:val="2"/>
          <w:sz w:val="21"/>
          <w:szCs w:val="22"/>
          <w:lang w:eastAsia="zh-CN"/>
        </w:rPr>
        <w:t>、评分时，如对一项招标商务要求（以划分框为准）中的内容存在两处（或以上）负偏离的，在评分时只作一项负偏离扣分。</w:t>
      </w:r>
    </w:p>
    <w:p w14:paraId="7B027448">
      <w:pPr>
        <w:widowControl w:val="0"/>
        <w:ind w:firstLine="422" w:firstLineChars="200"/>
        <w:jc w:val="both"/>
        <w:rPr>
          <w:rFonts w:ascii="Calibri" w:hAnsi="Calibri" w:eastAsia="宋体"/>
          <w:b/>
          <w:kern w:val="2"/>
          <w:sz w:val="21"/>
          <w:szCs w:val="21"/>
          <w:lang w:eastAsia="zh-CN"/>
        </w:rPr>
      </w:pPr>
      <w:r>
        <w:rPr>
          <w:rFonts w:ascii="Calibri" w:hAnsi="Calibri" w:eastAsia="宋体" w:cstheme="minorBidi"/>
          <w:b/>
          <w:kern w:val="2"/>
          <w:sz w:val="21"/>
          <w:szCs w:val="21"/>
          <w:lang w:eastAsia="zh-CN"/>
        </w:rPr>
        <w:t>2</w:t>
      </w:r>
      <w:r>
        <w:rPr>
          <w:rFonts w:hint="eastAsia" w:ascii="Calibri" w:hAnsi="Calibri" w:eastAsia="宋体" w:cstheme="minorBidi"/>
          <w:b/>
          <w:kern w:val="2"/>
          <w:sz w:val="21"/>
          <w:szCs w:val="21"/>
          <w:lang w:eastAsia="zh-CN"/>
        </w:rPr>
        <w:t>、带★号条款为不可偏离条款，不作为评分准则中的评分内容，如未响应或出现负偏离的，将作投标无效处理；带“</w:t>
      </w:r>
      <w:r>
        <w:rPr>
          <w:rFonts w:ascii="Calibri" w:hAnsi="Calibri" w:eastAsia="宋体" w:cstheme="minorBidi"/>
          <w:kern w:val="2"/>
          <w:sz w:val="21"/>
          <w:szCs w:val="22"/>
          <w:lang w:eastAsia="zh-CN"/>
        </w:rPr>
        <w:t>▲</w:t>
      </w:r>
      <w:r>
        <w:rPr>
          <w:rFonts w:hint="eastAsia" w:ascii="Calibri" w:hAnsi="Calibri" w:eastAsia="宋体" w:cstheme="minorBidi"/>
          <w:b/>
          <w:kern w:val="2"/>
          <w:sz w:val="21"/>
          <w:szCs w:val="21"/>
          <w:lang w:eastAsia="zh-CN"/>
        </w:rPr>
        <w:t>”指标项为重要参数，负偏离时依相关评分准则内容作重点扣分处理。</w:t>
      </w:r>
    </w:p>
    <w:p w14:paraId="1C80B9D3">
      <w:pPr>
        <w:keepNext/>
        <w:keepLines/>
        <w:widowControl w:val="0"/>
        <w:spacing w:before="156" w:beforeLines="50" w:after="156" w:afterLines="50" w:line="416" w:lineRule="auto"/>
        <w:jc w:val="both"/>
        <w:outlineLvl w:val="2"/>
        <w:rPr>
          <w:rFonts w:hint="eastAsia" w:ascii="宋体" w:hAnsi="宋体" w:eastAsia="黑体"/>
          <w:b/>
          <w:bCs/>
          <w:kern w:val="44"/>
          <w:sz w:val="28"/>
          <w:szCs w:val="44"/>
          <w:lang w:eastAsia="zh-CN"/>
        </w:rPr>
      </w:pPr>
      <w:r>
        <w:rPr>
          <w:rFonts w:hint="eastAsia" w:ascii="宋体" w:hAnsi="宋体" w:eastAsia="黑体"/>
          <w:b/>
          <w:bCs/>
          <w:kern w:val="44"/>
          <w:sz w:val="28"/>
          <w:szCs w:val="44"/>
          <w:lang w:eastAsia="zh-CN"/>
        </w:rPr>
        <w:t>付款方式</w:t>
      </w:r>
    </w:p>
    <w:p w14:paraId="17C51E67">
      <w:pPr>
        <w:widowControl/>
        <w:jc w:val="left"/>
        <w:rPr>
          <w:rFonts w:hint="eastAsia" w:ascii="Arial" w:hAnsi="Arial" w:eastAsia="宋体"/>
          <w:kern w:val="2"/>
          <w:sz w:val="21"/>
          <w:lang w:eastAsia="zh-CN"/>
        </w:rPr>
      </w:pPr>
      <w:r>
        <w:rPr>
          <w:rFonts w:hint="eastAsia" w:ascii="Arial" w:hAnsi="Arial" w:eastAsia="宋体"/>
          <w:kern w:val="2"/>
          <w:sz w:val="21"/>
          <w:lang w:eastAsia="zh-CN"/>
        </w:rPr>
        <w:t>1、合同签订后  15个工作日内，采购人向中标供应商支付合同总价【30】%的款项；</w:t>
      </w:r>
    </w:p>
    <w:p w14:paraId="5C2A8712">
      <w:pPr>
        <w:widowControl/>
        <w:jc w:val="left"/>
        <w:rPr>
          <w:rFonts w:hint="eastAsia" w:ascii="Arial" w:hAnsi="Arial" w:eastAsia="宋体"/>
          <w:kern w:val="2"/>
          <w:sz w:val="21"/>
          <w:lang w:eastAsia="zh-CN"/>
        </w:rPr>
      </w:pPr>
      <w:r>
        <w:rPr>
          <w:rFonts w:hint="eastAsia" w:ascii="Arial" w:hAnsi="Arial" w:eastAsia="宋体"/>
          <w:kern w:val="2"/>
          <w:sz w:val="21"/>
          <w:lang w:eastAsia="zh-CN"/>
        </w:rPr>
        <w:t>2、全部货物送到采购人指定地点、完成安装并验收合格后  5  个工作日内，采购人向中标供应商支付合同总价【70】%的款项；</w:t>
      </w:r>
    </w:p>
    <w:p w14:paraId="28D22966">
      <w:pPr>
        <w:widowControl/>
        <w:jc w:val="left"/>
        <w:rPr>
          <w:rFonts w:ascii="Arial" w:hAnsi="Arial" w:eastAsia="宋体"/>
          <w:kern w:val="2"/>
          <w:sz w:val="21"/>
          <w:lang w:eastAsia="zh-CN"/>
        </w:rPr>
      </w:pPr>
      <w:r>
        <w:rPr>
          <w:rFonts w:hint="eastAsia" w:ascii="Arial" w:hAnsi="Arial" w:eastAsia="宋体"/>
          <w:kern w:val="2"/>
          <w:sz w:val="21"/>
          <w:lang w:eastAsia="zh-CN"/>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77B51431">
      <w:pPr>
        <w:keepNext/>
        <w:keepLines/>
        <w:widowControl w:val="0"/>
        <w:tabs>
          <w:tab w:val="left" w:pos="1680"/>
        </w:tabs>
        <w:spacing w:before="260" w:after="78" w:afterLines="25"/>
        <w:jc w:val="center"/>
        <w:outlineLvl w:val="2"/>
        <w:rPr>
          <w:rFonts w:ascii="Arial" w:hAnsi="Arial" w:eastAsia="宋体"/>
          <w:b/>
          <w:bCs/>
          <w:kern w:val="2"/>
          <w:sz w:val="32"/>
          <w:szCs w:val="32"/>
          <w:lang w:eastAsia="zh-CN"/>
        </w:rPr>
      </w:pPr>
      <w:r>
        <w:rPr>
          <w:rFonts w:hint="eastAsia" w:ascii="Arial" w:hAnsi="Arial" w:eastAsia="宋体"/>
          <w:b/>
          <w:bCs/>
          <w:kern w:val="2"/>
          <w:sz w:val="32"/>
          <w:szCs w:val="32"/>
          <w:lang w:eastAsia="zh-CN"/>
        </w:rPr>
        <w:t>五、技术要求部分</w:t>
      </w:r>
    </w:p>
    <w:tbl>
      <w:tblPr>
        <w:tblStyle w:val="13"/>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021"/>
        <w:gridCol w:w="6247"/>
      </w:tblGrid>
      <w:tr w14:paraId="05F7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74" w:type="dxa"/>
            <w:shd w:val="clear" w:color="000000" w:fill="D9D9D9"/>
            <w:noWrap w:val="0"/>
            <w:vAlign w:val="center"/>
          </w:tcPr>
          <w:p w14:paraId="31E298E5">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1973" w:type="dxa"/>
            <w:shd w:val="clear" w:color="000000" w:fill="D9D9D9"/>
            <w:noWrap w:val="0"/>
            <w:vAlign w:val="center"/>
          </w:tcPr>
          <w:p w14:paraId="6B318C0D">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名称</w:t>
            </w:r>
          </w:p>
        </w:tc>
        <w:tc>
          <w:tcPr>
            <w:tcW w:w="6095" w:type="dxa"/>
            <w:shd w:val="clear" w:color="000000" w:fill="D9D9D9"/>
            <w:noWrap w:val="0"/>
            <w:vAlign w:val="center"/>
          </w:tcPr>
          <w:p w14:paraId="118F20B0">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技术参数</w:t>
            </w:r>
          </w:p>
        </w:tc>
      </w:tr>
      <w:tr w14:paraId="3F2A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74" w:type="dxa"/>
            <w:vMerge w:val="restart"/>
            <w:shd w:val="clear" w:color="000000" w:fill="FFFFFF"/>
            <w:noWrap w:val="0"/>
            <w:vAlign w:val="center"/>
          </w:tcPr>
          <w:p w14:paraId="62B02C3A">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1 </w:t>
            </w:r>
          </w:p>
        </w:tc>
        <w:tc>
          <w:tcPr>
            <w:tcW w:w="1973" w:type="dxa"/>
            <w:vMerge w:val="restart"/>
            <w:noWrap/>
            <w:vAlign w:val="center"/>
          </w:tcPr>
          <w:p w14:paraId="7D1E2246">
            <w:pPr>
              <w:widowControl/>
              <w:jc w:val="center"/>
              <w:rPr>
                <w:rFonts w:hint="eastAsia" w:ascii="宋体" w:hAnsi="宋体" w:eastAsia="宋体" w:cs="宋体"/>
                <w:sz w:val="21"/>
                <w:szCs w:val="21"/>
                <w:lang w:eastAsia="zh-CN"/>
              </w:rPr>
            </w:pPr>
            <w:r>
              <w:rPr>
                <w:rFonts w:hint="eastAsia" w:ascii="宋体" w:hAnsi="宋体" w:eastAsia="宋体" w:cs="宋体"/>
                <w:kern w:val="2"/>
                <w:sz w:val="21"/>
                <w:szCs w:val="21"/>
                <w:lang w:eastAsia="zh-CN"/>
              </w:rPr>
              <w:t>图书管理系统(核心产品)</w:t>
            </w:r>
          </w:p>
        </w:tc>
        <w:tc>
          <w:tcPr>
            <w:tcW w:w="6095" w:type="dxa"/>
            <w:noWrap w:val="0"/>
            <w:vAlign w:val="center"/>
          </w:tcPr>
          <w:p w14:paraId="6FF75EEE">
            <w:pPr>
              <w:widowControl w:val="0"/>
              <w:jc w:val="both"/>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功能一：</w:t>
            </w:r>
            <w:r>
              <w:rPr>
                <w:rFonts w:hint="eastAsia" w:ascii="宋体" w:hAnsi="宋体" w:eastAsia="宋体" w:cs="宋体"/>
                <w:b/>
                <w:bCs/>
                <w:kern w:val="2"/>
                <w:sz w:val="21"/>
                <w:szCs w:val="21"/>
                <w:shd w:val="clear" w:color="auto" w:fill="FFFFFF"/>
                <w:lang w:val="zh-CN" w:eastAsia="zh-CN"/>
              </w:rPr>
              <w:t>采访</w:t>
            </w:r>
          </w:p>
        </w:tc>
      </w:tr>
      <w:tr w14:paraId="16B8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06551CC">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7B16148">
            <w:pPr>
              <w:widowControl/>
              <w:jc w:val="center"/>
              <w:rPr>
                <w:rFonts w:hint="eastAsia" w:ascii="宋体" w:hAnsi="宋体" w:eastAsia="宋体" w:cs="宋体"/>
                <w:sz w:val="21"/>
                <w:szCs w:val="21"/>
                <w:lang w:eastAsia="zh-CN"/>
              </w:rPr>
            </w:pPr>
          </w:p>
        </w:tc>
        <w:tc>
          <w:tcPr>
            <w:tcW w:w="6095" w:type="dxa"/>
            <w:noWrap w:val="0"/>
            <w:vAlign w:val="center"/>
          </w:tcPr>
          <w:p w14:paraId="43227425">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zh-CN" w:eastAsia="zh-CN"/>
              </w:rPr>
              <w:t>1.支持iso\excel格式的征订目录导入</w:t>
            </w:r>
          </w:p>
        </w:tc>
      </w:tr>
      <w:tr w14:paraId="2A81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2EA7899">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4CD386E5">
            <w:pPr>
              <w:widowControl/>
              <w:jc w:val="center"/>
              <w:rPr>
                <w:rFonts w:hint="eastAsia" w:ascii="宋体" w:hAnsi="宋体" w:eastAsia="宋体" w:cs="宋体"/>
                <w:sz w:val="21"/>
                <w:szCs w:val="21"/>
                <w:lang w:eastAsia="zh-CN"/>
              </w:rPr>
            </w:pPr>
          </w:p>
        </w:tc>
        <w:tc>
          <w:tcPr>
            <w:tcW w:w="6095" w:type="dxa"/>
            <w:noWrap w:val="0"/>
            <w:vAlign w:val="center"/>
          </w:tcPr>
          <w:p w14:paraId="60E6A28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kern w:val="2"/>
                <w:sz w:val="21"/>
                <w:szCs w:val="21"/>
                <w:lang w:val="zh-CN" w:eastAsia="zh-CN"/>
              </w:rPr>
              <w:t xml:space="preserve"> 支持根据馆配要求进行筛选符合馆藏要求的待订购图书</w:t>
            </w:r>
          </w:p>
        </w:tc>
      </w:tr>
      <w:tr w14:paraId="79E0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03412CD">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E41F007">
            <w:pPr>
              <w:widowControl/>
              <w:jc w:val="center"/>
              <w:rPr>
                <w:rFonts w:hint="eastAsia" w:ascii="宋体" w:hAnsi="宋体" w:eastAsia="宋体" w:cs="宋体"/>
                <w:sz w:val="21"/>
                <w:szCs w:val="21"/>
                <w:lang w:eastAsia="zh-CN"/>
              </w:rPr>
            </w:pPr>
          </w:p>
        </w:tc>
        <w:tc>
          <w:tcPr>
            <w:tcW w:w="6095" w:type="dxa"/>
            <w:noWrap w:val="0"/>
            <w:vAlign w:val="center"/>
          </w:tcPr>
          <w:p w14:paraId="7694F529">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3. </w:t>
            </w:r>
            <w:r>
              <w:rPr>
                <w:rFonts w:hint="eastAsia" w:ascii="宋体" w:hAnsi="宋体" w:eastAsia="宋体" w:cs="宋体"/>
                <w:kern w:val="2"/>
                <w:sz w:val="21"/>
                <w:szCs w:val="21"/>
                <w:lang w:val="zh-CN" w:eastAsia="zh-CN"/>
              </w:rPr>
              <w:t>支持实时查看图书封面，内容简介，作者简介、价格、版本、出版年月、主题词、摘要内容、分类号等</w:t>
            </w:r>
          </w:p>
        </w:tc>
      </w:tr>
      <w:tr w14:paraId="4269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18C136D">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3BCCCBF">
            <w:pPr>
              <w:widowControl/>
              <w:jc w:val="center"/>
              <w:rPr>
                <w:rFonts w:hint="eastAsia" w:ascii="宋体" w:hAnsi="宋体" w:eastAsia="宋体" w:cs="宋体"/>
                <w:sz w:val="21"/>
                <w:szCs w:val="21"/>
                <w:lang w:eastAsia="zh-CN"/>
              </w:rPr>
            </w:pPr>
          </w:p>
        </w:tc>
        <w:tc>
          <w:tcPr>
            <w:tcW w:w="6095" w:type="dxa"/>
            <w:noWrap w:val="0"/>
            <w:vAlign w:val="top"/>
          </w:tcPr>
          <w:p w14:paraId="737CF79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4.支持对馆藏、订单、已订购的图书进行查重提示说明，辅助采选馆员挑选。</w:t>
            </w:r>
          </w:p>
        </w:tc>
      </w:tr>
      <w:tr w14:paraId="664B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F9659ED">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A5EE0C2">
            <w:pPr>
              <w:widowControl/>
              <w:jc w:val="center"/>
              <w:rPr>
                <w:rFonts w:hint="eastAsia" w:ascii="宋体" w:hAnsi="宋体" w:eastAsia="宋体" w:cs="宋体"/>
                <w:sz w:val="21"/>
                <w:szCs w:val="21"/>
                <w:lang w:eastAsia="zh-CN"/>
              </w:rPr>
            </w:pPr>
          </w:p>
        </w:tc>
        <w:tc>
          <w:tcPr>
            <w:tcW w:w="6095" w:type="dxa"/>
            <w:noWrap w:val="0"/>
            <w:vAlign w:val="top"/>
          </w:tcPr>
          <w:p w14:paraId="54F1CDF2">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5.支持征订目录各字段内容按照各字段维度进行自由排序。</w:t>
            </w:r>
          </w:p>
        </w:tc>
      </w:tr>
      <w:tr w14:paraId="4E7C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FB2D179">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D75C969">
            <w:pPr>
              <w:widowControl/>
              <w:jc w:val="center"/>
              <w:rPr>
                <w:rFonts w:hint="eastAsia" w:ascii="宋体" w:hAnsi="宋体" w:eastAsia="宋体" w:cs="宋体"/>
                <w:sz w:val="21"/>
                <w:szCs w:val="21"/>
                <w:lang w:eastAsia="zh-CN"/>
              </w:rPr>
            </w:pPr>
          </w:p>
        </w:tc>
        <w:tc>
          <w:tcPr>
            <w:tcW w:w="6095" w:type="dxa"/>
            <w:noWrap w:val="0"/>
            <w:vAlign w:val="top"/>
          </w:tcPr>
          <w:p w14:paraId="78C0DAB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6.支持总负责人采选任务分配，多人共享征订目录采选模式。</w:t>
            </w:r>
          </w:p>
        </w:tc>
      </w:tr>
      <w:tr w14:paraId="741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317AC9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8518455">
            <w:pPr>
              <w:widowControl/>
              <w:jc w:val="center"/>
              <w:rPr>
                <w:rFonts w:hint="eastAsia" w:ascii="宋体" w:hAnsi="宋体" w:eastAsia="宋体" w:cs="宋体"/>
                <w:sz w:val="21"/>
                <w:szCs w:val="21"/>
                <w:lang w:eastAsia="zh-CN"/>
              </w:rPr>
            </w:pPr>
          </w:p>
        </w:tc>
        <w:tc>
          <w:tcPr>
            <w:tcW w:w="6095" w:type="dxa"/>
            <w:noWrap w:val="0"/>
            <w:vAlign w:val="top"/>
          </w:tcPr>
          <w:p w14:paraId="2CC85E10">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7.支持批量勾选的方式进行快速采选生产订单。</w:t>
            </w:r>
          </w:p>
        </w:tc>
      </w:tr>
      <w:tr w14:paraId="40CF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D0542E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0018F13">
            <w:pPr>
              <w:widowControl/>
              <w:jc w:val="center"/>
              <w:rPr>
                <w:rFonts w:hint="eastAsia" w:ascii="宋体" w:hAnsi="宋体" w:eastAsia="宋体" w:cs="宋体"/>
                <w:sz w:val="21"/>
                <w:szCs w:val="21"/>
                <w:lang w:eastAsia="zh-CN"/>
              </w:rPr>
            </w:pPr>
          </w:p>
        </w:tc>
        <w:tc>
          <w:tcPr>
            <w:tcW w:w="6095" w:type="dxa"/>
            <w:noWrap w:val="0"/>
            <w:vAlign w:val="top"/>
          </w:tcPr>
          <w:p w14:paraId="0A4CA88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8.支持图书验收时供应商、征订批次选择。</w:t>
            </w:r>
          </w:p>
        </w:tc>
      </w:tr>
      <w:tr w14:paraId="7832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C6FC3A3">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78083BEA">
            <w:pPr>
              <w:widowControl/>
              <w:jc w:val="center"/>
              <w:rPr>
                <w:rFonts w:hint="eastAsia" w:ascii="宋体" w:hAnsi="宋体" w:eastAsia="宋体" w:cs="宋体"/>
                <w:sz w:val="21"/>
                <w:szCs w:val="21"/>
                <w:lang w:eastAsia="zh-CN"/>
              </w:rPr>
            </w:pPr>
          </w:p>
        </w:tc>
        <w:tc>
          <w:tcPr>
            <w:tcW w:w="6095" w:type="dxa"/>
            <w:noWrap w:val="0"/>
            <w:vAlign w:val="top"/>
          </w:tcPr>
          <w:p w14:paraId="6C90A8E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9.支持馆内验收时，资产编号管理，自由设定资产编号的号码段及定义。</w:t>
            </w:r>
          </w:p>
        </w:tc>
      </w:tr>
      <w:tr w14:paraId="7E14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C1FAE05">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39299B61">
            <w:pPr>
              <w:widowControl/>
              <w:jc w:val="center"/>
              <w:rPr>
                <w:rFonts w:hint="eastAsia" w:ascii="宋体" w:hAnsi="宋体" w:eastAsia="宋体" w:cs="宋体"/>
                <w:sz w:val="21"/>
                <w:szCs w:val="21"/>
                <w:lang w:eastAsia="zh-CN"/>
              </w:rPr>
            </w:pPr>
          </w:p>
        </w:tc>
        <w:tc>
          <w:tcPr>
            <w:tcW w:w="6095" w:type="dxa"/>
            <w:noWrap w:val="0"/>
            <w:vAlign w:val="top"/>
          </w:tcPr>
          <w:p w14:paraId="3033411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10.支持对验收不合格的图书编辑‘退货原因’管理。</w:t>
            </w:r>
          </w:p>
        </w:tc>
      </w:tr>
      <w:tr w14:paraId="1935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A77A04D">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315ADC1F">
            <w:pPr>
              <w:widowControl/>
              <w:jc w:val="center"/>
              <w:rPr>
                <w:rFonts w:hint="eastAsia" w:ascii="宋体" w:hAnsi="宋体" w:eastAsia="宋体" w:cs="宋体"/>
                <w:sz w:val="21"/>
                <w:szCs w:val="21"/>
                <w:lang w:eastAsia="zh-CN"/>
              </w:rPr>
            </w:pPr>
          </w:p>
        </w:tc>
        <w:tc>
          <w:tcPr>
            <w:tcW w:w="6095" w:type="dxa"/>
            <w:noWrap w:val="0"/>
            <w:vAlign w:val="top"/>
          </w:tcPr>
          <w:p w14:paraId="77C58BF2">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11．支持验收完成后，按照验收批次进行统计验收图书册数、总价格、退货价格。</w:t>
            </w:r>
          </w:p>
        </w:tc>
      </w:tr>
      <w:tr w14:paraId="1374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874B23B">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4DFE256C">
            <w:pPr>
              <w:widowControl/>
              <w:jc w:val="center"/>
              <w:rPr>
                <w:rFonts w:hint="eastAsia" w:ascii="宋体" w:hAnsi="宋体" w:eastAsia="宋体" w:cs="宋体"/>
                <w:sz w:val="21"/>
                <w:szCs w:val="21"/>
                <w:lang w:eastAsia="zh-CN"/>
              </w:rPr>
            </w:pPr>
          </w:p>
        </w:tc>
        <w:tc>
          <w:tcPr>
            <w:tcW w:w="6095" w:type="dxa"/>
            <w:noWrap w:val="0"/>
            <w:vAlign w:val="top"/>
          </w:tcPr>
          <w:p w14:paraId="7C87072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12.支持验收图书时，接入扫描枪进行快速扫描验收。</w:t>
            </w:r>
          </w:p>
        </w:tc>
      </w:tr>
      <w:tr w14:paraId="4382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B9DA2B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4873905">
            <w:pPr>
              <w:widowControl/>
              <w:jc w:val="center"/>
              <w:rPr>
                <w:rFonts w:hint="eastAsia" w:ascii="宋体" w:hAnsi="宋体" w:eastAsia="宋体" w:cs="宋体"/>
                <w:sz w:val="21"/>
                <w:szCs w:val="21"/>
                <w:lang w:eastAsia="zh-CN"/>
              </w:rPr>
            </w:pPr>
          </w:p>
        </w:tc>
        <w:tc>
          <w:tcPr>
            <w:tcW w:w="6095" w:type="dxa"/>
            <w:noWrap w:val="0"/>
            <w:vAlign w:val="top"/>
          </w:tcPr>
          <w:p w14:paraId="2C5AFCA0">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13.支持按照验收批次或者单本图书提交进行送编工作。</w:t>
            </w:r>
          </w:p>
        </w:tc>
      </w:tr>
      <w:tr w14:paraId="63E9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8AF2D0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BE15BBB">
            <w:pPr>
              <w:widowControl/>
              <w:jc w:val="center"/>
              <w:rPr>
                <w:rFonts w:hint="eastAsia" w:ascii="宋体" w:hAnsi="宋体" w:eastAsia="宋体" w:cs="宋体"/>
                <w:sz w:val="21"/>
                <w:szCs w:val="21"/>
                <w:lang w:eastAsia="zh-CN"/>
              </w:rPr>
            </w:pPr>
          </w:p>
        </w:tc>
        <w:tc>
          <w:tcPr>
            <w:tcW w:w="6095" w:type="dxa"/>
            <w:noWrap w:val="0"/>
            <w:vAlign w:val="top"/>
          </w:tcPr>
          <w:p w14:paraId="75DEEEC4">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14.支持征订目录对系统平台内所有状态的馆藏书目进行全流程节点查重，分别对采选已选图书、已订图书、正在编目图书、已入馆藏图书进行查重，并且支持点击查看查重结果。（可提供内容截图）</w:t>
            </w:r>
          </w:p>
        </w:tc>
      </w:tr>
      <w:tr w14:paraId="00D4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540FA7E">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7C74698">
            <w:pPr>
              <w:widowControl/>
              <w:jc w:val="center"/>
              <w:rPr>
                <w:rFonts w:hint="eastAsia" w:ascii="宋体" w:hAnsi="宋体" w:eastAsia="宋体" w:cs="宋体"/>
                <w:sz w:val="21"/>
                <w:szCs w:val="21"/>
                <w:lang w:eastAsia="zh-CN"/>
              </w:rPr>
            </w:pPr>
          </w:p>
        </w:tc>
        <w:tc>
          <w:tcPr>
            <w:tcW w:w="6095" w:type="dxa"/>
            <w:noWrap w:val="0"/>
            <w:vAlign w:val="top"/>
          </w:tcPr>
          <w:p w14:paraId="3CDA2F4C">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▲15.支持单个用户自定义创建设置且保存多种导入模式，导入条件设置可对业务字段配置，对数据清洗进行配置，对查重条件进行配置，对重复数据进行保留或丢弃选项处理。（可提供内容截图）</w:t>
            </w:r>
          </w:p>
        </w:tc>
      </w:tr>
      <w:tr w14:paraId="4225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9AC930C">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3F562D66">
            <w:pPr>
              <w:widowControl/>
              <w:jc w:val="center"/>
              <w:rPr>
                <w:rFonts w:hint="eastAsia" w:ascii="宋体" w:hAnsi="宋体" w:eastAsia="宋体" w:cs="宋体"/>
                <w:sz w:val="21"/>
                <w:szCs w:val="21"/>
                <w:lang w:eastAsia="zh-CN"/>
              </w:rPr>
            </w:pPr>
          </w:p>
        </w:tc>
        <w:tc>
          <w:tcPr>
            <w:tcW w:w="6095" w:type="dxa"/>
            <w:noWrap w:val="0"/>
            <w:vAlign w:val="top"/>
          </w:tcPr>
          <w:p w14:paraId="5089DD9E">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功能二：编目</w:t>
            </w:r>
          </w:p>
        </w:tc>
      </w:tr>
      <w:tr w14:paraId="6586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35AD1A2">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7750B92">
            <w:pPr>
              <w:widowControl/>
              <w:jc w:val="center"/>
              <w:rPr>
                <w:rFonts w:hint="eastAsia" w:ascii="宋体" w:hAnsi="宋体" w:eastAsia="宋体" w:cs="宋体"/>
                <w:sz w:val="21"/>
                <w:szCs w:val="21"/>
                <w:lang w:eastAsia="zh-CN"/>
              </w:rPr>
            </w:pPr>
          </w:p>
        </w:tc>
        <w:tc>
          <w:tcPr>
            <w:tcW w:w="6095" w:type="dxa"/>
            <w:noWrap w:val="0"/>
            <w:vAlign w:val="top"/>
          </w:tcPr>
          <w:p w14:paraId="6160045A">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16.支持中文MARC模版自定义设置，并且按照各馆MARC字段对应关系进行自定义调整。</w:t>
            </w:r>
          </w:p>
        </w:tc>
      </w:tr>
      <w:tr w14:paraId="6023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9D20DB6">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2834F568">
            <w:pPr>
              <w:widowControl/>
              <w:jc w:val="center"/>
              <w:rPr>
                <w:rFonts w:hint="eastAsia" w:ascii="宋体" w:hAnsi="宋体" w:eastAsia="宋体" w:cs="宋体"/>
                <w:sz w:val="21"/>
                <w:szCs w:val="21"/>
                <w:lang w:eastAsia="zh-CN"/>
              </w:rPr>
            </w:pPr>
          </w:p>
        </w:tc>
        <w:tc>
          <w:tcPr>
            <w:tcW w:w="6095" w:type="dxa"/>
            <w:noWrap w:val="0"/>
            <w:vAlign w:val="top"/>
          </w:tcPr>
          <w:p w14:paraId="3EE91B8D">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17.遵循ISO 2709标准，处理 CN 、US 的 MARC及规范MARC记录。</w:t>
            </w:r>
          </w:p>
        </w:tc>
      </w:tr>
      <w:tr w14:paraId="5211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F6C8439">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E748D33">
            <w:pPr>
              <w:widowControl/>
              <w:jc w:val="center"/>
              <w:rPr>
                <w:rFonts w:hint="eastAsia" w:ascii="宋体" w:hAnsi="宋体" w:eastAsia="宋体" w:cs="宋体"/>
                <w:sz w:val="21"/>
                <w:szCs w:val="21"/>
                <w:lang w:eastAsia="zh-CN"/>
              </w:rPr>
            </w:pPr>
          </w:p>
        </w:tc>
        <w:tc>
          <w:tcPr>
            <w:tcW w:w="6095" w:type="dxa"/>
            <w:noWrap w:val="0"/>
            <w:vAlign w:val="top"/>
          </w:tcPr>
          <w:p w14:paraId="019C0C7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18.各类MARC记录按照原格式存放、编辑。</w:t>
            </w:r>
          </w:p>
        </w:tc>
      </w:tr>
      <w:tr w14:paraId="32BD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BBB1EE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0DC507B">
            <w:pPr>
              <w:widowControl/>
              <w:jc w:val="center"/>
              <w:rPr>
                <w:rFonts w:hint="eastAsia" w:ascii="宋体" w:hAnsi="宋体" w:eastAsia="宋体" w:cs="宋体"/>
                <w:sz w:val="21"/>
                <w:szCs w:val="21"/>
                <w:lang w:eastAsia="zh-CN"/>
              </w:rPr>
            </w:pPr>
          </w:p>
        </w:tc>
        <w:tc>
          <w:tcPr>
            <w:tcW w:w="6095" w:type="dxa"/>
            <w:noWrap w:val="0"/>
            <w:vAlign w:val="top"/>
          </w:tcPr>
          <w:p w14:paraId="222DFAA0">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19.支持输出ISO 2709标准MARC数据和XML元数据，方便对外数据交流。</w:t>
            </w:r>
          </w:p>
        </w:tc>
      </w:tr>
      <w:tr w14:paraId="25F1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F161A19">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0934F88">
            <w:pPr>
              <w:widowControl/>
              <w:jc w:val="center"/>
              <w:rPr>
                <w:rFonts w:hint="eastAsia" w:ascii="宋体" w:hAnsi="宋体" w:eastAsia="宋体" w:cs="宋体"/>
                <w:sz w:val="21"/>
                <w:szCs w:val="21"/>
                <w:lang w:eastAsia="zh-CN"/>
              </w:rPr>
            </w:pPr>
          </w:p>
        </w:tc>
        <w:tc>
          <w:tcPr>
            <w:tcW w:w="6095" w:type="dxa"/>
            <w:noWrap w:val="0"/>
            <w:vAlign w:val="top"/>
          </w:tcPr>
          <w:p w14:paraId="1D2D8386">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20.支持使用规范MARC对MARC数据进行自动规范。</w:t>
            </w:r>
          </w:p>
        </w:tc>
      </w:tr>
      <w:tr w14:paraId="779E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18285BB">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068922E">
            <w:pPr>
              <w:widowControl/>
              <w:jc w:val="center"/>
              <w:rPr>
                <w:rFonts w:hint="eastAsia" w:ascii="宋体" w:hAnsi="宋体" w:eastAsia="宋体" w:cs="宋体"/>
                <w:sz w:val="21"/>
                <w:szCs w:val="21"/>
                <w:lang w:eastAsia="zh-CN"/>
              </w:rPr>
            </w:pPr>
          </w:p>
        </w:tc>
        <w:tc>
          <w:tcPr>
            <w:tcW w:w="6095" w:type="dxa"/>
            <w:noWrap w:val="0"/>
            <w:vAlign w:val="top"/>
          </w:tcPr>
          <w:p w14:paraId="390EC0E9">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21.可从多个数据源（本地书目库、套录库）同时查询并获取MARC记录，并可以在编辑屏中直接实现MARC复制粘贴。</w:t>
            </w:r>
          </w:p>
        </w:tc>
      </w:tr>
      <w:tr w14:paraId="23E4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5162848">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23051BA">
            <w:pPr>
              <w:widowControl/>
              <w:jc w:val="center"/>
              <w:rPr>
                <w:rFonts w:hint="eastAsia" w:ascii="宋体" w:hAnsi="宋体" w:eastAsia="宋体" w:cs="宋体"/>
                <w:sz w:val="21"/>
                <w:szCs w:val="21"/>
                <w:lang w:eastAsia="zh-CN"/>
              </w:rPr>
            </w:pPr>
          </w:p>
        </w:tc>
        <w:tc>
          <w:tcPr>
            <w:tcW w:w="6095" w:type="dxa"/>
            <w:noWrap w:val="0"/>
            <w:vAlign w:val="top"/>
          </w:tcPr>
          <w:p w14:paraId="2BC5D34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22.支持按照验收批次或单本图书进行‘审核后提交送典’工作。</w:t>
            </w:r>
          </w:p>
        </w:tc>
      </w:tr>
      <w:tr w14:paraId="7D54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9E71F0D">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2A6FFA3D">
            <w:pPr>
              <w:widowControl/>
              <w:jc w:val="center"/>
              <w:rPr>
                <w:rFonts w:hint="eastAsia" w:ascii="宋体" w:hAnsi="宋体" w:eastAsia="宋体" w:cs="宋体"/>
                <w:sz w:val="21"/>
                <w:szCs w:val="21"/>
                <w:lang w:eastAsia="zh-CN"/>
              </w:rPr>
            </w:pPr>
          </w:p>
        </w:tc>
        <w:tc>
          <w:tcPr>
            <w:tcW w:w="6095" w:type="dxa"/>
            <w:noWrap w:val="0"/>
            <w:vAlign w:val="center"/>
          </w:tcPr>
          <w:p w14:paraId="74C53B35">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23. 提供MARC解析器功能，支持国家图书馆网站MARC数据复制粘贴助手功能，自动解析且转换保存至本馆馆藏数据。（可提供内容截图）</w:t>
            </w:r>
          </w:p>
        </w:tc>
      </w:tr>
      <w:tr w14:paraId="2608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460222B">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B195135">
            <w:pPr>
              <w:widowControl/>
              <w:jc w:val="center"/>
              <w:rPr>
                <w:rFonts w:hint="eastAsia" w:ascii="宋体" w:hAnsi="宋体" w:eastAsia="宋体" w:cs="宋体"/>
                <w:sz w:val="21"/>
                <w:szCs w:val="21"/>
                <w:lang w:eastAsia="zh-CN"/>
              </w:rPr>
            </w:pPr>
          </w:p>
        </w:tc>
        <w:tc>
          <w:tcPr>
            <w:tcW w:w="6095" w:type="dxa"/>
            <w:noWrap w:val="0"/>
            <w:vAlign w:val="center"/>
          </w:tcPr>
          <w:p w14:paraId="3569C0BC">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功能三：典藏</w:t>
            </w:r>
          </w:p>
        </w:tc>
      </w:tr>
      <w:tr w14:paraId="3072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7360505">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A14195B">
            <w:pPr>
              <w:widowControl/>
              <w:jc w:val="center"/>
              <w:rPr>
                <w:rFonts w:hint="eastAsia" w:ascii="宋体" w:hAnsi="宋体" w:eastAsia="宋体" w:cs="宋体"/>
                <w:sz w:val="21"/>
                <w:szCs w:val="21"/>
                <w:lang w:eastAsia="zh-CN"/>
              </w:rPr>
            </w:pPr>
          </w:p>
        </w:tc>
        <w:tc>
          <w:tcPr>
            <w:tcW w:w="6095" w:type="dxa"/>
            <w:noWrap w:val="0"/>
            <w:vAlign w:val="top"/>
          </w:tcPr>
          <w:p w14:paraId="059E3BF0">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24.支持对书刊的入藏、剔旧、修补、清点进行动态的管理，生成多种格式文件的报表。</w:t>
            </w:r>
          </w:p>
        </w:tc>
      </w:tr>
      <w:tr w14:paraId="7D9B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01102CB">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EC228D2">
            <w:pPr>
              <w:widowControl/>
              <w:jc w:val="center"/>
              <w:rPr>
                <w:rFonts w:hint="eastAsia" w:ascii="宋体" w:hAnsi="宋体" w:eastAsia="宋体" w:cs="宋体"/>
                <w:sz w:val="21"/>
                <w:szCs w:val="21"/>
                <w:lang w:eastAsia="zh-CN"/>
              </w:rPr>
            </w:pPr>
          </w:p>
        </w:tc>
        <w:tc>
          <w:tcPr>
            <w:tcW w:w="6095" w:type="dxa"/>
            <w:noWrap w:val="0"/>
            <w:vAlign w:val="top"/>
          </w:tcPr>
          <w:p w14:paraId="6C4CE57C">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25.支持提供按地、按类两种清点方式，可进行二次清点并对清点结果再次处理。</w:t>
            </w:r>
          </w:p>
        </w:tc>
      </w:tr>
      <w:tr w14:paraId="17EF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2C3DF08">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BFF0F13">
            <w:pPr>
              <w:widowControl/>
              <w:jc w:val="center"/>
              <w:rPr>
                <w:rFonts w:hint="eastAsia" w:ascii="宋体" w:hAnsi="宋体" w:eastAsia="宋体" w:cs="宋体"/>
                <w:sz w:val="21"/>
                <w:szCs w:val="21"/>
                <w:lang w:eastAsia="zh-CN"/>
              </w:rPr>
            </w:pPr>
          </w:p>
        </w:tc>
        <w:tc>
          <w:tcPr>
            <w:tcW w:w="6095" w:type="dxa"/>
            <w:noWrap w:val="0"/>
            <w:vAlign w:val="top"/>
          </w:tcPr>
          <w:p w14:paraId="0E6D461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26.支持数据采集设备的数据导入，实现馆藏书刊的剔旧、修补、清点</w:t>
            </w:r>
          </w:p>
        </w:tc>
      </w:tr>
      <w:tr w14:paraId="460D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1944024">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9DC35EA">
            <w:pPr>
              <w:widowControl/>
              <w:jc w:val="center"/>
              <w:rPr>
                <w:rFonts w:hint="eastAsia" w:ascii="宋体" w:hAnsi="宋体" w:eastAsia="宋体" w:cs="宋体"/>
                <w:sz w:val="21"/>
                <w:szCs w:val="21"/>
                <w:lang w:eastAsia="zh-CN"/>
              </w:rPr>
            </w:pPr>
          </w:p>
        </w:tc>
        <w:tc>
          <w:tcPr>
            <w:tcW w:w="6095" w:type="dxa"/>
            <w:noWrap w:val="0"/>
            <w:vAlign w:val="center"/>
          </w:tcPr>
          <w:p w14:paraId="74280EFA">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功能四：流通</w:t>
            </w:r>
          </w:p>
        </w:tc>
      </w:tr>
      <w:tr w14:paraId="2579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70CB854">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2771C62B">
            <w:pPr>
              <w:widowControl/>
              <w:jc w:val="center"/>
              <w:rPr>
                <w:rFonts w:hint="eastAsia" w:ascii="宋体" w:hAnsi="宋体" w:eastAsia="宋体" w:cs="宋体"/>
                <w:sz w:val="21"/>
                <w:szCs w:val="21"/>
                <w:lang w:eastAsia="zh-CN"/>
              </w:rPr>
            </w:pPr>
          </w:p>
        </w:tc>
        <w:tc>
          <w:tcPr>
            <w:tcW w:w="6095" w:type="dxa"/>
            <w:noWrap w:val="0"/>
            <w:vAlign w:val="top"/>
          </w:tcPr>
          <w:p w14:paraId="45AE5354">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27.支持流通借还、流通管理、读者管理模块。</w:t>
            </w:r>
          </w:p>
        </w:tc>
      </w:tr>
      <w:tr w14:paraId="1A74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B1FE3C6">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716E14AC">
            <w:pPr>
              <w:widowControl/>
              <w:jc w:val="center"/>
              <w:rPr>
                <w:rFonts w:hint="eastAsia" w:ascii="宋体" w:hAnsi="宋体" w:eastAsia="宋体" w:cs="宋体"/>
                <w:sz w:val="21"/>
                <w:szCs w:val="21"/>
                <w:lang w:eastAsia="zh-CN"/>
              </w:rPr>
            </w:pPr>
          </w:p>
        </w:tc>
        <w:tc>
          <w:tcPr>
            <w:tcW w:w="6095" w:type="dxa"/>
            <w:noWrap w:val="0"/>
            <w:vAlign w:val="top"/>
          </w:tcPr>
          <w:p w14:paraId="043EDDF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28.流通借还：支持借书、还书、续借、罚款等功能。</w:t>
            </w:r>
          </w:p>
        </w:tc>
      </w:tr>
      <w:tr w14:paraId="782F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A583941">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F823BC0">
            <w:pPr>
              <w:widowControl/>
              <w:jc w:val="center"/>
              <w:rPr>
                <w:rFonts w:hint="eastAsia" w:ascii="宋体" w:hAnsi="宋体" w:eastAsia="宋体" w:cs="宋体"/>
                <w:sz w:val="21"/>
                <w:szCs w:val="21"/>
                <w:lang w:eastAsia="zh-CN"/>
              </w:rPr>
            </w:pPr>
          </w:p>
        </w:tc>
        <w:tc>
          <w:tcPr>
            <w:tcW w:w="6095" w:type="dxa"/>
            <w:noWrap w:val="0"/>
            <w:vAlign w:val="top"/>
          </w:tcPr>
          <w:p w14:paraId="25A3431D">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29.通过馆员权限管理，支持馆藏图书强制借阅功能，打破借阅规则、借阅数量的情况下，灵活机动处理馆内流通业务。（可提供操作截图）</w:t>
            </w:r>
          </w:p>
        </w:tc>
      </w:tr>
      <w:tr w14:paraId="48D8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42DC340">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04D2BD3">
            <w:pPr>
              <w:widowControl/>
              <w:jc w:val="center"/>
              <w:rPr>
                <w:rFonts w:hint="eastAsia" w:ascii="宋体" w:hAnsi="宋体" w:eastAsia="宋体" w:cs="宋体"/>
                <w:sz w:val="21"/>
                <w:szCs w:val="21"/>
                <w:lang w:eastAsia="zh-CN"/>
              </w:rPr>
            </w:pPr>
          </w:p>
        </w:tc>
        <w:tc>
          <w:tcPr>
            <w:tcW w:w="6095" w:type="dxa"/>
            <w:noWrap w:val="0"/>
            <w:vAlign w:val="top"/>
          </w:tcPr>
          <w:p w14:paraId="420A016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30.流通管理：支持流通规则的自定义设置管理，如：图书续借规则、图书丢失赔偿规则等。</w:t>
            </w:r>
          </w:p>
        </w:tc>
      </w:tr>
      <w:tr w14:paraId="12B9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3BE259C">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1DF76C0">
            <w:pPr>
              <w:widowControl/>
              <w:jc w:val="center"/>
              <w:rPr>
                <w:rFonts w:hint="eastAsia" w:ascii="宋体" w:hAnsi="宋体" w:eastAsia="宋体" w:cs="宋体"/>
                <w:sz w:val="21"/>
                <w:szCs w:val="21"/>
                <w:lang w:eastAsia="zh-CN"/>
              </w:rPr>
            </w:pPr>
          </w:p>
        </w:tc>
        <w:tc>
          <w:tcPr>
            <w:tcW w:w="6095" w:type="dxa"/>
            <w:noWrap w:val="0"/>
            <w:vAlign w:val="top"/>
          </w:tcPr>
          <w:p w14:paraId="11672E28">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31.支持图书馆举办的活动期内，如学校的学生寒暑假期、活动期间内，免除读者因为逾期而造成的罚款费用。</w:t>
            </w:r>
          </w:p>
        </w:tc>
      </w:tr>
      <w:tr w14:paraId="3D07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5F1844D">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5D9C258">
            <w:pPr>
              <w:widowControl/>
              <w:jc w:val="center"/>
              <w:rPr>
                <w:rFonts w:hint="eastAsia" w:ascii="宋体" w:hAnsi="宋体" w:eastAsia="宋体" w:cs="宋体"/>
                <w:sz w:val="21"/>
                <w:szCs w:val="21"/>
                <w:lang w:eastAsia="zh-CN"/>
              </w:rPr>
            </w:pPr>
          </w:p>
        </w:tc>
        <w:tc>
          <w:tcPr>
            <w:tcW w:w="6095" w:type="dxa"/>
            <w:noWrap w:val="0"/>
            <w:vAlign w:val="center"/>
          </w:tcPr>
          <w:p w14:paraId="7A8F3D1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功能五：统计</w:t>
            </w:r>
          </w:p>
        </w:tc>
      </w:tr>
      <w:tr w14:paraId="158F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0F802A9">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8B01080">
            <w:pPr>
              <w:widowControl/>
              <w:jc w:val="center"/>
              <w:rPr>
                <w:rFonts w:hint="eastAsia" w:ascii="宋体" w:hAnsi="宋体" w:eastAsia="宋体" w:cs="宋体"/>
                <w:sz w:val="21"/>
                <w:szCs w:val="21"/>
                <w:lang w:eastAsia="zh-CN"/>
              </w:rPr>
            </w:pPr>
          </w:p>
        </w:tc>
        <w:tc>
          <w:tcPr>
            <w:tcW w:w="6095" w:type="dxa"/>
            <w:noWrap w:val="0"/>
            <w:vAlign w:val="top"/>
          </w:tcPr>
          <w:p w14:paraId="5C69DA5E">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32.支持馆内各部门或各工作环节的工作量统计，按日、周、月、半年、年的方式进行统计。</w:t>
            </w:r>
          </w:p>
        </w:tc>
      </w:tr>
      <w:tr w14:paraId="3AE8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E25F77E">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7870D92F">
            <w:pPr>
              <w:widowControl/>
              <w:jc w:val="center"/>
              <w:rPr>
                <w:rFonts w:hint="eastAsia" w:ascii="宋体" w:hAnsi="宋体" w:eastAsia="宋体" w:cs="宋体"/>
                <w:sz w:val="21"/>
                <w:szCs w:val="21"/>
                <w:lang w:eastAsia="zh-CN"/>
              </w:rPr>
            </w:pPr>
          </w:p>
        </w:tc>
        <w:tc>
          <w:tcPr>
            <w:tcW w:w="6095" w:type="dxa"/>
            <w:noWrap w:val="0"/>
            <w:vAlign w:val="top"/>
          </w:tcPr>
          <w:p w14:paraId="4B68DCAB">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33.支持馆内订单批次到货验收清空跟踪。通过设置到货时间，跟踪订单到货清空，并且可进行催单操作。</w:t>
            </w:r>
          </w:p>
        </w:tc>
      </w:tr>
      <w:tr w14:paraId="750A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9010260">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2C3BD215">
            <w:pPr>
              <w:widowControl/>
              <w:jc w:val="center"/>
              <w:rPr>
                <w:rFonts w:hint="eastAsia" w:ascii="宋体" w:hAnsi="宋体" w:eastAsia="宋体" w:cs="宋体"/>
                <w:sz w:val="21"/>
                <w:szCs w:val="21"/>
                <w:lang w:eastAsia="zh-CN"/>
              </w:rPr>
            </w:pPr>
          </w:p>
        </w:tc>
        <w:tc>
          <w:tcPr>
            <w:tcW w:w="6095" w:type="dxa"/>
            <w:noWrap w:val="0"/>
            <w:vAlign w:val="top"/>
          </w:tcPr>
          <w:p w14:paraId="57BEE493">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34.馆藏分类统计：指定入藏时间，或者不指定，分类统计某个或者全馆图书分布情况；</w:t>
            </w:r>
          </w:p>
        </w:tc>
      </w:tr>
      <w:tr w14:paraId="5FCE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AD8A3A4">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B2C2D1C">
            <w:pPr>
              <w:widowControl/>
              <w:jc w:val="center"/>
              <w:rPr>
                <w:rFonts w:hint="eastAsia" w:ascii="宋体" w:hAnsi="宋体" w:eastAsia="宋体" w:cs="宋体"/>
                <w:sz w:val="21"/>
                <w:szCs w:val="21"/>
                <w:lang w:eastAsia="zh-CN"/>
              </w:rPr>
            </w:pPr>
          </w:p>
        </w:tc>
        <w:tc>
          <w:tcPr>
            <w:tcW w:w="6095" w:type="dxa"/>
            <w:noWrap w:val="0"/>
            <w:vAlign w:val="top"/>
          </w:tcPr>
          <w:p w14:paraId="73614972">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35.统计馆内按照各维度数据统计，如按读者维度，统计读者阅读排行榜、按图书借阅量，统计图书热门TOP排行。</w:t>
            </w:r>
          </w:p>
        </w:tc>
      </w:tr>
      <w:tr w14:paraId="3AD2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E8A2D8D">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3444F632">
            <w:pPr>
              <w:widowControl/>
              <w:jc w:val="center"/>
              <w:rPr>
                <w:rFonts w:hint="eastAsia" w:ascii="宋体" w:hAnsi="宋体" w:eastAsia="宋体" w:cs="宋体"/>
                <w:sz w:val="21"/>
                <w:szCs w:val="21"/>
                <w:lang w:eastAsia="zh-CN"/>
              </w:rPr>
            </w:pPr>
          </w:p>
        </w:tc>
        <w:tc>
          <w:tcPr>
            <w:tcW w:w="6095" w:type="dxa"/>
            <w:noWrap w:val="0"/>
            <w:vAlign w:val="top"/>
          </w:tcPr>
          <w:p w14:paraId="4B69C02F">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36.信息管理员可自定义组合统计报名内容。</w:t>
            </w:r>
          </w:p>
        </w:tc>
      </w:tr>
      <w:tr w14:paraId="294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8322140">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7026773C">
            <w:pPr>
              <w:widowControl/>
              <w:jc w:val="center"/>
              <w:rPr>
                <w:rFonts w:hint="eastAsia" w:ascii="宋体" w:hAnsi="宋体" w:eastAsia="宋体" w:cs="宋体"/>
                <w:sz w:val="21"/>
                <w:szCs w:val="21"/>
                <w:lang w:eastAsia="zh-CN"/>
              </w:rPr>
            </w:pPr>
          </w:p>
        </w:tc>
        <w:tc>
          <w:tcPr>
            <w:tcW w:w="6095" w:type="dxa"/>
            <w:noWrap w:val="0"/>
            <w:vAlign w:val="top"/>
          </w:tcPr>
          <w:p w14:paraId="007126F2">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37.特殊情况下，可订制馆内统计需求。</w:t>
            </w:r>
          </w:p>
        </w:tc>
      </w:tr>
      <w:tr w14:paraId="5B83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FB97648">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643C41A1">
            <w:pPr>
              <w:widowControl/>
              <w:jc w:val="center"/>
              <w:rPr>
                <w:rFonts w:hint="eastAsia" w:ascii="宋体" w:hAnsi="宋体" w:eastAsia="宋体" w:cs="宋体"/>
                <w:sz w:val="21"/>
                <w:szCs w:val="21"/>
                <w:lang w:eastAsia="zh-CN"/>
              </w:rPr>
            </w:pPr>
          </w:p>
        </w:tc>
        <w:tc>
          <w:tcPr>
            <w:tcW w:w="6095" w:type="dxa"/>
            <w:noWrap w:val="0"/>
            <w:vAlign w:val="top"/>
          </w:tcPr>
          <w:p w14:paraId="5BF6354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功能六：统计系统管理</w:t>
            </w:r>
          </w:p>
        </w:tc>
      </w:tr>
      <w:tr w14:paraId="4AE3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C9D7949">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240C99E">
            <w:pPr>
              <w:widowControl/>
              <w:jc w:val="center"/>
              <w:rPr>
                <w:rFonts w:hint="eastAsia" w:ascii="宋体" w:hAnsi="宋体" w:eastAsia="宋体" w:cs="宋体"/>
                <w:sz w:val="21"/>
                <w:szCs w:val="21"/>
                <w:lang w:eastAsia="zh-CN"/>
              </w:rPr>
            </w:pPr>
          </w:p>
        </w:tc>
        <w:tc>
          <w:tcPr>
            <w:tcW w:w="6095" w:type="dxa"/>
            <w:noWrap w:val="0"/>
            <w:vAlign w:val="top"/>
          </w:tcPr>
          <w:p w14:paraId="139A1698">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38.支持设置采购、验收、编目、MARC模版、典藏、流通规则等设置页面。</w:t>
            </w:r>
          </w:p>
        </w:tc>
      </w:tr>
      <w:tr w14:paraId="14CB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B48FD86">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3E9A1EFC">
            <w:pPr>
              <w:widowControl/>
              <w:jc w:val="center"/>
              <w:rPr>
                <w:rFonts w:hint="eastAsia" w:ascii="宋体" w:hAnsi="宋体" w:eastAsia="宋体" w:cs="宋体"/>
                <w:sz w:val="21"/>
                <w:szCs w:val="21"/>
                <w:lang w:eastAsia="zh-CN"/>
              </w:rPr>
            </w:pPr>
          </w:p>
        </w:tc>
        <w:tc>
          <w:tcPr>
            <w:tcW w:w="6095" w:type="dxa"/>
            <w:noWrap w:val="0"/>
            <w:vAlign w:val="top"/>
          </w:tcPr>
          <w:p w14:paraId="77DBF658">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39.对工作人员的操作权限，登录计算机，处理馆藏地等进行限制，确保系统的安全.</w:t>
            </w:r>
          </w:p>
        </w:tc>
      </w:tr>
      <w:tr w14:paraId="5DDA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68D3642">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7BE19918">
            <w:pPr>
              <w:widowControl/>
              <w:jc w:val="center"/>
              <w:rPr>
                <w:rFonts w:hint="eastAsia" w:ascii="宋体" w:hAnsi="宋体" w:eastAsia="宋体" w:cs="宋体"/>
                <w:sz w:val="21"/>
                <w:szCs w:val="21"/>
                <w:lang w:eastAsia="zh-CN"/>
              </w:rPr>
            </w:pPr>
          </w:p>
        </w:tc>
        <w:tc>
          <w:tcPr>
            <w:tcW w:w="6095" w:type="dxa"/>
            <w:noWrap w:val="0"/>
            <w:vAlign w:val="top"/>
          </w:tcPr>
          <w:p w14:paraId="34DC1219">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40.批量增加、删除、修改指定字段、子字段；提供MARC数据的多种形式的批量导入、导出.</w:t>
            </w:r>
          </w:p>
        </w:tc>
      </w:tr>
      <w:tr w14:paraId="4185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C9654D3">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2D331948">
            <w:pPr>
              <w:widowControl/>
              <w:jc w:val="center"/>
              <w:rPr>
                <w:rFonts w:hint="eastAsia" w:ascii="宋体" w:hAnsi="宋体" w:eastAsia="宋体" w:cs="宋体"/>
                <w:sz w:val="21"/>
                <w:szCs w:val="21"/>
                <w:lang w:eastAsia="zh-CN"/>
              </w:rPr>
            </w:pPr>
          </w:p>
        </w:tc>
        <w:tc>
          <w:tcPr>
            <w:tcW w:w="6095" w:type="dxa"/>
            <w:noWrap w:val="0"/>
            <w:vAlign w:val="center"/>
          </w:tcPr>
          <w:p w14:paraId="72A64875">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功能七：OPAC检索</w:t>
            </w:r>
          </w:p>
        </w:tc>
      </w:tr>
      <w:tr w14:paraId="1B2E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6BED0E6">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67E43A2">
            <w:pPr>
              <w:widowControl/>
              <w:jc w:val="center"/>
              <w:rPr>
                <w:rFonts w:hint="eastAsia" w:ascii="宋体" w:hAnsi="宋体" w:eastAsia="宋体" w:cs="宋体"/>
                <w:sz w:val="21"/>
                <w:szCs w:val="21"/>
                <w:lang w:eastAsia="zh-CN"/>
              </w:rPr>
            </w:pPr>
          </w:p>
        </w:tc>
        <w:tc>
          <w:tcPr>
            <w:tcW w:w="6095" w:type="dxa"/>
            <w:noWrap w:val="0"/>
            <w:vAlign w:val="top"/>
          </w:tcPr>
          <w:p w14:paraId="18D5BDDB">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41.支持图书馆个性化检索结果排序权重设置。</w:t>
            </w:r>
          </w:p>
        </w:tc>
      </w:tr>
      <w:tr w14:paraId="04A6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208D921">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73A6479F">
            <w:pPr>
              <w:widowControl/>
              <w:jc w:val="center"/>
              <w:rPr>
                <w:rFonts w:hint="eastAsia" w:ascii="宋体" w:hAnsi="宋体" w:eastAsia="宋体" w:cs="宋体"/>
                <w:sz w:val="21"/>
                <w:szCs w:val="21"/>
                <w:lang w:eastAsia="zh-CN"/>
              </w:rPr>
            </w:pPr>
          </w:p>
        </w:tc>
        <w:tc>
          <w:tcPr>
            <w:tcW w:w="6095" w:type="dxa"/>
            <w:noWrap w:val="0"/>
            <w:vAlign w:val="top"/>
          </w:tcPr>
          <w:p w14:paraId="5C1AD96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42.支持高效、快速及精准的检索服务，如热门词、普通任意词检索、主题名检索、出版社检索、著者名称检索、主题词检索等。</w:t>
            </w:r>
          </w:p>
        </w:tc>
      </w:tr>
      <w:tr w14:paraId="6F65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8857B33">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E4EE42E">
            <w:pPr>
              <w:widowControl/>
              <w:jc w:val="center"/>
              <w:rPr>
                <w:rFonts w:hint="eastAsia" w:ascii="宋体" w:hAnsi="宋体" w:eastAsia="宋体" w:cs="宋体"/>
                <w:sz w:val="21"/>
                <w:szCs w:val="21"/>
                <w:lang w:eastAsia="zh-CN"/>
              </w:rPr>
            </w:pPr>
          </w:p>
        </w:tc>
        <w:tc>
          <w:tcPr>
            <w:tcW w:w="6095" w:type="dxa"/>
            <w:noWrap w:val="0"/>
            <w:vAlign w:val="top"/>
          </w:tcPr>
          <w:p w14:paraId="4D66602F">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43.支持高级组合式检索，联合主题名、著者、出版社、出版年月、版次等。</w:t>
            </w:r>
          </w:p>
        </w:tc>
      </w:tr>
      <w:tr w14:paraId="4A28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3F63B1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6570EE3">
            <w:pPr>
              <w:widowControl/>
              <w:jc w:val="center"/>
              <w:rPr>
                <w:rFonts w:hint="eastAsia" w:ascii="宋体" w:hAnsi="宋体" w:eastAsia="宋体" w:cs="宋体"/>
                <w:sz w:val="21"/>
                <w:szCs w:val="21"/>
                <w:lang w:eastAsia="zh-CN"/>
              </w:rPr>
            </w:pPr>
          </w:p>
        </w:tc>
        <w:tc>
          <w:tcPr>
            <w:tcW w:w="6095" w:type="dxa"/>
            <w:noWrap w:val="0"/>
            <w:vAlign w:val="top"/>
          </w:tcPr>
          <w:p w14:paraId="456045A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44.支持结果中再次检索的二次检索。</w:t>
            </w:r>
          </w:p>
        </w:tc>
      </w:tr>
      <w:tr w14:paraId="25B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00D516C">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34044C7F">
            <w:pPr>
              <w:widowControl/>
              <w:jc w:val="center"/>
              <w:rPr>
                <w:rFonts w:hint="eastAsia" w:ascii="宋体" w:hAnsi="宋体" w:eastAsia="宋体" w:cs="宋体"/>
                <w:sz w:val="21"/>
                <w:szCs w:val="21"/>
                <w:lang w:eastAsia="zh-CN"/>
              </w:rPr>
            </w:pPr>
          </w:p>
        </w:tc>
        <w:tc>
          <w:tcPr>
            <w:tcW w:w="6095" w:type="dxa"/>
            <w:noWrap w:val="0"/>
            <w:vAlign w:val="top"/>
          </w:tcPr>
          <w:p w14:paraId="4378A7CE">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45.图书续借功能，需要读者登录OPAC读者中心后，对已被本人借阅的图书进行单本或批量续借操作。</w:t>
            </w:r>
          </w:p>
        </w:tc>
      </w:tr>
      <w:tr w14:paraId="767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0C11F3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58B7C274">
            <w:pPr>
              <w:widowControl/>
              <w:jc w:val="center"/>
              <w:rPr>
                <w:rFonts w:hint="eastAsia" w:ascii="宋体" w:hAnsi="宋体" w:eastAsia="宋体" w:cs="宋体"/>
                <w:sz w:val="21"/>
                <w:szCs w:val="21"/>
                <w:lang w:eastAsia="zh-CN"/>
              </w:rPr>
            </w:pPr>
          </w:p>
        </w:tc>
        <w:tc>
          <w:tcPr>
            <w:tcW w:w="6095" w:type="dxa"/>
            <w:noWrap w:val="0"/>
            <w:vAlign w:val="top"/>
          </w:tcPr>
          <w:p w14:paraId="256DB420">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46.图书预约功能，需要读者登录OPAC读者中心后，对已借阅的图书进行预约操作。</w:t>
            </w:r>
          </w:p>
        </w:tc>
      </w:tr>
      <w:tr w14:paraId="2E54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E5B914F">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CC594C9">
            <w:pPr>
              <w:widowControl/>
              <w:jc w:val="center"/>
              <w:rPr>
                <w:rFonts w:hint="eastAsia" w:ascii="宋体" w:hAnsi="宋体" w:eastAsia="宋体" w:cs="宋体"/>
                <w:sz w:val="21"/>
                <w:szCs w:val="21"/>
                <w:lang w:eastAsia="zh-CN"/>
              </w:rPr>
            </w:pPr>
          </w:p>
        </w:tc>
        <w:tc>
          <w:tcPr>
            <w:tcW w:w="6095" w:type="dxa"/>
            <w:noWrap w:val="0"/>
            <w:vAlign w:val="top"/>
          </w:tcPr>
          <w:p w14:paraId="1AD9BA09">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47图书收藏功能，需要读者登录OPAC读者中心后，对自己喜好或者待借阅的图书进行收藏保存。</w:t>
            </w:r>
          </w:p>
        </w:tc>
      </w:tr>
      <w:tr w14:paraId="62E5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B21B600">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4E59116D">
            <w:pPr>
              <w:widowControl/>
              <w:jc w:val="center"/>
              <w:rPr>
                <w:rFonts w:hint="eastAsia" w:ascii="宋体" w:hAnsi="宋体" w:eastAsia="宋体" w:cs="宋体"/>
                <w:sz w:val="21"/>
                <w:szCs w:val="21"/>
                <w:lang w:eastAsia="zh-CN"/>
              </w:rPr>
            </w:pPr>
          </w:p>
        </w:tc>
        <w:tc>
          <w:tcPr>
            <w:tcW w:w="6095" w:type="dxa"/>
            <w:noWrap w:val="0"/>
            <w:vAlign w:val="top"/>
          </w:tcPr>
          <w:p w14:paraId="34A02857">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48.图书荐购功能，需要读者登录OPAC读者中心后，对自己希望能借到的图书进行向图书推荐，输入关键词，如题名，著者，自动关联该本荐购图书其他完整书目信息。（可提供操作截图）</w:t>
            </w:r>
          </w:p>
        </w:tc>
      </w:tr>
      <w:tr w14:paraId="660C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0E37EE1">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1093D5D4">
            <w:pPr>
              <w:widowControl/>
              <w:jc w:val="center"/>
              <w:rPr>
                <w:rFonts w:hint="eastAsia" w:ascii="宋体" w:hAnsi="宋体" w:eastAsia="宋体" w:cs="宋体"/>
                <w:sz w:val="21"/>
                <w:szCs w:val="21"/>
                <w:lang w:eastAsia="zh-CN"/>
              </w:rPr>
            </w:pPr>
          </w:p>
        </w:tc>
        <w:tc>
          <w:tcPr>
            <w:tcW w:w="6095" w:type="dxa"/>
            <w:noWrap w:val="0"/>
            <w:vAlign w:val="top"/>
          </w:tcPr>
          <w:p w14:paraId="5A37BB7C">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49.支持按照中图法分类导航进行引导式检索。</w:t>
            </w:r>
          </w:p>
        </w:tc>
      </w:tr>
      <w:tr w14:paraId="06B1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27CB0BB">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2A11297C">
            <w:pPr>
              <w:widowControl/>
              <w:jc w:val="center"/>
              <w:rPr>
                <w:rFonts w:hint="eastAsia" w:ascii="宋体" w:hAnsi="宋体" w:eastAsia="宋体" w:cs="宋体"/>
                <w:sz w:val="21"/>
                <w:szCs w:val="21"/>
                <w:lang w:eastAsia="zh-CN"/>
              </w:rPr>
            </w:pPr>
          </w:p>
        </w:tc>
        <w:tc>
          <w:tcPr>
            <w:tcW w:w="6095" w:type="dxa"/>
            <w:noWrap w:val="0"/>
            <w:vAlign w:val="top"/>
          </w:tcPr>
          <w:p w14:paraId="4D55E39E">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▲50关联搜索功能，根据图书题名的分词、作者名、出版社、主题词等基本信息，和搜索词进行关联，点击搜索词即可查阅关联馆藏。（可提供操作截图）</w:t>
            </w:r>
          </w:p>
        </w:tc>
      </w:tr>
      <w:tr w14:paraId="5FB3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99880E9">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0F02E823">
            <w:pPr>
              <w:widowControl/>
              <w:jc w:val="center"/>
              <w:rPr>
                <w:rFonts w:hint="eastAsia" w:ascii="宋体" w:hAnsi="宋体" w:eastAsia="宋体" w:cs="宋体"/>
                <w:sz w:val="21"/>
                <w:szCs w:val="21"/>
                <w:lang w:eastAsia="zh-CN"/>
              </w:rPr>
            </w:pPr>
          </w:p>
        </w:tc>
        <w:tc>
          <w:tcPr>
            <w:tcW w:w="6095" w:type="dxa"/>
            <w:noWrap w:val="0"/>
            <w:vAlign w:val="top"/>
          </w:tcPr>
          <w:p w14:paraId="239E1628">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51.支持与RFID定位系统对接，展示图书相关书架位置信息。</w:t>
            </w:r>
          </w:p>
        </w:tc>
      </w:tr>
      <w:tr w14:paraId="1CB1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B9AC82C">
            <w:pPr>
              <w:widowControl/>
              <w:jc w:val="center"/>
              <w:rPr>
                <w:rFonts w:hint="eastAsia" w:ascii="宋体" w:hAnsi="宋体" w:eastAsia="宋体" w:cs="宋体"/>
                <w:color w:val="000000"/>
                <w:sz w:val="21"/>
                <w:szCs w:val="21"/>
                <w:lang w:eastAsia="zh-CN"/>
              </w:rPr>
            </w:pPr>
          </w:p>
        </w:tc>
        <w:tc>
          <w:tcPr>
            <w:tcW w:w="1973" w:type="dxa"/>
            <w:vMerge w:val="continue"/>
            <w:noWrap/>
            <w:vAlign w:val="center"/>
          </w:tcPr>
          <w:p w14:paraId="72833CB4">
            <w:pPr>
              <w:widowControl/>
              <w:jc w:val="center"/>
              <w:rPr>
                <w:rFonts w:hint="eastAsia" w:ascii="宋体" w:hAnsi="宋体" w:eastAsia="宋体" w:cs="宋体"/>
                <w:sz w:val="21"/>
                <w:szCs w:val="21"/>
                <w:lang w:eastAsia="zh-CN"/>
              </w:rPr>
            </w:pPr>
          </w:p>
        </w:tc>
        <w:tc>
          <w:tcPr>
            <w:tcW w:w="6095" w:type="dxa"/>
            <w:noWrap w:val="0"/>
            <w:vAlign w:val="top"/>
          </w:tcPr>
          <w:p w14:paraId="1835ED01">
            <w:pPr>
              <w:widowControl w:val="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52.支持图书馆个性化检索结果排序权重设置。</w:t>
            </w:r>
          </w:p>
        </w:tc>
      </w:tr>
      <w:tr w14:paraId="4F3F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restart"/>
            <w:shd w:val="clear" w:color="000000" w:fill="FFFFFF"/>
            <w:noWrap w:val="0"/>
            <w:vAlign w:val="center"/>
          </w:tcPr>
          <w:p w14:paraId="09246D7B">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 </w:t>
            </w:r>
          </w:p>
        </w:tc>
        <w:tc>
          <w:tcPr>
            <w:tcW w:w="1973" w:type="dxa"/>
            <w:vMerge w:val="restart"/>
            <w:noWrap w:val="0"/>
            <w:vAlign w:val="center"/>
          </w:tcPr>
          <w:p w14:paraId="3BC9F1EE">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一体式馆员工作站</w:t>
            </w:r>
          </w:p>
        </w:tc>
        <w:tc>
          <w:tcPr>
            <w:tcW w:w="6095" w:type="dxa"/>
            <w:noWrap w:val="0"/>
            <w:vAlign w:val="center"/>
          </w:tcPr>
          <w:p w14:paraId="6D6F4688">
            <w:pPr>
              <w:widowControl/>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1、具备标签转换功能，可兼容条形码读取，可对条形码进行识别转换后将条码号写入RFID标签，转换效率高；</w:t>
            </w:r>
          </w:p>
        </w:tc>
      </w:tr>
      <w:tr w14:paraId="74F7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2D211E3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49E7074">
            <w:pPr>
              <w:widowControl/>
              <w:jc w:val="center"/>
              <w:rPr>
                <w:rFonts w:hint="eastAsia" w:ascii="宋体" w:hAnsi="宋体" w:eastAsia="宋体" w:cs="宋体"/>
                <w:sz w:val="21"/>
                <w:szCs w:val="21"/>
                <w:lang w:eastAsia="zh-CN"/>
              </w:rPr>
            </w:pPr>
          </w:p>
        </w:tc>
        <w:tc>
          <w:tcPr>
            <w:tcW w:w="6095" w:type="dxa"/>
            <w:noWrap w:val="0"/>
            <w:vAlign w:val="center"/>
          </w:tcPr>
          <w:p w14:paraId="0D959B90">
            <w:pPr>
              <w:widowControl/>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2、支持借还流程，借书、还书、续借、借阅情况查询、扣费、续费等功能；</w:t>
            </w:r>
          </w:p>
        </w:tc>
      </w:tr>
      <w:tr w14:paraId="4FD7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567498F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7766DEB">
            <w:pPr>
              <w:widowControl/>
              <w:jc w:val="center"/>
              <w:rPr>
                <w:rFonts w:hint="eastAsia" w:ascii="宋体" w:hAnsi="宋体" w:eastAsia="宋体" w:cs="宋体"/>
                <w:sz w:val="21"/>
                <w:szCs w:val="21"/>
                <w:lang w:eastAsia="zh-CN"/>
              </w:rPr>
            </w:pPr>
          </w:p>
        </w:tc>
        <w:tc>
          <w:tcPr>
            <w:tcW w:w="6095" w:type="dxa"/>
            <w:noWrap w:val="0"/>
            <w:vAlign w:val="center"/>
          </w:tcPr>
          <w:p w14:paraId="1294AE6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3、可根据书名、索书号、条码号、EPC、时间、馆藏地等关键词进行图书检索；</w:t>
            </w:r>
          </w:p>
        </w:tc>
      </w:tr>
      <w:tr w14:paraId="2A6B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586DA6F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F3AFB53">
            <w:pPr>
              <w:widowControl/>
              <w:jc w:val="center"/>
              <w:rPr>
                <w:rFonts w:hint="eastAsia" w:ascii="宋体" w:hAnsi="宋体" w:eastAsia="宋体" w:cs="宋体"/>
                <w:sz w:val="21"/>
                <w:szCs w:val="21"/>
                <w:lang w:eastAsia="zh-CN"/>
              </w:rPr>
            </w:pPr>
          </w:p>
        </w:tc>
        <w:tc>
          <w:tcPr>
            <w:tcW w:w="6095" w:type="dxa"/>
            <w:noWrap w:val="0"/>
            <w:vAlign w:val="center"/>
          </w:tcPr>
          <w:p w14:paraId="7F1612D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4、支持标签数据录入流程；</w:t>
            </w:r>
          </w:p>
        </w:tc>
      </w:tr>
      <w:tr w14:paraId="3EB0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756F726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A8C404C">
            <w:pPr>
              <w:widowControl/>
              <w:jc w:val="center"/>
              <w:rPr>
                <w:rFonts w:hint="eastAsia" w:ascii="宋体" w:hAnsi="宋体" w:eastAsia="宋体" w:cs="宋体"/>
                <w:sz w:val="21"/>
                <w:szCs w:val="21"/>
                <w:lang w:eastAsia="zh-CN"/>
              </w:rPr>
            </w:pPr>
          </w:p>
        </w:tc>
        <w:tc>
          <w:tcPr>
            <w:tcW w:w="6095" w:type="dxa"/>
            <w:noWrap w:val="0"/>
            <w:vAlign w:val="center"/>
          </w:tcPr>
          <w:p w14:paraId="4492DF2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5、除了改变配置、错误处理或者重新编程的状况下，整个转换过程，不需要触摸屏幕或者按动鼠标或键盘来触发转换工作；</w:t>
            </w:r>
          </w:p>
        </w:tc>
      </w:tr>
      <w:tr w14:paraId="0AAF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4174053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D08F658">
            <w:pPr>
              <w:widowControl/>
              <w:jc w:val="center"/>
              <w:rPr>
                <w:rFonts w:hint="eastAsia" w:ascii="宋体" w:hAnsi="宋体" w:eastAsia="宋体" w:cs="宋体"/>
                <w:sz w:val="21"/>
                <w:szCs w:val="21"/>
                <w:lang w:eastAsia="zh-CN"/>
              </w:rPr>
            </w:pPr>
          </w:p>
        </w:tc>
        <w:tc>
          <w:tcPr>
            <w:tcW w:w="6095" w:type="dxa"/>
            <w:noWrap w:val="0"/>
            <w:vAlign w:val="center"/>
          </w:tcPr>
          <w:p w14:paraId="03E9CB1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6、可以非接触式的快速识别粘贴在图书上的RFID标签，可同时读取多本图书；</w:t>
            </w:r>
          </w:p>
        </w:tc>
      </w:tr>
      <w:tr w14:paraId="6084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6DBDD9C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9918CA4">
            <w:pPr>
              <w:widowControl/>
              <w:jc w:val="center"/>
              <w:rPr>
                <w:rFonts w:hint="eastAsia" w:ascii="宋体" w:hAnsi="宋体" w:eastAsia="宋体" w:cs="宋体"/>
                <w:sz w:val="21"/>
                <w:szCs w:val="21"/>
                <w:lang w:eastAsia="zh-CN"/>
              </w:rPr>
            </w:pPr>
          </w:p>
        </w:tc>
        <w:tc>
          <w:tcPr>
            <w:tcW w:w="6095" w:type="dxa"/>
            <w:noWrap w:val="0"/>
            <w:vAlign w:val="center"/>
          </w:tcPr>
          <w:p w14:paraId="1B21B03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7、可以对图书标签防盗位进行复位或置位；</w:t>
            </w:r>
          </w:p>
        </w:tc>
      </w:tr>
      <w:tr w14:paraId="327B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7B00956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38D121B">
            <w:pPr>
              <w:widowControl/>
              <w:jc w:val="center"/>
              <w:rPr>
                <w:rFonts w:hint="eastAsia" w:ascii="宋体" w:hAnsi="宋体" w:eastAsia="宋体" w:cs="宋体"/>
                <w:sz w:val="21"/>
                <w:szCs w:val="21"/>
                <w:lang w:eastAsia="zh-CN"/>
              </w:rPr>
            </w:pPr>
          </w:p>
        </w:tc>
        <w:tc>
          <w:tcPr>
            <w:tcW w:w="6095" w:type="dxa"/>
            <w:noWrap w:val="0"/>
            <w:vAlign w:val="center"/>
          </w:tcPr>
          <w:p w14:paraId="2B26EBD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8、提供设备配套驱动程序文件、相关图书馆业务应用程序文件；</w:t>
            </w:r>
          </w:p>
        </w:tc>
      </w:tr>
      <w:tr w14:paraId="3CD1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0A3CE59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75B6778">
            <w:pPr>
              <w:widowControl/>
              <w:jc w:val="center"/>
              <w:rPr>
                <w:rFonts w:hint="eastAsia" w:ascii="宋体" w:hAnsi="宋体" w:eastAsia="宋体" w:cs="宋体"/>
                <w:sz w:val="21"/>
                <w:szCs w:val="21"/>
                <w:lang w:eastAsia="zh-CN"/>
              </w:rPr>
            </w:pPr>
          </w:p>
        </w:tc>
        <w:tc>
          <w:tcPr>
            <w:tcW w:w="6095" w:type="dxa"/>
            <w:noWrap w:val="0"/>
            <w:vAlign w:val="center"/>
          </w:tcPr>
          <w:p w14:paraId="1AAD150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9、工作频率：13.56MHz；</w:t>
            </w:r>
          </w:p>
        </w:tc>
      </w:tr>
      <w:tr w14:paraId="3181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38C7065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47A5038">
            <w:pPr>
              <w:widowControl/>
              <w:jc w:val="center"/>
              <w:rPr>
                <w:rFonts w:hint="eastAsia" w:ascii="宋体" w:hAnsi="宋体" w:eastAsia="宋体" w:cs="宋体"/>
                <w:sz w:val="21"/>
                <w:szCs w:val="21"/>
                <w:lang w:eastAsia="zh-CN"/>
              </w:rPr>
            </w:pPr>
          </w:p>
        </w:tc>
        <w:tc>
          <w:tcPr>
            <w:tcW w:w="6095" w:type="dxa"/>
            <w:noWrap w:val="0"/>
            <w:vAlign w:val="center"/>
          </w:tcPr>
          <w:p w14:paraId="22A1482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10、符合标准：ISO15693、ISO4443A；</w:t>
            </w:r>
          </w:p>
        </w:tc>
      </w:tr>
      <w:tr w14:paraId="1A0D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3476341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8E878EE">
            <w:pPr>
              <w:widowControl/>
              <w:jc w:val="center"/>
              <w:rPr>
                <w:rFonts w:hint="eastAsia" w:ascii="宋体" w:hAnsi="宋体" w:eastAsia="宋体" w:cs="宋体"/>
                <w:sz w:val="21"/>
                <w:szCs w:val="21"/>
                <w:lang w:eastAsia="zh-CN"/>
              </w:rPr>
            </w:pPr>
          </w:p>
        </w:tc>
        <w:tc>
          <w:tcPr>
            <w:tcW w:w="6095" w:type="dxa"/>
            <w:noWrap w:val="0"/>
            <w:vAlign w:val="center"/>
          </w:tcPr>
          <w:p w14:paraId="758D92A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11、通讯接口：USB 4个、网口1个、串口1个、WIFI（选配）；</w:t>
            </w:r>
          </w:p>
        </w:tc>
      </w:tr>
      <w:tr w14:paraId="6DEE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71FCEBA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9FE531B">
            <w:pPr>
              <w:widowControl/>
              <w:jc w:val="center"/>
              <w:rPr>
                <w:rFonts w:hint="eastAsia" w:ascii="宋体" w:hAnsi="宋体" w:eastAsia="宋体" w:cs="宋体"/>
                <w:sz w:val="21"/>
                <w:szCs w:val="21"/>
                <w:lang w:eastAsia="zh-CN"/>
              </w:rPr>
            </w:pPr>
          </w:p>
        </w:tc>
        <w:tc>
          <w:tcPr>
            <w:tcW w:w="6095" w:type="dxa"/>
            <w:noWrap w:val="0"/>
            <w:vAlign w:val="center"/>
          </w:tcPr>
          <w:p w14:paraId="6A628B6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12、机身尺寸：535*379*476mm（长*宽*高）；</w:t>
            </w:r>
          </w:p>
        </w:tc>
      </w:tr>
      <w:tr w14:paraId="5B2B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1805276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771E143">
            <w:pPr>
              <w:widowControl/>
              <w:jc w:val="center"/>
              <w:rPr>
                <w:rFonts w:hint="eastAsia" w:ascii="宋体" w:hAnsi="宋体" w:eastAsia="宋体" w:cs="宋体"/>
                <w:sz w:val="21"/>
                <w:szCs w:val="21"/>
                <w:lang w:eastAsia="zh-CN"/>
              </w:rPr>
            </w:pPr>
          </w:p>
        </w:tc>
        <w:tc>
          <w:tcPr>
            <w:tcW w:w="6095" w:type="dxa"/>
            <w:noWrap w:val="0"/>
            <w:vAlign w:val="center"/>
          </w:tcPr>
          <w:p w14:paraId="3D250CC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13、重量：8KG；</w:t>
            </w:r>
          </w:p>
        </w:tc>
      </w:tr>
      <w:tr w14:paraId="1796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3BE21B2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3A56960">
            <w:pPr>
              <w:widowControl/>
              <w:jc w:val="center"/>
              <w:rPr>
                <w:rFonts w:hint="eastAsia" w:ascii="宋体" w:hAnsi="宋体" w:eastAsia="宋体" w:cs="宋体"/>
                <w:sz w:val="21"/>
                <w:szCs w:val="21"/>
                <w:lang w:eastAsia="zh-CN"/>
              </w:rPr>
            </w:pPr>
          </w:p>
        </w:tc>
        <w:tc>
          <w:tcPr>
            <w:tcW w:w="6095" w:type="dxa"/>
            <w:noWrap w:val="0"/>
            <w:vAlign w:val="center"/>
          </w:tcPr>
          <w:p w14:paraId="7B26778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14、显示屏：21.5寸液晶显示屏，分辨率1920×1080，屏占比88.2%，窄边框设计；</w:t>
            </w:r>
          </w:p>
        </w:tc>
      </w:tr>
      <w:tr w14:paraId="1658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3A11A24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BC1F2AD">
            <w:pPr>
              <w:widowControl/>
              <w:jc w:val="center"/>
              <w:rPr>
                <w:rFonts w:hint="eastAsia" w:ascii="宋体" w:hAnsi="宋体" w:eastAsia="宋体" w:cs="宋体"/>
                <w:sz w:val="21"/>
                <w:szCs w:val="21"/>
                <w:lang w:eastAsia="zh-CN"/>
              </w:rPr>
            </w:pPr>
          </w:p>
        </w:tc>
        <w:tc>
          <w:tcPr>
            <w:tcW w:w="6095" w:type="dxa"/>
            <w:noWrap w:val="0"/>
            <w:vAlign w:val="center"/>
          </w:tcPr>
          <w:p w14:paraId="25F4CD5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15、工控主机：I5、内存：DDR3 4G，硬盘：SSD 128G，静音设计；</w:t>
            </w:r>
          </w:p>
        </w:tc>
      </w:tr>
      <w:tr w14:paraId="7DC1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77513C8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EAD3AB6">
            <w:pPr>
              <w:widowControl/>
              <w:jc w:val="center"/>
              <w:rPr>
                <w:rFonts w:hint="eastAsia" w:ascii="宋体" w:hAnsi="宋体" w:eastAsia="宋体" w:cs="宋体"/>
                <w:sz w:val="21"/>
                <w:szCs w:val="21"/>
                <w:lang w:eastAsia="zh-CN"/>
              </w:rPr>
            </w:pPr>
          </w:p>
        </w:tc>
        <w:tc>
          <w:tcPr>
            <w:tcW w:w="6095" w:type="dxa"/>
            <w:noWrap w:val="0"/>
            <w:vAlign w:val="center"/>
          </w:tcPr>
          <w:p w14:paraId="50750B1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16、操作平台采用铝合金+钢化玻璃，厚度不超过25mm；</w:t>
            </w:r>
          </w:p>
        </w:tc>
      </w:tr>
      <w:tr w14:paraId="7638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344F879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3F12323">
            <w:pPr>
              <w:widowControl/>
              <w:jc w:val="center"/>
              <w:rPr>
                <w:rFonts w:hint="eastAsia" w:ascii="宋体" w:hAnsi="宋体" w:eastAsia="宋体" w:cs="宋体"/>
                <w:sz w:val="21"/>
                <w:szCs w:val="21"/>
                <w:lang w:eastAsia="zh-CN"/>
              </w:rPr>
            </w:pPr>
          </w:p>
        </w:tc>
        <w:tc>
          <w:tcPr>
            <w:tcW w:w="6095" w:type="dxa"/>
            <w:noWrap w:val="0"/>
            <w:vAlign w:val="center"/>
          </w:tcPr>
          <w:p w14:paraId="4FF2953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17、读写距离：0～15cm（根据需求配置）；</w:t>
            </w:r>
          </w:p>
        </w:tc>
      </w:tr>
      <w:tr w14:paraId="6283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379BDBC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62B475D">
            <w:pPr>
              <w:widowControl/>
              <w:jc w:val="center"/>
              <w:rPr>
                <w:rFonts w:hint="eastAsia" w:ascii="宋体" w:hAnsi="宋体" w:eastAsia="宋体" w:cs="宋体"/>
                <w:sz w:val="21"/>
                <w:szCs w:val="21"/>
                <w:lang w:eastAsia="zh-CN"/>
              </w:rPr>
            </w:pPr>
          </w:p>
        </w:tc>
        <w:tc>
          <w:tcPr>
            <w:tcW w:w="6095" w:type="dxa"/>
            <w:noWrap w:val="0"/>
            <w:vAlign w:val="center"/>
          </w:tcPr>
          <w:p w14:paraId="699A36F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18、材质：铝合金+钢化玻璃+防火ABS；</w:t>
            </w:r>
          </w:p>
        </w:tc>
      </w:tr>
      <w:tr w14:paraId="07B4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7B93099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DF1D81F">
            <w:pPr>
              <w:widowControl/>
              <w:jc w:val="center"/>
              <w:rPr>
                <w:rFonts w:hint="eastAsia" w:ascii="宋体" w:hAnsi="宋体" w:eastAsia="宋体" w:cs="宋体"/>
                <w:sz w:val="21"/>
                <w:szCs w:val="21"/>
                <w:lang w:eastAsia="zh-CN"/>
              </w:rPr>
            </w:pPr>
          </w:p>
        </w:tc>
        <w:tc>
          <w:tcPr>
            <w:tcW w:w="6095" w:type="dxa"/>
            <w:noWrap w:val="0"/>
            <w:vAlign w:val="center"/>
          </w:tcPr>
          <w:p w14:paraId="30EE27C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19、电源供电：AC220±10%；</w:t>
            </w:r>
          </w:p>
        </w:tc>
      </w:tr>
      <w:tr w14:paraId="45C4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vMerge w:val="continue"/>
            <w:shd w:val="clear" w:color="000000" w:fill="FFFFFF"/>
            <w:noWrap w:val="0"/>
            <w:vAlign w:val="center"/>
          </w:tcPr>
          <w:p w14:paraId="16032CA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A6C1E2C">
            <w:pPr>
              <w:widowControl/>
              <w:jc w:val="center"/>
              <w:rPr>
                <w:rFonts w:hint="eastAsia" w:ascii="宋体" w:hAnsi="宋体" w:eastAsia="宋体" w:cs="宋体"/>
                <w:sz w:val="21"/>
                <w:szCs w:val="21"/>
                <w:lang w:eastAsia="zh-CN"/>
              </w:rPr>
            </w:pPr>
          </w:p>
        </w:tc>
        <w:tc>
          <w:tcPr>
            <w:tcW w:w="6095" w:type="dxa"/>
            <w:noWrap w:val="0"/>
            <w:vAlign w:val="center"/>
          </w:tcPr>
          <w:p w14:paraId="7D8646C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20、工作温度：-10℃～50℃，存储温度：-20℃～60℃；</w:t>
            </w:r>
          </w:p>
        </w:tc>
      </w:tr>
      <w:tr w14:paraId="7E9D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shd w:val="clear" w:color="000000" w:fill="FFFFFF"/>
            <w:noWrap w:val="0"/>
            <w:vAlign w:val="center"/>
          </w:tcPr>
          <w:p w14:paraId="61D7DF84">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 xml:space="preserve">3 </w:t>
            </w:r>
          </w:p>
        </w:tc>
        <w:tc>
          <w:tcPr>
            <w:tcW w:w="1973" w:type="dxa"/>
            <w:noWrap w:val="0"/>
            <w:vAlign w:val="center"/>
          </w:tcPr>
          <w:p w14:paraId="08DBD54F">
            <w:pPr>
              <w:widowControl/>
              <w:jc w:val="center"/>
              <w:rPr>
                <w:rFonts w:hint="eastAsia" w:ascii="宋体" w:hAnsi="宋体" w:eastAsia="宋体" w:cs="宋体"/>
                <w:sz w:val="21"/>
                <w:szCs w:val="21"/>
                <w:lang w:eastAsia="zh-CN"/>
              </w:rPr>
            </w:pPr>
            <w:r>
              <w:rPr>
                <w:rFonts w:hint="eastAsia" w:ascii="宋体" w:hAnsi="宋体" w:eastAsia="宋体" w:cs="宋体"/>
                <w:kern w:val="2"/>
                <w:sz w:val="21"/>
                <w:szCs w:val="21"/>
                <w:lang w:eastAsia="zh-CN"/>
              </w:rPr>
              <w:t>读卡器</w:t>
            </w:r>
          </w:p>
        </w:tc>
        <w:tc>
          <w:tcPr>
            <w:tcW w:w="6095" w:type="dxa"/>
            <w:noWrap w:val="0"/>
            <w:vAlign w:val="center"/>
          </w:tcPr>
          <w:p w14:paraId="573CB1BB">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1.电源：DC5V±5%;</w:t>
            </w:r>
          </w:p>
          <w:p w14:paraId="6E47EE7B">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2.取电方式：USB取电；</w:t>
            </w:r>
          </w:p>
          <w:p w14:paraId="374B38E4">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3.电流：不大于300mA;</w:t>
            </w:r>
          </w:p>
          <w:p w14:paraId="1681167C">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4.连接线：标准1.8m USB通讯线材；</w:t>
            </w:r>
          </w:p>
          <w:p w14:paraId="3C324D15">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5.通讯接口：默认标准USB通讯接口，可选 RS232串口通讯</w:t>
            </w:r>
          </w:p>
          <w:p w14:paraId="0F1EF651">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6.通讯速率：USB：全速12M；</w:t>
            </w:r>
          </w:p>
          <w:p w14:paraId="0EF64CCE">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7.RS232：默认115200bps，可选9600bps~115200bps；</w:t>
            </w:r>
          </w:p>
          <w:p w14:paraId="6B845173">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8.支持卡片类型：符合ISO14443 TypeA&amp;B的非接触CPU卡，S50、S70卡协议ISO14443 /1/2/3/4 T=CL协议，支持M1系列工作频率.</w:t>
            </w:r>
          </w:p>
        </w:tc>
      </w:tr>
      <w:tr w14:paraId="6C6B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4" w:type="dxa"/>
            <w:shd w:val="clear" w:color="000000" w:fill="FFFFFF"/>
            <w:noWrap w:val="0"/>
            <w:vAlign w:val="center"/>
          </w:tcPr>
          <w:p w14:paraId="24C63C5B">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 xml:space="preserve">4 </w:t>
            </w:r>
          </w:p>
        </w:tc>
        <w:tc>
          <w:tcPr>
            <w:tcW w:w="1973" w:type="dxa"/>
            <w:noWrap w:val="0"/>
            <w:vAlign w:val="center"/>
          </w:tcPr>
          <w:p w14:paraId="073090E7">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定制读者证</w:t>
            </w:r>
          </w:p>
        </w:tc>
        <w:tc>
          <w:tcPr>
            <w:tcW w:w="6095" w:type="dxa"/>
            <w:noWrap w:val="0"/>
            <w:vAlign w:val="center"/>
          </w:tcPr>
          <w:p w14:paraId="7F270500">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功能描述：</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读者证主要用于读者的身份识别，主要用于图书借还，对读者身份进行认证。</w:t>
            </w:r>
          </w:p>
          <w:p w14:paraId="24344EF9">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1、外形尺寸：IS0标准卡85.6*54*0.8mm；</w:t>
            </w:r>
          </w:p>
          <w:p w14:paraId="30A1E759">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2、存储容量：8Kbit，16个分区，每分区两组密码；</w:t>
            </w:r>
          </w:p>
          <w:p w14:paraId="4538F757">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3、工作频率：13.56MHz；</w:t>
            </w:r>
          </w:p>
          <w:p w14:paraId="67005CB7">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4、通讯速率：106KBoud；</w:t>
            </w:r>
          </w:p>
          <w:p w14:paraId="01199275">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5、读写距离：2.5-10cm；</w:t>
            </w:r>
          </w:p>
          <w:p w14:paraId="2433718A">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6、读写时间：1-2ms；</w:t>
            </w:r>
          </w:p>
          <w:p w14:paraId="02B46DD0">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7、工作温度：-30℃～+50℃；</w:t>
            </w:r>
          </w:p>
          <w:p w14:paraId="2464745C">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8、擦写寿命：&gt;10万次；</w:t>
            </w:r>
          </w:p>
          <w:p w14:paraId="31D094D6">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9、数据保存：&gt;10年；</w:t>
            </w:r>
          </w:p>
          <w:p w14:paraId="5EA00A79">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10、封装材料：PVC、ABS、PET、PETG、0.13mm铜线；</w:t>
            </w:r>
          </w:p>
          <w:p w14:paraId="44DD135A">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11、封装工艺：超声波自动植线/自动碰焊；</w:t>
            </w:r>
          </w:p>
          <w:p w14:paraId="24B2ACE6">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12、执行标准：ISO14443，ISO10536；</w:t>
            </w:r>
          </w:p>
          <w:p w14:paraId="0356E4D3">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13、功    能：支持一卡多用；</w:t>
            </w:r>
          </w:p>
        </w:tc>
      </w:tr>
      <w:tr w14:paraId="15BC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4" w:type="dxa"/>
            <w:vMerge w:val="restart"/>
            <w:shd w:val="clear" w:color="000000" w:fill="FFFFFF"/>
            <w:noWrap w:val="0"/>
            <w:vAlign w:val="center"/>
          </w:tcPr>
          <w:p w14:paraId="56CD007E">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5 </w:t>
            </w:r>
          </w:p>
        </w:tc>
        <w:tc>
          <w:tcPr>
            <w:tcW w:w="1973" w:type="dxa"/>
            <w:vMerge w:val="restart"/>
            <w:noWrap w:val="0"/>
            <w:vAlign w:val="center"/>
          </w:tcPr>
          <w:p w14:paraId="62AB476F">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智慧图书发布终端</w:t>
            </w:r>
          </w:p>
        </w:tc>
        <w:tc>
          <w:tcPr>
            <w:tcW w:w="6095" w:type="dxa"/>
            <w:noWrap w:val="0"/>
            <w:vAlign w:val="center"/>
          </w:tcPr>
          <w:p w14:paraId="1A054CB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1、画框风格外观设计，四等边边框设计，保证视觉比例的协调。采用高强度折弯合金边框，防刮防掉色。</w:t>
            </w:r>
          </w:p>
        </w:tc>
      </w:tr>
      <w:tr w14:paraId="7A2B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D96748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E0141EF">
            <w:pPr>
              <w:widowControl/>
              <w:jc w:val="center"/>
              <w:rPr>
                <w:rFonts w:hint="eastAsia" w:ascii="宋体" w:hAnsi="宋体" w:eastAsia="宋体" w:cs="宋体"/>
                <w:sz w:val="21"/>
                <w:szCs w:val="21"/>
                <w:lang w:eastAsia="zh-CN"/>
              </w:rPr>
            </w:pPr>
          </w:p>
        </w:tc>
        <w:tc>
          <w:tcPr>
            <w:tcW w:w="6095" w:type="dxa"/>
            <w:noWrap w:val="0"/>
            <w:vAlign w:val="center"/>
          </w:tcPr>
          <w:p w14:paraId="62DE363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2、整机采用高雾度蛾眼液晶屏体，表面偏光纳米涂层增益屏体漫反射形成真实视感。屏体雾度≥25%，无需防眩光钢化玻璃或磨砂防眩光贴膜，全方位可视角度≥178°。</w:t>
            </w:r>
          </w:p>
        </w:tc>
      </w:tr>
      <w:tr w14:paraId="26D7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ED9C55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2702228">
            <w:pPr>
              <w:widowControl/>
              <w:jc w:val="center"/>
              <w:rPr>
                <w:rFonts w:hint="eastAsia" w:ascii="宋体" w:hAnsi="宋体" w:eastAsia="宋体" w:cs="宋体"/>
                <w:sz w:val="21"/>
                <w:szCs w:val="21"/>
                <w:lang w:eastAsia="zh-CN"/>
              </w:rPr>
            </w:pPr>
          </w:p>
        </w:tc>
        <w:tc>
          <w:tcPr>
            <w:tcW w:w="6095" w:type="dxa"/>
            <w:noWrap w:val="0"/>
            <w:vAlign w:val="center"/>
          </w:tcPr>
          <w:p w14:paraId="5E5E450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3、液晶屏显示尺寸≥86寸，分辨率≥3840*2160，显示比例16:9。</w:t>
            </w:r>
          </w:p>
        </w:tc>
      </w:tr>
      <w:tr w14:paraId="14CA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638EB3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C5C8ADF">
            <w:pPr>
              <w:widowControl/>
              <w:jc w:val="center"/>
              <w:rPr>
                <w:rFonts w:hint="eastAsia" w:ascii="宋体" w:hAnsi="宋体" w:eastAsia="宋体" w:cs="宋体"/>
                <w:sz w:val="21"/>
                <w:szCs w:val="21"/>
                <w:lang w:eastAsia="zh-CN"/>
              </w:rPr>
            </w:pPr>
          </w:p>
        </w:tc>
        <w:tc>
          <w:tcPr>
            <w:tcW w:w="6095" w:type="dxa"/>
            <w:noWrap w:val="0"/>
            <w:vAlign w:val="center"/>
          </w:tcPr>
          <w:p w14:paraId="65E3A42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4、屏幕增益强化真实视感，图像柔和逼真，显示效果贴近真实油画。</w:t>
            </w:r>
          </w:p>
        </w:tc>
      </w:tr>
      <w:tr w14:paraId="2CC5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444099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631CCD2">
            <w:pPr>
              <w:widowControl/>
              <w:jc w:val="center"/>
              <w:rPr>
                <w:rFonts w:hint="eastAsia" w:ascii="宋体" w:hAnsi="宋体" w:eastAsia="宋体" w:cs="宋体"/>
                <w:sz w:val="21"/>
                <w:szCs w:val="21"/>
                <w:lang w:eastAsia="zh-CN"/>
              </w:rPr>
            </w:pPr>
          </w:p>
        </w:tc>
        <w:tc>
          <w:tcPr>
            <w:tcW w:w="6095" w:type="dxa"/>
            <w:noWrap w:val="0"/>
            <w:vAlign w:val="center"/>
          </w:tcPr>
          <w:p w14:paraId="281EA2E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5、整机无任何外置、外露、外挂的天线及元器件模块，确保日常使用安全。（须提供具有CNAS认证的国家级权威第三方检测机构出具的功能检测报告复印件，要求内容能体现满足上述参数要求）</w:t>
            </w:r>
          </w:p>
        </w:tc>
      </w:tr>
      <w:tr w14:paraId="239D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D16950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66529DE">
            <w:pPr>
              <w:widowControl/>
              <w:jc w:val="center"/>
              <w:rPr>
                <w:rFonts w:hint="eastAsia" w:ascii="宋体" w:hAnsi="宋体" w:eastAsia="宋体" w:cs="宋体"/>
                <w:sz w:val="21"/>
                <w:szCs w:val="21"/>
                <w:lang w:eastAsia="zh-CN"/>
              </w:rPr>
            </w:pPr>
          </w:p>
        </w:tc>
        <w:tc>
          <w:tcPr>
            <w:tcW w:w="6095" w:type="dxa"/>
            <w:noWrap w:val="0"/>
            <w:vAlign w:val="center"/>
          </w:tcPr>
          <w:p w14:paraId="42F741B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6、内置2.0声道环绕功放，支持音视频声音外放。</w:t>
            </w:r>
          </w:p>
        </w:tc>
      </w:tr>
      <w:tr w14:paraId="67C0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690B69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D9A01A0">
            <w:pPr>
              <w:widowControl/>
              <w:jc w:val="center"/>
              <w:rPr>
                <w:rFonts w:hint="eastAsia" w:ascii="宋体" w:hAnsi="宋体" w:eastAsia="宋体" w:cs="宋体"/>
                <w:sz w:val="21"/>
                <w:szCs w:val="21"/>
                <w:lang w:eastAsia="zh-CN"/>
              </w:rPr>
            </w:pPr>
          </w:p>
        </w:tc>
        <w:tc>
          <w:tcPr>
            <w:tcW w:w="6095" w:type="dxa"/>
            <w:noWrap w:val="0"/>
            <w:vAlign w:val="center"/>
          </w:tcPr>
          <w:p w14:paraId="0657418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7、整机采用壁挂安装，整机与壁挂连接采用教育定制安全设计，须用专用工具锁定、解锁，确保使用安全及学校财产安全。</w:t>
            </w:r>
          </w:p>
        </w:tc>
      </w:tr>
      <w:tr w14:paraId="135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1F390A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0118B19">
            <w:pPr>
              <w:widowControl/>
              <w:jc w:val="center"/>
              <w:rPr>
                <w:rFonts w:hint="eastAsia" w:ascii="宋体" w:hAnsi="宋体" w:eastAsia="宋体" w:cs="宋体"/>
                <w:sz w:val="21"/>
                <w:szCs w:val="21"/>
                <w:lang w:eastAsia="zh-CN"/>
              </w:rPr>
            </w:pPr>
          </w:p>
        </w:tc>
        <w:tc>
          <w:tcPr>
            <w:tcW w:w="6095" w:type="dxa"/>
            <w:noWrap w:val="0"/>
            <w:vAlign w:val="center"/>
          </w:tcPr>
          <w:p w14:paraId="0511440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8、整机接口：USB 2.0*2（≥1路支持OTG），HDMI-IN*1,RJ45*1，内置Wi-Fi模块（10M/100M/1000M）。全部端口采用隐藏设计，无可见外露端口，保证教学使用安全。</w:t>
            </w:r>
          </w:p>
        </w:tc>
      </w:tr>
      <w:tr w14:paraId="639F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6AC387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33AAEFA">
            <w:pPr>
              <w:widowControl/>
              <w:jc w:val="center"/>
              <w:rPr>
                <w:rFonts w:hint="eastAsia" w:ascii="宋体" w:hAnsi="宋体" w:eastAsia="宋体" w:cs="宋体"/>
                <w:sz w:val="21"/>
                <w:szCs w:val="21"/>
                <w:lang w:eastAsia="zh-CN"/>
              </w:rPr>
            </w:pPr>
          </w:p>
        </w:tc>
        <w:tc>
          <w:tcPr>
            <w:tcW w:w="6095" w:type="dxa"/>
            <w:noWrap w:val="0"/>
            <w:vAlign w:val="center"/>
          </w:tcPr>
          <w:p w14:paraId="739446C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9、兼容主流多媒体格式。视频格式：MPEG1、MPEG2、MPEG4、 H.263、H.264等；音频格式：MP3等；图片格式：JPG、JPEG、BMP、PNG、GIF 等。</w:t>
            </w:r>
          </w:p>
        </w:tc>
      </w:tr>
      <w:tr w14:paraId="2FA6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9A10F6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10841FE">
            <w:pPr>
              <w:widowControl/>
              <w:jc w:val="center"/>
              <w:rPr>
                <w:rFonts w:hint="eastAsia" w:ascii="宋体" w:hAnsi="宋体" w:eastAsia="宋体" w:cs="宋体"/>
                <w:sz w:val="21"/>
                <w:szCs w:val="21"/>
                <w:lang w:eastAsia="zh-CN"/>
              </w:rPr>
            </w:pPr>
          </w:p>
        </w:tc>
        <w:tc>
          <w:tcPr>
            <w:tcW w:w="6095" w:type="dxa"/>
            <w:noWrap w:val="0"/>
            <w:vAlign w:val="center"/>
          </w:tcPr>
          <w:p w14:paraId="0B54345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10、终端支持后台远程设置整机自动关机。</w:t>
            </w:r>
          </w:p>
        </w:tc>
      </w:tr>
      <w:tr w14:paraId="174E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22D8F4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82C054D">
            <w:pPr>
              <w:widowControl/>
              <w:jc w:val="center"/>
              <w:rPr>
                <w:rFonts w:hint="eastAsia" w:ascii="宋体" w:hAnsi="宋体" w:eastAsia="宋体" w:cs="宋体"/>
                <w:sz w:val="21"/>
                <w:szCs w:val="21"/>
                <w:lang w:eastAsia="zh-CN"/>
              </w:rPr>
            </w:pPr>
          </w:p>
        </w:tc>
        <w:tc>
          <w:tcPr>
            <w:tcW w:w="6095" w:type="dxa"/>
            <w:noWrap w:val="0"/>
            <w:vAlign w:val="center"/>
          </w:tcPr>
          <w:p w14:paraId="139C4DB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11、信息发布系统一体化，无需外接任何设备如发布盒子等。</w:t>
            </w:r>
          </w:p>
        </w:tc>
      </w:tr>
      <w:tr w14:paraId="7B42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C226DE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E752FA5">
            <w:pPr>
              <w:widowControl/>
              <w:jc w:val="center"/>
              <w:rPr>
                <w:rFonts w:hint="eastAsia" w:ascii="宋体" w:hAnsi="宋体" w:eastAsia="宋体" w:cs="宋体"/>
                <w:sz w:val="21"/>
                <w:szCs w:val="21"/>
                <w:lang w:eastAsia="zh-CN"/>
              </w:rPr>
            </w:pPr>
          </w:p>
        </w:tc>
        <w:tc>
          <w:tcPr>
            <w:tcW w:w="6095" w:type="dxa"/>
            <w:noWrap w:val="0"/>
            <w:vAlign w:val="center"/>
          </w:tcPr>
          <w:p w14:paraId="377AF473">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▲12、支持手机通过蓝牙连接整机，对整机进行遥控控制。（须提供具有CNAS认证的国家级权威第三方检测机构出具的功能检测报告复印件，要求内容能体现满足上述参数要求），</w:t>
            </w:r>
          </w:p>
        </w:tc>
      </w:tr>
      <w:tr w14:paraId="10F2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42578D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40C78BA">
            <w:pPr>
              <w:widowControl/>
              <w:jc w:val="center"/>
              <w:rPr>
                <w:rFonts w:hint="eastAsia" w:ascii="宋体" w:hAnsi="宋体" w:eastAsia="宋体" w:cs="宋体"/>
                <w:sz w:val="21"/>
                <w:szCs w:val="21"/>
                <w:lang w:eastAsia="zh-CN"/>
              </w:rPr>
            </w:pPr>
          </w:p>
        </w:tc>
        <w:tc>
          <w:tcPr>
            <w:tcW w:w="6095" w:type="dxa"/>
            <w:noWrap w:val="0"/>
            <w:vAlign w:val="center"/>
          </w:tcPr>
          <w:p w14:paraId="43D1BB1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13、管理后台支持跨平台（Windows、ios和安卓）应用操作的能力。</w:t>
            </w:r>
          </w:p>
        </w:tc>
      </w:tr>
      <w:tr w14:paraId="68FA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6B00BE9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D1DEC5F">
            <w:pPr>
              <w:widowControl/>
              <w:jc w:val="center"/>
              <w:rPr>
                <w:rFonts w:hint="eastAsia" w:ascii="宋体" w:hAnsi="宋体" w:eastAsia="宋体" w:cs="宋体"/>
                <w:sz w:val="21"/>
                <w:szCs w:val="21"/>
                <w:lang w:eastAsia="zh-CN"/>
              </w:rPr>
            </w:pPr>
          </w:p>
        </w:tc>
        <w:tc>
          <w:tcPr>
            <w:tcW w:w="6095" w:type="dxa"/>
            <w:noWrap w:val="0"/>
            <w:vAlign w:val="center"/>
          </w:tcPr>
          <w:p w14:paraId="640DF5F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14、管理后台采用微信小程序方式，无需下载，即用即走，方便快捷，使用者可以高效快速的实现对设备的远程控制与管理。</w:t>
            </w:r>
          </w:p>
        </w:tc>
      </w:tr>
      <w:tr w14:paraId="6839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4BB27CD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D54766B">
            <w:pPr>
              <w:widowControl/>
              <w:jc w:val="center"/>
              <w:rPr>
                <w:rFonts w:hint="eastAsia" w:ascii="宋体" w:hAnsi="宋体" w:eastAsia="宋体" w:cs="宋体"/>
                <w:sz w:val="21"/>
                <w:szCs w:val="21"/>
                <w:lang w:eastAsia="zh-CN"/>
              </w:rPr>
            </w:pPr>
          </w:p>
        </w:tc>
        <w:tc>
          <w:tcPr>
            <w:tcW w:w="6095" w:type="dxa"/>
            <w:noWrap w:val="0"/>
            <w:vAlign w:val="center"/>
          </w:tcPr>
          <w:p w14:paraId="34B6AFC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15、多端管理：设备支持桌面Windows系统下使用微信小程序进行设备管理、内容管理和发布；也可支持通过移动端（iOS、安卓）微信小程序进行设备管理、内容管理和发布。</w:t>
            </w:r>
          </w:p>
        </w:tc>
      </w:tr>
      <w:tr w14:paraId="671B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20A83FE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6A9411F">
            <w:pPr>
              <w:widowControl/>
              <w:jc w:val="center"/>
              <w:rPr>
                <w:rFonts w:hint="eastAsia" w:ascii="宋体" w:hAnsi="宋体" w:eastAsia="宋体" w:cs="宋体"/>
                <w:sz w:val="21"/>
                <w:szCs w:val="21"/>
                <w:lang w:eastAsia="zh-CN"/>
              </w:rPr>
            </w:pPr>
          </w:p>
        </w:tc>
        <w:tc>
          <w:tcPr>
            <w:tcW w:w="6095" w:type="dxa"/>
            <w:noWrap w:val="0"/>
            <w:vAlign w:val="center"/>
          </w:tcPr>
          <w:p w14:paraId="061270B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16、设备绑定：支持在设备上生成动态二维码，采用微信扫码进行设备与空间/场地的绑定。</w:t>
            </w:r>
          </w:p>
        </w:tc>
      </w:tr>
      <w:tr w14:paraId="3426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45FFE09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7423F36">
            <w:pPr>
              <w:widowControl/>
              <w:jc w:val="center"/>
              <w:rPr>
                <w:rFonts w:hint="eastAsia" w:ascii="宋体" w:hAnsi="宋体" w:eastAsia="宋体" w:cs="宋体"/>
                <w:sz w:val="21"/>
                <w:szCs w:val="21"/>
                <w:lang w:eastAsia="zh-CN"/>
              </w:rPr>
            </w:pPr>
          </w:p>
        </w:tc>
        <w:tc>
          <w:tcPr>
            <w:tcW w:w="6095" w:type="dxa"/>
            <w:noWrap w:val="0"/>
            <w:vAlign w:val="center"/>
          </w:tcPr>
          <w:p w14:paraId="0B088C4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17、设备展示：支持图片、视频播放，云屏上的节目支持播放模式设置；</w:t>
            </w:r>
          </w:p>
        </w:tc>
      </w:tr>
      <w:tr w14:paraId="7347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51C0FC1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AECE68E">
            <w:pPr>
              <w:widowControl/>
              <w:jc w:val="center"/>
              <w:rPr>
                <w:rFonts w:hint="eastAsia" w:ascii="宋体" w:hAnsi="宋体" w:eastAsia="宋体" w:cs="宋体"/>
                <w:sz w:val="21"/>
                <w:szCs w:val="21"/>
                <w:lang w:eastAsia="zh-CN"/>
              </w:rPr>
            </w:pPr>
          </w:p>
        </w:tc>
        <w:tc>
          <w:tcPr>
            <w:tcW w:w="6095" w:type="dxa"/>
            <w:noWrap w:val="0"/>
            <w:vAlign w:val="center"/>
          </w:tcPr>
          <w:p w14:paraId="34770D2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18、支持留言帖功能，通过微信小程序发布留言，可以在云屏上显示。</w:t>
            </w:r>
          </w:p>
        </w:tc>
      </w:tr>
      <w:tr w14:paraId="0D00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59E83A0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F5DC8E4">
            <w:pPr>
              <w:widowControl/>
              <w:jc w:val="center"/>
              <w:rPr>
                <w:rFonts w:hint="eastAsia" w:ascii="宋体" w:hAnsi="宋体" w:eastAsia="宋体" w:cs="宋体"/>
                <w:sz w:val="21"/>
                <w:szCs w:val="21"/>
                <w:lang w:eastAsia="zh-CN"/>
              </w:rPr>
            </w:pPr>
          </w:p>
        </w:tc>
        <w:tc>
          <w:tcPr>
            <w:tcW w:w="6095" w:type="dxa"/>
            <w:noWrap w:val="0"/>
            <w:vAlign w:val="center"/>
          </w:tcPr>
          <w:p w14:paraId="0CF405F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19、客户端设置：支持网络设置、绑定空间查看；</w:t>
            </w:r>
          </w:p>
        </w:tc>
      </w:tr>
      <w:tr w14:paraId="6FBE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693B3BB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DB65B8C">
            <w:pPr>
              <w:widowControl/>
              <w:jc w:val="center"/>
              <w:rPr>
                <w:rFonts w:hint="eastAsia" w:ascii="宋体" w:hAnsi="宋体" w:eastAsia="宋体" w:cs="宋体"/>
                <w:sz w:val="21"/>
                <w:szCs w:val="21"/>
                <w:lang w:eastAsia="zh-CN"/>
              </w:rPr>
            </w:pPr>
          </w:p>
        </w:tc>
        <w:tc>
          <w:tcPr>
            <w:tcW w:w="6095" w:type="dxa"/>
            <w:noWrap w:val="0"/>
            <w:vAlign w:val="center"/>
          </w:tcPr>
          <w:p w14:paraId="5469E94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20、支持亮度调节、屏幕显示方向设置；</w:t>
            </w:r>
          </w:p>
        </w:tc>
      </w:tr>
      <w:tr w14:paraId="088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74" w:type="dxa"/>
            <w:vMerge w:val="continue"/>
            <w:shd w:val="clear" w:color="000000" w:fill="FFFFFF"/>
            <w:noWrap w:val="0"/>
            <w:vAlign w:val="center"/>
          </w:tcPr>
          <w:p w14:paraId="5AEF76D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A66E70E">
            <w:pPr>
              <w:widowControl/>
              <w:jc w:val="center"/>
              <w:rPr>
                <w:rFonts w:hint="eastAsia" w:ascii="宋体" w:hAnsi="宋体" w:eastAsia="宋体" w:cs="宋体"/>
                <w:sz w:val="21"/>
                <w:szCs w:val="21"/>
                <w:lang w:eastAsia="zh-CN"/>
              </w:rPr>
            </w:pPr>
          </w:p>
        </w:tc>
        <w:tc>
          <w:tcPr>
            <w:tcW w:w="6095" w:type="dxa"/>
            <w:noWrap w:val="0"/>
            <w:vAlign w:val="center"/>
          </w:tcPr>
          <w:p w14:paraId="45114A9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21、支持立即重启控制；</w:t>
            </w:r>
          </w:p>
        </w:tc>
      </w:tr>
      <w:tr w14:paraId="4F30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6071460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8E887C3">
            <w:pPr>
              <w:widowControl/>
              <w:jc w:val="center"/>
              <w:rPr>
                <w:rFonts w:hint="eastAsia" w:ascii="宋体" w:hAnsi="宋体" w:eastAsia="宋体" w:cs="宋体"/>
                <w:sz w:val="21"/>
                <w:szCs w:val="21"/>
                <w:lang w:eastAsia="zh-CN"/>
              </w:rPr>
            </w:pPr>
          </w:p>
        </w:tc>
        <w:tc>
          <w:tcPr>
            <w:tcW w:w="6095" w:type="dxa"/>
            <w:noWrap w:val="0"/>
            <w:vAlign w:val="center"/>
          </w:tcPr>
          <w:p w14:paraId="4D3818D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22、支持一键进入原生安卓系统桌面；</w:t>
            </w:r>
          </w:p>
        </w:tc>
      </w:tr>
      <w:tr w14:paraId="3F86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74" w:type="dxa"/>
            <w:vMerge w:val="continue"/>
            <w:shd w:val="clear" w:color="000000" w:fill="FFFFFF"/>
            <w:noWrap w:val="0"/>
            <w:vAlign w:val="center"/>
          </w:tcPr>
          <w:p w14:paraId="158DAF0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7595017">
            <w:pPr>
              <w:widowControl/>
              <w:jc w:val="center"/>
              <w:rPr>
                <w:rFonts w:hint="eastAsia" w:ascii="宋体" w:hAnsi="宋体" w:eastAsia="宋体" w:cs="宋体"/>
                <w:sz w:val="21"/>
                <w:szCs w:val="21"/>
                <w:lang w:eastAsia="zh-CN"/>
              </w:rPr>
            </w:pPr>
          </w:p>
        </w:tc>
        <w:tc>
          <w:tcPr>
            <w:tcW w:w="6095" w:type="dxa"/>
            <w:noWrap w:val="0"/>
            <w:vAlign w:val="center"/>
          </w:tcPr>
          <w:p w14:paraId="0C84814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23、支持扫码方式预览使用说明书；</w:t>
            </w:r>
          </w:p>
        </w:tc>
      </w:tr>
      <w:tr w14:paraId="0E046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2B7F99C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6200688">
            <w:pPr>
              <w:widowControl/>
              <w:jc w:val="center"/>
              <w:rPr>
                <w:rFonts w:hint="eastAsia" w:ascii="宋体" w:hAnsi="宋体" w:eastAsia="宋体" w:cs="宋体"/>
                <w:sz w:val="21"/>
                <w:szCs w:val="21"/>
                <w:lang w:eastAsia="zh-CN"/>
              </w:rPr>
            </w:pPr>
          </w:p>
        </w:tc>
        <w:tc>
          <w:tcPr>
            <w:tcW w:w="6095" w:type="dxa"/>
            <w:noWrap w:val="0"/>
            <w:vAlign w:val="center"/>
          </w:tcPr>
          <w:p w14:paraId="6AFB7C8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24、支持云屏应用客户端是否置顶云屏应用。</w:t>
            </w:r>
          </w:p>
        </w:tc>
      </w:tr>
      <w:tr w14:paraId="782D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0ADC85F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D96F30D">
            <w:pPr>
              <w:widowControl/>
              <w:jc w:val="center"/>
              <w:rPr>
                <w:rFonts w:hint="eastAsia" w:ascii="宋体" w:hAnsi="宋体" w:eastAsia="宋体" w:cs="宋体"/>
                <w:sz w:val="21"/>
                <w:szCs w:val="21"/>
                <w:lang w:eastAsia="zh-CN"/>
              </w:rPr>
            </w:pPr>
          </w:p>
        </w:tc>
        <w:tc>
          <w:tcPr>
            <w:tcW w:w="6095" w:type="dxa"/>
            <w:noWrap w:val="0"/>
            <w:vAlign w:val="center"/>
          </w:tcPr>
          <w:p w14:paraId="15C6E1E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25、登录管理：支持手机号验证码登录、微信和账号方式登录。</w:t>
            </w:r>
          </w:p>
        </w:tc>
      </w:tr>
      <w:tr w14:paraId="4F3A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2056644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BCC1280">
            <w:pPr>
              <w:widowControl/>
              <w:jc w:val="center"/>
              <w:rPr>
                <w:rFonts w:hint="eastAsia" w:ascii="宋体" w:hAnsi="宋体" w:eastAsia="宋体" w:cs="宋体"/>
                <w:sz w:val="21"/>
                <w:szCs w:val="21"/>
                <w:lang w:eastAsia="zh-CN"/>
              </w:rPr>
            </w:pPr>
          </w:p>
        </w:tc>
        <w:tc>
          <w:tcPr>
            <w:tcW w:w="6095" w:type="dxa"/>
            <w:noWrap w:val="0"/>
            <w:vAlign w:val="center"/>
          </w:tcPr>
          <w:p w14:paraId="41DAAB4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26、空间管理：支持空间图片、视频内容排序功能；</w:t>
            </w:r>
          </w:p>
        </w:tc>
      </w:tr>
      <w:tr w14:paraId="5406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28B57C6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A7CBCD0">
            <w:pPr>
              <w:widowControl/>
              <w:jc w:val="center"/>
              <w:rPr>
                <w:rFonts w:hint="eastAsia" w:ascii="宋体" w:hAnsi="宋体" w:eastAsia="宋体" w:cs="宋体"/>
                <w:sz w:val="21"/>
                <w:szCs w:val="21"/>
                <w:lang w:eastAsia="zh-CN"/>
              </w:rPr>
            </w:pPr>
          </w:p>
        </w:tc>
        <w:tc>
          <w:tcPr>
            <w:tcW w:w="6095" w:type="dxa"/>
            <w:noWrap w:val="0"/>
            <w:vAlign w:val="center"/>
          </w:tcPr>
          <w:p w14:paraId="0C1CDCF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27、支持空间置顶功能，在多个空间时查找更加方便；</w:t>
            </w:r>
          </w:p>
        </w:tc>
      </w:tr>
      <w:tr w14:paraId="1CBE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6A0A96C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F311B97">
            <w:pPr>
              <w:widowControl/>
              <w:jc w:val="center"/>
              <w:rPr>
                <w:rFonts w:hint="eastAsia" w:ascii="宋体" w:hAnsi="宋体" w:eastAsia="宋体" w:cs="宋体"/>
                <w:sz w:val="21"/>
                <w:szCs w:val="21"/>
                <w:lang w:eastAsia="zh-CN"/>
              </w:rPr>
            </w:pPr>
          </w:p>
        </w:tc>
        <w:tc>
          <w:tcPr>
            <w:tcW w:w="6095" w:type="dxa"/>
            <w:noWrap w:val="0"/>
            <w:vAlign w:val="center"/>
          </w:tcPr>
          <w:p w14:paraId="3646650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28、内容发布：支持一键发布功能，支持图片、视频和留言发布。</w:t>
            </w:r>
          </w:p>
        </w:tc>
      </w:tr>
      <w:tr w14:paraId="637E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0266FF6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0D2299B">
            <w:pPr>
              <w:widowControl/>
              <w:jc w:val="center"/>
              <w:rPr>
                <w:rFonts w:hint="eastAsia" w:ascii="宋体" w:hAnsi="宋体" w:eastAsia="宋体" w:cs="宋体"/>
                <w:sz w:val="21"/>
                <w:szCs w:val="21"/>
                <w:lang w:eastAsia="zh-CN"/>
              </w:rPr>
            </w:pPr>
          </w:p>
        </w:tc>
        <w:tc>
          <w:tcPr>
            <w:tcW w:w="6095" w:type="dxa"/>
            <w:noWrap w:val="0"/>
            <w:vAlign w:val="center"/>
          </w:tcPr>
          <w:p w14:paraId="208C087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29、支持微信小程序上传图片和视频，并快速发布至设备端上展示。</w:t>
            </w:r>
          </w:p>
        </w:tc>
      </w:tr>
      <w:tr w14:paraId="3B8E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3D6494F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D34DB20">
            <w:pPr>
              <w:widowControl/>
              <w:jc w:val="center"/>
              <w:rPr>
                <w:rFonts w:hint="eastAsia" w:ascii="宋体" w:hAnsi="宋体" w:eastAsia="宋体" w:cs="宋体"/>
                <w:sz w:val="21"/>
                <w:szCs w:val="21"/>
                <w:lang w:eastAsia="zh-CN"/>
              </w:rPr>
            </w:pPr>
          </w:p>
        </w:tc>
        <w:tc>
          <w:tcPr>
            <w:tcW w:w="6095" w:type="dxa"/>
            <w:noWrap w:val="0"/>
            <w:vAlign w:val="center"/>
          </w:tcPr>
          <w:p w14:paraId="5BD5F23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30、小程序内集成图库资源，支持通过微信小程序将图库内图片一键发送到设备上展示；</w:t>
            </w:r>
          </w:p>
        </w:tc>
      </w:tr>
      <w:tr w14:paraId="219E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45836AE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7680D04">
            <w:pPr>
              <w:widowControl/>
              <w:jc w:val="center"/>
              <w:rPr>
                <w:rFonts w:hint="eastAsia" w:ascii="宋体" w:hAnsi="宋体" w:eastAsia="宋体" w:cs="宋体"/>
                <w:sz w:val="21"/>
                <w:szCs w:val="21"/>
                <w:lang w:eastAsia="zh-CN"/>
              </w:rPr>
            </w:pPr>
          </w:p>
        </w:tc>
        <w:tc>
          <w:tcPr>
            <w:tcW w:w="6095" w:type="dxa"/>
            <w:noWrap w:val="0"/>
            <w:vAlign w:val="center"/>
          </w:tcPr>
          <w:p w14:paraId="0D4EABE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31、图库资源：小程序内提供日常展示使用的图库资源，包括世界名画、风景名胜、节目活动、卫生健康、二十四节气、党建文化和理想信念教育等主题资源，资源数量不低于80套。</w:t>
            </w:r>
          </w:p>
        </w:tc>
      </w:tr>
      <w:tr w14:paraId="499B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02802D3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8A0DC39">
            <w:pPr>
              <w:widowControl/>
              <w:jc w:val="center"/>
              <w:rPr>
                <w:rFonts w:hint="eastAsia" w:ascii="宋体" w:hAnsi="宋体" w:eastAsia="宋体" w:cs="宋体"/>
                <w:sz w:val="21"/>
                <w:szCs w:val="21"/>
                <w:lang w:eastAsia="zh-CN"/>
              </w:rPr>
            </w:pPr>
          </w:p>
        </w:tc>
        <w:tc>
          <w:tcPr>
            <w:tcW w:w="6095" w:type="dxa"/>
            <w:noWrap w:val="0"/>
            <w:vAlign w:val="center"/>
          </w:tcPr>
          <w:p w14:paraId="6F41437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32、图片编辑与拼图：支持对图片进行自由裁剪或按比例剪裁；</w:t>
            </w:r>
          </w:p>
        </w:tc>
      </w:tr>
      <w:tr w14:paraId="2091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32EF308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88C8CAD">
            <w:pPr>
              <w:widowControl/>
              <w:jc w:val="center"/>
              <w:rPr>
                <w:rFonts w:hint="eastAsia" w:ascii="宋体" w:hAnsi="宋体" w:eastAsia="宋体" w:cs="宋体"/>
                <w:sz w:val="21"/>
                <w:szCs w:val="21"/>
                <w:lang w:eastAsia="zh-CN"/>
              </w:rPr>
            </w:pPr>
          </w:p>
        </w:tc>
        <w:tc>
          <w:tcPr>
            <w:tcW w:w="6095" w:type="dxa"/>
            <w:noWrap w:val="0"/>
            <w:vAlign w:val="center"/>
          </w:tcPr>
          <w:p w14:paraId="30BC234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33、支持滤镜功能，让图片更加美观，具备欣赏性；</w:t>
            </w:r>
          </w:p>
        </w:tc>
      </w:tr>
      <w:tr w14:paraId="572E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53DCD38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2C342E0">
            <w:pPr>
              <w:widowControl/>
              <w:jc w:val="center"/>
              <w:rPr>
                <w:rFonts w:hint="eastAsia" w:ascii="宋体" w:hAnsi="宋体" w:eastAsia="宋体" w:cs="宋体"/>
                <w:sz w:val="21"/>
                <w:szCs w:val="21"/>
                <w:lang w:eastAsia="zh-CN"/>
              </w:rPr>
            </w:pPr>
          </w:p>
        </w:tc>
        <w:tc>
          <w:tcPr>
            <w:tcW w:w="6095" w:type="dxa"/>
            <w:noWrap w:val="0"/>
            <w:vAlign w:val="center"/>
          </w:tcPr>
          <w:p w14:paraId="1824E9D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34、支持对图片进行加字（不低于10种字体）、支持对字号修改（范围：20px~600px）、支持字体颜色修改（24种颜色）、支持对文本对齐方式修改（右对齐、居中对齐、左对齐）。</w:t>
            </w:r>
          </w:p>
        </w:tc>
      </w:tr>
      <w:tr w14:paraId="3FAF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675669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DFC34D3">
            <w:pPr>
              <w:widowControl/>
              <w:jc w:val="center"/>
              <w:rPr>
                <w:rFonts w:hint="eastAsia" w:ascii="宋体" w:hAnsi="宋体" w:eastAsia="宋体" w:cs="宋体"/>
                <w:sz w:val="21"/>
                <w:szCs w:val="21"/>
                <w:lang w:eastAsia="zh-CN"/>
              </w:rPr>
            </w:pPr>
          </w:p>
        </w:tc>
        <w:tc>
          <w:tcPr>
            <w:tcW w:w="6095" w:type="dxa"/>
            <w:noWrap w:val="0"/>
            <w:vAlign w:val="center"/>
          </w:tcPr>
          <w:p w14:paraId="0E3FBD03">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35、支持对文字元素框的复制、删除、移动、拉伸和放大。</w:t>
            </w:r>
          </w:p>
        </w:tc>
      </w:tr>
      <w:tr w14:paraId="543B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5DC3D1C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2429C9D">
            <w:pPr>
              <w:widowControl/>
              <w:jc w:val="center"/>
              <w:rPr>
                <w:rFonts w:hint="eastAsia" w:ascii="宋体" w:hAnsi="宋体" w:eastAsia="宋体" w:cs="宋体"/>
                <w:sz w:val="21"/>
                <w:szCs w:val="21"/>
                <w:lang w:eastAsia="zh-CN"/>
              </w:rPr>
            </w:pPr>
          </w:p>
        </w:tc>
        <w:tc>
          <w:tcPr>
            <w:tcW w:w="6095" w:type="dxa"/>
            <w:noWrap w:val="0"/>
            <w:vAlign w:val="center"/>
          </w:tcPr>
          <w:p w14:paraId="7EBCC30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36、支持拼图功能，根据上传图片的数量推荐模板，也可以自选；支持照片替换功能。</w:t>
            </w:r>
          </w:p>
        </w:tc>
      </w:tr>
      <w:tr w14:paraId="63D4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573387D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5011C99">
            <w:pPr>
              <w:widowControl/>
              <w:jc w:val="center"/>
              <w:rPr>
                <w:rFonts w:hint="eastAsia" w:ascii="宋体" w:hAnsi="宋体" w:eastAsia="宋体" w:cs="宋体"/>
                <w:sz w:val="21"/>
                <w:szCs w:val="21"/>
                <w:lang w:eastAsia="zh-CN"/>
              </w:rPr>
            </w:pPr>
          </w:p>
        </w:tc>
        <w:tc>
          <w:tcPr>
            <w:tcW w:w="6095" w:type="dxa"/>
            <w:noWrap w:val="0"/>
            <w:vAlign w:val="center"/>
          </w:tcPr>
          <w:p w14:paraId="5203D19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37、模式设置：支持插入播放与霸屏模式。支持通过小程序将发布的校园海报设置为临时霸屏模式，也可设置为插入播放模式，与原节目一起播放。</w:t>
            </w:r>
          </w:p>
        </w:tc>
      </w:tr>
      <w:tr w14:paraId="188B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5C28012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704EC35">
            <w:pPr>
              <w:widowControl/>
              <w:jc w:val="center"/>
              <w:rPr>
                <w:rFonts w:hint="eastAsia" w:ascii="宋体" w:hAnsi="宋体" w:eastAsia="宋体" w:cs="宋体"/>
                <w:sz w:val="21"/>
                <w:szCs w:val="21"/>
                <w:lang w:eastAsia="zh-CN"/>
              </w:rPr>
            </w:pPr>
          </w:p>
        </w:tc>
        <w:tc>
          <w:tcPr>
            <w:tcW w:w="6095" w:type="dxa"/>
            <w:noWrap w:val="0"/>
            <w:vAlign w:val="center"/>
          </w:tcPr>
          <w:p w14:paraId="0893730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38、支持轮播间隔设置，支持5秒/张、10秒/张、30秒/张、1分钟/张、3分钟/张、5分钟/张；</w:t>
            </w:r>
          </w:p>
        </w:tc>
      </w:tr>
      <w:tr w14:paraId="41A4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520FEFA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500AC27">
            <w:pPr>
              <w:widowControl/>
              <w:jc w:val="center"/>
              <w:rPr>
                <w:rFonts w:hint="eastAsia" w:ascii="宋体" w:hAnsi="宋体" w:eastAsia="宋体" w:cs="宋体"/>
                <w:sz w:val="21"/>
                <w:szCs w:val="21"/>
                <w:lang w:eastAsia="zh-CN"/>
              </w:rPr>
            </w:pPr>
          </w:p>
        </w:tc>
        <w:tc>
          <w:tcPr>
            <w:tcW w:w="6095" w:type="dxa"/>
            <w:noWrap w:val="0"/>
            <w:vAlign w:val="center"/>
          </w:tcPr>
          <w:p w14:paraId="3366158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39、支持夜间模式设置，在指定时间内屏幕亮度降低。</w:t>
            </w:r>
          </w:p>
        </w:tc>
      </w:tr>
      <w:tr w14:paraId="1950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4468FAB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D56C7C9">
            <w:pPr>
              <w:widowControl/>
              <w:jc w:val="center"/>
              <w:rPr>
                <w:rFonts w:hint="eastAsia" w:ascii="宋体" w:hAnsi="宋体" w:eastAsia="宋体" w:cs="宋体"/>
                <w:sz w:val="21"/>
                <w:szCs w:val="21"/>
                <w:lang w:eastAsia="zh-CN"/>
              </w:rPr>
            </w:pPr>
          </w:p>
        </w:tc>
        <w:tc>
          <w:tcPr>
            <w:tcW w:w="6095" w:type="dxa"/>
            <w:noWrap w:val="0"/>
            <w:vAlign w:val="center"/>
          </w:tcPr>
          <w:p w14:paraId="1D83D03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40、图片显示模式设置，支持适应屏幕和剪裁充满屏幕两种模式。</w:t>
            </w:r>
          </w:p>
        </w:tc>
      </w:tr>
      <w:tr w14:paraId="33A7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5454E2B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02F5671">
            <w:pPr>
              <w:widowControl/>
              <w:jc w:val="center"/>
              <w:rPr>
                <w:rFonts w:hint="eastAsia" w:ascii="宋体" w:hAnsi="宋体" w:eastAsia="宋体" w:cs="宋体"/>
                <w:sz w:val="21"/>
                <w:szCs w:val="21"/>
                <w:lang w:eastAsia="zh-CN"/>
              </w:rPr>
            </w:pPr>
          </w:p>
        </w:tc>
        <w:tc>
          <w:tcPr>
            <w:tcW w:w="6095" w:type="dxa"/>
            <w:noWrap w:val="0"/>
            <w:vAlign w:val="center"/>
          </w:tcPr>
          <w:p w14:paraId="63AF609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41、支持增加图片描述文字，用户可以设置图片显示描述功能是否开启。</w:t>
            </w:r>
          </w:p>
        </w:tc>
      </w:tr>
      <w:tr w14:paraId="383C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04DC5F8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AE989B1">
            <w:pPr>
              <w:widowControl/>
              <w:jc w:val="center"/>
              <w:rPr>
                <w:rFonts w:hint="eastAsia" w:ascii="宋体" w:hAnsi="宋体" w:eastAsia="宋体" w:cs="宋体"/>
                <w:sz w:val="21"/>
                <w:szCs w:val="21"/>
                <w:lang w:eastAsia="zh-CN"/>
              </w:rPr>
            </w:pPr>
          </w:p>
        </w:tc>
        <w:tc>
          <w:tcPr>
            <w:tcW w:w="6095" w:type="dxa"/>
            <w:noWrap w:val="0"/>
            <w:vAlign w:val="center"/>
          </w:tcPr>
          <w:p w14:paraId="355A62A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42、设备管理：支持单台和批量设备管理功能。</w:t>
            </w:r>
          </w:p>
        </w:tc>
      </w:tr>
      <w:tr w14:paraId="4023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3B68D7F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AA4F2EC">
            <w:pPr>
              <w:widowControl/>
              <w:jc w:val="center"/>
              <w:rPr>
                <w:rFonts w:hint="eastAsia" w:ascii="宋体" w:hAnsi="宋体" w:eastAsia="宋体" w:cs="宋体"/>
                <w:sz w:val="21"/>
                <w:szCs w:val="21"/>
                <w:lang w:eastAsia="zh-CN"/>
              </w:rPr>
            </w:pPr>
          </w:p>
        </w:tc>
        <w:tc>
          <w:tcPr>
            <w:tcW w:w="6095" w:type="dxa"/>
            <w:noWrap w:val="0"/>
            <w:vAlign w:val="center"/>
          </w:tcPr>
          <w:p w14:paraId="1237C8E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43、支持在小程序内扫码添加设备，绑定空间。</w:t>
            </w:r>
          </w:p>
        </w:tc>
      </w:tr>
      <w:tr w14:paraId="26D5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1FE6677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8273267">
            <w:pPr>
              <w:widowControl/>
              <w:jc w:val="center"/>
              <w:rPr>
                <w:rFonts w:hint="eastAsia" w:ascii="宋体" w:hAnsi="宋体" w:eastAsia="宋体" w:cs="宋体"/>
                <w:sz w:val="21"/>
                <w:szCs w:val="21"/>
                <w:lang w:eastAsia="zh-CN"/>
              </w:rPr>
            </w:pPr>
          </w:p>
        </w:tc>
        <w:tc>
          <w:tcPr>
            <w:tcW w:w="6095" w:type="dxa"/>
            <w:noWrap w:val="0"/>
            <w:vAlign w:val="center"/>
          </w:tcPr>
          <w:p w14:paraId="62B140A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44、支持重新命名设备名称。</w:t>
            </w:r>
          </w:p>
        </w:tc>
      </w:tr>
      <w:tr w14:paraId="6478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410CDC5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DB0C34D">
            <w:pPr>
              <w:widowControl/>
              <w:jc w:val="center"/>
              <w:rPr>
                <w:rFonts w:hint="eastAsia" w:ascii="宋体" w:hAnsi="宋体" w:eastAsia="宋体" w:cs="宋体"/>
                <w:sz w:val="21"/>
                <w:szCs w:val="21"/>
                <w:lang w:eastAsia="zh-CN"/>
              </w:rPr>
            </w:pPr>
          </w:p>
        </w:tc>
        <w:tc>
          <w:tcPr>
            <w:tcW w:w="6095" w:type="dxa"/>
            <w:noWrap w:val="0"/>
            <w:vAlign w:val="center"/>
          </w:tcPr>
          <w:p w14:paraId="23FAA17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45、支持远程设备重启、定时开关机设置。</w:t>
            </w:r>
          </w:p>
        </w:tc>
      </w:tr>
      <w:tr w14:paraId="3E49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4BA9963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78E9528">
            <w:pPr>
              <w:widowControl/>
              <w:jc w:val="center"/>
              <w:rPr>
                <w:rFonts w:hint="eastAsia" w:ascii="宋体" w:hAnsi="宋体" w:eastAsia="宋体" w:cs="宋体"/>
                <w:sz w:val="21"/>
                <w:szCs w:val="21"/>
                <w:lang w:eastAsia="zh-CN"/>
              </w:rPr>
            </w:pPr>
          </w:p>
        </w:tc>
        <w:tc>
          <w:tcPr>
            <w:tcW w:w="6095" w:type="dxa"/>
            <w:noWrap w:val="0"/>
            <w:vAlign w:val="center"/>
          </w:tcPr>
          <w:p w14:paraId="5CC3C63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46、支持远程重新同步数据。</w:t>
            </w:r>
          </w:p>
        </w:tc>
      </w:tr>
      <w:tr w14:paraId="4557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37761BA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B96E21E">
            <w:pPr>
              <w:widowControl/>
              <w:jc w:val="center"/>
              <w:rPr>
                <w:rFonts w:hint="eastAsia" w:ascii="宋体" w:hAnsi="宋体" w:eastAsia="宋体" w:cs="宋体"/>
                <w:sz w:val="21"/>
                <w:szCs w:val="21"/>
                <w:lang w:eastAsia="zh-CN"/>
              </w:rPr>
            </w:pPr>
          </w:p>
        </w:tc>
        <w:tc>
          <w:tcPr>
            <w:tcW w:w="6095" w:type="dxa"/>
            <w:noWrap w:val="0"/>
            <w:vAlign w:val="center"/>
          </w:tcPr>
          <w:p w14:paraId="78F90233">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47、支持设备播放视频音量调节。</w:t>
            </w:r>
          </w:p>
        </w:tc>
      </w:tr>
      <w:tr w14:paraId="4BE3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4EA105B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0297F72">
            <w:pPr>
              <w:widowControl/>
              <w:jc w:val="center"/>
              <w:rPr>
                <w:rFonts w:hint="eastAsia" w:ascii="宋体" w:hAnsi="宋体" w:eastAsia="宋体" w:cs="宋体"/>
                <w:sz w:val="21"/>
                <w:szCs w:val="21"/>
                <w:lang w:eastAsia="zh-CN"/>
              </w:rPr>
            </w:pPr>
          </w:p>
        </w:tc>
        <w:tc>
          <w:tcPr>
            <w:tcW w:w="6095" w:type="dxa"/>
            <w:noWrap w:val="0"/>
            <w:vAlign w:val="center"/>
          </w:tcPr>
          <w:p w14:paraId="3E861A8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48、支持屏幕显示方式设置。</w:t>
            </w:r>
          </w:p>
        </w:tc>
      </w:tr>
      <w:tr w14:paraId="63ED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1F8E23D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8C295C5">
            <w:pPr>
              <w:widowControl/>
              <w:jc w:val="center"/>
              <w:rPr>
                <w:rFonts w:hint="eastAsia" w:ascii="宋体" w:hAnsi="宋体" w:eastAsia="宋体" w:cs="宋体"/>
                <w:sz w:val="21"/>
                <w:szCs w:val="21"/>
                <w:lang w:eastAsia="zh-CN"/>
              </w:rPr>
            </w:pPr>
          </w:p>
        </w:tc>
        <w:tc>
          <w:tcPr>
            <w:tcW w:w="6095" w:type="dxa"/>
            <w:noWrap w:val="0"/>
            <w:vAlign w:val="center"/>
          </w:tcPr>
          <w:p w14:paraId="4FFBD59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49、权限管理：管理员权限支持邀请空间成员，邀请家人或同事一同管理空间。</w:t>
            </w:r>
          </w:p>
        </w:tc>
      </w:tr>
      <w:tr w14:paraId="5115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470A862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4D9AE7F">
            <w:pPr>
              <w:widowControl/>
              <w:jc w:val="center"/>
              <w:rPr>
                <w:rFonts w:hint="eastAsia" w:ascii="宋体" w:hAnsi="宋体" w:eastAsia="宋体" w:cs="宋体"/>
                <w:sz w:val="21"/>
                <w:szCs w:val="21"/>
                <w:lang w:eastAsia="zh-CN"/>
              </w:rPr>
            </w:pPr>
          </w:p>
        </w:tc>
        <w:tc>
          <w:tcPr>
            <w:tcW w:w="6095" w:type="dxa"/>
            <w:noWrap w:val="0"/>
            <w:vAlign w:val="center"/>
          </w:tcPr>
          <w:p w14:paraId="1695A0A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50、管理员权限支持转让功能和删除成员功能。</w:t>
            </w:r>
          </w:p>
        </w:tc>
      </w:tr>
      <w:tr w14:paraId="06FB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vMerge w:val="continue"/>
            <w:shd w:val="clear" w:color="000000" w:fill="FFFFFF"/>
            <w:noWrap w:val="0"/>
            <w:vAlign w:val="center"/>
          </w:tcPr>
          <w:p w14:paraId="603E0F2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2D87812">
            <w:pPr>
              <w:widowControl/>
              <w:jc w:val="center"/>
              <w:rPr>
                <w:rFonts w:hint="eastAsia" w:ascii="宋体" w:hAnsi="宋体" w:eastAsia="宋体" w:cs="宋体"/>
                <w:sz w:val="21"/>
                <w:szCs w:val="21"/>
                <w:lang w:eastAsia="zh-CN"/>
              </w:rPr>
            </w:pPr>
          </w:p>
        </w:tc>
        <w:tc>
          <w:tcPr>
            <w:tcW w:w="6095" w:type="dxa"/>
            <w:noWrap w:val="0"/>
            <w:vAlign w:val="center"/>
          </w:tcPr>
          <w:p w14:paraId="7F01483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51、云屏遥控器：一键唤起云屏遥控器小程序，支持对设备进行控制。</w:t>
            </w:r>
          </w:p>
        </w:tc>
      </w:tr>
      <w:tr w14:paraId="1CC3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shd w:val="clear" w:color="000000" w:fill="FFFFFF"/>
            <w:noWrap w:val="0"/>
            <w:vAlign w:val="center"/>
          </w:tcPr>
          <w:p w14:paraId="31DC2D28">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1973" w:type="dxa"/>
            <w:noWrap w:val="0"/>
            <w:vAlign w:val="center"/>
          </w:tcPr>
          <w:p w14:paraId="0D2A71FD">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电子墨水屏阅读器</w:t>
            </w:r>
          </w:p>
        </w:tc>
        <w:tc>
          <w:tcPr>
            <w:tcW w:w="6095" w:type="dxa"/>
            <w:noWrap w:val="0"/>
            <w:vAlign w:val="center"/>
          </w:tcPr>
          <w:p w14:paraId="0C1FE83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1.尺寸：232.5*191*7.7；</w:t>
            </w:r>
          </w:p>
          <w:p w14:paraId="1BCA67E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2.重量：470G±5%；</w:t>
            </w:r>
          </w:p>
          <w:p w14:paraId="1E3BCA2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3.屏幕：纯平；</w:t>
            </w:r>
          </w:p>
          <w:p w14:paraId="32B89E8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4.显示屏：E Ink10.3寸；</w:t>
            </w:r>
          </w:p>
          <w:p w14:paraId="5505702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5.分辨率：1872*1404；</w:t>
            </w:r>
          </w:p>
          <w:p w14:paraId="1A6430C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6.CPU：B300；</w:t>
            </w:r>
          </w:p>
          <w:p w14:paraId="0883A9B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7.内存：32G；</w:t>
            </w:r>
          </w:p>
          <w:p w14:paraId="4A81A78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8.按键：开关键；</w:t>
            </w:r>
          </w:p>
          <w:p w14:paraId="3104E1A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9.麦克风阵列：支持；</w:t>
            </w:r>
          </w:p>
          <w:p w14:paraId="19B12CC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10.无线连接方式：WIFI+蓝牙；</w:t>
            </w:r>
          </w:p>
          <w:p w14:paraId="650589C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11.前光：冷暖双色前光；</w:t>
            </w:r>
          </w:p>
          <w:p w14:paraId="098FE6D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12.扬声器：支持；</w:t>
            </w:r>
          </w:p>
          <w:p w14:paraId="309A218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13.电池：4000MAH锂聚合物；</w:t>
            </w:r>
          </w:p>
          <w:p w14:paraId="0D2B3E2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14.连接端口：USB TYPE-C；</w:t>
            </w:r>
          </w:p>
          <w:p w14:paraId="2459734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15.操作系统：安卓8.1操作系统。</w:t>
            </w:r>
          </w:p>
        </w:tc>
      </w:tr>
      <w:tr w14:paraId="1E5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shd w:val="clear" w:color="000000" w:fill="FFFFFF"/>
            <w:noWrap w:val="0"/>
            <w:vAlign w:val="center"/>
          </w:tcPr>
          <w:p w14:paraId="53AE9603">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p>
        </w:tc>
        <w:tc>
          <w:tcPr>
            <w:tcW w:w="1973" w:type="dxa"/>
            <w:noWrap w:val="0"/>
            <w:vAlign w:val="center"/>
          </w:tcPr>
          <w:p w14:paraId="4F8256C2">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阅读平台功能</w:t>
            </w:r>
          </w:p>
        </w:tc>
        <w:tc>
          <w:tcPr>
            <w:tcW w:w="6095" w:type="dxa"/>
            <w:noWrap w:val="0"/>
            <w:vAlign w:val="center"/>
          </w:tcPr>
          <w:p w14:paraId="4CB17F5A">
            <w:pPr>
              <w:widowControl w:val="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（一）首页</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具有推荐图书，推荐听书等推荐；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（二）阅读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1.图书信息完善。包括图书阅读量、下载量、作者、分类；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2.可对图书进行收藏或者全本下载，支持在线全文阅读；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3.提供‘猜你喜欢’模块，推荐读者喜欢的类型图书选读；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4.支持设置背景颜色、字体大小；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5.为方便读者使用，电子图书具有朗读功能，每本图书资源同时支持以下发音：普通话、粤语、四川话、东北话、河南话、湖南话等。看累了进行听书，保护读者眼睛；</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6.平台具有记忆功能，可记录上一次读者阅读进度，下次阅读可继续阅读；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（三）听书</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7.有声书籍信息完善。包括收听量、下载量以及栏目；</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8.可对有声资源进行收藏或者下载；</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9.听者可自由选择章节、选择收听进度；</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 xml:space="preserve">（四）视频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支持对视频资源进行收藏，支持自由选择播放进度；</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 xml:space="preserve">（五）我的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10.图书馆名称显示；</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11.可对收藏的图书、听书进行阅读收听，也可对其进行编辑；</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12.可浏览历史记录，并进行清除；</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 xml:space="preserve">13.对下载的电子书、有声资源进行编辑；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14.支持修改密码、查看版本更新等；</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15.通过平台访问本馆购买的资源，将不受IP限制，而是通过认证，直接针对每一个读者进行权限控制，只要通过随身设备连接网络，就可在全球任何地点访问，无需单独分开的登录、认证等。</w:t>
            </w:r>
          </w:p>
        </w:tc>
      </w:tr>
      <w:tr w14:paraId="13E9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shd w:val="clear" w:color="000000" w:fill="FFFFFF"/>
            <w:noWrap w:val="0"/>
            <w:vAlign w:val="center"/>
          </w:tcPr>
          <w:p w14:paraId="05BC9813">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 xml:space="preserve">8 </w:t>
            </w:r>
          </w:p>
        </w:tc>
        <w:tc>
          <w:tcPr>
            <w:tcW w:w="1973" w:type="dxa"/>
            <w:noWrap w:val="0"/>
            <w:vAlign w:val="center"/>
          </w:tcPr>
          <w:p w14:paraId="6F4E31DF">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阅读资源</w:t>
            </w:r>
          </w:p>
        </w:tc>
        <w:tc>
          <w:tcPr>
            <w:tcW w:w="6095" w:type="dxa"/>
            <w:noWrap w:val="0"/>
            <w:vAlign w:val="center"/>
          </w:tcPr>
          <w:p w14:paraId="18D45D75">
            <w:pPr>
              <w:widowControl w:val="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 热门电子图书不少于20000册，分类包含党政图书、励志成长、文学作品、少儿故事、历史军事、人文社科、古典国学、中外名著、推荐图书、教材教辅、人物传记、外语阅读、经济管理、法律政治、生活百科分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 有声图书20000辑，分类包括：外语学习、健康养生、文学名著、戏曲、儿童、历史、评书、科技、武侠小说、人物传记、有声书；</w:t>
            </w:r>
          </w:p>
        </w:tc>
      </w:tr>
      <w:tr w14:paraId="278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shd w:val="clear" w:color="000000" w:fill="FFFFFF"/>
            <w:noWrap w:val="0"/>
            <w:vAlign w:val="center"/>
          </w:tcPr>
          <w:p w14:paraId="3DA9378A">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9</w:t>
            </w:r>
          </w:p>
        </w:tc>
        <w:tc>
          <w:tcPr>
            <w:tcW w:w="1973" w:type="dxa"/>
            <w:noWrap w:val="0"/>
            <w:vAlign w:val="center"/>
          </w:tcPr>
          <w:p w14:paraId="6DAA2453">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OPC查询机</w:t>
            </w:r>
          </w:p>
        </w:tc>
        <w:tc>
          <w:tcPr>
            <w:tcW w:w="6095" w:type="dxa"/>
            <w:noWrap w:val="0"/>
            <w:vAlign w:val="center"/>
          </w:tcPr>
          <w:p w14:paraId="731274B4">
            <w:pPr>
              <w:widowControl w:val="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一、功能要求：</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1、系统界面友好，使用简单，提供图书查找、定位功能，准确的显示图书的位置。此外系统还具有一定的安全性和可维护性；</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2、可选条件有所属馆，查询媒体类型，查询关键词所属范围。例如我们可以选择查询总馆、图书类型、ISBN号，提高搜索效率；</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3、图书分类查询；</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4、图书信息展示，展示内容包括封面、题名、条码、馆藏地、出版社等信息；</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5、包含新书通报、热门图书推荐等模块；</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6、具备三维导航系统，在搜索框输入图书题名，点击查询即可实时显示图书的信息，点击图书后面定位按钮，即可查看定位；</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二、硬件要求：</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1、显示屏：32寸电容触摸屏；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2、工控主机：J1900 四核 2.0GHZ  内存：DDR3 4G  硬盘：SSD 128G；</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3、液晶屏；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4、显示区域尺寸： 697.685（H）*392.256（V）；</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5、显示模式 16：9；</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6、分辨率：1920*1080；</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7、显示色彩 :16.7M；</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8、点距： 0.51075(H) x 0.51075(W)；</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9、亮度： 350 cd/㎡；</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10、对比度： 2000：1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11、可视角度：R/L,U/D 178°；</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12、全视角响应时间： &lt;8ms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13、电源： AC 100-240V，50/60HZ；</w:t>
            </w:r>
          </w:p>
        </w:tc>
      </w:tr>
      <w:tr w14:paraId="3AA4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574" w:type="dxa"/>
            <w:shd w:val="clear" w:color="000000" w:fill="FFFFFF"/>
            <w:noWrap w:val="0"/>
            <w:vAlign w:val="center"/>
          </w:tcPr>
          <w:p w14:paraId="467918EB">
            <w:pPr>
              <w:widowControl w:val="0"/>
              <w:jc w:val="center"/>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10</w:t>
            </w:r>
          </w:p>
        </w:tc>
        <w:tc>
          <w:tcPr>
            <w:tcW w:w="1973" w:type="dxa"/>
            <w:noWrap w:val="0"/>
            <w:vAlign w:val="center"/>
          </w:tcPr>
          <w:p w14:paraId="60BEE8BD">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图书导览云屏</w:t>
            </w:r>
          </w:p>
        </w:tc>
        <w:tc>
          <w:tcPr>
            <w:tcW w:w="6095" w:type="dxa"/>
            <w:noWrap w:val="0"/>
            <w:vAlign w:val="center"/>
          </w:tcPr>
          <w:p w14:paraId="5E2B83E1">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硬件：</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1、整机边框采用高强度铝合金边框，坚固可靠；角部采用圆角设计；外边框采用喷涂环保木纹工艺；</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2、整机采用高雾度蛾眼液晶屏体，表面偏光纳米涂层增益屏体漫反射形成真实视感；屏体雾度≥25%，无需防眩光钢化玻璃或磨砂防眩光贴膜，全方位可视角度≥ 178°;</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3、液晶屏显示尺寸≥55寸，分辨率≥1920*1080，显示比例 16:9，支持横、竖安装方式；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4、整机最大显示亮度≥350nit；整机具备光线感应功能，根据环境光强度自动调整显示亮度；</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5、整机安装到墙面后无任何外置、外露、外挂的线材、天线及元器件模块；</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6、内置 2.0 声道环绕功放，支持音视频声音外放；</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7、整机采用壁挂安装，整机与壁挂连接采用教育定制安全设计，须用专用工具锁定、解锁；</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8、整机采用超薄设计；整机厚度≤46mm，安装在平整墙面上最大厚度≤48mm;</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9、整机背部与墙面微距全贴合，背部与平整墙面间隙最大处≤2mm，边框边缘与平整墙面间隙最大处≤7mm;</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10 、 整 机 接 口 ： USB 2.0*2 ， HDMI-IN*1,RJ45*1 ， 内 置 Wi-Fi 模 块</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（10M/100M/1000M），内置蓝牙模块（支持蓝牙 4.0、BLE）；全部端口采用隐藏设计，无可见外露端口；</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11、采用 4 核CPU，工作频率≥1.9GHz；运行内存 2G，存储空间 8G；支持最大 64G</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的TF 卡扩展存储；</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12、兼容主流多媒体格式；视频格式：MPEG1、MPEG2、MPEG4、 H.263、H.264</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等；音频格式：MP3 等；图片格式：JPG、JPEG、BMP、PNG、GIF 等；</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13、支持后台远程设置整机自动开关机；</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14、信息发布系统与设备一体化集成，无需外接任何信息发布设备即可完成信息发布；</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15、整机需带有三个实体按键，可以对播放的节目进行前后翻页和暂停/播放控制； （需提供具有 CMA 或 CNAS 资质认证标识的第三方认证机构出具的检测报告，并在报告中体现实体按键说明，（产品型号及依据须在同一份证书上体现， 分开提供无效）及全国认证认可 信息公共服务平台（http://cx.cnca.cn/）证书状态为“有效”的查询证明复印件（查询证明文件均须同时体现产品 型号及认证标准）；认证结果不符合或提供材料不齐全不得分（原件备查））</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16、支持手机通过蓝牙连接整机，对整机进行遥控控制；</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软件：</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18、管理后台支持跨平台（Windows、ios 和安卓）应用操作的能力；</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19、管理后台采用微信小程序方式，无需下载，即用即走，方便快捷，使用者可以高效快速的实现对设备的远程控制与管理；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20、小程序内集成图库资源，支持通过微信小程序将图库内图片一键发送到设备上展示；</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21、视力教育资源：小程序内提供日常展示视力健康使用的图库资源，包括视力保护操、健康用眼、卫生健康、视力小常识等资源，资源数量不低于 20 套；</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22、图片编辑与拼图：支持对图片进行自由裁剪或按比例剪裁；</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23、支持滤镜功能，让图片更加美观，具备欣赏性；</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24、支持对图片进行加字（ 不低于 10 种字体）、支持对字号修改（范围：</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20px~600px）、支持字体颜色修改（24 种颜色）、支持对文本对齐方式修改（右对齐、居中对齐、左对齐）；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25、支持对文字元素框的复制、删除、移动、拉伸和放大；</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26、支持拼图功能，根据上传图片的数量推荐模板，也可以自选；支持照片替换功能；</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27、模式设置：支持插入播放与霸屏模式；支持通过小程序将发布的校园海报设置</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为临时霸屏模式，也可设置为插入播放模式，与原节目一起播放。</w:t>
            </w:r>
          </w:p>
        </w:tc>
      </w:tr>
      <w:tr w14:paraId="764B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restart"/>
            <w:shd w:val="clear" w:color="000000" w:fill="FFFFFF"/>
            <w:noWrap w:val="0"/>
            <w:vAlign w:val="center"/>
          </w:tcPr>
          <w:p w14:paraId="035F8EB2">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w:t>
            </w:r>
          </w:p>
        </w:tc>
        <w:tc>
          <w:tcPr>
            <w:tcW w:w="1973" w:type="dxa"/>
            <w:vMerge w:val="restart"/>
            <w:noWrap w:val="0"/>
            <w:vAlign w:val="center"/>
          </w:tcPr>
          <w:p w14:paraId="656A0A6F">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人机共存空气消毒机</w:t>
            </w:r>
          </w:p>
        </w:tc>
        <w:tc>
          <w:tcPr>
            <w:tcW w:w="6095" w:type="dxa"/>
            <w:noWrap w:val="0"/>
            <w:vAlign w:val="center"/>
          </w:tcPr>
          <w:p w14:paraId="760AAAC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1、尺寸：440*245*140±5mm。</w:t>
            </w:r>
          </w:p>
        </w:tc>
      </w:tr>
      <w:tr w14:paraId="7E6B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736342D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0ABB884">
            <w:pPr>
              <w:widowControl/>
              <w:jc w:val="center"/>
              <w:rPr>
                <w:rFonts w:hint="eastAsia" w:ascii="宋体" w:hAnsi="宋体" w:eastAsia="宋体" w:cs="宋体"/>
                <w:sz w:val="21"/>
                <w:szCs w:val="21"/>
                <w:lang w:eastAsia="zh-CN"/>
              </w:rPr>
            </w:pPr>
          </w:p>
        </w:tc>
        <w:tc>
          <w:tcPr>
            <w:tcW w:w="6095" w:type="dxa"/>
            <w:noWrap w:val="0"/>
            <w:vAlign w:val="center"/>
          </w:tcPr>
          <w:p w14:paraId="34340C3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2、额定电压：AC 220V/50Hz。</w:t>
            </w:r>
          </w:p>
        </w:tc>
      </w:tr>
      <w:tr w14:paraId="3A34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00B299E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4860E02">
            <w:pPr>
              <w:widowControl/>
              <w:jc w:val="center"/>
              <w:rPr>
                <w:rFonts w:hint="eastAsia" w:ascii="宋体" w:hAnsi="宋体" w:eastAsia="宋体" w:cs="宋体"/>
                <w:sz w:val="21"/>
                <w:szCs w:val="21"/>
                <w:lang w:eastAsia="zh-CN"/>
              </w:rPr>
            </w:pPr>
          </w:p>
        </w:tc>
        <w:tc>
          <w:tcPr>
            <w:tcW w:w="6095" w:type="dxa"/>
            <w:noWrap w:val="0"/>
            <w:vAlign w:val="center"/>
          </w:tcPr>
          <w:p w14:paraId="642D0C9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3、额定功率： ≤20W。</w:t>
            </w:r>
          </w:p>
        </w:tc>
      </w:tr>
      <w:tr w14:paraId="1AF7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0DDC745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DEE4416">
            <w:pPr>
              <w:widowControl/>
              <w:jc w:val="center"/>
              <w:rPr>
                <w:rFonts w:hint="eastAsia" w:ascii="宋体" w:hAnsi="宋体" w:eastAsia="宋体" w:cs="宋体"/>
                <w:sz w:val="21"/>
                <w:szCs w:val="21"/>
                <w:lang w:eastAsia="zh-CN"/>
              </w:rPr>
            </w:pPr>
          </w:p>
        </w:tc>
        <w:tc>
          <w:tcPr>
            <w:tcW w:w="6095" w:type="dxa"/>
            <w:noWrap w:val="0"/>
            <w:vAlign w:val="center"/>
          </w:tcPr>
          <w:p w14:paraId="7ED88D0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4、待机功率：≤2W。</w:t>
            </w:r>
          </w:p>
        </w:tc>
      </w:tr>
      <w:tr w14:paraId="6A04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7A39244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412090F">
            <w:pPr>
              <w:widowControl/>
              <w:jc w:val="center"/>
              <w:rPr>
                <w:rFonts w:hint="eastAsia" w:ascii="宋体" w:hAnsi="宋体" w:eastAsia="宋体" w:cs="宋体"/>
                <w:sz w:val="21"/>
                <w:szCs w:val="21"/>
                <w:lang w:eastAsia="zh-CN"/>
              </w:rPr>
            </w:pPr>
          </w:p>
        </w:tc>
        <w:tc>
          <w:tcPr>
            <w:tcW w:w="6095" w:type="dxa"/>
            <w:noWrap w:val="0"/>
            <w:vAlign w:val="center"/>
          </w:tcPr>
          <w:p w14:paraId="7B2DA8E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5、体积：≥50m³。</w:t>
            </w:r>
          </w:p>
        </w:tc>
      </w:tr>
      <w:tr w14:paraId="6224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61F26A9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461E59A">
            <w:pPr>
              <w:widowControl/>
              <w:jc w:val="center"/>
              <w:rPr>
                <w:rFonts w:hint="eastAsia" w:ascii="宋体" w:hAnsi="宋体" w:eastAsia="宋体" w:cs="宋体"/>
                <w:sz w:val="21"/>
                <w:szCs w:val="21"/>
                <w:lang w:eastAsia="zh-CN"/>
              </w:rPr>
            </w:pPr>
          </w:p>
        </w:tc>
        <w:tc>
          <w:tcPr>
            <w:tcW w:w="6095" w:type="dxa"/>
            <w:noWrap w:val="0"/>
            <w:vAlign w:val="center"/>
          </w:tcPr>
          <w:p w14:paraId="5A8FC683">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▲6、循环风量：≥400m³/h，噪声：≤60dB(A)（提供第三方检测机构出具的带CMA标志的检测报告）</w:t>
            </w:r>
          </w:p>
        </w:tc>
      </w:tr>
      <w:tr w14:paraId="64EB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4420728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5EC5D50">
            <w:pPr>
              <w:widowControl/>
              <w:jc w:val="center"/>
              <w:rPr>
                <w:rFonts w:hint="eastAsia" w:ascii="宋体" w:hAnsi="宋体" w:eastAsia="宋体" w:cs="宋体"/>
                <w:sz w:val="21"/>
                <w:szCs w:val="21"/>
                <w:lang w:eastAsia="zh-CN"/>
              </w:rPr>
            </w:pPr>
          </w:p>
        </w:tc>
        <w:tc>
          <w:tcPr>
            <w:tcW w:w="6095" w:type="dxa"/>
            <w:noWrap w:val="0"/>
            <w:vAlign w:val="center"/>
          </w:tcPr>
          <w:p w14:paraId="04BF451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7、寿命：≥30000小时。</w:t>
            </w:r>
          </w:p>
        </w:tc>
      </w:tr>
      <w:tr w14:paraId="6C9D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6C0EF18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1DF3FE7">
            <w:pPr>
              <w:widowControl/>
              <w:jc w:val="center"/>
              <w:rPr>
                <w:rFonts w:hint="eastAsia" w:ascii="宋体" w:hAnsi="宋体" w:eastAsia="宋体" w:cs="宋体"/>
                <w:sz w:val="21"/>
                <w:szCs w:val="21"/>
                <w:lang w:eastAsia="zh-CN"/>
              </w:rPr>
            </w:pPr>
          </w:p>
        </w:tc>
        <w:tc>
          <w:tcPr>
            <w:tcW w:w="6095" w:type="dxa"/>
            <w:noWrap w:val="0"/>
            <w:vAlign w:val="center"/>
          </w:tcPr>
          <w:p w14:paraId="2A73E17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8、重量：≤3.5kg。</w:t>
            </w:r>
          </w:p>
        </w:tc>
      </w:tr>
      <w:tr w14:paraId="1F68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047144A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7ED4387">
            <w:pPr>
              <w:widowControl/>
              <w:jc w:val="center"/>
              <w:rPr>
                <w:rFonts w:hint="eastAsia" w:ascii="宋体" w:hAnsi="宋体" w:eastAsia="宋体" w:cs="宋体"/>
                <w:sz w:val="21"/>
                <w:szCs w:val="21"/>
                <w:lang w:eastAsia="zh-CN"/>
              </w:rPr>
            </w:pPr>
          </w:p>
        </w:tc>
        <w:tc>
          <w:tcPr>
            <w:tcW w:w="6095" w:type="dxa"/>
            <w:noWrap w:val="0"/>
            <w:vAlign w:val="center"/>
          </w:tcPr>
          <w:p w14:paraId="7FF0164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9、整机采用等离子体技术。</w:t>
            </w:r>
          </w:p>
        </w:tc>
      </w:tr>
      <w:tr w14:paraId="4852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01A77AE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CCA155D">
            <w:pPr>
              <w:widowControl/>
              <w:jc w:val="center"/>
              <w:rPr>
                <w:rFonts w:hint="eastAsia" w:ascii="宋体" w:hAnsi="宋体" w:eastAsia="宋体" w:cs="宋体"/>
                <w:sz w:val="21"/>
                <w:szCs w:val="21"/>
                <w:lang w:eastAsia="zh-CN"/>
              </w:rPr>
            </w:pPr>
          </w:p>
        </w:tc>
        <w:tc>
          <w:tcPr>
            <w:tcW w:w="6095" w:type="dxa"/>
            <w:noWrap w:val="0"/>
            <w:vAlign w:val="center"/>
          </w:tcPr>
          <w:p w14:paraId="0709911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10、等离子体电子密度：≥5.80×1019-1.35×1020m-3。</w:t>
            </w:r>
          </w:p>
        </w:tc>
      </w:tr>
      <w:tr w14:paraId="2922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48897A5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9BD1768">
            <w:pPr>
              <w:widowControl/>
              <w:jc w:val="center"/>
              <w:rPr>
                <w:rFonts w:hint="eastAsia" w:ascii="宋体" w:hAnsi="宋体" w:eastAsia="宋体" w:cs="宋体"/>
                <w:sz w:val="21"/>
                <w:szCs w:val="21"/>
                <w:lang w:eastAsia="zh-CN"/>
              </w:rPr>
            </w:pPr>
          </w:p>
        </w:tc>
        <w:tc>
          <w:tcPr>
            <w:tcW w:w="6095" w:type="dxa"/>
            <w:noWrap w:val="0"/>
            <w:vAlign w:val="center"/>
          </w:tcPr>
          <w:p w14:paraId="39AF3E4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11、等离子体电子能量：≥1.2电子伏特。</w:t>
            </w:r>
          </w:p>
        </w:tc>
      </w:tr>
      <w:tr w14:paraId="7325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7C52CB0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3804574">
            <w:pPr>
              <w:widowControl/>
              <w:jc w:val="center"/>
              <w:rPr>
                <w:rFonts w:hint="eastAsia" w:ascii="宋体" w:hAnsi="宋体" w:eastAsia="宋体" w:cs="宋体"/>
                <w:sz w:val="21"/>
                <w:szCs w:val="21"/>
                <w:lang w:eastAsia="zh-CN"/>
              </w:rPr>
            </w:pPr>
          </w:p>
        </w:tc>
        <w:tc>
          <w:tcPr>
            <w:tcW w:w="6095" w:type="dxa"/>
            <w:noWrap w:val="0"/>
            <w:vAlign w:val="center"/>
          </w:tcPr>
          <w:p w14:paraId="062B280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12、甲型流感病毒（H1N1）去除率：＞99.99%。</w:t>
            </w:r>
          </w:p>
        </w:tc>
      </w:tr>
      <w:tr w14:paraId="2B32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70F5006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A56B351">
            <w:pPr>
              <w:widowControl/>
              <w:jc w:val="center"/>
              <w:rPr>
                <w:rFonts w:hint="eastAsia" w:ascii="宋体" w:hAnsi="宋体" w:eastAsia="宋体" w:cs="宋体"/>
                <w:sz w:val="21"/>
                <w:szCs w:val="21"/>
                <w:lang w:eastAsia="zh-CN"/>
              </w:rPr>
            </w:pPr>
          </w:p>
        </w:tc>
        <w:tc>
          <w:tcPr>
            <w:tcW w:w="6095" w:type="dxa"/>
            <w:noWrap w:val="0"/>
            <w:vAlign w:val="center"/>
          </w:tcPr>
          <w:p w14:paraId="5867303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13、甲型流感病毒（H3N2）去除率：＞99.99%。</w:t>
            </w:r>
          </w:p>
        </w:tc>
      </w:tr>
      <w:tr w14:paraId="095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4FC9512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DDB49CB">
            <w:pPr>
              <w:widowControl/>
              <w:jc w:val="center"/>
              <w:rPr>
                <w:rFonts w:hint="eastAsia" w:ascii="宋体" w:hAnsi="宋体" w:eastAsia="宋体" w:cs="宋体"/>
                <w:sz w:val="21"/>
                <w:szCs w:val="21"/>
                <w:lang w:eastAsia="zh-CN"/>
              </w:rPr>
            </w:pPr>
          </w:p>
        </w:tc>
        <w:tc>
          <w:tcPr>
            <w:tcW w:w="6095" w:type="dxa"/>
            <w:noWrap w:val="0"/>
            <w:vAlign w:val="center"/>
          </w:tcPr>
          <w:p w14:paraId="4755334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14、肠道病毒（EV71）去除率：＞99.99%。</w:t>
            </w:r>
          </w:p>
        </w:tc>
      </w:tr>
      <w:tr w14:paraId="69DE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3755901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C531EAB">
            <w:pPr>
              <w:widowControl/>
              <w:jc w:val="center"/>
              <w:rPr>
                <w:rFonts w:hint="eastAsia" w:ascii="宋体" w:hAnsi="宋体" w:eastAsia="宋体" w:cs="宋体"/>
                <w:sz w:val="21"/>
                <w:szCs w:val="21"/>
                <w:lang w:eastAsia="zh-CN"/>
              </w:rPr>
            </w:pPr>
          </w:p>
        </w:tc>
        <w:tc>
          <w:tcPr>
            <w:tcW w:w="6095" w:type="dxa"/>
            <w:noWrap w:val="0"/>
            <w:vAlign w:val="center"/>
          </w:tcPr>
          <w:p w14:paraId="3AC8C8B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15、冠状病毒（HCoV-229E）去除率：＞99.99%。</w:t>
            </w:r>
          </w:p>
        </w:tc>
      </w:tr>
      <w:tr w14:paraId="4EFF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566368E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6508D0D">
            <w:pPr>
              <w:widowControl/>
              <w:jc w:val="center"/>
              <w:rPr>
                <w:rFonts w:hint="eastAsia" w:ascii="宋体" w:hAnsi="宋体" w:eastAsia="宋体" w:cs="宋体"/>
                <w:sz w:val="21"/>
                <w:szCs w:val="21"/>
                <w:lang w:eastAsia="zh-CN"/>
              </w:rPr>
            </w:pPr>
          </w:p>
        </w:tc>
        <w:tc>
          <w:tcPr>
            <w:tcW w:w="6095" w:type="dxa"/>
            <w:noWrap w:val="0"/>
            <w:vAlign w:val="center"/>
          </w:tcPr>
          <w:p w14:paraId="022FD4E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16、产品开启“最大档”消毒作用2小时，肺炎克雷伯氏菌的杀灭率3次试验结果均＞99.90%。</w:t>
            </w:r>
          </w:p>
        </w:tc>
      </w:tr>
      <w:tr w14:paraId="7A68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6C24386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509183C">
            <w:pPr>
              <w:widowControl/>
              <w:jc w:val="center"/>
              <w:rPr>
                <w:rFonts w:hint="eastAsia" w:ascii="宋体" w:hAnsi="宋体" w:eastAsia="宋体" w:cs="宋体"/>
                <w:sz w:val="21"/>
                <w:szCs w:val="21"/>
                <w:lang w:eastAsia="zh-CN"/>
              </w:rPr>
            </w:pPr>
          </w:p>
        </w:tc>
        <w:tc>
          <w:tcPr>
            <w:tcW w:w="6095" w:type="dxa"/>
            <w:noWrap w:val="0"/>
            <w:vAlign w:val="center"/>
          </w:tcPr>
          <w:p w14:paraId="0F815EF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17、在30m2空间，产品开启消毒作用1小时，臭氧浓度：＜0.003mg/m3。</w:t>
            </w:r>
          </w:p>
        </w:tc>
      </w:tr>
      <w:tr w14:paraId="77CC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5CDD03F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0E547F0">
            <w:pPr>
              <w:widowControl/>
              <w:jc w:val="center"/>
              <w:rPr>
                <w:rFonts w:hint="eastAsia" w:ascii="宋体" w:hAnsi="宋体" w:eastAsia="宋体" w:cs="宋体"/>
                <w:sz w:val="21"/>
                <w:szCs w:val="21"/>
                <w:lang w:eastAsia="zh-CN"/>
              </w:rPr>
            </w:pPr>
          </w:p>
        </w:tc>
        <w:tc>
          <w:tcPr>
            <w:tcW w:w="6095" w:type="dxa"/>
            <w:noWrap w:val="0"/>
            <w:vAlign w:val="center"/>
          </w:tcPr>
          <w:p w14:paraId="77E62C0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18、在20m2空间，产品开启消毒作用2小时，溶血性链球菌的杀灭率3次试验结果均＞99.90%。</w:t>
            </w:r>
          </w:p>
        </w:tc>
      </w:tr>
      <w:tr w14:paraId="065BA3FC">
        <w:tblPrEx>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43D0082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FA35ACB">
            <w:pPr>
              <w:widowControl/>
              <w:jc w:val="center"/>
              <w:rPr>
                <w:rFonts w:hint="eastAsia" w:ascii="宋体" w:hAnsi="宋体" w:eastAsia="宋体" w:cs="宋体"/>
                <w:sz w:val="21"/>
                <w:szCs w:val="21"/>
                <w:lang w:eastAsia="zh-CN"/>
              </w:rPr>
            </w:pPr>
          </w:p>
        </w:tc>
        <w:tc>
          <w:tcPr>
            <w:tcW w:w="6095" w:type="dxa"/>
            <w:noWrap w:val="0"/>
            <w:vAlign w:val="center"/>
          </w:tcPr>
          <w:p w14:paraId="040CD9F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19、在20m2空间，产品开启消毒作用2小时，对白色葡萄球菌的杀灭率3次试验结果均＞99.90%。</w:t>
            </w:r>
          </w:p>
        </w:tc>
      </w:tr>
      <w:tr w14:paraId="1BCD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55D74AE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1D704DA">
            <w:pPr>
              <w:widowControl/>
              <w:jc w:val="center"/>
              <w:rPr>
                <w:rFonts w:hint="eastAsia" w:ascii="宋体" w:hAnsi="宋体" w:eastAsia="宋体" w:cs="宋体"/>
                <w:sz w:val="21"/>
                <w:szCs w:val="21"/>
                <w:lang w:eastAsia="zh-CN"/>
              </w:rPr>
            </w:pPr>
          </w:p>
        </w:tc>
        <w:tc>
          <w:tcPr>
            <w:tcW w:w="6095" w:type="dxa"/>
            <w:noWrap w:val="0"/>
            <w:vAlign w:val="center"/>
          </w:tcPr>
          <w:p w14:paraId="7CF8453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▲20、产品开启消毒作用2小时，对体积约50m3密闭房间空气中空气自然菌的消亡率3次试验结果均＞90%。（提供第三方检测机构出具的带CMA标志的检测报告）</w:t>
            </w:r>
          </w:p>
        </w:tc>
      </w:tr>
      <w:tr w14:paraId="2527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313C27AD">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F2CF99D">
            <w:pPr>
              <w:widowControl/>
              <w:jc w:val="center"/>
              <w:rPr>
                <w:rFonts w:hint="eastAsia" w:ascii="宋体" w:hAnsi="宋体" w:eastAsia="宋体" w:cs="宋体"/>
                <w:sz w:val="21"/>
                <w:szCs w:val="21"/>
                <w:lang w:eastAsia="zh-CN"/>
              </w:rPr>
            </w:pPr>
          </w:p>
        </w:tc>
        <w:tc>
          <w:tcPr>
            <w:tcW w:w="6095" w:type="dxa"/>
            <w:noWrap w:val="0"/>
            <w:vAlign w:val="center"/>
          </w:tcPr>
          <w:p w14:paraId="2DA6020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21、设备人性化设计，可简易更换清洗滤网和模块，方便快捷；无滤芯耗材，无污染。</w:t>
            </w:r>
          </w:p>
        </w:tc>
      </w:tr>
      <w:tr w14:paraId="666D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7863AAA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C2E93E3">
            <w:pPr>
              <w:widowControl/>
              <w:jc w:val="center"/>
              <w:rPr>
                <w:rFonts w:hint="eastAsia" w:ascii="宋体" w:hAnsi="宋体" w:eastAsia="宋体" w:cs="宋体"/>
                <w:sz w:val="21"/>
                <w:szCs w:val="21"/>
                <w:lang w:eastAsia="zh-CN"/>
              </w:rPr>
            </w:pPr>
          </w:p>
        </w:tc>
        <w:tc>
          <w:tcPr>
            <w:tcW w:w="6095" w:type="dxa"/>
            <w:noWrap w:val="0"/>
            <w:vAlign w:val="center"/>
          </w:tcPr>
          <w:p w14:paraId="26EA7363">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22、可对空间场景进行静态和动态消毒；可实现24小时“人机共存”健康消毒模式：在有人的情况下使用，持续对环境空气进行动态消毒净化，不会对人体产生危害，又可以有效防止空气中的细菌繁殖再生。</w:t>
            </w:r>
          </w:p>
        </w:tc>
      </w:tr>
      <w:tr w14:paraId="7DC1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495FB8E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EC5AEFD">
            <w:pPr>
              <w:widowControl/>
              <w:jc w:val="center"/>
              <w:rPr>
                <w:rFonts w:hint="eastAsia" w:ascii="宋体" w:hAnsi="宋体" w:eastAsia="宋体" w:cs="宋体"/>
                <w:sz w:val="21"/>
                <w:szCs w:val="21"/>
                <w:lang w:eastAsia="zh-CN"/>
              </w:rPr>
            </w:pPr>
          </w:p>
        </w:tc>
        <w:tc>
          <w:tcPr>
            <w:tcW w:w="6095" w:type="dxa"/>
            <w:noWrap w:val="0"/>
            <w:vAlign w:val="center"/>
          </w:tcPr>
          <w:p w14:paraId="19A0BC3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23、支持壁挂、吊装等安装方式。</w:t>
            </w:r>
          </w:p>
        </w:tc>
      </w:tr>
      <w:tr w14:paraId="0B72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2F0D6C7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80EE1C4">
            <w:pPr>
              <w:widowControl/>
              <w:jc w:val="center"/>
              <w:rPr>
                <w:rFonts w:hint="eastAsia" w:ascii="宋体" w:hAnsi="宋体" w:eastAsia="宋体" w:cs="宋体"/>
                <w:sz w:val="21"/>
                <w:szCs w:val="21"/>
                <w:lang w:eastAsia="zh-CN"/>
              </w:rPr>
            </w:pPr>
          </w:p>
        </w:tc>
        <w:tc>
          <w:tcPr>
            <w:tcW w:w="6095" w:type="dxa"/>
            <w:noWrap w:val="0"/>
            <w:vAlign w:val="center"/>
          </w:tcPr>
          <w:p w14:paraId="1AE62F8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24、可与护眼灯具产品配套使用。</w:t>
            </w:r>
          </w:p>
        </w:tc>
      </w:tr>
      <w:tr w14:paraId="1DA9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7853593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D665F7C">
            <w:pPr>
              <w:widowControl/>
              <w:jc w:val="center"/>
              <w:rPr>
                <w:rFonts w:hint="eastAsia" w:ascii="宋体" w:hAnsi="宋体" w:eastAsia="宋体" w:cs="宋体"/>
                <w:sz w:val="21"/>
                <w:szCs w:val="21"/>
                <w:lang w:eastAsia="zh-CN"/>
              </w:rPr>
            </w:pPr>
          </w:p>
        </w:tc>
        <w:tc>
          <w:tcPr>
            <w:tcW w:w="6095" w:type="dxa"/>
            <w:noWrap w:val="0"/>
            <w:vAlign w:val="center"/>
          </w:tcPr>
          <w:p w14:paraId="611D3CE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25、可配置遥控器，支持433协议配对模式，可支持对多台空气消毒机进行操作。</w:t>
            </w:r>
          </w:p>
        </w:tc>
      </w:tr>
      <w:tr w14:paraId="4119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4DB9A29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81F18A2">
            <w:pPr>
              <w:widowControl/>
              <w:jc w:val="center"/>
              <w:rPr>
                <w:rFonts w:hint="eastAsia" w:ascii="宋体" w:hAnsi="宋体" w:eastAsia="宋体" w:cs="宋体"/>
                <w:sz w:val="21"/>
                <w:szCs w:val="21"/>
                <w:lang w:eastAsia="zh-CN"/>
              </w:rPr>
            </w:pPr>
          </w:p>
        </w:tc>
        <w:tc>
          <w:tcPr>
            <w:tcW w:w="6095" w:type="dxa"/>
            <w:noWrap w:val="0"/>
            <w:vAlign w:val="center"/>
          </w:tcPr>
          <w:p w14:paraId="639AE90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26、智能化设备升级：可接入智慧液晶控制面板，实现开关、风量、消毒模式功能；可平滑的接入和升级为智能空气消毒机，连接管理平台，实行设备智能化远程操作与设备状态实时查看。</w:t>
            </w:r>
          </w:p>
        </w:tc>
      </w:tr>
      <w:tr w14:paraId="0854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vMerge w:val="continue"/>
            <w:shd w:val="clear" w:color="000000" w:fill="FFFFFF"/>
            <w:noWrap w:val="0"/>
            <w:vAlign w:val="center"/>
          </w:tcPr>
          <w:p w14:paraId="64A3FCF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39C6F94">
            <w:pPr>
              <w:widowControl/>
              <w:jc w:val="center"/>
              <w:rPr>
                <w:rFonts w:hint="eastAsia" w:ascii="宋体" w:hAnsi="宋体" w:eastAsia="宋体" w:cs="宋体"/>
                <w:sz w:val="21"/>
                <w:szCs w:val="21"/>
                <w:lang w:eastAsia="zh-CN"/>
              </w:rPr>
            </w:pPr>
          </w:p>
        </w:tc>
        <w:tc>
          <w:tcPr>
            <w:tcW w:w="6095" w:type="dxa"/>
            <w:noWrap w:val="0"/>
            <w:vAlign w:val="center"/>
          </w:tcPr>
          <w:p w14:paraId="68F56F3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27、产品在全国消毒产品网上备案信息服务平台已备案，提供在该平台的产品备案信息截图复印件佐证。</w:t>
            </w:r>
          </w:p>
        </w:tc>
      </w:tr>
      <w:tr w14:paraId="3265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74" w:type="dxa"/>
            <w:shd w:val="clear" w:color="000000" w:fill="FFFFFF"/>
            <w:noWrap w:val="0"/>
            <w:vAlign w:val="center"/>
          </w:tcPr>
          <w:p w14:paraId="4756BC2C">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12</w:t>
            </w:r>
          </w:p>
        </w:tc>
        <w:tc>
          <w:tcPr>
            <w:tcW w:w="1973" w:type="dxa"/>
            <w:noWrap w:val="0"/>
            <w:vAlign w:val="center"/>
          </w:tcPr>
          <w:p w14:paraId="2CEEE56F">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阅读亭</w:t>
            </w:r>
          </w:p>
        </w:tc>
        <w:tc>
          <w:tcPr>
            <w:tcW w:w="6095" w:type="dxa"/>
            <w:noWrap w:val="0"/>
            <w:vAlign w:val="center"/>
          </w:tcPr>
          <w:p w14:paraId="79A9475E">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kern w:val="2"/>
                <w:sz w:val="21"/>
                <w:szCs w:val="21"/>
                <w:lang w:eastAsia="zh-CN"/>
              </w:rPr>
              <w:t>一、硬件参数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（一）整机组成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1.朗读亭主体框架：需采用优质冷轧板折弯焊接成形，表面做喷粉防锈处理；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2.钢化隔音玻璃，保证亭子的封闭性、安全性、光线充足，同时阻隔外部干扰杂音；</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3.主控机：四核高频处理器，运行内存≥4G，存储容量≥32G ，主要接口包括VGA×1、HDMI×1、USB3.0×2、网口×1、耳机3.5mm接口×2、麦克风6.5mm接口×2等，操作系统：Android7.12或以上；</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4.专业电容麦克风：2个，配备麦克风固定套筒和支架；</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5.头戴式耳机：2个；佩戴舒适，音质保真；</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6.显示屏：1台，32寸，分辨率1920*1080，高清画质，还原真实色彩；</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 xml:space="preserve">7.触摸屏：1台，21.5寸，电容式触摸，分辨率1920*1080；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8.定时器：1个，定时开关机，无需人工操作，省时省电；</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9.复古座椅：2把，金属框架，结实稳固，弧形高椅背，坐感舒适；</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10.紫外线杀菌：1组，全仓杀菌消毒，提供一个健康朗读空间；</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11.门禁：1套，支持刷卡、密码；</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 xml:space="preserve">12.窗帘：1套，加厚布料，遮光隔音效果好；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（二）规格尺寸</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13.整体尺寸：长约（L）1.6×宽约（W）1.6×高（H）2.6-2.8[m]（含空调）；</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14.占地面积＞2.4㎡；</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15.额定电源：AC220V/50HZ；</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16.额定功率：整机为1200W；</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17.显示部分：主显示器32寸，分辨率1920*1080；触摸屏21.5寸，分辨率1920*1080；</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 xml:space="preserve">18.网络：支持无线和有线。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 xml:space="preserve">二、软件功能 </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19.登录方式支持微信扫码登录和账号登录；</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20.搜索功能</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（1）根据素材类型搜索（文本朗读、绘本配音、配音朗读）；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（2）有热门搜索和最近搜索记录；</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21.音响调节</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配备录音棚专业音响效果器，打造KTV效果；搭配电容式麦克风，记录最真挚细腻的声音，追求原音重现的音响效果，用户朗读时可以调节音响，调节自己喜欢的音效完成朗读；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22.快速朗读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（1）随机朗读：随机选取朗读素材，一键开启朗读体验；</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（2）自由朗读：用户可选即兴发挥，脱稿朗读；亦可选择扫码上传想读的素材进行朗读；</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23.素材类型</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支持三种或以上素材形式：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（1）朗读文本：以文本格式为主，朗读过程中，用户可自由搭配背景音乐、背景场景，营造良好的朗读氛围；</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（2）绘本配音：根据绘本的内容进行配音，用户可自由搭配背景音乐；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（3）视频配音；配音前可试看原视频以及他人的配音作品，配音过程中可自由切换原声模式、伴声模式；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（4）背诵文本：以文本格式为主，朗读过程中自动屏蔽文本，实时识别语音；</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24.作品评分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采用国内专业智能语音测评系统，完成朗读后，系统会对用户录制的音频进行详细的评估，并生成评分；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25.朗读活动</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（1）快速筛选：用户可根据活动状态、活动热门等维度快速筛选朗读活动；</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（2）朗读活动搜索：输入关键字，从活动标题、活动内容搜索出相关的活动；</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（3）朗读活动数据统计：用户可查看朗读活动的报名人数、活动发布的作品以及投票总数量；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（4）报名参赛后，即可选择朗读素材，进行朗读，将作品提交参加朗读活动；</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26.测评功能</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（1）含普通话测评和英语测评，采用国内专业智能语音测评系统；</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（2）测评完成即可提供测评报告（包含准确度，完整度，流畅度，发音，声调等）；</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（3）英语测评提供试听音频，供读者练习，支持单句测评和篇章测评；</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（4）普通话测评包含字词模式，篇章模式，考试模式；考试模式严格按照考试流程和标准设定，支持单音节，多音节和篇章模式；测试完成后生成报告；</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27.背诵功能</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（1）含阶段必背语文背诵和英语背诵，采用国内专业智能语音测评系统进行背诵评分；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（2）背诵完成即可提供背诵报告（包含错别字、漏字等）；</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28.本地文化</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有视频和图文资讯形式，支持个性化定制专属的文化宣传（包含地方非遗文化建设、地方文化宣传、校园文化宣传）；</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29.个人中心</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（1）我的作品包含草稿箱，已发布，参赛作品，用户可以看到自己作品的提交情况；</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（2）我的素材处，展示用户自行上传的素材；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（3）已报名的活动会展示在我的活动处，方便用户了解自己的朗读情况；</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（4）用户的播放记录可以通过最近播放看到；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（5）在背诵记录里可查看用户的背诵历史分数；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30.K歌模式：一键进入K歌，原唱伴唱随心切换，还原KTV体验；分类齐全细致，让点歌更便捷，随时找到想要的歌曲；</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31.名家范本：朗读名家示范音频，包含张家声（国家一级演员、配音演员）、方明（中央人民广播电台播音部主任，播音指导，中国播音学研究会会长）、陈醇（中国播音学研究会副会长，上海市广播电视学会理事及播音学研究委员会主任）、雅坤（中国广播电视学会主持人节目研究委员会副会长）、瞿弦和（中国煤矿文工团团长、中国戏剧家协会副主席）、张文星（中央人民广播电台主任播音员、节目制作人）等十位以上名家示范音频，并提供完整授权证明文件；</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32.故障申报</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用户使用朗读亭过程中，出现故障时，可上传故障申报，选择不同的故障类型以及填写具体问题。</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三、移动端小程序平台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33.用户可在小程序平台进行朗读，对其作品进行管理与分享；</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34.制作作品留声卡，可将作品分享到朋友圈和好友；</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35.制作留声卡时，系统自动生成留声卡；用户可自主编辑留声卡文本内容；用户可自由选择系统图片，也可自定义上传图片；</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36.用户可互相关注，查看对方个人主页，聆听其作品；</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37.用户可查看热门作品、最新作品，搜索作品名称、朗读者昵称；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38.在朗读小程序上，用户也可以参加朗读亭上的活动，有同城活动展示，还有朗读亭的位置显示，用户可以根据自行情况参加活动和去附近朗读亭体验朗读的乐趣；</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39.支持自由朗读形式，用户可以上传素材进行朗读和即兴文本的自由朗读，让朗读更加自由，随性；</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40.个人中心，支持查看/分享/下载的已上传/草稿箱/参赛的朗读作品，背诵记录，我的活动等个人数据模块。</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四、管理后台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41.分级管理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后台管理员可管理多台朗读亭，管理设备的参数和资源数据；</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42.设备管理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后台可查看设备对应的名称、设备过期时间、使用状态以及设备管理员等参数；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43.支持管理员自定义修改朗读亭操作界面左上角logo名称；</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44.登录管理：支持管理员自定义设置朗读者的单次登录时长及朗读者的使用频率，可根据用户需求灵活设置；</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45.朗读活动管理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（1）新增发布活动、查找活动、编辑活动、启用停用活动、查看作品；</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（2）朗读活动列表管理，后台管理员可对活动内容进行编辑，且可单个或批量删除朗读活动；</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（3）朗读活动数据统计：后台管理员可在后台查看朗读活动的报名人数、总投票数量；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（4）后台管理员可直接查看报名用户列表以及用户个人信息，且可以灵活导出参与活动用户表格；</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46.朗读作品管理</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（1）后台管理员可对不同类型的朗读作品进行批量下载、批量删除等操作；</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（2）后台管理员通过试听朗读作品音频对作品进行审核；</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（3）查询朗读作品：后台管理员可根据时间、素材类型、审核状态等信息对朗读作品进行排序、筛选等操作。</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五、资源配置</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47.素材资源数量</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包含名家散文、诗歌类、经典国学类、文学类等100000余种资源；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文本朗读：数量≥80000，囊括古诗词，经典文学选段，部编版中小学课文，诗歌散文，世界童话，外国语言（多语种）等多题材朗读；并提供100000+资源电子目录；</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48.K歌资源：30000+的音视频资源，涵盖经典曲目和流行热歌，分类齐全，歌手有10000+（大陆男女歌手及组合；港台男女歌手及组合；网络歌手和外国歌手等）；曲风分类细致（流行，影视，网络，国语，粤语，英语等）；</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49.名家诵读范本</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（1）包含雅坤、方明、陈醇、张家声、瞿弦和、郑晶、纪青云、闻佳、张筠英、邓菲、张荣梅、韩涛等十位以上名家示范音频；</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（2）特色专题资源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包含中国世纪中国梦《幸福篇》《振兴篇》《富强篇》，中华古诗文经典《唐诗系列》《宋词系列》等诵读素材朗读，更好地诠释中华传统文化和中国梦；</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50.测评</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（1）中文测评，字词模式包含单音节和多音节10000+；篇章模式包含语句和全篇测评300+；考试模式包含国家普通话水平测试题；</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（2）英文测评篇章300+，包含课本和实用场景对话；</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51.其他资源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其他资源600+，包含绘本配音和视频配音，营造了浓厚的朗读情境氛围；</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52.背景配乐</w:t>
            </w:r>
            <w:r>
              <w:rPr>
                <w:rFonts w:hint="eastAsia" w:ascii="宋体" w:hAnsi="宋体" w:eastAsia="宋体" w:cs="宋体"/>
                <w:color w:val="000000"/>
                <w:kern w:val="2"/>
                <w:sz w:val="21"/>
                <w:szCs w:val="21"/>
                <w:lang w:eastAsia="zh-CN"/>
              </w:rPr>
              <w:br w:type="textWrapping"/>
            </w:r>
            <w:r>
              <w:rPr>
                <w:rFonts w:hint="eastAsia" w:ascii="宋体" w:hAnsi="宋体" w:eastAsia="宋体" w:cs="宋体"/>
                <w:color w:val="000000"/>
                <w:kern w:val="2"/>
                <w:sz w:val="21"/>
                <w:szCs w:val="21"/>
                <w:lang w:eastAsia="zh-CN"/>
              </w:rPr>
              <w:t>朗读音乐精选300+，分类包括安静，欢快，浪漫，古风等多种类型，支持读者根据当前的感受去选择喜欢的背景音乐，配合背景场景，营造一个舒适，引人入胜的朗读氛围。</w:t>
            </w:r>
          </w:p>
        </w:tc>
      </w:tr>
      <w:tr w14:paraId="0CFB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4" w:type="dxa"/>
            <w:vMerge w:val="restart"/>
            <w:shd w:val="clear" w:color="000000" w:fill="FFFFFF"/>
            <w:noWrap w:val="0"/>
            <w:vAlign w:val="center"/>
          </w:tcPr>
          <w:p w14:paraId="559756D5">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13 </w:t>
            </w:r>
          </w:p>
        </w:tc>
        <w:tc>
          <w:tcPr>
            <w:tcW w:w="1973" w:type="dxa"/>
            <w:vMerge w:val="restart"/>
            <w:noWrap w:val="0"/>
            <w:vAlign w:val="center"/>
          </w:tcPr>
          <w:p w14:paraId="1D52EEED">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面板开关</w:t>
            </w:r>
          </w:p>
        </w:tc>
        <w:tc>
          <w:tcPr>
            <w:tcW w:w="6095" w:type="dxa"/>
            <w:noWrap w:val="0"/>
            <w:vAlign w:val="center"/>
          </w:tcPr>
          <w:p w14:paraId="2991AE9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1、三开单控开关面板，标准86盒规格。</w:t>
            </w:r>
          </w:p>
        </w:tc>
      </w:tr>
      <w:tr w14:paraId="5CE6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74" w:type="dxa"/>
            <w:vMerge w:val="continue"/>
            <w:shd w:val="clear" w:color="000000" w:fill="FFFFFF"/>
            <w:noWrap w:val="0"/>
            <w:vAlign w:val="center"/>
          </w:tcPr>
          <w:p w14:paraId="31F20D2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59E0E9A">
            <w:pPr>
              <w:widowControl/>
              <w:jc w:val="center"/>
              <w:rPr>
                <w:rFonts w:hint="eastAsia" w:ascii="宋体" w:hAnsi="宋体" w:eastAsia="宋体" w:cs="宋体"/>
                <w:sz w:val="21"/>
                <w:szCs w:val="21"/>
                <w:lang w:eastAsia="zh-CN"/>
              </w:rPr>
            </w:pPr>
          </w:p>
        </w:tc>
        <w:tc>
          <w:tcPr>
            <w:tcW w:w="6095" w:type="dxa"/>
            <w:noWrap w:val="0"/>
            <w:vAlign w:val="center"/>
          </w:tcPr>
          <w:p w14:paraId="1931C3F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2、输入电压：220V AC。</w:t>
            </w:r>
          </w:p>
        </w:tc>
      </w:tr>
      <w:tr w14:paraId="3450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74" w:type="dxa"/>
            <w:vMerge w:val="continue"/>
            <w:shd w:val="clear" w:color="000000" w:fill="FFFFFF"/>
            <w:noWrap w:val="0"/>
            <w:vAlign w:val="center"/>
          </w:tcPr>
          <w:p w14:paraId="2E2C262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54FE873">
            <w:pPr>
              <w:widowControl/>
              <w:jc w:val="center"/>
              <w:rPr>
                <w:rFonts w:hint="eastAsia" w:ascii="宋体" w:hAnsi="宋体" w:eastAsia="宋体" w:cs="宋体"/>
                <w:sz w:val="21"/>
                <w:szCs w:val="21"/>
                <w:lang w:eastAsia="zh-CN"/>
              </w:rPr>
            </w:pPr>
          </w:p>
        </w:tc>
        <w:tc>
          <w:tcPr>
            <w:tcW w:w="6095" w:type="dxa"/>
            <w:noWrap w:val="0"/>
            <w:vAlign w:val="center"/>
          </w:tcPr>
          <w:p w14:paraId="5C811AD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3、采用单火供电，单路最大负载2200W。</w:t>
            </w:r>
          </w:p>
        </w:tc>
      </w:tr>
      <w:tr w14:paraId="0368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74" w:type="dxa"/>
            <w:vMerge w:val="continue"/>
            <w:shd w:val="clear" w:color="000000" w:fill="FFFFFF"/>
            <w:noWrap w:val="0"/>
            <w:vAlign w:val="center"/>
          </w:tcPr>
          <w:p w14:paraId="2F99635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3863AD6">
            <w:pPr>
              <w:widowControl/>
              <w:jc w:val="center"/>
              <w:rPr>
                <w:rFonts w:hint="eastAsia" w:ascii="宋体" w:hAnsi="宋体" w:eastAsia="宋体" w:cs="宋体"/>
                <w:sz w:val="21"/>
                <w:szCs w:val="21"/>
                <w:lang w:eastAsia="zh-CN"/>
              </w:rPr>
            </w:pPr>
          </w:p>
        </w:tc>
        <w:tc>
          <w:tcPr>
            <w:tcW w:w="6095" w:type="dxa"/>
            <w:noWrap w:val="0"/>
            <w:vAlign w:val="center"/>
          </w:tcPr>
          <w:p w14:paraId="14478A4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4、材质为阻燃PC，依据GB/T 5169.11通过灼热丝650℃试验合格，提供第三方检测机构出具的封面带有CMA及CNAS标志的检测报告及检测报告编号在全国认证认可信息公共服务平台的查询证明复印件，同时提供报告所引用检测标准依据在中国合格评定国家认可委员会官网查询的能力范围证明复印件。</w:t>
            </w:r>
          </w:p>
        </w:tc>
      </w:tr>
      <w:tr w14:paraId="1142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74" w:type="dxa"/>
            <w:vMerge w:val="continue"/>
            <w:shd w:val="clear" w:color="000000" w:fill="FFFFFF"/>
            <w:noWrap w:val="0"/>
            <w:vAlign w:val="center"/>
          </w:tcPr>
          <w:p w14:paraId="49738D8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9E3D3F0">
            <w:pPr>
              <w:widowControl/>
              <w:jc w:val="center"/>
              <w:rPr>
                <w:rFonts w:hint="eastAsia" w:ascii="宋体" w:hAnsi="宋体" w:eastAsia="宋体" w:cs="宋体"/>
                <w:sz w:val="21"/>
                <w:szCs w:val="21"/>
                <w:lang w:eastAsia="zh-CN"/>
              </w:rPr>
            </w:pPr>
          </w:p>
        </w:tc>
        <w:tc>
          <w:tcPr>
            <w:tcW w:w="6095" w:type="dxa"/>
            <w:noWrap w:val="0"/>
            <w:vAlign w:val="center"/>
          </w:tcPr>
          <w:p w14:paraId="1BFDF7B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5、防护等级≥IP20。</w:t>
            </w:r>
          </w:p>
        </w:tc>
      </w:tr>
      <w:tr w14:paraId="7083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74" w:type="dxa"/>
            <w:vMerge w:val="continue"/>
            <w:shd w:val="clear" w:color="000000" w:fill="FFFFFF"/>
            <w:noWrap w:val="0"/>
            <w:vAlign w:val="center"/>
          </w:tcPr>
          <w:p w14:paraId="173D66C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556CAE7">
            <w:pPr>
              <w:widowControl/>
              <w:jc w:val="center"/>
              <w:rPr>
                <w:rFonts w:hint="eastAsia" w:ascii="宋体" w:hAnsi="宋体" w:eastAsia="宋体" w:cs="宋体"/>
                <w:sz w:val="21"/>
                <w:szCs w:val="21"/>
                <w:lang w:eastAsia="zh-CN"/>
              </w:rPr>
            </w:pPr>
          </w:p>
        </w:tc>
        <w:tc>
          <w:tcPr>
            <w:tcW w:w="6095" w:type="dxa"/>
            <w:noWrap w:val="0"/>
            <w:vAlign w:val="center"/>
          </w:tcPr>
          <w:p w14:paraId="0076F8E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▲6、开关应具有足够的绝缘电阻，具有足够的电气强度；在防潮试验后马上用绝缘电阻表的直流500V测量，测量应符合GB/T 15092.1第15章的要求，测量部位与要求值应符合表13规定，提供第三方检测机构出具的封面带有CMA或CNAS标志的检测报告及检测报告编号在全国认证认可信息公共服务平台的查询证明复印件，同时提供报告所引用检测标准依据在中国合格评定国家认可委员会官网查询的能力范围证明复印件。</w:t>
            </w:r>
          </w:p>
        </w:tc>
      </w:tr>
      <w:tr w14:paraId="1DFC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4" w:type="dxa"/>
            <w:vMerge w:val="restart"/>
            <w:shd w:val="clear" w:color="000000" w:fill="FFFFFF"/>
            <w:noWrap w:val="0"/>
            <w:vAlign w:val="center"/>
          </w:tcPr>
          <w:p w14:paraId="3E0EF18D">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14</w:t>
            </w:r>
          </w:p>
        </w:tc>
        <w:tc>
          <w:tcPr>
            <w:tcW w:w="1973" w:type="dxa"/>
            <w:vMerge w:val="restart"/>
            <w:noWrap w:val="0"/>
            <w:vAlign w:val="center"/>
          </w:tcPr>
          <w:p w14:paraId="3AAE8939">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数字红外无线教学扩声系统主机</w:t>
            </w:r>
          </w:p>
        </w:tc>
        <w:tc>
          <w:tcPr>
            <w:tcW w:w="6095" w:type="dxa"/>
            <w:noWrap w:val="0"/>
            <w:vAlign w:val="center"/>
          </w:tcPr>
          <w:p w14:paraId="6F088CE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1、话筒主机参数：载波频段：UHF 603-699 MHz；频带宽度：30MHz；通道数：双通道；灵敏度：在偏移度等于25KHz，输入6dBv时，S/N=60dB；最大偏移度：±45KHz；综合S/N比：105dB；综合T.H.D：0.7% @ 1KHz；综合频率响应：45Hz～18KHz ±3dB；工作有效距离：60米（可视距离）；音频输出接口：XLR插座(2个)、Ø6.35mm插座(1个)；射频天线接口：BNC插座(2个) ；</w:t>
            </w:r>
          </w:p>
        </w:tc>
      </w:tr>
      <w:tr w14:paraId="3179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74" w:type="dxa"/>
            <w:vMerge w:val="continue"/>
            <w:shd w:val="clear" w:color="000000" w:fill="FFFFFF"/>
            <w:noWrap w:val="0"/>
            <w:vAlign w:val="center"/>
          </w:tcPr>
          <w:p w14:paraId="698E622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71794E0">
            <w:pPr>
              <w:widowControl/>
              <w:jc w:val="center"/>
              <w:rPr>
                <w:rFonts w:hint="eastAsia" w:ascii="宋体" w:hAnsi="宋体" w:eastAsia="宋体" w:cs="宋体"/>
                <w:sz w:val="21"/>
                <w:szCs w:val="21"/>
                <w:lang w:eastAsia="zh-CN"/>
              </w:rPr>
            </w:pPr>
          </w:p>
        </w:tc>
        <w:tc>
          <w:tcPr>
            <w:tcW w:w="6095" w:type="dxa"/>
            <w:noWrap w:val="0"/>
            <w:vAlign w:val="center"/>
          </w:tcPr>
          <w:p w14:paraId="0BC1C79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2、具有LCD显示屏，可实时查询与设置系统状态，2种系统语种；具备自适应啸叫抑制AFC功能开关；</w:t>
            </w:r>
          </w:p>
        </w:tc>
      </w:tr>
      <w:tr w14:paraId="0063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74" w:type="dxa"/>
            <w:vMerge w:val="continue"/>
            <w:shd w:val="clear" w:color="000000" w:fill="FFFFFF"/>
            <w:noWrap w:val="0"/>
            <w:vAlign w:val="center"/>
          </w:tcPr>
          <w:p w14:paraId="45BA6D6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6BDCB33">
            <w:pPr>
              <w:widowControl/>
              <w:jc w:val="center"/>
              <w:rPr>
                <w:rFonts w:hint="eastAsia" w:ascii="宋体" w:hAnsi="宋体" w:eastAsia="宋体" w:cs="宋体"/>
                <w:sz w:val="21"/>
                <w:szCs w:val="21"/>
                <w:lang w:eastAsia="zh-CN"/>
              </w:rPr>
            </w:pPr>
          </w:p>
        </w:tc>
        <w:tc>
          <w:tcPr>
            <w:tcW w:w="6095" w:type="dxa"/>
            <w:noWrap w:val="0"/>
            <w:vAlign w:val="center"/>
          </w:tcPr>
          <w:p w14:paraId="2763BFD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内置DSP音频处理器，支持网页控制与管理：可调节麦克风的5端参量均衡，31段图示均衡，同时支持场景保存；具有音频传输USB接口，可连接充电座有线麦克风并设置有线无线智能切换发言状态；（投标时提供功能截图证明此项）</w:t>
            </w:r>
          </w:p>
        </w:tc>
      </w:tr>
      <w:tr w14:paraId="3E67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74" w:type="dxa"/>
            <w:vMerge w:val="continue"/>
            <w:shd w:val="clear" w:color="000000" w:fill="FFFFFF"/>
            <w:noWrap w:val="0"/>
            <w:vAlign w:val="center"/>
          </w:tcPr>
          <w:p w14:paraId="3DDD2E9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49DEA1D">
            <w:pPr>
              <w:widowControl/>
              <w:jc w:val="center"/>
              <w:rPr>
                <w:rFonts w:hint="eastAsia" w:ascii="宋体" w:hAnsi="宋体" w:eastAsia="宋体" w:cs="宋体"/>
                <w:sz w:val="21"/>
                <w:szCs w:val="21"/>
                <w:lang w:eastAsia="zh-CN"/>
              </w:rPr>
            </w:pPr>
          </w:p>
        </w:tc>
        <w:tc>
          <w:tcPr>
            <w:tcW w:w="6095" w:type="dxa"/>
            <w:noWrap w:val="0"/>
            <w:vAlign w:val="center"/>
          </w:tcPr>
          <w:p w14:paraId="32DE87C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4、具有2路RJ45网口作为红外信号接口，最多可以拓展6个接收器；可配2支红外麦克风同时使用；内置功放，具有4个扬声器接口，功放输出功率：200 W×2+60 W×2；频率响应：60 Hz~20k Hz；信噪比： 90 dBA；总谐波失真：0.05%；</w:t>
            </w:r>
          </w:p>
        </w:tc>
      </w:tr>
      <w:tr w14:paraId="2028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74" w:type="dxa"/>
            <w:vMerge w:val="continue"/>
            <w:shd w:val="clear" w:color="000000" w:fill="FFFFFF"/>
            <w:noWrap w:val="0"/>
            <w:vAlign w:val="center"/>
          </w:tcPr>
          <w:p w14:paraId="7A2CB52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878B7C1">
            <w:pPr>
              <w:widowControl/>
              <w:jc w:val="center"/>
              <w:rPr>
                <w:rFonts w:hint="eastAsia" w:ascii="宋体" w:hAnsi="宋体" w:eastAsia="宋体" w:cs="宋体"/>
                <w:sz w:val="21"/>
                <w:szCs w:val="21"/>
                <w:lang w:eastAsia="zh-CN"/>
              </w:rPr>
            </w:pPr>
          </w:p>
        </w:tc>
        <w:tc>
          <w:tcPr>
            <w:tcW w:w="6095" w:type="dxa"/>
            <w:noWrap w:val="0"/>
            <w:vAlign w:val="center"/>
          </w:tcPr>
          <w:p w14:paraId="4277EF0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5、通过USB线连接到电脑，可配合红外无线麦克风实现PPT翻页功能。</w:t>
            </w:r>
          </w:p>
        </w:tc>
      </w:tr>
      <w:tr w14:paraId="50ED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4" w:type="dxa"/>
            <w:vMerge w:val="restart"/>
            <w:shd w:val="clear" w:color="000000" w:fill="FFFFFF"/>
            <w:noWrap w:val="0"/>
            <w:vAlign w:val="center"/>
          </w:tcPr>
          <w:p w14:paraId="5CB9FD14">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15 </w:t>
            </w:r>
          </w:p>
        </w:tc>
        <w:tc>
          <w:tcPr>
            <w:tcW w:w="1973" w:type="dxa"/>
            <w:vMerge w:val="restart"/>
            <w:noWrap w:val="0"/>
            <w:vAlign w:val="center"/>
          </w:tcPr>
          <w:p w14:paraId="3B38A7B3">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数字红外无线麦克风</w:t>
            </w:r>
          </w:p>
        </w:tc>
        <w:tc>
          <w:tcPr>
            <w:tcW w:w="6095" w:type="dxa"/>
            <w:noWrap w:val="0"/>
            <w:vAlign w:val="center"/>
          </w:tcPr>
          <w:p w14:paraId="4CC5F19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1、采用数字红外音频传输及控制技术，不受高频驱动光源干扰，可正常工作于阳光下的环境；</w:t>
            </w:r>
          </w:p>
        </w:tc>
      </w:tr>
      <w:tr w14:paraId="3A2F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498C64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7E01497">
            <w:pPr>
              <w:widowControl/>
              <w:jc w:val="center"/>
              <w:rPr>
                <w:rFonts w:hint="eastAsia" w:ascii="宋体" w:hAnsi="宋体" w:eastAsia="宋体" w:cs="宋体"/>
                <w:sz w:val="21"/>
                <w:szCs w:val="21"/>
                <w:lang w:eastAsia="zh-CN"/>
              </w:rPr>
            </w:pPr>
          </w:p>
        </w:tc>
        <w:tc>
          <w:tcPr>
            <w:tcW w:w="6095" w:type="dxa"/>
            <w:noWrap w:val="0"/>
            <w:vAlign w:val="center"/>
          </w:tcPr>
          <w:p w14:paraId="737E233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2、扩展性能强，具有3.5mm接口支持外部音频输入，与其它音频设备（如MP3、手机等）灵活组合；</w:t>
            </w:r>
          </w:p>
        </w:tc>
      </w:tr>
      <w:tr w14:paraId="32BC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vMerge w:val="continue"/>
            <w:shd w:val="clear" w:color="000000" w:fill="FFFFFF"/>
            <w:noWrap w:val="0"/>
            <w:vAlign w:val="center"/>
          </w:tcPr>
          <w:p w14:paraId="5656D0E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47C9FFE">
            <w:pPr>
              <w:widowControl/>
              <w:jc w:val="center"/>
              <w:rPr>
                <w:rFonts w:hint="eastAsia" w:ascii="宋体" w:hAnsi="宋体" w:eastAsia="宋体" w:cs="宋体"/>
                <w:sz w:val="21"/>
                <w:szCs w:val="21"/>
                <w:lang w:eastAsia="zh-CN"/>
              </w:rPr>
            </w:pPr>
          </w:p>
        </w:tc>
        <w:tc>
          <w:tcPr>
            <w:tcW w:w="6095" w:type="dxa"/>
            <w:noWrap w:val="0"/>
            <w:vAlign w:val="center"/>
          </w:tcPr>
          <w:p w14:paraId="4E02E69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▲3、具备PPT翻页功能与激光指示功能（提供实物接口照片或官网截图并加盖生产厂家原厂鲜章或</w:t>
            </w:r>
            <w:r>
              <w:rPr>
                <w:rFonts w:hint="eastAsia" w:ascii="宋体" w:hAnsi="宋体" w:eastAsia="宋体" w:cs="宋体"/>
                <w:kern w:val="2"/>
                <w:sz w:val="21"/>
                <w:szCs w:val="21"/>
                <w:lang w:eastAsia="zh-CN"/>
              </w:rPr>
              <w:t>投标单位公章</w:t>
            </w:r>
            <w:r>
              <w:rPr>
                <w:rFonts w:hint="eastAsia" w:ascii="宋体" w:hAnsi="宋体" w:eastAsia="宋体" w:cs="宋体"/>
                <w:sz w:val="21"/>
                <w:szCs w:val="21"/>
                <w:lang w:eastAsia="zh-CN"/>
              </w:rPr>
              <w:t>）；</w:t>
            </w:r>
          </w:p>
        </w:tc>
      </w:tr>
      <w:tr w14:paraId="30AB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vMerge w:val="continue"/>
            <w:shd w:val="clear" w:color="000000" w:fill="FFFFFF"/>
            <w:noWrap w:val="0"/>
            <w:vAlign w:val="center"/>
          </w:tcPr>
          <w:p w14:paraId="415CE21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8CD021B">
            <w:pPr>
              <w:widowControl/>
              <w:jc w:val="center"/>
              <w:rPr>
                <w:rFonts w:hint="eastAsia" w:ascii="宋体" w:hAnsi="宋体" w:eastAsia="宋体" w:cs="宋体"/>
                <w:sz w:val="21"/>
                <w:szCs w:val="21"/>
                <w:lang w:eastAsia="zh-CN"/>
              </w:rPr>
            </w:pPr>
          </w:p>
        </w:tc>
        <w:tc>
          <w:tcPr>
            <w:tcW w:w="6095" w:type="dxa"/>
            <w:noWrap w:val="0"/>
            <w:vAlign w:val="center"/>
          </w:tcPr>
          <w:p w14:paraId="0F68D2C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4、无线麦克风自带电子锁锁孔，可搭配电子锁进行话筒安全管理；</w:t>
            </w:r>
          </w:p>
        </w:tc>
      </w:tr>
      <w:tr w14:paraId="6BF6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vMerge w:val="continue"/>
            <w:shd w:val="clear" w:color="000000" w:fill="FFFFFF"/>
            <w:noWrap w:val="0"/>
            <w:vAlign w:val="center"/>
          </w:tcPr>
          <w:p w14:paraId="0A9B205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4238487">
            <w:pPr>
              <w:widowControl/>
              <w:jc w:val="center"/>
              <w:rPr>
                <w:rFonts w:hint="eastAsia" w:ascii="宋体" w:hAnsi="宋体" w:eastAsia="宋体" w:cs="宋体"/>
                <w:sz w:val="21"/>
                <w:szCs w:val="21"/>
                <w:lang w:eastAsia="zh-CN"/>
              </w:rPr>
            </w:pPr>
          </w:p>
        </w:tc>
        <w:tc>
          <w:tcPr>
            <w:tcW w:w="6095" w:type="dxa"/>
            <w:noWrap w:val="0"/>
            <w:vAlign w:val="center"/>
          </w:tcPr>
          <w:p w14:paraId="1C6A31B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5、具有独立的麦克风增益调节按键，可根据使用者需求随时调节拾音灵敏度；</w:t>
            </w:r>
          </w:p>
        </w:tc>
      </w:tr>
      <w:tr w14:paraId="621F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vMerge w:val="continue"/>
            <w:shd w:val="clear" w:color="000000" w:fill="FFFFFF"/>
            <w:noWrap w:val="0"/>
            <w:vAlign w:val="center"/>
          </w:tcPr>
          <w:p w14:paraId="302E152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5FE2F9D">
            <w:pPr>
              <w:widowControl/>
              <w:jc w:val="center"/>
              <w:rPr>
                <w:rFonts w:hint="eastAsia" w:ascii="宋体" w:hAnsi="宋体" w:eastAsia="宋体" w:cs="宋体"/>
                <w:sz w:val="21"/>
                <w:szCs w:val="21"/>
                <w:lang w:eastAsia="zh-CN"/>
              </w:rPr>
            </w:pPr>
          </w:p>
        </w:tc>
        <w:tc>
          <w:tcPr>
            <w:tcW w:w="6095" w:type="dxa"/>
            <w:noWrap w:val="0"/>
            <w:vAlign w:val="center"/>
          </w:tcPr>
          <w:p w14:paraId="2A17E2D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6、支持PTT模式，按着功能键开启麦克风发言，松开后麦克风即关闭；</w:t>
            </w:r>
          </w:p>
        </w:tc>
      </w:tr>
      <w:tr w14:paraId="44F8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vMerge w:val="continue"/>
            <w:shd w:val="clear" w:color="000000" w:fill="FFFFFF"/>
            <w:noWrap w:val="0"/>
            <w:vAlign w:val="center"/>
          </w:tcPr>
          <w:p w14:paraId="2E2AFDF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2349455">
            <w:pPr>
              <w:widowControl/>
              <w:jc w:val="center"/>
              <w:rPr>
                <w:rFonts w:hint="eastAsia" w:ascii="宋体" w:hAnsi="宋体" w:eastAsia="宋体" w:cs="宋体"/>
                <w:sz w:val="21"/>
                <w:szCs w:val="21"/>
                <w:lang w:eastAsia="zh-CN"/>
              </w:rPr>
            </w:pPr>
          </w:p>
        </w:tc>
        <w:tc>
          <w:tcPr>
            <w:tcW w:w="6095" w:type="dxa"/>
            <w:noWrap w:val="0"/>
            <w:vAlign w:val="center"/>
          </w:tcPr>
          <w:p w14:paraId="6D0476F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7、内置可充电锂电池，不可拆卸，预防被盗，持续发言时间不小于7小时；</w:t>
            </w:r>
          </w:p>
        </w:tc>
      </w:tr>
      <w:tr w14:paraId="2D37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vMerge w:val="continue"/>
            <w:shd w:val="clear" w:color="000000" w:fill="FFFFFF"/>
            <w:noWrap w:val="0"/>
            <w:vAlign w:val="center"/>
          </w:tcPr>
          <w:p w14:paraId="1081EF3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628720B">
            <w:pPr>
              <w:widowControl/>
              <w:jc w:val="center"/>
              <w:rPr>
                <w:rFonts w:hint="eastAsia" w:ascii="宋体" w:hAnsi="宋体" w:eastAsia="宋体" w:cs="宋体"/>
                <w:sz w:val="21"/>
                <w:szCs w:val="21"/>
                <w:lang w:eastAsia="zh-CN"/>
              </w:rPr>
            </w:pPr>
          </w:p>
        </w:tc>
        <w:tc>
          <w:tcPr>
            <w:tcW w:w="6095" w:type="dxa"/>
            <w:noWrap w:val="0"/>
            <w:vAlign w:val="center"/>
          </w:tcPr>
          <w:p w14:paraId="4EB63CC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8、无线麦克风具有电量提示功能，支持不少于2种充电方式。</w:t>
            </w:r>
          </w:p>
        </w:tc>
      </w:tr>
      <w:tr w14:paraId="11A9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shd w:val="clear" w:color="000000" w:fill="FFFFFF"/>
            <w:noWrap w:val="0"/>
            <w:vAlign w:val="center"/>
          </w:tcPr>
          <w:p w14:paraId="650CEEFE">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16</w:t>
            </w:r>
          </w:p>
        </w:tc>
        <w:tc>
          <w:tcPr>
            <w:tcW w:w="1973" w:type="dxa"/>
            <w:noWrap w:val="0"/>
            <w:vAlign w:val="center"/>
          </w:tcPr>
          <w:p w14:paraId="23FCAD4E">
            <w:pPr>
              <w:widowControl/>
              <w:jc w:val="center"/>
              <w:rPr>
                <w:rFonts w:hint="eastAsia" w:ascii="宋体" w:hAnsi="宋体" w:eastAsia="宋体" w:cs="宋体"/>
                <w:sz w:val="21"/>
                <w:szCs w:val="21"/>
                <w:lang w:eastAsia="zh-CN"/>
              </w:rPr>
            </w:pPr>
            <w:r>
              <w:rPr>
                <w:rFonts w:hint="eastAsia" w:ascii="宋体" w:hAnsi="宋体" w:eastAsia="宋体" w:cs="宋体"/>
                <w:kern w:val="2"/>
                <w:sz w:val="21"/>
                <w:szCs w:val="21"/>
                <w:lang w:eastAsia="zh-CN"/>
              </w:rPr>
              <w:t>数字红外接收器</w:t>
            </w:r>
          </w:p>
        </w:tc>
        <w:tc>
          <w:tcPr>
            <w:tcW w:w="6095" w:type="dxa"/>
            <w:noWrap w:val="0"/>
            <w:vAlign w:val="center"/>
          </w:tcPr>
          <w:p w14:paraId="4B0C6D8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1、数字红外音频传输及控制技术；接收范围：直视距离25米；覆盖面积80~100平米；红外线波长870mm；                                          </w:t>
            </w:r>
          </w:p>
          <w:p w14:paraId="09E5F52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2、带频点选择拨扭，接收器具有两组频点选择，可与主机搭配调谐，稳固信号传输。  </w:t>
            </w:r>
          </w:p>
        </w:tc>
      </w:tr>
      <w:tr w14:paraId="4774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shd w:val="clear" w:color="000000" w:fill="FFFFFF"/>
            <w:noWrap w:val="0"/>
            <w:vAlign w:val="center"/>
          </w:tcPr>
          <w:p w14:paraId="6324FD27">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17</w:t>
            </w:r>
          </w:p>
        </w:tc>
        <w:tc>
          <w:tcPr>
            <w:tcW w:w="1973" w:type="dxa"/>
            <w:noWrap w:val="0"/>
            <w:vAlign w:val="center"/>
          </w:tcPr>
          <w:p w14:paraId="421F89DB">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线阵列音柱</w:t>
            </w:r>
          </w:p>
        </w:tc>
        <w:tc>
          <w:tcPr>
            <w:tcW w:w="6095" w:type="dxa"/>
            <w:noWrap w:val="0"/>
            <w:vAlign w:val="center"/>
          </w:tcPr>
          <w:p w14:paraId="2945A20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内置4个3英寸全频扬声器单元；覆盖角度：水平方向150°，垂直方向30°；专业级线阵列音柱，声场覆盖均匀，传声增益更高而不易啸叫，解决有建声缺陷环境的扩声需求；箱体表面按国际防护等级标准IEC60529（等同国家标准GB/T4208）IP-55设计；                                        </w:t>
            </w:r>
          </w:p>
          <w:p w14:paraId="062EDB7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2、经过防尘防水防喷溅处理；                                                </w:t>
            </w:r>
          </w:p>
          <w:p w14:paraId="09A2F93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3、外壳为添加最大抗紫外线添加物的玻璃纤维ABS塑料；频率响应范围：75 Hz ~ 20k Hz（-10 dB）；灵敏度：90dB；功率：60W；最大声压级：107dB。</w:t>
            </w:r>
          </w:p>
        </w:tc>
      </w:tr>
      <w:tr w14:paraId="7CD7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74" w:type="dxa"/>
            <w:shd w:val="clear" w:color="000000" w:fill="FFFFFF"/>
            <w:noWrap w:val="0"/>
            <w:vAlign w:val="center"/>
          </w:tcPr>
          <w:p w14:paraId="42485019">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18</w:t>
            </w:r>
          </w:p>
        </w:tc>
        <w:tc>
          <w:tcPr>
            <w:tcW w:w="1973" w:type="dxa"/>
            <w:noWrap w:val="0"/>
            <w:vAlign w:val="center"/>
          </w:tcPr>
          <w:p w14:paraId="0E861AD2">
            <w:pPr>
              <w:widowControl/>
              <w:jc w:val="center"/>
              <w:rPr>
                <w:rFonts w:hint="eastAsia" w:ascii="宋体" w:hAnsi="宋体" w:eastAsia="宋体" w:cs="宋体"/>
                <w:sz w:val="21"/>
                <w:szCs w:val="21"/>
                <w:lang w:eastAsia="zh-CN"/>
              </w:rPr>
            </w:pPr>
            <w:r>
              <w:rPr>
                <w:rFonts w:hint="eastAsia" w:ascii="宋体" w:hAnsi="宋体" w:eastAsia="宋体" w:cs="宋体"/>
                <w:kern w:val="2"/>
                <w:sz w:val="21"/>
                <w:szCs w:val="21"/>
                <w:lang w:eastAsia="zh-CN"/>
              </w:rPr>
              <w:t>6.5英寸吸顶扬声器</w:t>
            </w:r>
          </w:p>
        </w:tc>
        <w:tc>
          <w:tcPr>
            <w:tcW w:w="6095" w:type="dxa"/>
            <w:noWrap w:val="0"/>
            <w:vAlign w:val="center"/>
          </w:tcPr>
          <w:p w14:paraId="214584E7">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1、音质细腻，可广泛应用于学校、会议厅等场合；</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2、低音单元≥6.5寸，高音单元≥0.75寸，两分频同轴式扬声器；</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3、ABS面板加金属箱体，兼顾美观、耐用；</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4、安装方式：吸顶式；</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5、频率响应：≥90 Hz ~ 20 kHz；</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6、定阻输入：≥16 Ω；</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7、额定功率：≥60 W；</w:t>
            </w:r>
            <w:r>
              <w:rPr>
                <w:rFonts w:hint="eastAsia" w:ascii="宋体" w:hAnsi="宋体" w:eastAsia="宋体" w:cs="宋体"/>
                <w:kern w:val="2"/>
                <w:sz w:val="21"/>
                <w:szCs w:val="21"/>
                <w:lang w:eastAsia="zh-CN"/>
              </w:rPr>
              <w:br w:type="textWrapping"/>
            </w:r>
            <w:r>
              <w:rPr>
                <w:rFonts w:hint="eastAsia" w:ascii="宋体" w:hAnsi="宋体" w:eastAsia="宋体" w:cs="宋体"/>
                <w:kern w:val="2"/>
                <w:sz w:val="21"/>
                <w:szCs w:val="21"/>
                <w:lang w:eastAsia="zh-CN"/>
              </w:rPr>
              <w:t>8、灵敏度：≥90 dB；</w:t>
            </w:r>
          </w:p>
        </w:tc>
      </w:tr>
      <w:tr w14:paraId="48D5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4" w:type="dxa"/>
            <w:vMerge w:val="restart"/>
            <w:shd w:val="clear" w:color="000000" w:fill="FFFFFF"/>
            <w:noWrap w:val="0"/>
            <w:vAlign w:val="center"/>
          </w:tcPr>
          <w:p w14:paraId="73208059">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19 </w:t>
            </w:r>
          </w:p>
        </w:tc>
        <w:tc>
          <w:tcPr>
            <w:tcW w:w="1973" w:type="dxa"/>
            <w:vMerge w:val="restart"/>
            <w:noWrap w:val="0"/>
            <w:vAlign w:val="center"/>
          </w:tcPr>
          <w:p w14:paraId="6F0F925E">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充电底座</w:t>
            </w:r>
          </w:p>
        </w:tc>
        <w:tc>
          <w:tcPr>
            <w:tcW w:w="6095" w:type="dxa"/>
            <w:noWrap w:val="0"/>
            <w:vAlign w:val="center"/>
          </w:tcPr>
          <w:p w14:paraId="799FF61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1、无线麦克风充电座内置电子锁，可通过RS232接口连接中控主机，或扫二维码解锁无线麦克风，方便管理，避免丢失</w:t>
            </w:r>
          </w:p>
        </w:tc>
      </w:tr>
      <w:tr w14:paraId="681E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7CEF43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A765499">
            <w:pPr>
              <w:widowControl/>
              <w:jc w:val="center"/>
              <w:rPr>
                <w:rFonts w:hint="eastAsia" w:ascii="宋体" w:hAnsi="宋体" w:eastAsia="宋体" w:cs="宋体"/>
                <w:sz w:val="21"/>
                <w:szCs w:val="21"/>
                <w:lang w:eastAsia="zh-CN"/>
              </w:rPr>
            </w:pPr>
          </w:p>
        </w:tc>
        <w:tc>
          <w:tcPr>
            <w:tcW w:w="6095" w:type="dxa"/>
            <w:noWrap w:val="0"/>
            <w:vAlign w:val="center"/>
          </w:tcPr>
          <w:p w14:paraId="2CCEA27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▲2、配合管理平台软件可实时查询麦克风解锁、地址等状态信息，支持日志记录（提供管理软件平台功能展示界面截图）</w:t>
            </w:r>
          </w:p>
        </w:tc>
      </w:tr>
      <w:tr w14:paraId="1062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4E0F07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9F0C12C">
            <w:pPr>
              <w:widowControl/>
              <w:jc w:val="center"/>
              <w:rPr>
                <w:rFonts w:hint="eastAsia" w:ascii="宋体" w:hAnsi="宋体" w:eastAsia="宋体" w:cs="宋体"/>
                <w:sz w:val="21"/>
                <w:szCs w:val="21"/>
                <w:lang w:eastAsia="zh-CN"/>
              </w:rPr>
            </w:pPr>
          </w:p>
        </w:tc>
        <w:tc>
          <w:tcPr>
            <w:tcW w:w="6095" w:type="dxa"/>
            <w:noWrap w:val="0"/>
            <w:vAlign w:val="center"/>
          </w:tcPr>
          <w:p w14:paraId="3056077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3、移动端可通过app或微信小程序解锁并查询、设置设备状态等信息</w:t>
            </w:r>
          </w:p>
        </w:tc>
      </w:tr>
      <w:tr w14:paraId="611D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shd w:val="clear" w:color="000000" w:fill="FFFFFF"/>
            <w:noWrap w:val="0"/>
            <w:vAlign w:val="center"/>
          </w:tcPr>
          <w:p w14:paraId="2EB83CB1">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20</w:t>
            </w:r>
          </w:p>
        </w:tc>
        <w:tc>
          <w:tcPr>
            <w:tcW w:w="1973" w:type="dxa"/>
            <w:noWrap w:val="0"/>
            <w:vAlign w:val="center"/>
          </w:tcPr>
          <w:p w14:paraId="3E2C4FDB">
            <w:pPr>
              <w:widowControl/>
              <w:jc w:val="center"/>
              <w:rPr>
                <w:rFonts w:hint="eastAsia" w:ascii="宋体" w:hAnsi="宋体" w:eastAsia="宋体" w:cs="宋体"/>
                <w:sz w:val="21"/>
                <w:szCs w:val="21"/>
                <w:lang w:eastAsia="zh-CN"/>
              </w:rPr>
            </w:pPr>
            <w:r>
              <w:rPr>
                <w:rFonts w:hint="eastAsia" w:ascii="宋体" w:hAnsi="宋体" w:eastAsia="宋体" w:cs="宋体"/>
                <w:kern w:val="2"/>
                <w:sz w:val="21"/>
                <w:szCs w:val="21"/>
                <w:lang w:eastAsia="zh-CN"/>
              </w:rPr>
              <w:t>机柜</w:t>
            </w:r>
          </w:p>
        </w:tc>
        <w:tc>
          <w:tcPr>
            <w:tcW w:w="6095" w:type="dxa"/>
            <w:noWrap w:val="0"/>
            <w:vAlign w:val="center"/>
          </w:tcPr>
          <w:p w14:paraId="6EE3DB08">
            <w:pPr>
              <w:widowControl w:val="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19U可移动机柜，国标</w:t>
            </w:r>
          </w:p>
        </w:tc>
      </w:tr>
      <w:tr w14:paraId="2745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4" w:type="dxa"/>
            <w:vMerge w:val="restart"/>
            <w:shd w:val="clear" w:color="000000" w:fill="FFFFFF"/>
            <w:noWrap w:val="0"/>
            <w:vAlign w:val="center"/>
          </w:tcPr>
          <w:p w14:paraId="3874F818">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21</w:t>
            </w:r>
          </w:p>
        </w:tc>
        <w:tc>
          <w:tcPr>
            <w:tcW w:w="1973" w:type="dxa"/>
            <w:vMerge w:val="restart"/>
            <w:noWrap w:val="0"/>
            <w:vAlign w:val="center"/>
          </w:tcPr>
          <w:p w14:paraId="525C2346">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移动还书箱</w:t>
            </w:r>
          </w:p>
        </w:tc>
        <w:tc>
          <w:tcPr>
            <w:tcW w:w="6095" w:type="dxa"/>
            <w:noWrap w:val="0"/>
            <w:vAlign w:val="center"/>
          </w:tcPr>
          <w:p w14:paraId="620E353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1、升降式还书箱采用负载自动升降式结构，安全稳定可靠，有效的减少图书管理员上架搬运的工作。运行时超低噪音，完美适配图书馆宁静的阅读环境；</w:t>
            </w:r>
          </w:p>
        </w:tc>
      </w:tr>
      <w:tr w14:paraId="6D8F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74" w:type="dxa"/>
            <w:vMerge w:val="continue"/>
            <w:shd w:val="clear" w:color="000000" w:fill="FFFFFF"/>
            <w:noWrap w:val="0"/>
            <w:vAlign w:val="center"/>
          </w:tcPr>
          <w:p w14:paraId="35868E5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F8CCB43">
            <w:pPr>
              <w:widowControl/>
              <w:jc w:val="center"/>
              <w:rPr>
                <w:rFonts w:hint="eastAsia" w:ascii="宋体" w:hAnsi="宋体" w:eastAsia="宋体" w:cs="宋体"/>
                <w:sz w:val="21"/>
                <w:szCs w:val="21"/>
                <w:lang w:eastAsia="zh-CN"/>
              </w:rPr>
            </w:pPr>
          </w:p>
        </w:tc>
        <w:tc>
          <w:tcPr>
            <w:tcW w:w="6095" w:type="dxa"/>
            <w:noWrap w:val="0"/>
            <w:vAlign w:val="center"/>
          </w:tcPr>
          <w:p w14:paraId="7F0743B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2、图书容量：≥150 册；</w:t>
            </w:r>
          </w:p>
        </w:tc>
      </w:tr>
      <w:tr w14:paraId="691B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37085C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DF80DF3">
            <w:pPr>
              <w:widowControl/>
              <w:jc w:val="center"/>
              <w:rPr>
                <w:rFonts w:hint="eastAsia" w:ascii="宋体" w:hAnsi="宋体" w:eastAsia="宋体" w:cs="宋体"/>
                <w:sz w:val="21"/>
                <w:szCs w:val="21"/>
                <w:lang w:eastAsia="zh-CN"/>
              </w:rPr>
            </w:pPr>
          </w:p>
        </w:tc>
        <w:tc>
          <w:tcPr>
            <w:tcW w:w="6095" w:type="dxa"/>
            <w:noWrap w:val="0"/>
            <w:vAlign w:val="center"/>
          </w:tcPr>
          <w:p w14:paraId="3938EB4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3、材质工艺：电泳型材+铝板材+纤维板+喷涂丝印；</w:t>
            </w:r>
          </w:p>
        </w:tc>
      </w:tr>
      <w:tr w14:paraId="13C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A41254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78DA205">
            <w:pPr>
              <w:widowControl/>
              <w:jc w:val="center"/>
              <w:rPr>
                <w:rFonts w:hint="eastAsia" w:ascii="宋体" w:hAnsi="宋体" w:eastAsia="宋体" w:cs="宋体"/>
                <w:sz w:val="21"/>
                <w:szCs w:val="21"/>
                <w:lang w:eastAsia="zh-CN"/>
              </w:rPr>
            </w:pPr>
          </w:p>
        </w:tc>
        <w:tc>
          <w:tcPr>
            <w:tcW w:w="6095" w:type="dxa"/>
            <w:noWrap w:val="0"/>
            <w:vAlign w:val="center"/>
          </w:tcPr>
          <w:p w14:paraId="1888236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4、书箱原理：根据书箱内图书的重量来实现自动升降；</w:t>
            </w:r>
          </w:p>
        </w:tc>
      </w:tr>
      <w:tr w14:paraId="13D0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B5C221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D7AF116">
            <w:pPr>
              <w:widowControl/>
              <w:jc w:val="center"/>
              <w:rPr>
                <w:rFonts w:hint="eastAsia" w:ascii="宋体" w:hAnsi="宋体" w:eastAsia="宋体" w:cs="宋体"/>
                <w:sz w:val="21"/>
                <w:szCs w:val="21"/>
                <w:lang w:eastAsia="zh-CN"/>
              </w:rPr>
            </w:pPr>
          </w:p>
        </w:tc>
        <w:tc>
          <w:tcPr>
            <w:tcW w:w="6095" w:type="dxa"/>
            <w:noWrap w:val="0"/>
            <w:vAlign w:val="center"/>
          </w:tcPr>
          <w:p w14:paraId="3B49F11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5、静音轮：前两个万向耐磨静音轮。后两个万向带刹车耐磨静音轮，方便载重时推动转向；</w:t>
            </w:r>
          </w:p>
        </w:tc>
      </w:tr>
      <w:tr w14:paraId="56FE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7B18FF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905FFF6">
            <w:pPr>
              <w:widowControl/>
              <w:jc w:val="center"/>
              <w:rPr>
                <w:rFonts w:hint="eastAsia" w:ascii="宋体" w:hAnsi="宋体" w:eastAsia="宋体" w:cs="宋体"/>
                <w:sz w:val="21"/>
                <w:szCs w:val="21"/>
                <w:lang w:eastAsia="zh-CN"/>
              </w:rPr>
            </w:pPr>
          </w:p>
        </w:tc>
        <w:tc>
          <w:tcPr>
            <w:tcW w:w="6095" w:type="dxa"/>
            <w:noWrap w:val="0"/>
            <w:vAlign w:val="center"/>
          </w:tcPr>
          <w:p w14:paraId="13FA2CE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6、特点：承载板自由升级，无负载离地面≥ 680mm，满负载离地面≥230mm，侧面外封板采用高强度铝合金材料，耐瞬时强度高，有抗变形能力；</w:t>
            </w:r>
          </w:p>
        </w:tc>
      </w:tr>
      <w:tr w14:paraId="1DED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74" w:type="dxa"/>
            <w:vMerge w:val="restart"/>
            <w:shd w:val="clear" w:color="000000" w:fill="FFFFFF"/>
            <w:noWrap w:val="0"/>
            <w:vAlign w:val="center"/>
          </w:tcPr>
          <w:p w14:paraId="3DF5065B">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22 </w:t>
            </w:r>
          </w:p>
        </w:tc>
        <w:tc>
          <w:tcPr>
            <w:tcW w:w="1973" w:type="dxa"/>
            <w:vMerge w:val="restart"/>
            <w:noWrap w:val="0"/>
            <w:vAlign w:val="center"/>
          </w:tcPr>
          <w:p w14:paraId="080B5CA1">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安全门禁（单通道）</w:t>
            </w:r>
          </w:p>
        </w:tc>
        <w:tc>
          <w:tcPr>
            <w:tcW w:w="6095" w:type="dxa"/>
            <w:noWrap w:val="0"/>
            <w:vAlign w:val="center"/>
          </w:tcPr>
          <w:p w14:paraId="66D85CA1">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1、支持多种报警检测模式：EAS、AFI、DSFID、EAS&amp;AFI等可自由设置；</w:t>
            </w:r>
          </w:p>
        </w:tc>
      </w:tr>
      <w:tr w14:paraId="50FB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DBA46A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44C588D">
            <w:pPr>
              <w:widowControl/>
              <w:jc w:val="center"/>
              <w:rPr>
                <w:rFonts w:hint="eastAsia" w:ascii="宋体" w:hAnsi="宋体" w:eastAsia="宋体" w:cs="宋体"/>
                <w:sz w:val="21"/>
                <w:szCs w:val="21"/>
                <w:lang w:eastAsia="zh-CN"/>
              </w:rPr>
            </w:pPr>
          </w:p>
        </w:tc>
        <w:tc>
          <w:tcPr>
            <w:tcW w:w="6095" w:type="dxa"/>
            <w:noWrap w:val="0"/>
            <w:vAlign w:val="center"/>
          </w:tcPr>
          <w:p w14:paraId="26BE6784">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2、非接触式的快速识别粘贴在流通资料上的RFID标签；</w:t>
            </w:r>
          </w:p>
        </w:tc>
      </w:tr>
      <w:tr w14:paraId="0629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1EF9E16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DC44E98">
            <w:pPr>
              <w:widowControl/>
              <w:jc w:val="center"/>
              <w:rPr>
                <w:rFonts w:hint="eastAsia" w:ascii="宋体" w:hAnsi="宋体" w:eastAsia="宋体" w:cs="宋体"/>
                <w:sz w:val="21"/>
                <w:szCs w:val="21"/>
                <w:lang w:eastAsia="zh-CN"/>
              </w:rPr>
            </w:pPr>
          </w:p>
        </w:tc>
        <w:tc>
          <w:tcPr>
            <w:tcW w:w="6095" w:type="dxa"/>
            <w:noWrap w:val="0"/>
            <w:vAlign w:val="center"/>
          </w:tcPr>
          <w:p w14:paraId="087E2200">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3、对图书馆内的印刷品、视听出版物、CD及DVD等流通资料进行安全扫描操作，不损坏粘贴在流通资料中的磁性介质的资料；</w:t>
            </w:r>
          </w:p>
        </w:tc>
      </w:tr>
      <w:tr w14:paraId="57DB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271273A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8A46B1C">
            <w:pPr>
              <w:widowControl/>
              <w:jc w:val="center"/>
              <w:rPr>
                <w:rFonts w:hint="eastAsia" w:ascii="宋体" w:hAnsi="宋体" w:eastAsia="宋体" w:cs="宋体"/>
                <w:sz w:val="21"/>
                <w:szCs w:val="21"/>
                <w:lang w:eastAsia="zh-CN"/>
              </w:rPr>
            </w:pPr>
          </w:p>
        </w:tc>
        <w:tc>
          <w:tcPr>
            <w:tcW w:w="6095" w:type="dxa"/>
            <w:noWrap w:val="0"/>
            <w:vAlign w:val="center"/>
          </w:tcPr>
          <w:p w14:paraId="5463A428">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4、采用自主三维感应发明专利技术，能在感应区内三维空间上任意方向快检测电子标签，对于非法的图书标签进行声光报警，要求无误报，无漏报；</w:t>
            </w:r>
          </w:p>
        </w:tc>
      </w:tr>
      <w:tr w14:paraId="65A6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22C2386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03C43D7">
            <w:pPr>
              <w:widowControl/>
              <w:jc w:val="center"/>
              <w:rPr>
                <w:rFonts w:hint="eastAsia" w:ascii="宋体" w:hAnsi="宋体" w:eastAsia="宋体" w:cs="宋体"/>
                <w:sz w:val="21"/>
                <w:szCs w:val="21"/>
                <w:lang w:eastAsia="zh-CN"/>
              </w:rPr>
            </w:pPr>
          </w:p>
        </w:tc>
        <w:tc>
          <w:tcPr>
            <w:tcW w:w="6095" w:type="dxa"/>
            <w:noWrap w:val="0"/>
            <w:vAlign w:val="center"/>
          </w:tcPr>
          <w:p w14:paraId="5F4E09C9">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5、具有音频、语音喇叭、和视觉报警信号，且信号源可设置，报警音量可调控；</w:t>
            </w:r>
          </w:p>
        </w:tc>
      </w:tr>
      <w:tr w14:paraId="345C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0D41805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84B6C89">
            <w:pPr>
              <w:widowControl/>
              <w:jc w:val="center"/>
              <w:rPr>
                <w:rFonts w:hint="eastAsia" w:ascii="宋体" w:hAnsi="宋体" w:eastAsia="宋体" w:cs="宋体"/>
                <w:sz w:val="21"/>
                <w:szCs w:val="21"/>
                <w:lang w:eastAsia="zh-CN"/>
              </w:rPr>
            </w:pPr>
          </w:p>
        </w:tc>
        <w:tc>
          <w:tcPr>
            <w:tcW w:w="6095" w:type="dxa"/>
            <w:noWrap w:val="0"/>
            <w:vAlign w:val="center"/>
          </w:tcPr>
          <w:p w14:paraId="6EF9B46B">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6、多通道安全检测门具备单通道独立报警亮灯和多通道同步报警亮灯提示功能；</w:t>
            </w:r>
          </w:p>
        </w:tc>
      </w:tr>
      <w:tr w14:paraId="46FE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0E95F34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3E4534A">
            <w:pPr>
              <w:widowControl/>
              <w:jc w:val="center"/>
              <w:rPr>
                <w:rFonts w:hint="eastAsia" w:ascii="宋体" w:hAnsi="宋体" w:eastAsia="宋体" w:cs="宋体"/>
                <w:sz w:val="21"/>
                <w:szCs w:val="21"/>
                <w:lang w:eastAsia="zh-CN"/>
              </w:rPr>
            </w:pPr>
          </w:p>
        </w:tc>
        <w:tc>
          <w:tcPr>
            <w:tcW w:w="6095" w:type="dxa"/>
            <w:noWrap w:val="0"/>
            <w:vAlign w:val="center"/>
          </w:tcPr>
          <w:p w14:paraId="65A48B13">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7、具备进出流量计数功能， 可统计人流量和报警图书信息，方便汇总分析，数据可下载获取、可重置，进出方向可软件取反配置；</w:t>
            </w:r>
          </w:p>
        </w:tc>
      </w:tr>
      <w:tr w14:paraId="6158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460BB25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FADAE97">
            <w:pPr>
              <w:widowControl/>
              <w:jc w:val="center"/>
              <w:rPr>
                <w:rFonts w:hint="eastAsia" w:ascii="宋体" w:hAnsi="宋体" w:eastAsia="宋体" w:cs="宋体"/>
                <w:sz w:val="21"/>
                <w:szCs w:val="21"/>
                <w:lang w:eastAsia="zh-CN"/>
              </w:rPr>
            </w:pPr>
          </w:p>
        </w:tc>
        <w:tc>
          <w:tcPr>
            <w:tcW w:w="6095" w:type="dxa"/>
            <w:noWrap w:val="0"/>
            <w:vAlign w:val="center"/>
          </w:tcPr>
          <w:p w14:paraId="17F380B6">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8、可定制使用单位LOGO图文信息，以及报警提示图文信息；</w:t>
            </w:r>
          </w:p>
        </w:tc>
      </w:tr>
      <w:tr w14:paraId="3F5C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3BBD609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643F951">
            <w:pPr>
              <w:widowControl/>
              <w:jc w:val="center"/>
              <w:rPr>
                <w:rFonts w:hint="eastAsia" w:ascii="宋体" w:hAnsi="宋体" w:eastAsia="宋体" w:cs="宋体"/>
                <w:sz w:val="21"/>
                <w:szCs w:val="21"/>
                <w:lang w:eastAsia="zh-CN"/>
              </w:rPr>
            </w:pPr>
          </w:p>
        </w:tc>
        <w:tc>
          <w:tcPr>
            <w:tcW w:w="6095" w:type="dxa"/>
            <w:noWrap w:val="0"/>
            <w:vAlign w:val="center"/>
          </w:tcPr>
          <w:p w14:paraId="3E2B11F2">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9、人员流量统计：支持对进出读者人次的双向统计，进、出读者人次计数正确；</w:t>
            </w:r>
          </w:p>
        </w:tc>
      </w:tr>
      <w:tr w14:paraId="6A38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4C9C369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8702705">
            <w:pPr>
              <w:widowControl/>
              <w:jc w:val="center"/>
              <w:rPr>
                <w:rFonts w:hint="eastAsia" w:ascii="宋体" w:hAnsi="宋体" w:eastAsia="宋体" w:cs="宋体"/>
                <w:sz w:val="21"/>
                <w:szCs w:val="21"/>
                <w:lang w:eastAsia="zh-CN"/>
              </w:rPr>
            </w:pPr>
          </w:p>
        </w:tc>
        <w:tc>
          <w:tcPr>
            <w:tcW w:w="6095" w:type="dxa"/>
            <w:noWrap w:val="0"/>
            <w:vAlign w:val="center"/>
          </w:tcPr>
          <w:p w14:paraId="59B112A3">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10、UID卡号读取、四路以上继电器联动输出、支持环境电磁干扰检测功能、射频输出功率可调；</w:t>
            </w:r>
          </w:p>
        </w:tc>
      </w:tr>
      <w:tr w14:paraId="7100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56EFAE0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28B7D24">
            <w:pPr>
              <w:widowControl/>
              <w:jc w:val="center"/>
              <w:rPr>
                <w:rFonts w:hint="eastAsia" w:ascii="宋体" w:hAnsi="宋体" w:eastAsia="宋体" w:cs="宋体"/>
                <w:sz w:val="21"/>
                <w:szCs w:val="21"/>
                <w:lang w:eastAsia="zh-CN"/>
              </w:rPr>
            </w:pPr>
          </w:p>
        </w:tc>
        <w:tc>
          <w:tcPr>
            <w:tcW w:w="6095" w:type="dxa"/>
            <w:noWrap w:val="0"/>
            <w:vAlign w:val="center"/>
          </w:tcPr>
          <w:p w14:paraId="1562B810">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11、要求可选择蜂鸣器或者语音播报报警输出功能，可设置实现区分不同事件；</w:t>
            </w:r>
          </w:p>
        </w:tc>
      </w:tr>
      <w:tr w14:paraId="2906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41A3F95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4AAE97A">
            <w:pPr>
              <w:widowControl/>
              <w:jc w:val="center"/>
              <w:rPr>
                <w:rFonts w:hint="eastAsia" w:ascii="宋体" w:hAnsi="宋体" w:eastAsia="宋体" w:cs="宋体"/>
                <w:sz w:val="21"/>
                <w:szCs w:val="21"/>
                <w:lang w:eastAsia="zh-CN"/>
              </w:rPr>
            </w:pPr>
          </w:p>
        </w:tc>
        <w:tc>
          <w:tcPr>
            <w:tcW w:w="6095" w:type="dxa"/>
            <w:noWrap w:val="0"/>
            <w:vAlign w:val="center"/>
          </w:tcPr>
          <w:p w14:paraId="152D7F97">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12、每片门须具备独立的配置模块，同一通道的两片门可任选主、辅门；</w:t>
            </w:r>
          </w:p>
        </w:tc>
      </w:tr>
      <w:tr w14:paraId="6854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4521469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A74C412">
            <w:pPr>
              <w:widowControl/>
              <w:jc w:val="center"/>
              <w:rPr>
                <w:rFonts w:hint="eastAsia" w:ascii="宋体" w:hAnsi="宋体" w:eastAsia="宋体" w:cs="宋体"/>
                <w:sz w:val="21"/>
                <w:szCs w:val="21"/>
                <w:lang w:eastAsia="zh-CN"/>
              </w:rPr>
            </w:pPr>
          </w:p>
        </w:tc>
        <w:tc>
          <w:tcPr>
            <w:tcW w:w="6095" w:type="dxa"/>
            <w:noWrap w:val="0"/>
            <w:vAlign w:val="center"/>
          </w:tcPr>
          <w:p w14:paraId="2DADC8C4">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13、工作频率：13.56MHz；</w:t>
            </w:r>
          </w:p>
        </w:tc>
      </w:tr>
      <w:tr w14:paraId="7967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5E03BC1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4819953">
            <w:pPr>
              <w:widowControl/>
              <w:jc w:val="center"/>
              <w:rPr>
                <w:rFonts w:hint="eastAsia" w:ascii="宋体" w:hAnsi="宋体" w:eastAsia="宋体" w:cs="宋体"/>
                <w:sz w:val="21"/>
                <w:szCs w:val="21"/>
                <w:lang w:eastAsia="zh-CN"/>
              </w:rPr>
            </w:pPr>
          </w:p>
        </w:tc>
        <w:tc>
          <w:tcPr>
            <w:tcW w:w="6095" w:type="dxa"/>
            <w:noWrap w:val="0"/>
            <w:vAlign w:val="center"/>
          </w:tcPr>
          <w:p w14:paraId="1A38E664">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14、符合标准：ISO15693协议；</w:t>
            </w:r>
          </w:p>
        </w:tc>
      </w:tr>
      <w:tr w14:paraId="1917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3C49D74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7C4B138">
            <w:pPr>
              <w:widowControl/>
              <w:jc w:val="center"/>
              <w:rPr>
                <w:rFonts w:hint="eastAsia" w:ascii="宋体" w:hAnsi="宋体" w:eastAsia="宋体" w:cs="宋体"/>
                <w:sz w:val="21"/>
                <w:szCs w:val="21"/>
                <w:lang w:eastAsia="zh-CN"/>
              </w:rPr>
            </w:pPr>
          </w:p>
        </w:tc>
        <w:tc>
          <w:tcPr>
            <w:tcW w:w="6095" w:type="dxa"/>
            <w:noWrap w:val="0"/>
            <w:vAlign w:val="center"/>
          </w:tcPr>
          <w:p w14:paraId="1DFC2F26">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15、通讯接口：以太网；</w:t>
            </w:r>
          </w:p>
        </w:tc>
      </w:tr>
      <w:tr w14:paraId="1952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019F053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DB5F836">
            <w:pPr>
              <w:widowControl/>
              <w:jc w:val="center"/>
              <w:rPr>
                <w:rFonts w:hint="eastAsia" w:ascii="宋体" w:hAnsi="宋体" w:eastAsia="宋体" w:cs="宋体"/>
                <w:sz w:val="21"/>
                <w:szCs w:val="21"/>
                <w:lang w:eastAsia="zh-CN"/>
              </w:rPr>
            </w:pPr>
          </w:p>
        </w:tc>
        <w:tc>
          <w:tcPr>
            <w:tcW w:w="6095" w:type="dxa"/>
            <w:noWrap w:val="0"/>
            <w:vAlign w:val="center"/>
          </w:tcPr>
          <w:p w14:paraId="4D089CB8">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16、供电：AC 100-240V 50-60Hz，最大功率：30W；</w:t>
            </w:r>
          </w:p>
        </w:tc>
      </w:tr>
      <w:tr w14:paraId="5C39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01EFD91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E5CD492">
            <w:pPr>
              <w:widowControl/>
              <w:jc w:val="center"/>
              <w:rPr>
                <w:rFonts w:hint="eastAsia" w:ascii="宋体" w:hAnsi="宋体" w:eastAsia="宋体" w:cs="宋体"/>
                <w:sz w:val="21"/>
                <w:szCs w:val="21"/>
                <w:lang w:eastAsia="zh-CN"/>
              </w:rPr>
            </w:pPr>
          </w:p>
        </w:tc>
        <w:tc>
          <w:tcPr>
            <w:tcW w:w="6095" w:type="dxa"/>
            <w:noWrap w:val="0"/>
            <w:vAlign w:val="center"/>
          </w:tcPr>
          <w:p w14:paraId="5A2A96FB">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17、材质：亚克力、铝型材和钣金；</w:t>
            </w:r>
          </w:p>
        </w:tc>
      </w:tr>
      <w:tr w14:paraId="6DB1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25A8025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FCD682F">
            <w:pPr>
              <w:widowControl/>
              <w:jc w:val="center"/>
              <w:rPr>
                <w:rFonts w:hint="eastAsia" w:ascii="宋体" w:hAnsi="宋体" w:eastAsia="宋体" w:cs="宋体"/>
                <w:sz w:val="21"/>
                <w:szCs w:val="21"/>
                <w:lang w:eastAsia="zh-CN"/>
              </w:rPr>
            </w:pPr>
          </w:p>
        </w:tc>
        <w:tc>
          <w:tcPr>
            <w:tcW w:w="6095" w:type="dxa"/>
            <w:noWrap w:val="0"/>
            <w:vAlign w:val="center"/>
          </w:tcPr>
          <w:p w14:paraId="455ADF8A">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18、报警方式：声光报警；</w:t>
            </w:r>
          </w:p>
        </w:tc>
      </w:tr>
      <w:tr w14:paraId="4432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1792177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1BCC196">
            <w:pPr>
              <w:widowControl/>
              <w:jc w:val="center"/>
              <w:rPr>
                <w:rFonts w:hint="eastAsia" w:ascii="宋体" w:hAnsi="宋体" w:eastAsia="宋体" w:cs="宋体"/>
                <w:sz w:val="21"/>
                <w:szCs w:val="21"/>
                <w:lang w:eastAsia="zh-CN"/>
              </w:rPr>
            </w:pPr>
          </w:p>
        </w:tc>
        <w:tc>
          <w:tcPr>
            <w:tcW w:w="6095" w:type="dxa"/>
            <w:noWrap w:val="0"/>
            <w:vAlign w:val="center"/>
          </w:tcPr>
          <w:p w14:paraId="6DA4FEAD">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19、支持主动和被动报警；</w:t>
            </w:r>
          </w:p>
        </w:tc>
      </w:tr>
      <w:tr w14:paraId="13CF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34FD382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D893768">
            <w:pPr>
              <w:widowControl/>
              <w:jc w:val="center"/>
              <w:rPr>
                <w:rFonts w:hint="eastAsia" w:ascii="宋体" w:hAnsi="宋体" w:eastAsia="宋体" w:cs="宋体"/>
                <w:sz w:val="21"/>
                <w:szCs w:val="21"/>
                <w:lang w:eastAsia="zh-CN"/>
              </w:rPr>
            </w:pPr>
          </w:p>
        </w:tc>
        <w:tc>
          <w:tcPr>
            <w:tcW w:w="6095" w:type="dxa"/>
            <w:noWrap w:val="0"/>
            <w:vAlign w:val="center"/>
          </w:tcPr>
          <w:p w14:paraId="43AD6EA9">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20、支持安全门干扰检测和天线故障检测；</w:t>
            </w:r>
          </w:p>
        </w:tc>
      </w:tr>
      <w:tr w14:paraId="1FB4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1DBDE78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49F0638">
            <w:pPr>
              <w:widowControl/>
              <w:jc w:val="center"/>
              <w:rPr>
                <w:rFonts w:hint="eastAsia" w:ascii="宋体" w:hAnsi="宋体" w:eastAsia="宋体" w:cs="宋体"/>
                <w:sz w:val="21"/>
                <w:szCs w:val="21"/>
                <w:lang w:eastAsia="zh-CN"/>
              </w:rPr>
            </w:pPr>
          </w:p>
        </w:tc>
        <w:tc>
          <w:tcPr>
            <w:tcW w:w="6095" w:type="dxa"/>
            <w:noWrap w:val="0"/>
            <w:vAlign w:val="center"/>
          </w:tcPr>
          <w:p w14:paraId="4A44A1F4">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21、安装方式：膨胀螺丝固定安装、固定踏板两种方式可选；</w:t>
            </w:r>
          </w:p>
        </w:tc>
      </w:tr>
      <w:tr w14:paraId="5132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0084A5C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D6ACE0A">
            <w:pPr>
              <w:widowControl/>
              <w:jc w:val="center"/>
              <w:rPr>
                <w:rFonts w:hint="eastAsia" w:ascii="宋体" w:hAnsi="宋体" w:eastAsia="宋体" w:cs="宋体"/>
                <w:sz w:val="21"/>
                <w:szCs w:val="21"/>
                <w:lang w:eastAsia="zh-CN"/>
              </w:rPr>
            </w:pPr>
          </w:p>
        </w:tc>
        <w:tc>
          <w:tcPr>
            <w:tcW w:w="6095" w:type="dxa"/>
            <w:noWrap w:val="0"/>
            <w:vAlign w:val="center"/>
          </w:tcPr>
          <w:p w14:paraId="0D02787F">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22、单通道监测宽度：90cm；</w:t>
            </w:r>
          </w:p>
        </w:tc>
      </w:tr>
      <w:tr w14:paraId="5FBE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07D6D2A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8AB70E3">
            <w:pPr>
              <w:widowControl/>
              <w:jc w:val="center"/>
              <w:rPr>
                <w:rFonts w:hint="eastAsia" w:ascii="宋体" w:hAnsi="宋体" w:eastAsia="宋体" w:cs="宋体"/>
                <w:sz w:val="21"/>
                <w:szCs w:val="21"/>
                <w:lang w:eastAsia="zh-CN"/>
              </w:rPr>
            </w:pPr>
          </w:p>
        </w:tc>
        <w:tc>
          <w:tcPr>
            <w:tcW w:w="6095" w:type="dxa"/>
            <w:noWrap w:val="0"/>
            <w:vAlign w:val="center"/>
          </w:tcPr>
          <w:p w14:paraId="7B2E8B85">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23、单片门的尺寸：1686*635*120mm；</w:t>
            </w:r>
          </w:p>
        </w:tc>
      </w:tr>
      <w:tr w14:paraId="7474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207EF53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238B5511">
            <w:pPr>
              <w:widowControl/>
              <w:jc w:val="center"/>
              <w:rPr>
                <w:rFonts w:hint="eastAsia" w:ascii="宋体" w:hAnsi="宋体" w:eastAsia="宋体" w:cs="宋体"/>
                <w:sz w:val="21"/>
                <w:szCs w:val="21"/>
                <w:lang w:eastAsia="zh-CN"/>
              </w:rPr>
            </w:pPr>
          </w:p>
        </w:tc>
        <w:tc>
          <w:tcPr>
            <w:tcW w:w="6095" w:type="dxa"/>
            <w:noWrap w:val="0"/>
            <w:vAlign w:val="center"/>
          </w:tcPr>
          <w:p w14:paraId="1FBC3408">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24、重量：30KG/片；</w:t>
            </w:r>
          </w:p>
        </w:tc>
      </w:tr>
      <w:tr w14:paraId="3A66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74" w:type="dxa"/>
            <w:vMerge w:val="continue"/>
            <w:shd w:val="clear" w:color="000000" w:fill="FFFFFF"/>
            <w:noWrap w:val="0"/>
            <w:vAlign w:val="center"/>
          </w:tcPr>
          <w:p w14:paraId="3BBF27A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7F711C52">
            <w:pPr>
              <w:widowControl/>
              <w:jc w:val="center"/>
              <w:rPr>
                <w:rFonts w:hint="eastAsia" w:ascii="宋体" w:hAnsi="宋体" w:eastAsia="宋体" w:cs="宋体"/>
                <w:sz w:val="21"/>
                <w:szCs w:val="21"/>
                <w:lang w:eastAsia="zh-CN"/>
              </w:rPr>
            </w:pPr>
          </w:p>
        </w:tc>
        <w:tc>
          <w:tcPr>
            <w:tcW w:w="6095" w:type="dxa"/>
            <w:noWrap w:val="0"/>
            <w:vAlign w:val="center"/>
          </w:tcPr>
          <w:p w14:paraId="4B0187EE">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25、提供设备配套驱动程序文件和相应工作软件；</w:t>
            </w:r>
          </w:p>
        </w:tc>
      </w:tr>
      <w:tr w14:paraId="40A3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74" w:type="dxa"/>
            <w:vMerge w:val="restart"/>
            <w:shd w:val="clear" w:color="000000" w:fill="FFFFFF"/>
            <w:noWrap w:val="0"/>
            <w:vAlign w:val="center"/>
          </w:tcPr>
          <w:p w14:paraId="7C0A03E0">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23 </w:t>
            </w:r>
          </w:p>
        </w:tc>
        <w:tc>
          <w:tcPr>
            <w:tcW w:w="1973" w:type="dxa"/>
            <w:vMerge w:val="restart"/>
            <w:shd w:val="clear" w:color="auto" w:fill="auto"/>
            <w:noWrap/>
            <w:vAlign w:val="center"/>
          </w:tcPr>
          <w:p w14:paraId="2729415F">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网线</w:t>
            </w:r>
          </w:p>
        </w:tc>
        <w:tc>
          <w:tcPr>
            <w:tcW w:w="6095" w:type="dxa"/>
            <w:shd w:val="clear" w:color="000000" w:fill="FFFFFF"/>
            <w:noWrap w:val="0"/>
            <w:vAlign w:val="center"/>
          </w:tcPr>
          <w:p w14:paraId="1A0D933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1、标准：GB/T18015.5通过标准最高传输频率250MHz测试，额定传输速率(NVP)≥500ns/100m；（投标人投标时提供具有CNAS或CMA标识的检测报告，提供检测报告在全国认证认可信息公共服务平台网站 (http://cx.cnca.cn/CertECloud/qts/qts/qtsPage)的查询有效的截图证明）。</w:t>
            </w:r>
          </w:p>
        </w:tc>
      </w:tr>
      <w:tr w14:paraId="4CCE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74" w:type="dxa"/>
            <w:vMerge w:val="continue"/>
            <w:shd w:val="clear" w:color="000000" w:fill="FFFFFF"/>
            <w:noWrap w:val="0"/>
            <w:vAlign w:val="center"/>
          </w:tcPr>
          <w:p w14:paraId="6F160D6D">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16E62E0B">
            <w:pPr>
              <w:widowControl/>
              <w:jc w:val="center"/>
              <w:rPr>
                <w:rFonts w:hint="eastAsia" w:ascii="宋体" w:hAnsi="宋体" w:eastAsia="宋体" w:cs="宋体"/>
                <w:sz w:val="21"/>
                <w:szCs w:val="21"/>
                <w:lang w:eastAsia="zh-CN"/>
              </w:rPr>
            </w:pPr>
          </w:p>
        </w:tc>
        <w:tc>
          <w:tcPr>
            <w:tcW w:w="6095" w:type="dxa"/>
            <w:shd w:val="clear" w:color="000000" w:fill="FFFFFF"/>
            <w:noWrap w:val="0"/>
            <w:vAlign w:val="center"/>
          </w:tcPr>
          <w:p w14:paraId="758F55A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2、导体规格：4×2×24AWG，导体名称：软圆铜线，绝缘：HDPE ；</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单根导体直流电阻：≤9.5Ω/100m；</w:t>
            </w:r>
          </w:p>
        </w:tc>
      </w:tr>
      <w:tr w14:paraId="2058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74" w:type="dxa"/>
            <w:vMerge w:val="continue"/>
            <w:shd w:val="clear" w:color="000000" w:fill="FFFFFF"/>
            <w:noWrap w:val="0"/>
            <w:vAlign w:val="center"/>
          </w:tcPr>
          <w:p w14:paraId="14B0F3FF">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2C178CE1">
            <w:pPr>
              <w:widowControl/>
              <w:jc w:val="center"/>
              <w:rPr>
                <w:rFonts w:hint="eastAsia" w:ascii="宋体" w:hAnsi="宋体" w:eastAsia="宋体" w:cs="宋体"/>
                <w:sz w:val="21"/>
                <w:szCs w:val="21"/>
                <w:lang w:eastAsia="zh-CN"/>
              </w:rPr>
            </w:pPr>
          </w:p>
        </w:tc>
        <w:tc>
          <w:tcPr>
            <w:tcW w:w="6095" w:type="dxa"/>
            <w:shd w:val="clear" w:color="000000" w:fill="FFFFFF"/>
            <w:noWrap w:val="0"/>
            <w:vAlign w:val="center"/>
          </w:tcPr>
          <w:p w14:paraId="0BA0746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3、屏蔽方式：U/UTP，线对采用“十”字骨架隔离护套材料：PVC，护套外径：6.0±0.3mm；</w:t>
            </w:r>
          </w:p>
        </w:tc>
      </w:tr>
      <w:tr w14:paraId="7F4A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74" w:type="dxa"/>
            <w:vMerge w:val="continue"/>
            <w:shd w:val="clear" w:color="000000" w:fill="FFFFFF"/>
            <w:noWrap w:val="0"/>
            <w:vAlign w:val="center"/>
          </w:tcPr>
          <w:p w14:paraId="6D74A837">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6C8146C6">
            <w:pPr>
              <w:widowControl/>
              <w:jc w:val="center"/>
              <w:rPr>
                <w:rFonts w:hint="eastAsia" w:ascii="宋体" w:hAnsi="宋体" w:eastAsia="宋体" w:cs="宋体"/>
                <w:sz w:val="21"/>
                <w:szCs w:val="21"/>
                <w:lang w:eastAsia="zh-CN"/>
              </w:rPr>
            </w:pPr>
          </w:p>
        </w:tc>
        <w:tc>
          <w:tcPr>
            <w:tcW w:w="6095" w:type="dxa"/>
            <w:shd w:val="clear" w:color="000000" w:fill="FFFFFF"/>
            <w:noWrap w:val="0"/>
            <w:vAlign w:val="center"/>
          </w:tcPr>
          <w:p w14:paraId="4967D97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4、最小内弯曲半径：安装时：8倍电缆外径，安装后：4倍电缆外径，敷设方式：钢管或阻燃硬质PVC管内；</w:t>
            </w:r>
          </w:p>
        </w:tc>
      </w:tr>
      <w:tr w14:paraId="333F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74" w:type="dxa"/>
            <w:vMerge w:val="continue"/>
            <w:shd w:val="clear" w:color="000000" w:fill="FFFFFF"/>
            <w:noWrap w:val="0"/>
            <w:vAlign w:val="center"/>
          </w:tcPr>
          <w:p w14:paraId="7DEA3CF4">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4EFA8794">
            <w:pPr>
              <w:widowControl/>
              <w:jc w:val="center"/>
              <w:rPr>
                <w:rFonts w:hint="eastAsia" w:ascii="宋体" w:hAnsi="宋体" w:eastAsia="宋体" w:cs="宋体"/>
                <w:sz w:val="21"/>
                <w:szCs w:val="21"/>
                <w:lang w:eastAsia="zh-CN"/>
              </w:rPr>
            </w:pPr>
          </w:p>
        </w:tc>
        <w:tc>
          <w:tcPr>
            <w:tcW w:w="6095" w:type="dxa"/>
            <w:shd w:val="clear" w:color="000000" w:fill="FFFFFF"/>
            <w:noWrap w:val="0"/>
            <w:vAlign w:val="center"/>
          </w:tcPr>
          <w:p w14:paraId="77211FB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5、包装方式：305米/易拉箱，2易拉箱/外箱；</w:t>
            </w:r>
          </w:p>
        </w:tc>
      </w:tr>
      <w:tr w14:paraId="080E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74" w:type="dxa"/>
            <w:vMerge w:val="continue"/>
            <w:shd w:val="clear" w:color="000000" w:fill="FFFFFF"/>
            <w:noWrap w:val="0"/>
            <w:vAlign w:val="center"/>
          </w:tcPr>
          <w:p w14:paraId="327DCCEC">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3669C836">
            <w:pPr>
              <w:widowControl/>
              <w:jc w:val="center"/>
              <w:rPr>
                <w:rFonts w:hint="eastAsia" w:ascii="宋体" w:hAnsi="宋体" w:eastAsia="宋体" w:cs="宋体"/>
                <w:sz w:val="21"/>
                <w:szCs w:val="21"/>
                <w:lang w:eastAsia="zh-CN"/>
              </w:rPr>
            </w:pPr>
          </w:p>
        </w:tc>
        <w:tc>
          <w:tcPr>
            <w:tcW w:w="6095" w:type="dxa"/>
            <w:shd w:val="clear" w:color="000000" w:fill="FFFFFF"/>
            <w:noWrap w:val="0"/>
            <w:vAlign w:val="center"/>
          </w:tcPr>
          <w:p w14:paraId="400575F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6、安装温度：不低于0℃，工作温度：-20℃～+60℃。</w:t>
            </w:r>
          </w:p>
        </w:tc>
      </w:tr>
      <w:tr w14:paraId="6EEB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restart"/>
            <w:shd w:val="clear" w:color="000000" w:fill="FFFFFF"/>
            <w:noWrap w:val="0"/>
            <w:vAlign w:val="center"/>
          </w:tcPr>
          <w:p w14:paraId="199C9947">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24 </w:t>
            </w:r>
          </w:p>
        </w:tc>
        <w:tc>
          <w:tcPr>
            <w:tcW w:w="1973" w:type="dxa"/>
            <w:vMerge w:val="restart"/>
            <w:shd w:val="clear" w:color="auto" w:fill="auto"/>
            <w:noWrap/>
            <w:vAlign w:val="center"/>
          </w:tcPr>
          <w:p w14:paraId="510092DE">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智慧图书管理系统集成</w:t>
            </w:r>
          </w:p>
        </w:tc>
        <w:tc>
          <w:tcPr>
            <w:tcW w:w="6095" w:type="dxa"/>
            <w:shd w:val="clear" w:color="000000" w:fill="FFFFFF"/>
            <w:noWrap w:val="0"/>
            <w:vAlign w:val="center"/>
          </w:tcPr>
          <w:p w14:paraId="2FA6824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1、对图书馆有线网进行统一部署、统一导入核心机房认证管理；</w:t>
            </w:r>
          </w:p>
        </w:tc>
      </w:tr>
      <w:tr w14:paraId="45E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74" w:type="dxa"/>
            <w:vMerge w:val="continue"/>
            <w:shd w:val="clear" w:color="000000" w:fill="FFFFFF"/>
            <w:noWrap w:val="0"/>
            <w:vAlign w:val="center"/>
          </w:tcPr>
          <w:p w14:paraId="560FF1A7">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77F442EA">
            <w:pPr>
              <w:widowControl/>
              <w:jc w:val="left"/>
              <w:rPr>
                <w:rFonts w:hint="eastAsia" w:ascii="宋体" w:hAnsi="宋体" w:eastAsia="宋体" w:cs="宋体"/>
                <w:color w:val="000000"/>
                <w:sz w:val="21"/>
                <w:szCs w:val="21"/>
                <w:lang w:eastAsia="zh-CN"/>
              </w:rPr>
            </w:pPr>
          </w:p>
        </w:tc>
        <w:tc>
          <w:tcPr>
            <w:tcW w:w="6095" w:type="dxa"/>
            <w:shd w:val="clear" w:color="000000" w:fill="FFFFFF"/>
            <w:noWrap w:val="0"/>
            <w:vAlign w:val="center"/>
          </w:tcPr>
          <w:p w14:paraId="3B35D07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2、对图书馆无线网进行统一部署、统一导入AC认证管理系统；</w:t>
            </w:r>
          </w:p>
        </w:tc>
      </w:tr>
      <w:tr w14:paraId="2F3A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74" w:type="dxa"/>
            <w:vMerge w:val="continue"/>
            <w:shd w:val="clear" w:color="000000" w:fill="FFFFFF"/>
            <w:noWrap w:val="0"/>
            <w:vAlign w:val="center"/>
          </w:tcPr>
          <w:p w14:paraId="19E8C52C">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038D57FB">
            <w:pPr>
              <w:widowControl/>
              <w:jc w:val="left"/>
              <w:rPr>
                <w:rFonts w:hint="eastAsia" w:ascii="宋体" w:hAnsi="宋体" w:eastAsia="宋体" w:cs="宋体"/>
                <w:color w:val="000000"/>
                <w:sz w:val="21"/>
                <w:szCs w:val="21"/>
                <w:lang w:eastAsia="zh-CN"/>
              </w:rPr>
            </w:pPr>
          </w:p>
        </w:tc>
        <w:tc>
          <w:tcPr>
            <w:tcW w:w="6095" w:type="dxa"/>
            <w:shd w:val="clear" w:color="000000" w:fill="FFFFFF"/>
            <w:noWrap w:val="0"/>
            <w:vAlign w:val="center"/>
          </w:tcPr>
          <w:p w14:paraId="136FA5E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3、交付网络点位图，标记好一层、二层、主工作台等信息点位图；</w:t>
            </w:r>
          </w:p>
        </w:tc>
      </w:tr>
      <w:tr w14:paraId="1CD5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74" w:type="dxa"/>
            <w:vMerge w:val="continue"/>
            <w:shd w:val="clear" w:color="000000" w:fill="FFFFFF"/>
            <w:noWrap w:val="0"/>
            <w:vAlign w:val="center"/>
          </w:tcPr>
          <w:p w14:paraId="29991AE1">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29CE3D9D">
            <w:pPr>
              <w:widowControl/>
              <w:jc w:val="left"/>
              <w:rPr>
                <w:rFonts w:hint="eastAsia" w:ascii="宋体" w:hAnsi="宋体" w:eastAsia="宋体" w:cs="宋体"/>
                <w:color w:val="000000"/>
                <w:sz w:val="21"/>
                <w:szCs w:val="21"/>
                <w:lang w:eastAsia="zh-CN"/>
              </w:rPr>
            </w:pPr>
          </w:p>
        </w:tc>
        <w:tc>
          <w:tcPr>
            <w:tcW w:w="6095" w:type="dxa"/>
            <w:shd w:val="clear" w:color="000000" w:fill="FFFFFF"/>
            <w:noWrap w:val="0"/>
            <w:vAlign w:val="center"/>
          </w:tcPr>
          <w:p w14:paraId="1DE7307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4、进行信息标识，便于运维管理；</w:t>
            </w:r>
          </w:p>
        </w:tc>
      </w:tr>
      <w:tr w14:paraId="1E56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74" w:type="dxa"/>
            <w:vMerge w:val="continue"/>
            <w:shd w:val="clear" w:color="000000" w:fill="FFFFFF"/>
            <w:noWrap w:val="0"/>
            <w:vAlign w:val="center"/>
          </w:tcPr>
          <w:p w14:paraId="794ABA8E">
            <w:pPr>
              <w:widowControl/>
              <w:jc w:val="center"/>
              <w:rPr>
                <w:rFonts w:hint="eastAsia" w:ascii="宋体" w:hAnsi="宋体" w:eastAsia="宋体" w:cs="宋体"/>
                <w:color w:val="000000"/>
                <w:sz w:val="21"/>
                <w:szCs w:val="21"/>
                <w:lang w:eastAsia="zh-CN"/>
              </w:rPr>
            </w:pPr>
          </w:p>
        </w:tc>
        <w:tc>
          <w:tcPr>
            <w:tcW w:w="1973" w:type="dxa"/>
            <w:vMerge w:val="continue"/>
            <w:shd w:val="clear" w:color="auto" w:fill="auto"/>
            <w:noWrap/>
            <w:vAlign w:val="center"/>
          </w:tcPr>
          <w:p w14:paraId="7220C35C">
            <w:pPr>
              <w:widowControl/>
              <w:jc w:val="left"/>
              <w:rPr>
                <w:rFonts w:hint="eastAsia" w:ascii="宋体" w:hAnsi="宋体" w:eastAsia="宋体" w:cs="宋体"/>
                <w:color w:val="000000"/>
                <w:sz w:val="21"/>
                <w:szCs w:val="21"/>
                <w:lang w:eastAsia="zh-CN"/>
              </w:rPr>
            </w:pPr>
          </w:p>
        </w:tc>
        <w:tc>
          <w:tcPr>
            <w:tcW w:w="6095" w:type="dxa"/>
            <w:shd w:val="clear" w:color="000000" w:fill="FFFFFF"/>
            <w:noWrap w:val="0"/>
            <w:vAlign w:val="center"/>
          </w:tcPr>
          <w:p w14:paraId="2EAC39A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5、进行系统交付培训工作，做好项目日志管理交付。</w:t>
            </w:r>
          </w:p>
        </w:tc>
      </w:tr>
      <w:tr w14:paraId="56B0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restart"/>
            <w:shd w:val="clear" w:color="000000" w:fill="FFFFFF"/>
            <w:noWrap w:val="0"/>
            <w:vAlign w:val="center"/>
          </w:tcPr>
          <w:p w14:paraId="494BF45D">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25 </w:t>
            </w:r>
          </w:p>
        </w:tc>
        <w:tc>
          <w:tcPr>
            <w:tcW w:w="1973" w:type="dxa"/>
            <w:vMerge w:val="restart"/>
            <w:noWrap w:val="0"/>
            <w:vAlign w:val="center"/>
          </w:tcPr>
          <w:p w14:paraId="751F333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定制靠墙直行书柜</w:t>
            </w:r>
          </w:p>
        </w:tc>
        <w:tc>
          <w:tcPr>
            <w:tcW w:w="6095" w:type="dxa"/>
            <w:noWrap w:val="0"/>
            <w:vAlign w:val="center"/>
          </w:tcPr>
          <w:p w14:paraId="3D03075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1、定制书架，工程量为投影面积；</w:t>
            </w:r>
          </w:p>
        </w:tc>
      </w:tr>
      <w:tr w14:paraId="2270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225C8A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A61FD9A">
            <w:pPr>
              <w:widowControl/>
              <w:jc w:val="left"/>
              <w:rPr>
                <w:rFonts w:hint="eastAsia" w:ascii="宋体" w:hAnsi="宋体" w:eastAsia="宋体" w:cs="宋体"/>
                <w:sz w:val="21"/>
                <w:szCs w:val="21"/>
                <w:lang w:eastAsia="zh-CN"/>
              </w:rPr>
            </w:pPr>
          </w:p>
        </w:tc>
        <w:tc>
          <w:tcPr>
            <w:tcW w:w="6095" w:type="dxa"/>
            <w:noWrap w:val="0"/>
            <w:vAlign w:val="center"/>
          </w:tcPr>
          <w:p w14:paraId="59DA9D5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2、25mm多层实木免漆板柜体，深度：350mm±50mm以内</w:t>
            </w:r>
          </w:p>
        </w:tc>
      </w:tr>
      <w:tr w14:paraId="0D0A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A01FFD8">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FD4475C">
            <w:pPr>
              <w:widowControl/>
              <w:jc w:val="left"/>
              <w:rPr>
                <w:rFonts w:hint="eastAsia" w:ascii="宋体" w:hAnsi="宋体" w:eastAsia="宋体" w:cs="宋体"/>
                <w:sz w:val="21"/>
                <w:szCs w:val="21"/>
                <w:lang w:eastAsia="zh-CN"/>
              </w:rPr>
            </w:pPr>
          </w:p>
        </w:tc>
        <w:tc>
          <w:tcPr>
            <w:tcW w:w="6095" w:type="dxa"/>
            <w:noWrap w:val="0"/>
            <w:vAlign w:val="center"/>
          </w:tcPr>
          <w:p w14:paraId="530833F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3、满足图书馆需求</w:t>
            </w:r>
          </w:p>
        </w:tc>
      </w:tr>
      <w:tr w14:paraId="0782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9C7EDA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2AD7399">
            <w:pPr>
              <w:widowControl/>
              <w:jc w:val="left"/>
              <w:rPr>
                <w:rFonts w:hint="eastAsia" w:ascii="宋体" w:hAnsi="宋体" w:eastAsia="宋体" w:cs="宋体"/>
                <w:sz w:val="21"/>
                <w:szCs w:val="21"/>
                <w:lang w:eastAsia="zh-CN"/>
              </w:rPr>
            </w:pPr>
          </w:p>
        </w:tc>
        <w:tc>
          <w:tcPr>
            <w:tcW w:w="6095" w:type="dxa"/>
            <w:noWrap w:val="0"/>
            <w:vAlign w:val="center"/>
          </w:tcPr>
          <w:p w14:paraId="7F53D94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4、整体采用实木多层板贴橡胶木木皮制作。实木多层板甲醛释放量须符合释放标准E0（≤0.05mg/m ³）合格，TVOC（≤0.05mg/㎡h）合格，苯、甲苯、二甲苯（≤7μg/m³）合格，静曲强度（横纹≥42 Mpa）合格，弹性模量（横纹≥4800Mpa）合格，抗菌性能（铜绿假单胞菌）＞99%，抗霉菌性能（土 曲霉试验条件：时间7天，湿度90%RH，温度28℃）长霉等级0级，检测依据参照GB 18580-2017、G B/T 9846-2015、QB/T 4371-2012标准。</w:t>
            </w:r>
          </w:p>
        </w:tc>
      </w:tr>
      <w:tr w14:paraId="5CED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E0F1E4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7C39855">
            <w:pPr>
              <w:widowControl/>
              <w:jc w:val="left"/>
              <w:rPr>
                <w:rFonts w:hint="eastAsia" w:ascii="宋体" w:hAnsi="宋体" w:eastAsia="宋体" w:cs="宋体"/>
                <w:sz w:val="21"/>
                <w:szCs w:val="21"/>
                <w:lang w:eastAsia="zh-CN"/>
              </w:rPr>
            </w:pPr>
          </w:p>
        </w:tc>
        <w:tc>
          <w:tcPr>
            <w:tcW w:w="6095" w:type="dxa"/>
            <w:noWrap w:val="0"/>
            <w:vAlign w:val="center"/>
          </w:tcPr>
          <w:p w14:paraId="46D1351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5、侧板、中立板、层板成型厚度18mm，25mm，80mm等，靠墙柜背板厚度9mm，不靠墙柜背面见光的背板厚度18mm</w:t>
            </w:r>
          </w:p>
        </w:tc>
      </w:tr>
      <w:tr w14:paraId="6136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107F762">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86A004A">
            <w:pPr>
              <w:widowControl/>
              <w:jc w:val="left"/>
              <w:rPr>
                <w:rFonts w:hint="eastAsia" w:ascii="宋体" w:hAnsi="宋体" w:eastAsia="宋体" w:cs="宋体"/>
                <w:sz w:val="21"/>
                <w:szCs w:val="21"/>
                <w:lang w:eastAsia="zh-CN"/>
              </w:rPr>
            </w:pPr>
          </w:p>
        </w:tc>
        <w:tc>
          <w:tcPr>
            <w:tcW w:w="6095" w:type="dxa"/>
            <w:noWrap w:val="0"/>
            <w:vAlign w:val="center"/>
          </w:tcPr>
          <w:p w14:paraId="5D9D4F6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6、胶粘剂：采用原胶，总挥发性有机物（≤10g/L）合格，外观（乳白色，无可视粗颗粒或异物）合格 ，不挥发物（≥35%）合格，木材污染性（较涂敷硫酸亚铁的显色浅）合格，压缩剪切强度（干强度≥8 MPa）合格，PH值（3~7）合格，苯（未检出）合格，甲苯+乙苯+二甲苯（未检出）合格，可迁移元 素限量（8项元素均未检出）合格，游离甲醛（未检出）合格，检测依据参照GB 33372-2020、HG/T 2727-2010、HJ 2547-2016、GB 18583-2008标准。</w:t>
            </w:r>
          </w:p>
        </w:tc>
      </w:tr>
      <w:tr w14:paraId="639A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548461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130E2F0">
            <w:pPr>
              <w:widowControl/>
              <w:jc w:val="left"/>
              <w:rPr>
                <w:rFonts w:hint="eastAsia" w:ascii="宋体" w:hAnsi="宋体" w:eastAsia="宋体" w:cs="宋体"/>
                <w:sz w:val="21"/>
                <w:szCs w:val="21"/>
                <w:lang w:eastAsia="zh-CN"/>
              </w:rPr>
            </w:pPr>
          </w:p>
        </w:tc>
        <w:tc>
          <w:tcPr>
            <w:tcW w:w="6095" w:type="dxa"/>
            <w:noWrap w:val="0"/>
            <w:vAlign w:val="center"/>
          </w:tcPr>
          <w:p w14:paraId="0643F88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颜色：双饰面板表面采用上覆盖一层经过特殊处理的、具有抗划刻、耐酸碱的表层(三聚氰胺浸渍纸，约0.2毫米)，然后再在三聚氢胺纸的表面上贴一层带颜色的装饰纸，简称MFC。MFC具有一定的耐磨、耐腐蚀性能，颜色种类繁多，适合柜子色彩组合的变化，而且因为双饰面的抗撞击，耐划痕比烤漆强。</w:t>
            </w:r>
          </w:p>
        </w:tc>
      </w:tr>
      <w:tr w14:paraId="0336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CA05AA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DA6329E">
            <w:pPr>
              <w:widowControl/>
              <w:jc w:val="left"/>
              <w:rPr>
                <w:rFonts w:hint="eastAsia" w:ascii="宋体" w:hAnsi="宋体" w:eastAsia="宋体" w:cs="宋体"/>
                <w:sz w:val="21"/>
                <w:szCs w:val="21"/>
                <w:lang w:eastAsia="zh-CN"/>
              </w:rPr>
            </w:pPr>
          </w:p>
        </w:tc>
        <w:tc>
          <w:tcPr>
            <w:tcW w:w="6095" w:type="dxa"/>
            <w:noWrap w:val="0"/>
            <w:vAlign w:val="center"/>
          </w:tcPr>
          <w:p w14:paraId="0F4BB45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8、五金件：采用五金配件（三合一偏心连接件），经防锈处理。三合一偏心连接件中连接螺杆螺纹与 预埋螺母的抗拉强度（≥850N）合格，防霉性能(产黄青霉）防霉等级0级，耐腐蚀性能（乙酸盐雾试验 ≥100h，涂镀层本身的耐腐蚀等级达到10级，涂镀层对基体的保护评级达到10级)合格，检测依据参照 GB/T 28203-2011、GB/T 10125-2021、GB/T 6461-2002、GB/T 1741-2020标准。</w:t>
            </w:r>
          </w:p>
        </w:tc>
      </w:tr>
      <w:tr w14:paraId="7DCE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5762BA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1AA21F1">
            <w:pPr>
              <w:widowControl/>
              <w:jc w:val="left"/>
              <w:rPr>
                <w:rFonts w:hint="eastAsia" w:ascii="宋体" w:hAnsi="宋体" w:eastAsia="宋体" w:cs="宋体"/>
                <w:sz w:val="21"/>
                <w:szCs w:val="21"/>
                <w:lang w:eastAsia="zh-CN"/>
              </w:rPr>
            </w:pPr>
          </w:p>
        </w:tc>
        <w:tc>
          <w:tcPr>
            <w:tcW w:w="6095" w:type="dxa"/>
            <w:noWrap w:val="0"/>
            <w:vAlign w:val="center"/>
          </w:tcPr>
          <w:p w14:paraId="730A225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9、成品（书墙）：木材含水率（≤12%）合格，翘曲度（≤0.5mm）合格，平整度（≤0.08mm）合 格，底脚平稳性（≤0.1mm）合格，邻边垂直度（≤0.1mm）合格，木工要求（≥7项标准要求）合格 ，漆膜（耐液性、耐湿热、耐干热、附着力、耐磨性、抗冲击均≥2 级）合格，搁板弯曲试验（搁板弯 曲挠度变化值≤0.3%）合格，顶板、底板的持续加载试验（顶板、底板最大挠度≤0.3%）合格，结构和 底架强度（加载300N，A、B、C、D部位各10次）合格，顶板和底板静载荷试验（垂直加载力750N； 垂直向下加载10次）合格，搁板定位试验（加载力：搁板空载时自重的50%）合格，甲醛释放量（≤0.0 5mg/m³）合格，苯（≤0.005mg/m³）合格，甲苯、二甲苯（≤0.05mg/m³）合格，TV0C（≤0.2mg/ m³）合格，家具涂层可迁移元素（8项元素均≤5mg/kg）合格，检测依据参照GB/T 3324-2017、GB/ T35607-2017标准。</w:t>
            </w:r>
          </w:p>
        </w:tc>
      </w:tr>
      <w:tr w14:paraId="0401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777A15E0">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CD766ED">
            <w:pPr>
              <w:widowControl/>
              <w:jc w:val="left"/>
              <w:rPr>
                <w:rFonts w:hint="eastAsia" w:ascii="宋体" w:hAnsi="宋体" w:eastAsia="宋体" w:cs="宋体"/>
                <w:sz w:val="21"/>
                <w:szCs w:val="21"/>
                <w:lang w:eastAsia="zh-CN"/>
              </w:rPr>
            </w:pPr>
          </w:p>
        </w:tc>
        <w:tc>
          <w:tcPr>
            <w:tcW w:w="6095" w:type="dxa"/>
            <w:noWrap w:val="0"/>
            <w:vAlign w:val="center"/>
          </w:tcPr>
          <w:p w14:paraId="487D217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10、每格的内部尺寸根据现场宽度和高度适当调整，按优化的生产图纸为准。</w:t>
            </w:r>
          </w:p>
        </w:tc>
      </w:tr>
      <w:tr w14:paraId="1FE0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74" w:type="dxa"/>
            <w:vMerge w:val="restart"/>
            <w:shd w:val="clear" w:color="000000" w:fill="FFFFFF"/>
            <w:noWrap w:val="0"/>
            <w:vAlign w:val="center"/>
          </w:tcPr>
          <w:p w14:paraId="202CA0B7">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26 </w:t>
            </w:r>
          </w:p>
        </w:tc>
        <w:tc>
          <w:tcPr>
            <w:tcW w:w="1973" w:type="dxa"/>
            <w:vMerge w:val="restart"/>
            <w:noWrap w:val="0"/>
            <w:vAlign w:val="center"/>
          </w:tcPr>
          <w:p w14:paraId="49BB79E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定制阅读区阶梯座椅</w:t>
            </w:r>
          </w:p>
        </w:tc>
        <w:tc>
          <w:tcPr>
            <w:tcW w:w="6095" w:type="dxa"/>
            <w:noWrap w:val="0"/>
            <w:vAlign w:val="center"/>
          </w:tcPr>
          <w:p w14:paraId="72D77F5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1、龙骨≥50*50mm角钢焊接骨架，间距≥@600mm,</w:t>
            </w:r>
          </w:p>
        </w:tc>
      </w:tr>
      <w:tr w14:paraId="314D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052F65FF">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BCD3AF7">
            <w:pPr>
              <w:widowControl/>
              <w:jc w:val="left"/>
              <w:rPr>
                <w:rFonts w:hint="eastAsia" w:ascii="宋体" w:hAnsi="宋体" w:eastAsia="宋体" w:cs="宋体"/>
                <w:sz w:val="21"/>
                <w:szCs w:val="21"/>
                <w:lang w:eastAsia="zh-CN"/>
              </w:rPr>
            </w:pPr>
          </w:p>
        </w:tc>
        <w:tc>
          <w:tcPr>
            <w:tcW w:w="6095" w:type="dxa"/>
            <w:noWrap w:val="0"/>
            <w:vAlign w:val="center"/>
          </w:tcPr>
          <w:p w14:paraId="0E80EF43">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2、基层≥15mm阻燃板基层</w:t>
            </w:r>
          </w:p>
        </w:tc>
      </w:tr>
      <w:tr w14:paraId="74D2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74" w:type="dxa"/>
            <w:vMerge w:val="continue"/>
            <w:shd w:val="clear" w:color="000000" w:fill="FFFFFF"/>
            <w:noWrap w:val="0"/>
            <w:vAlign w:val="center"/>
          </w:tcPr>
          <w:p w14:paraId="7936522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8119C3C">
            <w:pPr>
              <w:widowControl/>
              <w:jc w:val="left"/>
              <w:rPr>
                <w:rFonts w:hint="eastAsia" w:ascii="宋体" w:hAnsi="宋体" w:eastAsia="宋体" w:cs="宋体"/>
                <w:sz w:val="21"/>
                <w:szCs w:val="21"/>
                <w:lang w:eastAsia="zh-CN"/>
              </w:rPr>
            </w:pPr>
          </w:p>
        </w:tc>
        <w:tc>
          <w:tcPr>
            <w:tcW w:w="6095" w:type="dxa"/>
            <w:noWrap w:val="0"/>
            <w:vAlign w:val="center"/>
          </w:tcPr>
          <w:p w14:paraId="03B5FFE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3、面层：免漆板木饰面面层</w:t>
            </w:r>
          </w:p>
        </w:tc>
      </w:tr>
      <w:tr w14:paraId="0AA4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74" w:type="dxa"/>
            <w:vMerge w:val="continue"/>
            <w:shd w:val="clear" w:color="000000" w:fill="FFFFFF"/>
            <w:noWrap w:val="0"/>
            <w:vAlign w:val="center"/>
          </w:tcPr>
          <w:p w14:paraId="609DBAF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4ED67B4">
            <w:pPr>
              <w:widowControl/>
              <w:jc w:val="left"/>
              <w:rPr>
                <w:rFonts w:hint="eastAsia" w:ascii="宋体" w:hAnsi="宋体" w:eastAsia="宋体" w:cs="宋体"/>
                <w:sz w:val="21"/>
                <w:szCs w:val="21"/>
                <w:lang w:eastAsia="zh-CN"/>
              </w:rPr>
            </w:pPr>
          </w:p>
        </w:tc>
        <w:tc>
          <w:tcPr>
            <w:tcW w:w="6095" w:type="dxa"/>
            <w:noWrap w:val="0"/>
            <w:vAlign w:val="center"/>
          </w:tcPr>
          <w:p w14:paraId="0D882FC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4、侧边暗藏书柜</w:t>
            </w:r>
          </w:p>
        </w:tc>
      </w:tr>
      <w:tr w14:paraId="69AA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74" w:type="dxa"/>
            <w:vMerge w:val="continue"/>
            <w:shd w:val="clear" w:color="000000" w:fill="FFFFFF"/>
            <w:noWrap w:val="0"/>
            <w:vAlign w:val="center"/>
          </w:tcPr>
          <w:p w14:paraId="1009384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BF9EE57">
            <w:pPr>
              <w:widowControl/>
              <w:jc w:val="left"/>
              <w:rPr>
                <w:rFonts w:hint="eastAsia" w:ascii="宋体" w:hAnsi="宋体" w:eastAsia="宋体" w:cs="宋体"/>
                <w:sz w:val="21"/>
                <w:szCs w:val="21"/>
                <w:lang w:eastAsia="zh-CN"/>
              </w:rPr>
            </w:pPr>
          </w:p>
        </w:tc>
        <w:tc>
          <w:tcPr>
            <w:tcW w:w="6095" w:type="dxa"/>
            <w:noWrap w:val="0"/>
            <w:vAlign w:val="center"/>
          </w:tcPr>
          <w:p w14:paraId="34ABDCA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5、含抽屉、暗拉手等五金配件</w:t>
            </w:r>
          </w:p>
        </w:tc>
      </w:tr>
      <w:tr w14:paraId="313D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74" w:type="dxa"/>
            <w:vMerge w:val="restart"/>
            <w:shd w:val="clear" w:color="000000" w:fill="FFFFFF"/>
            <w:noWrap w:val="0"/>
            <w:vAlign w:val="center"/>
          </w:tcPr>
          <w:p w14:paraId="3AD74B4F">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27</w:t>
            </w:r>
          </w:p>
        </w:tc>
        <w:tc>
          <w:tcPr>
            <w:tcW w:w="1973" w:type="dxa"/>
            <w:vMerge w:val="restart"/>
            <w:noWrap w:val="0"/>
            <w:vAlign w:val="center"/>
          </w:tcPr>
          <w:p w14:paraId="4142075A">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电气配线 </w:t>
            </w:r>
          </w:p>
        </w:tc>
        <w:tc>
          <w:tcPr>
            <w:tcW w:w="6095" w:type="dxa"/>
            <w:noWrap w:val="0"/>
            <w:vAlign w:val="center"/>
          </w:tcPr>
          <w:p w14:paraId="41F030CD">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1、名称：电气配线 </w:t>
            </w:r>
          </w:p>
        </w:tc>
      </w:tr>
      <w:tr w14:paraId="44EE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5EA4D14">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261ACAA">
            <w:pPr>
              <w:widowControl/>
              <w:jc w:val="left"/>
              <w:rPr>
                <w:rFonts w:hint="eastAsia" w:ascii="宋体" w:hAnsi="宋体" w:eastAsia="宋体" w:cs="宋体"/>
                <w:color w:val="000000"/>
                <w:sz w:val="21"/>
                <w:szCs w:val="21"/>
                <w:lang w:eastAsia="zh-CN"/>
              </w:rPr>
            </w:pPr>
          </w:p>
        </w:tc>
        <w:tc>
          <w:tcPr>
            <w:tcW w:w="6095" w:type="dxa"/>
            <w:noWrap w:val="0"/>
            <w:vAlign w:val="center"/>
          </w:tcPr>
          <w:p w14:paraId="71D8AA41">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2、配线形式：管内、桥架线槽综合考虑</w:t>
            </w:r>
          </w:p>
        </w:tc>
      </w:tr>
      <w:tr w14:paraId="0781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C76C9A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7575A23">
            <w:pPr>
              <w:widowControl/>
              <w:jc w:val="left"/>
              <w:rPr>
                <w:rFonts w:hint="eastAsia" w:ascii="宋体" w:hAnsi="宋体" w:eastAsia="宋体" w:cs="宋体"/>
                <w:color w:val="000000"/>
                <w:sz w:val="21"/>
                <w:szCs w:val="21"/>
                <w:lang w:eastAsia="zh-CN"/>
              </w:rPr>
            </w:pPr>
          </w:p>
        </w:tc>
        <w:tc>
          <w:tcPr>
            <w:tcW w:w="6095" w:type="dxa"/>
            <w:noWrap w:val="0"/>
            <w:vAlign w:val="center"/>
          </w:tcPr>
          <w:p w14:paraId="258EAA4C">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3、型号、规格： WDZB-BYJ-4mm²，各色</w:t>
            </w:r>
          </w:p>
        </w:tc>
      </w:tr>
      <w:tr w14:paraId="2BF8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9CCB4C5">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2078C2D">
            <w:pPr>
              <w:widowControl/>
              <w:jc w:val="left"/>
              <w:rPr>
                <w:rFonts w:hint="eastAsia" w:ascii="宋体" w:hAnsi="宋体" w:eastAsia="宋体" w:cs="宋体"/>
                <w:color w:val="000000"/>
                <w:sz w:val="21"/>
                <w:szCs w:val="21"/>
                <w:lang w:eastAsia="zh-CN"/>
              </w:rPr>
            </w:pPr>
          </w:p>
        </w:tc>
        <w:tc>
          <w:tcPr>
            <w:tcW w:w="6095" w:type="dxa"/>
            <w:noWrap w:val="0"/>
            <w:vAlign w:val="center"/>
          </w:tcPr>
          <w:p w14:paraId="3CE0ADE0">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4、材质：铜芯</w:t>
            </w:r>
          </w:p>
        </w:tc>
      </w:tr>
      <w:tr w14:paraId="1727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7CF028B">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ABD1F70">
            <w:pPr>
              <w:widowControl/>
              <w:jc w:val="left"/>
              <w:rPr>
                <w:rFonts w:hint="eastAsia" w:ascii="宋体" w:hAnsi="宋体" w:eastAsia="宋体" w:cs="宋体"/>
                <w:color w:val="000000"/>
                <w:sz w:val="21"/>
                <w:szCs w:val="21"/>
                <w:lang w:eastAsia="zh-CN"/>
              </w:rPr>
            </w:pPr>
          </w:p>
        </w:tc>
        <w:tc>
          <w:tcPr>
            <w:tcW w:w="6095" w:type="dxa"/>
            <w:noWrap w:val="0"/>
            <w:vAlign w:val="center"/>
          </w:tcPr>
          <w:p w14:paraId="1589BCDF">
            <w:pPr>
              <w:widowControl/>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5、其它满足设计规范和施工规范，并符合验收标准要求</w:t>
            </w:r>
          </w:p>
        </w:tc>
      </w:tr>
      <w:tr w14:paraId="7259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74" w:type="dxa"/>
            <w:shd w:val="clear" w:color="000000" w:fill="FFFFFF"/>
            <w:noWrap w:val="0"/>
            <w:vAlign w:val="center"/>
          </w:tcPr>
          <w:p w14:paraId="20B4EBFE">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28</w:t>
            </w:r>
          </w:p>
        </w:tc>
        <w:tc>
          <w:tcPr>
            <w:tcW w:w="1973" w:type="dxa"/>
            <w:noWrap w:val="0"/>
            <w:vAlign w:val="center"/>
          </w:tcPr>
          <w:p w14:paraId="51B9119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定制服务台</w:t>
            </w:r>
          </w:p>
        </w:tc>
        <w:tc>
          <w:tcPr>
            <w:tcW w:w="6095" w:type="dxa"/>
            <w:noWrap w:val="0"/>
            <w:vAlign w:val="center"/>
          </w:tcPr>
          <w:p w14:paraId="3911A99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定制服务台，长度6500mm±500mm石材台面+饰面、实木免漆板台下柜+不锈钢饰面</w:t>
            </w:r>
          </w:p>
        </w:tc>
      </w:tr>
      <w:tr w14:paraId="270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4" w:type="dxa"/>
            <w:shd w:val="clear" w:color="000000" w:fill="FFFFFF"/>
            <w:noWrap w:val="0"/>
            <w:vAlign w:val="center"/>
          </w:tcPr>
          <w:p w14:paraId="7677B02F">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29 </w:t>
            </w:r>
          </w:p>
        </w:tc>
        <w:tc>
          <w:tcPr>
            <w:tcW w:w="1973" w:type="dxa"/>
            <w:noWrap w:val="0"/>
            <w:vAlign w:val="center"/>
          </w:tcPr>
          <w:p w14:paraId="71E5D9B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定制前厅圆形摆台</w:t>
            </w:r>
          </w:p>
        </w:tc>
        <w:tc>
          <w:tcPr>
            <w:tcW w:w="6095" w:type="dxa"/>
            <w:noWrap w:val="0"/>
            <w:vAlign w:val="center"/>
          </w:tcPr>
          <w:p w14:paraId="21A1413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定制圆形摆台+沙发，半径1200±100mm，钢结构焊机骨架+烤漆板饰面+软包坐垫</w:t>
            </w:r>
          </w:p>
        </w:tc>
      </w:tr>
      <w:tr w14:paraId="7564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446E2056">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30 </w:t>
            </w:r>
          </w:p>
        </w:tc>
        <w:tc>
          <w:tcPr>
            <w:tcW w:w="1973" w:type="dxa"/>
            <w:noWrap w:val="0"/>
            <w:vAlign w:val="center"/>
          </w:tcPr>
          <w:p w14:paraId="51D8A27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雕塑</w:t>
            </w:r>
          </w:p>
        </w:tc>
        <w:tc>
          <w:tcPr>
            <w:tcW w:w="6095" w:type="dxa"/>
            <w:noWrap w:val="0"/>
            <w:vAlign w:val="center"/>
          </w:tcPr>
          <w:p w14:paraId="06CC6B3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定制金属摆件，玻璃钢材质，h1200</w:t>
            </w:r>
          </w:p>
        </w:tc>
      </w:tr>
      <w:tr w14:paraId="65D7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4" w:type="dxa"/>
            <w:vMerge w:val="restart"/>
            <w:shd w:val="clear" w:color="000000" w:fill="FFFFFF"/>
            <w:noWrap w:val="0"/>
            <w:vAlign w:val="center"/>
          </w:tcPr>
          <w:p w14:paraId="184D91A9">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31 </w:t>
            </w:r>
          </w:p>
        </w:tc>
        <w:tc>
          <w:tcPr>
            <w:tcW w:w="1973" w:type="dxa"/>
            <w:vMerge w:val="restart"/>
            <w:noWrap w:val="0"/>
            <w:vAlign w:val="center"/>
          </w:tcPr>
          <w:p w14:paraId="4FE67E1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定制直行书柜</w:t>
            </w:r>
          </w:p>
        </w:tc>
        <w:tc>
          <w:tcPr>
            <w:tcW w:w="6095" w:type="dxa"/>
            <w:noWrap w:val="0"/>
            <w:vAlign w:val="center"/>
          </w:tcPr>
          <w:p w14:paraId="26A63C75">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1、定制书架，工程量为投影面积，E0级实木免漆板定做，规格：长度和高度以实际长度为准*350±50</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mm（宽），颜色按现场定制</w:t>
            </w:r>
          </w:p>
        </w:tc>
      </w:tr>
      <w:tr w14:paraId="5513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52F5962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9508211">
            <w:pPr>
              <w:widowControl/>
              <w:jc w:val="left"/>
              <w:rPr>
                <w:rFonts w:hint="eastAsia" w:ascii="宋体" w:hAnsi="宋体" w:eastAsia="宋体" w:cs="宋体"/>
                <w:sz w:val="21"/>
                <w:szCs w:val="21"/>
                <w:lang w:eastAsia="zh-CN"/>
              </w:rPr>
            </w:pPr>
          </w:p>
        </w:tc>
        <w:tc>
          <w:tcPr>
            <w:tcW w:w="6095" w:type="dxa"/>
            <w:noWrap w:val="0"/>
            <w:vAlign w:val="center"/>
          </w:tcPr>
          <w:p w14:paraId="1EB68CE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2、整体采用实木多层板贴橡胶木木皮制作。实木多层板甲醛释放量须符合释放标准E0（≤0.05mg/m ³）合格，TVOC（≤0.05mg/㎡h）合格，苯、甲苯、二甲苯（≤7μg/m³）合格，静曲强度（横纹≥42 Mpa）合格，弹性模量（横纹≥4800Mpa）合格，抗菌性能（铜绿假单胞菌）＞99%，抗霉菌性能（土 曲霉试验条件：时间7天，湿度90%RH，温度28℃）长霉等级0级，检测依据参照GB 18580-2017、G B/T 9846-2015、QB/T 4371-2012标准。</w:t>
            </w:r>
          </w:p>
        </w:tc>
      </w:tr>
      <w:tr w14:paraId="20BE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9F0AB07">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3758AAA">
            <w:pPr>
              <w:widowControl/>
              <w:jc w:val="left"/>
              <w:rPr>
                <w:rFonts w:hint="eastAsia" w:ascii="宋体" w:hAnsi="宋体" w:eastAsia="宋体" w:cs="宋体"/>
                <w:sz w:val="21"/>
                <w:szCs w:val="21"/>
                <w:lang w:eastAsia="zh-CN"/>
              </w:rPr>
            </w:pPr>
          </w:p>
        </w:tc>
        <w:tc>
          <w:tcPr>
            <w:tcW w:w="6095" w:type="dxa"/>
            <w:noWrap w:val="0"/>
            <w:vAlign w:val="center"/>
          </w:tcPr>
          <w:p w14:paraId="5585021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3、侧板、中立板、层板成型厚度18mm，25mm，80mm等，靠墙柜背板厚度9mm，不靠墙柜背面见光的背板厚度18mm</w:t>
            </w:r>
          </w:p>
        </w:tc>
      </w:tr>
      <w:tr w14:paraId="017E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2829F3AE">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0605398E">
            <w:pPr>
              <w:widowControl/>
              <w:jc w:val="left"/>
              <w:rPr>
                <w:rFonts w:hint="eastAsia" w:ascii="宋体" w:hAnsi="宋体" w:eastAsia="宋体" w:cs="宋体"/>
                <w:sz w:val="21"/>
                <w:szCs w:val="21"/>
                <w:lang w:eastAsia="zh-CN"/>
              </w:rPr>
            </w:pPr>
          </w:p>
        </w:tc>
        <w:tc>
          <w:tcPr>
            <w:tcW w:w="6095" w:type="dxa"/>
            <w:noWrap w:val="0"/>
            <w:vAlign w:val="center"/>
          </w:tcPr>
          <w:p w14:paraId="47C044E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4、胶粘剂：采用原胶，总挥发性有机物（≤10g/L）合格，外观（乳白色，无可视粗颗粒或异物）合格 ，不挥发物（≥35%）合格，木材污染性（较涂敷硫酸亚铁的显色浅）合格，压缩剪切强度（干强度≥8 MPa）合格，PH值（3~7）合格，苯（未检出）合格，甲苯+乙苯+二甲苯（未检出）合格，可迁移元 素限量（8项元素均未检出）合格，游离甲醛（未检出）合格，检测依据参照GB 33372-2020、HG/T 2727-2010、HJ 2547-2016、GB 18583-2008标准。</w:t>
            </w:r>
          </w:p>
        </w:tc>
      </w:tr>
      <w:tr w14:paraId="699D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6D5E504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7795BAD">
            <w:pPr>
              <w:widowControl/>
              <w:jc w:val="left"/>
              <w:rPr>
                <w:rFonts w:hint="eastAsia" w:ascii="宋体" w:hAnsi="宋体" w:eastAsia="宋体" w:cs="宋体"/>
                <w:sz w:val="21"/>
                <w:szCs w:val="21"/>
                <w:lang w:eastAsia="zh-CN"/>
              </w:rPr>
            </w:pPr>
          </w:p>
        </w:tc>
        <w:tc>
          <w:tcPr>
            <w:tcW w:w="6095" w:type="dxa"/>
            <w:noWrap w:val="0"/>
            <w:vAlign w:val="center"/>
          </w:tcPr>
          <w:p w14:paraId="1057D58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颜色：双饰面板表面采用上覆盖一层经过特殊处理的、具有抗划刻、耐酸碱的表层(三聚氰胺浸渍纸，约0.2毫米)，然后再在三聚氢胺纸的表面上贴一层带颜色的装饰纸，简称MFC。MFC具有一定的耐磨、耐腐蚀性能，颜色种类繁多，适合柜子色彩组合的变化，而且因为双饰面的抗撞击，耐划痕比烤漆强。</w:t>
            </w:r>
          </w:p>
        </w:tc>
      </w:tr>
      <w:tr w14:paraId="556B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10DC511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99CD1A3">
            <w:pPr>
              <w:widowControl/>
              <w:jc w:val="left"/>
              <w:rPr>
                <w:rFonts w:hint="eastAsia" w:ascii="宋体" w:hAnsi="宋体" w:eastAsia="宋体" w:cs="宋体"/>
                <w:sz w:val="21"/>
                <w:szCs w:val="21"/>
                <w:lang w:eastAsia="zh-CN"/>
              </w:rPr>
            </w:pPr>
          </w:p>
        </w:tc>
        <w:tc>
          <w:tcPr>
            <w:tcW w:w="6095" w:type="dxa"/>
            <w:noWrap w:val="0"/>
            <w:vAlign w:val="center"/>
          </w:tcPr>
          <w:p w14:paraId="30B8B62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6、五金件：采用五金配件（三合一偏心连接件），经防锈处理。三合一偏心连接件中连接螺杆螺纹与 预埋螺母的抗拉强度（≥850N）合格，防霉性能(产黄青霉）防霉等级0级，耐腐蚀性能（乙酸盐雾试验 ≥100h，涂镀层本身的耐腐蚀等级达到10级，涂镀层对基体的保护评级达到10级)合格，检测依据参照 GB/T 28203-2011、GB/T 10125-2021、GB/T 6461-2002、GB/T 1741-2020标准。</w:t>
            </w:r>
          </w:p>
        </w:tc>
      </w:tr>
      <w:tr w14:paraId="77E3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4C9246B1">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C7CD36D">
            <w:pPr>
              <w:widowControl/>
              <w:jc w:val="left"/>
              <w:rPr>
                <w:rFonts w:hint="eastAsia" w:ascii="宋体" w:hAnsi="宋体" w:eastAsia="宋体" w:cs="宋体"/>
                <w:sz w:val="21"/>
                <w:szCs w:val="21"/>
                <w:lang w:eastAsia="zh-CN"/>
              </w:rPr>
            </w:pPr>
          </w:p>
        </w:tc>
        <w:tc>
          <w:tcPr>
            <w:tcW w:w="6095" w:type="dxa"/>
            <w:noWrap w:val="0"/>
            <w:vAlign w:val="center"/>
          </w:tcPr>
          <w:p w14:paraId="599D5BA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7、成品（书墙）：木材含水率（≤12%）合格，翘曲度（≤0.5mm）合格，平整度（≤0.08mm）合 格，底脚平稳性（≤0.1mm）合格，邻边垂直度（≤0.1mm）合格，木工要求（≥7项标准要求）合格 ，漆膜（耐液性、耐湿热、耐干热、附着力、耐磨性、抗冲击均≥2 级）合格，搁板弯曲试验（搁板弯 曲挠度变化值≤0.3%）合格，顶板、底板的持续加载试验（顶板、底板最大挠度≤0.3%）合格，结构和 底架强度（加载300N，A、B、C、D部位各10次）合格，顶板和底板静载荷试验（垂直加载力750N； 垂直向下加载10次）合格，搁板定位试验（加载力：搁板空载时自重的50%）合格，甲醛释放量（≤0.0 5mg/m³）合格，苯（≤0.005mg/m³）合格，甲苯、二甲苯（≤0.05mg/m³）合格，TV0C（≤0.2mg/ m³）合格，家具涂层可迁移元素（8项元素均≤5mg/kg）合格，检测依据参照GB/T 3324-2017、GB/ T35607-2017标准。</w:t>
            </w:r>
          </w:p>
        </w:tc>
      </w:tr>
      <w:tr w14:paraId="49D1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continue"/>
            <w:shd w:val="clear" w:color="000000" w:fill="FFFFFF"/>
            <w:noWrap w:val="0"/>
            <w:vAlign w:val="center"/>
          </w:tcPr>
          <w:p w14:paraId="3F16E7E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2D6C861">
            <w:pPr>
              <w:widowControl/>
              <w:jc w:val="left"/>
              <w:rPr>
                <w:rFonts w:hint="eastAsia" w:ascii="宋体" w:hAnsi="宋体" w:eastAsia="宋体" w:cs="宋体"/>
                <w:sz w:val="21"/>
                <w:szCs w:val="21"/>
                <w:lang w:eastAsia="zh-CN"/>
              </w:rPr>
            </w:pPr>
          </w:p>
        </w:tc>
        <w:tc>
          <w:tcPr>
            <w:tcW w:w="6095" w:type="dxa"/>
            <w:noWrap w:val="0"/>
            <w:vAlign w:val="center"/>
          </w:tcPr>
          <w:p w14:paraId="1571CEC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8、每格的内部尺寸根据现场宽度和高度适当调整，按优化的生产图纸为准。</w:t>
            </w:r>
          </w:p>
        </w:tc>
      </w:tr>
      <w:tr w14:paraId="6BBE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vMerge w:val="restart"/>
            <w:shd w:val="clear" w:color="000000" w:fill="FFFFFF"/>
            <w:noWrap w:val="0"/>
            <w:vAlign w:val="center"/>
          </w:tcPr>
          <w:p w14:paraId="763FEE5D">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32</w:t>
            </w:r>
          </w:p>
        </w:tc>
        <w:tc>
          <w:tcPr>
            <w:tcW w:w="1973" w:type="dxa"/>
            <w:vMerge w:val="restart"/>
            <w:noWrap w:val="0"/>
            <w:vAlign w:val="center"/>
          </w:tcPr>
          <w:p w14:paraId="1DCD647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定制弧形半高书柜</w:t>
            </w:r>
          </w:p>
        </w:tc>
        <w:tc>
          <w:tcPr>
            <w:tcW w:w="6095" w:type="dxa"/>
            <w:noWrap w:val="0"/>
            <w:vAlign w:val="center"/>
          </w:tcPr>
          <w:p w14:paraId="6468A3B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定制书架，工程量为投影面积，E0级实木免漆板定做，规格：长度和高度以实际长度为准*350mm±50（宽），颜色按现场定制</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1、整体采用实木多层板贴橡胶木木皮制作。实木多层板甲醛释放量须符合释放标准E0（≤0.05mg/m ³）合格，TVOC（≤0.05mg/㎡h）合格，苯、甲苯、二甲苯（≤7μg/m³）合格，静曲强度（横纹≥42 Mpa）合格，弹性模量（横纹≥4800Mpa）合格，抗菌性能（铜绿假单胞菌）＞99%，抗霉菌性能（土 曲霉试验条件：时间7天，湿度90%RH，温度28℃）长霉等级0级，检测依据参照GB 18580-2017、G B/T 9846-2015、QB/T 4371-2012标准。</w:t>
            </w:r>
          </w:p>
        </w:tc>
      </w:tr>
      <w:tr w14:paraId="58B6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4" w:type="dxa"/>
            <w:vMerge w:val="continue"/>
            <w:shd w:val="clear" w:color="000000" w:fill="FFFFFF"/>
            <w:noWrap w:val="0"/>
            <w:vAlign w:val="center"/>
          </w:tcPr>
          <w:p w14:paraId="522B5FB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4A3A815">
            <w:pPr>
              <w:widowControl/>
              <w:jc w:val="left"/>
              <w:rPr>
                <w:rFonts w:hint="eastAsia" w:ascii="宋体" w:hAnsi="宋体" w:eastAsia="宋体" w:cs="宋体"/>
                <w:sz w:val="21"/>
                <w:szCs w:val="21"/>
                <w:lang w:eastAsia="zh-CN"/>
              </w:rPr>
            </w:pPr>
          </w:p>
        </w:tc>
        <w:tc>
          <w:tcPr>
            <w:tcW w:w="6095" w:type="dxa"/>
            <w:noWrap w:val="0"/>
            <w:vAlign w:val="center"/>
          </w:tcPr>
          <w:p w14:paraId="47C9FC8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2、侧板、中立板、层板成型厚度18mm，25mm，80mm等，靠墙柜背板厚度9mm，不靠墙柜背面见光的背板厚度18mm</w:t>
            </w:r>
          </w:p>
        </w:tc>
      </w:tr>
      <w:tr w14:paraId="7632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4" w:type="dxa"/>
            <w:vMerge w:val="continue"/>
            <w:shd w:val="clear" w:color="000000" w:fill="FFFFFF"/>
            <w:noWrap w:val="0"/>
            <w:vAlign w:val="center"/>
          </w:tcPr>
          <w:p w14:paraId="395CA666">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10597C52">
            <w:pPr>
              <w:widowControl/>
              <w:jc w:val="left"/>
              <w:rPr>
                <w:rFonts w:hint="eastAsia" w:ascii="宋体" w:hAnsi="宋体" w:eastAsia="宋体" w:cs="宋体"/>
                <w:sz w:val="21"/>
                <w:szCs w:val="21"/>
                <w:lang w:eastAsia="zh-CN"/>
              </w:rPr>
            </w:pPr>
          </w:p>
        </w:tc>
        <w:tc>
          <w:tcPr>
            <w:tcW w:w="6095" w:type="dxa"/>
            <w:noWrap w:val="0"/>
            <w:vAlign w:val="center"/>
          </w:tcPr>
          <w:p w14:paraId="0ACBE72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3、胶粘剂：采用原胶，总挥发性有机物（≤10g/L）合格，外观（乳白色，无可视粗颗粒或异物）合格 ，不挥发物（≥35%）合格，木材污染性（较涂敷硫酸亚铁的显色浅）合格，压缩剪切强度（干强度≥8 MPa）合格，PH值（3~7）合格，苯（未检出）合格，甲苯+乙苯+二甲苯（未检出）合格，可迁移元 素限量（8项元素均未检出）合格，游离甲醛（未检出）合格，检测依据参照GB 33372-2020、HG/T 2727-2010、HJ 2547-2016、GB 18583-2008标准。</w:t>
            </w:r>
          </w:p>
        </w:tc>
      </w:tr>
      <w:tr w14:paraId="4AAB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4" w:type="dxa"/>
            <w:vMerge w:val="continue"/>
            <w:shd w:val="clear" w:color="000000" w:fill="FFFFFF"/>
            <w:noWrap w:val="0"/>
            <w:vAlign w:val="center"/>
          </w:tcPr>
          <w:p w14:paraId="3B754C6A">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640AEE77">
            <w:pPr>
              <w:widowControl/>
              <w:jc w:val="left"/>
              <w:rPr>
                <w:rFonts w:hint="eastAsia" w:ascii="宋体" w:hAnsi="宋体" w:eastAsia="宋体" w:cs="宋体"/>
                <w:sz w:val="21"/>
                <w:szCs w:val="21"/>
                <w:lang w:eastAsia="zh-CN"/>
              </w:rPr>
            </w:pPr>
          </w:p>
        </w:tc>
        <w:tc>
          <w:tcPr>
            <w:tcW w:w="6095" w:type="dxa"/>
            <w:noWrap w:val="0"/>
            <w:vAlign w:val="center"/>
          </w:tcPr>
          <w:p w14:paraId="49AC9BA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4、颜色：双饰面板表面采用上覆盖一层经过特殊处理的、具有抗划刻、耐酸碱的表层(三聚氰胺浸渍纸，约0.2毫米)，然后再在三聚氢胺纸的表面上贴一层带颜色的装饰纸，简称MFC。MFC具有一定的耐磨、耐腐蚀性能，颜色种类繁多，适合柜子色彩组合的变化，而且因为双饰面的抗撞击，耐划痕比烤漆强。</w:t>
            </w:r>
          </w:p>
        </w:tc>
      </w:tr>
      <w:tr w14:paraId="7AEC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4" w:type="dxa"/>
            <w:vMerge w:val="continue"/>
            <w:shd w:val="clear" w:color="000000" w:fill="FFFFFF"/>
            <w:noWrap w:val="0"/>
            <w:vAlign w:val="center"/>
          </w:tcPr>
          <w:p w14:paraId="526CDE9C">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48BCFEC6">
            <w:pPr>
              <w:widowControl/>
              <w:jc w:val="left"/>
              <w:rPr>
                <w:rFonts w:hint="eastAsia" w:ascii="宋体" w:hAnsi="宋体" w:eastAsia="宋体" w:cs="宋体"/>
                <w:sz w:val="21"/>
                <w:szCs w:val="21"/>
                <w:lang w:eastAsia="zh-CN"/>
              </w:rPr>
            </w:pPr>
          </w:p>
        </w:tc>
        <w:tc>
          <w:tcPr>
            <w:tcW w:w="6095" w:type="dxa"/>
            <w:noWrap w:val="0"/>
            <w:vAlign w:val="center"/>
          </w:tcPr>
          <w:p w14:paraId="2B4F42E8">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5、五金件：采用五金配件（三合一偏心连接件），经防锈处理。三合一偏心连接件中连接螺杆螺纹与 预埋螺母的抗拉强度（≥850N）合格，防霉性能(产黄青霉）防霉等级0级，耐腐蚀性能（乙酸盐雾试验 ≥100h，涂镀层本身的耐腐蚀等级达到10级，涂镀层对基体的保护评级达到10级)合格，检测依据参照 GB/T 28203-2011、GB/T 10125-2021、GB/T 6461-2002、GB/T 1741-2020标准。</w:t>
            </w:r>
          </w:p>
        </w:tc>
      </w:tr>
      <w:tr w14:paraId="418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4" w:type="dxa"/>
            <w:vMerge w:val="continue"/>
            <w:shd w:val="clear" w:color="000000" w:fill="FFFFFF"/>
            <w:noWrap w:val="0"/>
            <w:vAlign w:val="center"/>
          </w:tcPr>
          <w:p w14:paraId="3E0D0629">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5B08BEEA">
            <w:pPr>
              <w:widowControl/>
              <w:jc w:val="left"/>
              <w:rPr>
                <w:rFonts w:hint="eastAsia" w:ascii="宋体" w:hAnsi="宋体" w:eastAsia="宋体" w:cs="宋体"/>
                <w:sz w:val="21"/>
                <w:szCs w:val="21"/>
                <w:lang w:eastAsia="zh-CN"/>
              </w:rPr>
            </w:pPr>
          </w:p>
        </w:tc>
        <w:tc>
          <w:tcPr>
            <w:tcW w:w="6095" w:type="dxa"/>
            <w:noWrap w:val="0"/>
            <w:vAlign w:val="center"/>
          </w:tcPr>
          <w:p w14:paraId="2107DFB0">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6、成品（书墙）：木材含水率（≤12%）合格，翘曲度（≤0.5mm）合格，平整度（≤0.08mm）合 格，底脚平稳性（≤0.1mm）合格，邻边垂直度（≤0.1mm）合格，木工要求（≥7项标准要求）合格 ，漆膜（耐液性、耐湿热、耐干热、附着力、耐磨性、抗冲击均≥2 级）合格，搁板弯曲试验（搁板弯 曲挠度变化值≤0.3%）合格，顶板、底板的持续加载试验（顶板、底板最大挠度≤0.3%）合格，结构和 底架强度（加载300N，A、B、C、D部位各10次）合格，顶板和底板静载荷试验（垂直加载力750N； 垂直向下加载10次）合格，搁板定位试验（加载力：搁板空载时自重的50%）合格，甲醛释放量（≤0.0 5mg/m³）合格，苯（≤0.005mg/m³）合格，甲苯、二甲苯（≤0.05mg/m³）合格，TV0C（≤0.2mg/ m³）合格，家具涂层可迁移元素（8项元素均≤5mg/kg）合格，检测依据参照GB/T 3324-2017、GB/ T35607-2017标准。</w:t>
            </w:r>
          </w:p>
        </w:tc>
      </w:tr>
      <w:tr w14:paraId="5DF6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74" w:type="dxa"/>
            <w:vMerge w:val="continue"/>
            <w:shd w:val="clear" w:color="000000" w:fill="FFFFFF"/>
            <w:noWrap w:val="0"/>
            <w:vAlign w:val="center"/>
          </w:tcPr>
          <w:p w14:paraId="1070B973">
            <w:pPr>
              <w:widowControl/>
              <w:jc w:val="center"/>
              <w:rPr>
                <w:rFonts w:hint="eastAsia" w:ascii="宋体" w:hAnsi="宋体" w:eastAsia="宋体" w:cs="宋体"/>
                <w:color w:val="000000"/>
                <w:sz w:val="21"/>
                <w:szCs w:val="21"/>
                <w:lang w:eastAsia="zh-CN"/>
              </w:rPr>
            </w:pPr>
          </w:p>
        </w:tc>
        <w:tc>
          <w:tcPr>
            <w:tcW w:w="1973" w:type="dxa"/>
            <w:vMerge w:val="continue"/>
            <w:noWrap w:val="0"/>
            <w:vAlign w:val="center"/>
          </w:tcPr>
          <w:p w14:paraId="343FDB3D">
            <w:pPr>
              <w:widowControl/>
              <w:jc w:val="left"/>
              <w:rPr>
                <w:rFonts w:hint="eastAsia" w:ascii="宋体" w:hAnsi="宋体" w:eastAsia="宋体" w:cs="宋体"/>
                <w:sz w:val="21"/>
                <w:szCs w:val="21"/>
                <w:lang w:eastAsia="zh-CN"/>
              </w:rPr>
            </w:pPr>
          </w:p>
        </w:tc>
        <w:tc>
          <w:tcPr>
            <w:tcW w:w="6095" w:type="dxa"/>
            <w:noWrap w:val="0"/>
            <w:vAlign w:val="center"/>
          </w:tcPr>
          <w:p w14:paraId="45A218C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7、每格的内部尺寸根据现场宽度和高度适当调整，按优化的生产图纸为准。</w:t>
            </w:r>
          </w:p>
        </w:tc>
      </w:tr>
      <w:tr w14:paraId="0D47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4B4EAE4D">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33 </w:t>
            </w:r>
          </w:p>
        </w:tc>
        <w:tc>
          <w:tcPr>
            <w:tcW w:w="1973" w:type="dxa"/>
            <w:noWrap w:val="0"/>
            <w:vAlign w:val="center"/>
          </w:tcPr>
          <w:p w14:paraId="484666B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定制靠墙软包坐垫</w:t>
            </w:r>
          </w:p>
        </w:tc>
        <w:tc>
          <w:tcPr>
            <w:tcW w:w="6095" w:type="dxa"/>
            <w:noWrap w:val="0"/>
            <w:vAlign w:val="center"/>
          </w:tcPr>
          <w:p w14:paraId="0969FFA1">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结构骨架+海绵+布艺软包坐垫，宽度：350±50mm</w:t>
            </w:r>
          </w:p>
        </w:tc>
      </w:tr>
      <w:tr w14:paraId="0DA5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4A5C6A83">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34</w:t>
            </w:r>
          </w:p>
        </w:tc>
        <w:tc>
          <w:tcPr>
            <w:tcW w:w="1973" w:type="dxa"/>
            <w:noWrap w:val="0"/>
            <w:vAlign w:val="center"/>
          </w:tcPr>
          <w:p w14:paraId="0A65992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定制弧形皮革座椅</w:t>
            </w:r>
          </w:p>
        </w:tc>
        <w:tc>
          <w:tcPr>
            <w:tcW w:w="6095" w:type="dxa"/>
            <w:noWrap w:val="0"/>
            <w:vAlign w:val="center"/>
          </w:tcPr>
          <w:p w14:paraId="7C297B2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铝合金框架、高回弹海绵、皮革饰面，W2200*D500*H650（坐高450）长*宽*高±50mm</w:t>
            </w:r>
          </w:p>
        </w:tc>
      </w:tr>
      <w:tr w14:paraId="587D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37ACF4D0">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35 </w:t>
            </w:r>
          </w:p>
        </w:tc>
        <w:tc>
          <w:tcPr>
            <w:tcW w:w="1973" w:type="dxa"/>
            <w:noWrap w:val="0"/>
            <w:vAlign w:val="center"/>
          </w:tcPr>
          <w:p w14:paraId="7879C90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定制弧形皮革休闲沙发</w:t>
            </w:r>
          </w:p>
        </w:tc>
        <w:tc>
          <w:tcPr>
            <w:tcW w:w="6095" w:type="dxa"/>
            <w:noWrap w:val="0"/>
            <w:vAlign w:val="center"/>
          </w:tcPr>
          <w:p w14:paraId="584A3D16">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铝合金框架、高回弹海绵、皮革饰面，宽度：4000*550±50m</w:t>
            </w:r>
          </w:p>
        </w:tc>
      </w:tr>
      <w:tr w14:paraId="5A05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338A0EA0">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36</w:t>
            </w:r>
          </w:p>
        </w:tc>
        <w:tc>
          <w:tcPr>
            <w:tcW w:w="1973" w:type="dxa"/>
            <w:noWrap w:val="0"/>
            <w:vAlign w:val="center"/>
          </w:tcPr>
          <w:p w14:paraId="1AFDBC7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定制实木靠墙阅读桌</w:t>
            </w:r>
          </w:p>
        </w:tc>
        <w:tc>
          <w:tcPr>
            <w:tcW w:w="6095" w:type="dxa"/>
            <w:noWrap w:val="0"/>
            <w:vAlign w:val="center"/>
          </w:tcPr>
          <w:p w14:paraId="36BD737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多层实木板+结构骨架，宽度：500±100mm</w:t>
            </w:r>
          </w:p>
        </w:tc>
      </w:tr>
      <w:tr w14:paraId="1106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6B706C37">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37 </w:t>
            </w:r>
          </w:p>
        </w:tc>
        <w:tc>
          <w:tcPr>
            <w:tcW w:w="1973" w:type="dxa"/>
            <w:noWrap w:val="0"/>
            <w:vAlign w:val="center"/>
          </w:tcPr>
          <w:p w14:paraId="032925A3">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定制圆形坐垫</w:t>
            </w:r>
          </w:p>
        </w:tc>
        <w:tc>
          <w:tcPr>
            <w:tcW w:w="6095" w:type="dxa"/>
            <w:noWrap w:val="0"/>
            <w:vAlign w:val="center"/>
          </w:tcPr>
          <w:p w14:paraId="295CA15B">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钢结构骨架+木饰面+海绵+布艺饰面 φ700*H450</w:t>
            </w:r>
          </w:p>
        </w:tc>
      </w:tr>
      <w:tr w14:paraId="2C7B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74" w:type="dxa"/>
            <w:shd w:val="clear" w:color="000000" w:fill="FFFFFF"/>
            <w:noWrap w:val="0"/>
            <w:vAlign w:val="center"/>
          </w:tcPr>
          <w:p w14:paraId="0E212324">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38 </w:t>
            </w:r>
          </w:p>
        </w:tc>
        <w:tc>
          <w:tcPr>
            <w:tcW w:w="1973" w:type="dxa"/>
            <w:noWrap w:val="0"/>
            <w:vAlign w:val="center"/>
          </w:tcPr>
          <w:p w14:paraId="4BB01437">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定制四人桌椅（含阅读椅）</w:t>
            </w:r>
          </w:p>
        </w:tc>
        <w:tc>
          <w:tcPr>
            <w:tcW w:w="6095" w:type="dxa"/>
            <w:noWrap w:val="0"/>
            <w:vAlign w:val="center"/>
          </w:tcPr>
          <w:p w14:paraId="65F58A02">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桌面采用多层实木板，桌架采用冷轧钢板。 椅子采用钢木制作。 皮革软包坐垫</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W1400*D800</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H750(长*宽*高) ±100mm</w:t>
            </w:r>
          </w:p>
        </w:tc>
      </w:tr>
      <w:tr w14:paraId="35DA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74" w:type="dxa"/>
            <w:shd w:val="clear" w:color="000000" w:fill="FFFFFF"/>
            <w:noWrap w:val="0"/>
            <w:vAlign w:val="center"/>
          </w:tcPr>
          <w:p w14:paraId="2957FCFD">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39</w:t>
            </w:r>
          </w:p>
        </w:tc>
        <w:tc>
          <w:tcPr>
            <w:tcW w:w="1973" w:type="dxa"/>
            <w:noWrap w:val="0"/>
            <w:vAlign w:val="center"/>
          </w:tcPr>
          <w:p w14:paraId="6E40171C">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定制2人桌椅（含阅读椅）</w:t>
            </w:r>
          </w:p>
        </w:tc>
        <w:tc>
          <w:tcPr>
            <w:tcW w:w="6095" w:type="dxa"/>
            <w:noWrap w:val="0"/>
            <w:vAlign w:val="center"/>
          </w:tcPr>
          <w:p w14:paraId="4448E58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桌面采用多层实木板，桌架采用冷轧钢板。 椅子采用钢木制作。 皮革软包坐垫</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W1000*D800</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H750(长*宽*高) ±100mm</w:t>
            </w:r>
          </w:p>
        </w:tc>
      </w:tr>
      <w:tr w14:paraId="1DD2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74" w:type="dxa"/>
            <w:shd w:val="clear" w:color="000000" w:fill="FFFFFF"/>
            <w:noWrap w:val="0"/>
            <w:vAlign w:val="center"/>
          </w:tcPr>
          <w:p w14:paraId="1458DC87">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40 </w:t>
            </w:r>
          </w:p>
        </w:tc>
        <w:tc>
          <w:tcPr>
            <w:tcW w:w="1973" w:type="dxa"/>
            <w:noWrap w:val="0"/>
            <w:vAlign w:val="center"/>
          </w:tcPr>
          <w:p w14:paraId="036D3DA9">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定制小黑板</w:t>
            </w:r>
          </w:p>
        </w:tc>
        <w:tc>
          <w:tcPr>
            <w:tcW w:w="6095" w:type="dxa"/>
            <w:noWrap w:val="0"/>
            <w:vAlign w:val="center"/>
          </w:tcPr>
          <w:p w14:paraId="3B9B0E7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定制小黑板 1000*500±100mm</w:t>
            </w:r>
          </w:p>
        </w:tc>
      </w:tr>
      <w:tr w14:paraId="3131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66B9FEF4">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41 </w:t>
            </w:r>
          </w:p>
        </w:tc>
        <w:tc>
          <w:tcPr>
            <w:tcW w:w="1973" w:type="dxa"/>
            <w:noWrap w:val="0"/>
            <w:vAlign w:val="center"/>
          </w:tcPr>
          <w:p w14:paraId="3525B0BF">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定制6人会议桌</w:t>
            </w:r>
          </w:p>
        </w:tc>
        <w:tc>
          <w:tcPr>
            <w:tcW w:w="6095" w:type="dxa"/>
            <w:noWrap w:val="0"/>
            <w:vAlign w:val="center"/>
          </w:tcPr>
          <w:p w14:paraId="6575055A">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1定制会议桌、规格：W2400*D800</w:t>
            </w:r>
            <w:r>
              <w:rPr>
                <w:rFonts w:hint="eastAsia" w:ascii="宋体" w:hAnsi="宋体" w:eastAsia="宋体" w:cs="宋体"/>
                <w:sz w:val="21"/>
                <w:szCs w:val="21"/>
                <w:lang w:eastAsia="zh-CN"/>
              </w:rPr>
              <w:br w:type="textWrapping"/>
            </w:r>
            <w:r>
              <w:rPr>
                <w:rFonts w:hint="eastAsia" w:ascii="宋体" w:hAnsi="宋体" w:eastAsia="宋体" w:cs="宋体"/>
                <w:sz w:val="21"/>
                <w:szCs w:val="21"/>
                <w:lang w:eastAsia="zh-CN"/>
              </w:rPr>
              <w:t>H750(长*宽*高) ±100mm</w:t>
            </w:r>
          </w:p>
        </w:tc>
      </w:tr>
      <w:tr w14:paraId="6805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4F13EBE9">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42</w:t>
            </w:r>
          </w:p>
        </w:tc>
        <w:tc>
          <w:tcPr>
            <w:tcW w:w="1973" w:type="dxa"/>
            <w:noWrap w:val="0"/>
            <w:vAlign w:val="center"/>
          </w:tcPr>
          <w:p w14:paraId="5C79F05E">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定制8人长条桌</w:t>
            </w:r>
          </w:p>
        </w:tc>
        <w:tc>
          <w:tcPr>
            <w:tcW w:w="6095" w:type="dxa"/>
            <w:noWrap w:val="0"/>
            <w:vAlign w:val="center"/>
          </w:tcPr>
          <w:p w14:paraId="7A13CD6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1定制会议桌、规格：W3300*D1000*H750(长*宽*高) ±100mm</w:t>
            </w:r>
          </w:p>
        </w:tc>
      </w:tr>
      <w:tr w14:paraId="772E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4" w:type="dxa"/>
            <w:shd w:val="clear" w:color="000000" w:fill="FFFFFF"/>
            <w:noWrap w:val="0"/>
            <w:vAlign w:val="center"/>
          </w:tcPr>
          <w:p w14:paraId="5ABB56AC">
            <w:pPr>
              <w:widowControl/>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43 </w:t>
            </w:r>
          </w:p>
        </w:tc>
        <w:tc>
          <w:tcPr>
            <w:tcW w:w="1973" w:type="dxa"/>
            <w:noWrap w:val="0"/>
            <w:vAlign w:val="center"/>
          </w:tcPr>
          <w:p w14:paraId="453B8BD4">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定制标准阅览椅</w:t>
            </w:r>
          </w:p>
        </w:tc>
        <w:tc>
          <w:tcPr>
            <w:tcW w:w="6095" w:type="dxa"/>
            <w:noWrap w:val="0"/>
            <w:vAlign w:val="center"/>
          </w:tcPr>
          <w:p w14:paraId="2C1149FD">
            <w:pPr>
              <w:widowControl/>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符合人体工学设计，                                                                                                                           参考规格：W560*D480*H780㎜(长*宽*高) ±100mm</w:t>
            </w:r>
          </w:p>
        </w:tc>
      </w:tr>
    </w:tbl>
    <w:p w14:paraId="3253B1D9">
      <w:pPr>
        <w:widowControl w:val="0"/>
        <w:ind w:firstLine="422" w:firstLineChars="200"/>
        <w:jc w:val="both"/>
        <w:rPr>
          <w:rFonts w:hint="eastAsia" w:ascii="宋体" w:hAnsi="宋体" w:eastAsia="宋体"/>
          <w:b/>
          <w:color w:val="FF0000"/>
          <w:kern w:val="2"/>
          <w:sz w:val="21"/>
          <w:szCs w:val="21"/>
          <w:highlight w:val="yellow"/>
          <w:lang w:eastAsia="zh-CN"/>
        </w:rPr>
      </w:pPr>
      <w:r>
        <w:rPr>
          <w:rFonts w:hint="eastAsia" w:ascii="宋体" w:hAnsi="宋体" w:eastAsia="宋体"/>
          <w:b/>
          <w:color w:val="FF0000"/>
          <w:kern w:val="2"/>
          <w:sz w:val="21"/>
          <w:szCs w:val="21"/>
          <w:lang w:eastAsia="zh-CN"/>
        </w:rPr>
        <w:t>1、带</w:t>
      </w:r>
      <w:r>
        <w:rPr>
          <w:rFonts w:hint="eastAsia" w:ascii="宋体" w:hAnsi="宋体" w:eastAsia="宋体"/>
          <w:b/>
          <w:bCs/>
          <w:color w:val="FF0000"/>
          <w:kern w:val="2"/>
          <w:sz w:val="21"/>
          <w:szCs w:val="21"/>
          <w:lang w:eastAsia="zh-CN"/>
        </w:rPr>
        <w:t>★</w:t>
      </w:r>
      <w:r>
        <w:rPr>
          <w:rFonts w:hint="eastAsia" w:ascii="宋体" w:hAnsi="宋体" w:eastAsia="宋体"/>
          <w:b/>
          <w:color w:val="FF0000"/>
          <w:kern w:val="2"/>
          <w:sz w:val="21"/>
          <w:szCs w:val="21"/>
          <w:lang w:eastAsia="zh-CN"/>
        </w:rPr>
        <w:t>号要求为不可偏离要求，如出现负偏离，将导致投标无效。带▲号参数为重要参数，其他参数（非▲号参数）为普通参数，如出现负偏离，将按照评分准则做扣分处理。</w:t>
      </w:r>
      <w:r>
        <w:rPr>
          <w:rFonts w:hint="eastAsia" w:ascii="宋体" w:hAnsi="宋体" w:eastAsia="宋体"/>
          <w:b/>
          <w:color w:val="FF0000"/>
          <w:kern w:val="2"/>
          <w:sz w:val="21"/>
          <w:szCs w:val="21"/>
          <w:highlight w:val="yellow"/>
          <w:lang w:eastAsia="zh-CN"/>
        </w:rPr>
        <w:t>如注明要求提供相关佐证材料的，需以佐证材料作为是否偏离的依据。</w:t>
      </w:r>
    </w:p>
    <w:p w14:paraId="040284DC">
      <w:pPr>
        <w:widowControl w:val="0"/>
        <w:spacing w:after="78"/>
        <w:ind w:firstLine="420" w:firstLineChars="200"/>
        <w:jc w:val="left"/>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2、所列的技术</w:t>
      </w:r>
      <w:r>
        <w:rPr>
          <w:rFonts w:ascii="Calibri" w:hAnsi="Calibri" w:eastAsia="宋体"/>
          <w:color w:val="FF0000"/>
          <w:kern w:val="2"/>
          <w:sz w:val="21"/>
          <w:szCs w:val="21"/>
          <w:lang w:eastAsia="zh-CN"/>
        </w:rPr>
        <w:t>参数</w:t>
      </w:r>
      <w:r>
        <w:rPr>
          <w:rFonts w:hint="eastAsia" w:ascii="Calibri" w:hAnsi="Calibri" w:eastAsia="宋体"/>
          <w:color w:val="FF0000"/>
          <w:kern w:val="2"/>
          <w:sz w:val="21"/>
          <w:szCs w:val="21"/>
          <w:lang w:eastAsia="zh-CN"/>
        </w:rPr>
        <w:t>需求中如出现品牌信息仅供参考，不作为参数要求，目的只为投标人更清楚地了解采购需求，投标人可提供其他品牌设备投标。</w:t>
      </w:r>
    </w:p>
    <w:p w14:paraId="2691C933">
      <w:pPr>
        <w:widowControl w:val="0"/>
        <w:spacing w:after="78"/>
        <w:ind w:firstLine="420" w:firstLineChars="200"/>
        <w:jc w:val="left"/>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3、如有</w:t>
      </w:r>
      <w:r>
        <w:rPr>
          <w:rFonts w:ascii="Calibri" w:hAnsi="Calibri" w:eastAsia="宋体"/>
          <w:color w:val="FF0000"/>
          <w:kern w:val="2"/>
          <w:sz w:val="21"/>
          <w:szCs w:val="21"/>
          <w:lang w:eastAsia="zh-CN"/>
        </w:rPr>
        <w:t>方案表述中有出现类似可实现、</w:t>
      </w:r>
      <w:r>
        <w:rPr>
          <w:rFonts w:hint="eastAsia" w:ascii="Calibri" w:hAnsi="Calibri" w:eastAsia="宋体"/>
          <w:color w:val="FF0000"/>
          <w:kern w:val="2"/>
          <w:sz w:val="21"/>
          <w:szCs w:val="21"/>
          <w:lang w:eastAsia="zh-CN"/>
        </w:rPr>
        <w:t>实现</w:t>
      </w:r>
      <w:r>
        <w:rPr>
          <w:rFonts w:ascii="Calibri" w:hAnsi="Calibri" w:eastAsia="宋体"/>
          <w:color w:val="FF0000"/>
          <w:kern w:val="2"/>
          <w:sz w:val="21"/>
          <w:szCs w:val="21"/>
          <w:lang w:eastAsia="zh-CN"/>
        </w:rPr>
        <w:t>、</w:t>
      </w:r>
      <w:r>
        <w:rPr>
          <w:rFonts w:hint="eastAsia" w:ascii="Calibri" w:hAnsi="Calibri" w:eastAsia="宋体"/>
          <w:color w:val="FF0000"/>
          <w:kern w:val="2"/>
          <w:sz w:val="21"/>
          <w:szCs w:val="21"/>
          <w:lang w:eastAsia="zh-CN"/>
        </w:rPr>
        <w:t>可</w:t>
      </w:r>
      <w:r>
        <w:rPr>
          <w:rFonts w:ascii="Calibri" w:hAnsi="Calibri" w:eastAsia="宋体"/>
          <w:color w:val="FF0000"/>
          <w:kern w:val="2"/>
          <w:sz w:val="21"/>
          <w:szCs w:val="21"/>
          <w:lang w:eastAsia="zh-CN"/>
        </w:rPr>
        <w:t>支持、支持</w:t>
      </w:r>
      <w:r>
        <w:rPr>
          <w:rFonts w:hint="eastAsia" w:ascii="Calibri" w:hAnsi="Calibri" w:eastAsia="宋体"/>
          <w:color w:val="FF0000"/>
          <w:kern w:val="2"/>
          <w:sz w:val="21"/>
          <w:szCs w:val="21"/>
          <w:lang w:eastAsia="zh-CN"/>
        </w:rPr>
        <w:t>等</w:t>
      </w:r>
      <w:r>
        <w:rPr>
          <w:rFonts w:ascii="Calibri" w:hAnsi="Calibri" w:eastAsia="宋体"/>
          <w:color w:val="FF0000"/>
          <w:kern w:val="2"/>
          <w:sz w:val="21"/>
          <w:szCs w:val="21"/>
          <w:lang w:eastAsia="zh-CN"/>
        </w:rPr>
        <w:t>描述的，均表示方案需要实现的功能或</w:t>
      </w:r>
      <w:r>
        <w:rPr>
          <w:rFonts w:hint="eastAsia" w:ascii="Calibri" w:hAnsi="Calibri" w:eastAsia="宋体"/>
          <w:color w:val="FF0000"/>
          <w:kern w:val="2"/>
          <w:sz w:val="21"/>
          <w:szCs w:val="21"/>
          <w:lang w:eastAsia="zh-CN"/>
        </w:rPr>
        <w:t>应满足的</w:t>
      </w:r>
      <w:r>
        <w:rPr>
          <w:rFonts w:ascii="Calibri" w:hAnsi="Calibri" w:eastAsia="宋体"/>
          <w:color w:val="FF0000"/>
          <w:kern w:val="2"/>
          <w:sz w:val="21"/>
          <w:szCs w:val="21"/>
          <w:lang w:eastAsia="zh-CN"/>
        </w:rPr>
        <w:t>要求，即项目在验收时无须增加其他</w:t>
      </w:r>
      <w:r>
        <w:rPr>
          <w:rFonts w:hint="eastAsia" w:ascii="Calibri" w:hAnsi="Calibri" w:eastAsia="宋体"/>
          <w:color w:val="FF0000"/>
          <w:kern w:val="2"/>
          <w:sz w:val="21"/>
          <w:szCs w:val="21"/>
          <w:lang w:eastAsia="zh-CN"/>
        </w:rPr>
        <w:t>额外</w:t>
      </w:r>
      <w:r>
        <w:rPr>
          <w:rFonts w:ascii="Calibri" w:hAnsi="Calibri" w:eastAsia="宋体"/>
          <w:color w:val="FF0000"/>
          <w:kern w:val="2"/>
          <w:sz w:val="21"/>
          <w:szCs w:val="21"/>
          <w:lang w:eastAsia="zh-CN"/>
        </w:rPr>
        <w:t>设备</w:t>
      </w:r>
      <w:r>
        <w:rPr>
          <w:rFonts w:hint="eastAsia" w:ascii="Calibri" w:hAnsi="Calibri" w:eastAsia="宋体"/>
          <w:color w:val="FF0000"/>
          <w:kern w:val="2"/>
          <w:sz w:val="21"/>
          <w:szCs w:val="21"/>
          <w:lang w:eastAsia="zh-CN"/>
        </w:rPr>
        <w:t>或</w:t>
      </w:r>
      <w:r>
        <w:rPr>
          <w:rFonts w:ascii="Calibri" w:hAnsi="Calibri" w:eastAsia="宋体"/>
          <w:color w:val="FF0000"/>
          <w:kern w:val="2"/>
          <w:sz w:val="21"/>
          <w:szCs w:val="21"/>
          <w:lang w:eastAsia="zh-CN"/>
        </w:rPr>
        <w:t>系统</w:t>
      </w:r>
      <w:r>
        <w:rPr>
          <w:rFonts w:hint="eastAsia" w:ascii="Calibri" w:hAnsi="Calibri" w:eastAsia="宋体"/>
          <w:color w:val="FF0000"/>
          <w:kern w:val="2"/>
          <w:sz w:val="21"/>
          <w:szCs w:val="21"/>
          <w:lang w:eastAsia="zh-CN"/>
        </w:rPr>
        <w:t>，</w:t>
      </w:r>
      <w:r>
        <w:rPr>
          <w:rFonts w:ascii="Calibri" w:hAnsi="Calibri" w:eastAsia="宋体"/>
          <w:color w:val="FF0000"/>
          <w:kern w:val="2"/>
          <w:sz w:val="21"/>
          <w:szCs w:val="21"/>
          <w:lang w:eastAsia="zh-CN"/>
        </w:rPr>
        <w:t>使用本项目中的设备或</w:t>
      </w:r>
      <w:r>
        <w:rPr>
          <w:rFonts w:hint="eastAsia" w:ascii="Calibri" w:hAnsi="Calibri" w:eastAsia="宋体"/>
          <w:color w:val="FF0000"/>
          <w:kern w:val="2"/>
          <w:sz w:val="21"/>
          <w:szCs w:val="21"/>
          <w:lang w:eastAsia="zh-CN"/>
        </w:rPr>
        <w:t>系统</w:t>
      </w:r>
      <w:r>
        <w:rPr>
          <w:rFonts w:ascii="Calibri" w:hAnsi="Calibri" w:eastAsia="宋体"/>
          <w:color w:val="FF0000"/>
          <w:kern w:val="2"/>
          <w:sz w:val="21"/>
          <w:szCs w:val="21"/>
          <w:lang w:eastAsia="zh-CN"/>
        </w:rPr>
        <w:t>即能实现</w:t>
      </w:r>
      <w:r>
        <w:rPr>
          <w:rFonts w:hint="eastAsia" w:ascii="Calibri" w:hAnsi="Calibri" w:eastAsia="宋体"/>
          <w:color w:val="FF0000"/>
          <w:kern w:val="2"/>
          <w:sz w:val="21"/>
          <w:szCs w:val="21"/>
          <w:lang w:eastAsia="zh-CN"/>
        </w:rPr>
        <w:t>相应功能</w:t>
      </w:r>
      <w:r>
        <w:rPr>
          <w:rFonts w:ascii="Calibri" w:hAnsi="Calibri" w:eastAsia="宋体"/>
          <w:color w:val="FF0000"/>
          <w:kern w:val="2"/>
          <w:sz w:val="21"/>
          <w:szCs w:val="21"/>
          <w:lang w:eastAsia="zh-CN"/>
        </w:rPr>
        <w:t>或</w:t>
      </w:r>
      <w:r>
        <w:rPr>
          <w:rFonts w:hint="eastAsia" w:ascii="Calibri" w:hAnsi="Calibri" w:eastAsia="宋体"/>
          <w:color w:val="FF0000"/>
          <w:kern w:val="2"/>
          <w:sz w:val="21"/>
          <w:szCs w:val="21"/>
          <w:lang w:eastAsia="zh-CN"/>
        </w:rPr>
        <w:t>满足相关</w:t>
      </w:r>
      <w:r>
        <w:rPr>
          <w:rFonts w:ascii="Calibri" w:hAnsi="Calibri" w:eastAsia="宋体"/>
          <w:color w:val="FF0000"/>
          <w:kern w:val="2"/>
          <w:sz w:val="21"/>
          <w:szCs w:val="21"/>
          <w:lang w:eastAsia="zh-CN"/>
        </w:rPr>
        <w:t>要求。</w:t>
      </w:r>
    </w:p>
    <w:p w14:paraId="6B1C342F">
      <w:pPr>
        <w:widowControl w:val="0"/>
        <w:spacing w:after="78"/>
        <w:ind w:firstLine="420" w:firstLineChars="200"/>
        <w:jc w:val="left"/>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4、针对招标文件产品技术参数如涉及相关既定值、单向范围值、区间范围值的，投标技术参数响应方式举例说明如下：</w:t>
      </w:r>
    </w:p>
    <w:p w14:paraId="516905E8">
      <w:pPr>
        <w:widowControl w:val="0"/>
        <w:spacing w:after="78"/>
        <w:jc w:val="left"/>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（1）涉及相关既定值的，例：招标技术参数要求值为“20L”，投标技术参数响应值与“20L”不一致的，均视为负偏离；</w:t>
      </w:r>
    </w:p>
    <w:p w14:paraId="4B277429">
      <w:pPr>
        <w:widowControl w:val="0"/>
        <w:spacing w:after="78"/>
        <w:jc w:val="left"/>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7EA750DC">
      <w:pPr>
        <w:widowControl w:val="0"/>
        <w:spacing w:after="78"/>
        <w:jc w:val="left"/>
        <w:rPr>
          <w:rFonts w:hint="eastAsia" w:ascii="Calibri" w:hAnsi="Calibri" w:eastAsia="黑体"/>
          <w:kern w:val="44"/>
          <w:sz w:val="21"/>
          <w:szCs w:val="44"/>
          <w:lang w:eastAsia="zh-CN"/>
        </w:rPr>
      </w:pPr>
      <w:r>
        <w:rPr>
          <w:rFonts w:ascii="Calibri" w:hAnsi="Calibri" w:eastAsia="宋体"/>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47218F6D">
      <w:pPr>
        <w:keepNext/>
        <w:keepLines/>
        <w:widowControl w:val="0"/>
        <w:spacing w:before="156" w:beforeLines="50" w:after="156" w:afterLines="50" w:line="416" w:lineRule="auto"/>
        <w:jc w:val="both"/>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六、投标报价要求</w:t>
      </w:r>
    </w:p>
    <w:p w14:paraId="64563308">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本项目服务费采用包干制，应包括服务成本、法定税费和利润。由响应供应商根据采购文件所提供的资料自行测算投标报价；一经中标，投标报价总价作为中标单位与采购单位签定的合同金额，合同期限内不做调整；</w:t>
      </w:r>
    </w:p>
    <w:p w14:paraId="6382138C">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2、响应供应商应根据其成本自行决定报价。评审小组认为响应供应商的报价明显低于其他通过符合性审查响应供应商的报价，有可能影响服务质量或不能诚信履约的，将会要求该响应供应商在评审现场合理的时间内提供书面说明，必要时提交相关证明材料。响应供应商不能证明其报价合理性的，评审委员会应将其作为无效投标处理。若评审小组对是否须由响应供应商作出报价合理性说明，以及书面说明是否采纳等判断不一致的，按照“少数服从多数”的原则确定评审小组的意见。</w:t>
      </w:r>
    </w:p>
    <w:p w14:paraId="6FE999F2">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3、如果中标价低于财政预算限额的70%，该项目将被列为优先实施履约检查的项目。</w:t>
      </w:r>
    </w:p>
    <w:p w14:paraId="397B44B7">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4、响应供应商的投标报价不得超过财政预算限额，如设投标最高限价的，报价不得超过最高限价；</w:t>
      </w:r>
    </w:p>
    <w:p w14:paraId="124B02BD">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5、响应供应商的投标报价，应是本项目采购范围和采购文件及合同条款上所列的各项内容中所述的全部，不得以任何理由予以重复，并以响应供应商在中提出的综合单价或总价为依据；</w:t>
      </w:r>
    </w:p>
    <w:p w14:paraId="73DA045C">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6、除非龙华区教育系统通过修改采购文件予以更正，否则，响应供应商应毫无例外地按采购文件所列的清单中项目和数量填报综合单价和合价。响应供应商未填综合单价或合价的项目，视作该项费用已包括在其它有价款的综合单价或合价内；</w:t>
      </w:r>
    </w:p>
    <w:p w14:paraId="00074B0B">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7、响应供应商应先到项目地点踏勘以充分了解项目的位置、情况、道路及任何其它足以影响投标报价的情况，任何因忽视或误解项目情况而导致的索赔或服务期限延长申请将不获批准；</w:t>
      </w:r>
    </w:p>
    <w:p w14:paraId="416E5C93">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8、响应供应商不得期望通过索赔等方式获取补偿，否则，除可能遭到拒绝外，还可能将被作为不良行为记录在案，并可能影响其以后参加龙华区教育系统自行采购的项目投标。各响应供应商在投标报价时，应充分考虑投标报价的风险。</w:t>
      </w:r>
    </w:p>
    <w:p w14:paraId="788F34A1">
      <w:pPr>
        <w:keepNext/>
        <w:keepLines/>
        <w:widowControl w:val="0"/>
        <w:spacing w:before="156" w:beforeLines="50" w:after="156" w:afterLines="50" w:line="416" w:lineRule="auto"/>
        <w:jc w:val="both"/>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七、注意事项</w:t>
      </w:r>
    </w:p>
    <w:p w14:paraId="3BC2D39A">
      <w:pPr>
        <w:widowControl w:val="0"/>
        <w:ind w:firstLine="392" w:firstLineChars="187"/>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1、中标供应商不得将项目非法分包或转包给任何单位和个人。否则，采购单位有权即刻终止合同，并要求中标供应商赔偿相应损失。</w:t>
      </w:r>
    </w:p>
    <w:p w14:paraId="19ED0FE2">
      <w:pPr>
        <w:widowControl w:val="0"/>
        <w:ind w:firstLine="392" w:firstLineChars="187"/>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2、响应供应商使用的标准必须是国际公认或国家、或地方政府颁布的同等或更高的标准，如响应供应商使用的标准低于上述标准，评审委员会将有权不予接受，响应供应商必须列表将明显的差异详细说明。</w:t>
      </w:r>
    </w:p>
    <w:p w14:paraId="0CAEE761">
      <w:pPr>
        <w:widowControl w:val="0"/>
        <w:ind w:firstLine="420" w:firstLineChars="200"/>
        <w:jc w:val="both"/>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3、供应商须在质疑期内一次性提出针对同一采购程序环节的质疑。</w:t>
      </w:r>
    </w:p>
    <w:p w14:paraId="320BA53D">
      <w:pPr>
        <w:widowControl w:val="0"/>
        <w:ind w:firstLine="392" w:firstLineChars="187"/>
        <w:jc w:val="both"/>
        <w:rPr>
          <w:rFonts w:hint="eastAsia" w:ascii="Calibri" w:hAnsi="Calibri" w:eastAsia="宋体"/>
          <w:bCs/>
          <w:color w:val="FF0000"/>
          <w:kern w:val="2"/>
          <w:sz w:val="21"/>
          <w:szCs w:val="21"/>
          <w:lang w:eastAsia="zh-CN"/>
        </w:rPr>
      </w:pPr>
      <w:r>
        <w:rPr>
          <w:rFonts w:hint="eastAsia" w:ascii="Calibri" w:hAnsi="Calibri" w:eastAsia="宋体" w:cstheme="minorBidi"/>
          <w:bCs/>
          <w:color w:val="FF0000"/>
          <w:kern w:val="2"/>
          <w:sz w:val="21"/>
          <w:szCs w:val="21"/>
          <w:lang w:eastAsia="zh-CN"/>
        </w:rPr>
        <w:t>4、本项目按照深圳市龙华区教育局的相关采购规定执行，招标文件未明确的事项，参照政府采购有关法律法规执行</w:t>
      </w:r>
    </w:p>
    <w:p w14:paraId="3825C86F">
      <w:pPr>
        <w:widowControl w:val="0"/>
        <w:jc w:val="both"/>
        <w:rPr>
          <w:rFonts w:hint="eastAsia" w:ascii="宋体" w:hAnsi="宋体" w:eastAsia="宋体"/>
          <w:b/>
          <w:bCs/>
          <w:sz w:val="28"/>
          <w:szCs w:val="28"/>
          <w:lang w:eastAsia="zh-CN"/>
        </w:rPr>
      </w:pPr>
    </w:p>
    <w:p w14:paraId="1AAD7F69">
      <w:pPr>
        <w:keepNext/>
        <w:keepLines/>
        <w:widowControl w:val="0"/>
        <w:adjustRightInd w:val="0"/>
        <w:spacing w:line="320" w:lineRule="atLeast"/>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第四章</w:t>
      </w:r>
      <w:r>
        <w:rPr>
          <w:rFonts w:ascii="宋体" w:hAnsi="宋体" w:eastAsia="宋体"/>
          <w:b/>
          <w:bCs/>
          <w:sz w:val="28"/>
          <w:szCs w:val="28"/>
          <w:lang w:eastAsia="zh-CN"/>
        </w:rPr>
        <w:t xml:space="preserve"> </w:t>
      </w:r>
      <w:r>
        <w:rPr>
          <w:rFonts w:hint="eastAsia" w:ascii="宋体" w:hAnsi="宋体" w:eastAsia="宋体"/>
          <w:b/>
          <w:bCs/>
          <w:sz w:val="28"/>
          <w:szCs w:val="28"/>
          <w:lang w:eastAsia="zh-CN"/>
        </w:rPr>
        <w:t xml:space="preserve"> 投标文件组成要求及格式</w:t>
      </w:r>
    </w:p>
    <w:p w14:paraId="65F510BD">
      <w:pPr>
        <w:widowControl w:val="0"/>
        <w:spacing w:line="360" w:lineRule="auto"/>
        <w:jc w:val="both"/>
        <w:rPr>
          <w:rFonts w:ascii="Calibri" w:hAnsi="Calibri" w:eastAsia="宋体"/>
          <w:b/>
          <w:bCs/>
          <w:kern w:val="2"/>
          <w:szCs w:val="22"/>
          <w:lang w:eastAsia="zh-CN"/>
        </w:rPr>
      </w:pPr>
      <w:bookmarkStart w:id="15" w:name="_Hlk72257167"/>
    </w:p>
    <w:bookmarkEnd w:id="15"/>
    <w:p w14:paraId="54D49153">
      <w:pPr>
        <w:widowControl/>
        <w:spacing w:line="320" w:lineRule="atLeast"/>
        <w:jc w:val="left"/>
        <w:outlineLvl w:val="2"/>
        <w:rPr>
          <w:rFonts w:hint="eastAsia" w:ascii="宋体" w:hAnsi="宋体" w:eastAsia="黑体"/>
          <w:bCs/>
          <w:kern w:val="44"/>
          <w:lang w:eastAsia="zh-CN"/>
        </w:rPr>
      </w:pPr>
      <w:r>
        <w:rPr>
          <w:rFonts w:hint="eastAsia" w:ascii="宋体" w:hAnsi="宋体" w:eastAsia="黑体"/>
          <w:bCs/>
          <w:kern w:val="44"/>
          <w:lang w:eastAsia="zh-CN"/>
        </w:rPr>
        <w:t>投标文件组成：</w:t>
      </w:r>
    </w:p>
    <w:p w14:paraId="7497F9F0">
      <w:pPr>
        <w:widowControl w:val="0"/>
        <w:ind w:left="821" w:leftChars="342" w:firstLine="1417" w:firstLineChars="675"/>
        <w:jc w:val="both"/>
        <w:rPr>
          <w:rFonts w:ascii="Calibri" w:hAnsi="Calibri" w:eastAsia="宋体"/>
          <w:kern w:val="2"/>
          <w:sz w:val="21"/>
          <w:szCs w:val="21"/>
          <w:lang w:eastAsia="zh-CN"/>
        </w:rPr>
      </w:pPr>
      <w:bookmarkStart w:id="16" w:name="_Hlk72257771"/>
      <w:r>
        <w:rPr>
          <w:rFonts w:hint="eastAsia" w:ascii="Calibri" w:hAnsi="Calibri" w:eastAsia="宋体" w:cstheme="minorBidi"/>
          <w:kern w:val="2"/>
          <w:sz w:val="21"/>
          <w:szCs w:val="21"/>
          <w:lang w:eastAsia="zh-CN"/>
        </w:rPr>
        <w:t>（1）</w:t>
      </w:r>
      <w:bookmarkStart w:id="17" w:name="_Hlk72070784"/>
      <w:r>
        <w:rPr>
          <w:rFonts w:hint="eastAsia" w:ascii="Calibri" w:hAnsi="Calibri" w:eastAsia="宋体" w:cstheme="minorBidi"/>
          <w:kern w:val="2"/>
          <w:sz w:val="21"/>
          <w:szCs w:val="21"/>
          <w:lang w:eastAsia="zh-CN"/>
        </w:rPr>
        <w:t>投标函</w:t>
      </w:r>
      <w:bookmarkEnd w:id="17"/>
    </w:p>
    <w:p w14:paraId="7811BC38">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w:t>
      </w:r>
      <w:bookmarkStart w:id="18" w:name="_Hlk72062521"/>
      <w:r>
        <w:rPr>
          <w:rFonts w:hint="eastAsia" w:ascii="Calibri" w:hAnsi="Calibri" w:eastAsia="宋体" w:cstheme="minorBidi"/>
          <w:kern w:val="2"/>
          <w:sz w:val="21"/>
          <w:szCs w:val="21"/>
          <w:lang w:eastAsia="zh-CN"/>
        </w:rPr>
        <w:t>政府采购投标及履约承诺函</w:t>
      </w:r>
      <w:bookmarkEnd w:id="18"/>
    </w:p>
    <w:p w14:paraId="5B22CE24">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3</w:t>
      </w:r>
      <w:r>
        <w:rPr>
          <w:rFonts w:hint="eastAsia" w:ascii="Calibri" w:hAnsi="Calibri" w:eastAsia="宋体" w:cstheme="minorBidi"/>
          <w:kern w:val="2"/>
          <w:sz w:val="21"/>
          <w:szCs w:val="21"/>
          <w:lang w:eastAsia="zh-CN"/>
        </w:rPr>
        <w:t>）投标人情况及资格证明文件</w:t>
      </w:r>
    </w:p>
    <w:p w14:paraId="4FEF2306">
      <w:pPr>
        <w:widowControl w:val="0"/>
        <w:ind w:left="821" w:leftChars="342" w:firstLine="1417" w:firstLineChars="675"/>
        <w:jc w:val="both"/>
        <w:rPr>
          <w:rFonts w:ascii="Calibri" w:hAnsi="Calibri" w:eastAsia="宋体"/>
          <w:kern w:val="2"/>
          <w:sz w:val="21"/>
          <w:szCs w:val="21"/>
          <w:lang w:eastAsia="zh-CN"/>
        </w:rPr>
      </w:pPr>
      <w:bookmarkStart w:id="19" w:name="_Hlk72257201"/>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4</w:t>
      </w:r>
      <w:r>
        <w:rPr>
          <w:rFonts w:hint="eastAsia" w:ascii="Calibri" w:hAnsi="Calibri" w:eastAsia="宋体" w:cstheme="minorBidi"/>
          <w:kern w:val="2"/>
          <w:sz w:val="21"/>
          <w:szCs w:val="21"/>
          <w:lang w:eastAsia="zh-CN"/>
        </w:rPr>
        <w:t>）项目详细报价</w:t>
      </w:r>
    </w:p>
    <w:bookmarkEnd w:id="19"/>
    <w:p w14:paraId="13FDBF90">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（5）股东构成审查表</w:t>
      </w:r>
    </w:p>
    <w:p w14:paraId="6DD78985">
      <w:pPr>
        <w:widowControl w:val="0"/>
        <w:ind w:firstLine="2310" w:firstLineChars="1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（6）法定代表人（负责人）证明书</w:t>
      </w:r>
    </w:p>
    <w:p w14:paraId="434F56DB">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（7）投标文件签署授权委托书</w:t>
      </w:r>
    </w:p>
    <w:p w14:paraId="2A6BE1BE">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（8）实质性条款响应情况表</w:t>
      </w:r>
    </w:p>
    <w:p w14:paraId="069E6480">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（9）技术要求偏离表</w:t>
      </w:r>
    </w:p>
    <w:p w14:paraId="4D8B5EBC">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（10）商务要求偏离表</w:t>
      </w:r>
    </w:p>
    <w:p w14:paraId="2AD4383E">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（11）</w:t>
      </w:r>
      <w:r>
        <w:rPr>
          <w:rFonts w:hint="eastAsia" w:ascii="宋体" w:hAnsi="宋体" w:eastAsia="宋体" w:cs="宋体"/>
          <w:kern w:val="2"/>
          <w:sz w:val="21"/>
          <w:szCs w:val="21"/>
          <w:lang w:eastAsia="zh-CN"/>
        </w:rPr>
        <w:t>技术保障措施</w:t>
      </w:r>
    </w:p>
    <w:p w14:paraId="7EE1DB9F">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（12）施工安全保障措施</w:t>
      </w:r>
    </w:p>
    <w:p w14:paraId="3C7A7F14">
      <w:pPr>
        <w:widowControl w:val="0"/>
        <w:ind w:left="821" w:leftChars="342" w:firstLine="1417" w:firstLineChars="675"/>
        <w:jc w:val="both"/>
        <w:rPr>
          <w:rFonts w:hint="eastAsia" w:ascii="宋体" w:hAnsi="宋体" w:eastAsia="宋体" w:cs="宋体"/>
          <w:kern w:val="2"/>
          <w:sz w:val="21"/>
          <w:szCs w:val="21"/>
          <w:lang w:eastAsia="zh-CN"/>
        </w:rPr>
      </w:pPr>
      <w:r>
        <w:rPr>
          <w:rFonts w:hint="eastAsia" w:ascii="Calibri" w:hAnsi="Calibri" w:eastAsia="宋体" w:cstheme="minorBidi"/>
          <w:kern w:val="2"/>
          <w:sz w:val="21"/>
          <w:szCs w:val="21"/>
          <w:lang w:eastAsia="zh-CN"/>
        </w:rPr>
        <w:t>（13）设计方案</w:t>
      </w:r>
    </w:p>
    <w:p w14:paraId="5DDB60B8">
      <w:pPr>
        <w:widowControl w:val="0"/>
        <w:ind w:left="821" w:leftChars="342" w:firstLine="1417" w:firstLineChars="675"/>
        <w:jc w:val="both"/>
        <w:rPr>
          <w:rFonts w:hint="eastAsia" w:ascii="Calibri" w:hAnsi="Calibri" w:eastAsia="宋体" w:cs="宋体"/>
          <w:kern w:val="2"/>
          <w:sz w:val="21"/>
          <w:szCs w:val="21"/>
          <w:lang w:eastAsia="zh-CN"/>
        </w:rPr>
      </w:pPr>
      <w:r>
        <w:rPr>
          <w:rFonts w:hint="eastAsia" w:ascii="Calibri" w:hAnsi="Calibri" w:eastAsia="宋体" w:cs="宋体"/>
          <w:kern w:val="2"/>
          <w:sz w:val="21"/>
          <w:szCs w:val="21"/>
          <w:lang w:eastAsia="zh-CN"/>
        </w:rPr>
        <w:t>（14）技术力量（项目负责人除外）</w:t>
      </w:r>
    </w:p>
    <w:p w14:paraId="063F71D9">
      <w:pPr>
        <w:widowControl w:val="0"/>
        <w:ind w:left="821" w:leftChars="342" w:firstLine="1417" w:firstLineChars="675"/>
        <w:jc w:val="both"/>
        <w:rPr>
          <w:rFonts w:hint="eastAsia" w:ascii="宋体" w:hAnsi="宋体" w:eastAsia="宋体" w:cs="宋体"/>
          <w:kern w:val="2"/>
          <w:sz w:val="21"/>
          <w:szCs w:val="21"/>
          <w:lang w:eastAsia="zh-CN"/>
        </w:rPr>
      </w:pPr>
      <w:r>
        <w:rPr>
          <w:rFonts w:hint="eastAsia" w:ascii="Calibri" w:hAnsi="Calibri" w:eastAsia="宋体" w:cs="宋体"/>
          <w:kern w:val="2"/>
          <w:sz w:val="21"/>
          <w:szCs w:val="21"/>
          <w:lang w:eastAsia="zh-CN"/>
        </w:rPr>
        <w:t>（15）同类业绩</w:t>
      </w:r>
    </w:p>
    <w:p w14:paraId="0397CE80">
      <w:pPr>
        <w:widowControl w:val="0"/>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（16）现场勘查</w:t>
      </w:r>
    </w:p>
    <w:p w14:paraId="1E5674B5">
      <w:pPr>
        <w:widowControl w:val="0"/>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（17）诚信承诺函</w:t>
      </w:r>
    </w:p>
    <w:p w14:paraId="352C4CB3">
      <w:pPr>
        <w:widowControl w:val="0"/>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（18）投标人认为需要加以说明的其他内容</w:t>
      </w:r>
    </w:p>
    <w:p w14:paraId="6A54CB85">
      <w:pPr>
        <w:widowControl w:val="0"/>
        <w:spacing w:line="320" w:lineRule="atLeast"/>
        <w:jc w:val="both"/>
        <w:rPr>
          <w:rFonts w:hint="eastAsia" w:ascii="宋体" w:hAnsi="宋体" w:eastAsia="宋体"/>
          <w:b/>
          <w:kern w:val="2"/>
          <w:lang w:eastAsia="zh-CN"/>
        </w:rPr>
      </w:pPr>
      <w:r>
        <w:rPr>
          <w:rFonts w:hint="eastAsia" w:ascii="宋体" w:hAnsi="宋体" w:eastAsia="宋体" w:cstheme="minorBidi"/>
          <w:b/>
          <w:kern w:val="2"/>
          <w:lang w:eastAsia="zh-CN"/>
        </w:rPr>
        <w:t>备注：</w:t>
      </w:r>
    </w:p>
    <w:p w14:paraId="7F669DBA">
      <w:pPr>
        <w:widowControl w:val="0"/>
        <w:snapToGrid w:val="0"/>
        <w:spacing w:line="320" w:lineRule="atLeast"/>
        <w:ind w:firstLine="482" w:firstLineChars="200"/>
        <w:jc w:val="both"/>
        <w:rPr>
          <w:rFonts w:hint="eastAsia" w:ascii="宋体" w:hAnsi="宋体" w:eastAsia="宋体"/>
          <w:b/>
          <w:kern w:val="2"/>
          <w:lang w:eastAsia="zh-CN"/>
        </w:rPr>
      </w:pPr>
      <w:r>
        <w:rPr>
          <w:rFonts w:hint="eastAsia" w:ascii="宋体" w:hAnsi="宋体" w:eastAsia="宋体" w:cstheme="minorBidi"/>
          <w:b/>
          <w:kern w:val="2"/>
          <w:lang w:eastAsia="zh-CN"/>
        </w:rPr>
        <w:t>1.本项目为网上电子投标项目，投标文件不需法人或授权委托人另行签字，无需加盖单位公章，招标文件另有规定的除外。</w:t>
      </w:r>
    </w:p>
    <w:p w14:paraId="346B9FA8">
      <w:pPr>
        <w:widowControl w:val="0"/>
        <w:snapToGrid w:val="0"/>
        <w:spacing w:after="78" w:afterLines="25"/>
        <w:ind w:firstLine="482" w:firstLineChars="200"/>
        <w:jc w:val="both"/>
        <w:rPr>
          <w:rFonts w:hint="eastAsia" w:ascii="宋体" w:hAnsi="宋体" w:eastAsia="黑体"/>
          <w:bCs/>
          <w:kern w:val="44"/>
          <w:sz w:val="32"/>
          <w:szCs w:val="32"/>
          <w:lang w:eastAsia="zh-CN"/>
        </w:rPr>
      </w:pPr>
      <w:bookmarkStart w:id="20" w:name="_Hlk72263559"/>
      <w:r>
        <w:rPr>
          <w:rFonts w:hint="eastAsia" w:ascii="宋体" w:hAnsi="宋体" w:eastAsia="宋体" w:cstheme="minorBidi"/>
          <w:b/>
          <w:kern w:val="2"/>
          <w:lang w:eastAsia="zh-CN"/>
        </w:rPr>
        <w:t>2.关于填写“开标一览表”的说明：“开标一览表”中除“投标总价”外，其他信息不作评审依据。</w:t>
      </w:r>
      <w:bookmarkEnd w:id="16"/>
      <w:bookmarkEnd w:id="20"/>
      <w:r>
        <w:rPr>
          <w:rFonts w:ascii="宋体" w:hAnsi="宋体" w:eastAsia="黑体"/>
          <w:bCs/>
          <w:kern w:val="44"/>
          <w:sz w:val="32"/>
          <w:szCs w:val="32"/>
          <w:lang w:eastAsia="zh-CN"/>
        </w:rPr>
        <w:br w:type="page"/>
      </w:r>
    </w:p>
    <w:p w14:paraId="11BC0E44">
      <w:pPr>
        <w:widowControl/>
        <w:jc w:val="left"/>
        <w:outlineLvl w:val="2"/>
        <w:rPr>
          <w:rFonts w:hint="eastAsia" w:ascii="宋体" w:hAnsi="宋体" w:eastAsia="宋体" w:cs="宋体"/>
          <w:b/>
          <w:color w:val="FF0000"/>
          <w:sz w:val="32"/>
          <w:szCs w:val="32"/>
          <w:lang w:eastAsia="zh-CN"/>
        </w:rPr>
      </w:pPr>
      <w:r>
        <w:rPr>
          <w:rFonts w:hint="eastAsia" w:ascii="宋体" w:hAnsi="宋体" w:eastAsia="宋体" w:cs="宋体"/>
          <w:b/>
          <w:color w:val="FF0000"/>
          <w:sz w:val="32"/>
          <w:szCs w:val="32"/>
          <w:lang w:eastAsia="zh-CN"/>
        </w:rPr>
        <w:t>（一）投标文件正文</w:t>
      </w:r>
    </w:p>
    <w:p w14:paraId="1627F05E">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一、投标函</w:t>
      </w:r>
    </w:p>
    <w:p w14:paraId="44706D2A">
      <w:pPr>
        <w:widowControl w:val="0"/>
        <w:spacing w:line="360" w:lineRule="auto"/>
        <w:jc w:val="both"/>
        <w:rPr>
          <w:rFonts w:hint="eastAsia" w:ascii="宋体" w:hAnsi="宋体" w:eastAsia="宋体"/>
          <w:kern w:val="2"/>
          <w:sz w:val="21"/>
          <w:szCs w:val="21"/>
          <w:lang w:eastAsia="zh-CN"/>
        </w:rPr>
      </w:pPr>
      <w:bookmarkStart w:id="21" w:name="_Hlk72257506"/>
      <w:r>
        <w:rPr>
          <w:rFonts w:hint="eastAsia" w:ascii="宋体" w:hAnsi="宋体" w:eastAsia="宋体" w:cstheme="minorBidi"/>
          <w:kern w:val="2"/>
          <w:sz w:val="21"/>
          <w:szCs w:val="21"/>
          <w:lang w:eastAsia="zh-CN"/>
        </w:rPr>
        <w:t>致：</w:t>
      </w:r>
      <w:r>
        <w:rPr>
          <w:rFonts w:hint="eastAsia" w:ascii="宋体" w:hAnsi="宋体" w:eastAsia="宋体" w:cstheme="minorBidi"/>
          <w:kern w:val="2"/>
          <w:sz w:val="21"/>
          <w:szCs w:val="21"/>
          <w:u w:val="single"/>
          <w:lang w:eastAsia="zh-CN"/>
        </w:rPr>
        <w:t>深圳市龙华区实验学校教育集团、</w:t>
      </w:r>
      <w:r>
        <w:rPr>
          <w:rFonts w:hint="eastAsia" w:ascii="宋体" w:hAnsi="宋体" w:eastAsia="宋体" w:cstheme="minorBidi"/>
          <w:color w:val="FF0000"/>
          <w:kern w:val="2"/>
          <w:sz w:val="21"/>
          <w:szCs w:val="21"/>
          <w:u w:val="single"/>
          <w:lang w:eastAsia="zh-CN"/>
        </w:rPr>
        <w:t>深圳市拓泰实业有限公司</w:t>
      </w:r>
      <w:r>
        <w:rPr>
          <w:rFonts w:hint="eastAsia" w:ascii="宋体" w:hAnsi="宋体" w:eastAsia="宋体" w:cstheme="minorBidi"/>
          <w:kern w:val="2"/>
          <w:sz w:val="21"/>
          <w:szCs w:val="21"/>
          <w:u w:val="single"/>
          <w:lang w:eastAsia="zh-CN"/>
        </w:rPr>
        <w:t xml:space="preserve">  </w:t>
      </w:r>
    </w:p>
    <w:p w14:paraId="55292845">
      <w:pPr>
        <w:widowControl w:val="0"/>
        <w:ind w:firstLine="420" w:firstLineChars="200"/>
        <w:jc w:val="both"/>
        <w:rPr>
          <w:rFonts w:hint="eastAsia" w:ascii="宋体" w:hAnsi="宋体" w:eastAsia="宋体"/>
          <w:kern w:val="2"/>
          <w:sz w:val="21"/>
          <w:szCs w:val="21"/>
          <w:lang w:eastAsia="zh-CN"/>
        </w:rPr>
      </w:pPr>
      <w:bookmarkStart w:id="22"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 xml:space="preserve">   （项目名称）   </w:t>
      </w:r>
      <w:r>
        <w:rPr>
          <w:rFonts w:hint="eastAsia" w:ascii="Calibri" w:hAnsi="Calibri" w:eastAsia="宋体" w:cstheme="minorBidi"/>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3" w:name="_Hlk72263588"/>
      <w:r>
        <w:rPr>
          <w:rFonts w:hint="eastAsia" w:ascii="Calibri" w:hAnsi="Calibri" w:eastAsia="宋体" w:cstheme="minorBidi"/>
          <w:kern w:val="2"/>
          <w:sz w:val="21"/>
          <w:szCs w:val="21"/>
          <w:lang w:eastAsia="zh-CN"/>
        </w:rPr>
        <w:t>愿意按照招标文件要求承包上述项目并修补其任何缺陷。</w:t>
      </w:r>
      <w:bookmarkEnd w:id="23"/>
    </w:p>
    <w:p w14:paraId="13231ABE">
      <w:pPr>
        <w:widowControl w:val="0"/>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24"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24"/>
    </w:p>
    <w:p w14:paraId="39902FF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0686E30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190C613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6AFCE472">
      <w:pPr>
        <w:widowControl w:val="0"/>
        <w:ind w:left="480" w:leftChars="200"/>
        <w:jc w:val="both"/>
        <w:rPr>
          <w:rFonts w:hint="eastAsia" w:ascii="宋体" w:hAnsi="宋体" w:eastAsia="宋体"/>
          <w:b/>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22"/>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w:t>
      </w:r>
      <w:r>
        <w:rPr>
          <w:rFonts w:hint="eastAsia" w:ascii="宋体" w:hAnsi="宋体" w:eastAsia="宋体" w:cstheme="minorBidi"/>
          <w:b/>
          <w:kern w:val="2"/>
          <w:sz w:val="21"/>
          <w:szCs w:val="21"/>
          <w:lang w:eastAsia="zh-CN"/>
        </w:rPr>
        <w:t>深圳市拓泰实业有限公司</w:t>
      </w:r>
      <w:r>
        <w:rPr>
          <w:rFonts w:ascii="宋体" w:hAnsi="宋体" w:eastAsia="宋体" w:cstheme="minorBidi"/>
          <w:b/>
          <w:kern w:val="2"/>
          <w:sz w:val="21"/>
          <w:szCs w:val="21"/>
          <w:lang w:eastAsia="zh-CN"/>
        </w:rPr>
        <w:t>对我单位提交的样品进行清理。</w:t>
      </w:r>
    </w:p>
    <w:p w14:paraId="044AF06C">
      <w:pPr>
        <w:widowControl w:val="0"/>
        <w:ind w:left="480" w:leftChars="200" w:firstLine="210" w:firstLineChars="100"/>
        <w:jc w:val="both"/>
        <w:rPr>
          <w:rFonts w:ascii="Calibri" w:hAnsi="Calibri" w:eastAsia="宋体"/>
          <w:kern w:val="2"/>
          <w:sz w:val="21"/>
          <w:szCs w:val="21"/>
          <w:lang w:eastAsia="zh-CN"/>
        </w:rPr>
      </w:pPr>
    </w:p>
    <w:p w14:paraId="2ED4389F">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  </w:t>
      </w:r>
    </w:p>
    <w:p w14:paraId="1D0A7871">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单位地址：</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6F04C52A">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法定代表人（负责人）或其授权委托代理人：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072D141">
      <w:pPr>
        <w:widowControl w:val="0"/>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12D4A067">
      <w:pPr>
        <w:widowControl w:val="0"/>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开户银行账号：</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08230183">
      <w:pPr>
        <w:widowControl w:val="0"/>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邮政编码：</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电话：</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传真：</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w:t>
      </w:r>
    </w:p>
    <w:p w14:paraId="2B1B5B0F">
      <w:pPr>
        <w:widowControl w:val="0"/>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日</w:t>
      </w:r>
      <w:r>
        <w:rPr>
          <w:rFonts w:hint="eastAsia" w:ascii="Calibri" w:hAnsi="Calibri" w:eastAsia="宋体" w:cstheme="minorBidi"/>
          <w:kern w:val="2"/>
          <w:szCs w:val="22"/>
          <w:lang w:eastAsia="zh-CN"/>
        </w:rPr>
        <w:t xml:space="preserve">                                </w:t>
      </w:r>
    </w:p>
    <w:p w14:paraId="44C44F01">
      <w:pPr>
        <w:widowControl w:val="0"/>
        <w:jc w:val="both"/>
        <w:rPr>
          <w:rFonts w:hint="eastAsia" w:ascii="黑体" w:hAnsi="宋体" w:eastAsia="黑体"/>
          <w:kern w:val="2"/>
          <w:sz w:val="21"/>
          <w:szCs w:val="22"/>
          <w:lang w:eastAsia="zh-CN"/>
        </w:rPr>
      </w:pPr>
    </w:p>
    <w:p w14:paraId="5DE22741">
      <w:pPr>
        <w:widowControl w:val="0"/>
        <w:jc w:val="both"/>
        <w:rPr>
          <w:rFonts w:hint="eastAsia" w:ascii="黑体" w:hAnsi="宋体" w:eastAsia="黑体"/>
          <w:kern w:val="2"/>
          <w:sz w:val="21"/>
          <w:szCs w:val="22"/>
          <w:lang w:eastAsia="zh-CN"/>
        </w:rPr>
      </w:pPr>
    </w:p>
    <w:bookmarkEnd w:id="21"/>
    <w:p w14:paraId="65CECE51">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br w:type="page"/>
      </w:r>
      <w:r>
        <w:rPr>
          <w:rFonts w:hint="eastAsia" w:ascii="黑体" w:hAnsi="宋体" w:eastAsia="黑体" w:cstheme="minorBidi"/>
          <w:bCs/>
          <w:kern w:val="2"/>
          <w:szCs w:val="32"/>
          <w:lang w:eastAsia="zh-CN"/>
        </w:rPr>
        <w:t>二、政府采购投标及履约承诺函</w:t>
      </w:r>
    </w:p>
    <w:p w14:paraId="3D31E68E">
      <w:pPr>
        <w:widowControl w:val="0"/>
        <w:jc w:val="both"/>
        <w:rPr>
          <w:rFonts w:hint="eastAsia" w:ascii="宋体" w:hAnsi="宋体" w:eastAsia="宋体"/>
          <w:color w:val="FF0000"/>
          <w:kern w:val="2"/>
          <w:sz w:val="21"/>
          <w:szCs w:val="21"/>
          <w:lang w:eastAsia="zh-CN"/>
        </w:rPr>
      </w:pPr>
      <w:bookmarkStart w:id="25" w:name="_Hlk72257530"/>
      <w:r>
        <w:rPr>
          <w:rFonts w:hint="eastAsia" w:ascii="宋体" w:hAnsi="宋体" w:eastAsia="宋体" w:cstheme="minorBidi"/>
          <w:color w:val="FF0000"/>
          <w:kern w:val="2"/>
          <w:sz w:val="21"/>
          <w:szCs w:val="21"/>
          <w:lang w:eastAsia="zh-CN"/>
        </w:rPr>
        <w:t>致：</w:t>
      </w:r>
      <w:bookmarkStart w:id="109" w:name="_GoBack"/>
      <w:r>
        <w:rPr>
          <w:rFonts w:hint="eastAsia" w:ascii="宋体" w:hAnsi="宋体" w:eastAsia="宋体" w:cstheme="minorBidi"/>
          <w:color w:val="FF0000"/>
          <w:kern w:val="2"/>
          <w:sz w:val="21"/>
          <w:szCs w:val="21"/>
          <w:u w:val="single"/>
          <w:lang w:eastAsia="zh-CN"/>
        </w:rPr>
        <w:t>深圳市龙华区实验学校教育集团、</w:t>
      </w:r>
      <w:r>
        <w:rPr>
          <w:rFonts w:hint="eastAsia" w:ascii="宋体" w:hAnsi="宋体" w:eastAsia="宋体" w:cstheme="minorBidi"/>
          <w:color w:val="FF0000"/>
          <w:kern w:val="2"/>
          <w:sz w:val="21"/>
          <w:szCs w:val="21"/>
          <w:u w:val="single"/>
          <w:lang w:eastAsia="zh-CN"/>
        </w:rPr>
        <w:t>深圳</w:t>
      </w:r>
      <w:bookmarkEnd w:id="109"/>
      <w:r>
        <w:rPr>
          <w:rFonts w:hint="eastAsia" w:ascii="宋体" w:hAnsi="宋体" w:eastAsia="宋体" w:cstheme="minorBidi"/>
          <w:color w:val="FF0000"/>
          <w:kern w:val="2"/>
          <w:sz w:val="21"/>
          <w:szCs w:val="21"/>
          <w:u w:val="single"/>
          <w:lang w:eastAsia="zh-CN"/>
        </w:rPr>
        <w:t>市拓泰实业有限公司</w:t>
      </w:r>
    </w:p>
    <w:p w14:paraId="341DF79A">
      <w:pPr>
        <w:widowControl w:val="0"/>
        <w:ind w:right="-815"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14:paraId="6F1FF103">
      <w:pPr>
        <w:widowControl w:val="0"/>
        <w:ind w:firstLine="420" w:firstLineChars="200"/>
        <w:jc w:val="both"/>
        <w:rPr>
          <w:rFonts w:hint="eastAsia"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1.我单位参与本项目所投标（响应）的货物、工程或服务，不存在侵犯知识产权的情况。</w:t>
      </w:r>
    </w:p>
    <w:p w14:paraId="6ED69E6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政府采购活动时不存在被有关部门禁止参与政府采购活动且在有效期内的情况。</w:t>
      </w:r>
    </w:p>
    <w:p w14:paraId="114C80DE">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14:paraId="348FA0FF">
      <w:pPr>
        <w:widowControl w:val="0"/>
        <w:ind w:firstLine="420" w:firstLineChars="20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 xml:space="preserve">未被列入失信被执行人、重大税收违法案件当事人名单、政府采购严重违法失信行为记录名单。 </w:t>
      </w:r>
    </w:p>
    <w:p w14:paraId="524EA1C9">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14:paraId="1633A3F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26" w:name="_Hlk72587269"/>
      <w:bookmarkStart w:id="27" w:name="_Hlk72587299"/>
      <w:r>
        <w:rPr>
          <w:rFonts w:hint="eastAsia" w:ascii="宋体" w:hAnsi="宋体" w:eastAsia="宋体" w:cstheme="minorBidi"/>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6"/>
      <w:r>
        <w:rPr>
          <w:rFonts w:hint="eastAsia" w:ascii="宋体" w:hAnsi="宋体" w:eastAsia="宋体" w:cstheme="minorBidi"/>
          <w:kern w:val="2"/>
          <w:sz w:val="21"/>
          <w:szCs w:val="21"/>
          <w:lang w:eastAsia="zh-CN"/>
        </w:rPr>
        <w:t>。</w:t>
      </w:r>
    </w:p>
    <w:bookmarkEnd w:id="27"/>
    <w:p w14:paraId="46737319">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0B6D8C6">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24CBF8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5AD4A8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14:paraId="493CE789">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FCB8274">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4D693D52">
      <w:pPr>
        <w:widowControl w:val="0"/>
        <w:ind w:firstLine="420" w:firstLineChars="200"/>
        <w:jc w:val="both"/>
        <w:rPr>
          <w:rFonts w:hint="eastAsia"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14:paraId="6B2EB07C">
      <w:pPr>
        <w:widowControl w:val="0"/>
        <w:ind w:firstLine="420" w:firstLineChars="200"/>
        <w:jc w:val="both"/>
        <w:rPr>
          <w:rFonts w:hint="eastAsia"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cstheme="minorBidi"/>
          <w:bCs/>
          <w:color w:val="FF0000"/>
          <w:kern w:val="2"/>
          <w:sz w:val="21"/>
          <w:szCs w:val="22"/>
          <w:lang w:eastAsia="zh-CN"/>
        </w:rPr>
        <w:t>若存在“不同供应商的董事、股东或其他高级管理人员为同一人的”情形的，我单位保证不存在串通投标、恶意串通或者视为串通投标的情形。</w:t>
      </w:r>
    </w:p>
    <w:p w14:paraId="369B770A">
      <w:pPr>
        <w:widowControl w:val="0"/>
        <w:ind w:firstLine="422" w:firstLineChars="200"/>
        <w:jc w:val="both"/>
        <w:rPr>
          <w:rFonts w:hint="eastAsia" w:ascii="宋体" w:hAnsi="宋体" w:eastAsia="宋体"/>
          <w:b/>
          <w:kern w:val="2"/>
          <w:sz w:val="21"/>
          <w:szCs w:val="21"/>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027A4126">
      <w:pPr>
        <w:widowControl w:val="0"/>
        <w:ind w:firstLine="420" w:firstLineChars="200"/>
        <w:jc w:val="both"/>
        <w:rPr>
          <w:rFonts w:hint="eastAsia" w:ascii="宋体" w:hAnsi="宋体" w:eastAsia="宋体"/>
          <w:kern w:val="2"/>
          <w:sz w:val="21"/>
          <w:szCs w:val="22"/>
          <w:lang w:eastAsia="zh-CN"/>
        </w:rPr>
      </w:pPr>
    </w:p>
    <w:p w14:paraId="4B8F1CD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14:paraId="47AE36D7">
      <w:pPr>
        <w:widowControl w:val="0"/>
        <w:spacing w:before="78" w:beforeLines="25" w:after="78" w:afterLines="25"/>
        <w:ind w:firstLine="5460" w:firstLineChars="26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bookmarkEnd w:id="25"/>
    <w:p w14:paraId="6AF7CDC3">
      <w:pPr>
        <w:widowControl w:val="0"/>
        <w:spacing w:before="78" w:beforeLines="25" w:after="78" w:afterLines="25"/>
        <w:jc w:val="right"/>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1"/>
          <w:lang w:eastAsia="zh-CN"/>
        </w:rPr>
        <w:t>投标人：</w:t>
      </w:r>
      <w:r>
        <w:rPr>
          <w:rFonts w:hint="eastAsia" w:ascii="Calibri" w:hAnsi="Calibri" w:eastAsia="宋体" w:cstheme="minorBidi"/>
          <w:color w:val="FF0000"/>
          <w:kern w:val="2"/>
          <w:sz w:val="21"/>
          <w:szCs w:val="21"/>
          <w:u w:val="thick"/>
          <w:lang w:eastAsia="zh-CN"/>
        </w:rPr>
        <w:t xml:space="preserve">                           </w:t>
      </w:r>
      <w:r>
        <w:rPr>
          <w:rFonts w:hint="eastAsia" w:ascii="Calibri" w:hAnsi="Calibri" w:eastAsia="宋体" w:cstheme="minorBidi"/>
          <w:color w:val="FF0000"/>
          <w:kern w:val="2"/>
          <w:sz w:val="21"/>
          <w:szCs w:val="21"/>
          <w:lang w:eastAsia="zh-CN"/>
        </w:rPr>
        <w:t>.</w:t>
      </w:r>
    </w:p>
    <w:p w14:paraId="257FCAAF">
      <w:pPr>
        <w:widowControl w:val="0"/>
        <w:jc w:val="righ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日期：</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年</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月</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日</w:t>
      </w:r>
    </w:p>
    <w:p w14:paraId="45A4DF43">
      <w:pPr>
        <w:widowControl w:val="0"/>
        <w:ind w:firstLine="645"/>
        <w:jc w:val="both"/>
        <w:rPr>
          <w:rFonts w:hint="eastAsia" w:ascii="宋体" w:hAnsi="宋体" w:eastAsia="宋体"/>
          <w:kern w:val="2"/>
          <w:sz w:val="21"/>
          <w:szCs w:val="21"/>
          <w:lang w:eastAsia="zh-CN"/>
        </w:rPr>
      </w:pPr>
    </w:p>
    <w:p w14:paraId="6E3B5BDB">
      <w:pPr>
        <w:widowControl w:val="0"/>
        <w:jc w:val="both"/>
        <w:rPr>
          <w:rFonts w:ascii="宋体" w:hAnsi="Calibri" w:eastAsia="宋体"/>
          <w:b/>
          <w:kern w:val="2"/>
          <w:sz w:val="21"/>
          <w:szCs w:val="21"/>
          <w:lang w:eastAsia="zh-CN"/>
        </w:rPr>
      </w:pPr>
    </w:p>
    <w:p w14:paraId="4497F4B6">
      <w:pPr>
        <w:widowControl w:val="0"/>
        <w:ind w:firstLine="482" w:firstLineChars="200"/>
        <w:jc w:val="center"/>
        <w:rPr>
          <w:rFonts w:hint="eastAsia" w:ascii="Calibri" w:hAnsi="宋体" w:eastAsia="宋体"/>
          <w:b/>
          <w:bCs/>
          <w:kern w:val="2"/>
          <w:szCs w:val="22"/>
          <w:lang w:eastAsia="zh-CN"/>
        </w:rPr>
      </w:pPr>
    </w:p>
    <w:p w14:paraId="6A8A9481">
      <w:pPr>
        <w:keepNext/>
        <w:keepLines/>
        <w:widowControl w:val="0"/>
        <w:spacing w:before="260" w:after="260" w:line="240" w:lineRule="auto"/>
        <w:jc w:val="center"/>
        <w:outlineLvl w:val="2"/>
        <w:rPr>
          <w:rFonts w:hint="eastAsia" w:ascii="黑体" w:hAnsi="宋体" w:eastAsia="黑体"/>
          <w:bCs/>
          <w:kern w:val="2"/>
          <w:lang w:eastAsia="zh-CN"/>
        </w:rPr>
      </w:pPr>
      <w:r>
        <w:rPr>
          <w:rFonts w:hint="eastAsia" w:ascii="黑体" w:hAnsi="宋体" w:eastAsia="黑体" w:cstheme="minorBidi"/>
          <w:bCs/>
          <w:kern w:val="2"/>
          <w:lang w:eastAsia="zh-CN"/>
        </w:rPr>
        <w:t>三、投标人情况及资格证明文件</w:t>
      </w:r>
    </w:p>
    <w:p w14:paraId="0D5DF3AB">
      <w:pPr>
        <w:widowControl w:val="0"/>
        <w:jc w:val="both"/>
        <w:rPr>
          <w:rFonts w:ascii="Calibri" w:hAnsi="Calibri" w:eastAsia="宋体"/>
          <w:b/>
          <w:bCs/>
          <w:kern w:val="2"/>
          <w:szCs w:val="22"/>
          <w:lang w:eastAsia="zh-CN"/>
        </w:rPr>
      </w:pPr>
    </w:p>
    <w:p w14:paraId="645BAE8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信用信息证明材料</w:t>
      </w:r>
    </w:p>
    <w:p w14:paraId="26D9FB9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查询要求（未按要求提供材料的，视为投标无效）：</w:t>
      </w:r>
    </w:p>
    <w:p w14:paraId="45DE86B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信用信息查询需登录信用中国查询网址www.creditchina.gov.cn、中国政府采购网查询网址www.ccgp.gov.cn下载企业信用信息，信用文档需体现信用中国、中国政府采购网站标志、投标人在信用中国的查询结果信息、报告生成时间（需下载完整的报告，以下截图为首页模板）。</w:t>
      </w:r>
    </w:p>
    <w:p w14:paraId="626F99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（2）信用信息生成时间须为采购公告发布之日后。</w:t>
      </w:r>
    </w:p>
    <w:p w14:paraId="3CA0CAF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（3）如查询结果存在“列入失信被执行人、重大税收违法案件当事人名单、政府采购严重违法失信行为记录名单”的，且仍处在有效时段及范围内的，则不符合投标人资格要求，其投标文件将被否决。</w:t>
      </w:r>
    </w:p>
    <w:p w14:paraId="3AD687B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（4）采购人、</w:t>
      </w:r>
      <w:r>
        <w:rPr>
          <w:rFonts w:hint="eastAsia" w:ascii="宋体" w:hAnsi="宋体" w:cs="宋体"/>
          <w:highlight w:val="none"/>
          <w:lang w:val="en-US" w:eastAsia="zh-CN"/>
        </w:rPr>
        <w:t>深圳市拓泰实业有限公司</w:t>
      </w:r>
      <w:r>
        <w:rPr>
          <w:rFonts w:hint="eastAsia" w:ascii="宋体" w:hAnsi="宋体" w:eastAsia="宋体" w:cs="宋体"/>
          <w:highlight w:val="none"/>
          <w:lang w:val="en-US" w:eastAsia="zh-CN"/>
        </w:rPr>
        <w:t>有权对该截图的真实性进行核实。</w:t>
      </w:r>
    </w:p>
    <w:p w14:paraId="389716DF">
      <w:pPr>
        <w:widowControl w:val="0"/>
        <w:jc w:val="both"/>
        <w:rPr>
          <w:rFonts w:ascii="Calibri" w:hAnsi="Calibri" w:eastAsia="宋体"/>
          <w:b/>
          <w:bCs/>
          <w:kern w:val="2"/>
          <w:szCs w:val="22"/>
          <w:lang w:eastAsia="zh-CN"/>
        </w:rPr>
      </w:pPr>
      <w:r>
        <w:rPr>
          <w:rFonts w:hint="eastAsia" w:ascii="宋体" w:hAnsi="宋体" w:eastAsia="宋体" w:cs="宋体"/>
          <w:color w:val="auto"/>
          <w:highlight w:val="none"/>
        </w:rPr>
        <w:drawing>
          <wp:inline distT="0" distB="0" distL="114300" distR="114300">
            <wp:extent cx="5265420" cy="2830830"/>
            <wp:effectExtent l="0" t="0" r="11430" b="7620"/>
            <wp:docPr id="5" name="图片 4" descr="查询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查询截图"/>
                    <pic:cNvPicPr>
                      <a:picLocks noChangeAspect="1"/>
                    </pic:cNvPicPr>
                  </pic:nvPicPr>
                  <pic:blipFill>
                    <a:blip r:embed="rId6"/>
                    <a:stretch>
                      <a:fillRect/>
                    </a:stretch>
                  </pic:blipFill>
                  <pic:spPr>
                    <a:xfrm>
                      <a:off x="0" y="0"/>
                      <a:ext cx="5265420" cy="2830830"/>
                    </a:xfrm>
                    <a:prstGeom prst="rect">
                      <a:avLst/>
                    </a:prstGeom>
                    <a:noFill/>
                    <a:ln>
                      <a:noFill/>
                    </a:ln>
                  </pic:spPr>
                </pic:pic>
              </a:graphicData>
            </a:graphic>
          </wp:inline>
        </w:drawing>
      </w:r>
      <w:r>
        <w:rPr>
          <w:rFonts w:hint="eastAsia" w:ascii="宋体" w:hAnsi="宋体" w:eastAsia="宋体" w:cs="宋体"/>
          <w:b/>
          <w:bCs/>
          <w:sz w:val="24"/>
          <w:szCs w:val="24"/>
          <w:highlight w:val="none"/>
        </w:rPr>
        <w:drawing>
          <wp:inline distT="0" distB="0" distL="114300" distR="114300">
            <wp:extent cx="4229735" cy="5253355"/>
            <wp:effectExtent l="0" t="0" r="18415" b="4445"/>
            <wp:docPr id="6" name="图片 5" descr="1572336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572336271(1)"/>
                    <pic:cNvPicPr>
                      <a:picLocks noChangeAspect="1"/>
                    </pic:cNvPicPr>
                  </pic:nvPicPr>
                  <pic:blipFill>
                    <a:blip r:embed="rId7"/>
                    <a:stretch>
                      <a:fillRect/>
                    </a:stretch>
                  </pic:blipFill>
                  <pic:spPr>
                    <a:xfrm>
                      <a:off x="0" y="0"/>
                      <a:ext cx="4229735" cy="5253355"/>
                    </a:xfrm>
                    <a:prstGeom prst="rect">
                      <a:avLst/>
                    </a:prstGeom>
                    <a:noFill/>
                    <a:ln>
                      <a:noFill/>
                    </a:ln>
                  </pic:spPr>
                </pic:pic>
              </a:graphicData>
            </a:graphic>
          </wp:inline>
        </w:drawing>
      </w:r>
      <w:r>
        <w:rPr>
          <w:rFonts w:hint="eastAsia" w:ascii="宋体" w:hAnsi="宋体" w:eastAsia="宋体" w:cs="宋体"/>
          <w:highlight w:val="none"/>
        </w:rPr>
        <w:drawing>
          <wp:inline distT="0" distB="0" distL="114300" distR="114300">
            <wp:extent cx="5273040" cy="3253740"/>
            <wp:effectExtent l="0" t="0" r="381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3040" cy="3253740"/>
                    </a:xfrm>
                    <a:prstGeom prst="rect">
                      <a:avLst/>
                    </a:prstGeom>
                    <a:noFill/>
                    <a:ln>
                      <a:noFill/>
                    </a:ln>
                  </pic:spPr>
                </pic:pic>
              </a:graphicData>
            </a:graphic>
          </wp:inline>
        </w:drawing>
      </w:r>
    </w:p>
    <w:p w14:paraId="58A13DE0">
      <w:pPr>
        <w:widowControl w:val="0"/>
        <w:jc w:val="both"/>
        <w:rPr>
          <w:rFonts w:ascii="Calibri" w:hAnsi="Calibri" w:eastAsia="宋体"/>
          <w:b/>
          <w:bCs/>
          <w:kern w:val="2"/>
          <w:szCs w:val="22"/>
          <w:lang w:eastAsia="zh-CN"/>
        </w:rPr>
      </w:pPr>
    </w:p>
    <w:p w14:paraId="35B0DFD9">
      <w:pPr>
        <w:widowControl w:val="0"/>
        <w:ind w:firstLine="2640" w:firstLineChars="1100"/>
        <w:jc w:val="both"/>
        <w:outlineLvl w:val="3"/>
        <w:rPr>
          <w:rFonts w:hint="eastAsia" w:ascii="黑体" w:hAnsi="宋体" w:eastAsia="黑体"/>
          <w:bCs/>
          <w:szCs w:val="32"/>
          <w:lang w:eastAsia="zh-CN"/>
        </w:rPr>
      </w:pPr>
      <w:bookmarkStart w:id="28" w:name="_Hlk72257590"/>
      <w:r>
        <w:rPr>
          <w:rFonts w:hint="eastAsia" w:ascii="黑体" w:hAnsi="宋体" w:eastAsia="黑体" w:cstheme="minorBidi"/>
          <w:bCs/>
          <w:szCs w:val="32"/>
          <w:lang w:eastAsia="zh-CN"/>
        </w:rPr>
        <w:t>（一）投标人资格证明文件</w:t>
      </w:r>
    </w:p>
    <w:p w14:paraId="2F00D5B9">
      <w:pPr>
        <w:widowControl w:val="0"/>
        <w:spacing w:before="156"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5D2F719D">
      <w:pPr>
        <w:widowControl w:val="0"/>
        <w:jc w:val="both"/>
        <w:rPr>
          <w:rFonts w:ascii="Calibri" w:hAnsi="Calibri" w:eastAsia="宋体"/>
          <w:b/>
          <w:bCs/>
          <w:kern w:val="2"/>
          <w:szCs w:val="22"/>
          <w:lang w:eastAsia="zh-CN"/>
        </w:rPr>
      </w:pPr>
    </w:p>
    <w:p w14:paraId="2A941C7C">
      <w:pPr>
        <w:widowControl w:val="0"/>
        <w:ind w:firstLine="480" w:firstLineChars="200"/>
        <w:jc w:val="both"/>
        <w:outlineLvl w:val="3"/>
        <w:rPr>
          <w:rFonts w:hint="eastAsia" w:ascii="黑体" w:hAnsi="宋体" w:eastAsia="黑体"/>
          <w:bCs/>
          <w:szCs w:val="32"/>
          <w:lang w:eastAsia="zh-CN"/>
        </w:rPr>
      </w:pPr>
      <w:bookmarkStart w:id="29" w:name="_Hlk72257908"/>
      <w:r>
        <w:rPr>
          <w:rFonts w:hint="eastAsia" w:ascii="黑体" w:hAnsi="宋体" w:eastAsia="黑体" w:cstheme="minorBidi"/>
          <w:bCs/>
          <w:szCs w:val="32"/>
          <w:lang w:eastAsia="zh-CN"/>
        </w:rPr>
        <w:t>（二）中小企业声明函、残疾人福利性单位声明函及监狱企业声明函</w:t>
      </w:r>
    </w:p>
    <w:bookmarkEnd w:id="28"/>
    <w:p w14:paraId="4694DE8C">
      <w:pPr>
        <w:widowControl w:val="0"/>
        <w:jc w:val="left"/>
        <w:outlineLvl w:val="3"/>
        <w:rPr>
          <w:rFonts w:hint="eastAsia" w:ascii="黑体" w:hAnsi="宋体" w:eastAsia="黑体"/>
          <w:bCs/>
          <w:szCs w:val="32"/>
          <w:lang w:eastAsia="zh-CN"/>
        </w:rPr>
      </w:pPr>
    </w:p>
    <w:p w14:paraId="03DD45E9">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填写指引：</w:t>
      </w:r>
    </w:p>
    <w:p w14:paraId="765A95BC">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宋体" w:eastAsia="黑体" w:cstheme="minorBidi"/>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stheme="minorBidi"/>
          <w:color w:val="FF0000"/>
          <w:kern w:val="2"/>
          <w:sz w:val="21"/>
          <w:szCs w:val="21"/>
          <w:lang w:eastAsia="zh-CN"/>
        </w:rPr>
        <w:t>投标人提供的声明函不属实的，属于提供虚假资料谋取中标，依照《中华人民共和国政府采购法》等国家有关规定追究相应责任。</w:t>
      </w:r>
    </w:p>
    <w:p w14:paraId="3F7BBCB2">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2、该部分内容填写需要参考的相关文件：</w:t>
      </w:r>
    </w:p>
    <w:p w14:paraId="4895C825">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1</w:t>
      </w:r>
      <w:r>
        <w:rPr>
          <w:rFonts w:hint="eastAsia" w:ascii="黑体" w:hAnsi="黑体" w:eastAsia="黑体" w:cstheme="minorBidi"/>
          <w:color w:val="FF0000"/>
          <w:kern w:val="2"/>
          <w:sz w:val="21"/>
          <w:szCs w:val="21"/>
          <w:lang w:eastAsia="zh-CN"/>
        </w:rPr>
        <w:t>)财政部《政府采购促进中小企业发展管理办法》（财库〔2020〕46号）；</w:t>
      </w:r>
    </w:p>
    <w:p w14:paraId="24224957">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w:t>
      </w:r>
      <w:r>
        <w:rPr>
          <w:rFonts w:ascii="黑体" w:hAnsi="黑体" w:eastAsia="黑体" w:cstheme="minorBidi"/>
          <w:color w:val="FF0000"/>
          <w:kern w:val="2"/>
          <w:sz w:val="21"/>
          <w:szCs w:val="21"/>
          <w:lang w:eastAsia="zh-CN"/>
        </w:rPr>
        <w:t>2</w:t>
      </w:r>
      <w:r>
        <w:rPr>
          <w:rFonts w:hint="eastAsia" w:ascii="黑体" w:hAnsi="黑体" w:eastAsia="黑体" w:cstheme="minorBidi"/>
          <w:color w:val="FF0000"/>
          <w:kern w:val="2"/>
          <w:sz w:val="21"/>
          <w:szCs w:val="21"/>
          <w:lang w:eastAsia="zh-CN"/>
        </w:rPr>
        <w:t>)《工业和信息化部、国家统计局、国家发展和改革委员会、财政部关于印发中小企业划型标准规定的通知》（工信部联企业〔2011〕300 号，以下简称3</w:t>
      </w:r>
      <w:r>
        <w:rPr>
          <w:rFonts w:ascii="黑体" w:hAnsi="黑体" w:eastAsia="黑体" w:cstheme="minorBidi"/>
          <w:color w:val="FF0000"/>
          <w:kern w:val="2"/>
          <w:sz w:val="21"/>
          <w:szCs w:val="21"/>
          <w:lang w:eastAsia="zh-CN"/>
        </w:rPr>
        <w:t>00</w:t>
      </w:r>
      <w:r>
        <w:rPr>
          <w:rFonts w:hint="eastAsia" w:ascii="黑体" w:hAnsi="黑体" w:eastAsia="黑体" w:cstheme="minorBidi"/>
          <w:color w:val="FF0000"/>
          <w:kern w:val="2"/>
          <w:sz w:val="21"/>
          <w:szCs w:val="21"/>
          <w:lang w:eastAsia="zh-CN"/>
        </w:rPr>
        <w:t>号文）；</w:t>
      </w:r>
    </w:p>
    <w:p w14:paraId="6C0F3F61">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(3)《统计上大中小微型企业划分办法(2017)》（国统字〔2017〕213 号）；</w:t>
      </w:r>
    </w:p>
    <w:p w14:paraId="60D898F2">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(4)《关于促进残疾人就业政府采购政策的通知》（财库〔2017〕141号）；</w:t>
      </w:r>
    </w:p>
    <w:p w14:paraId="77267C66">
      <w:pPr>
        <w:widowControl w:val="0"/>
        <w:ind w:firstLine="420" w:firstLineChars="200"/>
        <w:jc w:val="both"/>
        <w:outlineLvl w:val="3"/>
        <w:rPr>
          <w:rFonts w:hint="eastAsia"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(5)《关于政府采购支持监狱企业发展有关问题的通知》（财库〔2014〕68号）</w:t>
      </w:r>
    </w:p>
    <w:p w14:paraId="108448B3">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3、请依照提供的格式和内容填写声明函，不要随意变更格式；声明函不需要盖章或签字；</w:t>
      </w:r>
      <w:r>
        <w:rPr>
          <w:rFonts w:hint="eastAsia" w:ascii="黑体" w:hAnsi="黑体" w:eastAsia="黑体" w:cstheme="minorBidi"/>
          <w:color w:val="FF0000"/>
          <w:kern w:val="2"/>
          <w:sz w:val="21"/>
          <w:szCs w:val="21"/>
          <w:lang w:eastAsia="zh-CN"/>
        </w:rPr>
        <w:t>满足多项优惠政策的投标人，不重复享受多项价格扣除政策。</w:t>
      </w:r>
    </w:p>
    <w:p w14:paraId="506853EC">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4、声明函具体填写要求：</w:t>
      </w:r>
    </w:p>
    <w:p w14:paraId="0D9B636F">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（1）声明是中小企业须填写《中小企业声明函》的以下内容：</w:t>
      </w:r>
    </w:p>
    <w:p w14:paraId="44351C34">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第一处，在“单位名称”下划线处如实填写采购人名称（深圳市拓泰实业有限公司不是本项目的采购人，而是采购代理机构）；</w:t>
      </w:r>
    </w:p>
    <w:p w14:paraId="28028C4F">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第二处，在“项目名称”下划线处如实填写采购项目名称；</w:t>
      </w:r>
    </w:p>
    <w:p w14:paraId="3DA0A5E4">
      <w:pPr>
        <w:widowControl w:val="0"/>
        <w:ind w:firstLine="420" w:firstLineChars="200"/>
        <w:jc w:val="both"/>
        <w:outlineLvl w:val="3"/>
        <w:rPr>
          <w:rFonts w:hint="eastAsia" w:ascii="黑体" w:hAnsi="宋体" w:eastAsia="黑体"/>
          <w:bCs/>
          <w:color w:val="FF0000"/>
          <w:sz w:val="21"/>
          <w:szCs w:val="21"/>
          <w:highlight w:val="yellow"/>
          <w:lang w:eastAsia="zh-CN"/>
        </w:rPr>
      </w:pPr>
      <w:r>
        <w:rPr>
          <w:rFonts w:hint="eastAsia" w:ascii="黑体" w:hAnsi="宋体" w:eastAsia="黑体" w:cstheme="minorBidi"/>
          <w:bCs/>
          <w:color w:val="FF0000"/>
          <w:sz w:val="21"/>
          <w:szCs w:val="21"/>
          <w:highlight w:val="yellow"/>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4CC30CF8">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1A65BE35">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256DC3C8">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（2）声明是残疾人福利性单位须填写《残疾人福利性单位声明函》的相关内容，具体参照以上《中小企业声明函》填写要求执行。</w:t>
      </w:r>
    </w:p>
    <w:p w14:paraId="3AF1198B">
      <w:pPr>
        <w:widowControl w:val="0"/>
        <w:ind w:firstLine="420" w:firstLineChars="200"/>
        <w:jc w:val="both"/>
        <w:outlineLvl w:val="3"/>
        <w:rPr>
          <w:rFonts w:hint="eastAsia"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（3）声明是监狱企业须填写《监狱企业声明函》的三项内容（填写位置的字体已加粗），具体参照以上《中小企业声明函》填写要求执行。</w:t>
      </w:r>
    </w:p>
    <w:p w14:paraId="65824DA3">
      <w:pPr>
        <w:widowControl w:val="0"/>
        <w:ind w:firstLine="420" w:firstLineChars="200"/>
        <w:jc w:val="both"/>
        <w:rPr>
          <w:rFonts w:ascii="Calibri" w:hAnsi="Calibri" w:eastAsia="宋体"/>
          <w:kern w:val="2"/>
          <w:sz w:val="21"/>
          <w:szCs w:val="22"/>
          <w:lang w:eastAsia="zh-CN"/>
        </w:rPr>
      </w:pPr>
      <w:r>
        <w:rPr>
          <w:rFonts w:hint="eastAsia" w:ascii="黑体" w:hAnsi="宋体" w:eastAsia="黑体" w:cstheme="minorBidi"/>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C633495">
      <w:pPr>
        <w:widowControl w:val="0"/>
        <w:ind w:firstLine="420" w:firstLineChars="200"/>
        <w:jc w:val="both"/>
        <w:rPr>
          <w:rFonts w:ascii="Calibri" w:hAnsi="Calibri" w:eastAsia="宋体"/>
          <w:kern w:val="2"/>
          <w:sz w:val="21"/>
          <w:szCs w:val="22"/>
          <w:lang w:eastAsia="zh-CN"/>
        </w:rPr>
      </w:pPr>
    </w:p>
    <w:p w14:paraId="7AA5C492">
      <w:pPr>
        <w:widowControl w:val="0"/>
        <w:numPr>
          <w:ilvl w:val="0"/>
          <w:numId w:val="1"/>
        </w:numPr>
        <w:jc w:val="center"/>
        <w:outlineLvl w:val="3"/>
        <w:rPr>
          <w:rFonts w:ascii="Calibri" w:hAnsi="Calibri" w:eastAsia="宋体"/>
          <w:b/>
          <w:kern w:val="2"/>
          <w:szCs w:val="22"/>
          <w:lang w:eastAsia="zh-CN"/>
        </w:rPr>
      </w:pPr>
      <w:r>
        <w:rPr>
          <w:rFonts w:ascii="Calibri" w:hAnsi="Calibri" w:eastAsia="宋体" w:cstheme="minorBidi"/>
          <w:b/>
          <w:kern w:val="2"/>
          <w:szCs w:val="22"/>
          <w:lang w:eastAsia="zh-CN"/>
        </w:rPr>
        <w:t>中小企业声明函（货物）</w:t>
      </w:r>
    </w:p>
    <w:p w14:paraId="5CD958C2">
      <w:pPr>
        <w:widowControl w:val="0"/>
        <w:spacing w:line="360" w:lineRule="auto"/>
        <w:jc w:val="both"/>
        <w:rPr>
          <w:rFonts w:ascii="Calibri" w:hAnsi="Calibri" w:eastAsia="宋体"/>
          <w:b/>
          <w:bCs/>
          <w:kern w:val="2"/>
          <w:szCs w:val="22"/>
          <w:lang w:eastAsia="zh-CN"/>
        </w:rPr>
      </w:pPr>
    </w:p>
    <w:p w14:paraId="7B869577">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529B413D">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6C09281E">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22EF0E60">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1579BD2C">
      <w:pPr>
        <w:widowControl w:val="0"/>
        <w:spacing w:line="360" w:lineRule="auto"/>
        <w:ind w:firstLine="420" w:firstLineChars="200"/>
        <w:jc w:val="both"/>
        <w:rPr>
          <w:rFonts w:hint="eastAsia" w:ascii="宋体" w:hAnsi="宋体" w:eastAsia="宋体" w:cs="宋体"/>
          <w:kern w:val="2"/>
          <w:sz w:val="21"/>
          <w:szCs w:val="21"/>
          <w:lang w:eastAsia="zh-CN"/>
        </w:rPr>
      </w:pPr>
    </w:p>
    <w:p w14:paraId="1E534C7C">
      <w:pPr>
        <w:widowControl w:val="0"/>
        <w:spacing w:line="360" w:lineRule="auto"/>
        <w:ind w:firstLine="420" w:firstLineChars="200"/>
        <w:jc w:val="both"/>
        <w:outlineLvl w:val="3"/>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7485C26A">
      <w:pPr>
        <w:widowControl w:val="0"/>
        <w:spacing w:line="360" w:lineRule="auto"/>
        <w:ind w:firstLine="420" w:firstLineChars="200"/>
        <w:jc w:val="both"/>
        <w:rPr>
          <w:rFonts w:hint="eastAsia" w:ascii="宋体" w:hAnsi="宋体" w:eastAsia="宋体" w:cs="宋体"/>
          <w:kern w:val="2"/>
          <w:sz w:val="21"/>
          <w:szCs w:val="21"/>
          <w:lang w:eastAsia="zh-CN"/>
        </w:rPr>
      </w:pPr>
      <w:bookmarkStart w:id="30" w:name="_Hlk73562203"/>
      <w:r>
        <w:rPr>
          <w:rFonts w:hint="eastAsia" w:ascii="宋体" w:hAnsi="宋体" w:eastAsia="宋体" w:cs="宋体"/>
          <w:kern w:val="2"/>
          <w:sz w:val="21"/>
          <w:szCs w:val="21"/>
          <w:lang w:eastAsia="zh-CN"/>
        </w:rPr>
        <w:t>本投标人对上述声明内容的真实性负责。如有虚假，将依法承担相应责任。</w:t>
      </w:r>
    </w:p>
    <w:p w14:paraId="67E7DBCA">
      <w:pPr>
        <w:widowControl w:val="0"/>
        <w:spacing w:line="360" w:lineRule="auto"/>
        <w:ind w:firstLine="420" w:firstLineChars="200"/>
        <w:jc w:val="both"/>
        <w:rPr>
          <w:rFonts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14:paraId="55B66D84">
      <w:pPr>
        <w:widowControl w:val="0"/>
        <w:ind w:firstLine="420" w:firstLineChars="200"/>
        <w:jc w:val="both"/>
        <w:outlineLvl w:val="3"/>
        <w:rPr>
          <w:rFonts w:hint="eastAsia" w:ascii="宋体" w:hAnsi="宋体" w:eastAsia="宋体"/>
          <w:bCs/>
          <w:color w:val="FF0000"/>
          <w:sz w:val="21"/>
          <w:szCs w:val="21"/>
          <w:lang w:eastAsia="zh-CN"/>
        </w:rPr>
      </w:pPr>
    </w:p>
    <w:p w14:paraId="290FFE5A">
      <w:pPr>
        <w:widowControl w:val="0"/>
        <w:jc w:val="both"/>
        <w:rPr>
          <w:rFonts w:ascii="Calibri" w:hAnsi="Calibri" w:eastAsia="宋体"/>
          <w:kern w:val="2"/>
          <w:sz w:val="21"/>
          <w:szCs w:val="22"/>
          <w:lang w:eastAsia="zh-CN"/>
        </w:rPr>
      </w:pPr>
    </w:p>
    <w:p w14:paraId="6EB1A4D3">
      <w:pPr>
        <w:widowControl w:val="0"/>
        <w:ind w:firstLine="420" w:firstLineChars="200"/>
        <w:jc w:val="both"/>
        <w:rPr>
          <w:rFonts w:ascii="Calibri" w:hAnsi="Calibri" w:eastAsia="宋体"/>
          <w:kern w:val="2"/>
          <w:sz w:val="21"/>
          <w:szCs w:val="22"/>
          <w:lang w:eastAsia="zh-CN"/>
        </w:rPr>
      </w:pPr>
    </w:p>
    <w:p w14:paraId="2BE04B30">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2、残疾人福利性单位声明函（货物类）</w:t>
      </w:r>
    </w:p>
    <w:p w14:paraId="57264BF4">
      <w:pPr>
        <w:widowControl w:val="0"/>
        <w:jc w:val="both"/>
        <w:rPr>
          <w:rFonts w:ascii="Calibri" w:hAnsi="Calibri" w:eastAsia="宋体"/>
          <w:b/>
          <w:bCs/>
          <w:kern w:val="2"/>
          <w:sz w:val="21"/>
          <w:szCs w:val="22"/>
          <w:lang w:eastAsia="zh-CN"/>
        </w:rPr>
      </w:pPr>
    </w:p>
    <w:p w14:paraId="284E453A">
      <w:pPr>
        <w:widowControl w:val="0"/>
        <w:spacing w:line="360" w:lineRule="auto"/>
        <w:ind w:firstLine="420" w:firstLineChars="200"/>
        <w:jc w:val="both"/>
        <w:rPr>
          <w:rFonts w:hint="eastAsia" w:ascii="宋体" w:hAnsi="宋体" w:eastAsia="宋体" w:cs="宋体"/>
          <w:kern w:val="2"/>
          <w:sz w:val="21"/>
          <w:szCs w:val="21"/>
          <w:lang w:eastAsia="zh-CN"/>
        </w:rPr>
      </w:pPr>
      <w:bookmarkStart w:id="31" w:name="_Hlk73562331"/>
      <w:bookmarkStart w:id="32" w:name="_Hlk73562245"/>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76A4FC8C">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6C341EFC">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31"/>
    </w:p>
    <w:bookmarkEnd w:id="32"/>
    <w:p w14:paraId="3D6FFAD8">
      <w:pPr>
        <w:widowControl w:val="0"/>
        <w:ind w:firstLine="420" w:firstLineChars="200"/>
        <w:jc w:val="both"/>
        <w:rPr>
          <w:rFonts w:hint="eastAsia" w:ascii="宋体" w:hAnsi="宋体" w:eastAsia="宋体"/>
          <w:kern w:val="2"/>
          <w:sz w:val="21"/>
          <w:szCs w:val="21"/>
          <w:lang w:eastAsia="zh-CN"/>
        </w:rPr>
      </w:pPr>
    </w:p>
    <w:p w14:paraId="7C366945">
      <w:pPr>
        <w:widowControl w:val="0"/>
        <w:ind w:firstLine="420" w:firstLineChars="200"/>
        <w:jc w:val="both"/>
        <w:rPr>
          <w:rFonts w:hint="eastAsia" w:ascii="宋体" w:hAnsi="宋体" w:eastAsia="宋体"/>
          <w:kern w:val="2"/>
          <w:sz w:val="21"/>
          <w:szCs w:val="21"/>
          <w:lang w:eastAsia="zh-CN"/>
        </w:rPr>
      </w:pPr>
    </w:p>
    <w:p w14:paraId="5D87599E">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14:paraId="16B23486">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本投标人郑重声明，根据《财政部司法部关于政府采购支持监狱企业发展有关问题的通知》（财库〔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采购人</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i/>
          <w:iCs/>
          <w:kern w:val="2"/>
          <w:sz w:val="21"/>
          <w:szCs w:val="21"/>
          <w:u w:val="single"/>
          <w:lang w:eastAsia="zh-CN"/>
        </w:rPr>
        <w:t>（项目名称）</w:t>
      </w:r>
      <w:r>
        <w:rPr>
          <w:rFonts w:ascii="宋体" w:hAnsi="宋体" w:eastAsia="宋体" w:cstheme="minorBidi"/>
          <w:kern w:val="2"/>
          <w:sz w:val="21"/>
          <w:szCs w:val="21"/>
          <w:lang w:eastAsia="zh-CN"/>
        </w:rPr>
        <w:t>采购活动，提供的货物全部由符合政策要求的</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制造。相关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14:paraId="428C133C">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ascii="宋体" w:hAnsi="宋体" w:eastAsia="宋体" w:cstheme="minorBidi"/>
          <w:kern w:val="2"/>
          <w:sz w:val="21"/>
          <w:szCs w:val="21"/>
          <w:lang w:eastAsia="zh-CN"/>
        </w:rPr>
        <w:t>；</w:t>
      </w:r>
    </w:p>
    <w:p w14:paraId="11BD89B5">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hint="eastAsia" w:ascii="宋体" w:hAnsi="宋体" w:eastAsia="宋体" w:cstheme="minorBidi"/>
          <w:kern w:val="2"/>
          <w:sz w:val="21"/>
          <w:szCs w:val="21"/>
          <w:lang w:eastAsia="zh-CN"/>
        </w:rPr>
        <w:t>。</w:t>
      </w:r>
    </w:p>
    <w:p w14:paraId="506F7A36">
      <w:pPr>
        <w:widowControl w:val="0"/>
        <w:spacing w:line="360" w:lineRule="auto"/>
        <w:ind w:firstLine="420" w:firstLineChars="200"/>
        <w:jc w:val="both"/>
        <w:outlineLvl w:val="3"/>
        <w:rPr>
          <w:rFonts w:hint="eastAsia" w:ascii="宋体" w:hAnsi="宋体" w:eastAsia="宋体"/>
          <w:kern w:val="2"/>
          <w:sz w:val="21"/>
          <w:szCs w:val="21"/>
          <w:lang w:eastAsia="zh-CN"/>
        </w:rPr>
      </w:pPr>
      <w:r>
        <w:rPr>
          <w:rFonts w:ascii="宋体" w:hAnsi="宋体" w:eastAsia="宋体" w:cstheme="minorBidi"/>
          <w:kern w:val="2"/>
          <w:sz w:val="21"/>
          <w:szCs w:val="21"/>
          <w:lang w:eastAsia="zh-CN"/>
        </w:rPr>
        <w:t xml:space="preserve">…… </w:t>
      </w:r>
    </w:p>
    <w:p w14:paraId="1AC973FD">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14:paraId="2660E68F">
      <w:pPr>
        <w:widowControl w:val="0"/>
        <w:spacing w:line="360" w:lineRule="auto"/>
        <w:ind w:firstLine="420" w:firstLineChars="200"/>
        <w:jc w:val="both"/>
        <w:rPr>
          <w:rFonts w:ascii="Calibri" w:hAnsi="Calibri" w:eastAsia="宋体"/>
          <w:b/>
          <w:bCs/>
          <w:color w:val="FF0000"/>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bookmarkEnd w:id="29"/>
    </w:p>
    <w:p w14:paraId="18A4A62E">
      <w:pPr>
        <w:keepNext/>
        <w:keepLines/>
        <w:pageBreakBefore/>
        <w:widowControl w:val="0"/>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黑体" w:hAnsi="Calibri" w:eastAsia="黑体" w:cstheme="minorBidi"/>
          <w:kern w:val="2"/>
          <w:lang w:eastAsia="zh-CN"/>
        </w:rPr>
        <w:t>四、</w:t>
      </w:r>
      <w:r>
        <w:rPr>
          <w:rFonts w:hint="eastAsia" w:ascii="宋体" w:hAnsi="宋体" w:eastAsia="宋体"/>
          <w:b/>
          <w:bCs/>
          <w:szCs w:val="20"/>
          <w:lang w:eastAsia="zh-CN"/>
        </w:rPr>
        <w:t>分项报价清单</w:t>
      </w:r>
    </w:p>
    <w:p w14:paraId="06923DD3">
      <w:pPr>
        <w:widowControl w:val="0"/>
        <w:spacing w:after="78" w:afterLines="25" w:line="300" w:lineRule="auto"/>
        <w:jc w:val="both"/>
        <w:rPr>
          <w:rFonts w:ascii="Arial" w:hAnsi="Arial" w:eastAsia="宋体" w:cs="Arial"/>
          <w:kern w:val="2"/>
          <w:sz w:val="21"/>
          <w:lang w:eastAsia="zh-CN"/>
        </w:rPr>
      </w:pPr>
      <w:r>
        <w:rPr>
          <w:rFonts w:hint="eastAsia" w:ascii="Arial" w:hAnsi="Arial" w:eastAsia="宋体" w:cs="Arial"/>
          <w:color w:val="000000"/>
          <w:kern w:val="2"/>
          <w:sz w:val="21"/>
          <w:lang w:eastAsia="zh-CN"/>
        </w:rPr>
        <w:t>投标单位（投标人）名称：</w:t>
      </w:r>
      <w:r>
        <w:rPr>
          <w:rFonts w:ascii="Arial" w:hAnsi="Arial" w:eastAsia="宋体" w:cs="Arial"/>
          <w:color w:val="000000"/>
          <w:kern w:val="2"/>
          <w:sz w:val="21"/>
          <w:u w:val="single"/>
          <w:lang w:eastAsia="zh-CN"/>
        </w:rPr>
        <w:t xml:space="preserve">                          </w:t>
      </w:r>
    </w:p>
    <w:p w14:paraId="555EA179">
      <w:pPr>
        <w:widowControl w:val="0"/>
        <w:tabs>
          <w:tab w:val="left" w:pos="720"/>
        </w:tabs>
        <w:spacing w:after="78" w:afterLines="25" w:line="300" w:lineRule="auto"/>
        <w:jc w:val="both"/>
        <w:rPr>
          <w:rFonts w:ascii="Arial" w:hAnsi="Arial" w:eastAsia="宋体"/>
          <w:b/>
          <w:kern w:val="2"/>
          <w:lang w:eastAsia="zh-CN"/>
        </w:rPr>
      </w:pPr>
      <w:r>
        <w:rPr>
          <w:rFonts w:hint="eastAsia" w:ascii="Arial" w:hAnsi="Arial" w:eastAsia="宋体"/>
          <w:b/>
          <w:kern w:val="2"/>
          <w:lang w:eastAsia="zh-CN"/>
        </w:rPr>
        <w:t>（一）项目报价表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99"/>
        <w:gridCol w:w="725"/>
        <w:gridCol w:w="847"/>
        <w:gridCol w:w="937"/>
        <w:gridCol w:w="705"/>
        <w:gridCol w:w="500"/>
        <w:gridCol w:w="500"/>
        <w:gridCol w:w="702"/>
        <w:gridCol w:w="933"/>
        <w:gridCol w:w="935"/>
      </w:tblGrid>
      <w:tr w14:paraId="0840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14:paraId="22B985B9">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序号</w:t>
            </w:r>
          </w:p>
        </w:tc>
        <w:tc>
          <w:tcPr>
            <w:tcW w:w="903" w:type="pct"/>
            <w:vAlign w:val="center"/>
          </w:tcPr>
          <w:p w14:paraId="121301AC">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货物名称</w:t>
            </w:r>
          </w:p>
        </w:tc>
        <w:tc>
          <w:tcPr>
            <w:tcW w:w="409" w:type="pct"/>
            <w:vAlign w:val="center"/>
          </w:tcPr>
          <w:p w14:paraId="25F7F6BE">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品牌</w:t>
            </w:r>
          </w:p>
        </w:tc>
        <w:tc>
          <w:tcPr>
            <w:tcW w:w="478" w:type="pct"/>
            <w:vAlign w:val="center"/>
          </w:tcPr>
          <w:p w14:paraId="2047DE7F">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规格/型号</w:t>
            </w:r>
          </w:p>
        </w:tc>
        <w:tc>
          <w:tcPr>
            <w:tcW w:w="529" w:type="pct"/>
            <w:vAlign w:val="center"/>
          </w:tcPr>
          <w:p w14:paraId="770990A6">
            <w:pPr>
              <w:widowControl w:val="0"/>
              <w:spacing w:line="300" w:lineRule="auto"/>
              <w:jc w:val="center"/>
              <w:rPr>
                <w:rFonts w:ascii="Arial" w:hAnsi="Arial" w:eastAsia="宋体"/>
                <w:b/>
                <w:kern w:val="2"/>
                <w:sz w:val="21"/>
                <w:lang w:eastAsia="zh-CN"/>
              </w:rPr>
            </w:pPr>
            <w:r>
              <w:rPr>
                <w:rFonts w:hint="eastAsia" w:ascii="Arial" w:hAnsi="Arial" w:eastAsia="宋体"/>
                <w:bCs/>
                <w:kern w:val="2"/>
                <w:sz w:val="21"/>
                <w:lang w:eastAsia="zh-CN"/>
              </w:rPr>
              <w:t>制造商名称</w:t>
            </w:r>
          </w:p>
        </w:tc>
        <w:tc>
          <w:tcPr>
            <w:tcW w:w="395" w:type="pct"/>
            <w:vAlign w:val="center"/>
          </w:tcPr>
          <w:p w14:paraId="552ABD38">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原产地</w:t>
            </w:r>
          </w:p>
        </w:tc>
        <w:tc>
          <w:tcPr>
            <w:tcW w:w="282" w:type="pct"/>
            <w:vAlign w:val="center"/>
          </w:tcPr>
          <w:p w14:paraId="141F7B2E">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数量</w:t>
            </w:r>
          </w:p>
        </w:tc>
        <w:tc>
          <w:tcPr>
            <w:tcW w:w="282" w:type="pct"/>
          </w:tcPr>
          <w:p w14:paraId="75E31F75">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单位</w:t>
            </w:r>
          </w:p>
        </w:tc>
        <w:tc>
          <w:tcPr>
            <w:tcW w:w="396" w:type="pct"/>
            <w:vAlign w:val="center"/>
          </w:tcPr>
          <w:p w14:paraId="6ECE836A">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单价(元)</w:t>
            </w:r>
          </w:p>
        </w:tc>
        <w:tc>
          <w:tcPr>
            <w:tcW w:w="527" w:type="pct"/>
            <w:vAlign w:val="center"/>
          </w:tcPr>
          <w:p w14:paraId="3B707090">
            <w:pPr>
              <w:widowControl w:val="0"/>
              <w:spacing w:line="300" w:lineRule="auto"/>
              <w:jc w:val="center"/>
              <w:rPr>
                <w:rFonts w:ascii="Arial" w:hAnsi="Arial" w:eastAsia="宋体"/>
                <w:kern w:val="2"/>
                <w:sz w:val="21"/>
                <w:lang w:eastAsia="zh-CN"/>
              </w:rPr>
            </w:pPr>
            <w:r>
              <w:rPr>
                <w:rFonts w:hint="eastAsia" w:ascii="Arial" w:hAnsi="Arial" w:eastAsia="宋体"/>
                <w:kern w:val="2"/>
                <w:sz w:val="21"/>
                <w:lang w:eastAsia="zh-CN"/>
              </w:rPr>
              <w:t>合价(元)</w:t>
            </w:r>
          </w:p>
        </w:tc>
        <w:tc>
          <w:tcPr>
            <w:tcW w:w="527" w:type="pct"/>
            <w:vAlign w:val="center"/>
          </w:tcPr>
          <w:p w14:paraId="502A99B7">
            <w:pPr>
              <w:widowControl w:val="0"/>
              <w:spacing w:line="300" w:lineRule="auto"/>
              <w:jc w:val="center"/>
              <w:rPr>
                <w:rFonts w:ascii="Arial" w:hAnsi="Arial" w:eastAsia="宋体"/>
                <w:kern w:val="2"/>
                <w:sz w:val="21"/>
                <w:lang w:eastAsia="zh-CN"/>
              </w:rPr>
            </w:pPr>
            <w:r>
              <w:rPr>
                <w:rFonts w:hint="eastAsia" w:eastAsia="宋体"/>
                <w:kern w:val="2"/>
                <w:sz w:val="21"/>
                <w:szCs w:val="21"/>
                <w:lang w:eastAsia="zh-CN"/>
              </w:rPr>
              <w:t>预算金额（元）</w:t>
            </w:r>
          </w:p>
        </w:tc>
      </w:tr>
      <w:tr w14:paraId="3397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14:paraId="254292CC">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1</w:t>
            </w:r>
          </w:p>
        </w:tc>
        <w:tc>
          <w:tcPr>
            <w:tcW w:w="903" w:type="pct"/>
            <w:vAlign w:val="center"/>
          </w:tcPr>
          <w:p w14:paraId="0E88C3BC">
            <w:pPr>
              <w:widowControl w:val="0"/>
              <w:spacing w:after="78" w:afterLines="25" w:line="300" w:lineRule="auto"/>
              <w:jc w:val="both"/>
              <w:rPr>
                <w:rFonts w:ascii="Arial" w:hAnsi="Arial" w:eastAsia="宋体"/>
                <w:b/>
                <w:kern w:val="2"/>
                <w:sz w:val="21"/>
                <w:lang w:eastAsia="zh-CN"/>
              </w:rPr>
            </w:pPr>
          </w:p>
        </w:tc>
        <w:tc>
          <w:tcPr>
            <w:tcW w:w="409" w:type="pct"/>
          </w:tcPr>
          <w:p w14:paraId="04294932">
            <w:pPr>
              <w:widowControl w:val="0"/>
              <w:spacing w:after="78" w:afterLines="25" w:line="300" w:lineRule="auto"/>
              <w:jc w:val="both"/>
              <w:rPr>
                <w:rFonts w:ascii="Arial" w:hAnsi="Arial" w:eastAsia="宋体"/>
                <w:kern w:val="2"/>
                <w:sz w:val="21"/>
                <w:lang w:eastAsia="zh-CN"/>
              </w:rPr>
            </w:pPr>
          </w:p>
        </w:tc>
        <w:tc>
          <w:tcPr>
            <w:tcW w:w="478" w:type="pct"/>
          </w:tcPr>
          <w:p w14:paraId="2F7BC6BE">
            <w:pPr>
              <w:widowControl w:val="0"/>
              <w:spacing w:after="78" w:afterLines="25" w:line="300" w:lineRule="auto"/>
              <w:jc w:val="both"/>
              <w:rPr>
                <w:rFonts w:ascii="Arial" w:hAnsi="Arial" w:eastAsia="宋体"/>
                <w:kern w:val="2"/>
                <w:sz w:val="21"/>
                <w:lang w:eastAsia="zh-CN"/>
              </w:rPr>
            </w:pPr>
          </w:p>
        </w:tc>
        <w:tc>
          <w:tcPr>
            <w:tcW w:w="529" w:type="pct"/>
          </w:tcPr>
          <w:p w14:paraId="612C618C">
            <w:pPr>
              <w:widowControl w:val="0"/>
              <w:spacing w:after="78" w:afterLines="25" w:line="300" w:lineRule="auto"/>
              <w:jc w:val="both"/>
              <w:rPr>
                <w:rFonts w:ascii="Arial" w:hAnsi="Arial" w:eastAsia="宋体"/>
                <w:kern w:val="2"/>
                <w:sz w:val="21"/>
                <w:lang w:eastAsia="zh-CN"/>
              </w:rPr>
            </w:pPr>
          </w:p>
        </w:tc>
        <w:tc>
          <w:tcPr>
            <w:tcW w:w="395" w:type="pct"/>
          </w:tcPr>
          <w:p w14:paraId="20001B2C">
            <w:pPr>
              <w:widowControl w:val="0"/>
              <w:spacing w:after="78" w:afterLines="25" w:line="300" w:lineRule="auto"/>
              <w:jc w:val="both"/>
              <w:rPr>
                <w:rFonts w:ascii="Arial" w:hAnsi="Arial" w:eastAsia="宋体"/>
                <w:kern w:val="2"/>
                <w:sz w:val="21"/>
                <w:lang w:eastAsia="zh-CN"/>
              </w:rPr>
            </w:pPr>
          </w:p>
        </w:tc>
        <w:tc>
          <w:tcPr>
            <w:tcW w:w="282" w:type="pct"/>
          </w:tcPr>
          <w:p w14:paraId="6AD38C69">
            <w:pPr>
              <w:widowControl w:val="0"/>
              <w:spacing w:after="78" w:afterLines="25" w:line="300" w:lineRule="auto"/>
              <w:jc w:val="both"/>
              <w:rPr>
                <w:rFonts w:ascii="Arial" w:hAnsi="Arial" w:eastAsia="宋体"/>
                <w:kern w:val="2"/>
                <w:sz w:val="21"/>
                <w:lang w:eastAsia="zh-CN"/>
              </w:rPr>
            </w:pPr>
          </w:p>
        </w:tc>
        <w:tc>
          <w:tcPr>
            <w:tcW w:w="282" w:type="pct"/>
          </w:tcPr>
          <w:p w14:paraId="64654081">
            <w:pPr>
              <w:widowControl w:val="0"/>
              <w:spacing w:after="78" w:afterLines="25" w:line="300" w:lineRule="auto"/>
              <w:jc w:val="both"/>
              <w:rPr>
                <w:rFonts w:ascii="Arial" w:hAnsi="Arial" w:eastAsia="宋体"/>
                <w:kern w:val="2"/>
                <w:sz w:val="21"/>
                <w:lang w:eastAsia="zh-CN"/>
              </w:rPr>
            </w:pPr>
          </w:p>
        </w:tc>
        <w:tc>
          <w:tcPr>
            <w:tcW w:w="396" w:type="pct"/>
          </w:tcPr>
          <w:p w14:paraId="39DFB4AC">
            <w:pPr>
              <w:widowControl w:val="0"/>
              <w:spacing w:after="78" w:afterLines="25" w:line="300" w:lineRule="auto"/>
              <w:jc w:val="both"/>
              <w:rPr>
                <w:rFonts w:ascii="Arial" w:hAnsi="Arial" w:eastAsia="宋体"/>
                <w:kern w:val="2"/>
                <w:sz w:val="21"/>
                <w:lang w:eastAsia="zh-CN"/>
              </w:rPr>
            </w:pPr>
          </w:p>
        </w:tc>
        <w:tc>
          <w:tcPr>
            <w:tcW w:w="527" w:type="pct"/>
          </w:tcPr>
          <w:p w14:paraId="33E1A2F4">
            <w:pPr>
              <w:widowControl w:val="0"/>
              <w:spacing w:after="78" w:afterLines="25" w:line="300" w:lineRule="auto"/>
              <w:jc w:val="both"/>
              <w:rPr>
                <w:rFonts w:ascii="Arial" w:hAnsi="Arial" w:eastAsia="宋体"/>
                <w:kern w:val="2"/>
                <w:sz w:val="21"/>
                <w:lang w:eastAsia="zh-CN"/>
              </w:rPr>
            </w:pPr>
          </w:p>
        </w:tc>
        <w:tc>
          <w:tcPr>
            <w:tcW w:w="527" w:type="pct"/>
            <w:vMerge w:val="restart"/>
          </w:tcPr>
          <w:p w14:paraId="36909ABC">
            <w:pPr>
              <w:widowControl w:val="0"/>
              <w:spacing w:after="78" w:afterLines="25" w:line="300" w:lineRule="auto"/>
              <w:jc w:val="both"/>
              <w:rPr>
                <w:rFonts w:ascii="Arial" w:hAnsi="Arial" w:eastAsia="宋体"/>
                <w:kern w:val="2"/>
                <w:sz w:val="21"/>
                <w:lang w:eastAsia="zh-CN"/>
              </w:rPr>
            </w:pPr>
          </w:p>
        </w:tc>
      </w:tr>
      <w:tr w14:paraId="7E48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14:paraId="391DF01C">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2</w:t>
            </w:r>
          </w:p>
        </w:tc>
        <w:tc>
          <w:tcPr>
            <w:tcW w:w="903" w:type="pct"/>
          </w:tcPr>
          <w:p w14:paraId="7A1F8DBC">
            <w:pPr>
              <w:widowControl w:val="0"/>
              <w:spacing w:after="78" w:afterLines="25" w:line="300" w:lineRule="auto"/>
              <w:jc w:val="both"/>
              <w:rPr>
                <w:rFonts w:ascii="Arial" w:hAnsi="Arial" w:eastAsia="宋体"/>
                <w:b/>
                <w:kern w:val="2"/>
                <w:sz w:val="21"/>
                <w:lang w:eastAsia="zh-CN"/>
              </w:rPr>
            </w:pPr>
          </w:p>
        </w:tc>
        <w:tc>
          <w:tcPr>
            <w:tcW w:w="409" w:type="pct"/>
          </w:tcPr>
          <w:p w14:paraId="009377EC">
            <w:pPr>
              <w:widowControl w:val="0"/>
              <w:spacing w:after="78" w:afterLines="25" w:line="300" w:lineRule="auto"/>
              <w:jc w:val="both"/>
              <w:rPr>
                <w:rFonts w:ascii="Arial" w:hAnsi="Arial" w:eastAsia="宋体"/>
                <w:kern w:val="2"/>
                <w:sz w:val="21"/>
                <w:lang w:eastAsia="zh-CN"/>
              </w:rPr>
            </w:pPr>
          </w:p>
        </w:tc>
        <w:tc>
          <w:tcPr>
            <w:tcW w:w="478" w:type="pct"/>
          </w:tcPr>
          <w:p w14:paraId="06F6B647">
            <w:pPr>
              <w:widowControl w:val="0"/>
              <w:spacing w:after="78" w:afterLines="25" w:line="300" w:lineRule="auto"/>
              <w:jc w:val="both"/>
              <w:rPr>
                <w:rFonts w:ascii="Arial" w:hAnsi="Arial" w:eastAsia="宋体"/>
                <w:kern w:val="2"/>
                <w:sz w:val="21"/>
                <w:lang w:eastAsia="zh-CN"/>
              </w:rPr>
            </w:pPr>
          </w:p>
        </w:tc>
        <w:tc>
          <w:tcPr>
            <w:tcW w:w="529" w:type="pct"/>
          </w:tcPr>
          <w:p w14:paraId="5C54F6EE">
            <w:pPr>
              <w:widowControl w:val="0"/>
              <w:spacing w:after="78" w:afterLines="25" w:line="300" w:lineRule="auto"/>
              <w:jc w:val="both"/>
              <w:rPr>
                <w:rFonts w:ascii="Arial" w:hAnsi="Arial" w:eastAsia="宋体"/>
                <w:kern w:val="2"/>
                <w:sz w:val="21"/>
                <w:lang w:eastAsia="zh-CN"/>
              </w:rPr>
            </w:pPr>
          </w:p>
        </w:tc>
        <w:tc>
          <w:tcPr>
            <w:tcW w:w="395" w:type="pct"/>
          </w:tcPr>
          <w:p w14:paraId="3F2900B7">
            <w:pPr>
              <w:widowControl w:val="0"/>
              <w:spacing w:after="78" w:afterLines="25" w:line="300" w:lineRule="auto"/>
              <w:jc w:val="both"/>
              <w:rPr>
                <w:rFonts w:ascii="Arial" w:hAnsi="Arial" w:eastAsia="宋体"/>
                <w:kern w:val="2"/>
                <w:sz w:val="21"/>
                <w:lang w:eastAsia="zh-CN"/>
              </w:rPr>
            </w:pPr>
          </w:p>
        </w:tc>
        <w:tc>
          <w:tcPr>
            <w:tcW w:w="282" w:type="pct"/>
          </w:tcPr>
          <w:p w14:paraId="6ED409F2">
            <w:pPr>
              <w:widowControl w:val="0"/>
              <w:spacing w:after="78" w:afterLines="25" w:line="300" w:lineRule="auto"/>
              <w:jc w:val="both"/>
              <w:rPr>
                <w:rFonts w:ascii="Arial" w:hAnsi="Arial" w:eastAsia="宋体"/>
                <w:kern w:val="2"/>
                <w:sz w:val="21"/>
                <w:lang w:eastAsia="zh-CN"/>
              </w:rPr>
            </w:pPr>
          </w:p>
        </w:tc>
        <w:tc>
          <w:tcPr>
            <w:tcW w:w="282" w:type="pct"/>
          </w:tcPr>
          <w:p w14:paraId="7FB7CC19">
            <w:pPr>
              <w:widowControl w:val="0"/>
              <w:spacing w:after="78" w:afterLines="25" w:line="300" w:lineRule="auto"/>
              <w:jc w:val="both"/>
              <w:rPr>
                <w:rFonts w:ascii="Arial" w:hAnsi="Arial" w:eastAsia="宋体"/>
                <w:kern w:val="2"/>
                <w:sz w:val="21"/>
                <w:lang w:eastAsia="zh-CN"/>
              </w:rPr>
            </w:pPr>
          </w:p>
        </w:tc>
        <w:tc>
          <w:tcPr>
            <w:tcW w:w="396" w:type="pct"/>
          </w:tcPr>
          <w:p w14:paraId="5522A01E">
            <w:pPr>
              <w:widowControl w:val="0"/>
              <w:spacing w:after="78" w:afterLines="25" w:line="300" w:lineRule="auto"/>
              <w:jc w:val="both"/>
              <w:rPr>
                <w:rFonts w:ascii="Arial" w:hAnsi="Arial" w:eastAsia="宋体"/>
                <w:kern w:val="2"/>
                <w:sz w:val="21"/>
                <w:lang w:eastAsia="zh-CN"/>
              </w:rPr>
            </w:pPr>
          </w:p>
        </w:tc>
        <w:tc>
          <w:tcPr>
            <w:tcW w:w="527" w:type="pct"/>
          </w:tcPr>
          <w:p w14:paraId="2A010B28">
            <w:pPr>
              <w:widowControl w:val="0"/>
              <w:spacing w:after="78" w:afterLines="25" w:line="300" w:lineRule="auto"/>
              <w:jc w:val="both"/>
              <w:rPr>
                <w:rFonts w:ascii="Arial" w:hAnsi="Arial" w:eastAsia="宋体"/>
                <w:kern w:val="2"/>
                <w:sz w:val="21"/>
                <w:lang w:eastAsia="zh-CN"/>
              </w:rPr>
            </w:pPr>
          </w:p>
        </w:tc>
        <w:tc>
          <w:tcPr>
            <w:tcW w:w="527" w:type="pct"/>
            <w:vMerge w:val="continue"/>
          </w:tcPr>
          <w:p w14:paraId="53AB317D">
            <w:pPr>
              <w:widowControl w:val="0"/>
              <w:spacing w:after="78" w:afterLines="25" w:line="300" w:lineRule="auto"/>
              <w:jc w:val="both"/>
              <w:rPr>
                <w:rFonts w:ascii="Arial" w:hAnsi="Arial" w:eastAsia="宋体"/>
                <w:kern w:val="2"/>
                <w:sz w:val="21"/>
                <w:lang w:eastAsia="zh-CN"/>
              </w:rPr>
            </w:pPr>
          </w:p>
        </w:tc>
      </w:tr>
      <w:tr w14:paraId="2FFA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267" w:type="pct"/>
          </w:tcPr>
          <w:p w14:paraId="46DE9F1E">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3</w:t>
            </w:r>
          </w:p>
        </w:tc>
        <w:tc>
          <w:tcPr>
            <w:tcW w:w="903" w:type="pct"/>
          </w:tcPr>
          <w:p w14:paraId="0908BE14">
            <w:pPr>
              <w:widowControl w:val="0"/>
              <w:spacing w:after="78" w:afterLines="25" w:line="300" w:lineRule="auto"/>
              <w:jc w:val="both"/>
              <w:rPr>
                <w:rFonts w:ascii="Arial" w:hAnsi="Arial" w:eastAsia="宋体"/>
                <w:b/>
                <w:kern w:val="2"/>
                <w:sz w:val="21"/>
                <w:lang w:eastAsia="zh-CN"/>
              </w:rPr>
            </w:pPr>
          </w:p>
        </w:tc>
        <w:tc>
          <w:tcPr>
            <w:tcW w:w="409" w:type="pct"/>
          </w:tcPr>
          <w:p w14:paraId="72A952A1">
            <w:pPr>
              <w:widowControl w:val="0"/>
              <w:spacing w:after="78" w:afterLines="25" w:line="300" w:lineRule="auto"/>
              <w:jc w:val="both"/>
              <w:rPr>
                <w:rFonts w:ascii="Arial" w:hAnsi="Arial" w:eastAsia="宋体"/>
                <w:kern w:val="2"/>
                <w:sz w:val="21"/>
                <w:lang w:eastAsia="zh-CN"/>
              </w:rPr>
            </w:pPr>
          </w:p>
        </w:tc>
        <w:tc>
          <w:tcPr>
            <w:tcW w:w="478" w:type="pct"/>
          </w:tcPr>
          <w:p w14:paraId="086D11BC">
            <w:pPr>
              <w:widowControl w:val="0"/>
              <w:spacing w:after="78" w:afterLines="25" w:line="300" w:lineRule="auto"/>
              <w:jc w:val="both"/>
              <w:rPr>
                <w:rFonts w:ascii="Arial" w:hAnsi="Arial" w:eastAsia="宋体"/>
                <w:kern w:val="2"/>
                <w:sz w:val="21"/>
                <w:lang w:eastAsia="zh-CN"/>
              </w:rPr>
            </w:pPr>
          </w:p>
        </w:tc>
        <w:tc>
          <w:tcPr>
            <w:tcW w:w="529" w:type="pct"/>
          </w:tcPr>
          <w:p w14:paraId="6B31D4B8">
            <w:pPr>
              <w:widowControl w:val="0"/>
              <w:spacing w:after="78" w:afterLines="25" w:line="300" w:lineRule="auto"/>
              <w:jc w:val="both"/>
              <w:rPr>
                <w:rFonts w:ascii="Arial" w:hAnsi="Arial" w:eastAsia="宋体"/>
                <w:kern w:val="2"/>
                <w:sz w:val="21"/>
                <w:lang w:eastAsia="zh-CN"/>
              </w:rPr>
            </w:pPr>
          </w:p>
        </w:tc>
        <w:tc>
          <w:tcPr>
            <w:tcW w:w="395" w:type="pct"/>
          </w:tcPr>
          <w:p w14:paraId="57060DC4">
            <w:pPr>
              <w:widowControl w:val="0"/>
              <w:spacing w:after="78" w:afterLines="25" w:line="300" w:lineRule="auto"/>
              <w:jc w:val="both"/>
              <w:rPr>
                <w:rFonts w:ascii="Arial" w:hAnsi="Arial" w:eastAsia="宋体"/>
                <w:kern w:val="2"/>
                <w:sz w:val="21"/>
                <w:lang w:eastAsia="zh-CN"/>
              </w:rPr>
            </w:pPr>
          </w:p>
        </w:tc>
        <w:tc>
          <w:tcPr>
            <w:tcW w:w="282" w:type="pct"/>
          </w:tcPr>
          <w:p w14:paraId="2B92DF24">
            <w:pPr>
              <w:widowControl w:val="0"/>
              <w:spacing w:after="78" w:afterLines="25" w:line="300" w:lineRule="auto"/>
              <w:jc w:val="both"/>
              <w:rPr>
                <w:rFonts w:ascii="Arial" w:hAnsi="Arial" w:eastAsia="宋体"/>
                <w:kern w:val="2"/>
                <w:sz w:val="21"/>
                <w:lang w:eastAsia="zh-CN"/>
              </w:rPr>
            </w:pPr>
          </w:p>
        </w:tc>
        <w:tc>
          <w:tcPr>
            <w:tcW w:w="282" w:type="pct"/>
          </w:tcPr>
          <w:p w14:paraId="017D0F08">
            <w:pPr>
              <w:widowControl w:val="0"/>
              <w:spacing w:after="78" w:afterLines="25" w:line="300" w:lineRule="auto"/>
              <w:jc w:val="both"/>
              <w:rPr>
                <w:rFonts w:ascii="Arial" w:hAnsi="Arial" w:eastAsia="宋体"/>
                <w:kern w:val="2"/>
                <w:sz w:val="21"/>
                <w:lang w:eastAsia="zh-CN"/>
              </w:rPr>
            </w:pPr>
          </w:p>
        </w:tc>
        <w:tc>
          <w:tcPr>
            <w:tcW w:w="396" w:type="pct"/>
          </w:tcPr>
          <w:p w14:paraId="1B91CDF4">
            <w:pPr>
              <w:widowControl w:val="0"/>
              <w:spacing w:after="78" w:afterLines="25" w:line="300" w:lineRule="auto"/>
              <w:jc w:val="both"/>
              <w:rPr>
                <w:rFonts w:ascii="Arial" w:hAnsi="Arial" w:eastAsia="宋体"/>
                <w:kern w:val="2"/>
                <w:sz w:val="21"/>
                <w:lang w:eastAsia="zh-CN"/>
              </w:rPr>
            </w:pPr>
          </w:p>
        </w:tc>
        <w:tc>
          <w:tcPr>
            <w:tcW w:w="527" w:type="pct"/>
          </w:tcPr>
          <w:p w14:paraId="751AE773">
            <w:pPr>
              <w:widowControl w:val="0"/>
              <w:spacing w:after="78" w:afterLines="25" w:line="300" w:lineRule="auto"/>
              <w:jc w:val="both"/>
              <w:rPr>
                <w:rFonts w:ascii="Arial" w:hAnsi="Arial" w:eastAsia="宋体"/>
                <w:kern w:val="2"/>
                <w:sz w:val="21"/>
                <w:lang w:eastAsia="zh-CN"/>
              </w:rPr>
            </w:pPr>
          </w:p>
        </w:tc>
        <w:tc>
          <w:tcPr>
            <w:tcW w:w="527" w:type="pct"/>
            <w:vMerge w:val="continue"/>
          </w:tcPr>
          <w:p w14:paraId="7723D568">
            <w:pPr>
              <w:widowControl w:val="0"/>
              <w:spacing w:after="78" w:afterLines="25" w:line="300" w:lineRule="auto"/>
              <w:jc w:val="both"/>
              <w:rPr>
                <w:rFonts w:ascii="Arial" w:hAnsi="Arial" w:eastAsia="宋体"/>
                <w:kern w:val="2"/>
                <w:sz w:val="21"/>
                <w:lang w:eastAsia="zh-CN"/>
              </w:rPr>
            </w:pPr>
          </w:p>
        </w:tc>
      </w:tr>
      <w:tr w14:paraId="670A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14:paraId="714E3D00">
            <w:pPr>
              <w:widowControl w:val="0"/>
              <w:spacing w:after="78" w:afterLines="25" w:line="300" w:lineRule="auto"/>
              <w:jc w:val="center"/>
              <w:rPr>
                <w:rFonts w:ascii="Arial" w:hAnsi="Arial" w:eastAsia="宋体"/>
                <w:kern w:val="2"/>
                <w:sz w:val="21"/>
                <w:lang w:eastAsia="zh-CN"/>
              </w:rPr>
            </w:pPr>
            <w:r>
              <w:rPr>
                <w:rFonts w:hint="eastAsia" w:ascii="Arial" w:hAnsi="Arial" w:eastAsia="宋体"/>
                <w:kern w:val="2"/>
                <w:sz w:val="21"/>
                <w:lang w:eastAsia="zh-CN"/>
              </w:rPr>
              <w:t>……</w:t>
            </w:r>
          </w:p>
        </w:tc>
        <w:tc>
          <w:tcPr>
            <w:tcW w:w="903" w:type="pct"/>
          </w:tcPr>
          <w:p w14:paraId="4B8CB876">
            <w:pPr>
              <w:widowControl w:val="0"/>
              <w:spacing w:after="78" w:afterLines="25" w:line="300" w:lineRule="auto"/>
              <w:jc w:val="both"/>
              <w:rPr>
                <w:rFonts w:ascii="Arial" w:hAnsi="Arial" w:eastAsia="宋体"/>
                <w:b/>
                <w:kern w:val="2"/>
                <w:sz w:val="21"/>
                <w:lang w:eastAsia="zh-CN"/>
              </w:rPr>
            </w:pPr>
          </w:p>
        </w:tc>
        <w:tc>
          <w:tcPr>
            <w:tcW w:w="409" w:type="pct"/>
          </w:tcPr>
          <w:p w14:paraId="02976312">
            <w:pPr>
              <w:widowControl w:val="0"/>
              <w:spacing w:after="78" w:afterLines="25" w:line="300" w:lineRule="auto"/>
              <w:jc w:val="both"/>
              <w:rPr>
                <w:rFonts w:ascii="Arial" w:hAnsi="Arial" w:eastAsia="宋体"/>
                <w:kern w:val="2"/>
                <w:sz w:val="21"/>
                <w:lang w:eastAsia="zh-CN"/>
              </w:rPr>
            </w:pPr>
          </w:p>
        </w:tc>
        <w:tc>
          <w:tcPr>
            <w:tcW w:w="478" w:type="pct"/>
          </w:tcPr>
          <w:p w14:paraId="1C7C59DC">
            <w:pPr>
              <w:widowControl w:val="0"/>
              <w:spacing w:after="78" w:afterLines="25" w:line="300" w:lineRule="auto"/>
              <w:jc w:val="both"/>
              <w:rPr>
                <w:rFonts w:ascii="Arial" w:hAnsi="Arial" w:eastAsia="宋体"/>
                <w:kern w:val="2"/>
                <w:sz w:val="21"/>
                <w:lang w:eastAsia="zh-CN"/>
              </w:rPr>
            </w:pPr>
          </w:p>
        </w:tc>
        <w:tc>
          <w:tcPr>
            <w:tcW w:w="529" w:type="pct"/>
          </w:tcPr>
          <w:p w14:paraId="287AEEB8">
            <w:pPr>
              <w:widowControl w:val="0"/>
              <w:spacing w:after="78" w:afterLines="25" w:line="300" w:lineRule="auto"/>
              <w:jc w:val="both"/>
              <w:rPr>
                <w:rFonts w:ascii="Arial" w:hAnsi="Arial" w:eastAsia="宋体"/>
                <w:kern w:val="2"/>
                <w:sz w:val="21"/>
                <w:lang w:eastAsia="zh-CN"/>
              </w:rPr>
            </w:pPr>
          </w:p>
        </w:tc>
        <w:tc>
          <w:tcPr>
            <w:tcW w:w="395" w:type="pct"/>
          </w:tcPr>
          <w:p w14:paraId="6A4827FB">
            <w:pPr>
              <w:widowControl w:val="0"/>
              <w:spacing w:after="78" w:afterLines="25" w:line="300" w:lineRule="auto"/>
              <w:jc w:val="both"/>
              <w:rPr>
                <w:rFonts w:ascii="Arial" w:hAnsi="Arial" w:eastAsia="宋体"/>
                <w:kern w:val="2"/>
                <w:sz w:val="21"/>
                <w:lang w:eastAsia="zh-CN"/>
              </w:rPr>
            </w:pPr>
          </w:p>
        </w:tc>
        <w:tc>
          <w:tcPr>
            <w:tcW w:w="282" w:type="pct"/>
          </w:tcPr>
          <w:p w14:paraId="3C5C2C80">
            <w:pPr>
              <w:widowControl w:val="0"/>
              <w:spacing w:after="78" w:afterLines="25" w:line="300" w:lineRule="auto"/>
              <w:jc w:val="both"/>
              <w:rPr>
                <w:rFonts w:ascii="Arial" w:hAnsi="Arial" w:eastAsia="宋体"/>
                <w:kern w:val="2"/>
                <w:sz w:val="21"/>
                <w:lang w:eastAsia="zh-CN"/>
              </w:rPr>
            </w:pPr>
          </w:p>
        </w:tc>
        <w:tc>
          <w:tcPr>
            <w:tcW w:w="282" w:type="pct"/>
          </w:tcPr>
          <w:p w14:paraId="2F57A06B">
            <w:pPr>
              <w:widowControl w:val="0"/>
              <w:spacing w:after="78" w:afterLines="25" w:line="300" w:lineRule="auto"/>
              <w:jc w:val="both"/>
              <w:rPr>
                <w:rFonts w:ascii="Arial" w:hAnsi="Arial" w:eastAsia="宋体"/>
                <w:kern w:val="2"/>
                <w:sz w:val="21"/>
                <w:lang w:eastAsia="zh-CN"/>
              </w:rPr>
            </w:pPr>
          </w:p>
        </w:tc>
        <w:tc>
          <w:tcPr>
            <w:tcW w:w="396" w:type="pct"/>
          </w:tcPr>
          <w:p w14:paraId="0A76D06D">
            <w:pPr>
              <w:widowControl w:val="0"/>
              <w:spacing w:after="78" w:afterLines="25" w:line="300" w:lineRule="auto"/>
              <w:jc w:val="both"/>
              <w:rPr>
                <w:rFonts w:ascii="Arial" w:hAnsi="Arial" w:eastAsia="宋体"/>
                <w:kern w:val="2"/>
                <w:sz w:val="21"/>
                <w:lang w:eastAsia="zh-CN"/>
              </w:rPr>
            </w:pPr>
          </w:p>
        </w:tc>
        <w:tc>
          <w:tcPr>
            <w:tcW w:w="527" w:type="pct"/>
          </w:tcPr>
          <w:p w14:paraId="3A2AE91E">
            <w:pPr>
              <w:widowControl w:val="0"/>
              <w:spacing w:after="78" w:afterLines="25" w:line="300" w:lineRule="auto"/>
              <w:jc w:val="both"/>
              <w:rPr>
                <w:rFonts w:ascii="Arial" w:hAnsi="Arial" w:eastAsia="宋体"/>
                <w:kern w:val="2"/>
                <w:sz w:val="21"/>
                <w:lang w:eastAsia="zh-CN"/>
              </w:rPr>
            </w:pPr>
          </w:p>
        </w:tc>
        <w:tc>
          <w:tcPr>
            <w:tcW w:w="527" w:type="pct"/>
            <w:vMerge w:val="continue"/>
          </w:tcPr>
          <w:p w14:paraId="02784A35">
            <w:pPr>
              <w:widowControl w:val="0"/>
              <w:spacing w:after="78" w:afterLines="25" w:line="300" w:lineRule="auto"/>
              <w:jc w:val="both"/>
              <w:rPr>
                <w:rFonts w:ascii="Arial" w:hAnsi="Arial" w:eastAsia="宋体"/>
                <w:kern w:val="2"/>
                <w:sz w:val="21"/>
                <w:lang w:eastAsia="zh-CN"/>
              </w:rPr>
            </w:pPr>
          </w:p>
        </w:tc>
      </w:tr>
      <w:tr w14:paraId="7C23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14:paraId="006AB501">
            <w:pPr>
              <w:widowControl w:val="0"/>
              <w:spacing w:after="78" w:afterLines="25" w:line="300" w:lineRule="auto"/>
              <w:jc w:val="center"/>
              <w:rPr>
                <w:rFonts w:ascii="Arial" w:hAnsi="Arial" w:eastAsia="宋体"/>
                <w:kern w:val="2"/>
                <w:sz w:val="21"/>
                <w:lang w:eastAsia="zh-CN"/>
              </w:rPr>
            </w:pPr>
            <w:r>
              <w:rPr>
                <w:rFonts w:hint="eastAsia" w:ascii="Arial" w:hAnsi="Arial" w:eastAsia="宋体"/>
                <w:b/>
                <w:kern w:val="2"/>
                <w:sz w:val="21"/>
                <w:lang w:eastAsia="zh-CN"/>
              </w:rPr>
              <w:t>投标总价</w:t>
            </w:r>
            <w:r>
              <w:rPr>
                <w:rFonts w:hint="eastAsia" w:ascii="Arial" w:hAnsi="Arial" w:eastAsia="宋体"/>
                <w:kern w:val="2"/>
                <w:sz w:val="21"/>
                <w:lang w:eastAsia="zh-CN"/>
              </w:rPr>
              <w:t>（以上各项之和；币种：人民币；单位：元）</w:t>
            </w:r>
          </w:p>
        </w:tc>
        <w:tc>
          <w:tcPr>
            <w:tcW w:w="2015" w:type="pct"/>
            <w:gridSpan w:val="5"/>
          </w:tcPr>
          <w:p w14:paraId="0512D593">
            <w:pPr>
              <w:widowControl w:val="0"/>
              <w:spacing w:after="78" w:afterLines="25" w:line="300" w:lineRule="auto"/>
              <w:jc w:val="both"/>
              <w:rPr>
                <w:rFonts w:ascii="Arial" w:hAnsi="Arial" w:eastAsia="宋体"/>
                <w:kern w:val="2"/>
                <w:sz w:val="21"/>
                <w:lang w:eastAsia="zh-CN"/>
              </w:rPr>
            </w:pPr>
          </w:p>
        </w:tc>
      </w:tr>
    </w:tbl>
    <w:p w14:paraId="53906BBD">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填写说明：</w:t>
      </w:r>
    </w:p>
    <w:p w14:paraId="4F2203B9">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1.本表可按同样格式扩展。</w:t>
      </w:r>
    </w:p>
    <w:p w14:paraId="6671E351">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2. “品牌”可以与商标一致，也可以填写便于区分其他公司商品的制造商简称或者制造商认可的品牌名称。</w:t>
      </w:r>
    </w:p>
    <w:p w14:paraId="14CFE025">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3.如所投货物属于定制类的非量产货物或无具体型号的货物，可以在“规格/型号”一栏仅填写规格信息而不填写型号信息（型号信息用“定制”描述即可）；</w:t>
      </w:r>
      <w:bookmarkStart w:id="33" w:name="_Hlk73646428"/>
      <w:r>
        <w:rPr>
          <w:rFonts w:hint="eastAsia" w:ascii="宋体" w:hAnsi="宋体" w:eastAsia="宋体"/>
          <w:b/>
          <w:kern w:val="2"/>
          <w:sz w:val="21"/>
          <w:lang w:eastAsia="zh-CN"/>
        </w:rPr>
        <w:t>此类填写错误或缺漏（所投货物为定制类的非量产货物但供应商却错误填报了型号）可能带来的不利后果由供应商承担。</w:t>
      </w:r>
      <w:bookmarkEnd w:id="33"/>
    </w:p>
    <w:p w14:paraId="6E3FCD88">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4.</w:t>
      </w:r>
      <w:bookmarkStart w:id="34" w:name="_Hlk72074795"/>
      <w:r>
        <w:rPr>
          <w:rFonts w:hint="eastAsia" w:ascii="宋体" w:hAnsi="宋体" w:eastAsia="宋体"/>
          <w:b/>
          <w:kern w:val="2"/>
          <w:sz w:val="21"/>
          <w:lang w:eastAsia="zh-CN"/>
        </w:rPr>
        <w:t>“原产地”是指该货物的实际生产加工地，而非品牌所在地</w:t>
      </w:r>
      <w:bookmarkEnd w:id="34"/>
      <w:r>
        <w:rPr>
          <w:rFonts w:hint="eastAsia" w:ascii="宋体" w:hAnsi="宋体" w:eastAsia="宋体"/>
          <w:b/>
          <w:kern w:val="2"/>
          <w:sz w:val="21"/>
          <w:lang w:eastAsia="zh-CN"/>
        </w:rPr>
        <w:t>。</w:t>
      </w:r>
    </w:p>
    <w:p w14:paraId="7CB2ABB0">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5.所投货物均应填写制造商名称。“制造商”是指产品制造厂商，产品代工制造的，应填写接受委托生产制造的制造商。</w:t>
      </w:r>
    </w:p>
    <w:p w14:paraId="10E8EECF">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6.以上分项报价表的投标总价应当与开标一览表的投标总价一致。</w:t>
      </w:r>
    </w:p>
    <w:p w14:paraId="0C3FD3C4">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14:paraId="47859A14">
      <w:pPr>
        <w:widowControl w:val="0"/>
        <w:snapToGrid w:val="0"/>
        <w:jc w:val="both"/>
        <w:rPr>
          <w:rFonts w:hint="eastAsia" w:ascii="宋体" w:hAnsi="宋体" w:eastAsia="宋体"/>
          <w:b/>
          <w:kern w:val="2"/>
          <w:sz w:val="21"/>
          <w:lang w:eastAsia="zh-CN"/>
        </w:rPr>
      </w:pPr>
      <w:r>
        <w:rPr>
          <w:rFonts w:hint="eastAsia" w:ascii="宋体" w:hAnsi="宋体" w:eastAsia="宋体"/>
          <w:b/>
          <w:kern w:val="2"/>
          <w:sz w:val="21"/>
          <w:lang w:eastAsia="zh-CN"/>
        </w:rPr>
        <w:t>8.所有价格应按“招标文件”中规定的货币单位填写；投标总价应为以上各分项价格之和；投标总价和项目报价表中单个采购预算条目报价均不得超过对应的财政预算限额，否则将导致投标无效。</w:t>
      </w:r>
    </w:p>
    <w:p w14:paraId="507C012D">
      <w:pPr>
        <w:widowControl w:val="0"/>
        <w:snapToGrid w:val="0"/>
        <w:jc w:val="both"/>
        <w:rPr>
          <w:rFonts w:hint="eastAsia" w:ascii="宋体" w:hAnsi="宋体" w:eastAsia="宋体"/>
          <w:b/>
          <w:kern w:val="2"/>
          <w:sz w:val="21"/>
          <w:lang w:eastAsia="zh-CN"/>
        </w:rPr>
      </w:pPr>
    </w:p>
    <w:p w14:paraId="3531412F">
      <w:pPr>
        <w:widowControl w:val="0"/>
        <w:snapToGrid w:val="0"/>
        <w:jc w:val="both"/>
        <w:rPr>
          <w:rFonts w:hint="eastAsia" w:ascii="宋体" w:hAnsi="宋体" w:eastAsia="宋体"/>
          <w:b/>
          <w:color w:val="FF0000"/>
          <w:kern w:val="2"/>
          <w:sz w:val="21"/>
          <w:lang w:eastAsia="zh-CN"/>
        </w:rPr>
      </w:pPr>
      <w:r>
        <w:rPr>
          <w:rFonts w:hint="eastAsia" w:ascii="宋体" w:hAnsi="宋体" w:eastAsia="宋体"/>
          <w:bCs/>
          <w:color w:val="FF0000"/>
          <w:kern w:val="2"/>
          <w:sz w:val="21"/>
          <w:lang w:eastAsia="zh-CN"/>
        </w:rPr>
        <w:t>★</w:t>
      </w:r>
      <w:r>
        <w:rPr>
          <w:rFonts w:hint="eastAsia" w:ascii="宋体" w:hAnsi="宋体" w:eastAsia="宋体"/>
          <w:b/>
          <w:color w:val="FF0000"/>
          <w:kern w:val="2"/>
          <w:sz w:val="21"/>
          <w:lang w:eastAsia="zh-CN"/>
        </w:rPr>
        <w:t>填写</w:t>
      </w:r>
      <w:r>
        <w:rPr>
          <w:rFonts w:ascii="宋体" w:hAnsi="宋体" w:eastAsia="宋体"/>
          <w:b/>
          <w:color w:val="FF0000"/>
          <w:kern w:val="2"/>
          <w:sz w:val="21"/>
          <w:lang w:eastAsia="zh-CN"/>
        </w:rPr>
        <w:t>要求：</w:t>
      </w:r>
    </w:p>
    <w:p w14:paraId="6BC4717D">
      <w:pPr>
        <w:widowControl w:val="0"/>
        <w:snapToGrid w:val="0"/>
        <w:jc w:val="both"/>
        <w:rPr>
          <w:rFonts w:hint="eastAsia" w:ascii="宋体" w:hAnsi="宋体" w:eastAsia="宋体"/>
          <w:b/>
          <w:color w:val="FF0000"/>
          <w:kern w:val="2"/>
          <w:sz w:val="21"/>
          <w:lang w:eastAsia="zh-CN"/>
        </w:rPr>
      </w:pPr>
      <w:r>
        <w:rPr>
          <w:rFonts w:ascii="宋体" w:hAnsi="宋体" w:eastAsia="宋体"/>
          <w:b/>
          <w:color w:val="FF0000"/>
          <w:kern w:val="2"/>
          <w:sz w:val="21"/>
          <w:lang w:eastAsia="zh-CN"/>
        </w:rPr>
        <w:t>1.</w:t>
      </w:r>
      <w:r>
        <w:rPr>
          <w:rFonts w:hint="eastAsia" w:ascii="宋体" w:hAnsi="宋体" w:eastAsia="宋体"/>
          <w:b/>
          <w:color w:val="FF0000"/>
          <w:kern w:val="2"/>
          <w:sz w:val="21"/>
          <w:lang w:eastAsia="zh-CN"/>
        </w:rPr>
        <w:t>《分项报价清单》</w:t>
      </w:r>
      <w:r>
        <w:rPr>
          <w:rFonts w:ascii="宋体" w:hAnsi="宋体" w:eastAsia="宋体"/>
          <w:b/>
          <w:color w:val="FF0000"/>
          <w:kern w:val="2"/>
          <w:sz w:val="21"/>
          <w:lang w:eastAsia="zh-CN"/>
        </w:rPr>
        <w:t>所有价格应</w:t>
      </w:r>
      <w:r>
        <w:rPr>
          <w:rFonts w:hint="eastAsia" w:ascii="宋体" w:hAnsi="宋体" w:eastAsia="宋体"/>
          <w:b/>
          <w:color w:val="FF0000"/>
          <w:kern w:val="2"/>
          <w:sz w:val="21"/>
          <w:lang w:eastAsia="zh-CN"/>
        </w:rPr>
        <w:t>以人民币为结算单位填写</w:t>
      </w:r>
      <w:r>
        <w:rPr>
          <w:rFonts w:ascii="宋体" w:hAnsi="宋体" w:eastAsia="宋体"/>
          <w:b/>
          <w:color w:val="FF0000"/>
          <w:kern w:val="2"/>
          <w:sz w:val="21"/>
          <w:lang w:eastAsia="zh-CN"/>
        </w:rPr>
        <w:t>；</w:t>
      </w:r>
    </w:p>
    <w:p w14:paraId="33C91AD7">
      <w:pPr>
        <w:widowControl w:val="0"/>
        <w:snapToGrid w:val="0"/>
        <w:jc w:val="both"/>
        <w:rPr>
          <w:rFonts w:hint="eastAsia" w:ascii="宋体" w:hAnsi="宋体" w:eastAsia="宋体"/>
          <w:b/>
          <w:color w:val="FF0000"/>
          <w:kern w:val="2"/>
          <w:sz w:val="21"/>
          <w:lang w:eastAsia="zh-CN"/>
        </w:rPr>
      </w:pPr>
      <w:r>
        <w:rPr>
          <w:rFonts w:ascii="宋体" w:hAnsi="宋体" w:eastAsia="宋体"/>
          <w:b/>
          <w:color w:val="FF0000"/>
          <w:kern w:val="2"/>
          <w:sz w:val="21"/>
          <w:lang w:eastAsia="zh-CN"/>
        </w:rPr>
        <w:t>2.</w:t>
      </w:r>
      <w:r>
        <w:rPr>
          <w:rFonts w:hint="eastAsia" w:ascii="宋体" w:hAnsi="宋体" w:eastAsia="宋体"/>
          <w:b/>
          <w:color w:val="FF0000"/>
          <w:kern w:val="2"/>
          <w:sz w:val="21"/>
          <w:lang w:eastAsia="zh-CN"/>
        </w:rPr>
        <w:t>《（一）项目报价表》</w:t>
      </w:r>
      <w:r>
        <w:rPr>
          <w:rFonts w:ascii="宋体" w:hAnsi="宋体" w:eastAsia="宋体"/>
          <w:b/>
          <w:color w:val="FF0000"/>
          <w:kern w:val="2"/>
          <w:sz w:val="21"/>
          <w:lang w:eastAsia="zh-CN"/>
        </w:rPr>
        <w:t>可根据</w:t>
      </w:r>
      <w:r>
        <w:rPr>
          <w:rFonts w:hint="eastAsia" w:ascii="宋体" w:hAnsi="宋体" w:eastAsia="宋体"/>
          <w:b/>
          <w:color w:val="FF0000"/>
          <w:kern w:val="2"/>
          <w:sz w:val="21"/>
          <w:lang w:eastAsia="zh-CN"/>
        </w:rPr>
        <w:t>实际需要</w:t>
      </w:r>
      <w:r>
        <w:rPr>
          <w:rFonts w:ascii="宋体" w:hAnsi="宋体" w:eastAsia="宋体"/>
          <w:b/>
          <w:color w:val="FF0000"/>
          <w:kern w:val="2"/>
          <w:sz w:val="21"/>
          <w:lang w:eastAsia="zh-CN"/>
        </w:rPr>
        <w:t>增加</w:t>
      </w:r>
      <w:r>
        <w:rPr>
          <w:rFonts w:hint="eastAsia" w:ascii="宋体" w:hAnsi="宋体" w:eastAsia="宋体"/>
          <w:b/>
          <w:color w:val="FF0000"/>
          <w:kern w:val="2"/>
          <w:sz w:val="21"/>
          <w:lang w:eastAsia="zh-CN"/>
        </w:rPr>
        <w:t>相关</w:t>
      </w:r>
      <w:r>
        <w:rPr>
          <w:rFonts w:ascii="宋体" w:hAnsi="宋体" w:eastAsia="宋体"/>
          <w:b/>
          <w:color w:val="FF0000"/>
          <w:kern w:val="2"/>
          <w:sz w:val="21"/>
          <w:lang w:eastAsia="zh-CN"/>
        </w:rPr>
        <w:t>内容，但原</w:t>
      </w:r>
      <w:r>
        <w:rPr>
          <w:rFonts w:hint="eastAsia" w:ascii="宋体" w:hAnsi="宋体" w:eastAsia="宋体"/>
          <w:b/>
          <w:color w:val="FF0000"/>
          <w:kern w:val="2"/>
          <w:sz w:val="21"/>
          <w:lang w:eastAsia="zh-CN"/>
        </w:rPr>
        <w:t>有</w:t>
      </w:r>
      <w:r>
        <w:rPr>
          <w:rFonts w:ascii="宋体" w:hAnsi="宋体" w:eastAsia="宋体"/>
          <w:b/>
          <w:color w:val="FF0000"/>
          <w:kern w:val="2"/>
          <w:sz w:val="21"/>
          <w:lang w:eastAsia="zh-CN"/>
        </w:rPr>
        <w:t>的格式</w:t>
      </w:r>
      <w:r>
        <w:rPr>
          <w:rFonts w:hint="eastAsia" w:ascii="宋体" w:hAnsi="宋体" w:eastAsia="宋体"/>
          <w:b/>
          <w:color w:val="FF0000"/>
          <w:kern w:val="2"/>
          <w:sz w:val="21"/>
          <w:lang w:eastAsia="zh-CN"/>
        </w:rPr>
        <w:t>内容</w:t>
      </w:r>
      <w:r>
        <w:rPr>
          <w:rFonts w:ascii="宋体" w:hAnsi="宋体" w:eastAsia="宋体"/>
          <w:b/>
          <w:color w:val="FF0000"/>
          <w:kern w:val="2"/>
          <w:sz w:val="21"/>
          <w:lang w:eastAsia="zh-CN"/>
        </w:rPr>
        <w:t>不得删减；</w:t>
      </w:r>
    </w:p>
    <w:p w14:paraId="17DFDDC2">
      <w:pPr>
        <w:widowControl w:val="0"/>
        <w:snapToGrid w:val="0"/>
        <w:jc w:val="both"/>
        <w:rPr>
          <w:rFonts w:hint="eastAsia" w:ascii="宋体" w:hAnsi="宋体" w:eastAsia="宋体"/>
          <w:b/>
          <w:color w:val="FF0000"/>
          <w:kern w:val="2"/>
          <w:sz w:val="21"/>
          <w:lang w:eastAsia="zh-CN"/>
        </w:rPr>
      </w:pPr>
      <w:r>
        <w:rPr>
          <w:rFonts w:hint="eastAsia" w:ascii="宋体" w:hAnsi="宋体" w:eastAsia="宋体"/>
          <w:b/>
          <w:color w:val="FF0000"/>
          <w:kern w:val="2"/>
          <w:sz w:val="21"/>
          <w:lang w:eastAsia="zh-CN"/>
        </w:rPr>
        <w:t>3.</w:t>
      </w:r>
      <w:r>
        <w:rPr>
          <w:rFonts w:ascii="宋体" w:hAnsi="宋体" w:eastAsia="宋体"/>
          <w:b/>
          <w:color w:val="FF0000"/>
          <w:kern w:val="2"/>
          <w:sz w:val="21"/>
          <w:lang w:eastAsia="zh-CN"/>
        </w:rPr>
        <w:t>如</w:t>
      </w:r>
      <w:r>
        <w:rPr>
          <w:rFonts w:hint="eastAsia" w:ascii="宋体" w:hAnsi="宋体" w:eastAsia="宋体"/>
          <w:b/>
          <w:color w:val="FF0000"/>
          <w:kern w:val="2"/>
          <w:sz w:val="21"/>
          <w:lang w:eastAsia="zh-CN"/>
        </w:rPr>
        <w:t>未提供《（一）项目报价表》或者</w:t>
      </w:r>
      <w:r>
        <w:rPr>
          <w:rFonts w:ascii="宋体" w:hAnsi="宋体" w:eastAsia="宋体"/>
          <w:b/>
          <w:color w:val="FF0000"/>
          <w:kern w:val="2"/>
          <w:sz w:val="21"/>
          <w:lang w:eastAsia="zh-CN"/>
        </w:rPr>
        <w:t>不按</w:t>
      </w:r>
      <w:r>
        <w:rPr>
          <w:rFonts w:hint="eastAsia" w:ascii="宋体" w:hAnsi="宋体" w:eastAsia="宋体"/>
          <w:b/>
          <w:color w:val="FF0000"/>
          <w:kern w:val="2"/>
          <w:sz w:val="21"/>
          <w:lang w:eastAsia="zh-CN"/>
        </w:rPr>
        <w:t>《第三章 用户需求书：二、货物需求明细》</w:t>
      </w:r>
      <w:r>
        <w:rPr>
          <w:rFonts w:ascii="宋体" w:hAnsi="宋体" w:eastAsia="宋体"/>
          <w:b/>
          <w:color w:val="FF0000"/>
          <w:kern w:val="2"/>
          <w:sz w:val="21"/>
          <w:lang w:eastAsia="zh-CN"/>
        </w:rPr>
        <w:t>要求填报、漏报或错报</w:t>
      </w:r>
      <w:r>
        <w:rPr>
          <w:rFonts w:hint="eastAsia" w:ascii="宋体" w:hAnsi="宋体" w:eastAsia="宋体"/>
          <w:b/>
          <w:color w:val="FF0000"/>
          <w:kern w:val="2"/>
          <w:sz w:val="21"/>
          <w:lang w:eastAsia="zh-CN"/>
        </w:rPr>
        <w:t>的将作</w:t>
      </w:r>
      <w:r>
        <w:rPr>
          <w:rFonts w:ascii="宋体" w:hAnsi="宋体" w:eastAsia="宋体"/>
          <w:b/>
          <w:color w:val="FF0000"/>
          <w:kern w:val="2"/>
          <w:sz w:val="21"/>
          <w:lang w:eastAsia="zh-CN"/>
        </w:rPr>
        <w:t>投标无效处理。</w:t>
      </w:r>
    </w:p>
    <w:p w14:paraId="0853BEBB">
      <w:pPr>
        <w:widowControl w:val="0"/>
        <w:tabs>
          <w:tab w:val="left" w:pos="720"/>
        </w:tabs>
        <w:jc w:val="both"/>
        <w:rPr>
          <w:rFonts w:eastAsia="宋体"/>
          <w:b/>
          <w:kern w:val="2"/>
          <w:lang w:eastAsia="zh-CN"/>
        </w:rPr>
      </w:pPr>
    </w:p>
    <w:p w14:paraId="0F6048EC">
      <w:pPr>
        <w:widowControl w:val="0"/>
        <w:tabs>
          <w:tab w:val="left" w:pos="720"/>
        </w:tabs>
        <w:jc w:val="both"/>
        <w:rPr>
          <w:rFonts w:eastAsia="宋体"/>
          <w:b/>
          <w:color w:val="FF0000"/>
          <w:kern w:val="2"/>
          <w:lang w:eastAsia="zh-CN"/>
        </w:rPr>
      </w:pPr>
      <w:r>
        <w:rPr>
          <w:rFonts w:hint="eastAsia" w:eastAsia="宋体"/>
          <w:b/>
          <w:color w:val="FF0000"/>
          <w:kern w:val="2"/>
          <w:lang w:eastAsia="zh-CN"/>
        </w:rPr>
        <w:t>（二）核心产品品牌</w:t>
      </w:r>
    </w:p>
    <w:p w14:paraId="01375D0D">
      <w:pPr>
        <w:widowControl w:val="0"/>
        <w:jc w:val="both"/>
        <w:rPr>
          <w:rFonts w:eastAsia="宋体"/>
          <w:color w:val="FF0000"/>
          <w:kern w:val="2"/>
          <w:lang w:eastAsia="zh-CN"/>
        </w:rPr>
      </w:pPr>
      <w:r>
        <w:rPr>
          <w:rFonts w:hint="eastAsia" w:eastAsia="宋体"/>
          <w:b/>
          <w:color w:val="FF0000"/>
          <w:kern w:val="2"/>
          <w:lang w:eastAsia="zh-CN"/>
        </w:rPr>
        <w:t>我单位所投核心产品的品牌为：</w:t>
      </w:r>
      <w:r>
        <w:rPr>
          <w:rFonts w:hint="eastAsia" w:eastAsia="宋体"/>
          <w:color w:val="FF0000"/>
          <w:kern w:val="2"/>
          <w:u w:val="single"/>
          <w:lang w:eastAsia="zh-CN"/>
        </w:rPr>
        <w:t xml:space="preserve">               </w:t>
      </w:r>
      <w:r>
        <w:rPr>
          <w:rFonts w:hint="eastAsia" w:eastAsia="宋体"/>
          <w:color w:val="FF0000"/>
          <w:kern w:val="2"/>
          <w:lang w:eastAsia="zh-CN"/>
        </w:rPr>
        <w:t>。</w:t>
      </w:r>
    </w:p>
    <w:p w14:paraId="1ABBF3CA">
      <w:pPr>
        <w:widowControl w:val="0"/>
        <w:jc w:val="both"/>
        <w:rPr>
          <w:rFonts w:ascii="Arial" w:hAnsi="Arial" w:eastAsia="宋体"/>
          <w:b/>
          <w:kern w:val="2"/>
          <w:sz w:val="21"/>
          <w:lang w:eastAsia="zh-CN"/>
        </w:rPr>
      </w:pPr>
      <w:r>
        <w:rPr>
          <w:rFonts w:hint="eastAsia" w:ascii="宋体" w:hAnsi="宋体" w:eastAsia="宋体"/>
          <w:color w:val="FF0000"/>
          <w:kern w:val="2"/>
          <w:lang w:eastAsia="zh-CN"/>
        </w:rPr>
        <w:t>备注：单一产品采购项目，核心产品即为该单一产品。</w:t>
      </w:r>
    </w:p>
    <w:p w14:paraId="73D2BB08">
      <w:pPr>
        <w:widowControl w:val="0"/>
        <w:spacing w:after="78" w:afterLines="25" w:line="300" w:lineRule="auto"/>
        <w:jc w:val="both"/>
        <w:rPr>
          <w:rFonts w:ascii="Arial" w:hAnsi="Arial" w:eastAsia="宋体"/>
          <w:b/>
          <w:kern w:val="2"/>
          <w:sz w:val="21"/>
          <w:lang w:eastAsia="zh-CN"/>
        </w:rPr>
      </w:pPr>
    </w:p>
    <w:p w14:paraId="5DDD2A40">
      <w:pPr>
        <w:widowControl w:val="0"/>
        <w:spacing w:after="78" w:afterLines="25" w:line="300" w:lineRule="auto"/>
        <w:jc w:val="both"/>
        <w:rPr>
          <w:rFonts w:ascii="Arial" w:hAnsi="Arial" w:eastAsia="宋体"/>
          <w:b/>
          <w:kern w:val="2"/>
          <w:lang w:eastAsia="zh-CN"/>
        </w:rPr>
      </w:pPr>
      <w:r>
        <w:rPr>
          <w:rFonts w:hint="eastAsia" w:ascii="Arial" w:hAnsi="Arial" w:eastAsia="宋体"/>
          <w:b/>
          <w:kern w:val="2"/>
          <w:lang w:eastAsia="zh-CN"/>
        </w:rPr>
        <w:t>（三）可选配件报价清单（非项目需求要求的必备配件，此部分不包括在总报价内）</w:t>
      </w:r>
    </w:p>
    <w:p w14:paraId="4BF5593D">
      <w:pPr>
        <w:widowControl w:val="0"/>
        <w:ind w:firstLine="422" w:firstLineChars="200"/>
        <w:jc w:val="both"/>
        <w:rPr>
          <w:rFonts w:hint="eastAsia" w:ascii="Calibri" w:hAnsi="宋体" w:eastAsia="宋体"/>
          <w:b/>
          <w:bCs/>
          <w:kern w:val="2"/>
          <w:sz w:val="21"/>
          <w:szCs w:val="21"/>
          <w:lang w:eastAsia="zh-CN"/>
        </w:rPr>
      </w:pPr>
      <w:r>
        <w:rPr>
          <w:rFonts w:hint="eastAsia" w:ascii="Calibri" w:hAnsi="宋体" w:eastAsia="宋体" w:cstheme="minorBidi"/>
          <w:b/>
          <w:bCs/>
          <w:kern w:val="2"/>
          <w:sz w:val="21"/>
          <w:szCs w:val="21"/>
          <w:lang w:eastAsia="zh-CN"/>
        </w:rPr>
        <w:t>注：格式可以参照《（一）项目报价表》表格，并提供相应的品牌/规格/型号、原产地、制造商信息（没有品牌、型号的，用“定制”描述即可）、单价等详细信息</w:t>
      </w:r>
    </w:p>
    <w:p w14:paraId="2062138D">
      <w:pPr>
        <w:widowControl w:val="0"/>
        <w:ind w:firstLine="422" w:firstLineChars="200"/>
        <w:jc w:val="both"/>
        <w:rPr>
          <w:rFonts w:hint="eastAsia" w:ascii="Calibri" w:hAnsi="宋体" w:eastAsia="宋体"/>
          <w:b/>
          <w:bCs/>
          <w:kern w:val="2"/>
          <w:sz w:val="21"/>
          <w:szCs w:val="21"/>
          <w:lang w:eastAsia="zh-CN"/>
        </w:rPr>
      </w:pPr>
    </w:p>
    <w:p w14:paraId="3092AF65">
      <w:pPr>
        <w:widowControl w:val="0"/>
        <w:spacing w:after="78" w:afterLines="25" w:line="300" w:lineRule="auto"/>
        <w:jc w:val="both"/>
        <w:rPr>
          <w:rFonts w:ascii="Arial" w:hAnsi="Arial" w:eastAsia="宋体"/>
          <w:b/>
          <w:kern w:val="2"/>
          <w:lang w:eastAsia="zh-CN"/>
        </w:rPr>
      </w:pPr>
      <w:r>
        <w:rPr>
          <w:rFonts w:hint="eastAsia" w:ascii="Arial" w:hAnsi="Arial" w:eastAsia="宋体"/>
          <w:b/>
          <w:kern w:val="2"/>
          <w:lang w:eastAsia="zh-CN"/>
        </w:rPr>
        <w:t>（四）供应商认为需要涉及的其他内容报价清单</w:t>
      </w:r>
    </w:p>
    <w:p w14:paraId="022E70E4">
      <w:pPr>
        <w:widowControl w:val="0"/>
        <w:jc w:val="center"/>
        <w:rPr>
          <w:rFonts w:ascii="Calibri" w:hAnsi="Calibri" w:eastAsia="宋体"/>
          <w:b/>
          <w:bCs/>
          <w:color w:val="FF0000"/>
          <w:kern w:val="2"/>
          <w:szCs w:val="22"/>
          <w:lang w:eastAsia="zh-CN"/>
        </w:rPr>
      </w:pPr>
    </w:p>
    <w:p w14:paraId="048833D0">
      <w:pPr>
        <w:widowControl w:val="0"/>
        <w:jc w:val="center"/>
        <w:rPr>
          <w:rFonts w:hint="eastAsia" w:ascii="宋体" w:hAnsi="宋体" w:eastAsia="宋体"/>
          <w:kern w:val="2"/>
          <w:sz w:val="21"/>
          <w:szCs w:val="22"/>
          <w:lang w:eastAsia="zh-CN"/>
        </w:rPr>
      </w:pPr>
      <w:r>
        <w:rPr>
          <w:rFonts w:hint="eastAsia" w:ascii="Calibri" w:hAnsi="Calibri" w:eastAsia="宋体" w:cstheme="minorBidi"/>
          <w:b/>
          <w:bCs/>
          <w:color w:val="FF0000"/>
          <w:kern w:val="2"/>
          <w:szCs w:val="22"/>
          <w:lang w:eastAsia="zh-CN"/>
        </w:rPr>
        <w:t>★</w:t>
      </w:r>
      <w:r>
        <w:rPr>
          <w:rFonts w:hint="eastAsia" w:ascii="黑体" w:hAnsi="Calibri" w:eastAsia="黑体" w:cstheme="minorBidi"/>
          <w:kern w:val="2"/>
          <w:lang w:eastAsia="zh-CN"/>
        </w:rPr>
        <w:t>五、股东构成审查表</w:t>
      </w:r>
    </w:p>
    <w:p w14:paraId="2D3AF98B">
      <w:pPr>
        <w:keepNext/>
        <w:keepLines/>
        <w:widowControl w:val="0"/>
        <w:numPr>
          <w:ilvl w:val="0"/>
          <w:numId w:val="2"/>
        </w:numPr>
        <w:spacing w:before="0" w:after="0" w:line="360" w:lineRule="auto"/>
        <w:jc w:val="both"/>
        <w:outlineLvl w:val="2"/>
        <w:rPr>
          <w:rFonts w:eastAsia="宋体"/>
          <w:kern w:val="2"/>
          <w:sz w:val="21"/>
          <w:lang w:eastAsia="zh-CN"/>
        </w:rPr>
      </w:pPr>
      <w:r>
        <w:rPr>
          <w:rFonts w:hint="eastAsia" w:eastAsia="宋体"/>
          <w:kern w:val="2"/>
          <w:sz w:val="21"/>
          <w:lang w:eastAsia="zh-CN"/>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Fonts w:hint="eastAsia" w:eastAsia="宋体"/>
          <w:color w:val="0000FF"/>
          <w:kern w:val="2"/>
          <w:sz w:val="21"/>
          <w:u w:val="single"/>
          <w:lang w:eastAsia="zh-CN"/>
        </w:rPr>
        <w:t>https://amr.sz.gov.cn/outer/entSelect/gs.html”。</w:t>
      </w:r>
      <w:r>
        <w:rPr>
          <w:rFonts w:hint="eastAsia" w:eastAsia="宋体"/>
          <w:color w:val="0000FF"/>
          <w:kern w:val="2"/>
          <w:sz w:val="21"/>
          <w:u w:val="single"/>
          <w:lang w:eastAsia="zh-CN"/>
        </w:rPr>
        <w:fldChar w:fldCharType="end"/>
      </w:r>
    </w:p>
    <w:p w14:paraId="0B715330">
      <w:pPr>
        <w:widowControl w:val="0"/>
        <w:jc w:val="both"/>
        <w:rPr>
          <w:rFonts w:ascii="Calibri" w:hAnsi="Calibri" w:eastAsia="宋体"/>
          <w:b/>
          <w:bCs/>
          <w:color w:val="FF0000"/>
          <w:kern w:val="2"/>
          <w:sz w:val="21"/>
          <w:szCs w:val="22"/>
          <w:highlight w:val="yellow"/>
          <w:lang w:eastAsia="zh-CN"/>
        </w:rPr>
      </w:pPr>
      <w:r>
        <w:rPr>
          <w:rFonts w:hint="eastAsia" w:ascii="Calibri" w:hAnsi="Calibri" w:eastAsia="宋体" w:cstheme="minorBidi"/>
          <w:b/>
          <w:bCs/>
          <w:color w:val="FF0000"/>
          <w:kern w:val="2"/>
          <w:sz w:val="21"/>
          <w:szCs w:val="22"/>
          <w:highlight w:val="yellow"/>
          <w:lang w:eastAsia="zh-CN"/>
        </w:rPr>
        <w:t>提示：如果投标供应商</w:t>
      </w:r>
      <w:r>
        <w:rPr>
          <w:rFonts w:ascii="宋体" w:hAnsi="宋体" w:eastAsia="宋体" w:cstheme="minorBidi"/>
          <w:b/>
          <w:bCs/>
          <w:color w:val="FF0000"/>
          <w:kern w:val="2"/>
          <w:sz w:val="21"/>
          <w:szCs w:val="22"/>
          <w:highlight w:val="yellow"/>
          <w:lang w:eastAsia="zh-CN"/>
        </w:rPr>
        <w:t>存在单位负责人为同一人</w:t>
      </w:r>
      <w:r>
        <w:rPr>
          <w:rFonts w:hint="eastAsia" w:ascii="宋体" w:hAnsi="宋体" w:eastAsia="宋体" w:cstheme="minorBidi"/>
          <w:b/>
          <w:bCs/>
          <w:color w:val="FF0000"/>
          <w:kern w:val="2"/>
          <w:sz w:val="21"/>
          <w:szCs w:val="22"/>
          <w:highlight w:val="yellow"/>
          <w:lang w:eastAsia="zh-CN"/>
        </w:rPr>
        <w:t>，</w:t>
      </w:r>
      <w:r>
        <w:rPr>
          <w:rFonts w:ascii="宋体" w:hAnsi="宋体" w:eastAsia="宋体" w:cstheme="minorBidi"/>
          <w:b/>
          <w:bCs/>
          <w:color w:val="FF0000"/>
          <w:kern w:val="2"/>
          <w:sz w:val="21"/>
          <w:szCs w:val="22"/>
          <w:highlight w:val="yellow"/>
          <w:lang w:eastAsia="zh-CN"/>
        </w:rPr>
        <w:t>或者存在直接控股、</w:t>
      </w:r>
      <w:r>
        <w:rPr>
          <w:rFonts w:hint="eastAsia" w:ascii="宋体" w:hAnsi="宋体" w:eastAsia="宋体" w:cstheme="minorBidi"/>
          <w:b/>
          <w:bCs/>
          <w:color w:val="FF0000"/>
          <w:kern w:val="2"/>
          <w:sz w:val="21"/>
          <w:szCs w:val="22"/>
          <w:highlight w:val="yellow"/>
          <w:lang w:eastAsia="zh-CN"/>
        </w:rPr>
        <w:t>间接控股、</w:t>
      </w:r>
      <w:r>
        <w:rPr>
          <w:rFonts w:ascii="宋体" w:hAnsi="宋体" w:eastAsia="宋体" w:cstheme="minorBidi"/>
          <w:b/>
          <w:bCs/>
          <w:color w:val="FF0000"/>
          <w:kern w:val="2"/>
          <w:sz w:val="21"/>
          <w:szCs w:val="22"/>
          <w:highlight w:val="yellow"/>
          <w:lang w:eastAsia="zh-CN"/>
        </w:rPr>
        <w:t>管理关系</w:t>
      </w:r>
      <w:r>
        <w:rPr>
          <w:rFonts w:hint="eastAsia" w:ascii="宋体" w:hAnsi="宋体" w:eastAsia="宋体" w:cstheme="minorBidi"/>
          <w:b/>
          <w:bCs/>
          <w:color w:val="FF0000"/>
          <w:kern w:val="2"/>
          <w:sz w:val="21"/>
          <w:szCs w:val="22"/>
          <w:highlight w:val="yellow"/>
          <w:lang w:eastAsia="zh-CN"/>
        </w:rPr>
        <w:t>等情形，将被纳入交易监管平台产生示警信息，由此产生的负面影响，由投标人自行承担。</w:t>
      </w:r>
    </w:p>
    <w:p w14:paraId="7A2EE0B0">
      <w:pPr>
        <w:widowControl w:val="0"/>
        <w:jc w:val="both"/>
        <w:rPr>
          <w:rFonts w:ascii="Calibri" w:hAnsi="Calibri" w:eastAsia="宋体"/>
          <w:kern w:val="2"/>
          <w:sz w:val="21"/>
          <w:szCs w:val="22"/>
          <w:lang w:eastAsia="zh-CN"/>
        </w:rPr>
      </w:pPr>
    </w:p>
    <w:p w14:paraId="66EB782E">
      <w:pPr>
        <w:keepNext/>
        <w:keepLines/>
        <w:widowControl w:val="0"/>
        <w:spacing w:before="0" w:after="0" w:line="360" w:lineRule="auto"/>
        <w:jc w:val="both"/>
        <w:outlineLvl w:val="2"/>
        <w:rPr>
          <w:rFonts w:eastAsia="宋体"/>
          <w:kern w:val="2"/>
          <w:sz w:val="21"/>
          <w:lang w:eastAsia="zh-CN"/>
        </w:rPr>
      </w:pPr>
      <w:r>
        <w:rPr>
          <w:rFonts w:hint="eastAsia" w:eastAsia="宋体"/>
          <w:kern w:val="2"/>
          <w:sz w:val="21"/>
          <w:lang w:eastAsia="zh-CN"/>
        </w:rPr>
        <w:t>2、股东构成审查表</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9"/>
        <w:gridCol w:w="6557"/>
      </w:tblGrid>
      <w:tr w14:paraId="783E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4504ECCF">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47E7CA3E">
            <w:pPr>
              <w:widowControl w:val="0"/>
              <w:autoSpaceDE w:val="0"/>
              <w:autoSpaceDN w:val="0"/>
              <w:adjustRightInd w:val="0"/>
              <w:snapToGrid w:val="0"/>
              <w:jc w:val="left"/>
              <w:rPr>
                <w:rFonts w:hint="eastAsia" w:ascii="宋体" w:hAnsi="宋体" w:eastAsia="宋体" w:cs="Segoe UI Symbol"/>
                <w:color w:val="000000"/>
                <w:sz w:val="21"/>
                <w:szCs w:val="21"/>
                <w:lang w:eastAsia="zh-CN"/>
              </w:rPr>
            </w:pPr>
          </w:p>
        </w:tc>
      </w:tr>
      <w:tr w14:paraId="4A0A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91F4E58">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55ECFBB4">
            <w:pPr>
              <w:widowControl w:val="0"/>
              <w:autoSpaceDE w:val="0"/>
              <w:autoSpaceDN w:val="0"/>
              <w:adjustRightInd w:val="0"/>
              <w:snapToGrid w:val="0"/>
              <w:jc w:val="left"/>
              <w:rPr>
                <w:rFonts w:hint="eastAsia" w:ascii="宋体" w:hAnsi="宋体" w:eastAsia="宋体" w:cs="Segoe UI Symbol"/>
                <w:color w:val="000000"/>
                <w:sz w:val="21"/>
                <w:szCs w:val="21"/>
                <w:lang w:eastAsia="zh-CN"/>
              </w:rPr>
            </w:pPr>
          </w:p>
        </w:tc>
      </w:tr>
      <w:tr w14:paraId="04C7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7DE9F01">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352F8DBC">
            <w:pPr>
              <w:widowControl w:val="0"/>
              <w:autoSpaceDE w:val="0"/>
              <w:autoSpaceDN w:val="0"/>
              <w:adjustRightInd w:val="0"/>
              <w:snapToGrid w:val="0"/>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□是，其控股股东为：</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62FC78C8">
            <w:pPr>
              <w:widowControl w:val="0"/>
              <w:autoSpaceDE w:val="0"/>
              <w:autoSpaceDN w:val="0"/>
              <w:adjustRightInd w:val="0"/>
              <w:snapToGrid w:val="0"/>
              <w:jc w:val="left"/>
              <w:rPr>
                <w:rFonts w:hint="eastAsia"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其他主要股东及其股份占比：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2BFBB921">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0DED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22936D6">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3C7EFD22">
            <w:pPr>
              <w:widowControl w:val="0"/>
              <w:autoSpaceDE w:val="0"/>
              <w:autoSpaceDN w:val="0"/>
              <w:adjustRightInd w:val="0"/>
              <w:snapToGrid w:val="0"/>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□是，该单位为：</w:t>
            </w:r>
            <w:r>
              <w:rPr>
                <w:rFonts w:hint="eastAsia" w:ascii="宋体" w:hAnsi="宋体" w:eastAsia="宋体" w:cs="Segoe UI Symbol"/>
                <w:color w:val="000000"/>
                <w:sz w:val="21"/>
                <w:szCs w:val="21"/>
                <w:u w:val="single"/>
                <w:lang w:eastAsia="zh-CN"/>
              </w:rPr>
              <w:t xml:space="preserve">                                          </w:t>
            </w:r>
          </w:p>
          <w:p w14:paraId="4855023D">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43F8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1A2864BD">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7F33ACE0">
            <w:pPr>
              <w:widowControl w:val="0"/>
              <w:autoSpaceDE w:val="0"/>
              <w:autoSpaceDN w:val="0"/>
              <w:adjustRightInd w:val="0"/>
              <w:snapToGrid w:val="0"/>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□是，与招标人的关系为：</w:t>
            </w:r>
            <w:r>
              <w:rPr>
                <w:rFonts w:hint="eastAsia" w:ascii="宋体" w:hAnsi="宋体" w:eastAsia="宋体" w:cs="Segoe UI Symbol"/>
                <w:color w:val="000000"/>
                <w:sz w:val="21"/>
                <w:szCs w:val="21"/>
                <w:u w:val="single"/>
                <w:lang w:eastAsia="zh-CN"/>
              </w:rPr>
              <w:t xml:space="preserve">                                   </w:t>
            </w:r>
          </w:p>
          <w:p w14:paraId="10409721">
            <w:pPr>
              <w:widowControl w:val="0"/>
              <w:autoSpaceDE w:val="0"/>
              <w:autoSpaceDN w:val="0"/>
              <w:adjustRightInd w:val="0"/>
              <w:snapToGrid w:val="0"/>
              <w:jc w:val="left"/>
              <w:rPr>
                <w:rFonts w:hint="eastAsia"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□否</w:t>
            </w:r>
          </w:p>
        </w:tc>
      </w:tr>
    </w:tbl>
    <w:p w14:paraId="63583E12">
      <w:pPr>
        <w:widowControl w:val="0"/>
        <w:autoSpaceDE w:val="0"/>
        <w:autoSpaceDN w:val="0"/>
        <w:adjustRightInd w:val="0"/>
        <w:snapToGrid w:val="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注：</w:t>
      </w:r>
    </w:p>
    <w:p w14:paraId="537D84A2">
      <w:pPr>
        <w:widowControl w:val="0"/>
        <w:autoSpaceDE w:val="0"/>
        <w:autoSpaceDN w:val="0"/>
        <w:adjustRightInd w:val="0"/>
        <w:snapToGrid w:val="0"/>
        <w:jc w:val="left"/>
        <w:rPr>
          <w:rFonts w:hint="eastAsia"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14:paraId="40FA9DD2">
      <w:pPr>
        <w:widowControl w:val="0"/>
        <w:autoSpaceDE w:val="0"/>
        <w:autoSpaceDN w:val="0"/>
        <w:adjustRightInd w:val="0"/>
        <w:snapToGrid w:val="0"/>
        <w:jc w:val="left"/>
        <w:rPr>
          <w:rFonts w:hint="eastAsia"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2、投标人需如实填写上述信息，如查实上述信息与实际不符，视为提供虚假证明材料骗取中标，投标人应承担相应法律后果。</w:t>
      </w:r>
    </w:p>
    <w:p w14:paraId="534DA3E2">
      <w:pPr>
        <w:widowControl w:val="0"/>
        <w:jc w:val="both"/>
        <w:rPr>
          <w:rFonts w:hint="eastAsia" w:ascii="宋体" w:hAnsi="宋体" w:eastAsia="宋体"/>
          <w:kern w:val="2"/>
          <w:sz w:val="21"/>
          <w:szCs w:val="22"/>
          <w:lang w:eastAsia="zh-CN"/>
        </w:rPr>
      </w:pPr>
    </w:p>
    <w:p w14:paraId="3D27E1C4">
      <w:pPr>
        <w:widowControl w:val="0"/>
        <w:spacing w:after="78" w:afterLines="25" w:line="300" w:lineRule="auto"/>
        <w:jc w:val="center"/>
        <w:rPr>
          <w:rFonts w:ascii="Arial" w:hAnsi="Arial" w:eastAsia="宋体"/>
          <w:b/>
          <w:kern w:val="2"/>
          <w:lang w:eastAsia="zh-CN"/>
        </w:rPr>
      </w:pPr>
    </w:p>
    <w:p w14:paraId="2E0F8672">
      <w:pPr>
        <w:widowControl/>
        <w:jc w:val="center"/>
        <w:rPr>
          <w:rFonts w:ascii="Arial" w:hAnsi="Arial" w:eastAsia="宋体"/>
          <w:kern w:val="2"/>
          <w:sz w:val="21"/>
          <w:lang w:eastAsia="zh-CN"/>
        </w:rPr>
      </w:pPr>
      <w:r>
        <w:rPr>
          <w:rFonts w:ascii="Arial" w:hAnsi="Arial" w:eastAsia="宋体"/>
          <w:kern w:val="2"/>
          <w:sz w:val="21"/>
          <w:lang w:eastAsia="zh-CN"/>
        </w:rPr>
        <w:br w:type="page"/>
      </w:r>
    </w:p>
    <w:p w14:paraId="6185B4ED">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六、</w:t>
      </w:r>
      <w:bookmarkStart w:id="35" w:name="_Hlk72092499"/>
      <w:r>
        <w:rPr>
          <w:rFonts w:hint="eastAsia" w:ascii="黑体" w:hAnsi="宋体" w:eastAsia="黑体" w:cstheme="minorBidi"/>
          <w:bCs/>
          <w:kern w:val="2"/>
          <w:szCs w:val="32"/>
          <w:lang w:eastAsia="zh-CN"/>
        </w:rPr>
        <w:t>法定代表人（负责人）证明书</w:t>
      </w:r>
      <w:bookmarkEnd w:id="35"/>
    </w:p>
    <w:p w14:paraId="6CBB4BE2">
      <w:pPr>
        <w:widowControl w:val="0"/>
        <w:jc w:val="both"/>
        <w:rPr>
          <w:rFonts w:ascii="Calibri" w:hAnsi="Calibri" w:eastAsia="宋体"/>
          <w:kern w:val="2"/>
          <w:szCs w:val="22"/>
          <w:lang w:eastAsia="zh-CN"/>
        </w:rPr>
      </w:pPr>
    </w:p>
    <w:p w14:paraId="56DF0781">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ECB925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75EFD9F6">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284AB6CA">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ascii="Calibri"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14:paraId="02241928">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14:paraId="4F5D478B">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9"/>
      </w:tblGrid>
      <w:tr w14:paraId="567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6DFEC3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11418144">
            <w:pPr>
              <w:widowControl w:val="0"/>
              <w:spacing w:line="360" w:lineRule="auto"/>
              <w:jc w:val="center"/>
              <w:rPr>
                <w:rFonts w:ascii="Calibri" w:hAnsi="Calibri" w:eastAsia="宋体"/>
                <w:b/>
                <w:bCs/>
                <w:kern w:val="2"/>
                <w:szCs w:val="22"/>
                <w:lang w:eastAsia="zh-CN"/>
              </w:rPr>
            </w:pPr>
          </w:p>
          <w:p w14:paraId="126C83FC">
            <w:pPr>
              <w:widowControl w:val="0"/>
              <w:spacing w:line="360" w:lineRule="auto"/>
              <w:jc w:val="center"/>
              <w:rPr>
                <w:rFonts w:ascii="Calibri" w:hAnsi="Calibri" w:eastAsia="宋体"/>
                <w:kern w:val="2"/>
                <w:szCs w:val="22"/>
                <w:lang w:eastAsia="zh-CN"/>
              </w:rPr>
            </w:pPr>
          </w:p>
        </w:tc>
        <w:tc>
          <w:tcPr>
            <w:tcW w:w="4265" w:type="dxa"/>
          </w:tcPr>
          <w:p w14:paraId="12B9B431">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3C72F4AA">
            <w:pPr>
              <w:widowControl w:val="0"/>
              <w:spacing w:line="360" w:lineRule="auto"/>
              <w:jc w:val="center"/>
              <w:rPr>
                <w:rFonts w:ascii="Calibri" w:hAnsi="Calibri" w:eastAsia="宋体"/>
                <w:b/>
                <w:bCs/>
                <w:kern w:val="2"/>
                <w:szCs w:val="22"/>
                <w:lang w:eastAsia="zh-CN"/>
              </w:rPr>
            </w:pPr>
          </w:p>
          <w:p w14:paraId="49D21660">
            <w:pPr>
              <w:widowControl w:val="0"/>
              <w:spacing w:line="360" w:lineRule="auto"/>
              <w:jc w:val="center"/>
              <w:rPr>
                <w:rFonts w:ascii="Calibri" w:hAnsi="Calibri" w:eastAsia="宋体"/>
                <w:kern w:val="2"/>
                <w:szCs w:val="22"/>
                <w:lang w:eastAsia="zh-CN"/>
              </w:rPr>
            </w:pPr>
          </w:p>
        </w:tc>
      </w:tr>
    </w:tbl>
    <w:p w14:paraId="5CDB5982">
      <w:pPr>
        <w:widowControl w:val="0"/>
        <w:jc w:val="both"/>
        <w:rPr>
          <w:rFonts w:ascii="Calibri" w:hAnsi="Calibri" w:eastAsia="宋体"/>
          <w:kern w:val="2"/>
          <w:szCs w:val="22"/>
          <w:lang w:eastAsia="zh-CN"/>
        </w:rPr>
      </w:pPr>
    </w:p>
    <w:p w14:paraId="6C677B67">
      <w:pPr>
        <w:keepNext/>
        <w:keepLines/>
        <w:widowControl w:val="0"/>
        <w:spacing w:before="120" w:after="12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七、投标文件签署授权委托书</w:t>
      </w:r>
    </w:p>
    <w:p w14:paraId="5A27D79C">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7B4F453D">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3DECCFA6">
      <w:pPr>
        <w:widowControl w:val="0"/>
        <w:spacing w:line="360" w:lineRule="auto"/>
        <w:ind w:firstLine="420" w:firstLineChars="200"/>
        <w:jc w:val="both"/>
        <w:rPr>
          <w:rFonts w:ascii="Calibri" w:hAnsi="Calibri" w:eastAsia="宋体"/>
          <w:kern w:val="2"/>
          <w:sz w:val="21"/>
          <w:szCs w:val="21"/>
          <w:lang w:eastAsia="zh-CN"/>
        </w:rPr>
      </w:pPr>
    </w:p>
    <w:p w14:paraId="046E9A09">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378910F6">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3C499CA3">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1CBE67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14654C94">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9"/>
      </w:tblGrid>
      <w:tr w14:paraId="72B5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6747E65">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75A8FB79">
            <w:pPr>
              <w:widowControl w:val="0"/>
              <w:spacing w:line="360" w:lineRule="auto"/>
              <w:jc w:val="center"/>
              <w:rPr>
                <w:rFonts w:ascii="Calibri" w:hAnsi="Calibri" w:eastAsia="宋体"/>
                <w:b/>
                <w:bCs/>
                <w:kern w:val="2"/>
                <w:szCs w:val="22"/>
                <w:lang w:eastAsia="zh-CN"/>
              </w:rPr>
            </w:pPr>
          </w:p>
          <w:p w14:paraId="01DFBF3E">
            <w:pPr>
              <w:widowControl w:val="0"/>
              <w:spacing w:line="360" w:lineRule="auto"/>
              <w:jc w:val="center"/>
              <w:rPr>
                <w:rFonts w:ascii="Calibri" w:hAnsi="Calibri" w:eastAsia="宋体"/>
                <w:kern w:val="2"/>
                <w:szCs w:val="22"/>
                <w:lang w:eastAsia="zh-CN"/>
              </w:rPr>
            </w:pPr>
          </w:p>
        </w:tc>
        <w:tc>
          <w:tcPr>
            <w:tcW w:w="4265" w:type="dxa"/>
          </w:tcPr>
          <w:p w14:paraId="10308E0E">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53CABC95">
            <w:pPr>
              <w:widowControl w:val="0"/>
              <w:spacing w:line="360" w:lineRule="auto"/>
              <w:jc w:val="center"/>
              <w:rPr>
                <w:rFonts w:ascii="Calibri" w:hAnsi="Calibri" w:eastAsia="宋体"/>
                <w:b/>
                <w:bCs/>
                <w:kern w:val="2"/>
                <w:szCs w:val="22"/>
                <w:lang w:eastAsia="zh-CN"/>
              </w:rPr>
            </w:pPr>
          </w:p>
          <w:p w14:paraId="2F7FD845">
            <w:pPr>
              <w:widowControl w:val="0"/>
              <w:spacing w:line="360" w:lineRule="auto"/>
              <w:jc w:val="center"/>
              <w:rPr>
                <w:rFonts w:ascii="Calibri" w:hAnsi="Calibri" w:eastAsia="宋体"/>
                <w:kern w:val="2"/>
                <w:szCs w:val="22"/>
                <w:lang w:eastAsia="zh-CN"/>
              </w:rPr>
            </w:pPr>
          </w:p>
        </w:tc>
      </w:tr>
    </w:tbl>
    <w:p w14:paraId="14E0112C">
      <w:pPr>
        <w:widowControl w:val="0"/>
        <w:tabs>
          <w:tab w:val="left" w:pos="651"/>
        </w:tabs>
        <w:snapToGrid w:val="0"/>
        <w:jc w:val="center"/>
        <w:rPr>
          <w:rFonts w:ascii="黑体" w:hAnsi="Calibri" w:eastAsia="黑体"/>
          <w:lang w:eastAsia="zh-CN"/>
        </w:rPr>
      </w:pPr>
    </w:p>
    <w:p w14:paraId="1CBA3414">
      <w:pPr>
        <w:widowControl w:val="0"/>
        <w:tabs>
          <w:tab w:val="left" w:pos="651"/>
        </w:tabs>
        <w:snapToGrid w:val="0"/>
        <w:jc w:val="center"/>
        <w:rPr>
          <w:rFonts w:ascii="黑体" w:hAnsi="Calibri" w:eastAsia="黑体"/>
          <w:lang w:eastAsia="zh-CN"/>
        </w:rPr>
      </w:pPr>
    </w:p>
    <w:p w14:paraId="1DD43EFE">
      <w:pPr>
        <w:widowControl w:val="0"/>
        <w:tabs>
          <w:tab w:val="left" w:pos="651"/>
        </w:tabs>
        <w:snapToGrid w:val="0"/>
        <w:jc w:val="center"/>
        <w:rPr>
          <w:rFonts w:ascii="黑体" w:hAnsi="Calibri" w:eastAsia="黑体"/>
          <w:lang w:eastAsia="zh-CN"/>
        </w:rPr>
      </w:pPr>
    </w:p>
    <w:p w14:paraId="31EAE963">
      <w:pPr>
        <w:widowControl w:val="0"/>
        <w:tabs>
          <w:tab w:val="left" w:pos="651"/>
        </w:tabs>
        <w:snapToGrid w:val="0"/>
        <w:jc w:val="center"/>
        <w:rPr>
          <w:rFonts w:ascii="黑体" w:hAnsi="Calibri" w:eastAsia="黑体"/>
          <w:lang w:eastAsia="zh-CN"/>
        </w:rPr>
      </w:pPr>
    </w:p>
    <w:p w14:paraId="3EBFA348">
      <w:pPr>
        <w:widowControl w:val="0"/>
        <w:tabs>
          <w:tab w:val="left" w:pos="651"/>
        </w:tabs>
        <w:snapToGrid w:val="0"/>
        <w:jc w:val="center"/>
        <w:rPr>
          <w:rFonts w:hint="eastAsia" w:ascii="宋体" w:hAnsi="宋体" w:eastAsia="宋体"/>
          <w:b/>
          <w:bCs/>
          <w:szCs w:val="20"/>
          <w:lang w:eastAsia="zh-CN"/>
        </w:rPr>
      </w:pPr>
      <w:r>
        <w:rPr>
          <w:rFonts w:hint="eastAsia" w:ascii="黑体" w:hAnsi="Calibri" w:eastAsia="黑体" w:cstheme="minorBidi"/>
          <w:lang w:eastAsia="zh-CN"/>
        </w:rPr>
        <w:t>八、</w:t>
      </w:r>
      <w:bookmarkStart w:id="36" w:name="_Hlk72092634"/>
      <w:r>
        <w:rPr>
          <w:rFonts w:hint="eastAsia" w:ascii="黑体" w:hAnsi="Calibri" w:eastAsia="黑体" w:cstheme="minorBidi"/>
          <w:lang w:eastAsia="zh-CN"/>
        </w:rPr>
        <w:t>实质性条款响应情况表</w:t>
      </w:r>
      <w:bookmarkEnd w:id="36"/>
    </w:p>
    <w:p w14:paraId="2682CA1B">
      <w:pPr>
        <w:widowControl w:val="0"/>
        <w:snapToGrid w:val="0"/>
        <w:jc w:val="both"/>
        <w:rPr>
          <w:rFonts w:ascii="Arial" w:hAnsi="Arial" w:eastAsia="宋体" w:cs="Arial"/>
          <w:kern w:val="2"/>
          <w:lang w:eastAsia="zh-CN"/>
        </w:rPr>
      </w:pPr>
      <w:r>
        <w:rPr>
          <w:rFonts w:hint="eastAsia" w:ascii="Arial" w:hAnsi="Arial" w:eastAsia="宋体" w:cs="Arial"/>
          <w:color w:val="000000"/>
          <w:kern w:val="2"/>
          <w:lang w:eastAsia="zh-CN"/>
        </w:rPr>
        <w:t>投标单位（投标人）名称：</w:t>
      </w:r>
      <w:r>
        <w:rPr>
          <w:rFonts w:ascii="Arial" w:hAnsi="Arial" w:eastAsia="宋体" w:cs="Arial"/>
          <w:color w:val="000000"/>
          <w:kern w:val="2"/>
          <w:u w:val="single"/>
          <w:lang w:eastAsia="zh-CN"/>
        </w:rPr>
        <w:t xml:space="preserve">                         </w:t>
      </w:r>
    </w:p>
    <w:p w14:paraId="59B074E6">
      <w:pPr>
        <w:widowControl w:val="0"/>
        <w:snapToGrid w:val="0"/>
        <w:jc w:val="both"/>
        <w:rPr>
          <w:rFonts w:hint="eastAsia" w:ascii="宋体" w:hAnsi="宋体" w:eastAsia="宋体"/>
          <w:b/>
          <w:kern w:val="2"/>
          <w:lang w:eastAsia="zh-CN"/>
        </w:rPr>
      </w:pPr>
    </w:p>
    <w:tbl>
      <w:tblPr>
        <w:tblStyle w:val="13"/>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9"/>
        <w:gridCol w:w="3671"/>
        <w:gridCol w:w="2049"/>
        <w:gridCol w:w="1631"/>
        <w:gridCol w:w="935"/>
      </w:tblGrid>
      <w:tr w14:paraId="3E4433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4A7763A9">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序号</w:t>
            </w:r>
          </w:p>
        </w:tc>
        <w:tc>
          <w:tcPr>
            <w:tcW w:w="3901" w:type="dxa"/>
            <w:vAlign w:val="center"/>
          </w:tcPr>
          <w:p w14:paraId="764190C7">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实质性条款具体内容</w:t>
            </w:r>
          </w:p>
        </w:tc>
        <w:tc>
          <w:tcPr>
            <w:tcW w:w="2176" w:type="dxa"/>
            <w:vAlign w:val="center"/>
          </w:tcPr>
          <w:p w14:paraId="04DB7502">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投标文件响应</w:t>
            </w:r>
          </w:p>
        </w:tc>
        <w:tc>
          <w:tcPr>
            <w:tcW w:w="1732" w:type="dxa"/>
          </w:tcPr>
          <w:p w14:paraId="72DD18FF">
            <w:pPr>
              <w:widowControl w:val="0"/>
              <w:spacing w:before="156" w:beforeLines="5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偏离情况</w:t>
            </w:r>
          </w:p>
        </w:tc>
        <w:tc>
          <w:tcPr>
            <w:tcW w:w="992" w:type="dxa"/>
            <w:vAlign w:val="center"/>
          </w:tcPr>
          <w:p w14:paraId="0471A1F1">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说明</w:t>
            </w:r>
          </w:p>
        </w:tc>
      </w:tr>
      <w:tr w14:paraId="41689E8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0504FC02">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1</w:t>
            </w:r>
          </w:p>
        </w:tc>
        <w:tc>
          <w:tcPr>
            <w:tcW w:w="3901" w:type="dxa"/>
            <w:vAlign w:val="center"/>
          </w:tcPr>
          <w:p w14:paraId="5E405C25">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本项目招标文件中所有带★号条款内容</w:t>
            </w:r>
          </w:p>
        </w:tc>
        <w:tc>
          <w:tcPr>
            <w:tcW w:w="2176" w:type="dxa"/>
            <w:vAlign w:val="center"/>
          </w:tcPr>
          <w:p w14:paraId="253BC95C">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完全响应</w:t>
            </w:r>
          </w:p>
        </w:tc>
        <w:tc>
          <w:tcPr>
            <w:tcW w:w="1732" w:type="dxa"/>
            <w:vAlign w:val="center"/>
          </w:tcPr>
          <w:p w14:paraId="4CECB036">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无偏离</w:t>
            </w:r>
          </w:p>
        </w:tc>
        <w:tc>
          <w:tcPr>
            <w:tcW w:w="992" w:type="dxa"/>
            <w:vAlign w:val="center"/>
          </w:tcPr>
          <w:p w14:paraId="1456DCC1">
            <w:pPr>
              <w:widowControl w:val="0"/>
              <w:spacing w:line="300" w:lineRule="auto"/>
              <w:jc w:val="center"/>
              <w:rPr>
                <w:rFonts w:hint="eastAsia" w:ascii="宋体" w:hAnsi="宋体" w:eastAsia="宋体"/>
                <w:b/>
                <w:color w:val="FF0000"/>
                <w:sz w:val="21"/>
                <w:szCs w:val="21"/>
                <w:lang w:eastAsia="zh-CN"/>
              </w:rPr>
            </w:pPr>
          </w:p>
        </w:tc>
      </w:tr>
    </w:tbl>
    <w:p w14:paraId="4EA844E5">
      <w:pPr>
        <w:widowControl w:val="0"/>
        <w:snapToGrid w:val="0"/>
        <w:jc w:val="both"/>
        <w:rPr>
          <w:rFonts w:hint="eastAsia" w:ascii="宋体" w:hAnsi="宋体" w:eastAsia="宋体"/>
          <w:kern w:val="2"/>
          <w:lang w:eastAsia="zh-CN"/>
        </w:rPr>
      </w:pPr>
    </w:p>
    <w:p w14:paraId="7C4D9850">
      <w:pPr>
        <w:widowControl w:val="0"/>
        <w:snapToGrid w:val="0"/>
        <w:jc w:val="both"/>
        <w:rPr>
          <w:rFonts w:hint="eastAsia" w:ascii="宋体" w:hAnsi="宋体" w:eastAsia="宋体"/>
          <w:b/>
          <w:kern w:val="2"/>
          <w:lang w:eastAsia="zh-CN"/>
        </w:rPr>
      </w:pPr>
      <w:r>
        <w:rPr>
          <w:rFonts w:hint="eastAsia" w:ascii="宋体" w:hAnsi="宋体" w:eastAsia="宋体"/>
          <w:b/>
          <w:kern w:val="2"/>
          <w:lang w:eastAsia="zh-CN"/>
        </w:rPr>
        <w:t>填写说明：</w:t>
      </w:r>
    </w:p>
    <w:p w14:paraId="1E234E4B">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1、上表所列各项均为不可负偏离条款。</w:t>
      </w:r>
    </w:p>
    <w:p w14:paraId="1936BB96">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2、“投标文件响应”一栏应当详细填写投标人自身响应情况，而不能不合理照搬照抄招标文件实质性条款具体内容。</w:t>
      </w:r>
      <w:r>
        <w:rPr>
          <w:rFonts w:hint="eastAsia" w:ascii="宋体" w:hAnsi="宋体" w:eastAsia="宋体" w:cs="宋体"/>
          <w:b/>
          <w:bCs/>
          <w:kern w:val="2"/>
          <w:lang w:eastAsia="zh-CN"/>
        </w:rPr>
        <w:t>如完全满足实质性条款具体内容可填写“完全响应”，除招标文件另有注明外，不强制要求逐条列出响应。</w:t>
      </w:r>
    </w:p>
    <w:p w14:paraId="56C9A429">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3、“偏离情况”一栏应填写</w:t>
      </w:r>
      <w:r>
        <w:rPr>
          <w:rFonts w:hint="eastAsia" w:ascii="宋体" w:hAnsi="宋体" w:eastAsia="宋体" w:cs="宋体"/>
          <w:kern w:val="2"/>
          <w:lang w:eastAsia="zh-CN"/>
        </w:rPr>
        <w:t>“</w:t>
      </w:r>
      <w:r>
        <w:rPr>
          <w:rFonts w:hint="eastAsia" w:ascii="宋体" w:hAnsi="宋体" w:eastAsia="宋体" w:cs="宋体"/>
          <w:b/>
          <w:bCs/>
          <w:kern w:val="2"/>
          <w:lang w:eastAsia="zh-CN"/>
        </w:rPr>
        <w:t>正偏离</w:t>
      </w:r>
      <w:r>
        <w:rPr>
          <w:rFonts w:hint="eastAsia" w:ascii="宋体" w:hAnsi="宋体" w:eastAsia="宋体" w:cs="宋体"/>
          <w:kern w:val="2"/>
          <w:lang w:eastAsia="zh-CN"/>
        </w:rPr>
        <w:t>”或“</w:t>
      </w:r>
      <w:r>
        <w:rPr>
          <w:rFonts w:hint="eastAsia" w:ascii="宋体" w:hAnsi="宋体" w:eastAsia="宋体" w:cs="宋体"/>
          <w:b/>
          <w:bCs/>
          <w:kern w:val="2"/>
          <w:lang w:eastAsia="zh-CN"/>
        </w:rPr>
        <w:t>负偏离</w:t>
      </w:r>
      <w:r>
        <w:rPr>
          <w:rFonts w:hint="eastAsia" w:ascii="宋体" w:hAnsi="宋体" w:eastAsia="宋体" w:cs="宋体"/>
          <w:kern w:val="2"/>
          <w:lang w:eastAsia="zh-CN"/>
        </w:rPr>
        <w:t>”或“</w:t>
      </w:r>
      <w:r>
        <w:rPr>
          <w:rFonts w:hint="eastAsia" w:ascii="宋体" w:hAnsi="宋体" w:eastAsia="宋体" w:cs="宋体"/>
          <w:b/>
          <w:bCs/>
          <w:kern w:val="2"/>
          <w:lang w:eastAsia="zh-CN"/>
        </w:rPr>
        <w:t>无偏离</w:t>
      </w:r>
      <w:r>
        <w:rPr>
          <w:rFonts w:hint="eastAsia" w:ascii="宋体" w:hAnsi="宋体" w:eastAsia="宋体" w:cs="宋体"/>
          <w:kern w:val="2"/>
          <w:lang w:eastAsia="zh-CN"/>
        </w:rPr>
        <w:t>”</w:t>
      </w:r>
      <w:r>
        <w:rPr>
          <w:rFonts w:hint="eastAsia" w:ascii="宋体" w:hAnsi="宋体" w:eastAsia="宋体" w:cs="宋体"/>
          <w:bCs/>
          <w:kern w:val="2"/>
          <w:lang w:eastAsia="zh-CN"/>
        </w:rPr>
        <w:t>，“正偏离”表示“投标响应优于实质性条款具体内容要求”，“负偏离”表示“投标响应不满足实质性条款具体内容要求”，“无偏离”表示“投标响应与实质性条款具体内容要求一致”。</w:t>
      </w:r>
    </w:p>
    <w:p w14:paraId="7948EA21">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4、评审委员会有权对投标响应情况作出判断。</w:t>
      </w:r>
    </w:p>
    <w:p w14:paraId="126C5DE9">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5、实质性响应条款“投标响应情况”与投标文件其它内容冲突的，以实质性响应条款“投标响应情况”为准。</w:t>
      </w:r>
    </w:p>
    <w:p w14:paraId="19FBD157">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6、以上实质性条款中要求提供证明材料，需如实提供证明材料扫描件，在“说明”一栏中列明证明材料的位置，以便评审；未要求提供证明材料的，投标人可以不提供。</w:t>
      </w:r>
    </w:p>
    <w:p w14:paraId="0519E196">
      <w:pPr>
        <w:widowControl w:val="0"/>
        <w:jc w:val="both"/>
        <w:rPr>
          <w:rFonts w:hint="eastAsia" w:ascii="宋体" w:hAnsi="宋体" w:eastAsia="宋体"/>
          <w:b/>
          <w:bCs/>
          <w:szCs w:val="20"/>
          <w:lang w:eastAsia="zh-CN"/>
        </w:rPr>
      </w:pPr>
      <w:r>
        <w:rPr>
          <w:rFonts w:hint="eastAsia" w:ascii="宋体" w:hAnsi="宋体" w:eastAsia="宋体"/>
          <w:b/>
          <w:bCs/>
          <w:szCs w:val="20"/>
          <w:lang w:eastAsia="zh-CN"/>
        </w:rPr>
        <w:br w:type="page"/>
      </w:r>
    </w:p>
    <w:p w14:paraId="31176920">
      <w:pPr>
        <w:keepNext/>
        <w:keepLines/>
        <w:widowControl w:val="0"/>
        <w:spacing w:before="260" w:after="260" w:line="240" w:lineRule="auto"/>
        <w:jc w:val="center"/>
        <w:outlineLvl w:val="2"/>
        <w:rPr>
          <w:rFonts w:hint="eastAsia" w:ascii="宋体" w:hAnsi="宋体" w:eastAsia="宋体"/>
          <w:b/>
          <w:bCs/>
          <w:kern w:val="2"/>
          <w:szCs w:val="32"/>
          <w:lang w:eastAsia="zh-CN"/>
        </w:rPr>
      </w:pPr>
      <w:r>
        <w:rPr>
          <w:rFonts w:hint="eastAsia" w:ascii="黑体" w:hAnsi="宋体" w:eastAsia="黑体" w:cstheme="minorBidi"/>
          <w:kern w:val="2"/>
          <w:szCs w:val="20"/>
          <w:lang w:eastAsia="zh-CN"/>
        </w:rPr>
        <w:t>九、</w:t>
      </w:r>
      <w:r>
        <w:rPr>
          <w:rFonts w:hint="eastAsia" w:ascii="黑体" w:hAnsi="宋体" w:eastAsia="黑体" w:cstheme="minorBidi"/>
          <w:bCs/>
          <w:kern w:val="2"/>
          <w:lang w:eastAsia="zh-CN"/>
        </w:rPr>
        <w:t>技术要求偏离表</w:t>
      </w:r>
    </w:p>
    <w:tbl>
      <w:tblPr>
        <w:tblStyle w:val="13"/>
        <w:tblW w:w="5000"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81"/>
        <w:gridCol w:w="3839"/>
        <w:gridCol w:w="2654"/>
        <w:gridCol w:w="718"/>
        <w:gridCol w:w="395"/>
      </w:tblGrid>
      <w:tr w14:paraId="4CB8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14:paraId="5B698B19">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序号</w:t>
            </w:r>
          </w:p>
        </w:tc>
        <w:tc>
          <w:tcPr>
            <w:tcW w:w="772" w:type="dxa"/>
            <w:vAlign w:val="center"/>
          </w:tcPr>
          <w:p w14:paraId="313EF131">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货物名称</w:t>
            </w:r>
          </w:p>
        </w:tc>
        <w:tc>
          <w:tcPr>
            <w:tcW w:w="3795" w:type="dxa"/>
            <w:vAlign w:val="center"/>
          </w:tcPr>
          <w:p w14:paraId="67F4725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招标技术要求</w:t>
            </w:r>
          </w:p>
        </w:tc>
        <w:tc>
          <w:tcPr>
            <w:tcW w:w="2623" w:type="dxa"/>
            <w:vAlign w:val="center"/>
          </w:tcPr>
          <w:p w14:paraId="2F97A8EC">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投标技术响应</w:t>
            </w:r>
          </w:p>
        </w:tc>
        <w:tc>
          <w:tcPr>
            <w:tcW w:w="710" w:type="dxa"/>
            <w:vAlign w:val="center"/>
          </w:tcPr>
          <w:p w14:paraId="24961947">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偏离情况</w:t>
            </w:r>
          </w:p>
        </w:tc>
        <w:tc>
          <w:tcPr>
            <w:tcW w:w="390" w:type="dxa"/>
            <w:vAlign w:val="center"/>
          </w:tcPr>
          <w:p w14:paraId="54AE2BA4">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说明</w:t>
            </w:r>
          </w:p>
        </w:tc>
      </w:tr>
      <w:tr w14:paraId="5FC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14:paraId="4BA8335C">
            <w:pPr>
              <w:widowControl w:val="0"/>
              <w:jc w:val="center"/>
              <w:rPr>
                <w:rFonts w:ascii="Calibri" w:hAnsi="Calibri" w:eastAsia="宋体"/>
                <w:color w:val="000000"/>
                <w:kern w:val="2"/>
                <w:sz w:val="21"/>
                <w:szCs w:val="21"/>
                <w:lang w:eastAsia="zh-CN"/>
              </w:rPr>
            </w:pPr>
            <w:r>
              <w:rPr>
                <w:rFonts w:ascii="Calibri" w:hAnsi="Calibri" w:eastAsia="宋体" w:cstheme="minorBidi"/>
                <w:color w:val="000000"/>
                <w:kern w:val="2"/>
                <w:sz w:val="21"/>
                <w:szCs w:val="21"/>
                <w:lang w:eastAsia="zh-CN"/>
              </w:rPr>
              <w:t>1</w:t>
            </w:r>
          </w:p>
        </w:tc>
        <w:tc>
          <w:tcPr>
            <w:tcW w:w="772" w:type="dxa"/>
            <w:vMerge w:val="restart"/>
            <w:vAlign w:val="center"/>
          </w:tcPr>
          <w:p w14:paraId="53DFD7A0">
            <w:pPr>
              <w:widowControl w:val="0"/>
              <w:jc w:val="center"/>
              <w:rPr>
                <w:rFonts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w:t>
            </w:r>
            <w:r>
              <w:rPr>
                <w:rFonts w:ascii="Calibri" w:hAnsi="Calibri" w:eastAsia="宋体" w:cstheme="minorBidi"/>
                <w:color w:val="000000"/>
                <w:kern w:val="2"/>
                <w:sz w:val="21"/>
                <w:szCs w:val="21"/>
                <w:lang w:eastAsia="zh-CN"/>
              </w:rPr>
              <w:t>**</w:t>
            </w:r>
            <w:r>
              <w:rPr>
                <w:rFonts w:hint="eastAsia" w:ascii="Calibri" w:hAnsi="Calibri" w:eastAsia="宋体" w:cstheme="minorBidi"/>
                <w:color w:val="000000"/>
                <w:kern w:val="2"/>
                <w:sz w:val="21"/>
                <w:szCs w:val="21"/>
                <w:lang w:eastAsia="zh-CN"/>
              </w:rPr>
              <w:t>设备</w:t>
            </w:r>
          </w:p>
        </w:tc>
        <w:tc>
          <w:tcPr>
            <w:tcW w:w="3795" w:type="dxa"/>
          </w:tcPr>
          <w:p w14:paraId="71FB182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4EA1F570">
            <w:pPr>
              <w:widowControl w:val="0"/>
              <w:jc w:val="both"/>
              <w:rPr>
                <w:rFonts w:ascii="Calibri" w:hAnsi="Calibri" w:eastAsia="宋体"/>
                <w:color w:val="000000"/>
                <w:kern w:val="2"/>
                <w:sz w:val="21"/>
                <w:szCs w:val="21"/>
                <w:lang w:eastAsia="zh-CN"/>
              </w:rPr>
            </w:pPr>
          </w:p>
        </w:tc>
        <w:tc>
          <w:tcPr>
            <w:tcW w:w="710" w:type="dxa"/>
          </w:tcPr>
          <w:p w14:paraId="56BCCF1C">
            <w:pPr>
              <w:widowControl w:val="0"/>
              <w:jc w:val="both"/>
              <w:rPr>
                <w:rFonts w:ascii="Calibri" w:hAnsi="Calibri" w:eastAsia="宋体"/>
                <w:color w:val="000000"/>
                <w:kern w:val="2"/>
                <w:sz w:val="21"/>
                <w:szCs w:val="21"/>
                <w:lang w:eastAsia="zh-CN"/>
              </w:rPr>
            </w:pPr>
          </w:p>
        </w:tc>
        <w:tc>
          <w:tcPr>
            <w:tcW w:w="390" w:type="dxa"/>
          </w:tcPr>
          <w:p w14:paraId="34082EF4">
            <w:pPr>
              <w:widowControl w:val="0"/>
              <w:jc w:val="both"/>
              <w:rPr>
                <w:rFonts w:ascii="Calibri" w:hAnsi="Calibri" w:eastAsia="宋体"/>
                <w:color w:val="000000"/>
                <w:kern w:val="2"/>
                <w:sz w:val="21"/>
                <w:szCs w:val="21"/>
                <w:lang w:eastAsia="zh-CN"/>
              </w:rPr>
            </w:pPr>
          </w:p>
        </w:tc>
      </w:tr>
      <w:tr w14:paraId="1181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6E6CBB80">
            <w:pPr>
              <w:widowControl w:val="0"/>
              <w:jc w:val="center"/>
              <w:rPr>
                <w:rFonts w:ascii="Calibri" w:hAnsi="Calibri" w:eastAsia="宋体"/>
                <w:color w:val="000000"/>
                <w:kern w:val="2"/>
                <w:sz w:val="21"/>
                <w:szCs w:val="21"/>
                <w:lang w:eastAsia="zh-CN"/>
              </w:rPr>
            </w:pPr>
          </w:p>
        </w:tc>
        <w:tc>
          <w:tcPr>
            <w:tcW w:w="772" w:type="dxa"/>
            <w:vMerge w:val="continue"/>
            <w:vAlign w:val="center"/>
          </w:tcPr>
          <w:p w14:paraId="79F57FDC">
            <w:pPr>
              <w:widowControl w:val="0"/>
              <w:jc w:val="center"/>
              <w:rPr>
                <w:rFonts w:ascii="Calibri" w:hAnsi="Calibri" w:eastAsia="宋体"/>
                <w:color w:val="000000"/>
                <w:kern w:val="2"/>
                <w:sz w:val="21"/>
                <w:szCs w:val="21"/>
                <w:lang w:eastAsia="zh-CN"/>
              </w:rPr>
            </w:pPr>
          </w:p>
        </w:tc>
        <w:tc>
          <w:tcPr>
            <w:tcW w:w="3795" w:type="dxa"/>
          </w:tcPr>
          <w:p w14:paraId="6F61011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6128042E">
            <w:pPr>
              <w:widowControl w:val="0"/>
              <w:jc w:val="both"/>
              <w:rPr>
                <w:rFonts w:ascii="Calibri" w:hAnsi="Calibri" w:eastAsia="宋体"/>
                <w:color w:val="000000"/>
                <w:kern w:val="2"/>
                <w:sz w:val="21"/>
                <w:szCs w:val="21"/>
                <w:lang w:eastAsia="zh-CN"/>
              </w:rPr>
            </w:pPr>
          </w:p>
        </w:tc>
        <w:tc>
          <w:tcPr>
            <w:tcW w:w="710" w:type="dxa"/>
          </w:tcPr>
          <w:p w14:paraId="03CAA675">
            <w:pPr>
              <w:widowControl w:val="0"/>
              <w:jc w:val="both"/>
              <w:rPr>
                <w:rFonts w:ascii="Calibri" w:hAnsi="Calibri" w:eastAsia="宋体"/>
                <w:color w:val="000000"/>
                <w:kern w:val="2"/>
                <w:sz w:val="21"/>
                <w:szCs w:val="21"/>
                <w:lang w:eastAsia="zh-CN"/>
              </w:rPr>
            </w:pPr>
          </w:p>
        </w:tc>
        <w:tc>
          <w:tcPr>
            <w:tcW w:w="390" w:type="dxa"/>
          </w:tcPr>
          <w:p w14:paraId="6A36F206">
            <w:pPr>
              <w:widowControl w:val="0"/>
              <w:jc w:val="both"/>
              <w:rPr>
                <w:rFonts w:ascii="Calibri" w:hAnsi="Calibri" w:eastAsia="宋体"/>
                <w:color w:val="000000"/>
                <w:kern w:val="2"/>
                <w:sz w:val="21"/>
                <w:szCs w:val="21"/>
                <w:lang w:eastAsia="zh-CN"/>
              </w:rPr>
            </w:pPr>
          </w:p>
        </w:tc>
      </w:tr>
      <w:tr w14:paraId="7FCD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7295DEC3">
            <w:pPr>
              <w:widowControl w:val="0"/>
              <w:jc w:val="center"/>
              <w:rPr>
                <w:rFonts w:ascii="Calibri" w:hAnsi="Calibri" w:eastAsia="宋体"/>
                <w:color w:val="000000"/>
                <w:kern w:val="2"/>
                <w:sz w:val="21"/>
                <w:szCs w:val="21"/>
                <w:lang w:eastAsia="zh-CN"/>
              </w:rPr>
            </w:pPr>
          </w:p>
        </w:tc>
        <w:tc>
          <w:tcPr>
            <w:tcW w:w="772" w:type="dxa"/>
            <w:vMerge w:val="continue"/>
            <w:vAlign w:val="center"/>
          </w:tcPr>
          <w:p w14:paraId="447C981E">
            <w:pPr>
              <w:widowControl w:val="0"/>
              <w:jc w:val="center"/>
              <w:rPr>
                <w:rFonts w:ascii="Calibri" w:hAnsi="Calibri" w:eastAsia="宋体"/>
                <w:color w:val="000000"/>
                <w:kern w:val="2"/>
                <w:sz w:val="21"/>
                <w:szCs w:val="21"/>
                <w:lang w:eastAsia="zh-CN"/>
              </w:rPr>
            </w:pPr>
          </w:p>
        </w:tc>
        <w:tc>
          <w:tcPr>
            <w:tcW w:w="3795" w:type="dxa"/>
          </w:tcPr>
          <w:p w14:paraId="7D023884">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03D01ACB">
            <w:pPr>
              <w:widowControl w:val="0"/>
              <w:jc w:val="both"/>
              <w:rPr>
                <w:rFonts w:ascii="Calibri" w:hAnsi="Calibri" w:eastAsia="宋体"/>
                <w:color w:val="000000"/>
                <w:kern w:val="2"/>
                <w:sz w:val="21"/>
                <w:szCs w:val="21"/>
                <w:lang w:eastAsia="zh-CN"/>
              </w:rPr>
            </w:pPr>
          </w:p>
        </w:tc>
        <w:tc>
          <w:tcPr>
            <w:tcW w:w="710" w:type="dxa"/>
          </w:tcPr>
          <w:p w14:paraId="4B6F005C">
            <w:pPr>
              <w:widowControl w:val="0"/>
              <w:jc w:val="both"/>
              <w:rPr>
                <w:rFonts w:ascii="Calibri" w:hAnsi="Calibri" w:eastAsia="宋体"/>
                <w:color w:val="000000"/>
                <w:kern w:val="2"/>
                <w:sz w:val="21"/>
                <w:szCs w:val="21"/>
                <w:lang w:eastAsia="zh-CN"/>
              </w:rPr>
            </w:pPr>
          </w:p>
        </w:tc>
        <w:tc>
          <w:tcPr>
            <w:tcW w:w="390" w:type="dxa"/>
          </w:tcPr>
          <w:p w14:paraId="074086B1">
            <w:pPr>
              <w:widowControl w:val="0"/>
              <w:jc w:val="both"/>
              <w:rPr>
                <w:rFonts w:ascii="Calibri" w:hAnsi="Calibri" w:eastAsia="宋体"/>
                <w:color w:val="000000"/>
                <w:kern w:val="2"/>
                <w:sz w:val="21"/>
                <w:szCs w:val="21"/>
                <w:lang w:eastAsia="zh-CN"/>
              </w:rPr>
            </w:pPr>
          </w:p>
        </w:tc>
      </w:tr>
      <w:tr w14:paraId="1F48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33084317">
            <w:pPr>
              <w:widowControl w:val="0"/>
              <w:jc w:val="center"/>
              <w:rPr>
                <w:rFonts w:ascii="Calibri" w:hAnsi="Calibri" w:eastAsia="宋体"/>
                <w:color w:val="000000"/>
                <w:kern w:val="2"/>
                <w:sz w:val="21"/>
                <w:szCs w:val="21"/>
                <w:lang w:eastAsia="zh-CN"/>
              </w:rPr>
            </w:pPr>
          </w:p>
        </w:tc>
        <w:tc>
          <w:tcPr>
            <w:tcW w:w="772" w:type="dxa"/>
            <w:vMerge w:val="continue"/>
            <w:vAlign w:val="center"/>
          </w:tcPr>
          <w:p w14:paraId="41C4AB4F">
            <w:pPr>
              <w:widowControl w:val="0"/>
              <w:jc w:val="center"/>
              <w:rPr>
                <w:rFonts w:ascii="Calibri" w:hAnsi="Calibri" w:eastAsia="宋体"/>
                <w:color w:val="000000"/>
                <w:kern w:val="2"/>
                <w:sz w:val="21"/>
                <w:szCs w:val="21"/>
                <w:lang w:eastAsia="zh-CN"/>
              </w:rPr>
            </w:pPr>
          </w:p>
        </w:tc>
        <w:tc>
          <w:tcPr>
            <w:tcW w:w="3795" w:type="dxa"/>
          </w:tcPr>
          <w:p w14:paraId="320CC8FE">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51213D90">
            <w:pPr>
              <w:widowControl w:val="0"/>
              <w:jc w:val="both"/>
              <w:rPr>
                <w:rFonts w:ascii="Calibri" w:hAnsi="Calibri" w:eastAsia="宋体"/>
                <w:color w:val="000000"/>
                <w:kern w:val="2"/>
                <w:sz w:val="21"/>
                <w:szCs w:val="21"/>
                <w:lang w:eastAsia="zh-CN"/>
              </w:rPr>
            </w:pPr>
          </w:p>
        </w:tc>
        <w:tc>
          <w:tcPr>
            <w:tcW w:w="710" w:type="dxa"/>
          </w:tcPr>
          <w:p w14:paraId="06B4D383">
            <w:pPr>
              <w:widowControl w:val="0"/>
              <w:jc w:val="both"/>
              <w:rPr>
                <w:rFonts w:ascii="Calibri" w:hAnsi="Calibri" w:eastAsia="宋体"/>
                <w:color w:val="000000"/>
                <w:kern w:val="2"/>
                <w:sz w:val="21"/>
                <w:szCs w:val="21"/>
                <w:lang w:eastAsia="zh-CN"/>
              </w:rPr>
            </w:pPr>
          </w:p>
        </w:tc>
        <w:tc>
          <w:tcPr>
            <w:tcW w:w="390" w:type="dxa"/>
          </w:tcPr>
          <w:p w14:paraId="70C957FE">
            <w:pPr>
              <w:widowControl w:val="0"/>
              <w:jc w:val="both"/>
              <w:rPr>
                <w:rFonts w:ascii="Calibri" w:hAnsi="Calibri" w:eastAsia="宋体"/>
                <w:color w:val="000000"/>
                <w:kern w:val="2"/>
                <w:sz w:val="21"/>
                <w:szCs w:val="21"/>
                <w:lang w:eastAsia="zh-CN"/>
              </w:rPr>
            </w:pPr>
          </w:p>
        </w:tc>
      </w:tr>
      <w:tr w14:paraId="6D99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F51F0B1">
            <w:pPr>
              <w:widowControl w:val="0"/>
              <w:jc w:val="center"/>
              <w:rPr>
                <w:rFonts w:ascii="Calibri" w:hAnsi="Calibri" w:eastAsia="宋体"/>
                <w:color w:val="000000"/>
                <w:kern w:val="2"/>
                <w:sz w:val="21"/>
                <w:szCs w:val="21"/>
                <w:lang w:eastAsia="zh-CN"/>
              </w:rPr>
            </w:pPr>
          </w:p>
        </w:tc>
        <w:tc>
          <w:tcPr>
            <w:tcW w:w="772" w:type="dxa"/>
            <w:vMerge w:val="continue"/>
            <w:vAlign w:val="center"/>
          </w:tcPr>
          <w:p w14:paraId="3992595D">
            <w:pPr>
              <w:widowControl w:val="0"/>
              <w:jc w:val="center"/>
              <w:rPr>
                <w:rFonts w:ascii="Calibri" w:hAnsi="Calibri" w:eastAsia="宋体"/>
                <w:color w:val="000000"/>
                <w:kern w:val="2"/>
                <w:sz w:val="21"/>
                <w:szCs w:val="21"/>
                <w:lang w:eastAsia="zh-CN"/>
              </w:rPr>
            </w:pPr>
          </w:p>
        </w:tc>
        <w:tc>
          <w:tcPr>
            <w:tcW w:w="3795" w:type="dxa"/>
          </w:tcPr>
          <w:p w14:paraId="73B0F03E">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0BEE4B03">
            <w:pPr>
              <w:widowControl w:val="0"/>
              <w:jc w:val="both"/>
              <w:rPr>
                <w:rFonts w:ascii="Calibri" w:hAnsi="Calibri" w:eastAsia="宋体"/>
                <w:color w:val="000000"/>
                <w:kern w:val="2"/>
                <w:sz w:val="21"/>
                <w:szCs w:val="21"/>
                <w:lang w:eastAsia="zh-CN"/>
              </w:rPr>
            </w:pPr>
          </w:p>
        </w:tc>
        <w:tc>
          <w:tcPr>
            <w:tcW w:w="710" w:type="dxa"/>
          </w:tcPr>
          <w:p w14:paraId="0397A9BA">
            <w:pPr>
              <w:widowControl w:val="0"/>
              <w:jc w:val="both"/>
              <w:rPr>
                <w:rFonts w:ascii="Calibri" w:hAnsi="Calibri" w:eastAsia="宋体"/>
                <w:color w:val="000000"/>
                <w:kern w:val="2"/>
                <w:sz w:val="21"/>
                <w:szCs w:val="21"/>
                <w:lang w:eastAsia="zh-CN"/>
              </w:rPr>
            </w:pPr>
          </w:p>
        </w:tc>
        <w:tc>
          <w:tcPr>
            <w:tcW w:w="390" w:type="dxa"/>
          </w:tcPr>
          <w:p w14:paraId="0E185314">
            <w:pPr>
              <w:widowControl w:val="0"/>
              <w:jc w:val="both"/>
              <w:rPr>
                <w:rFonts w:ascii="Calibri" w:hAnsi="Calibri" w:eastAsia="宋体"/>
                <w:color w:val="000000"/>
                <w:kern w:val="2"/>
                <w:sz w:val="21"/>
                <w:szCs w:val="21"/>
                <w:lang w:eastAsia="zh-CN"/>
              </w:rPr>
            </w:pPr>
          </w:p>
        </w:tc>
      </w:tr>
      <w:tr w14:paraId="24C6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464F075">
            <w:pPr>
              <w:widowControl w:val="0"/>
              <w:jc w:val="center"/>
              <w:rPr>
                <w:rFonts w:ascii="Calibri" w:hAnsi="Calibri" w:eastAsia="宋体"/>
                <w:color w:val="000000"/>
                <w:kern w:val="2"/>
                <w:sz w:val="21"/>
                <w:szCs w:val="21"/>
                <w:lang w:eastAsia="zh-CN"/>
              </w:rPr>
            </w:pPr>
          </w:p>
        </w:tc>
        <w:tc>
          <w:tcPr>
            <w:tcW w:w="772" w:type="dxa"/>
            <w:vMerge w:val="continue"/>
            <w:vAlign w:val="center"/>
          </w:tcPr>
          <w:p w14:paraId="0C15B76C">
            <w:pPr>
              <w:widowControl w:val="0"/>
              <w:jc w:val="center"/>
              <w:rPr>
                <w:rFonts w:ascii="Calibri" w:hAnsi="Calibri" w:eastAsia="宋体"/>
                <w:color w:val="000000"/>
                <w:kern w:val="2"/>
                <w:sz w:val="21"/>
                <w:szCs w:val="21"/>
                <w:lang w:eastAsia="zh-CN"/>
              </w:rPr>
            </w:pPr>
          </w:p>
        </w:tc>
        <w:tc>
          <w:tcPr>
            <w:tcW w:w="3795" w:type="dxa"/>
          </w:tcPr>
          <w:p w14:paraId="7514B19C">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4672BD86">
            <w:pPr>
              <w:widowControl w:val="0"/>
              <w:jc w:val="both"/>
              <w:rPr>
                <w:rFonts w:ascii="Calibri" w:hAnsi="Calibri" w:eastAsia="宋体"/>
                <w:color w:val="000000"/>
                <w:kern w:val="2"/>
                <w:sz w:val="21"/>
                <w:szCs w:val="21"/>
                <w:lang w:eastAsia="zh-CN"/>
              </w:rPr>
            </w:pPr>
          </w:p>
        </w:tc>
        <w:tc>
          <w:tcPr>
            <w:tcW w:w="710" w:type="dxa"/>
          </w:tcPr>
          <w:p w14:paraId="0D200294">
            <w:pPr>
              <w:widowControl w:val="0"/>
              <w:jc w:val="both"/>
              <w:rPr>
                <w:rFonts w:ascii="Calibri" w:hAnsi="Calibri" w:eastAsia="宋体"/>
                <w:color w:val="000000"/>
                <w:kern w:val="2"/>
                <w:sz w:val="21"/>
                <w:szCs w:val="21"/>
                <w:lang w:eastAsia="zh-CN"/>
              </w:rPr>
            </w:pPr>
          </w:p>
        </w:tc>
        <w:tc>
          <w:tcPr>
            <w:tcW w:w="390" w:type="dxa"/>
          </w:tcPr>
          <w:p w14:paraId="45F8A49E">
            <w:pPr>
              <w:widowControl w:val="0"/>
              <w:jc w:val="both"/>
              <w:rPr>
                <w:rFonts w:ascii="Calibri" w:hAnsi="Calibri" w:eastAsia="宋体"/>
                <w:color w:val="000000"/>
                <w:kern w:val="2"/>
                <w:sz w:val="21"/>
                <w:szCs w:val="21"/>
                <w:lang w:eastAsia="zh-CN"/>
              </w:rPr>
            </w:pPr>
          </w:p>
        </w:tc>
      </w:tr>
      <w:tr w14:paraId="3489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992FB02">
            <w:pPr>
              <w:widowControl w:val="0"/>
              <w:jc w:val="center"/>
              <w:rPr>
                <w:rFonts w:ascii="Calibri" w:hAnsi="Calibri" w:eastAsia="宋体"/>
                <w:color w:val="000000"/>
                <w:kern w:val="2"/>
                <w:sz w:val="21"/>
                <w:szCs w:val="21"/>
                <w:lang w:eastAsia="zh-CN"/>
              </w:rPr>
            </w:pPr>
          </w:p>
        </w:tc>
        <w:tc>
          <w:tcPr>
            <w:tcW w:w="772" w:type="dxa"/>
            <w:vMerge w:val="continue"/>
            <w:vAlign w:val="center"/>
          </w:tcPr>
          <w:p w14:paraId="6D902BE6">
            <w:pPr>
              <w:widowControl w:val="0"/>
              <w:jc w:val="center"/>
              <w:rPr>
                <w:rFonts w:ascii="Calibri" w:hAnsi="Calibri" w:eastAsia="宋体"/>
                <w:color w:val="000000"/>
                <w:kern w:val="2"/>
                <w:sz w:val="21"/>
                <w:szCs w:val="21"/>
                <w:lang w:eastAsia="zh-CN"/>
              </w:rPr>
            </w:pPr>
          </w:p>
        </w:tc>
        <w:tc>
          <w:tcPr>
            <w:tcW w:w="3795" w:type="dxa"/>
          </w:tcPr>
          <w:p w14:paraId="05B87557">
            <w:pPr>
              <w:widowControl w:val="0"/>
              <w:jc w:val="center"/>
              <w:rPr>
                <w:rFonts w:ascii="Calibri" w:hAnsi="Calibri" w:eastAsia="宋体"/>
                <w:b/>
                <w:bCs/>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4CE56CD8">
            <w:pPr>
              <w:widowControl w:val="0"/>
              <w:jc w:val="both"/>
              <w:rPr>
                <w:rFonts w:ascii="Calibri" w:hAnsi="Calibri" w:eastAsia="宋体"/>
                <w:b/>
                <w:bCs/>
                <w:color w:val="FF0000"/>
                <w:kern w:val="2"/>
                <w:sz w:val="21"/>
                <w:szCs w:val="21"/>
                <w:lang w:eastAsia="zh-CN"/>
              </w:rPr>
            </w:pPr>
          </w:p>
        </w:tc>
        <w:tc>
          <w:tcPr>
            <w:tcW w:w="710" w:type="dxa"/>
          </w:tcPr>
          <w:p w14:paraId="2CC6F8A8">
            <w:pPr>
              <w:widowControl w:val="0"/>
              <w:jc w:val="both"/>
              <w:rPr>
                <w:rFonts w:ascii="Calibri" w:hAnsi="Calibri" w:eastAsia="宋体"/>
                <w:b/>
                <w:bCs/>
                <w:color w:val="FF0000"/>
                <w:kern w:val="2"/>
                <w:sz w:val="21"/>
                <w:szCs w:val="21"/>
                <w:lang w:eastAsia="zh-CN"/>
              </w:rPr>
            </w:pPr>
          </w:p>
        </w:tc>
        <w:tc>
          <w:tcPr>
            <w:tcW w:w="390" w:type="dxa"/>
          </w:tcPr>
          <w:p w14:paraId="79D27C29">
            <w:pPr>
              <w:widowControl w:val="0"/>
              <w:jc w:val="both"/>
              <w:rPr>
                <w:rFonts w:ascii="Calibri" w:hAnsi="Calibri" w:eastAsia="宋体"/>
                <w:b/>
                <w:bCs/>
                <w:color w:val="FF0000"/>
                <w:kern w:val="2"/>
                <w:sz w:val="21"/>
                <w:szCs w:val="21"/>
                <w:lang w:eastAsia="zh-CN"/>
              </w:rPr>
            </w:pPr>
          </w:p>
        </w:tc>
      </w:tr>
      <w:tr w14:paraId="185E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09BCE9C">
            <w:pPr>
              <w:widowControl w:val="0"/>
              <w:jc w:val="center"/>
              <w:rPr>
                <w:rFonts w:ascii="Calibri" w:hAnsi="Calibri" w:eastAsia="宋体"/>
                <w:color w:val="000000"/>
                <w:kern w:val="2"/>
                <w:sz w:val="21"/>
                <w:szCs w:val="21"/>
                <w:lang w:eastAsia="zh-CN"/>
              </w:rPr>
            </w:pPr>
          </w:p>
        </w:tc>
        <w:tc>
          <w:tcPr>
            <w:tcW w:w="772" w:type="dxa"/>
            <w:vMerge w:val="continue"/>
            <w:vAlign w:val="center"/>
          </w:tcPr>
          <w:p w14:paraId="61063DE6">
            <w:pPr>
              <w:widowControl w:val="0"/>
              <w:jc w:val="center"/>
              <w:rPr>
                <w:rFonts w:ascii="Calibri" w:hAnsi="Calibri" w:eastAsia="宋体"/>
                <w:color w:val="000000"/>
                <w:kern w:val="2"/>
                <w:sz w:val="21"/>
                <w:szCs w:val="21"/>
                <w:lang w:eastAsia="zh-CN"/>
              </w:rPr>
            </w:pPr>
          </w:p>
        </w:tc>
        <w:tc>
          <w:tcPr>
            <w:tcW w:w="3795" w:type="dxa"/>
          </w:tcPr>
          <w:p w14:paraId="4005598B">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38E2C16D">
            <w:pPr>
              <w:widowControl w:val="0"/>
              <w:jc w:val="both"/>
              <w:rPr>
                <w:rFonts w:ascii="Calibri" w:hAnsi="Calibri" w:eastAsia="宋体"/>
                <w:color w:val="000000"/>
                <w:kern w:val="2"/>
                <w:sz w:val="21"/>
                <w:szCs w:val="21"/>
                <w:lang w:eastAsia="zh-CN"/>
              </w:rPr>
            </w:pPr>
          </w:p>
        </w:tc>
        <w:tc>
          <w:tcPr>
            <w:tcW w:w="710" w:type="dxa"/>
          </w:tcPr>
          <w:p w14:paraId="09DCEF95">
            <w:pPr>
              <w:widowControl w:val="0"/>
              <w:jc w:val="both"/>
              <w:rPr>
                <w:rFonts w:ascii="Calibri" w:hAnsi="Calibri" w:eastAsia="宋体"/>
                <w:color w:val="000000"/>
                <w:kern w:val="2"/>
                <w:sz w:val="21"/>
                <w:szCs w:val="21"/>
                <w:lang w:eastAsia="zh-CN"/>
              </w:rPr>
            </w:pPr>
          </w:p>
        </w:tc>
        <w:tc>
          <w:tcPr>
            <w:tcW w:w="390" w:type="dxa"/>
          </w:tcPr>
          <w:p w14:paraId="7B559DBE">
            <w:pPr>
              <w:widowControl w:val="0"/>
              <w:jc w:val="both"/>
              <w:rPr>
                <w:rFonts w:ascii="Calibri" w:hAnsi="Calibri" w:eastAsia="宋体"/>
                <w:color w:val="000000"/>
                <w:kern w:val="2"/>
                <w:sz w:val="21"/>
                <w:szCs w:val="21"/>
                <w:lang w:eastAsia="zh-CN"/>
              </w:rPr>
            </w:pPr>
          </w:p>
        </w:tc>
      </w:tr>
      <w:tr w14:paraId="5B9B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14:paraId="0FD19877">
            <w:pPr>
              <w:widowControl w:val="0"/>
              <w:jc w:val="center"/>
              <w:rPr>
                <w:rFonts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2</w:t>
            </w:r>
          </w:p>
        </w:tc>
        <w:tc>
          <w:tcPr>
            <w:tcW w:w="772" w:type="dxa"/>
            <w:vMerge w:val="restart"/>
            <w:vAlign w:val="center"/>
          </w:tcPr>
          <w:p w14:paraId="4952F8D9">
            <w:pPr>
              <w:widowControl w:val="0"/>
              <w:jc w:val="center"/>
              <w:rPr>
                <w:rFonts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w:t>
            </w:r>
            <w:r>
              <w:rPr>
                <w:rFonts w:ascii="Calibri" w:hAnsi="Calibri" w:eastAsia="宋体" w:cstheme="minorBidi"/>
                <w:color w:val="000000"/>
                <w:kern w:val="2"/>
                <w:sz w:val="21"/>
                <w:szCs w:val="21"/>
                <w:lang w:eastAsia="zh-CN"/>
              </w:rPr>
              <w:t>*</w:t>
            </w:r>
            <w:r>
              <w:rPr>
                <w:rFonts w:hint="eastAsia" w:ascii="Calibri" w:hAnsi="Calibri" w:eastAsia="宋体" w:cstheme="minorBidi"/>
                <w:color w:val="000000"/>
                <w:kern w:val="2"/>
                <w:sz w:val="21"/>
                <w:szCs w:val="21"/>
                <w:lang w:eastAsia="zh-CN"/>
              </w:rPr>
              <w:t>设备</w:t>
            </w:r>
          </w:p>
        </w:tc>
        <w:tc>
          <w:tcPr>
            <w:tcW w:w="3795" w:type="dxa"/>
          </w:tcPr>
          <w:p w14:paraId="53B06B44">
            <w:pPr>
              <w:widowControl w:val="0"/>
              <w:jc w:val="center"/>
              <w:rPr>
                <w:rFonts w:ascii="Calibri" w:hAnsi="Calibri" w:eastAsia="宋体"/>
                <w:b/>
                <w:bCs/>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63E1C203">
            <w:pPr>
              <w:widowControl w:val="0"/>
              <w:jc w:val="both"/>
              <w:rPr>
                <w:rFonts w:ascii="Calibri" w:hAnsi="Calibri" w:eastAsia="宋体"/>
                <w:b/>
                <w:bCs/>
                <w:color w:val="FF0000"/>
                <w:kern w:val="2"/>
                <w:sz w:val="21"/>
                <w:szCs w:val="21"/>
                <w:lang w:eastAsia="zh-CN"/>
              </w:rPr>
            </w:pPr>
          </w:p>
        </w:tc>
        <w:tc>
          <w:tcPr>
            <w:tcW w:w="710" w:type="dxa"/>
          </w:tcPr>
          <w:p w14:paraId="607D7A04">
            <w:pPr>
              <w:widowControl w:val="0"/>
              <w:jc w:val="both"/>
              <w:rPr>
                <w:rFonts w:ascii="Calibri" w:hAnsi="Calibri" w:eastAsia="宋体"/>
                <w:b/>
                <w:bCs/>
                <w:color w:val="FF0000"/>
                <w:kern w:val="2"/>
                <w:sz w:val="21"/>
                <w:szCs w:val="21"/>
                <w:lang w:eastAsia="zh-CN"/>
              </w:rPr>
            </w:pPr>
          </w:p>
        </w:tc>
        <w:tc>
          <w:tcPr>
            <w:tcW w:w="390" w:type="dxa"/>
          </w:tcPr>
          <w:p w14:paraId="0EBDCFE8">
            <w:pPr>
              <w:widowControl w:val="0"/>
              <w:jc w:val="both"/>
              <w:rPr>
                <w:rFonts w:ascii="Calibri" w:hAnsi="Calibri" w:eastAsia="宋体"/>
                <w:b/>
                <w:bCs/>
                <w:color w:val="FF0000"/>
                <w:kern w:val="2"/>
                <w:sz w:val="21"/>
                <w:szCs w:val="21"/>
                <w:lang w:eastAsia="zh-CN"/>
              </w:rPr>
            </w:pPr>
          </w:p>
        </w:tc>
      </w:tr>
      <w:tr w14:paraId="204F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14:paraId="73FB6C02">
            <w:pPr>
              <w:widowControl w:val="0"/>
              <w:jc w:val="center"/>
              <w:rPr>
                <w:rFonts w:ascii="Calibri" w:hAnsi="Calibri" w:eastAsia="宋体"/>
                <w:color w:val="000000"/>
                <w:kern w:val="2"/>
                <w:sz w:val="21"/>
                <w:szCs w:val="21"/>
                <w:lang w:eastAsia="zh-CN"/>
              </w:rPr>
            </w:pPr>
          </w:p>
        </w:tc>
        <w:tc>
          <w:tcPr>
            <w:tcW w:w="772" w:type="dxa"/>
            <w:vMerge w:val="continue"/>
          </w:tcPr>
          <w:p w14:paraId="2A421F3D">
            <w:pPr>
              <w:widowControl w:val="0"/>
              <w:jc w:val="both"/>
              <w:rPr>
                <w:rFonts w:ascii="Calibri" w:hAnsi="Calibri" w:eastAsia="宋体"/>
                <w:color w:val="000000"/>
                <w:kern w:val="2"/>
                <w:sz w:val="21"/>
                <w:szCs w:val="21"/>
                <w:lang w:eastAsia="zh-CN"/>
              </w:rPr>
            </w:pPr>
          </w:p>
        </w:tc>
        <w:tc>
          <w:tcPr>
            <w:tcW w:w="3795" w:type="dxa"/>
          </w:tcPr>
          <w:p w14:paraId="0A8658A3">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5865184E">
            <w:pPr>
              <w:widowControl w:val="0"/>
              <w:jc w:val="both"/>
              <w:rPr>
                <w:rFonts w:ascii="Calibri" w:hAnsi="Calibri" w:eastAsia="宋体"/>
                <w:color w:val="000000"/>
                <w:kern w:val="2"/>
                <w:sz w:val="21"/>
                <w:szCs w:val="21"/>
                <w:lang w:eastAsia="zh-CN"/>
              </w:rPr>
            </w:pPr>
          </w:p>
        </w:tc>
        <w:tc>
          <w:tcPr>
            <w:tcW w:w="710" w:type="dxa"/>
          </w:tcPr>
          <w:p w14:paraId="4A061327">
            <w:pPr>
              <w:widowControl w:val="0"/>
              <w:jc w:val="both"/>
              <w:rPr>
                <w:rFonts w:ascii="Calibri" w:hAnsi="Calibri" w:eastAsia="宋体"/>
                <w:color w:val="000000"/>
                <w:kern w:val="2"/>
                <w:sz w:val="21"/>
                <w:szCs w:val="21"/>
                <w:lang w:eastAsia="zh-CN"/>
              </w:rPr>
            </w:pPr>
          </w:p>
        </w:tc>
        <w:tc>
          <w:tcPr>
            <w:tcW w:w="390" w:type="dxa"/>
          </w:tcPr>
          <w:p w14:paraId="24D399F3">
            <w:pPr>
              <w:widowControl w:val="0"/>
              <w:jc w:val="both"/>
              <w:rPr>
                <w:rFonts w:ascii="Calibri" w:hAnsi="Calibri" w:eastAsia="宋体"/>
                <w:color w:val="000000"/>
                <w:kern w:val="2"/>
                <w:sz w:val="21"/>
                <w:szCs w:val="21"/>
                <w:lang w:eastAsia="zh-CN"/>
              </w:rPr>
            </w:pPr>
          </w:p>
        </w:tc>
      </w:tr>
      <w:tr w14:paraId="6B8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14:paraId="0EB126A5">
            <w:pPr>
              <w:widowControl w:val="0"/>
              <w:jc w:val="center"/>
              <w:rPr>
                <w:rFonts w:ascii="Calibri" w:hAnsi="Calibri" w:eastAsia="宋体"/>
                <w:color w:val="000000"/>
                <w:kern w:val="2"/>
                <w:sz w:val="21"/>
                <w:szCs w:val="21"/>
                <w:lang w:eastAsia="zh-CN"/>
              </w:rPr>
            </w:pPr>
          </w:p>
        </w:tc>
        <w:tc>
          <w:tcPr>
            <w:tcW w:w="772" w:type="dxa"/>
            <w:vMerge w:val="continue"/>
          </w:tcPr>
          <w:p w14:paraId="1E0D273D">
            <w:pPr>
              <w:widowControl w:val="0"/>
              <w:jc w:val="both"/>
              <w:rPr>
                <w:rFonts w:ascii="Calibri" w:hAnsi="Calibri" w:eastAsia="宋体"/>
                <w:color w:val="000000"/>
                <w:kern w:val="2"/>
                <w:sz w:val="21"/>
                <w:szCs w:val="21"/>
                <w:lang w:eastAsia="zh-CN"/>
              </w:rPr>
            </w:pPr>
          </w:p>
        </w:tc>
        <w:tc>
          <w:tcPr>
            <w:tcW w:w="3795" w:type="dxa"/>
          </w:tcPr>
          <w:p w14:paraId="0E0CAA1D">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2B5CADCE">
            <w:pPr>
              <w:widowControl w:val="0"/>
              <w:jc w:val="both"/>
              <w:rPr>
                <w:rFonts w:ascii="Calibri" w:hAnsi="Calibri" w:eastAsia="宋体"/>
                <w:color w:val="000000"/>
                <w:kern w:val="2"/>
                <w:sz w:val="21"/>
                <w:szCs w:val="21"/>
                <w:lang w:eastAsia="zh-CN"/>
              </w:rPr>
            </w:pPr>
          </w:p>
        </w:tc>
        <w:tc>
          <w:tcPr>
            <w:tcW w:w="710" w:type="dxa"/>
          </w:tcPr>
          <w:p w14:paraId="17D74BBE">
            <w:pPr>
              <w:widowControl w:val="0"/>
              <w:jc w:val="both"/>
              <w:rPr>
                <w:rFonts w:ascii="Calibri" w:hAnsi="Calibri" w:eastAsia="宋体"/>
                <w:color w:val="000000"/>
                <w:kern w:val="2"/>
                <w:sz w:val="21"/>
                <w:szCs w:val="21"/>
                <w:lang w:eastAsia="zh-CN"/>
              </w:rPr>
            </w:pPr>
          </w:p>
        </w:tc>
        <w:tc>
          <w:tcPr>
            <w:tcW w:w="390" w:type="dxa"/>
          </w:tcPr>
          <w:p w14:paraId="03D2BFAF">
            <w:pPr>
              <w:widowControl w:val="0"/>
              <w:jc w:val="both"/>
              <w:rPr>
                <w:rFonts w:ascii="Calibri" w:hAnsi="Calibri" w:eastAsia="宋体"/>
                <w:color w:val="000000"/>
                <w:kern w:val="2"/>
                <w:sz w:val="21"/>
                <w:szCs w:val="21"/>
                <w:lang w:eastAsia="zh-CN"/>
              </w:rPr>
            </w:pPr>
          </w:p>
        </w:tc>
      </w:tr>
      <w:tr w14:paraId="2CD3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14:paraId="7EA73ADB">
            <w:pPr>
              <w:widowControl w:val="0"/>
              <w:jc w:val="center"/>
              <w:rPr>
                <w:rFonts w:ascii="Calibri" w:hAnsi="Calibri" w:eastAsia="宋体"/>
                <w:color w:val="000000"/>
                <w:kern w:val="2"/>
                <w:sz w:val="21"/>
                <w:szCs w:val="21"/>
                <w:lang w:eastAsia="zh-CN"/>
              </w:rPr>
            </w:pPr>
          </w:p>
        </w:tc>
        <w:tc>
          <w:tcPr>
            <w:tcW w:w="772" w:type="dxa"/>
            <w:vMerge w:val="continue"/>
          </w:tcPr>
          <w:p w14:paraId="1933D3C7">
            <w:pPr>
              <w:widowControl w:val="0"/>
              <w:jc w:val="both"/>
              <w:rPr>
                <w:rFonts w:ascii="Calibri" w:hAnsi="Calibri" w:eastAsia="宋体"/>
                <w:color w:val="000000"/>
                <w:kern w:val="2"/>
                <w:sz w:val="21"/>
                <w:szCs w:val="21"/>
                <w:lang w:eastAsia="zh-CN"/>
              </w:rPr>
            </w:pPr>
          </w:p>
        </w:tc>
        <w:tc>
          <w:tcPr>
            <w:tcW w:w="3795" w:type="dxa"/>
          </w:tcPr>
          <w:p w14:paraId="1FEE11D0">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3BD6358F">
            <w:pPr>
              <w:widowControl w:val="0"/>
              <w:jc w:val="both"/>
              <w:rPr>
                <w:rFonts w:ascii="Calibri" w:hAnsi="Calibri" w:eastAsia="宋体"/>
                <w:color w:val="000000"/>
                <w:kern w:val="2"/>
                <w:sz w:val="21"/>
                <w:szCs w:val="21"/>
                <w:lang w:eastAsia="zh-CN"/>
              </w:rPr>
            </w:pPr>
          </w:p>
        </w:tc>
        <w:tc>
          <w:tcPr>
            <w:tcW w:w="710" w:type="dxa"/>
          </w:tcPr>
          <w:p w14:paraId="747B53C0">
            <w:pPr>
              <w:widowControl w:val="0"/>
              <w:jc w:val="both"/>
              <w:rPr>
                <w:rFonts w:ascii="Calibri" w:hAnsi="Calibri" w:eastAsia="宋体"/>
                <w:color w:val="000000"/>
                <w:kern w:val="2"/>
                <w:sz w:val="21"/>
                <w:szCs w:val="21"/>
                <w:lang w:eastAsia="zh-CN"/>
              </w:rPr>
            </w:pPr>
          </w:p>
        </w:tc>
        <w:tc>
          <w:tcPr>
            <w:tcW w:w="390" w:type="dxa"/>
          </w:tcPr>
          <w:p w14:paraId="12216181">
            <w:pPr>
              <w:widowControl w:val="0"/>
              <w:jc w:val="both"/>
              <w:rPr>
                <w:rFonts w:ascii="Calibri" w:hAnsi="Calibri" w:eastAsia="宋体"/>
                <w:color w:val="000000"/>
                <w:kern w:val="2"/>
                <w:sz w:val="21"/>
                <w:szCs w:val="21"/>
                <w:lang w:eastAsia="zh-CN"/>
              </w:rPr>
            </w:pPr>
          </w:p>
        </w:tc>
      </w:tr>
    </w:tbl>
    <w:p w14:paraId="13C59D9C">
      <w:pPr>
        <w:widowControl w:val="0"/>
        <w:jc w:val="both"/>
        <w:rPr>
          <w:rFonts w:ascii="Calibri" w:hAnsi="Calibri" w:eastAsia="宋体"/>
          <w:kern w:val="2"/>
          <w:szCs w:val="22"/>
          <w:lang w:eastAsia="zh-CN"/>
        </w:rPr>
      </w:pPr>
    </w:p>
    <w:p w14:paraId="6F07BDB4">
      <w:pPr>
        <w:widowControl w:val="0"/>
        <w:jc w:val="both"/>
        <w:rPr>
          <w:rFonts w:ascii="Calibri" w:hAnsi="Calibri" w:eastAsia="宋体"/>
          <w:kern w:val="2"/>
          <w:sz w:val="21"/>
          <w:szCs w:val="21"/>
          <w:lang w:eastAsia="zh-CN"/>
        </w:rPr>
      </w:pPr>
      <w:bookmarkStart w:id="37" w:name="_Hlk72095977"/>
      <w:r>
        <w:rPr>
          <w:rFonts w:hint="eastAsia" w:ascii="Calibri" w:hAnsi="Calibri" w:eastAsia="宋体" w:cstheme="minorBidi"/>
          <w:kern w:val="2"/>
          <w:sz w:val="21"/>
          <w:szCs w:val="21"/>
          <w:lang w:eastAsia="zh-CN"/>
        </w:rPr>
        <w:t>证明资料【如有的话，提供的证明资料应统一编号（排序），格式自定】</w:t>
      </w:r>
      <w:bookmarkEnd w:id="37"/>
      <w:r>
        <w:rPr>
          <w:rFonts w:hint="eastAsia" w:ascii="Calibri" w:hAnsi="Calibri" w:eastAsia="宋体" w:cstheme="minorBidi"/>
          <w:kern w:val="2"/>
          <w:sz w:val="21"/>
          <w:szCs w:val="21"/>
          <w:lang w:eastAsia="zh-CN"/>
        </w:rPr>
        <w:t>：</w:t>
      </w:r>
    </w:p>
    <w:p w14:paraId="19E5F294">
      <w:pPr>
        <w:widowControl w:val="0"/>
        <w:jc w:val="both"/>
        <w:rPr>
          <w:rFonts w:ascii="Calibri" w:hAnsi="Calibri" w:eastAsia="宋体"/>
          <w:b/>
          <w:kern w:val="2"/>
          <w:sz w:val="21"/>
          <w:szCs w:val="21"/>
          <w:lang w:eastAsia="zh-CN"/>
        </w:rPr>
      </w:pPr>
    </w:p>
    <w:p w14:paraId="04C4F49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《技术要求偏离表》编制指引：</w:t>
      </w:r>
    </w:p>
    <w:p w14:paraId="29EFAB2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1、技术要求偏离表的序号、货物名称、招标技术要求等栏目</w:t>
      </w:r>
      <w:bookmarkStart w:id="38" w:name="_Hlk72094407"/>
      <w:r>
        <w:rPr>
          <w:rFonts w:hint="eastAsia" w:ascii="Calibri" w:hAnsi="Calibri" w:eastAsia="宋体" w:cstheme="minorBidi"/>
          <w:bCs/>
          <w:kern w:val="2"/>
          <w:sz w:val="21"/>
          <w:szCs w:val="21"/>
          <w:lang w:eastAsia="zh-CN"/>
        </w:rPr>
        <w:t>对应“用户需求书”中的“技术要求”章节</w:t>
      </w:r>
      <w:bookmarkEnd w:id="38"/>
      <w:r>
        <w:rPr>
          <w:rFonts w:hint="eastAsia" w:ascii="Calibri" w:hAnsi="Calibri" w:eastAsia="宋体" w:cstheme="minorBidi"/>
          <w:bCs/>
          <w:kern w:val="2"/>
          <w:sz w:val="21"/>
          <w:szCs w:val="21"/>
          <w:lang w:eastAsia="zh-CN"/>
        </w:rPr>
        <w:t>相关内容。</w:t>
      </w:r>
    </w:p>
    <w:p w14:paraId="6E9160F7">
      <w:pPr>
        <w:widowControl/>
        <w:spacing w:before="100" w:beforeAutospacing="0" w:afterAutospacing="0"/>
        <w:ind w:firstLine="420" w:firstLineChars="200"/>
        <w:jc w:val="both"/>
        <w:outlineLvl w:val="1"/>
        <w:rPr>
          <w:rFonts w:eastAsia="宋体"/>
          <w:bCs/>
          <w:color w:val="FF0000"/>
          <w:kern w:val="2"/>
          <w:sz w:val="21"/>
          <w:szCs w:val="21"/>
          <w:lang w:eastAsia="zh-CN"/>
        </w:rPr>
      </w:pPr>
      <w:r>
        <w:rPr>
          <w:rFonts w:ascii="宋体" w:hAnsi="宋体" w:eastAsia="宋体" w:cstheme="minorBidi"/>
          <w:bCs/>
          <w:kern w:val="2"/>
          <w:sz w:val="21"/>
          <w:szCs w:val="21"/>
          <w:lang w:eastAsia="zh-CN"/>
        </w:rPr>
        <w:t>2</w:t>
      </w:r>
      <w:r>
        <w:rPr>
          <w:rFonts w:hint="eastAsia" w:ascii="宋体" w:hAnsi="宋体" w:eastAsia="宋体" w:cstheme="minorBidi"/>
          <w:bCs/>
          <w:kern w:val="2"/>
          <w:sz w:val="21"/>
          <w:szCs w:val="21"/>
          <w:lang w:eastAsia="zh-CN"/>
        </w:rPr>
        <w:t>、“投标技术响应”一栏必须一一对照“招标技术要求”，详细填写投标人自身投标货物的具体参数，而不能不合理照搬照抄招标文件的技术要求，以体现具体响应情况。</w:t>
      </w:r>
      <w:r>
        <w:rPr>
          <w:rFonts w:hint="eastAsia" w:eastAsia="宋体"/>
          <w:bCs/>
          <w:color w:val="FF0000"/>
          <w:kern w:val="2"/>
          <w:sz w:val="21"/>
          <w:szCs w:val="21"/>
          <w:lang w:eastAsia="zh-CN"/>
        </w:rPr>
        <w:t>“投标技术响应”必须与</w:t>
      </w:r>
      <w:r>
        <w:rPr>
          <w:rFonts w:hint="eastAsia" w:ascii="宋体" w:hAnsi="宋体" w:eastAsia="宋体"/>
          <w:bCs/>
          <w:color w:val="FF0000"/>
          <w:kern w:val="2"/>
          <w:sz w:val="21"/>
          <w:szCs w:val="21"/>
          <w:lang w:eastAsia="zh-CN"/>
        </w:rPr>
        <w:t>所投产品</w:t>
      </w:r>
      <w:r>
        <w:rPr>
          <w:rFonts w:hint="eastAsia" w:eastAsia="宋体"/>
          <w:bCs/>
          <w:color w:val="FF0000"/>
          <w:kern w:val="2"/>
          <w:sz w:val="21"/>
          <w:szCs w:val="21"/>
          <w:lang w:eastAsia="zh-CN"/>
        </w:rPr>
        <w:t>客观实际保持一致，响应不实且情节严重的，经查实，将依法记入供应商诚信档案或受到行政处罚。</w:t>
      </w:r>
    </w:p>
    <w:p w14:paraId="148214EA">
      <w:pPr>
        <w:widowControl w:val="0"/>
        <w:ind w:firstLine="420" w:firstLineChars="200"/>
        <w:jc w:val="both"/>
        <w:rPr>
          <w:rFonts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w:t>
      </w:r>
      <w:bookmarkStart w:id="39" w:name="_Hlk72158270"/>
      <w:r>
        <w:rPr>
          <w:rFonts w:hint="eastAsia" w:ascii="Calibri" w:hAnsi="Calibri" w:eastAsia="宋体" w:cstheme="minorBidi"/>
          <w:bCs/>
          <w:kern w:val="2"/>
          <w:sz w:val="21"/>
          <w:szCs w:val="21"/>
          <w:lang w:eastAsia="zh-CN"/>
        </w:rPr>
        <w:t>“偏离情况”</w:t>
      </w:r>
      <w:bookmarkEnd w:id="39"/>
      <w:r>
        <w:rPr>
          <w:rFonts w:hint="eastAsia" w:ascii="Calibri" w:hAnsi="Calibri" w:eastAsia="宋体" w:cstheme="minorBidi"/>
          <w:bCs/>
          <w:kern w:val="2"/>
          <w:sz w:val="21"/>
          <w:szCs w:val="21"/>
          <w:lang w:eastAsia="zh-CN"/>
        </w:rPr>
        <w:t>一栏填写如实填写“正偏离”、“负偏离”或“无偏离”，其中：</w:t>
      </w:r>
      <w:bookmarkStart w:id="40" w:name="_Hlk72093866"/>
      <w:r>
        <w:rPr>
          <w:rFonts w:hint="eastAsia" w:ascii="Calibri" w:hAnsi="Calibri" w:eastAsia="宋体" w:cstheme="minorBidi"/>
          <w:bCs/>
          <w:kern w:val="2"/>
          <w:sz w:val="21"/>
          <w:szCs w:val="21"/>
          <w:lang w:eastAsia="zh-CN"/>
        </w:rPr>
        <w:t>“正偏离”表示“投标响应优于招标技术要求”，“负偏离”表示“投标响应不满足招标技术要求”，“无偏离”表示“投标响应与招标技术要求一致”</w:t>
      </w:r>
      <w:bookmarkEnd w:id="40"/>
      <w:r>
        <w:rPr>
          <w:rFonts w:hint="eastAsia" w:ascii="Calibri" w:hAnsi="Calibri" w:eastAsia="宋体" w:cstheme="minorBidi"/>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eastAsia="宋体"/>
          <w:bCs/>
          <w:color w:val="FF0000"/>
          <w:kern w:val="2"/>
          <w:sz w:val="21"/>
          <w:szCs w:val="21"/>
          <w:lang w:eastAsia="zh-CN"/>
        </w:rPr>
        <w:t>“偏离情况”必须与所投产品客观实际保持一致，响应不实且情节严重的，经查实，将依法记入供应商诚信档案或受到行政处罚。</w:t>
      </w:r>
    </w:p>
    <w:p w14:paraId="5F835CDE">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4</w:t>
      </w:r>
      <w:r>
        <w:rPr>
          <w:rFonts w:hint="eastAsia" w:ascii="Calibri" w:hAnsi="Calibri" w:eastAsia="宋体" w:cstheme="minorBidi"/>
          <w:bCs/>
          <w:kern w:val="2"/>
          <w:sz w:val="21"/>
          <w:szCs w:val="21"/>
          <w:lang w:eastAsia="zh-CN"/>
        </w:rPr>
        <w:t>、未要求提供证明资料的招标技术要求，可以不提供证明资料（如实响应即可）。</w:t>
      </w:r>
    </w:p>
    <w:p w14:paraId="153F388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bookmarkStart w:id="41" w:name="_Hlk72096106"/>
      <w:r>
        <w:rPr>
          <w:rFonts w:hint="eastAsia" w:ascii="Calibri" w:hAnsi="Calibri" w:eastAsia="宋体" w:cstheme="minorBidi"/>
          <w:bCs/>
          <w:kern w:val="2"/>
          <w:sz w:val="21"/>
          <w:szCs w:val="21"/>
          <w:lang w:eastAsia="zh-CN"/>
        </w:rPr>
        <w:t>证明资料条款响应要求</w:t>
      </w:r>
      <w:bookmarkEnd w:id="41"/>
      <w:r>
        <w:rPr>
          <w:rFonts w:hint="eastAsia" w:ascii="Calibri" w:hAnsi="Calibri" w:eastAsia="宋体" w:cstheme="minorBidi"/>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2" w:name="_Hlk73558782"/>
      <w:r>
        <w:rPr>
          <w:rFonts w:hint="eastAsia" w:ascii="Calibri" w:hAnsi="Calibri" w:eastAsia="宋体" w:cstheme="minorBidi"/>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3" w:name="_Hlk73558164"/>
      <w:r>
        <w:rPr>
          <w:rFonts w:hint="eastAsia" w:ascii="Calibri" w:hAnsi="Calibri" w:eastAsia="宋体" w:cstheme="minorBidi"/>
          <w:bCs/>
          <w:kern w:val="2"/>
          <w:sz w:val="21"/>
          <w:szCs w:val="21"/>
          <w:lang w:eastAsia="zh-CN"/>
        </w:rPr>
        <w:t>且投标人在“偏离情况”一栏响应为“正偏离”或“无偏离”的，经评审委员会认定，将判定为负偏离。</w:t>
      </w:r>
      <w:bookmarkEnd w:id="42"/>
      <w:bookmarkEnd w:id="43"/>
    </w:p>
    <w:p w14:paraId="20E73CD8">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bookmarkStart w:id="44" w:name="_Hlk72096137"/>
      <w:r>
        <w:rPr>
          <w:rFonts w:hint="eastAsia" w:ascii="Calibri" w:hAnsi="Calibri" w:eastAsia="宋体" w:cstheme="minorBidi"/>
          <w:bCs/>
          <w:kern w:val="2"/>
          <w:sz w:val="21"/>
          <w:szCs w:val="21"/>
          <w:lang w:eastAsia="zh-CN"/>
        </w:rPr>
        <w:t>表后“证明资料”部分内容的编制</w:t>
      </w:r>
      <w:bookmarkEnd w:id="44"/>
      <w:r>
        <w:rPr>
          <w:rFonts w:hint="eastAsia" w:ascii="Calibri" w:hAnsi="Calibri" w:eastAsia="宋体" w:cstheme="minorBidi"/>
          <w:bCs/>
          <w:kern w:val="2"/>
          <w:sz w:val="21"/>
          <w:szCs w:val="21"/>
          <w:lang w:eastAsia="zh-CN"/>
        </w:rPr>
        <w:t>：提供的所有证明资料应当统一编号（排序），且证明资料的编号（顺序）、数量和名称（形式）均应与“说明”一栏所填内容保持一致（一一对应），以便评审委员会查看。</w:t>
      </w:r>
      <w:bookmarkStart w:id="45" w:name="_Hlk73558180"/>
      <w:r>
        <w:rPr>
          <w:rFonts w:hint="eastAsia" w:ascii="Calibri" w:hAnsi="Calibri" w:eastAsia="宋体" w:cstheme="minorBidi"/>
          <w:bCs/>
          <w:kern w:val="2"/>
          <w:sz w:val="21"/>
          <w:szCs w:val="21"/>
          <w:lang w:eastAsia="zh-CN"/>
        </w:rPr>
        <w:t>未按照招标文件要求在表后放置证明材料的供应商将承担不利后果，经评审委员会认定，相关技术要求将判定为负偏离。</w:t>
      </w:r>
      <w:bookmarkEnd w:id="45"/>
    </w:p>
    <w:p w14:paraId="0AA7675F">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bookmarkStart w:id="46" w:name="_Hlk72096176"/>
      <w:r>
        <w:rPr>
          <w:rFonts w:hint="eastAsia" w:ascii="Calibri" w:hAnsi="Calibri" w:eastAsia="宋体" w:cstheme="minorBidi"/>
          <w:bCs/>
          <w:kern w:val="2"/>
          <w:sz w:val="21"/>
          <w:szCs w:val="21"/>
          <w:lang w:eastAsia="zh-CN"/>
        </w:rPr>
        <w:t>证明资料的形式及其它具体要求</w:t>
      </w:r>
      <w:bookmarkEnd w:id="46"/>
      <w:r>
        <w:rPr>
          <w:rFonts w:hint="eastAsia" w:ascii="Calibri" w:hAnsi="Calibri" w:eastAsia="宋体" w:cstheme="minorBidi"/>
          <w:bCs/>
          <w:kern w:val="2"/>
          <w:sz w:val="21"/>
          <w:szCs w:val="21"/>
          <w:lang w:eastAsia="zh-CN"/>
        </w:rPr>
        <w:t>：</w:t>
      </w:r>
    </w:p>
    <w:p w14:paraId="5C98E27D">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（1）除照片、图片（截图）及不需加盖公章的文字说明（技术说明）外，其它证明资料均要求为原件扫描件；</w:t>
      </w:r>
    </w:p>
    <w:p w14:paraId="40E2494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41C758A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5B61387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14:paraId="2AAAEA3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3E1167B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其它证明资料的形式要求参照以上要求执行；</w:t>
      </w:r>
    </w:p>
    <w:p w14:paraId="606641F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（4）证明资料均要求原件备查。</w:t>
      </w:r>
    </w:p>
    <w:p w14:paraId="45F656B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8、其它注意事项：</w:t>
      </w:r>
    </w:p>
    <w:p w14:paraId="77571F9B">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（1）评审委员会有权对投标人的响应情况作出判断（评审结论）；</w:t>
      </w:r>
    </w:p>
    <w:p w14:paraId="0602D46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bookmarkStart w:id="47" w:name="_Hlk72158213"/>
      <w:r>
        <w:rPr>
          <w:rFonts w:hint="eastAsia" w:ascii="Calibri" w:hAnsi="Calibri" w:eastAsia="宋体" w:cstheme="minorBidi"/>
          <w:bCs/>
          <w:kern w:val="2"/>
          <w:sz w:val="21"/>
          <w:szCs w:val="21"/>
          <w:lang w:eastAsia="zh-CN"/>
        </w:rPr>
        <w:t>评审委员会有权对以谋取中标为目的的技术规格模糊响应（如有意不合理照搬照抄招标文件的技术要求）或虚假响应予以认定，并视情况经采购代理机构报主管部门进行处理。</w:t>
      </w:r>
      <w:bookmarkEnd w:id="47"/>
    </w:p>
    <w:p w14:paraId="72F3BE31">
      <w:pPr>
        <w:widowControl w:val="0"/>
        <w:ind w:firstLine="482" w:firstLineChars="200"/>
        <w:jc w:val="both"/>
        <w:rPr>
          <w:rFonts w:ascii="Calibri" w:hAnsi="Calibri" w:eastAsia="宋体"/>
          <w:b/>
          <w:kern w:val="2"/>
          <w:szCs w:val="22"/>
          <w:lang w:eastAsia="zh-CN"/>
        </w:rPr>
      </w:pPr>
    </w:p>
    <w:p w14:paraId="1B55FDD8">
      <w:pPr>
        <w:widowControl w:val="0"/>
        <w:ind w:firstLine="482" w:firstLineChars="200"/>
        <w:jc w:val="both"/>
        <w:rPr>
          <w:rFonts w:ascii="Calibri" w:hAnsi="Calibri" w:eastAsia="宋体"/>
          <w:b/>
          <w:kern w:val="2"/>
          <w:szCs w:val="22"/>
          <w:lang w:eastAsia="zh-CN"/>
        </w:rPr>
      </w:pPr>
    </w:p>
    <w:p w14:paraId="79CBEC34">
      <w:pPr>
        <w:widowControl w:val="0"/>
        <w:ind w:firstLine="482" w:firstLineChars="200"/>
        <w:jc w:val="both"/>
        <w:rPr>
          <w:rFonts w:ascii="Calibri" w:hAnsi="Calibri" w:eastAsia="宋体"/>
          <w:b/>
          <w:kern w:val="2"/>
          <w:szCs w:val="22"/>
          <w:lang w:eastAsia="zh-CN"/>
        </w:rPr>
      </w:pPr>
    </w:p>
    <w:p w14:paraId="6C6F0F54">
      <w:pPr>
        <w:widowControl w:val="0"/>
        <w:jc w:val="both"/>
        <w:rPr>
          <w:rFonts w:hint="eastAsia" w:ascii="宋体" w:hAnsi="宋体" w:eastAsia="宋体"/>
          <w:kern w:val="2"/>
          <w:sz w:val="21"/>
          <w:szCs w:val="22"/>
          <w:lang w:eastAsia="zh-CN"/>
        </w:rPr>
      </w:pPr>
      <w:r>
        <w:rPr>
          <w:rFonts w:ascii="宋体" w:hAnsi="宋体" w:eastAsia="宋体"/>
          <w:color w:val="FF0000"/>
          <w:kern w:val="2"/>
          <w:sz w:val="32"/>
          <w:szCs w:val="32"/>
          <w:lang w:eastAsia="zh-CN"/>
        </w:rPr>
        <w:br w:type="page"/>
      </w:r>
    </w:p>
    <w:p w14:paraId="086B77D4">
      <w:pPr>
        <w:keepNext/>
        <w:keepLines/>
        <w:widowControl w:val="0"/>
        <w:spacing w:before="260" w:after="260" w:line="240" w:lineRule="auto"/>
        <w:jc w:val="center"/>
        <w:outlineLvl w:val="2"/>
        <w:rPr>
          <w:rFonts w:hint="eastAsia" w:ascii="黑体" w:hAnsi="宋体" w:eastAsia="黑体"/>
          <w:kern w:val="2"/>
          <w:szCs w:val="20"/>
          <w:lang w:eastAsia="zh-CN"/>
        </w:rPr>
      </w:pPr>
    </w:p>
    <w:p w14:paraId="1E0B945F">
      <w:pPr>
        <w:keepNext/>
        <w:keepLines/>
        <w:widowControl w:val="0"/>
        <w:spacing w:before="260" w:after="260" w:line="240" w:lineRule="auto"/>
        <w:jc w:val="center"/>
        <w:outlineLvl w:val="2"/>
        <w:rPr>
          <w:rFonts w:hint="eastAsia" w:ascii="宋体" w:hAnsi="宋体" w:eastAsia="宋体"/>
          <w:b/>
          <w:bCs/>
          <w:kern w:val="2"/>
          <w:szCs w:val="32"/>
          <w:lang w:eastAsia="zh-CN"/>
        </w:rPr>
      </w:pPr>
      <w:r>
        <w:rPr>
          <w:rFonts w:hint="eastAsia" w:ascii="黑体" w:hAnsi="宋体" w:eastAsia="黑体" w:cstheme="minorBidi"/>
          <w:kern w:val="2"/>
          <w:szCs w:val="20"/>
          <w:lang w:eastAsia="zh-CN"/>
        </w:rPr>
        <w:t>十、商务要求偏离表</w:t>
      </w:r>
    </w:p>
    <w:tbl>
      <w:tblPr>
        <w:tblStyle w:val="13"/>
        <w:tblW w:w="5000" w:type="pc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72"/>
        <w:gridCol w:w="4792"/>
        <w:gridCol w:w="948"/>
        <w:gridCol w:w="625"/>
        <w:gridCol w:w="526"/>
      </w:tblGrid>
      <w:tr w14:paraId="16A8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14:paraId="073A5263">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序号</w:t>
            </w:r>
          </w:p>
        </w:tc>
        <w:tc>
          <w:tcPr>
            <w:tcW w:w="1408" w:type="dxa"/>
            <w:vAlign w:val="center"/>
          </w:tcPr>
          <w:p w14:paraId="4DAADEF1">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商务需求项</w:t>
            </w:r>
          </w:p>
        </w:tc>
        <w:tc>
          <w:tcPr>
            <w:tcW w:w="4918" w:type="dxa"/>
            <w:vAlign w:val="center"/>
          </w:tcPr>
          <w:p w14:paraId="2FBF2072">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招标商务要求</w:t>
            </w:r>
          </w:p>
        </w:tc>
        <w:tc>
          <w:tcPr>
            <w:tcW w:w="973" w:type="dxa"/>
            <w:vAlign w:val="center"/>
          </w:tcPr>
          <w:p w14:paraId="148D6D4D">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投标商务响应</w:t>
            </w:r>
          </w:p>
        </w:tc>
        <w:tc>
          <w:tcPr>
            <w:tcW w:w="642" w:type="dxa"/>
            <w:vAlign w:val="center"/>
          </w:tcPr>
          <w:p w14:paraId="00364F03">
            <w:pPr>
              <w:widowControl w:val="0"/>
              <w:jc w:val="center"/>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偏离情况</w:t>
            </w:r>
          </w:p>
        </w:tc>
        <w:tc>
          <w:tcPr>
            <w:tcW w:w="540" w:type="dxa"/>
            <w:vAlign w:val="center"/>
          </w:tcPr>
          <w:p w14:paraId="6ADD5DAC">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说明</w:t>
            </w:r>
          </w:p>
        </w:tc>
      </w:tr>
      <w:tr w14:paraId="475A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14:paraId="4BECCE47">
            <w:pPr>
              <w:widowControl w:val="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（一）免费保修期内售后服务要求</w:t>
            </w:r>
          </w:p>
        </w:tc>
      </w:tr>
      <w:tr w14:paraId="0C7B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08A70431">
            <w:pPr>
              <w:widowControl w:val="0"/>
              <w:jc w:val="center"/>
              <w:rPr>
                <w:rFonts w:ascii="Calibri" w:hAnsi="Calibri" w:eastAsia="宋体"/>
                <w:bCs/>
                <w:kern w:val="2"/>
                <w:sz w:val="21"/>
                <w:szCs w:val="22"/>
                <w:lang w:eastAsia="zh-CN"/>
              </w:rPr>
            </w:pPr>
            <w:r>
              <w:rPr>
                <w:rFonts w:hint="eastAsia" w:ascii="Calibri" w:hAnsi="Calibri" w:eastAsia="宋体" w:cstheme="minorBidi"/>
                <w:bCs/>
                <w:kern w:val="2"/>
                <w:sz w:val="21"/>
                <w:szCs w:val="22"/>
                <w:lang w:eastAsia="zh-CN"/>
              </w:rPr>
              <w:t>1</w:t>
            </w:r>
          </w:p>
        </w:tc>
        <w:tc>
          <w:tcPr>
            <w:tcW w:w="1408" w:type="dxa"/>
          </w:tcPr>
          <w:p w14:paraId="1AF43BD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w:t>
            </w:r>
          </w:p>
        </w:tc>
        <w:tc>
          <w:tcPr>
            <w:tcW w:w="4918" w:type="dxa"/>
          </w:tcPr>
          <w:p w14:paraId="123DFCA6">
            <w:pPr>
              <w:widowControl w:val="0"/>
              <w:jc w:val="center"/>
              <w:rPr>
                <w:rFonts w:ascii="Calibri" w:hAnsi="Calibri" w:eastAsia="宋体"/>
                <w:b/>
                <w:kern w:val="2"/>
                <w:sz w:val="21"/>
                <w:szCs w:val="22"/>
                <w:lang w:eastAsia="zh-CN"/>
              </w:rPr>
            </w:pPr>
            <w:r>
              <w:rPr>
                <w:rFonts w:hint="eastAsia" w:ascii="Calibri" w:hAnsi="Calibri" w:eastAsia="宋体" w:cstheme="minorBidi"/>
                <w:bCs/>
                <w:kern w:val="2"/>
                <w:sz w:val="21"/>
                <w:szCs w:val="21"/>
                <w:lang w:eastAsia="zh-CN"/>
              </w:rPr>
              <w:t>（填写相关内容）</w:t>
            </w:r>
          </w:p>
        </w:tc>
        <w:tc>
          <w:tcPr>
            <w:tcW w:w="973" w:type="dxa"/>
          </w:tcPr>
          <w:p w14:paraId="515C067D">
            <w:pPr>
              <w:widowControl w:val="0"/>
              <w:jc w:val="both"/>
              <w:rPr>
                <w:rFonts w:ascii="Calibri" w:hAnsi="Calibri" w:eastAsia="宋体"/>
                <w:bCs/>
                <w:kern w:val="2"/>
                <w:sz w:val="21"/>
                <w:szCs w:val="21"/>
                <w:lang w:eastAsia="zh-CN"/>
              </w:rPr>
            </w:pPr>
          </w:p>
        </w:tc>
        <w:tc>
          <w:tcPr>
            <w:tcW w:w="642" w:type="dxa"/>
          </w:tcPr>
          <w:p w14:paraId="30275B68">
            <w:pPr>
              <w:widowControl w:val="0"/>
              <w:jc w:val="both"/>
              <w:rPr>
                <w:rFonts w:ascii="Calibri" w:hAnsi="Calibri" w:eastAsia="宋体"/>
                <w:bCs/>
                <w:kern w:val="2"/>
                <w:sz w:val="21"/>
                <w:szCs w:val="21"/>
                <w:lang w:eastAsia="zh-CN"/>
              </w:rPr>
            </w:pPr>
          </w:p>
        </w:tc>
        <w:tc>
          <w:tcPr>
            <w:tcW w:w="540" w:type="dxa"/>
          </w:tcPr>
          <w:p w14:paraId="4A1FAA61">
            <w:pPr>
              <w:widowControl w:val="0"/>
              <w:jc w:val="both"/>
              <w:rPr>
                <w:rFonts w:ascii="Calibri" w:hAnsi="Calibri" w:eastAsia="宋体"/>
                <w:bCs/>
                <w:kern w:val="2"/>
                <w:sz w:val="21"/>
                <w:szCs w:val="21"/>
                <w:lang w:eastAsia="zh-CN"/>
              </w:rPr>
            </w:pPr>
          </w:p>
        </w:tc>
      </w:tr>
      <w:tr w14:paraId="360F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0A2A05C3">
            <w:pPr>
              <w:widowControl w:val="0"/>
              <w:jc w:val="center"/>
              <w:rPr>
                <w:rFonts w:ascii="Calibri" w:hAnsi="Calibri" w:eastAsia="宋体"/>
                <w:bCs/>
                <w:kern w:val="2"/>
                <w:sz w:val="21"/>
                <w:szCs w:val="22"/>
                <w:lang w:eastAsia="zh-CN"/>
              </w:rPr>
            </w:pPr>
            <w:r>
              <w:rPr>
                <w:rFonts w:ascii="Calibri" w:hAnsi="Calibri" w:eastAsia="宋体" w:cstheme="minorBidi"/>
                <w:bCs/>
                <w:kern w:val="2"/>
                <w:sz w:val="21"/>
                <w:szCs w:val="22"/>
                <w:lang w:eastAsia="zh-CN"/>
              </w:rPr>
              <w:t>2</w:t>
            </w:r>
          </w:p>
        </w:tc>
        <w:tc>
          <w:tcPr>
            <w:tcW w:w="1408" w:type="dxa"/>
          </w:tcPr>
          <w:p w14:paraId="75593200">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0F0BA162">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2"/>
                <w:lang w:eastAsia="zh-CN"/>
              </w:rPr>
              <w:t>（填写相关内容）</w:t>
            </w:r>
          </w:p>
        </w:tc>
        <w:tc>
          <w:tcPr>
            <w:tcW w:w="973" w:type="dxa"/>
          </w:tcPr>
          <w:p w14:paraId="1D3024EC">
            <w:pPr>
              <w:widowControl w:val="0"/>
              <w:jc w:val="both"/>
              <w:rPr>
                <w:rFonts w:ascii="Calibri" w:hAnsi="Calibri" w:eastAsia="宋体"/>
                <w:bCs/>
                <w:kern w:val="2"/>
                <w:sz w:val="21"/>
                <w:szCs w:val="21"/>
                <w:lang w:eastAsia="zh-CN"/>
              </w:rPr>
            </w:pPr>
          </w:p>
        </w:tc>
        <w:tc>
          <w:tcPr>
            <w:tcW w:w="642" w:type="dxa"/>
          </w:tcPr>
          <w:p w14:paraId="14209ACD">
            <w:pPr>
              <w:widowControl w:val="0"/>
              <w:jc w:val="both"/>
              <w:rPr>
                <w:rFonts w:ascii="Calibri" w:hAnsi="Calibri" w:eastAsia="宋体"/>
                <w:bCs/>
                <w:kern w:val="2"/>
                <w:sz w:val="21"/>
                <w:szCs w:val="21"/>
                <w:lang w:eastAsia="zh-CN"/>
              </w:rPr>
            </w:pPr>
          </w:p>
        </w:tc>
        <w:tc>
          <w:tcPr>
            <w:tcW w:w="540" w:type="dxa"/>
          </w:tcPr>
          <w:p w14:paraId="6A83D892">
            <w:pPr>
              <w:widowControl w:val="0"/>
              <w:jc w:val="both"/>
              <w:rPr>
                <w:rFonts w:ascii="Calibri" w:hAnsi="Calibri" w:eastAsia="宋体"/>
                <w:bCs/>
                <w:kern w:val="2"/>
                <w:sz w:val="21"/>
                <w:szCs w:val="21"/>
                <w:lang w:eastAsia="zh-CN"/>
              </w:rPr>
            </w:pPr>
          </w:p>
        </w:tc>
      </w:tr>
      <w:tr w14:paraId="31CF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14:paraId="4E19A8CD">
            <w:pPr>
              <w:widowControl w:val="0"/>
              <w:jc w:val="both"/>
              <w:rPr>
                <w:rFonts w:ascii="Calibri" w:hAnsi="Calibri" w:eastAsia="宋体"/>
                <w:bCs/>
                <w:kern w:val="2"/>
                <w:sz w:val="21"/>
                <w:szCs w:val="21"/>
                <w:lang w:eastAsia="zh-CN"/>
              </w:rPr>
            </w:pPr>
            <w:r>
              <w:rPr>
                <w:rFonts w:hint="eastAsia" w:ascii="Calibri" w:hAnsi="Calibri" w:eastAsia="宋体" w:cstheme="minorBidi"/>
                <w:b/>
                <w:kern w:val="2"/>
                <w:sz w:val="21"/>
                <w:szCs w:val="22"/>
                <w:lang w:eastAsia="zh-CN"/>
              </w:rPr>
              <w:t>（二）免费保修期外售后服务要求</w:t>
            </w:r>
          </w:p>
        </w:tc>
      </w:tr>
      <w:tr w14:paraId="273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375F08D5">
            <w:pPr>
              <w:widowControl w:val="0"/>
              <w:jc w:val="center"/>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1</w:t>
            </w:r>
          </w:p>
        </w:tc>
        <w:tc>
          <w:tcPr>
            <w:tcW w:w="1408" w:type="dxa"/>
          </w:tcPr>
          <w:p w14:paraId="6D3AA60B">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5A85A2BC">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（填写相关内容）</w:t>
            </w:r>
          </w:p>
        </w:tc>
        <w:tc>
          <w:tcPr>
            <w:tcW w:w="973" w:type="dxa"/>
          </w:tcPr>
          <w:p w14:paraId="4924D802">
            <w:pPr>
              <w:widowControl w:val="0"/>
              <w:jc w:val="both"/>
              <w:rPr>
                <w:rFonts w:ascii="Calibri" w:hAnsi="Calibri" w:eastAsia="宋体"/>
                <w:bCs/>
                <w:kern w:val="2"/>
                <w:sz w:val="21"/>
                <w:szCs w:val="21"/>
                <w:lang w:eastAsia="zh-CN"/>
              </w:rPr>
            </w:pPr>
          </w:p>
        </w:tc>
        <w:tc>
          <w:tcPr>
            <w:tcW w:w="642" w:type="dxa"/>
          </w:tcPr>
          <w:p w14:paraId="45951F28">
            <w:pPr>
              <w:widowControl w:val="0"/>
              <w:jc w:val="both"/>
              <w:rPr>
                <w:rFonts w:ascii="Calibri" w:hAnsi="Calibri" w:eastAsia="宋体"/>
                <w:bCs/>
                <w:kern w:val="2"/>
                <w:sz w:val="21"/>
                <w:szCs w:val="21"/>
                <w:lang w:eastAsia="zh-CN"/>
              </w:rPr>
            </w:pPr>
          </w:p>
        </w:tc>
        <w:tc>
          <w:tcPr>
            <w:tcW w:w="540" w:type="dxa"/>
          </w:tcPr>
          <w:p w14:paraId="005727E7">
            <w:pPr>
              <w:widowControl w:val="0"/>
              <w:jc w:val="both"/>
              <w:rPr>
                <w:rFonts w:ascii="Calibri" w:hAnsi="Calibri" w:eastAsia="宋体"/>
                <w:bCs/>
                <w:kern w:val="2"/>
                <w:sz w:val="21"/>
                <w:szCs w:val="21"/>
                <w:lang w:eastAsia="zh-CN"/>
              </w:rPr>
            </w:pPr>
          </w:p>
        </w:tc>
      </w:tr>
      <w:tr w14:paraId="40E4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14:paraId="661758F9">
            <w:pPr>
              <w:widowControl w:val="0"/>
              <w:jc w:val="both"/>
              <w:rPr>
                <w:rFonts w:ascii="Calibri" w:hAnsi="Calibri" w:eastAsia="宋体"/>
                <w:bCs/>
                <w:kern w:val="2"/>
                <w:sz w:val="21"/>
                <w:szCs w:val="21"/>
                <w:lang w:eastAsia="zh-CN"/>
              </w:rPr>
            </w:pPr>
            <w:r>
              <w:rPr>
                <w:rFonts w:hint="eastAsia" w:ascii="Calibri" w:hAnsi="Calibri" w:eastAsia="宋体" w:cstheme="minorBidi"/>
                <w:b/>
                <w:kern w:val="2"/>
                <w:sz w:val="21"/>
                <w:szCs w:val="22"/>
                <w:lang w:eastAsia="zh-CN"/>
              </w:rPr>
              <w:t>（三）其他商务要求</w:t>
            </w:r>
          </w:p>
        </w:tc>
      </w:tr>
      <w:tr w14:paraId="0FF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2CA4D68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408" w:type="dxa"/>
          </w:tcPr>
          <w:p w14:paraId="6CCB24B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697397C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（填写相关内容）</w:t>
            </w:r>
          </w:p>
        </w:tc>
        <w:tc>
          <w:tcPr>
            <w:tcW w:w="973" w:type="dxa"/>
          </w:tcPr>
          <w:p w14:paraId="75EB8928">
            <w:pPr>
              <w:widowControl w:val="0"/>
              <w:jc w:val="both"/>
              <w:rPr>
                <w:rFonts w:ascii="Calibri" w:hAnsi="Calibri" w:eastAsia="宋体"/>
                <w:bCs/>
                <w:kern w:val="2"/>
                <w:sz w:val="21"/>
                <w:szCs w:val="21"/>
                <w:lang w:eastAsia="zh-CN"/>
              </w:rPr>
            </w:pPr>
          </w:p>
        </w:tc>
        <w:tc>
          <w:tcPr>
            <w:tcW w:w="642" w:type="dxa"/>
          </w:tcPr>
          <w:p w14:paraId="53961B33">
            <w:pPr>
              <w:widowControl w:val="0"/>
              <w:jc w:val="both"/>
              <w:rPr>
                <w:rFonts w:ascii="Calibri" w:hAnsi="Calibri" w:eastAsia="宋体"/>
                <w:bCs/>
                <w:kern w:val="2"/>
                <w:sz w:val="21"/>
                <w:szCs w:val="21"/>
                <w:lang w:eastAsia="zh-CN"/>
              </w:rPr>
            </w:pPr>
          </w:p>
        </w:tc>
        <w:tc>
          <w:tcPr>
            <w:tcW w:w="540" w:type="dxa"/>
          </w:tcPr>
          <w:p w14:paraId="2EE34AE4">
            <w:pPr>
              <w:widowControl w:val="0"/>
              <w:jc w:val="both"/>
              <w:rPr>
                <w:rFonts w:ascii="Calibri" w:hAnsi="Calibri" w:eastAsia="宋体"/>
                <w:bCs/>
                <w:kern w:val="2"/>
                <w:sz w:val="21"/>
                <w:szCs w:val="21"/>
                <w:lang w:eastAsia="zh-CN"/>
              </w:rPr>
            </w:pPr>
          </w:p>
        </w:tc>
      </w:tr>
    </w:tbl>
    <w:p w14:paraId="3DD22FA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《商务要求偏离表》编制指引：</w:t>
      </w:r>
    </w:p>
    <w:p w14:paraId="2000424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1、商务要求偏离表的序号、商务需求项、招标商务要求等栏目对应“用户需求书”中的“商务要求”章节相关内容。</w:t>
      </w:r>
    </w:p>
    <w:p w14:paraId="54F7601B">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2</w:t>
      </w:r>
      <w:r>
        <w:rPr>
          <w:rFonts w:hint="eastAsia" w:ascii="Calibri" w:hAnsi="Calibri" w:eastAsia="宋体" w:cstheme="minorBidi"/>
          <w:bCs/>
          <w:kern w:val="2"/>
          <w:sz w:val="21"/>
          <w:szCs w:val="21"/>
          <w:lang w:eastAsia="zh-CN"/>
        </w:rPr>
        <w:t>、“投标商务响应”一栏必须一一对照“招标商务要求”，详细填写自身响应情况，而不能不合理照搬照抄招标文件的商务要求，以体现具体响应情况。</w:t>
      </w:r>
    </w:p>
    <w:p w14:paraId="0F1B3CFA">
      <w:pPr>
        <w:widowControl w:val="0"/>
        <w:ind w:firstLine="420" w:firstLineChars="200"/>
        <w:jc w:val="both"/>
        <w:rPr>
          <w:rFonts w:ascii="Calibri" w:hAnsi="Calibri"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14:paraId="4E4CBD89">
      <w:pPr>
        <w:widowControl w:val="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“投标商务响应”对比“招标商务要求”存在响应不全（包括未响应整项招标商务要求或者未响应一项招标商务要求的部分内容），均视为“负偏离”。</w:t>
      </w:r>
    </w:p>
    <w:p w14:paraId="55A9F96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4、带★号条款为不可偏离条款，如未响应或出现负偏离的，将作投标无效处理。</w:t>
      </w:r>
    </w:p>
    <w:p w14:paraId="7861DFF4">
      <w:pPr>
        <w:widowControl/>
        <w:jc w:val="left"/>
        <w:rPr>
          <w:rFonts w:hint="eastAsia" w:ascii="宋体" w:hAnsi="宋体" w:eastAsia="宋体"/>
          <w:color w:val="FF0000"/>
          <w:kern w:val="2"/>
          <w:sz w:val="32"/>
          <w:szCs w:val="32"/>
          <w:lang w:eastAsia="zh-CN"/>
        </w:rPr>
      </w:pPr>
      <w:r>
        <w:rPr>
          <w:rFonts w:ascii="宋体" w:hAnsi="宋体" w:eastAsia="宋体"/>
          <w:color w:val="FF0000"/>
          <w:kern w:val="2"/>
          <w:sz w:val="32"/>
          <w:szCs w:val="32"/>
          <w:lang w:eastAsia="zh-CN"/>
        </w:rPr>
        <w:br w:type="page"/>
      </w:r>
    </w:p>
    <w:p w14:paraId="39C03CEE">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十一、</w:t>
      </w:r>
      <w:bookmarkStart w:id="48" w:name="_Hlk72062872"/>
      <w:r>
        <w:rPr>
          <w:rFonts w:hint="eastAsia" w:ascii="黑体" w:hAnsi="宋体" w:eastAsia="黑体" w:cstheme="minorBidi"/>
          <w:kern w:val="2"/>
          <w:szCs w:val="20"/>
          <w:lang w:eastAsia="zh-CN"/>
        </w:rPr>
        <w:t>技术保障措施</w:t>
      </w:r>
    </w:p>
    <w:p w14:paraId="410582AA">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十二、施工安全保障措施</w:t>
      </w:r>
    </w:p>
    <w:p w14:paraId="6BADCD62">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十三、设计方案</w:t>
      </w:r>
    </w:p>
    <w:p w14:paraId="228C056D">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十四、技术力量（项目负责人除外）</w:t>
      </w:r>
    </w:p>
    <w:p w14:paraId="4283910E">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十五、同类业绩</w:t>
      </w:r>
    </w:p>
    <w:p w14:paraId="53B476E3">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十六、现场勘查</w:t>
      </w:r>
    </w:p>
    <w:p w14:paraId="5FCAF1CA">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十七、诚信承诺函</w:t>
      </w:r>
    </w:p>
    <w:p w14:paraId="7BB33E22">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十八、投标人认为需要加以说明的其他内容</w:t>
      </w:r>
      <w:bookmarkEnd w:id="48"/>
    </w:p>
    <w:p w14:paraId="43EE4A2C">
      <w:pPr>
        <w:widowControl/>
        <w:jc w:val="center"/>
        <w:rPr>
          <w:rFonts w:hint="eastAsia" w:ascii="黑体" w:hAnsi="宋体" w:eastAsia="黑体"/>
          <w:szCs w:val="20"/>
          <w:lang w:eastAsia="zh-CN"/>
        </w:rPr>
      </w:pPr>
      <w:r>
        <w:rPr>
          <w:rFonts w:hint="eastAsia" w:ascii="黑体" w:hAnsi="宋体" w:eastAsia="黑体" w:cstheme="minorBidi"/>
          <w:szCs w:val="20"/>
          <w:lang w:eastAsia="zh-CN"/>
        </w:rPr>
        <w:t>（一）政府采购违法行为风险知悉确认书</w:t>
      </w:r>
    </w:p>
    <w:p w14:paraId="71D35B9F">
      <w:pPr>
        <w:widowControl/>
        <w:jc w:val="center"/>
        <w:rPr>
          <w:rFonts w:hint="eastAsia" w:ascii="黑体" w:hAnsi="宋体" w:eastAsia="黑体"/>
          <w:szCs w:val="20"/>
          <w:lang w:eastAsia="zh-CN"/>
        </w:rPr>
      </w:pPr>
    </w:p>
    <w:p w14:paraId="27F1B73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14:paraId="5501E272">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一、本公司已充分知悉“隐瞒真实情况，提供虚假资料”的法定情形，相关情形包括但不限于：</w:t>
      </w:r>
    </w:p>
    <w:p w14:paraId="488E323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14:paraId="3B4BA63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14:paraId="25C72E8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14:paraId="49D8C6D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14:paraId="0AF694A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14:paraId="36E754A8">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二、本公司已充分知悉“与其他采购参加人串通投标”的法定情形，相关情形包括但不限于：</w:t>
      </w:r>
    </w:p>
    <w:p w14:paraId="588A00F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14:paraId="2DC6D8A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14:paraId="3AA214B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14:paraId="40D11193">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14:paraId="4CB507D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14:paraId="27CC5463">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14:paraId="493E407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14:paraId="05B5A53F">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14:paraId="67A6422E">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14:paraId="519D4AC9">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三、本公司已充分知悉下列情形所对应的法律风险，并在投标前已对相关风险事项进行排查。</w:t>
      </w:r>
    </w:p>
    <w:p w14:paraId="5591EF2E">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（一）对于从其他主体获取的投标资料，供应商应审慎核查，确保投标资料的真实性。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621ED5A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F7512C0">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（三）对于涉及安全生产、特种作业、抢险救灾、防疫等政府采购项目，供应商实施提供虚假资料、串通投标等违法行为的，主管部门将依法从严处理。</w:t>
      </w:r>
    </w:p>
    <w:p w14:paraId="2B1ACCC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0F91492">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D07509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B6C41C0">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四、本公司已充分知悉政府采购违法、违规行为的法律后果。</w:t>
      </w:r>
    </w:p>
    <w:p w14:paraId="3CA590F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00F1745">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highlight w:val="yellow"/>
          <w:lang w:eastAsia="zh-CN"/>
        </w:rPr>
        <w:t>以下文字请投标供应商抄写并确认：“本公司已仔细阅读《政府采购违法行为风险知悉确认书》，充分知悉违法行为的法律后果，并承诺将严谨、诚信、依法依规参与政府采购活动”。</w:t>
      </w:r>
    </w:p>
    <w:tbl>
      <w:tblPr>
        <w:tblStyle w:val="24"/>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6"/>
      </w:tblGrid>
      <w:tr w14:paraId="264C26B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7457393C">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7B6988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DD85BCF">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5A494E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478B8C9">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368ABF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27D3A6F">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bl>
    <w:p w14:paraId="6191A3D4">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负责人/投标授权代表签名：</w:t>
      </w:r>
      <w:r>
        <w:rPr>
          <w:rFonts w:hint="eastAsia" w:ascii="宋体" w:hAnsi="宋体" w:eastAsia="宋体" w:cstheme="minorBidi"/>
          <w:spacing w:val="-4"/>
          <w:sz w:val="21"/>
          <w:szCs w:val="21"/>
          <w:u w:val="single"/>
          <w:lang w:eastAsia="zh-CN"/>
        </w:rPr>
        <w:t xml:space="preserve">              </w:t>
      </w:r>
    </w:p>
    <w:p w14:paraId="79F2DDDA">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知悉人（公章）：</w:t>
      </w:r>
      <w:r>
        <w:rPr>
          <w:rFonts w:hint="eastAsia" w:ascii="宋体" w:hAnsi="宋体" w:eastAsia="宋体" w:cstheme="minorBidi"/>
          <w:spacing w:val="-4"/>
          <w:sz w:val="21"/>
          <w:szCs w:val="21"/>
          <w:u w:val="single"/>
          <w:lang w:eastAsia="zh-CN"/>
        </w:rPr>
        <w:t xml:space="preserve">              </w:t>
      </w:r>
    </w:p>
    <w:p w14:paraId="7EA7889F">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日期：</w:t>
      </w:r>
      <w:r>
        <w:rPr>
          <w:rFonts w:hint="eastAsia" w:ascii="宋体" w:hAnsi="宋体" w:eastAsia="宋体" w:cstheme="minorBidi"/>
          <w:spacing w:val="-4"/>
          <w:sz w:val="21"/>
          <w:szCs w:val="21"/>
          <w:u w:val="single"/>
          <w:lang w:eastAsia="zh-CN"/>
        </w:rPr>
        <w:t xml:space="preserve">              </w:t>
      </w:r>
    </w:p>
    <w:p w14:paraId="1E9B54B0">
      <w:pPr>
        <w:widowControl/>
        <w:wordWrap w:val="0"/>
        <w:autoSpaceDE w:val="0"/>
        <w:autoSpaceDN w:val="0"/>
        <w:spacing w:line="400" w:lineRule="exact"/>
        <w:ind w:right="1414" w:firstLine="404" w:firstLineChars="200"/>
        <w:jc w:val="right"/>
        <w:rPr>
          <w:rFonts w:hint="eastAsia" w:ascii="宋体" w:hAnsi="宋体" w:eastAsia="宋体"/>
          <w:spacing w:val="-4"/>
          <w:sz w:val="21"/>
          <w:szCs w:val="21"/>
          <w:lang w:eastAsia="zh-CN"/>
        </w:rPr>
      </w:pPr>
      <w:r>
        <w:rPr>
          <w:rFonts w:hint="eastAsia" w:ascii="宋体" w:hAnsi="宋体" w:eastAsia="宋体" w:cstheme="minorBidi"/>
          <w:spacing w:val="-4"/>
          <w:sz w:val="21"/>
          <w:szCs w:val="21"/>
          <w:lang w:eastAsia="zh-CN"/>
        </w:rPr>
        <w:t xml:space="preserve">     </w:t>
      </w:r>
    </w:p>
    <w:p w14:paraId="7D6F818C">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注：</w:t>
      </w:r>
    </w:p>
    <w:p w14:paraId="5785073C">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1.</w:t>
      </w:r>
      <w:r>
        <w:rPr>
          <w:rFonts w:hint="eastAsia" w:ascii="Calibri" w:hAnsi="Calibri" w:eastAsia="宋体" w:cstheme="minorBidi"/>
          <w:kern w:val="2"/>
          <w:sz w:val="21"/>
          <w:szCs w:val="22"/>
          <w:lang w:eastAsia="zh-CN"/>
        </w:rPr>
        <w:t xml:space="preserve"> </w:t>
      </w:r>
      <w:r>
        <w:rPr>
          <w:rFonts w:hint="eastAsia" w:ascii="宋体" w:hAnsi="宋体" w:eastAsia="宋体" w:cstheme="minorBidi"/>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14:paraId="3B62D6C5">
      <w:pPr>
        <w:widowControl/>
        <w:autoSpaceDE w:val="0"/>
        <w:autoSpaceDN w:val="0"/>
        <w:spacing w:line="400" w:lineRule="exact"/>
        <w:ind w:firstLine="406" w:firstLineChars="200"/>
        <w:jc w:val="left"/>
        <w:rPr>
          <w:rFonts w:hint="eastAsia" w:ascii="宋体" w:hAnsi="宋体" w:eastAsia="宋体"/>
          <w:color w:val="FF0000"/>
          <w:spacing w:val="-4"/>
          <w:sz w:val="21"/>
          <w:szCs w:val="21"/>
          <w:lang w:eastAsia="zh-CN"/>
        </w:rPr>
      </w:pPr>
      <w:r>
        <w:rPr>
          <w:rFonts w:hint="eastAsia" w:ascii="宋体" w:hAnsi="宋体" w:eastAsia="宋体" w:cstheme="minorBidi"/>
          <w:b/>
          <w:bCs/>
          <w:color w:val="FF0000"/>
          <w:spacing w:val="-4"/>
          <w:sz w:val="21"/>
          <w:szCs w:val="21"/>
          <w:lang w:eastAsia="zh-CN"/>
        </w:rPr>
        <w:t>2.投标供应商负责人或投标授权代表签字</w:t>
      </w:r>
      <w:r>
        <w:rPr>
          <w:rFonts w:hint="eastAsia" w:ascii="宋体" w:hAnsi="宋体" w:eastAsia="宋体" w:cstheme="minorBidi"/>
          <w:b/>
          <w:bCs/>
          <w:color w:val="FF0000"/>
          <w:spacing w:val="-4"/>
          <w:sz w:val="21"/>
          <w:szCs w:val="21"/>
          <w:highlight w:val="yellow"/>
          <w:lang w:eastAsia="zh-CN"/>
        </w:rPr>
        <w:t>并加盖单位公章</w:t>
      </w:r>
      <w:r>
        <w:rPr>
          <w:rFonts w:hint="eastAsia" w:ascii="宋体" w:hAnsi="宋体" w:eastAsia="宋体" w:cstheme="minorBidi"/>
          <w:b/>
          <w:bCs/>
          <w:color w:val="FF0000"/>
          <w:spacing w:val="-4"/>
          <w:sz w:val="21"/>
          <w:szCs w:val="21"/>
          <w:lang w:eastAsia="zh-CN"/>
        </w:rPr>
        <w:t>后，扫描上传至投标文件一并提交。</w:t>
      </w:r>
    </w:p>
    <w:p w14:paraId="2B4C9315">
      <w:pPr>
        <w:widowControl w:val="0"/>
        <w:jc w:val="both"/>
        <w:rPr>
          <w:rFonts w:hint="eastAsia" w:ascii="Calibri" w:hAnsi="Calibri" w:eastAsia="宋体"/>
          <w:kern w:val="2"/>
          <w:szCs w:val="22"/>
          <w:lang w:eastAsia="zh-CN"/>
        </w:rPr>
      </w:pPr>
    </w:p>
    <w:p w14:paraId="4D581B30">
      <w:pPr>
        <w:widowControl/>
        <w:spacing w:line="360" w:lineRule="auto"/>
        <w:jc w:val="left"/>
        <w:rPr>
          <w:rFonts w:ascii="Calibri" w:hAnsi="Calibri" w:eastAsia="宋体"/>
          <w:b/>
          <w:bCs/>
          <w:szCs w:val="22"/>
          <w:lang w:eastAsia="zh-CN"/>
        </w:rPr>
      </w:pPr>
    </w:p>
    <w:p w14:paraId="341B2687">
      <w:pPr>
        <w:widowControl/>
        <w:jc w:val="center"/>
        <w:rPr>
          <w:rFonts w:ascii="Arial" w:hAnsi="Arial" w:eastAsia="宋体"/>
          <w:kern w:val="2"/>
          <w:lang w:eastAsia="zh-CN"/>
        </w:rPr>
      </w:pPr>
      <w:r>
        <w:rPr>
          <w:rFonts w:hint="eastAsia" w:ascii="黑体" w:hAnsi="宋体" w:eastAsia="黑体" w:cstheme="minorBidi"/>
          <w:szCs w:val="20"/>
          <w:lang w:eastAsia="zh-CN"/>
        </w:rPr>
        <w:t>（二）投标人认为需要加以说明的其他内容（格式自定）</w:t>
      </w:r>
    </w:p>
    <w:p w14:paraId="65C7DD31">
      <w:pPr>
        <w:widowControl w:val="0"/>
        <w:jc w:val="both"/>
        <w:rPr>
          <w:rFonts w:hint="eastAsia" w:ascii="宋体" w:hAnsi="宋体" w:eastAsia="宋体"/>
          <w:b/>
          <w:bCs/>
          <w:sz w:val="28"/>
          <w:szCs w:val="28"/>
          <w:lang w:eastAsia="zh-CN"/>
        </w:rPr>
      </w:pPr>
      <w:r>
        <w:rPr>
          <w:rFonts w:hint="eastAsia" w:ascii="宋体" w:hAnsi="宋体" w:eastAsia="宋体"/>
          <w:b/>
          <w:bCs/>
          <w:sz w:val="28"/>
          <w:szCs w:val="28"/>
          <w:lang w:eastAsia="zh-CN"/>
        </w:rPr>
        <w:br w:type="page"/>
      </w:r>
    </w:p>
    <w:p w14:paraId="72BE7ED1">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0C95C4A4">
      <w:pPr>
        <w:widowControl/>
        <w:jc w:val="center"/>
        <w:rPr>
          <w:rFonts w:hint="eastAsia" w:ascii="宋体" w:hAnsi="宋体" w:eastAsia="黑体"/>
          <w:bCs/>
          <w:kern w:val="44"/>
          <w:sz w:val="28"/>
          <w:szCs w:val="44"/>
          <w:lang w:eastAsia="zh-CN"/>
        </w:rPr>
      </w:pPr>
      <w:bookmarkStart w:id="49" w:name="_Hlk72574405"/>
      <w:r>
        <w:rPr>
          <w:rFonts w:hint="eastAsia" w:ascii="Calibri" w:hAnsi="Calibri" w:eastAsia="宋体" w:cstheme="minorBidi"/>
          <w:b/>
          <w:kern w:val="2"/>
          <w:szCs w:val="22"/>
          <w:lang w:eastAsia="zh-CN"/>
        </w:rPr>
        <w:t>（仅供参考，具体以项目需求及采购结果为准）</w:t>
      </w:r>
      <w:bookmarkEnd w:id="49"/>
    </w:p>
    <w:p w14:paraId="301178AA">
      <w:pPr>
        <w:keepNext/>
        <w:keepLines/>
        <w:widowControl w:val="0"/>
        <w:adjustRightInd w:val="0"/>
        <w:snapToGrid w:val="0"/>
        <w:spacing w:line="400" w:lineRule="exact"/>
        <w:jc w:val="both"/>
        <w:outlineLvl w:val="1"/>
        <w:rPr>
          <w:rFonts w:hint="eastAsia" w:ascii="黑体" w:hAnsi="黑体" w:eastAsia="黑体"/>
          <w:b/>
          <w:bCs/>
          <w:kern w:val="2"/>
          <w:sz w:val="28"/>
          <w:szCs w:val="28"/>
          <w:lang w:eastAsia="zh-CN"/>
        </w:rPr>
      </w:pPr>
      <w:bookmarkStart w:id="50" w:name="_Toc22209"/>
    </w:p>
    <w:p w14:paraId="6E9FE217">
      <w:pPr>
        <w:keepNext/>
        <w:keepLines/>
        <w:widowControl w:val="0"/>
        <w:adjustRightInd w:val="0"/>
        <w:snapToGrid w:val="0"/>
        <w:spacing w:line="400" w:lineRule="exact"/>
        <w:jc w:val="center"/>
        <w:outlineLvl w:val="1"/>
        <w:rPr>
          <w:rFonts w:hint="eastAsia" w:ascii="黑体" w:hAnsi="华文中宋" w:eastAsia="黑体"/>
          <w:kern w:val="2"/>
          <w:sz w:val="28"/>
          <w:szCs w:val="28"/>
          <w:lang w:eastAsia="zh-CN"/>
        </w:rPr>
      </w:pPr>
      <w:r>
        <w:rPr>
          <w:rFonts w:hint="eastAsia" w:ascii="黑体" w:hAnsi="黑体" w:eastAsia="黑体"/>
          <w:kern w:val="2"/>
          <w:sz w:val="28"/>
          <w:szCs w:val="28"/>
          <w:lang w:eastAsia="zh-CN"/>
        </w:rPr>
        <w:t xml:space="preserve">第一节 </w:t>
      </w:r>
      <w:r>
        <w:rPr>
          <w:rFonts w:hint="eastAsia" w:ascii="黑体" w:hAnsi="华文中宋" w:eastAsia="黑体"/>
          <w:kern w:val="2"/>
          <w:sz w:val="28"/>
          <w:szCs w:val="28"/>
          <w:lang w:eastAsia="zh-CN"/>
        </w:rPr>
        <w:t>政府采购合同协议书</w:t>
      </w:r>
      <w:bookmarkEnd w:id="50"/>
    </w:p>
    <w:p w14:paraId="1B4ABF38">
      <w:pPr>
        <w:keepNext/>
        <w:keepLines/>
        <w:widowControl w:val="0"/>
        <w:adjustRightInd w:val="0"/>
        <w:snapToGrid w:val="0"/>
        <w:spacing w:line="400" w:lineRule="exact"/>
        <w:jc w:val="center"/>
        <w:outlineLvl w:val="1"/>
        <w:rPr>
          <w:rFonts w:hint="eastAsia" w:ascii="黑体" w:hAnsi="华文中宋" w:eastAsia="黑体"/>
          <w:kern w:val="2"/>
          <w:sz w:val="28"/>
          <w:szCs w:val="28"/>
          <w:lang w:eastAsia="zh-CN"/>
        </w:rPr>
      </w:pPr>
    </w:p>
    <w:p w14:paraId="63105AC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r>
        <w:rPr>
          <w:rFonts w:hint="eastAsia" w:ascii="Calibri" w:hAnsi="Calibri" w:eastAsia="宋体" w:cstheme="minorBidi"/>
          <w:kern w:val="2"/>
          <w:sz w:val="21"/>
          <w:szCs w:val="22"/>
          <w:u w:val="single"/>
          <w:lang w:eastAsia="zh-CN"/>
        </w:rPr>
        <w:t xml:space="preserve">           </w:t>
      </w:r>
    </w:p>
    <w:p w14:paraId="27371DF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供应商：</w:t>
      </w:r>
      <w:r>
        <w:rPr>
          <w:rFonts w:hint="eastAsia" w:ascii="Calibri" w:hAnsi="Calibri" w:eastAsia="宋体" w:cstheme="minorBidi"/>
          <w:kern w:val="2"/>
          <w:sz w:val="21"/>
          <w:szCs w:val="22"/>
          <w:u w:val="single"/>
          <w:lang w:eastAsia="zh-CN"/>
        </w:rPr>
        <w:t xml:space="preserve">           </w:t>
      </w:r>
    </w:p>
    <w:p w14:paraId="7772171A">
      <w:pPr>
        <w:widowControl w:val="0"/>
        <w:jc w:val="both"/>
        <w:rPr>
          <w:rFonts w:ascii="Calibri" w:hAnsi="Calibri" w:eastAsia="宋体"/>
          <w:kern w:val="2"/>
          <w:sz w:val="21"/>
          <w:szCs w:val="22"/>
          <w:lang w:eastAsia="zh-CN"/>
        </w:rPr>
      </w:pPr>
    </w:p>
    <w:p w14:paraId="4446DF8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根据深圳市****</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号采购项目的投标结果，由</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单位为中标方。按照有关规定，经深圳市</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（以下简称甲方）和</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单位（以下简称乙方）协商，达成以下合同条款：</w:t>
      </w:r>
    </w:p>
    <w:p w14:paraId="3AB6BC78">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第一条  合同标的</w:t>
      </w:r>
    </w:p>
    <w:p w14:paraId="30F7C901">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乙方根据甲方需求提供下列货物：</w:t>
      </w:r>
    </w:p>
    <w:p w14:paraId="6ABAA4A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货物名称、规格及数量详见</w:t>
      </w:r>
      <w:r>
        <w:rPr>
          <w:rFonts w:hint="eastAsia" w:ascii="Calibri" w:hAnsi="Calibri" w:eastAsia="宋体" w:cstheme="minorBidi"/>
          <w:b/>
          <w:kern w:val="2"/>
          <w:sz w:val="21"/>
          <w:szCs w:val="22"/>
          <w:u w:val="single"/>
          <w:lang w:eastAsia="zh-CN"/>
        </w:rPr>
        <w:t xml:space="preserve">                  </w:t>
      </w:r>
      <w:r>
        <w:rPr>
          <w:rFonts w:hint="eastAsia" w:ascii="Calibri" w:hAnsi="Calibri" w:eastAsia="宋体" w:cstheme="minorBidi"/>
          <w:kern w:val="2"/>
          <w:sz w:val="21"/>
          <w:szCs w:val="22"/>
          <w:lang w:eastAsia="zh-CN"/>
        </w:rPr>
        <w:t>。</w:t>
      </w:r>
    </w:p>
    <w:p w14:paraId="58A1DEFC">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第二条  合同价款</w:t>
      </w:r>
    </w:p>
    <w:p w14:paraId="2119A88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本合同项下总价款为</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（大写）人民币，分项价款详见</w:t>
      </w:r>
      <w:r>
        <w:rPr>
          <w:rFonts w:hint="eastAsia" w:ascii="Calibri" w:hAnsi="Calibri" w:eastAsia="宋体" w:cstheme="minorBidi"/>
          <w:b/>
          <w:kern w:val="2"/>
          <w:sz w:val="21"/>
          <w:szCs w:val="22"/>
          <w:u w:val="single"/>
          <w:lang w:eastAsia="zh-CN"/>
        </w:rPr>
        <w:t xml:space="preserve">          </w:t>
      </w:r>
      <w:r>
        <w:rPr>
          <w:rFonts w:hint="eastAsia" w:ascii="Calibri" w:hAnsi="Calibri" w:eastAsia="宋体" w:cstheme="minorBidi"/>
          <w:kern w:val="2"/>
          <w:sz w:val="21"/>
          <w:szCs w:val="22"/>
          <w:lang w:eastAsia="zh-CN"/>
        </w:rPr>
        <w:t>。本合同总价款已包括乙方为履行本合同义务所发生的一切费用，系固定不变价格，且不随通货膨胀的影响而波动。</w:t>
      </w:r>
    </w:p>
    <w:p w14:paraId="60E76EF9">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第三条  权利保证</w:t>
      </w:r>
    </w:p>
    <w:p w14:paraId="10009D7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D484454">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第四条  质量保证</w:t>
      </w:r>
    </w:p>
    <w:p w14:paraId="204736B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1、乙方所提供的货物的技术规格符合采购文件规定的技术规格，货物符合中华人民共和国的设计和制造生产标准或行业标准。</w:t>
      </w:r>
    </w:p>
    <w:p w14:paraId="58540FC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2、乙方应保证货物是全新、未使用过的原装合格正品（包括零部件），并完全符合甲方要求的质量、规格和性能的要求。如货物安装或配置了软件的，乙方保证相关软件均为正版软件。</w:t>
      </w:r>
    </w:p>
    <w:p w14:paraId="4B3D100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3、乙方保证交货时一并提供货物的质量合格凭证或文件。</w:t>
      </w:r>
    </w:p>
    <w:p w14:paraId="1387A021">
      <w:pPr>
        <w:widowControl w:val="0"/>
        <w:spacing w:line="360" w:lineRule="auto"/>
        <w:jc w:val="both"/>
        <w:rPr>
          <w:rFonts w:ascii="Calibri" w:hAnsi="Calibri" w:eastAsia="宋体"/>
          <w:kern w:val="2"/>
          <w:sz w:val="21"/>
          <w:szCs w:val="22"/>
          <w:lang w:eastAsia="zh-CN"/>
        </w:rPr>
      </w:pPr>
    </w:p>
    <w:p w14:paraId="691C800E">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第五条  交货和验收</w:t>
      </w:r>
    </w:p>
    <w:p w14:paraId="251BD31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1、乙方应按照本合同或招投标文件规定的时间和方式向甲方交付货物，交货地点由甲方指定。因交货产生的费用由乙方自行承担。</w:t>
      </w:r>
    </w:p>
    <w:p w14:paraId="59DC60F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2、乙方交付的货物应当完全符合招投标文件所规定的货物、数量、质量和规格要求。乙方提供的货物不符合招投标文件和合同规定的，甲方有权拒收货物，由此引起的风险，由乙方承担。</w:t>
      </w:r>
    </w:p>
    <w:p w14:paraId="3AF06331">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A1A213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4、甲方应当在到货后的</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个工作日内对货物进行验收；需要乙方对货物或系统进行安装调试的，甲方应在货物安装调试完毕后的</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个工作日内进行质量验收。</w:t>
      </w:r>
    </w:p>
    <w:p w14:paraId="42CFF501">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第六条  保修及其他服务</w:t>
      </w:r>
    </w:p>
    <w:p w14:paraId="2255AFE8">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1、乙方应按照国家有关法律法规规章和“三包”规定和采购文件的要求及乙方在投标文件的相关承诺提供保修及其他服务。</w:t>
      </w:r>
    </w:p>
    <w:p w14:paraId="3924181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w:t>
      </w:r>
      <w:r>
        <w:rPr>
          <w:rFonts w:ascii="Calibri" w:hAnsi="Calibri" w:eastAsia="宋体" w:cstheme="minorBidi"/>
          <w:kern w:val="2"/>
          <w:sz w:val="21"/>
          <w:szCs w:val="22"/>
          <w:lang w:eastAsia="zh-CN"/>
        </w:rPr>
        <w:t>保修期内，乙方负责对其提供的货物进行维修和系统维护，不再收取任何费用。</w:t>
      </w:r>
      <w:r>
        <w:rPr>
          <w:rFonts w:hint="eastAsia" w:ascii="Calibri" w:hAnsi="Calibri" w:eastAsia="宋体" w:cstheme="minorBidi"/>
          <w:kern w:val="2"/>
          <w:sz w:val="21"/>
          <w:szCs w:val="22"/>
          <w:lang w:eastAsia="zh-CN"/>
        </w:rPr>
        <w:t>所有货物保修服务方式均为乙方上门保修，即由乙方派员到货物使用现场维修，由此产生的一切费用均由乙方承担。保修期后的货物维护另行协商。</w:t>
      </w:r>
    </w:p>
    <w:p w14:paraId="46316A5A">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第七条  履约保证金</w:t>
      </w:r>
    </w:p>
    <w:p w14:paraId="5A0CEB60">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1、乙方应在签订本合同之日，向甲方或甲方指定的机构提交履约保证金_________元。</w:t>
      </w:r>
    </w:p>
    <w:p w14:paraId="59C894BB">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2、如乙方未能履行合同规定的义务，甲方有权从履约保证金中取得补偿。</w:t>
      </w:r>
    </w:p>
    <w:p w14:paraId="025CF15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3、甲方在乙方履行完毕本合同项下全部义务后______天内无息退还乙方。</w:t>
      </w:r>
    </w:p>
    <w:p w14:paraId="7E11B378">
      <w:pPr>
        <w:widowControl w:val="0"/>
        <w:spacing w:line="360" w:lineRule="auto"/>
        <w:ind w:firstLine="560"/>
        <w:jc w:val="both"/>
        <w:rPr>
          <w:rFonts w:ascii="Calibri" w:hAnsi="Calibri" w:eastAsia="宋体"/>
          <w:kern w:val="2"/>
          <w:sz w:val="21"/>
          <w:szCs w:val="22"/>
          <w:lang w:eastAsia="zh-CN"/>
        </w:rPr>
      </w:pPr>
    </w:p>
    <w:p w14:paraId="691420B4">
      <w:pPr>
        <w:widowControl w:val="0"/>
        <w:spacing w:line="360" w:lineRule="auto"/>
        <w:ind w:firstLine="560"/>
        <w:jc w:val="both"/>
        <w:rPr>
          <w:rFonts w:hint="eastAsia" w:ascii="Calibri" w:hAnsi="Calibri" w:eastAsia="宋体"/>
          <w:b/>
          <w:kern w:val="2"/>
          <w:sz w:val="21"/>
          <w:szCs w:val="22"/>
          <w:lang w:eastAsia="zh-CN"/>
        </w:rPr>
      </w:pPr>
      <w:r>
        <w:rPr>
          <w:rFonts w:hint="eastAsia" w:ascii="Calibri" w:hAnsi="Calibri" w:eastAsia="宋体" w:cstheme="minorBidi"/>
          <w:b/>
          <w:kern w:val="2"/>
          <w:sz w:val="21"/>
          <w:szCs w:val="22"/>
          <w:lang w:eastAsia="zh-CN"/>
        </w:rPr>
        <w:t>第八条   付款方式</w:t>
      </w:r>
    </w:p>
    <w:p w14:paraId="6BD738C0">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按照招标文件规定的付款方式进行支付。</w:t>
      </w:r>
    </w:p>
    <w:p w14:paraId="4864E1B8">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第九条    违约责任</w:t>
      </w:r>
    </w:p>
    <w:p w14:paraId="4F96331B">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１、甲方无正当理由拒收货物、拒付货物款的，由甲方向乙方偿付合同总价的【】%违约金。</w:t>
      </w:r>
    </w:p>
    <w:p w14:paraId="5F77779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２、甲方未按合同规定的期限向乙方支付货款的，每逾期1天甲方向乙方偿付欠款总额的【】‰滞纳金，但累计滞纳金总额不超过欠款总额的【】% 。</w:t>
      </w:r>
    </w:p>
    <w:p w14:paraId="2701850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３、</w:t>
      </w:r>
      <w:r>
        <w:rPr>
          <w:rFonts w:ascii="Calibri" w:hAnsi="Calibri" w:eastAsia="宋体" w:cstheme="minorBidi"/>
          <w:kern w:val="2"/>
          <w:sz w:val="21"/>
          <w:szCs w:val="22"/>
          <w:lang w:eastAsia="zh-CN"/>
        </w:rPr>
        <w:t>乙方逾期交付货物的，每逾期1天，乙方向甲方偿付逾期交货部分货款总额的</w:t>
      </w: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‰的滞纳金</w:t>
      </w:r>
      <w:r>
        <w:rPr>
          <w:rFonts w:hint="eastAsia" w:ascii="Calibri" w:hAnsi="Calibri" w:eastAsia="宋体" w:cstheme="minorBidi"/>
          <w:kern w:val="2"/>
          <w:sz w:val="21"/>
          <w:szCs w:val="22"/>
          <w:lang w:eastAsia="zh-CN"/>
        </w:rPr>
        <w:t>。如乙方逾期交货达</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天，甲方有权解除合同，履约保证金不予退回，同时乙方应向甲方支付合同总价【】％的违约金。</w:t>
      </w:r>
    </w:p>
    <w:p w14:paraId="3E30F28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4、乙方所交付的货物品种、型号、规格不符合合同规定的，甲方有权拒收。甲方拒收的，乙方应向甲方支付货款总额【】%的违约金。</w:t>
      </w:r>
    </w:p>
    <w:p w14:paraId="3B98063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5、在乙方承诺的或国家规定的质量保证期内（取两者中最长的期限），</w:t>
      </w:r>
      <w:r>
        <w:rPr>
          <w:rFonts w:ascii="Calibri" w:hAnsi="Calibri" w:eastAsia="宋体" w:cstheme="minorBidi"/>
          <w:kern w:val="2"/>
          <w:sz w:val="21"/>
          <w:szCs w:val="22"/>
          <w:lang w:eastAsia="zh-CN"/>
        </w:rPr>
        <w:t>如经乙方两次维修</w:t>
      </w:r>
      <w:r>
        <w:rPr>
          <w:rFonts w:hint="eastAsia" w:ascii="Calibri" w:hAnsi="Calibri" w:eastAsia="宋体" w:cstheme="minorBidi"/>
          <w:kern w:val="2"/>
          <w:sz w:val="21"/>
          <w:szCs w:val="22"/>
          <w:lang w:eastAsia="zh-CN"/>
        </w:rPr>
        <w:t>或更换</w:t>
      </w:r>
      <w:r>
        <w:rPr>
          <w:rFonts w:ascii="Calibri" w:hAnsi="Calibri" w:eastAsia="宋体" w:cstheme="minorBidi"/>
          <w:kern w:val="2"/>
          <w:sz w:val="21"/>
          <w:szCs w:val="22"/>
          <w:lang w:eastAsia="zh-CN"/>
        </w:rPr>
        <w:t>，货物仍不能达到合同约定</w:t>
      </w:r>
      <w:r>
        <w:rPr>
          <w:rFonts w:hint="eastAsia" w:ascii="Calibri" w:hAnsi="Calibri" w:eastAsia="宋体" w:cstheme="minorBidi"/>
          <w:kern w:val="2"/>
          <w:sz w:val="21"/>
          <w:szCs w:val="22"/>
          <w:lang w:eastAsia="zh-CN"/>
        </w:rPr>
        <w:t>的</w:t>
      </w:r>
      <w:r>
        <w:rPr>
          <w:rFonts w:ascii="Calibri" w:hAnsi="Calibri" w:eastAsia="宋体" w:cstheme="minorBidi"/>
          <w:kern w:val="2"/>
          <w:sz w:val="21"/>
          <w:szCs w:val="22"/>
          <w:lang w:eastAsia="zh-CN"/>
        </w:rPr>
        <w:t>质量标准，甲方有权退货，乙方</w:t>
      </w:r>
      <w:r>
        <w:rPr>
          <w:rFonts w:hint="eastAsia" w:ascii="Calibri" w:hAnsi="Calibri" w:eastAsia="宋体" w:cstheme="minorBidi"/>
          <w:kern w:val="2"/>
          <w:sz w:val="21"/>
          <w:szCs w:val="22"/>
          <w:lang w:eastAsia="zh-CN"/>
        </w:rPr>
        <w:t>应</w:t>
      </w:r>
      <w:r>
        <w:rPr>
          <w:rFonts w:ascii="Calibri" w:hAnsi="Calibri" w:eastAsia="宋体" w:cstheme="minorBidi"/>
          <w:kern w:val="2"/>
          <w:sz w:val="21"/>
          <w:szCs w:val="22"/>
          <w:lang w:eastAsia="zh-CN"/>
        </w:rPr>
        <w:t>退回全部货款</w:t>
      </w:r>
      <w:r>
        <w:rPr>
          <w:rFonts w:hint="eastAsia" w:ascii="Calibri" w:hAnsi="Calibri" w:eastAsia="宋体" w:cstheme="minorBidi"/>
          <w:kern w:val="2"/>
          <w:sz w:val="21"/>
          <w:szCs w:val="22"/>
          <w:lang w:eastAsia="zh-CN"/>
        </w:rPr>
        <w:t>并</w:t>
      </w:r>
      <w:r>
        <w:rPr>
          <w:rFonts w:ascii="Calibri" w:hAnsi="Calibri" w:eastAsia="宋体" w:cstheme="minorBidi"/>
          <w:kern w:val="2"/>
          <w:sz w:val="21"/>
          <w:szCs w:val="22"/>
          <w:lang w:eastAsia="zh-CN"/>
        </w:rPr>
        <w:t>赔偿甲方因此遭受的损失。</w:t>
      </w:r>
    </w:p>
    <w:p w14:paraId="4748DEF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6、乙方未履行本合同项下的其他义务或违反其在投标文件中的相关承诺的，应按合同总价款的【】%向甲方承担违约责任。</w:t>
      </w:r>
    </w:p>
    <w:p w14:paraId="0617280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7、乙方在承担上述一项或多项违约责任后，仍应继续履行合同规定的义务（甲方解除合同的除外）。甲方未能及时追究乙方的任何一项违约责任并不表明甲方放弃追究乙方该项或其他违约责任。</w:t>
      </w:r>
    </w:p>
    <w:p w14:paraId="25504A93">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第十条    合同的变更和终止</w:t>
      </w:r>
    </w:p>
    <w:p w14:paraId="51F9B1C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除《中华人民共和国政府采购法》第４９条、第５０条第二款规定的情形外，本合同一经签订，甲乙双方不得擅自变更、</w:t>
      </w:r>
      <w:r>
        <w:rPr>
          <w:rFonts w:hint="eastAsia" w:ascii="Calibri" w:hAnsi="Calibri" w:eastAsia="宋体" w:cstheme="minorBidi"/>
          <w:kern w:val="2"/>
          <w:sz w:val="21"/>
          <w:szCs w:val="22"/>
          <w:highlight w:val="yellow"/>
          <w:lang w:eastAsia="zh-CN"/>
        </w:rPr>
        <w:t>中止</w:t>
      </w:r>
      <w:r>
        <w:rPr>
          <w:rFonts w:hint="eastAsia" w:ascii="Calibri" w:hAnsi="Calibri" w:eastAsia="宋体" w:cstheme="minorBidi"/>
          <w:kern w:val="2"/>
          <w:sz w:val="21"/>
          <w:szCs w:val="22"/>
          <w:lang w:eastAsia="zh-CN"/>
        </w:rPr>
        <w:t>或终止合同。</w:t>
      </w:r>
    </w:p>
    <w:p w14:paraId="0DF3AC81">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第十一条   争议的解决</w:t>
      </w:r>
    </w:p>
    <w:p w14:paraId="0D829D5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1、因货物的质量问题发生争议的，应当邀请国家认可的质量检测机构对货物质量进行鉴定。货物符合标准的，鉴定费由甲方承担；货物不符合质量标准的，鉴定费由乙方承担。</w:t>
      </w:r>
    </w:p>
    <w:p w14:paraId="4BB2E48E">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2、因履行本合同引起的或与本合同有关的争议，甲、乙双方应首先通过友好协商解决，如果协商不能解决争议，则向甲方所在地有管辖权的人民法院提起诉讼；</w:t>
      </w:r>
    </w:p>
    <w:p w14:paraId="6B7BC90F">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第十二条   合同生效及其他</w:t>
      </w:r>
    </w:p>
    <w:p w14:paraId="27A85BDF">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1、下列文件均为本合同的重要组成部分：</w:t>
      </w:r>
    </w:p>
    <w:p w14:paraId="6B5EB9CD">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（1）本项目的采购文件、答疑及补充通知；</w:t>
      </w:r>
    </w:p>
    <w:p w14:paraId="04AF5E84">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（2）本项目中标的投标文件；</w:t>
      </w:r>
    </w:p>
    <w:p w14:paraId="5E78B38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（3）本合同执行中共同签署的补充与修正文件。</w:t>
      </w:r>
    </w:p>
    <w:p w14:paraId="3F0D269F">
      <w:pPr>
        <w:widowControl w:val="0"/>
        <w:spacing w:line="360" w:lineRule="auto"/>
        <w:jc w:val="both"/>
        <w:rPr>
          <w:rFonts w:hint="eastAsia" w:ascii="Calibri" w:hAnsi="Calibri" w:eastAsia="宋体"/>
          <w:b/>
          <w:bCs/>
          <w:kern w:val="2"/>
          <w:szCs w:val="22"/>
          <w:lang w:eastAsia="zh-CN"/>
        </w:rPr>
      </w:pPr>
      <w:r>
        <w:rPr>
          <w:rFonts w:hint="eastAsia" w:ascii="Calibri" w:hAnsi="Calibri" w:eastAsia="宋体" w:cstheme="minorBidi"/>
          <w:b/>
          <w:bCs/>
          <w:kern w:val="2"/>
          <w:szCs w:val="22"/>
          <w:lang w:eastAsia="zh-CN"/>
        </w:rPr>
        <w:t xml:space="preserve">   </w:t>
      </w:r>
      <w:r>
        <w:rPr>
          <w:rFonts w:hint="eastAsia" w:ascii="Calibri" w:hAnsi="Calibri" w:eastAsia="宋体" w:cstheme="minorBidi"/>
          <w:bCs/>
          <w:kern w:val="2"/>
          <w:sz w:val="21"/>
          <w:szCs w:val="21"/>
          <w:lang w:eastAsia="zh-CN"/>
        </w:rPr>
        <w:t xml:space="preserve"> 以上文件互为补充，如果出现内容冲突的情况，为准的优先顺序为（2）、（1）、（3）。</w:t>
      </w:r>
    </w:p>
    <w:p w14:paraId="06EEB9ED">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2、本合同一式___份，甲、乙方双方各执份，具有同等法律效力。本合同自双方法人代表签字（盖章）认可之日起生效。</w:t>
      </w:r>
    </w:p>
    <w:p w14:paraId="05AB826A">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3、本合同未尽事宜，双方友好协商，达成解决方案，经双方签字后，可作为本合同的有效附件。</w:t>
      </w:r>
    </w:p>
    <w:p w14:paraId="1D357C0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本合同未尽事宜，双方友好协商，达成解决方案，经双方签字后，可作为本合同的有效附件。</w:t>
      </w:r>
    </w:p>
    <w:p w14:paraId="5064C7CF">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甲方（采购人）：   （盖章）       乙方（供应商）：    （盖章）</w:t>
      </w:r>
    </w:p>
    <w:p w14:paraId="1AEBF4A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法定代表人：                     法定代表人： </w:t>
      </w:r>
    </w:p>
    <w:p w14:paraId="556126B4">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委托代理人：                     委托代理人：</w:t>
      </w:r>
    </w:p>
    <w:p w14:paraId="04C39F33">
      <w:pPr>
        <w:widowControl w:val="0"/>
        <w:ind w:firstLine="525" w:firstLineChars="250"/>
        <w:jc w:val="both"/>
        <w:rPr>
          <w:rFonts w:hint="eastAsia" w:ascii="宋体" w:hAnsi="宋体" w:eastAsia="宋体"/>
          <w:b/>
          <w:kern w:val="2"/>
          <w:sz w:val="21"/>
          <w:szCs w:val="21"/>
          <w:lang w:eastAsia="zh-CN"/>
        </w:rPr>
      </w:pPr>
      <w:r>
        <w:rPr>
          <w:rFonts w:hint="eastAsia" w:ascii="Calibri" w:hAnsi="Calibri" w:eastAsia="宋体" w:cstheme="minorBidi"/>
          <w:kern w:val="2"/>
          <w:sz w:val="21"/>
          <w:szCs w:val="22"/>
          <w:lang w:eastAsia="zh-CN"/>
        </w:rPr>
        <w:t>日期：   年     月    日         日期：   年     月    日</w:t>
      </w:r>
    </w:p>
    <w:p w14:paraId="16F4387D">
      <w:pPr>
        <w:keepNext/>
        <w:keepLines/>
        <w:widowControl w:val="0"/>
        <w:adjustRightInd w:val="0"/>
        <w:snapToGrid w:val="0"/>
        <w:spacing w:before="156" w:beforeLines="50" w:line="360" w:lineRule="auto"/>
        <w:jc w:val="center"/>
        <w:outlineLvl w:val="1"/>
        <w:rPr>
          <w:rFonts w:hint="eastAsia" w:ascii="黑体" w:hAnsi="黑体" w:eastAsia="黑体"/>
          <w:b/>
          <w:bCs/>
          <w:kern w:val="2"/>
          <w:sz w:val="28"/>
          <w:szCs w:val="28"/>
          <w:lang w:eastAsia="zh-CN"/>
        </w:rPr>
      </w:pPr>
      <w:bookmarkStart w:id="51" w:name="_Toc27624"/>
      <w:r>
        <w:rPr>
          <w:rFonts w:hint="eastAsia" w:ascii="黑体" w:hAnsi="黑体" w:eastAsia="黑体"/>
          <w:kern w:val="2"/>
          <w:sz w:val="28"/>
          <w:szCs w:val="28"/>
          <w:lang w:eastAsia="zh-CN"/>
        </w:rPr>
        <w:t>第二节 政府采购合同通用条款</w:t>
      </w:r>
      <w:bookmarkEnd w:id="51"/>
    </w:p>
    <w:p w14:paraId="5F64CE1E">
      <w:pPr>
        <w:widowControl w:val="0"/>
        <w:tabs>
          <w:tab w:val="left" w:pos="8820"/>
          <w:tab w:val="left" w:pos="9345"/>
          <w:tab w:val="left" w:pos="9765"/>
        </w:tabs>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kern w:val="2"/>
          <w:szCs w:val="22"/>
          <w:lang w:eastAsia="zh-CN"/>
        </w:rPr>
        <w:t xml:space="preserve">1. </w:t>
      </w:r>
      <w:r>
        <w:rPr>
          <w:rFonts w:hint="eastAsia" w:ascii="宋体" w:hAnsi="宋体" w:eastAsia="宋体" w:cstheme="minorBidi"/>
          <w:b/>
          <w:bCs/>
          <w:kern w:val="2"/>
          <w:szCs w:val="22"/>
          <w:lang w:eastAsia="zh-CN"/>
        </w:rPr>
        <w:t>定义</w:t>
      </w:r>
    </w:p>
    <w:p w14:paraId="22E666C5">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1.1合同当事人</w:t>
      </w:r>
    </w:p>
    <w:p w14:paraId="30A2350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（1）采购人（以下称甲方）是指使用财政性资金，通过政府采购方式向供应商购买货物及其相关服务的国家机关、事业单位、团体组织。</w:t>
      </w:r>
    </w:p>
    <w:p w14:paraId="5F3CC66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（2）供应商（以下称乙方）是指参加政府采购活动并且中标（成交），向采购人提供合同约定的货物及其相关服务的法人、非法人组织或者自然人。</w:t>
      </w:r>
    </w:p>
    <w:p w14:paraId="2EB1815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（3）其他合同主体是指除采购人和供应商以外，</w:t>
      </w:r>
      <w:r>
        <w:rPr>
          <w:rFonts w:hint="eastAsia" w:ascii="宋体" w:hAnsi="宋体" w:eastAsia="宋体" w:cs="宋体"/>
          <w:bCs/>
          <w:color w:val="000000"/>
          <w:kern w:val="2"/>
          <w:sz w:val="21"/>
          <w:szCs w:val="21"/>
          <w:lang w:eastAsia="zh-CN"/>
        </w:rPr>
        <w:t>依法参与合同缔结或履行，享有权利、承担义务的合同当事人</w:t>
      </w:r>
      <w:r>
        <w:rPr>
          <w:rFonts w:hint="eastAsia" w:ascii="宋体" w:hAnsi="宋体" w:eastAsia="宋体" w:cstheme="minorBidi"/>
          <w:kern w:val="2"/>
          <w:sz w:val="21"/>
          <w:szCs w:val="21"/>
          <w:lang w:eastAsia="zh-CN"/>
        </w:rPr>
        <w:t>。</w:t>
      </w:r>
    </w:p>
    <w:p w14:paraId="31C3EC7D">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1.2本合同下列术语应解释为：</w:t>
      </w:r>
    </w:p>
    <w:p w14:paraId="307D1553">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（1）“合同”系指</w:t>
      </w:r>
      <w:r>
        <w:rPr>
          <w:rFonts w:hint="eastAsia" w:ascii="宋体" w:hAnsi="宋体" w:eastAsia="宋体" w:cs="宋体"/>
          <w:bCs/>
          <w:color w:val="000000"/>
          <w:kern w:val="2"/>
          <w:sz w:val="21"/>
          <w:szCs w:val="21"/>
          <w:lang w:eastAsia="zh-CN"/>
        </w:rPr>
        <w:t>合同当事人意思表示达成一致的任何协议，包括签署的</w:t>
      </w:r>
      <w:r>
        <w:rPr>
          <w:rFonts w:hint="eastAsia" w:ascii="宋体" w:hAnsi="宋体" w:eastAsia="宋体" w:cstheme="minorBidi"/>
          <w:kern w:val="2"/>
          <w:sz w:val="21"/>
          <w:szCs w:val="21"/>
          <w:lang w:eastAsia="zh-CN"/>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kern w:val="2"/>
          <w:sz w:val="21"/>
          <w:szCs w:val="21"/>
          <w:lang w:eastAsia="zh-CN"/>
        </w:rPr>
        <w:t>国家法律、行政法规和规章制度规定或合同约定的作为合同组成部分的其他文件</w:t>
      </w:r>
      <w:r>
        <w:rPr>
          <w:rFonts w:hint="eastAsia" w:ascii="宋体" w:hAnsi="宋体" w:eastAsia="宋体" w:cstheme="minorBidi"/>
          <w:kern w:val="2"/>
          <w:sz w:val="21"/>
          <w:szCs w:val="21"/>
          <w:lang w:eastAsia="zh-CN"/>
        </w:rPr>
        <w:t>。</w:t>
      </w:r>
    </w:p>
    <w:p w14:paraId="20FDC305">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（2）“合同价款”系指根据本合同规定乙方在全面履行合同义务后甲方应支付给乙方的价款。</w:t>
      </w:r>
    </w:p>
    <w:p w14:paraId="260258EB">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kern w:val="2"/>
          <w:sz w:val="21"/>
          <w:szCs w:val="21"/>
          <w:lang w:eastAsia="zh-CN"/>
        </w:rPr>
        <w:t>（3）“货物”系指乙方根据本合同规定须向甲方提供的各种形态和种类的物品，包括原材料、设备、产品（</w:t>
      </w:r>
      <w:r>
        <w:rPr>
          <w:rFonts w:hint="eastAsia" w:ascii="宋体" w:hAnsi="宋体" w:eastAsia="宋体" w:cstheme="minorBidi"/>
          <w:color w:val="000000"/>
          <w:kern w:val="2"/>
          <w:sz w:val="21"/>
          <w:szCs w:val="21"/>
          <w:lang w:eastAsia="zh-CN"/>
        </w:rPr>
        <w:t>包括软件）及相关的其备品备件、工具、手册及</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技术资料和材料等。</w:t>
      </w:r>
    </w:p>
    <w:p w14:paraId="265AE8CC">
      <w:pPr>
        <w:widowControl w:val="0"/>
        <w:adjustRightInd w:val="0"/>
        <w:snapToGrid w:val="0"/>
        <w:spacing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（4）“</w:t>
      </w:r>
      <w:r>
        <w:rPr>
          <w:rFonts w:hint="eastAsia" w:ascii="宋体" w:hAnsi="宋体" w:eastAsia="宋体" w:cstheme="minorBidi"/>
          <w:kern w:val="2"/>
          <w:sz w:val="21"/>
          <w:szCs w:val="21"/>
          <w:lang w:eastAsia="zh-CN"/>
        </w:rPr>
        <w:t>相关</w:t>
      </w:r>
      <w:r>
        <w:rPr>
          <w:rFonts w:hint="eastAsia" w:ascii="宋体" w:hAnsi="宋体" w:eastAsia="宋体" w:cstheme="minorBidi"/>
          <w:color w:val="000000"/>
          <w:kern w:val="2"/>
          <w:sz w:val="21"/>
          <w:szCs w:val="21"/>
          <w:lang w:eastAsia="zh-CN"/>
        </w:rPr>
        <w:t>服务”系指根据合同规定，乙方应提供的与货物有关的技术、管理和</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服务，包括但不限于：管理和质量保证、运输、保险、检验、现场准备、安装、集成、调试、培训、维修、废弃处置、技术支持等以及合同中规定乙方应承担的</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义务。</w:t>
      </w:r>
    </w:p>
    <w:p w14:paraId="14B70CFE">
      <w:pPr>
        <w:widowControl w:val="0"/>
        <w:adjustRightInd w:val="0"/>
        <w:snapToGrid w:val="0"/>
        <w:spacing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（5）“分包”系指中标（成交）供应商按采购文件、投标（响应）文件的规定，根据分包意向协议，将中标（成交）项目中的部分履约内容，分给具有相应资质条件的供应商履行合同的行为。</w:t>
      </w:r>
    </w:p>
    <w:p w14:paraId="3447DF70">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w:t>
      </w:r>
      <w:r>
        <w:rPr>
          <w:rFonts w:hint="eastAsia" w:ascii="宋体" w:hAnsi="宋体" w:eastAsia="宋体" w:cstheme="minorBidi"/>
          <w:kern w:val="2"/>
          <w:sz w:val="21"/>
          <w:szCs w:val="21"/>
          <w:lang w:eastAsia="zh-CN"/>
        </w:rPr>
        <w:t>“联合体”系指由两个以上的自然人、法人或者非法人组织组成，以一个供应商的身份共同参加政府采购的主体</w:t>
      </w:r>
      <w:r>
        <w:rPr>
          <w:rFonts w:hint="eastAsia" w:ascii="宋体" w:hAnsi="宋体" w:eastAsia="宋体" w:cstheme="minorBidi"/>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0A617165">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（7）其他术语解释，见【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3AB27C78">
      <w:pPr>
        <w:widowControl w:val="0"/>
        <w:numPr>
          <w:ilvl w:val="0"/>
          <w:numId w:val="4"/>
        </w:numPr>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color w:val="000000"/>
          <w:kern w:val="2"/>
          <w:szCs w:val="22"/>
          <w:lang w:eastAsia="zh-CN"/>
        </w:rPr>
        <w:t>合同标的及金额</w:t>
      </w:r>
    </w:p>
    <w:p w14:paraId="125934F3">
      <w:pPr>
        <w:widowControl w:val="0"/>
        <w:autoSpaceDE w:val="0"/>
        <w:autoSpaceDN w:val="0"/>
        <w:adjustRightInd w:val="0"/>
        <w:snapToGrid w:val="0"/>
        <w:spacing w:line="400" w:lineRule="exact"/>
        <w:ind w:firstLine="420" w:firstLineChars="200"/>
        <w:jc w:val="left"/>
        <w:rPr>
          <w:rFonts w:hint="eastAsia" w:ascii="宋体" w:hAnsi="宋体" w:eastAsia="宋体"/>
          <w:b/>
          <w:bCs/>
          <w:i/>
          <w:iCs/>
          <w:color w:val="000000"/>
          <w:kern w:val="2"/>
          <w:sz w:val="21"/>
          <w:szCs w:val="21"/>
          <w:lang w:eastAsia="zh-CN"/>
        </w:rPr>
      </w:pPr>
      <w:r>
        <w:rPr>
          <w:rFonts w:hint="eastAsia" w:ascii="宋体" w:hAnsi="宋体" w:eastAsia="宋体" w:cstheme="minorBidi"/>
          <w:color w:val="000000"/>
          <w:kern w:val="2"/>
          <w:sz w:val="21"/>
          <w:szCs w:val="21"/>
          <w:lang w:eastAsia="zh-CN"/>
        </w:rPr>
        <w:t>2.1 合同标的及金额应与中标（成交）结果一致。乙方为履行本合同而发生的所有费用均应包含在合同价款中，甲方不再另行支付</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任何费用。</w:t>
      </w:r>
    </w:p>
    <w:p w14:paraId="25B5B22E">
      <w:pPr>
        <w:widowControl w:val="0"/>
        <w:adjustRightInd w:val="0"/>
        <w:snapToGrid w:val="0"/>
        <w:spacing w:line="400" w:lineRule="exact"/>
        <w:jc w:val="left"/>
        <w:rPr>
          <w:rFonts w:hint="eastAsia" w:ascii="宋体" w:hAnsi="宋体" w:eastAsia="宋体"/>
          <w:b/>
          <w:color w:val="000000"/>
          <w:kern w:val="2"/>
          <w:szCs w:val="22"/>
          <w:lang w:eastAsia="zh-CN"/>
        </w:rPr>
      </w:pPr>
      <w:r>
        <w:rPr>
          <w:rFonts w:hint="eastAsia" w:ascii="宋体" w:hAnsi="宋体" w:eastAsia="宋体" w:cstheme="minorBidi"/>
          <w:b/>
          <w:color w:val="000000"/>
          <w:kern w:val="2"/>
          <w:szCs w:val="22"/>
          <w:lang w:eastAsia="zh-CN"/>
        </w:rPr>
        <w:t>3. 履行合同的时间、地点和方式</w:t>
      </w:r>
    </w:p>
    <w:p w14:paraId="3B865281">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3.1 </w:t>
      </w:r>
      <w:r>
        <w:rPr>
          <w:rFonts w:hint="eastAsia" w:ascii="宋体" w:hAnsi="宋体" w:eastAsia="宋体" w:cs="宋体"/>
          <w:kern w:val="2"/>
          <w:sz w:val="21"/>
          <w:szCs w:val="21"/>
          <w:lang w:eastAsia="zh-CN"/>
        </w:rPr>
        <w:t>乙方应当在约定的时间、地点，按照约定方式履行合同。</w:t>
      </w:r>
    </w:p>
    <w:p w14:paraId="20BB1737">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4. 甲方的权利和义务</w:t>
      </w:r>
    </w:p>
    <w:p w14:paraId="4C434FE6">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4.1</w:t>
      </w:r>
      <w:r>
        <w:rPr>
          <w:rFonts w:ascii="宋体" w:hAnsi="宋体" w:eastAsia="宋体" w:cstheme="minorBidi"/>
          <w:color w:val="000000"/>
          <w:kern w:val="2"/>
          <w:sz w:val="21"/>
          <w:szCs w:val="21"/>
          <w:lang w:eastAsia="zh-CN"/>
        </w:rPr>
        <w:t xml:space="preserve"> 签署合同后，甲方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r>
        <w:rPr>
          <w:rFonts w:hint="eastAsia" w:ascii="宋体" w:hAnsi="宋体" w:eastAsia="宋体" w:cstheme="minorBidi"/>
          <w:color w:val="000000"/>
          <w:kern w:val="2"/>
          <w:sz w:val="21"/>
          <w:szCs w:val="21"/>
          <w:lang w:eastAsia="zh-CN"/>
        </w:rPr>
        <w:t>甲方有权对乙方的履约行为进行检查，并</w:t>
      </w:r>
      <w:r>
        <w:rPr>
          <w:rFonts w:ascii="宋体" w:hAnsi="宋体" w:eastAsia="宋体" w:cstheme="minorBidi"/>
          <w:color w:val="000000"/>
          <w:kern w:val="2"/>
          <w:sz w:val="21"/>
          <w:szCs w:val="21"/>
          <w:lang w:eastAsia="zh-CN"/>
        </w:rPr>
        <w:t>及时确认乙方提交的事项</w:t>
      </w:r>
      <w:r>
        <w:rPr>
          <w:rFonts w:hint="eastAsia" w:ascii="宋体" w:hAnsi="宋体" w:eastAsia="宋体" w:cstheme="minorBidi"/>
          <w:color w:val="000000"/>
          <w:kern w:val="2"/>
          <w:sz w:val="21"/>
          <w:szCs w:val="21"/>
          <w:lang w:eastAsia="zh-CN"/>
        </w:rPr>
        <w:t>。甲方应当</w:t>
      </w:r>
      <w:r>
        <w:rPr>
          <w:rFonts w:ascii="宋体" w:hAnsi="宋体" w:eastAsia="宋体" w:cstheme="minorBidi"/>
          <w:color w:val="000000"/>
          <w:kern w:val="2"/>
          <w:sz w:val="21"/>
          <w:szCs w:val="21"/>
          <w:lang w:eastAsia="zh-CN"/>
        </w:rPr>
        <w:t>配合乙方完成</w:t>
      </w:r>
      <w:r>
        <w:rPr>
          <w:rFonts w:hint="eastAsia" w:ascii="宋体" w:hAnsi="宋体" w:eastAsia="宋体" w:cstheme="minorBidi"/>
          <w:color w:val="000000"/>
          <w:kern w:val="2"/>
          <w:sz w:val="21"/>
          <w:szCs w:val="21"/>
          <w:lang w:eastAsia="zh-CN"/>
        </w:rPr>
        <w:t>相关项目</w:t>
      </w:r>
      <w:r>
        <w:rPr>
          <w:rFonts w:ascii="宋体" w:hAnsi="宋体" w:eastAsia="宋体" w:cstheme="minorBidi"/>
          <w:color w:val="000000"/>
          <w:kern w:val="2"/>
          <w:sz w:val="21"/>
          <w:szCs w:val="21"/>
          <w:lang w:eastAsia="zh-CN"/>
        </w:rPr>
        <w:t>实施工作。</w:t>
      </w:r>
    </w:p>
    <w:p w14:paraId="278DD144">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4.2 </w:t>
      </w:r>
      <w:r>
        <w:rPr>
          <w:rFonts w:ascii="宋体" w:hAnsi="宋体" w:eastAsia="宋体" w:cstheme="minorBidi"/>
          <w:color w:val="000000"/>
          <w:kern w:val="2"/>
          <w:sz w:val="21"/>
          <w:szCs w:val="21"/>
          <w:lang w:eastAsia="zh-CN"/>
        </w:rPr>
        <w:t>甲方有权要求乙方按时提交各阶段有关</w:t>
      </w:r>
      <w:r>
        <w:rPr>
          <w:rFonts w:hint="eastAsia" w:ascii="宋体" w:hAnsi="宋体" w:eastAsia="宋体" w:cstheme="minorBidi"/>
          <w:color w:val="000000"/>
          <w:kern w:val="2"/>
          <w:sz w:val="21"/>
          <w:szCs w:val="21"/>
          <w:lang w:eastAsia="zh-CN"/>
        </w:rPr>
        <w:t>安排计划</w:t>
      </w:r>
      <w:r>
        <w:rPr>
          <w:rFonts w:ascii="宋体" w:hAnsi="宋体" w:eastAsia="宋体" w:cstheme="minorBidi"/>
          <w:color w:val="000000"/>
          <w:kern w:val="2"/>
          <w:sz w:val="21"/>
          <w:szCs w:val="21"/>
          <w:lang w:eastAsia="zh-CN"/>
        </w:rPr>
        <w:t>，并有权</w:t>
      </w:r>
      <w:r>
        <w:rPr>
          <w:rFonts w:hint="eastAsia" w:ascii="宋体" w:hAnsi="宋体" w:eastAsia="宋体" w:cstheme="minorBidi"/>
          <w:color w:val="000000"/>
          <w:kern w:val="2"/>
          <w:sz w:val="21"/>
          <w:szCs w:val="21"/>
          <w:lang w:eastAsia="zh-CN"/>
        </w:rPr>
        <w:t>定期核对乙方提供货物数量、规格、质量等内容。甲方</w:t>
      </w:r>
      <w:r>
        <w:rPr>
          <w:rFonts w:ascii="宋体" w:hAnsi="宋体" w:eastAsia="宋体" w:cstheme="minorBidi"/>
          <w:color w:val="000000"/>
          <w:kern w:val="2"/>
          <w:sz w:val="21"/>
          <w:szCs w:val="21"/>
          <w:lang w:eastAsia="zh-CN"/>
        </w:rPr>
        <w:t>有权督促乙方工作并要求乙方</w:t>
      </w:r>
      <w:r>
        <w:rPr>
          <w:rFonts w:hint="eastAsia" w:ascii="宋体" w:hAnsi="宋体" w:eastAsia="宋体" w:cstheme="minorBidi"/>
          <w:color w:val="000000"/>
          <w:kern w:val="2"/>
          <w:sz w:val="21"/>
          <w:szCs w:val="21"/>
          <w:lang w:eastAsia="zh-CN"/>
        </w:rPr>
        <w:t>更</w:t>
      </w:r>
      <w:r>
        <w:rPr>
          <w:rFonts w:ascii="宋体" w:hAnsi="宋体" w:eastAsia="宋体" w:cstheme="minorBidi"/>
          <w:color w:val="000000"/>
          <w:kern w:val="2"/>
          <w:sz w:val="21"/>
          <w:szCs w:val="21"/>
          <w:lang w:eastAsia="zh-CN"/>
        </w:rPr>
        <w:t>换不符合要求的</w:t>
      </w:r>
      <w:r>
        <w:rPr>
          <w:rFonts w:hint="eastAsia" w:ascii="宋体" w:hAnsi="宋体" w:eastAsia="宋体" w:cstheme="minorBidi"/>
          <w:color w:val="000000"/>
          <w:kern w:val="2"/>
          <w:sz w:val="21"/>
          <w:szCs w:val="21"/>
          <w:lang w:eastAsia="zh-CN"/>
        </w:rPr>
        <w:t>货物</w:t>
      </w:r>
      <w:r>
        <w:rPr>
          <w:rFonts w:ascii="宋体" w:hAnsi="宋体" w:eastAsia="宋体" w:cstheme="minorBidi"/>
          <w:color w:val="000000"/>
          <w:kern w:val="2"/>
          <w:sz w:val="21"/>
          <w:szCs w:val="21"/>
          <w:lang w:eastAsia="zh-CN"/>
        </w:rPr>
        <w:t>。</w:t>
      </w:r>
    </w:p>
    <w:p w14:paraId="2E712B9E">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w:t>
      </w:r>
      <w:r>
        <w:rPr>
          <w:rFonts w:ascii="宋体" w:hAnsi="宋体" w:eastAsia="宋体" w:cstheme="minorBidi"/>
          <w:color w:val="000000"/>
          <w:kern w:val="2"/>
          <w:sz w:val="21"/>
          <w:szCs w:val="21"/>
          <w:lang w:eastAsia="zh-CN"/>
        </w:rPr>
        <w:t>3</w:t>
      </w:r>
      <w:r>
        <w:rPr>
          <w:rFonts w:hint="eastAsia" w:ascii="宋体" w:hAnsi="宋体" w:eastAsia="宋体" w:cstheme="minorBidi"/>
          <w:color w:val="000000"/>
          <w:kern w:val="2"/>
          <w:sz w:val="21"/>
          <w:szCs w:val="21"/>
          <w:lang w:eastAsia="zh-CN"/>
        </w:rPr>
        <w:t xml:space="preserve"> </w:t>
      </w:r>
      <w:r>
        <w:rPr>
          <w:rFonts w:ascii="宋体" w:hAnsi="宋体" w:eastAsia="宋体" w:cstheme="minorBidi"/>
          <w:color w:val="000000"/>
          <w:kern w:val="2"/>
          <w:sz w:val="21"/>
          <w:szCs w:val="21"/>
          <w:lang w:eastAsia="zh-CN"/>
        </w:rPr>
        <w:t>甲方</w:t>
      </w:r>
      <w:r>
        <w:rPr>
          <w:rFonts w:hint="eastAsia" w:ascii="宋体" w:hAnsi="宋体" w:eastAsia="宋体" w:cstheme="minorBidi"/>
          <w:color w:val="000000"/>
          <w:kern w:val="2"/>
          <w:sz w:val="21"/>
          <w:szCs w:val="21"/>
          <w:lang w:eastAsia="zh-CN"/>
        </w:rPr>
        <w:t>有权要求乙方对缺陷部分予以修复，并按合同约定享有货物保修及其他合同约定的权利。</w:t>
      </w:r>
    </w:p>
    <w:p w14:paraId="3C764740">
      <w:pPr>
        <w:widowControl w:val="0"/>
        <w:snapToGrid w:val="0"/>
        <w:spacing w:line="400" w:lineRule="exact"/>
        <w:ind w:firstLine="420" w:firstLineChars="200"/>
        <w:jc w:val="both"/>
        <w:rPr>
          <w:rFonts w:ascii="Calibri" w:hAnsi="Calibri" w:eastAsia="华文楷体"/>
          <w:kern w:val="2"/>
          <w:sz w:val="21"/>
          <w:szCs w:val="22"/>
          <w:lang w:eastAsia="zh-CN"/>
        </w:rPr>
      </w:pPr>
      <w:r>
        <w:rPr>
          <w:rFonts w:ascii="宋体" w:hAnsi="宋体" w:eastAsia="宋体" w:cstheme="minorBidi"/>
          <w:color w:val="000000"/>
          <w:kern w:val="2"/>
          <w:sz w:val="21"/>
          <w:szCs w:val="21"/>
          <w:lang w:eastAsia="zh-CN"/>
        </w:rPr>
        <w:t>4.4 甲方应当按照合同约定及时对交付的货物进行验收</w:t>
      </w:r>
      <w:r>
        <w:rPr>
          <w:rFonts w:hint="eastAsia" w:ascii="宋体" w:hAnsi="宋体" w:eastAsia="宋体" w:cstheme="minorBidi"/>
          <w:color w:val="000000"/>
          <w:kern w:val="2"/>
          <w:sz w:val="21"/>
          <w:szCs w:val="21"/>
          <w:lang w:eastAsia="zh-CN"/>
        </w:rPr>
        <w:t>，</w:t>
      </w:r>
      <w:r>
        <w:rPr>
          <w:rFonts w:hint="eastAsia" w:ascii="宋体" w:hAnsi="宋体" w:eastAsia="宋体" w:cs="宋体"/>
          <w:kern w:val="2"/>
          <w:sz w:val="21"/>
          <w:szCs w:val="21"/>
          <w:lang w:eastAsia="zh-CN"/>
        </w:rPr>
        <w:t>未</w:t>
      </w:r>
      <w:r>
        <w:rPr>
          <w:rFonts w:hint="eastAsia" w:ascii="宋体" w:hAnsi="宋体" w:eastAsia="宋体" w:cstheme="minorBidi"/>
          <w:color w:val="000000"/>
          <w:kern w:val="2"/>
          <w:sz w:val="21"/>
          <w:szCs w:val="21"/>
          <w:lang w:eastAsia="zh-CN"/>
        </w:rPr>
        <w:t>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约定的期限内对乙方履约提出任何异议或者向乙方作出任何说明的，</w:t>
      </w:r>
      <w:r>
        <w:rPr>
          <w:rFonts w:hint="eastAsia" w:ascii="宋体" w:hAnsi="宋体" w:eastAsia="宋体" w:cstheme="minorBidi"/>
          <w:color w:val="000000"/>
          <w:kern w:val="2"/>
          <w:sz w:val="21"/>
          <w:szCs w:val="21"/>
          <w:lang w:eastAsia="zh-CN"/>
        </w:rPr>
        <w:t>视为验收通过。</w:t>
      </w:r>
    </w:p>
    <w:p w14:paraId="7E1B0FF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ascii="宋体" w:hAnsi="宋体" w:eastAsia="宋体" w:cstheme="minorBidi"/>
          <w:color w:val="000000"/>
          <w:kern w:val="2"/>
          <w:sz w:val="21"/>
          <w:szCs w:val="21"/>
          <w:lang w:eastAsia="zh-CN"/>
        </w:rPr>
        <w:t>4</w:t>
      </w:r>
      <w:r>
        <w:rPr>
          <w:rFonts w:hint="eastAsia" w:ascii="宋体" w:hAnsi="宋体" w:eastAsia="宋体" w:cstheme="minorBidi"/>
          <w:color w:val="000000"/>
          <w:kern w:val="2"/>
          <w:sz w:val="21"/>
          <w:szCs w:val="21"/>
          <w:lang w:eastAsia="zh-CN"/>
        </w:rPr>
        <w:t>.</w:t>
      </w:r>
      <w:r>
        <w:rPr>
          <w:rFonts w:ascii="宋体" w:hAnsi="宋体" w:eastAsia="宋体" w:cstheme="minorBidi"/>
          <w:color w:val="000000"/>
          <w:kern w:val="2"/>
          <w:sz w:val="21"/>
          <w:szCs w:val="21"/>
          <w:lang w:eastAsia="zh-CN"/>
        </w:rPr>
        <w:t xml:space="preserve">5 </w:t>
      </w:r>
      <w:r>
        <w:rPr>
          <w:rFonts w:hint="eastAsia" w:ascii="宋体" w:hAnsi="宋体" w:eastAsia="宋体" w:cstheme="minorBidi"/>
          <w:color w:val="000000"/>
          <w:kern w:val="2"/>
          <w:sz w:val="21"/>
          <w:szCs w:val="21"/>
          <w:lang w:eastAsia="zh-CN"/>
        </w:rPr>
        <w:t>甲方应当根据合同约定及时向乙方支付合同价款</w:t>
      </w:r>
      <w:r>
        <w:rPr>
          <w:rFonts w:ascii="宋体" w:hAnsi="宋体" w:eastAsia="宋体" w:cstheme="minorBidi"/>
          <w:color w:val="000000"/>
          <w:kern w:val="2"/>
          <w:sz w:val="21"/>
          <w:szCs w:val="21"/>
          <w:lang w:eastAsia="zh-CN"/>
        </w:rPr>
        <w:t>，不得以内部人员变更、履行内部付款流程等为由，拒绝或迟延支付。</w:t>
      </w:r>
    </w:p>
    <w:p w14:paraId="6DDA43A8">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4.6</w:t>
      </w:r>
      <w:r>
        <w:rPr>
          <w:rFonts w:ascii="宋体" w:hAnsi="宋体" w:eastAsia="宋体" w:cstheme="minorBidi"/>
          <w:color w:val="000000"/>
          <w:kern w:val="2"/>
          <w:sz w:val="21"/>
          <w:szCs w:val="21"/>
          <w:lang w:eastAsia="zh-CN"/>
        </w:rPr>
        <w:t xml:space="preserve"> </w:t>
      </w:r>
      <w:r>
        <w:rPr>
          <w:rFonts w:hint="eastAsia" w:ascii="宋体" w:hAnsi="宋体" w:eastAsia="宋体" w:cstheme="minorBidi"/>
          <w:color w:val="000000"/>
          <w:kern w:val="2"/>
          <w:sz w:val="21"/>
          <w:szCs w:val="21"/>
          <w:lang w:eastAsia="zh-CN"/>
        </w:rPr>
        <w:t>国家法律法规规定及</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约定应由甲方承担的其他义务和责任。</w:t>
      </w:r>
    </w:p>
    <w:p w14:paraId="6B8B33B6">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5. 乙方的权利和义务</w:t>
      </w:r>
    </w:p>
    <w:p w14:paraId="3D79095C">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5.1 </w:t>
      </w:r>
      <w:r>
        <w:rPr>
          <w:rFonts w:ascii="宋体" w:hAnsi="宋体" w:eastAsia="宋体" w:cstheme="minorBidi"/>
          <w:color w:val="000000"/>
          <w:kern w:val="2"/>
          <w:sz w:val="21"/>
          <w:szCs w:val="21"/>
          <w:lang w:eastAsia="zh-CN"/>
        </w:rPr>
        <w:t>签署合同后，乙方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p>
    <w:p w14:paraId="383EAE29">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5.</w:t>
      </w:r>
      <w:r>
        <w:rPr>
          <w:rFonts w:ascii="宋体" w:hAnsi="宋体" w:eastAsia="宋体" w:cstheme="minorBidi"/>
          <w:color w:val="000000"/>
          <w:kern w:val="2"/>
          <w:sz w:val="21"/>
          <w:szCs w:val="21"/>
          <w:lang w:eastAsia="zh-CN"/>
        </w:rPr>
        <w:t>2 乙方应按照合同要求</w:t>
      </w:r>
      <w:r>
        <w:rPr>
          <w:rFonts w:hint="eastAsia" w:ascii="宋体" w:hAnsi="宋体" w:eastAsia="宋体" w:cstheme="minorBidi"/>
          <w:color w:val="000000"/>
          <w:kern w:val="2"/>
          <w:sz w:val="21"/>
          <w:szCs w:val="21"/>
          <w:lang w:eastAsia="zh-CN"/>
        </w:rPr>
        <w:t>履约</w:t>
      </w:r>
      <w:r>
        <w:rPr>
          <w:rFonts w:ascii="宋体" w:hAnsi="宋体" w:eastAsia="宋体" w:cstheme="minorBidi"/>
          <w:color w:val="000000"/>
          <w:kern w:val="2"/>
          <w:sz w:val="21"/>
          <w:szCs w:val="21"/>
          <w:lang w:eastAsia="zh-CN"/>
        </w:rPr>
        <w:t>，充分合理安排，确保</w:t>
      </w:r>
      <w:r>
        <w:rPr>
          <w:rFonts w:hint="eastAsia" w:ascii="宋体" w:hAnsi="宋体" w:eastAsia="宋体" w:cstheme="minorBidi"/>
          <w:color w:val="000000"/>
          <w:kern w:val="2"/>
          <w:sz w:val="21"/>
          <w:szCs w:val="21"/>
          <w:lang w:eastAsia="zh-CN"/>
        </w:rPr>
        <w:t>提供的货物及相关服务符合合同有关</w:t>
      </w:r>
      <w:r>
        <w:rPr>
          <w:rFonts w:ascii="宋体" w:hAnsi="宋体" w:eastAsia="宋体" w:cstheme="minorBidi"/>
          <w:color w:val="000000"/>
          <w:kern w:val="2"/>
          <w:sz w:val="21"/>
          <w:szCs w:val="21"/>
          <w:lang w:eastAsia="zh-CN"/>
        </w:rPr>
        <w:t>要求</w:t>
      </w:r>
      <w:r>
        <w:rPr>
          <w:rFonts w:hint="eastAsia" w:ascii="宋体" w:hAnsi="宋体" w:eastAsia="宋体" w:cstheme="minorBidi"/>
          <w:color w:val="000000"/>
          <w:kern w:val="2"/>
          <w:sz w:val="21"/>
          <w:szCs w:val="21"/>
          <w:lang w:eastAsia="zh-CN"/>
        </w:rPr>
        <w:t>。接受项目行业管理部门及政府有关部门的指导，配合甲方的履约检查及验收，并</w:t>
      </w:r>
      <w:r>
        <w:rPr>
          <w:rFonts w:ascii="宋体" w:hAnsi="宋体" w:eastAsia="宋体" w:cstheme="minorBidi"/>
          <w:color w:val="000000"/>
          <w:kern w:val="2"/>
          <w:sz w:val="21"/>
          <w:szCs w:val="21"/>
          <w:lang w:eastAsia="zh-CN"/>
        </w:rPr>
        <w:t>负责项目实施过程中的所有协调工作。</w:t>
      </w:r>
    </w:p>
    <w:p w14:paraId="0DCFDDDF">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3</w:t>
      </w:r>
      <w:r>
        <w:rPr>
          <w:rFonts w:hint="eastAsia" w:ascii="宋体" w:hAnsi="宋体" w:eastAsia="宋体"/>
          <w:color w:val="000000"/>
          <w:kern w:val="2"/>
          <w:sz w:val="21"/>
          <w:szCs w:val="21"/>
          <w:lang w:eastAsia="zh-CN"/>
        </w:rPr>
        <w:t>乙方有权</w:t>
      </w:r>
      <w:r>
        <w:rPr>
          <w:rFonts w:hint="eastAsia" w:ascii="宋体" w:hAnsi="宋体" w:eastAsia="宋体" w:cs="宋体"/>
          <w:color w:val="000000"/>
          <w:kern w:val="2"/>
          <w:sz w:val="21"/>
          <w:szCs w:val="21"/>
          <w:lang w:eastAsia="zh-CN"/>
        </w:rPr>
        <w:t>根据合同约定向甲方收取合同价款。</w:t>
      </w:r>
    </w:p>
    <w:p w14:paraId="1FB38082">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4</w:t>
      </w:r>
      <w:r>
        <w:rPr>
          <w:rFonts w:hint="eastAsia" w:ascii="宋体" w:hAnsi="宋体" w:eastAsia="宋体" w:cs="宋体"/>
          <w:color w:val="000000"/>
          <w:kern w:val="2"/>
          <w:sz w:val="21"/>
          <w:szCs w:val="21"/>
          <w:lang w:eastAsia="zh-CN"/>
        </w:rPr>
        <w:t>国家法律法规规定</w:t>
      </w:r>
      <w:r>
        <w:rPr>
          <w:rFonts w:hint="eastAsia" w:ascii="宋体" w:hAnsi="宋体" w:eastAsia="宋体"/>
          <w:color w:val="000000"/>
          <w:kern w:val="2"/>
          <w:sz w:val="21"/>
          <w:szCs w:val="21"/>
          <w:lang w:eastAsia="zh-CN"/>
        </w:rPr>
        <w:t>及</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约定应</w:t>
      </w:r>
      <w:r>
        <w:rPr>
          <w:rFonts w:hint="eastAsia" w:ascii="宋体" w:hAnsi="宋体" w:eastAsia="宋体" w:cs="宋体"/>
          <w:color w:val="000000"/>
          <w:kern w:val="2"/>
          <w:sz w:val="21"/>
          <w:szCs w:val="21"/>
          <w:lang w:eastAsia="zh-CN"/>
        </w:rPr>
        <w:t>由乙方承担的其他义务和责任。</w:t>
      </w:r>
    </w:p>
    <w:p w14:paraId="597F240C">
      <w:pPr>
        <w:widowControl w:val="0"/>
        <w:numPr>
          <w:ilvl w:val="0"/>
          <w:numId w:val="5"/>
        </w:numPr>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合同履行</w:t>
      </w:r>
    </w:p>
    <w:p w14:paraId="5DB811FB">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6.1 甲乙双方应当按照</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约定顺序履行合同义务；如果没有先后顺序的，应当同时履行。</w:t>
      </w:r>
    </w:p>
    <w:p w14:paraId="5837013B">
      <w:pPr>
        <w:widowControl w:val="0"/>
        <w:autoSpaceDE w:val="0"/>
        <w:autoSpaceDN w:val="0"/>
        <w:adjustRightInd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color w:val="000000"/>
          <w:kern w:val="2"/>
          <w:sz w:val="21"/>
          <w:szCs w:val="21"/>
          <w:lang w:eastAsia="zh-CN"/>
        </w:rPr>
        <w:t>6.2 甲乙双方按照合同约定顺序履行合同义务时，应当先履行一方未履行的，后履行一方有权拒绝其履行请求。先履行一方履行不符合约定的，后履行一方有权拒绝其相应的履行请求。</w:t>
      </w:r>
    </w:p>
    <w:p w14:paraId="6B678958">
      <w:pPr>
        <w:widowControl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7. 货物包装、运输、保险和交付要求</w:t>
      </w:r>
    </w:p>
    <w:p w14:paraId="2DEA4271">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7.1 本合同</w:t>
      </w:r>
      <w:r>
        <w:rPr>
          <w:rFonts w:hint="eastAsia" w:ascii="宋体" w:hAnsi="宋体" w:eastAsia="宋体" w:cstheme="minorBidi"/>
          <w:bCs/>
          <w:color w:val="000000"/>
          <w:kern w:val="2"/>
          <w:sz w:val="21"/>
          <w:szCs w:val="21"/>
          <w:lang w:eastAsia="zh-CN"/>
        </w:rPr>
        <w:t>涉及商品包装、快递包装的，</w:t>
      </w:r>
      <w:r>
        <w:rPr>
          <w:rFonts w:hint="eastAsia" w:ascii="宋体" w:hAnsi="宋体" w:eastAsia="宋体" w:cstheme="minorBidi"/>
          <w:color w:val="000000"/>
          <w:kern w:val="2"/>
          <w:sz w:val="21"/>
          <w:szCs w:val="21"/>
          <w:lang w:eastAsia="zh-CN"/>
        </w:rPr>
        <w:t>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包装应适应远距离运输、防潮、防震、防锈和防野蛮装卸等要求，确保货物安全无损地运抵</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约定的</w:t>
      </w:r>
      <w:r>
        <w:rPr>
          <w:rFonts w:hint="eastAsia" w:ascii="宋体" w:hAnsi="宋体" w:eastAsia="宋体" w:cstheme="minorBidi"/>
          <w:color w:val="000000"/>
          <w:kern w:val="2"/>
          <w:sz w:val="21"/>
          <w:szCs w:val="21"/>
          <w:lang w:eastAsia="zh-CN"/>
        </w:rPr>
        <w:t>指定现场。</w:t>
      </w:r>
    </w:p>
    <w:p w14:paraId="1270642D">
      <w:pPr>
        <w:widowControl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7.2 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乙方负责办理将货物运抵本合同规定的交货地点，并装卸、交付至甲方的一切运输事项，相关费用应包含在合同价款中。</w:t>
      </w:r>
    </w:p>
    <w:p w14:paraId="0E0E0E9E">
      <w:pPr>
        <w:widowControl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7.3 货物保险要求按</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规定执行</w:t>
      </w:r>
      <w:r>
        <w:rPr>
          <w:rFonts w:hint="eastAsia" w:ascii="宋体" w:hAnsi="宋体" w:eastAsia="宋体" w:cstheme="minorBidi"/>
          <w:color w:val="000000"/>
          <w:kern w:val="2"/>
          <w:sz w:val="21"/>
          <w:szCs w:val="21"/>
          <w:lang w:eastAsia="zh-CN"/>
        </w:rPr>
        <w:t>。</w:t>
      </w:r>
    </w:p>
    <w:p w14:paraId="2ABA559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E742C40">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7.5 </w:t>
      </w:r>
      <w:r>
        <w:rPr>
          <w:rFonts w:hint="eastAsia" w:ascii="宋体" w:hAnsi="宋体" w:eastAsia="宋体" w:cs="宋体"/>
          <w:color w:val="000000"/>
          <w:kern w:val="2"/>
          <w:sz w:val="21"/>
          <w:szCs w:val="21"/>
          <w:lang w:eastAsia="zh-CN"/>
        </w:rPr>
        <w:t>乙方在运输到达之前应提前通知甲方，并提示货物运输装卸的注意事项，甲方配合乙方做好货物的接收工作。</w:t>
      </w:r>
    </w:p>
    <w:p w14:paraId="25865E71">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olor w:val="000000"/>
          <w:kern w:val="2"/>
          <w:sz w:val="21"/>
          <w:szCs w:val="21"/>
          <w:lang w:eastAsia="zh-CN"/>
        </w:rPr>
        <w:t>7.6 如因包装、运输问题导致货物损毁、丢失或者品质下降，甲方有权要求降价、换货、拒收部分或整批货物，由此产生的费用和损失，均由乙方承担。</w:t>
      </w:r>
    </w:p>
    <w:p w14:paraId="581303C6">
      <w:pPr>
        <w:widowControl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color w:val="000000"/>
          <w:kern w:val="2"/>
          <w:szCs w:val="22"/>
          <w:lang w:eastAsia="zh-CN"/>
        </w:rPr>
        <w:t xml:space="preserve">8. </w:t>
      </w:r>
      <w:r>
        <w:rPr>
          <w:rFonts w:hint="eastAsia" w:ascii="宋体" w:hAnsi="宋体" w:eastAsia="宋体" w:cstheme="minorBidi"/>
          <w:b/>
          <w:kern w:val="2"/>
          <w:szCs w:val="22"/>
          <w:lang w:eastAsia="zh-CN"/>
        </w:rPr>
        <w:t>质量标准和保证</w:t>
      </w:r>
    </w:p>
    <w:p w14:paraId="3313EAEB">
      <w:pPr>
        <w:widowControl w:val="0"/>
        <w:adjustRightInd w:val="0"/>
        <w:snapToGrid w:val="0"/>
        <w:spacing w:line="400" w:lineRule="exact"/>
        <w:ind w:firstLine="420" w:firstLineChars="200"/>
        <w:jc w:val="left"/>
        <w:rPr>
          <w:rFonts w:hint="eastAsia" w:ascii="宋体" w:hAnsi="宋体" w:eastAsia="宋体" w:cs="Courier New"/>
          <w:b/>
          <w:kern w:val="2"/>
          <w:sz w:val="21"/>
          <w:szCs w:val="21"/>
          <w:lang w:eastAsia="zh-CN"/>
        </w:rPr>
      </w:pPr>
      <w:r>
        <w:rPr>
          <w:rFonts w:hint="eastAsia" w:ascii="宋体" w:hAnsi="宋体" w:eastAsia="宋体" w:cs="Courier New"/>
          <w:kern w:val="2"/>
          <w:sz w:val="21"/>
          <w:szCs w:val="21"/>
          <w:lang w:eastAsia="zh-CN"/>
        </w:rPr>
        <w:t>8.1 质量标准</w:t>
      </w:r>
    </w:p>
    <w:p w14:paraId="2217DA6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（1）本合同下提供的货物应符合合同</w:t>
      </w:r>
      <w:r>
        <w:rPr>
          <w:rFonts w:hint="eastAsia" w:ascii="宋体" w:hAnsi="宋体" w:eastAsia="宋体" w:cs="宋体"/>
          <w:color w:val="000000"/>
          <w:kern w:val="2"/>
          <w:sz w:val="21"/>
          <w:szCs w:val="21"/>
          <w:lang w:eastAsia="zh-CN"/>
        </w:rPr>
        <w:t>约定的</w:t>
      </w:r>
      <w:r>
        <w:rPr>
          <w:rFonts w:hint="eastAsia" w:ascii="宋体" w:hAnsi="宋体" w:eastAsia="宋体" w:cs="宋体"/>
          <w:kern w:val="2"/>
          <w:sz w:val="21"/>
          <w:szCs w:val="21"/>
          <w:lang w:eastAsia="zh-CN"/>
        </w:rPr>
        <w:t>品牌、规格型号、技术性能、配置、质量、数量等要求。</w:t>
      </w:r>
      <w:r>
        <w:rPr>
          <w:rFonts w:hint="eastAsia" w:ascii="宋体" w:hAnsi="宋体" w:eastAsia="宋体" w:cstheme="minorBidi"/>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6829AFB">
      <w:pPr>
        <w:widowControl w:val="0"/>
        <w:adjustRightInd w:val="0"/>
        <w:snapToGrid w:val="0"/>
        <w:spacing w:line="400" w:lineRule="exact"/>
        <w:ind w:firstLine="420" w:firstLineChars="200"/>
        <w:jc w:val="left"/>
        <w:rPr>
          <w:rFonts w:hint="eastAsia" w:ascii="宋体" w:hAnsi="宋体" w:eastAsia="宋体" w:cs="Courier New"/>
          <w:kern w:val="2"/>
          <w:sz w:val="21"/>
          <w:szCs w:val="21"/>
          <w:lang w:eastAsia="zh-CN"/>
        </w:rPr>
      </w:pPr>
      <w:r>
        <w:rPr>
          <w:rFonts w:hint="eastAsia" w:ascii="宋体" w:hAnsi="宋体" w:eastAsia="宋体" w:cs="Courier New"/>
          <w:kern w:val="2"/>
          <w:sz w:val="21"/>
          <w:szCs w:val="21"/>
          <w:lang w:eastAsia="zh-CN"/>
        </w:rPr>
        <w:t>（2）采用中华人民共和国法定计量单位。</w:t>
      </w:r>
    </w:p>
    <w:p w14:paraId="39F3C1F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（3）乙方所提供的货物应符合国家有关安全、环保、卫生的规定。</w:t>
      </w:r>
    </w:p>
    <w:p w14:paraId="0011A11C">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（4）乙方应向甲方提交所提供货物的技术文件，包括相应的中文技术文件，如：产品目录、图纸、操作手册、使用说明、维护手册或服务指南等。上述文件应包装好随货物一同发运。</w:t>
      </w:r>
    </w:p>
    <w:p w14:paraId="671ED4CF">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8.2 保证</w:t>
      </w:r>
    </w:p>
    <w:p w14:paraId="22B9184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（1）乙方应保证提供的货物完全符合合同规定的质量、规格和性能要求。乙方应保证货物在正确安装、正常使用和保养条件下，</w:t>
      </w:r>
      <w:r>
        <w:rPr>
          <w:rFonts w:hint="eastAsia" w:ascii="宋体" w:hAnsi="宋体" w:eastAsia="宋体" w:cs="宋体"/>
          <w:kern w:val="2"/>
          <w:sz w:val="21"/>
          <w:szCs w:val="21"/>
          <w:lang w:eastAsia="zh-CN"/>
        </w:rPr>
        <w:t>在其使用寿命期内具备合同约定的性能</w:t>
      </w:r>
      <w:r>
        <w:rPr>
          <w:rFonts w:hint="eastAsia" w:ascii="宋体" w:hAnsi="宋体" w:eastAsia="宋体" w:cstheme="minorBidi"/>
          <w:kern w:val="2"/>
          <w:sz w:val="21"/>
          <w:szCs w:val="21"/>
          <w:lang w:eastAsia="zh-CN"/>
        </w:rPr>
        <w:t>。存在质量保证期的，货物最终交付验收合格后在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规定或乙方书面承诺（两者以较长的为准）的质量保证期内，本保证保持有效。</w:t>
      </w:r>
    </w:p>
    <w:p w14:paraId="0AECBC5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（2）在质量保证期内所发现的缺陷，甲方应尽快以书面形式通知乙方。</w:t>
      </w:r>
    </w:p>
    <w:p w14:paraId="66BFA31B">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（3）乙方收到通知后，应在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规定的响应时间内以合理的速度免费维修或更换有缺陷的货物或部件。</w:t>
      </w:r>
    </w:p>
    <w:p w14:paraId="12014F0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theme="minorBidi"/>
          <w:color w:val="000000"/>
          <w:kern w:val="2"/>
          <w:sz w:val="21"/>
          <w:szCs w:val="21"/>
          <w:lang w:eastAsia="zh-CN"/>
        </w:rPr>
        <w:t>5</w:t>
      </w:r>
      <w:r>
        <w:rPr>
          <w:rFonts w:hint="eastAsia" w:ascii="宋体" w:hAnsi="宋体" w:eastAsia="宋体" w:cstheme="minorBidi"/>
          <w:kern w:val="2"/>
          <w:sz w:val="21"/>
          <w:szCs w:val="21"/>
          <w:lang w:eastAsia="zh-CN"/>
        </w:rPr>
        <w:t>.1条规定以书面形式</w:t>
      </w:r>
      <w:r>
        <w:rPr>
          <w:rFonts w:hint="eastAsia" w:ascii="宋体" w:hAnsi="宋体" w:eastAsia="宋体" w:cstheme="minorBidi"/>
          <w:color w:val="000000"/>
          <w:kern w:val="2"/>
          <w:sz w:val="21"/>
          <w:szCs w:val="21"/>
          <w:lang w:eastAsia="zh-CN"/>
        </w:rPr>
        <w:t>追究</w:t>
      </w:r>
      <w:r>
        <w:rPr>
          <w:rFonts w:hint="eastAsia" w:ascii="宋体" w:hAnsi="宋体" w:eastAsia="宋体" w:cstheme="minorBidi"/>
          <w:kern w:val="2"/>
          <w:sz w:val="21"/>
          <w:szCs w:val="21"/>
          <w:lang w:eastAsia="zh-CN"/>
        </w:rPr>
        <w:t>乙方</w:t>
      </w:r>
      <w:r>
        <w:rPr>
          <w:rFonts w:hint="eastAsia" w:ascii="宋体" w:hAnsi="宋体" w:eastAsia="宋体" w:cstheme="minorBidi"/>
          <w:color w:val="000000"/>
          <w:kern w:val="2"/>
          <w:sz w:val="21"/>
          <w:szCs w:val="21"/>
          <w:lang w:eastAsia="zh-CN"/>
        </w:rPr>
        <w:t>的违约责任</w:t>
      </w:r>
      <w:r>
        <w:rPr>
          <w:rFonts w:hint="eastAsia" w:ascii="宋体" w:hAnsi="宋体" w:eastAsia="宋体" w:cstheme="minorBidi"/>
          <w:kern w:val="2"/>
          <w:sz w:val="21"/>
          <w:szCs w:val="21"/>
          <w:lang w:eastAsia="zh-CN"/>
        </w:rPr>
        <w:t>。</w:t>
      </w:r>
    </w:p>
    <w:p w14:paraId="03716E0B">
      <w:pPr>
        <w:widowControl w:val="0"/>
        <w:adjustRightInd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（5）乙方在约定的时间内未能弥补缺陷，甲方可采取必要的补救措施，但其风险和费用将由乙方承担，甲方根据合同约定对乙方行使的其他权利不受影响。</w:t>
      </w:r>
    </w:p>
    <w:p w14:paraId="0A2C8940">
      <w:pPr>
        <w:widowControl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color w:val="000000"/>
          <w:kern w:val="2"/>
          <w:szCs w:val="22"/>
          <w:lang w:eastAsia="zh-CN"/>
        </w:rPr>
        <w:t>9</w:t>
      </w:r>
      <w:r>
        <w:rPr>
          <w:rFonts w:hint="eastAsia" w:ascii="宋体" w:hAnsi="宋体" w:eastAsia="宋体" w:cstheme="minorBidi"/>
          <w:b/>
          <w:bCs/>
          <w:kern w:val="2"/>
          <w:szCs w:val="22"/>
          <w:lang w:eastAsia="zh-CN"/>
        </w:rPr>
        <w:t>.</w:t>
      </w:r>
      <w:r>
        <w:rPr>
          <w:rFonts w:hint="eastAsia" w:ascii="宋体" w:hAnsi="宋体" w:eastAsia="宋体" w:cstheme="minorBidi"/>
          <w:b/>
          <w:bCs/>
          <w:color w:val="000000"/>
          <w:kern w:val="2"/>
          <w:szCs w:val="22"/>
          <w:lang w:eastAsia="zh-CN"/>
        </w:rPr>
        <w:t xml:space="preserve"> </w:t>
      </w:r>
      <w:r>
        <w:rPr>
          <w:rFonts w:hint="eastAsia" w:ascii="宋体" w:hAnsi="宋体" w:eastAsia="宋体" w:cstheme="minorBidi"/>
          <w:b/>
          <w:bCs/>
          <w:kern w:val="2"/>
          <w:szCs w:val="22"/>
          <w:lang w:eastAsia="zh-CN"/>
        </w:rPr>
        <w:t>权利瑕疵担保</w:t>
      </w:r>
    </w:p>
    <w:p w14:paraId="40ECD10A">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9.1 乙方保证对其出售的货物享有合法的权利。</w:t>
      </w:r>
    </w:p>
    <w:p w14:paraId="53EC0A5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9.2 </w:t>
      </w:r>
      <w:r>
        <w:rPr>
          <w:rFonts w:hint="eastAsia" w:ascii="宋体" w:hAnsi="宋体" w:eastAsia="宋体" w:cs="宋体"/>
          <w:kern w:val="2"/>
          <w:sz w:val="21"/>
          <w:szCs w:val="15"/>
          <w:lang w:eastAsia="zh-CN"/>
        </w:rPr>
        <w:t>乙方保证在交付的货物上不存在抵押权等担保物权。</w:t>
      </w:r>
    </w:p>
    <w:p w14:paraId="654AE700">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9.3 如甲方使用上述货物构成对第三人侵权的，则由乙方承担全部责任。</w:t>
      </w:r>
    </w:p>
    <w:p w14:paraId="02801DF1">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10. 知识产权保护</w:t>
      </w:r>
    </w:p>
    <w:p w14:paraId="3C1F744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color w:val="000000"/>
          <w:kern w:val="2"/>
          <w:sz w:val="21"/>
          <w:szCs w:val="21"/>
          <w:lang w:eastAsia="zh-CN"/>
        </w:rPr>
        <w:t>10.1 乙方对其所销售的货物应当享有知识产权或经权利人合法授权，保证没有侵犯任</w:t>
      </w:r>
      <w:r>
        <w:rPr>
          <w:rFonts w:hint="eastAsia" w:ascii="宋体" w:hAnsi="宋体" w:eastAsia="宋体" w:cstheme="minorBidi"/>
          <w:kern w:val="2"/>
          <w:sz w:val="21"/>
          <w:szCs w:val="21"/>
          <w:lang w:eastAsia="zh-CN"/>
        </w:rPr>
        <w:t>何第三人的知识产权等权利。</w:t>
      </w:r>
      <w:bookmarkStart w:id="52" w:name="_Hlk163047038"/>
      <w:r>
        <w:rPr>
          <w:rFonts w:hint="eastAsia" w:ascii="宋体" w:hAnsi="宋体" w:eastAsia="宋体" w:cs="宋体"/>
          <w:kern w:val="2"/>
          <w:sz w:val="21"/>
          <w:szCs w:val="15"/>
          <w:lang w:eastAsia="zh-CN"/>
        </w:rPr>
        <w:t>因违反前述约定对第三人构成侵权的，应当由乙方向第三人承担法律责任；甲方依法向第三人赔偿后，有权向乙方追偿。甲方有其他损失的，乙方应当赔偿</w:t>
      </w:r>
      <w:bookmarkEnd w:id="52"/>
      <w:r>
        <w:rPr>
          <w:rFonts w:hint="eastAsia" w:ascii="宋体" w:hAnsi="宋体" w:eastAsia="宋体" w:cstheme="minorBidi"/>
          <w:kern w:val="2"/>
          <w:sz w:val="21"/>
          <w:szCs w:val="21"/>
          <w:lang w:eastAsia="zh-CN"/>
        </w:rPr>
        <w:t>。</w:t>
      </w:r>
    </w:p>
    <w:p w14:paraId="44EF28D4">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11. 保密义务</w:t>
      </w:r>
    </w:p>
    <w:p w14:paraId="15EE439B">
      <w:pPr>
        <w:widowControl w:val="0"/>
        <w:autoSpaceDE w:val="0"/>
        <w:autoSpaceDN w:val="0"/>
        <w:adjustRightInd w:val="0"/>
        <w:snapToGrid w:val="0"/>
        <w:spacing w:line="400" w:lineRule="exact"/>
        <w:ind w:firstLine="420" w:firstLineChars="200"/>
        <w:jc w:val="left"/>
        <w:rPr>
          <w:rFonts w:hint="eastAsia" w:ascii="宋体" w:hAnsi="宋体" w:eastAsia="宋体" w:cs="宋体"/>
          <w:kern w:val="2"/>
          <w:sz w:val="21"/>
          <w:szCs w:val="15"/>
          <w:lang w:eastAsia="zh-CN"/>
        </w:rPr>
      </w:pPr>
      <w:r>
        <w:rPr>
          <w:rFonts w:hint="eastAsia" w:ascii="宋体" w:hAnsi="宋体" w:eastAsia="宋体" w:cs="宋体"/>
          <w:kern w:val="2"/>
          <w:sz w:val="21"/>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中约定。</w:t>
      </w:r>
    </w:p>
    <w:p w14:paraId="25A8CB6C">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12. 合同价款支付</w:t>
      </w:r>
    </w:p>
    <w:p w14:paraId="191FF923">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12.1 合同价款支付按照国库集中支付制度及财政管理相关规定执行。</w:t>
      </w:r>
    </w:p>
    <w:p w14:paraId="1FA167DE">
      <w:pPr>
        <w:keepNext/>
        <w:keepLines/>
        <w:widowControl w:val="0"/>
        <w:spacing w:line="400" w:lineRule="exact"/>
        <w:ind w:firstLine="420" w:firstLineChars="200"/>
        <w:jc w:val="both"/>
        <w:outlineLvl w:val="1"/>
        <w:rPr>
          <w:rFonts w:ascii="Arial" w:hAnsi="Arial" w:eastAsia="宋体"/>
          <w:b/>
          <w:bCs/>
          <w:kern w:val="2"/>
          <w:szCs w:val="32"/>
          <w:lang w:eastAsia="zh-CN"/>
        </w:rPr>
      </w:pPr>
      <w:r>
        <w:rPr>
          <w:rFonts w:hint="eastAsia" w:ascii="宋体" w:hAnsi="宋体" w:eastAsia="宋体"/>
          <w:kern w:val="2"/>
          <w:sz w:val="21"/>
          <w:szCs w:val="21"/>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b/>
          <w:bCs/>
          <w:kern w:val="2"/>
          <w:sz w:val="21"/>
          <w:szCs w:val="21"/>
          <w:lang w:eastAsia="zh-CN"/>
        </w:rPr>
        <w:t>政府采购合同专用条款</w:t>
      </w:r>
      <w:r>
        <w:rPr>
          <w:rFonts w:hint="eastAsia" w:ascii="宋体" w:hAnsi="宋体" w:eastAsia="宋体"/>
          <w:kern w:val="2"/>
          <w:sz w:val="21"/>
          <w:szCs w:val="21"/>
          <w:lang w:eastAsia="zh-CN"/>
        </w:rPr>
        <w:t>】中约定。</w:t>
      </w:r>
    </w:p>
    <w:p w14:paraId="0EA9CEF3">
      <w:pPr>
        <w:widowControl w:val="0"/>
        <w:spacing w:line="400" w:lineRule="exact"/>
        <w:jc w:val="both"/>
        <w:rPr>
          <w:rFonts w:hint="eastAsia" w:ascii="宋体" w:hAnsi="宋体" w:eastAsia="宋体"/>
          <w:b/>
          <w:bCs/>
          <w:kern w:val="2"/>
          <w:lang w:eastAsia="zh-CN"/>
        </w:rPr>
      </w:pPr>
      <w:r>
        <w:rPr>
          <w:rFonts w:hint="eastAsia" w:ascii="宋体" w:hAnsi="宋体" w:eastAsia="宋体"/>
          <w:b/>
          <w:bCs/>
          <w:kern w:val="2"/>
          <w:lang w:eastAsia="zh-CN"/>
        </w:rPr>
        <w:t>13. 履约保证金</w:t>
      </w:r>
    </w:p>
    <w:p w14:paraId="66D76D7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13.1 </w:t>
      </w:r>
      <w:r>
        <w:rPr>
          <w:rFonts w:hint="eastAsia" w:ascii="宋体" w:hAnsi="宋体" w:eastAsia="宋体" w:cs="宋体"/>
          <w:kern w:val="2"/>
          <w:sz w:val="21"/>
          <w:szCs w:val="15"/>
          <w:lang w:eastAsia="zh-CN"/>
        </w:rPr>
        <w:t>乙方应当以支票、汇票、本票或者金融机构、担保机构出具的保函等非现金形式提交。</w:t>
      </w:r>
    </w:p>
    <w:p w14:paraId="5A22E61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13.2 如果乙方出现</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约定情形的</w:t>
      </w:r>
      <w:r>
        <w:rPr>
          <w:rFonts w:hint="eastAsia" w:ascii="宋体" w:hAnsi="宋体" w:eastAsia="宋体" w:cstheme="minorBidi"/>
          <w:kern w:val="2"/>
          <w:sz w:val="21"/>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14:paraId="03709A76">
      <w:pPr>
        <w:widowControl w:val="0"/>
        <w:spacing w:line="400" w:lineRule="exact"/>
        <w:ind w:firstLine="42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13.3 甲方在项目通过验收后按照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规定的时间内将履约保证金退还乙方；逾期退还的，乙方可要求甲方支付违约金，违约金按照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规定支付。</w:t>
      </w:r>
    </w:p>
    <w:p w14:paraId="4E7C18A3">
      <w:pPr>
        <w:widowControl w:val="0"/>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bCs/>
          <w:kern w:val="2"/>
          <w:szCs w:val="22"/>
          <w:lang w:eastAsia="zh-CN"/>
        </w:rPr>
        <w:t xml:space="preserve">14. </w:t>
      </w:r>
      <w:r>
        <w:rPr>
          <w:rFonts w:hint="eastAsia" w:ascii="Calibri" w:hAnsi="Calibri" w:eastAsia="宋体" w:cstheme="minorBidi"/>
          <w:b/>
          <w:kern w:val="2"/>
          <w:szCs w:val="22"/>
          <w:lang w:eastAsia="zh-CN"/>
        </w:rPr>
        <w:t>售后</w:t>
      </w:r>
      <w:r>
        <w:rPr>
          <w:rFonts w:hint="eastAsia" w:ascii="宋体" w:hAnsi="宋体" w:eastAsia="宋体" w:cstheme="minorBidi"/>
          <w:b/>
          <w:kern w:val="2"/>
          <w:szCs w:val="22"/>
          <w:lang w:eastAsia="zh-CN"/>
        </w:rPr>
        <w:t>服务</w:t>
      </w:r>
    </w:p>
    <w:p w14:paraId="5B8D774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14.1 除项目不涉及或采购活动中明确约定无须承担外，乙方还应提供下列服务：</w:t>
      </w:r>
    </w:p>
    <w:p w14:paraId="3D63EA8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（1）货物的现场移动、安装、调试、启动监督及技术支持；</w:t>
      </w:r>
    </w:p>
    <w:p w14:paraId="45466CE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（2）提供货物组装和维修所需的专用工具和辅助材料；</w:t>
      </w:r>
    </w:p>
    <w:p w14:paraId="43D5EC11">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（3）在</w:t>
      </w:r>
      <w:r>
        <w:rPr>
          <w:rFonts w:hint="eastAsia" w:ascii="宋体" w:hAnsi="宋体" w:eastAsia="宋体" w:cs="宋体"/>
          <w:b/>
          <w:bCs/>
          <w:kern w:val="2"/>
          <w:sz w:val="21"/>
          <w:szCs w:val="15"/>
          <w:lang w:eastAsia="zh-CN"/>
        </w:rPr>
        <w:t>【政府采购合同专用条款】</w:t>
      </w:r>
      <w:r>
        <w:rPr>
          <w:rFonts w:hint="eastAsia" w:ascii="宋体" w:hAnsi="宋体" w:eastAsia="宋体" w:cstheme="minorBidi"/>
          <w:kern w:val="2"/>
          <w:sz w:val="21"/>
          <w:szCs w:val="21"/>
          <w:lang w:eastAsia="zh-CN"/>
        </w:rPr>
        <w:t>约定的期限内对所有的货物实施运行监督、维修，但前提条件是该服务并不能免除乙方在质量保证期内所承担的义务；</w:t>
      </w:r>
    </w:p>
    <w:p w14:paraId="7719301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（4）在制造商所在地或指定现场就货物的安装、启动、运营、维护、废弃处置等对甲方操作人员进行培训</w:t>
      </w:r>
      <w:r>
        <w:rPr>
          <w:rFonts w:hint="eastAsia" w:ascii="宋体" w:hAnsi="宋体" w:eastAsia="宋体" w:cs="宋体"/>
          <w:kern w:val="2"/>
          <w:sz w:val="21"/>
          <w:szCs w:val="15"/>
          <w:lang w:eastAsia="zh-CN"/>
        </w:rPr>
        <w:t>；</w:t>
      </w:r>
    </w:p>
    <w:p w14:paraId="388862F8">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（5）依照法律、行政法规的规定或者按照</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约定，货物在有效使用年限届满后应予回收的，乙方负有自行或者委托第三人对货物予以回收的义务；</w:t>
      </w:r>
    </w:p>
    <w:p w14:paraId="0339197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规定由乙方提供的其他服务。</w:t>
      </w:r>
    </w:p>
    <w:p w14:paraId="44D5E14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14.2 乙方提供的售后服务的费用已包含在合同价款中，甲方不再另行支付。</w:t>
      </w:r>
    </w:p>
    <w:p w14:paraId="640B4334">
      <w:pPr>
        <w:widowControl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15. 违约责任</w:t>
      </w:r>
    </w:p>
    <w:p w14:paraId="5137A438">
      <w:pPr>
        <w:widowControl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15.1质量瑕疵的违约责任</w:t>
      </w:r>
    </w:p>
    <w:p w14:paraId="03EE0028">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乙方提供的产品不符合合同约定的质量标准或存在产品质量缺陷，甲方有权要求乙方根据</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要求</w:t>
      </w:r>
      <w:r>
        <w:rPr>
          <w:rFonts w:hint="eastAsia" w:ascii="宋体" w:hAnsi="宋体" w:eastAsia="宋体" w:cstheme="minorBidi"/>
          <w:kern w:val="2"/>
          <w:sz w:val="21"/>
          <w:szCs w:val="21"/>
          <w:lang w:eastAsia="zh-CN"/>
        </w:rPr>
        <w:t>及时修理、重作、更换，并承担由此给甲方造成的损失。</w:t>
      </w:r>
    </w:p>
    <w:p w14:paraId="66E4B04D">
      <w:pPr>
        <w:widowControl w:val="0"/>
        <w:autoSpaceDE w:val="0"/>
        <w:autoSpaceDN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15.2 迟延交货的违约责任</w:t>
      </w:r>
    </w:p>
    <w:p w14:paraId="3044DCF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A1004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规定执行。如果涉及公共利益，且赔偿金额无法弥补公共利益损失，甲方可要求继续履行或者采取其他补救措施。</w:t>
      </w:r>
    </w:p>
    <w:p w14:paraId="6C72B99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15.3 迟延支付的违约责任</w:t>
      </w:r>
    </w:p>
    <w:p w14:paraId="488E915E">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甲方存在迟延支付乙方合同款项的，应当承担</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规定的逾期付款利息。</w:t>
      </w:r>
    </w:p>
    <w:p w14:paraId="7AE6560A">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bCs/>
          <w:kern w:val="2"/>
          <w:sz w:val="21"/>
          <w:szCs w:val="21"/>
          <w:lang w:eastAsia="zh-CN"/>
        </w:rPr>
        <w:t>15.4其他违约责任根据项目实际需要按</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规定执行。</w:t>
      </w:r>
    </w:p>
    <w:p w14:paraId="583FDFC9">
      <w:pPr>
        <w:widowControl w:val="0"/>
        <w:numPr>
          <w:ilvl w:val="0"/>
          <w:numId w:val="6"/>
        </w:numPr>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合同变更、中止与终止</w:t>
      </w:r>
    </w:p>
    <w:p w14:paraId="7804C04F">
      <w:pPr>
        <w:widowControl w:val="0"/>
        <w:adjustRightInd w:val="0"/>
        <w:snapToGrid w:val="0"/>
        <w:spacing w:line="400" w:lineRule="exact"/>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16.1合同的变更</w:t>
      </w:r>
    </w:p>
    <w:p w14:paraId="5975EF5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政府采购合同履行中，在不改变合同其他条款的前提下，甲方可以在合同价款10%的范围内追加与合同标的相同的货物，并就此与乙方协商一致后签订补充协议。</w:t>
      </w:r>
    </w:p>
    <w:p w14:paraId="69AE6F32">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16.2合同的中止</w:t>
      </w:r>
    </w:p>
    <w:p w14:paraId="099C742F">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（1）合同履行过程中因供应商就采购文件、采购过程或结果提起投诉的，甲方认为有必要的，可以中止合同的履行。</w:t>
      </w:r>
    </w:p>
    <w:p w14:paraId="1BE9419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48B9E9">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14:paraId="573309E4">
      <w:pPr>
        <w:widowControl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（4）甲方不得以行政区划调整、政府换届、机构或者职能调整以及相关责任人更替为由中止合同。</w:t>
      </w:r>
    </w:p>
    <w:p w14:paraId="17F20971">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16.3合同的终止</w:t>
      </w:r>
    </w:p>
    <w:p w14:paraId="07F6164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（1）合同因有效期限届满而终止；</w:t>
      </w:r>
    </w:p>
    <w:p w14:paraId="671869F7">
      <w:pPr>
        <w:widowControl w:val="0"/>
        <w:snapToGri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（2）乙方未按合同约定履行，构成根本性违约的，甲方有权终止合同，</w:t>
      </w:r>
      <w:r>
        <w:rPr>
          <w:rFonts w:hint="eastAsia" w:ascii="宋体" w:hAnsi="宋体" w:eastAsia="宋体" w:cs="宋体"/>
          <w:kern w:val="2"/>
          <w:sz w:val="21"/>
          <w:szCs w:val="21"/>
          <w:lang w:eastAsia="zh-CN"/>
        </w:rPr>
        <w:t>并追究乙方的违约责任</w:t>
      </w:r>
      <w:r>
        <w:rPr>
          <w:rFonts w:hint="eastAsia" w:ascii="宋体" w:hAnsi="宋体" w:eastAsia="宋体" w:cstheme="minorBidi"/>
          <w:kern w:val="2"/>
          <w:sz w:val="21"/>
          <w:szCs w:val="21"/>
          <w:lang w:eastAsia="zh-CN"/>
        </w:rPr>
        <w:t>。</w:t>
      </w:r>
    </w:p>
    <w:p w14:paraId="116DBD11">
      <w:pPr>
        <w:widowControl w:val="0"/>
        <w:autoSpaceDE w:val="0"/>
        <w:autoSpaceDN w:val="0"/>
        <w:adjustRightInd w:val="0"/>
        <w:spacing w:line="400" w:lineRule="exact"/>
        <w:ind w:firstLine="440" w:firstLineChars="200"/>
        <w:jc w:val="both"/>
        <w:rPr>
          <w:rFonts w:hint="eastAsia" w:ascii="宋体" w:hAnsi="宋体" w:eastAsia="华文楷体" w:cs="华文楷体"/>
          <w:kern w:val="2"/>
          <w:sz w:val="22"/>
          <w:szCs w:val="21"/>
          <w:lang w:eastAsia="zh-CN"/>
        </w:rPr>
      </w:pPr>
      <w:r>
        <w:rPr>
          <w:rFonts w:hint="eastAsia" w:ascii="宋体" w:hAnsi="宋体" w:eastAsia="华文楷体" w:cs="华文楷体"/>
          <w:kern w:val="2"/>
          <w:sz w:val="22"/>
          <w:szCs w:val="21"/>
          <w:lang w:eastAsia="zh-CN"/>
        </w:rPr>
        <w:t xml:space="preserve">16.4 </w:t>
      </w:r>
      <w:r>
        <w:rPr>
          <w:rFonts w:hint="eastAsia" w:ascii="宋体" w:hAnsi="宋体" w:eastAsia="宋体"/>
          <w:kern w:val="2"/>
          <w:sz w:val="21"/>
          <w:szCs w:val="21"/>
          <w:lang w:eastAsia="zh-CN"/>
        </w:rPr>
        <w:t>涉及国家利益、社会公共利益的情形</w:t>
      </w:r>
    </w:p>
    <w:p w14:paraId="088970B4">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政府采购合同继续履行将损害国家利益和社会公共利益的，双方当事人应当变更、中止或者终止合同。有过错的一方应当承担赔偿责任，双方都有过错的，各自承担相应的责任。</w:t>
      </w:r>
    </w:p>
    <w:p w14:paraId="164AC169">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17. 合同分包</w:t>
      </w:r>
    </w:p>
    <w:p w14:paraId="1183E992">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17.1 乙方不得将合同转包给其他供应商。涉及合同分包的，乙方应根据采购文件和投标（响应）文件规定进行合同分包。</w:t>
      </w:r>
    </w:p>
    <w:p w14:paraId="5E0DD4F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17.2 乙方执行政府采购政策向中小企业依法分包的，乙方应当按采购文件和投标（响应）文件签订分包意向协议，分包意向协议属于本合同组成部分。</w:t>
      </w:r>
    </w:p>
    <w:p w14:paraId="2B32B841">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18. 不可抗力</w:t>
      </w:r>
    </w:p>
    <w:p w14:paraId="2377C09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18.1 不可抗力是指合同双方不能预见、不能避免且不能克服的客观情况。</w:t>
      </w:r>
    </w:p>
    <w:p w14:paraId="29AFD8F2">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 任何一方对由于不可抗力造成的部分或全部不能履行合同不承担违约责任。但迟延履行后发生不可抗力的，不能免除责任。</w:t>
      </w:r>
    </w:p>
    <w:p w14:paraId="57898BF8">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D5931B4">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19. 解决争议的方法</w:t>
      </w:r>
    </w:p>
    <w:p w14:paraId="125A9166">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14:paraId="1E203E3F">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19.2 选择仲裁的，应在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中明确仲裁机构及仲裁地；通过诉讼方式解决的，可以在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中进一步约定选择与争议有实际联系的地点的人民法院管辖，但管辖法院的约定不得违反级别管辖和专属管辖的规定。</w:t>
      </w:r>
    </w:p>
    <w:p w14:paraId="463E2F7E">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19.3 如甲乙双方有争议的事项不影响合同其他部分的履行，在争议解决期间，合同其他部分应当继续履行。</w:t>
      </w:r>
    </w:p>
    <w:p w14:paraId="6127E3E9">
      <w:pPr>
        <w:widowControl w:val="0"/>
        <w:autoSpaceDE w:val="0"/>
        <w:autoSpaceDN w:val="0"/>
        <w:adjustRightInd w:val="0"/>
        <w:snapToGrid w:val="0"/>
        <w:spacing w:line="400" w:lineRule="exact"/>
        <w:jc w:val="left"/>
        <w:rPr>
          <w:rFonts w:hint="eastAsia" w:ascii="宋体" w:hAnsi="宋体" w:eastAsia="宋体"/>
          <w:kern w:val="2"/>
          <w:szCs w:val="22"/>
          <w:lang w:eastAsia="zh-CN"/>
        </w:rPr>
      </w:pPr>
      <w:r>
        <w:rPr>
          <w:rFonts w:hint="eastAsia" w:ascii="宋体" w:hAnsi="宋体" w:eastAsia="宋体" w:cstheme="minorBidi"/>
          <w:b/>
          <w:kern w:val="2"/>
          <w:szCs w:val="22"/>
          <w:lang w:eastAsia="zh-CN"/>
        </w:rPr>
        <w:t>20. 政府采购政策</w:t>
      </w:r>
    </w:p>
    <w:p w14:paraId="16E8219C">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20.1 </w:t>
      </w:r>
      <w:r>
        <w:rPr>
          <w:rFonts w:hint="eastAsia" w:ascii="宋体" w:hAnsi="宋体" w:eastAsia="宋体" w:cs="宋体"/>
          <w:kern w:val="2"/>
          <w:sz w:val="21"/>
          <w:szCs w:val="22"/>
          <w:lang w:val="en-GB" w:eastAsia="zh-CN"/>
        </w:rPr>
        <w:t>本合同应当按照规定执行政府采购政策。</w:t>
      </w:r>
    </w:p>
    <w:p w14:paraId="065722D1">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0.2 本合同依法执行政府采购政策的方式和内容，属于合同履约验收的范围。</w:t>
      </w:r>
      <w:r>
        <w:rPr>
          <w:rFonts w:hint="eastAsia" w:ascii="宋体" w:hAnsi="宋体" w:eastAsia="宋体" w:cs="宋体"/>
          <w:kern w:val="2"/>
          <w:sz w:val="21"/>
          <w:szCs w:val="22"/>
          <w:lang w:eastAsia="zh-CN"/>
        </w:rPr>
        <w:t>甲乙双方</w:t>
      </w:r>
      <w:r>
        <w:rPr>
          <w:rFonts w:hint="eastAsia" w:ascii="宋体" w:hAnsi="宋体" w:eastAsia="宋体" w:cs="宋体"/>
          <w:kern w:val="2"/>
          <w:sz w:val="21"/>
          <w:szCs w:val="22"/>
          <w:lang w:val="en-GB" w:eastAsia="zh-CN"/>
        </w:rPr>
        <w:t>未按规定要求执行政府采购政策造成损失的</w:t>
      </w:r>
      <w:r>
        <w:rPr>
          <w:rFonts w:hint="eastAsia" w:ascii="宋体" w:hAnsi="宋体" w:eastAsia="宋体" w:cstheme="minorBidi"/>
          <w:kern w:val="2"/>
          <w:sz w:val="21"/>
          <w:szCs w:val="21"/>
          <w:lang w:eastAsia="zh-CN"/>
        </w:rPr>
        <w:t>，有过错的一方应当承担赔偿责任，双方都有过错的，各自承担相应的责任。</w:t>
      </w:r>
    </w:p>
    <w:p w14:paraId="5C5755E2">
      <w:pPr>
        <w:widowControl w:val="0"/>
        <w:spacing w:line="400" w:lineRule="exact"/>
        <w:ind w:firstLine="420" w:firstLineChars="200"/>
        <w:jc w:val="both"/>
        <w:rPr>
          <w:rFonts w:ascii="Calibri" w:hAnsi="Calibri" w:eastAsia="宋体"/>
          <w:kern w:val="2"/>
          <w:sz w:val="21"/>
          <w:szCs w:val="22"/>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B49F8B7">
      <w:pPr>
        <w:widowControl w:val="0"/>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21. 法律适用</w:t>
      </w:r>
    </w:p>
    <w:p w14:paraId="7D704328">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21.1 本合同的订立、生效、解释、履行及与本合同有关的争议解决，均适用法律、行政法规。</w:t>
      </w:r>
    </w:p>
    <w:p w14:paraId="6BCF8D55">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21.2 本合同条款与法律、行政法规的强制性规定不一致的，双方当事人应按照法律、行政法规的强制性规定修改本合同的相关条款。</w:t>
      </w:r>
    </w:p>
    <w:p w14:paraId="449D36DE">
      <w:pPr>
        <w:widowControl w:val="0"/>
        <w:numPr>
          <w:ilvl w:val="12"/>
          <w:numId w:val="0"/>
        </w:numPr>
        <w:autoSpaceDE w:val="0"/>
        <w:autoSpaceDN w:val="0"/>
        <w:adjustRightInd w:val="0"/>
        <w:snapToGrid w:val="0"/>
        <w:spacing w:line="400" w:lineRule="exact"/>
        <w:ind w:left="0" w:firstLine="0"/>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22. 通知</w:t>
      </w:r>
    </w:p>
    <w:p w14:paraId="3AFD3781">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22.1 本合同任何一方向对方发出的通知、信件、数据电文等，应当发送至本合同第一部分《政府采购合同协议书》所约定的通讯地址、联系人、联系电话或电子邮箱。</w:t>
      </w:r>
    </w:p>
    <w:p w14:paraId="70A48787">
      <w:pPr>
        <w:widowControl w:val="0"/>
        <w:autoSpaceDE w:val="0"/>
        <w:autoSpaceDN w:val="0"/>
        <w:adjustRightInd w:val="0"/>
        <w:spacing w:line="400" w:lineRule="exact"/>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14:paraId="0A1FC20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22.3本合同一方给另一方的通知均应采用书面形式，传真或快递送到本合同中规定的对方的地址和办理签收手续。</w:t>
      </w:r>
    </w:p>
    <w:p w14:paraId="6B0340DA">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22.4通知以送达之日或通知书中规定的生效之日起生效，两者中以较迟之日为准。</w:t>
      </w:r>
    </w:p>
    <w:p w14:paraId="7AE506A9">
      <w:pPr>
        <w:widowControl w:val="0"/>
        <w:numPr>
          <w:ilvl w:val="0"/>
          <w:numId w:val="7"/>
        </w:numPr>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合同未尽事项</w:t>
      </w:r>
    </w:p>
    <w:p w14:paraId="713DE1C9">
      <w:pPr>
        <w:widowControl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23.1合同未尽事项见</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w:t>
      </w:r>
    </w:p>
    <w:p w14:paraId="4D8D3CBA">
      <w:pPr>
        <w:widowControl w:val="0"/>
        <w:adjustRightInd w:val="0"/>
        <w:snapToGrid w:val="0"/>
        <w:spacing w:line="400" w:lineRule="exact"/>
        <w:jc w:val="left"/>
        <w:rPr>
          <w:rFonts w:hint="eastAsia" w:ascii="黑体" w:hAnsi="华文中宋" w:eastAsia="黑体"/>
          <w:kern w:val="2"/>
          <w:sz w:val="28"/>
          <w:szCs w:val="28"/>
          <w:lang w:eastAsia="zh-CN"/>
        </w:rPr>
      </w:pPr>
      <w:r>
        <w:rPr>
          <w:rFonts w:hint="eastAsia" w:ascii="宋体" w:hAnsi="宋体" w:eastAsia="宋体" w:cstheme="minorBidi"/>
          <w:bCs/>
          <w:kern w:val="2"/>
          <w:sz w:val="21"/>
          <w:szCs w:val="21"/>
          <w:lang w:eastAsia="zh-CN"/>
        </w:rPr>
        <w:t xml:space="preserve">    23.2 合同附件与合同正文具有同等的法律效力。</w:t>
      </w:r>
      <w:bookmarkStart w:id="53" w:name="_Toc20313"/>
    </w:p>
    <w:p w14:paraId="2831B75D">
      <w:pPr>
        <w:widowControl w:val="0"/>
        <w:adjustRightInd w:val="0"/>
        <w:snapToGrid w:val="0"/>
        <w:jc w:val="center"/>
        <w:rPr>
          <w:rFonts w:hint="eastAsia" w:ascii="黑体" w:hAnsi="华文中宋" w:eastAsia="黑体"/>
          <w:kern w:val="2"/>
          <w:sz w:val="28"/>
          <w:szCs w:val="28"/>
          <w:lang w:eastAsia="zh-CN"/>
        </w:rPr>
      </w:pPr>
      <w:r>
        <w:rPr>
          <w:rFonts w:hint="eastAsia" w:ascii="黑体" w:hAnsi="华文中宋" w:eastAsia="黑体" w:cstheme="minorBidi"/>
          <w:kern w:val="2"/>
          <w:sz w:val="28"/>
          <w:szCs w:val="28"/>
          <w:lang w:eastAsia="zh-CN"/>
        </w:rPr>
        <w:br w:type="page"/>
      </w:r>
    </w:p>
    <w:p w14:paraId="19EA2EAF">
      <w:pPr>
        <w:keepNext/>
        <w:keepLines/>
        <w:widowControl w:val="0"/>
        <w:adjustRightInd w:val="0"/>
        <w:snapToGrid w:val="0"/>
        <w:spacing w:line="360" w:lineRule="auto"/>
        <w:jc w:val="center"/>
        <w:outlineLvl w:val="1"/>
        <w:rPr>
          <w:rFonts w:hint="eastAsia" w:ascii="黑体" w:hAnsi="华文中宋" w:eastAsia="黑体"/>
          <w:kern w:val="2"/>
          <w:sz w:val="28"/>
          <w:szCs w:val="28"/>
          <w:lang w:eastAsia="zh-CN"/>
        </w:rPr>
      </w:pPr>
      <w:r>
        <w:rPr>
          <w:rFonts w:hint="eastAsia" w:ascii="黑体" w:hAnsi="华文中宋" w:eastAsia="黑体"/>
          <w:kern w:val="2"/>
          <w:sz w:val="28"/>
          <w:szCs w:val="28"/>
          <w:lang w:eastAsia="zh-CN"/>
        </w:rPr>
        <w:t>第三节 政府采购合同专用条款</w:t>
      </w:r>
      <w:bookmarkEnd w:id="53"/>
    </w:p>
    <w:p w14:paraId="065A7AFF">
      <w:pPr>
        <w:widowControl w:val="0"/>
        <w:jc w:val="both"/>
        <w:rPr>
          <w:rFonts w:ascii="Calibri" w:hAnsi="Calibri" w:eastAsia="宋体"/>
          <w:kern w:val="2"/>
          <w:sz w:val="21"/>
          <w:szCs w:val="22"/>
          <w:lang w:eastAsia="zh-CN"/>
        </w:rPr>
      </w:pPr>
    </w:p>
    <w:p w14:paraId="02BED590">
      <w:pPr>
        <w:widowControl/>
        <w:jc w:val="left"/>
        <w:rPr>
          <w:rFonts w:ascii="Arial" w:hAnsi="Arial" w:eastAsia="宋体"/>
          <w:color w:val="FF0000"/>
          <w:kern w:val="2"/>
          <w:sz w:val="21"/>
          <w:lang w:eastAsia="zh-CN"/>
        </w:rPr>
      </w:pPr>
    </w:p>
    <w:p w14:paraId="0A36FAF2">
      <w:pPr>
        <w:widowControl/>
        <w:jc w:val="left"/>
        <w:rPr>
          <w:rFonts w:hint="eastAsia" w:ascii="宋体" w:hAnsi="宋体" w:eastAsia="黑体"/>
          <w:b/>
          <w:bCs/>
          <w:color w:val="0000FF"/>
          <w:kern w:val="44"/>
          <w:sz w:val="36"/>
          <w:szCs w:val="44"/>
          <w:lang w:eastAsia="zh-CN"/>
        </w:rPr>
      </w:pPr>
    </w:p>
    <w:p w14:paraId="2B39DD31">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08E7F4EA">
      <w:pPr>
        <w:keepNext/>
        <w:keepLines/>
        <w:widowControl w:val="0"/>
        <w:numPr>
          <w:ilvl w:val="0"/>
          <w:numId w:val="8"/>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54" w:name="_Hlk72399513"/>
      <w:r>
        <w:rPr>
          <w:rFonts w:hint="eastAsia" w:ascii="Cambria" w:hAnsi="Cambria" w:eastAsia="宋体" w:cstheme="majorBidi"/>
          <w:b/>
          <w:bCs/>
          <w:kern w:val="2"/>
          <w:sz w:val="28"/>
          <w:szCs w:val="28"/>
          <w:lang w:eastAsia="zh-CN"/>
        </w:rPr>
        <w:t>总则</w:t>
      </w:r>
    </w:p>
    <w:bookmarkEnd w:id="54"/>
    <w:p w14:paraId="23230621">
      <w:pPr>
        <w:widowControl w:val="0"/>
        <w:jc w:val="both"/>
        <w:rPr>
          <w:rFonts w:hint="eastAsia" w:ascii="黑体" w:hAnsi="宋体" w:eastAsia="黑体"/>
          <w:kern w:val="2"/>
          <w:szCs w:val="22"/>
          <w:lang w:eastAsia="zh-CN"/>
        </w:rPr>
      </w:pPr>
      <w:bookmarkStart w:id="55" w:name="_Hlk72439706"/>
      <w:r>
        <w:rPr>
          <w:rFonts w:hint="eastAsia" w:ascii="黑体" w:hAnsi="宋体" w:eastAsia="黑体" w:cstheme="minorBidi"/>
          <w:kern w:val="2"/>
          <w:szCs w:val="22"/>
          <w:lang w:eastAsia="zh-CN"/>
        </w:rPr>
        <w:t>1. 通用条款说明</w:t>
      </w:r>
    </w:p>
    <w:p w14:paraId="0C86F25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1.1采购代理机构发出招标文件通用条款版本，列出深圳市政府采购项目进行招标采购所适用的通用条款内容。</w:t>
      </w:r>
      <w:bookmarkStart w:id="56" w:name="_Hlk72399729"/>
      <w:r>
        <w:rPr>
          <w:rFonts w:hint="eastAsia" w:ascii="宋体" w:hAnsi="宋体" w:eastAsia="宋体" w:cstheme="minorBidi"/>
          <w:kern w:val="2"/>
          <w:sz w:val="21"/>
          <w:szCs w:val="21"/>
          <w:lang w:eastAsia="zh-CN"/>
        </w:rPr>
        <w:t>如有需要，采购代理机构可以对通用条款的内容进行补充。</w:t>
      </w:r>
      <w:bookmarkEnd w:id="56"/>
    </w:p>
    <w:p w14:paraId="515F1DF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14:paraId="0456488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14:paraId="687F445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1.4“通用条款”是适用于政府采购公开招标项目的基础性条款，具有普遍性和通用性。</w:t>
      </w:r>
    </w:p>
    <w:p w14:paraId="74E25D6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 “专用条款”和“通用条款”表述不一致或有冲突时，以“专用条款”为准。</w:t>
      </w:r>
    </w:p>
    <w:p w14:paraId="63496A0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w:t>
      </w:r>
      <w:r>
        <w:rPr>
          <w:rFonts w:ascii="黑体" w:hAnsi="宋体" w:eastAsia="黑体" w:cstheme="minorBidi"/>
          <w:kern w:val="2"/>
          <w:szCs w:val="22"/>
          <w:lang w:eastAsia="zh-CN"/>
        </w:rPr>
        <w:t>．</w:t>
      </w:r>
      <w:r>
        <w:rPr>
          <w:rFonts w:hint="eastAsia" w:ascii="黑体" w:hAnsi="宋体" w:eastAsia="黑体" w:cstheme="minorBidi"/>
          <w:kern w:val="2"/>
          <w:szCs w:val="22"/>
          <w:lang w:eastAsia="zh-CN"/>
        </w:rPr>
        <w:t>招标说明</w:t>
      </w:r>
    </w:p>
    <w:p w14:paraId="207D309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本项目参照《深圳经济特区政府采购条例》、《深圳经济特区政府采购条例实施细则》及政府采购其他法律法规，通过公开招标方式确定中标供应商。</w:t>
      </w:r>
    </w:p>
    <w:p w14:paraId="6069DC5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3．定义</w:t>
      </w:r>
    </w:p>
    <w:p w14:paraId="411EB729">
      <w:pPr>
        <w:widowControl w:val="0"/>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招标文件中下列术语应解释为：</w:t>
      </w:r>
    </w:p>
    <w:p w14:paraId="5F6F3AB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“采购人”：指利用财政性资金依法进行政府采购的国家机关、事业单位、团体组织；</w:t>
      </w:r>
      <w:r>
        <w:rPr>
          <w:rFonts w:ascii="宋体" w:hAnsi="宋体" w:eastAsia="宋体" w:cstheme="minorBidi"/>
          <w:kern w:val="2"/>
          <w:sz w:val="21"/>
          <w:szCs w:val="21"/>
          <w:lang w:eastAsia="zh-CN"/>
        </w:rPr>
        <w:t xml:space="preserve"> </w:t>
      </w:r>
    </w:p>
    <w:p w14:paraId="17973DD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3.2 “采购代理机构”</w:t>
      </w:r>
      <w:r>
        <w:rPr>
          <w:rFonts w:hint="eastAsia" w:ascii="Arial" w:hAnsi="Arial" w:eastAsia="宋体" w:cs="Arial"/>
          <w:kern w:val="2"/>
          <w:sz w:val="21"/>
          <w:szCs w:val="21"/>
          <w:shd w:val="clear" w:color="auto" w:fill="FFFFFF"/>
          <w:lang w:eastAsia="zh-CN"/>
        </w:rPr>
        <w:t>是指市政府设立的，组织实施政府采购项目，并对政府采购活动提供服务的专门机构；</w:t>
      </w:r>
      <w:r>
        <w:rPr>
          <w:rFonts w:hint="eastAsia" w:ascii="宋体" w:hAnsi="宋体" w:eastAsia="宋体" w:cstheme="minorBidi"/>
          <w:kern w:val="2"/>
          <w:sz w:val="21"/>
          <w:szCs w:val="21"/>
          <w:lang w:eastAsia="zh-CN"/>
        </w:rPr>
        <w:t>本文件所述的“采购代理机构”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深圳市拓泰实业有限公司</w:t>
      </w:r>
      <w:r>
        <w:rPr>
          <w:rFonts w:hint="eastAsia" w:ascii="宋体" w:hAnsi="宋体" w:eastAsia="宋体" w:cstheme="minorBidi"/>
          <w:kern w:val="2"/>
          <w:sz w:val="21"/>
          <w:szCs w:val="21"/>
          <w:lang w:eastAsia="zh-CN"/>
        </w:rPr>
        <w:t>；</w:t>
      </w:r>
    </w:p>
    <w:p w14:paraId="00839C8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14:paraId="53B2E12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14:paraId="64278A2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14:paraId="6F3A992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14:paraId="3C08FA0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深圳公共资源交易中心</w:t>
      </w:r>
      <w:r>
        <w:rPr>
          <w:rFonts w:hint="eastAsia" w:ascii="宋体" w:hAnsi="宋体" w:eastAsia="宋体" w:cstheme="minorBidi"/>
          <w:kern w:val="2"/>
          <w:sz w:val="21"/>
          <w:szCs w:val="21"/>
          <w:lang w:eastAsia="zh-CN"/>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450DCC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深圳公共资源交易中心</w:t>
      </w:r>
      <w:r>
        <w:rPr>
          <w:rFonts w:hint="eastAsia" w:ascii="宋体" w:hAnsi="宋体" w:eastAsia="宋体" w:cstheme="minorBidi"/>
          <w:kern w:val="2"/>
          <w:sz w:val="21"/>
          <w:szCs w:val="21"/>
          <w:lang w:eastAsia="zh-CN"/>
        </w:rPr>
        <w:t>网站上传电子投标文件；</w:t>
      </w:r>
    </w:p>
    <w:p w14:paraId="2DDE303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14:paraId="1EBA86C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 xml:space="preserve">4. </w:t>
      </w:r>
      <w:bookmarkStart w:id="57" w:name="_Hlk72398643"/>
      <w:r>
        <w:rPr>
          <w:rFonts w:hint="eastAsia" w:ascii="黑体" w:hAnsi="宋体" w:eastAsia="黑体" w:cstheme="minorBidi"/>
          <w:kern w:val="2"/>
          <w:szCs w:val="22"/>
          <w:lang w:eastAsia="zh-CN"/>
        </w:rPr>
        <w:t>政府采购供应商责任</w:t>
      </w:r>
    </w:p>
    <w:p w14:paraId="382B5F5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4.1欢迎诚信、有实力和有社会责任心的供应商参与政府采购事业。</w:t>
      </w:r>
    </w:p>
    <w:p w14:paraId="1CDEFFB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2682ACC9">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5．投标人参加政府采购的条件</w:t>
      </w:r>
    </w:p>
    <w:p w14:paraId="6D71B04A">
      <w:pPr>
        <w:widowControl w:val="0"/>
        <w:ind w:firstLine="411" w:firstLineChars="196"/>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深圳公共资源交易中心（具体在深圳交易集团有限公司政府采购业务分公司进行办理）</w:t>
      </w:r>
      <w:r>
        <w:rPr>
          <w:rFonts w:hint="eastAsia" w:ascii="宋体" w:hAnsi="宋体" w:eastAsia="宋体" w:cstheme="minorBidi"/>
          <w:kern w:val="2"/>
          <w:sz w:val="21"/>
          <w:szCs w:val="21"/>
          <w:lang w:eastAsia="zh-CN"/>
        </w:rPr>
        <w:t>进行注册并办理电子密钥。《供应商注册及信息变更指引》详见www.szggzy.com网站“交易服务指南-政府采购”。</w:t>
      </w:r>
    </w:p>
    <w:p w14:paraId="6A9A07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14:paraId="7547579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 “投标人资格要求”（即申请人的资格要求）的内容。</w:t>
      </w:r>
    </w:p>
    <w:p w14:paraId="3F6ECF7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14:paraId="0A9C3F6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14:paraId="004F82B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5.3.2  由两个或两个以上的自然人、法人或者其他组织可以组成一个联合体，以一个供应商的身份共同投标时，应符合以下原则：</w:t>
      </w:r>
    </w:p>
    <w:p w14:paraId="17F9297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（1）投标联合体各方参加政府采购活动应当具备下列条件：</w:t>
      </w:r>
      <w:r>
        <w:rPr>
          <w:rFonts w:ascii="宋体" w:hAnsi="宋体" w:eastAsia="宋体" w:cstheme="minorBidi"/>
          <w:kern w:val="2"/>
          <w:sz w:val="21"/>
          <w:szCs w:val="22"/>
          <w:lang w:eastAsia="zh-CN"/>
        </w:rPr>
        <w:t xml:space="preserve"> </w:t>
      </w:r>
    </w:p>
    <w:p w14:paraId="4B762522">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1、具有独立承担民事责任的能力；</w:t>
      </w:r>
      <w:r>
        <w:rPr>
          <w:rFonts w:ascii="宋体" w:hAnsi="宋体" w:eastAsia="宋体" w:cstheme="minorBidi"/>
          <w:kern w:val="2"/>
          <w:sz w:val="21"/>
          <w:szCs w:val="22"/>
          <w:lang w:eastAsia="zh-CN"/>
        </w:rPr>
        <w:t xml:space="preserve"> </w:t>
      </w:r>
    </w:p>
    <w:p w14:paraId="50577749">
      <w:pPr>
        <w:widowControl w:val="0"/>
        <w:ind w:left="42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2、有良好的商业信誉和健全的财务会计制度；</w:t>
      </w:r>
      <w:r>
        <w:rPr>
          <w:rFonts w:ascii="宋体" w:hAnsi="宋体" w:eastAsia="宋体" w:cstheme="minorBidi"/>
          <w:kern w:val="2"/>
          <w:sz w:val="21"/>
          <w:szCs w:val="22"/>
          <w:lang w:eastAsia="zh-CN"/>
        </w:rPr>
        <w:t xml:space="preserve"> </w:t>
      </w:r>
    </w:p>
    <w:p w14:paraId="4F8505FE">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3、具有履行合同所必需的设备和专业技术能力；</w:t>
      </w:r>
      <w:r>
        <w:rPr>
          <w:rFonts w:ascii="宋体" w:hAnsi="宋体" w:eastAsia="宋体" w:cstheme="minorBidi"/>
          <w:kern w:val="2"/>
          <w:sz w:val="21"/>
          <w:szCs w:val="22"/>
          <w:lang w:eastAsia="zh-CN"/>
        </w:rPr>
        <w:t xml:space="preserve"> </w:t>
      </w:r>
    </w:p>
    <w:p w14:paraId="0F9B7430">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4、有依法缴纳税收和社会保障资金的良好记录；</w:t>
      </w:r>
      <w:r>
        <w:rPr>
          <w:rFonts w:ascii="宋体" w:hAnsi="宋体" w:eastAsia="宋体" w:cstheme="minorBidi"/>
          <w:kern w:val="2"/>
          <w:sz w:val="21"/>
          <w:szCs w:val="22"/>
          <w:lang w:eastAsia="zh-CN"/>
        </w:rPr>
        <w:t xml:space="preserve"> </w:t>
      </w:r>
    </w:p>
    <w:p w14:paraId="3E6CADB9">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5、参加政府采购活动前三年内，在经营活动中没有重大违法记录；</w:t>
      </w:r>
      <w:r>
        <w:rPr>
          <w:rFonts w:ascii="宋体" w:hAnsi="宋体" w:eastAsia="宋体" w:cstheme="minorBidi"/>
          <w:kern w:val="2"/>
          <w:sz w:val="21"/>
          <w:szCs w:val="22"/>
          <w:lang w:eastAsia="zh-CN"/>
        </w:rPr>
        <w:t xml:space="preserve"> </w:t>
      </w:r>
    </w:p>
    <w:p w14:paraId="169E60FE">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6、法律、行政法规规定的其他条件。</w:t>
      </w:r>
      <w:r>
        <w:rPr>
          <w:rFonts w:ascii="宋体" w:hAnsi="宋体" w:eastAsia="宋体" w:cstheme="minorBidi"/>
          <w:kern w:val="2"/>
          <w:sz w:val="21"/>
          <w:szCs w:val="22"/>
          <w:lang w:eastAsia="zh-CN"/>
        </w:rPr>
        <w:t xml:space="preserve"> </w:t>
      </w:r>
    </w:p>
    <w:p w14:paraId="4A691E4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（2）在投标截止前，投标联合体各方均应注册成采购代理机构供应商；</w:t>
      </w:r>
    </w:p>
    <w:p w14:paraId="4DE9D3F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（3）联合体中有同类资质的供应商按照联合体分工承担相同工作的，应当按照资质等级较低的供应商确定资质等级；</w:t>
      </w:r>
    </w:p>
    <w:p w14:paraId="0EADF777">
      <w:pPr>
        <w:widowControl w:val="0"/>
        <w:ind w:firstLine="411" w:firstLineChars="196"/>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（4）是否允许联合体参加投标，应当由采购人和采购代理机构根据项目的实际情况和潜在供应商的数量自主决定，如果决定接受联合体投标则应当在招标公告中明示；</w:t>
      </w:r>
    </w:p>
    <w:p w14:paraId="28CD55C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（5）投标人的投标文件及中标后签署的合同协议对联合体各方均具法律约束力；</w:t>
      </w:r>
    </w:p>
    <w:p w14:paraId="31B5D8C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（6）联合体各方应当签订联合体投标协议，明确约定各方拟承担的工作和责任，并将该协议随投标文件一并递交给采购代理机构；</w:t>
      </w:r>
    </w:p>
    <w:p w14:paraId="5DA0F7D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（7）联合体中标后，联合体各方应当共同与采购人签订合同，就中标项目向采购人承担连带责任；</w:t>
      </w:r>
    </w:p>
    <w:p w14:paraId="78C9E8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93294A1">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2"/>
          <w:lang w:eastAsia="zh-CN"/>
        </w:rPr>
        <w:t>（9）本通用条款中“投标人”一词亦指联合体各方，专用条款另有规定或说明的除外。</w:t>
      </w:r>
    </w:p>
    <w:p w14:paraId="0221E59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6．政策导向</w:t>
      </w:r>
    </w:p>
    <w:p w14:paraId="1816619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6.1</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政府采购支持本国产品、支持中小企业、监狱企业和残疾人福利性单位发展，支持乡村产业振兴，支持创新、节能减排、绿色环保等。</w:t>
      </w:r>
    </w:p>
    <w:p w14:paraId="67E6A3AF">
      <w:pPr>
        <w:widowControl w:val="0"/>
        <w:ind w:firstLine="405"/>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6.2</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本项目落实深圳市政府采购供应商诚信管理政策要求。</w:t>
      </w:r>
    </w:p>
    <w:p w14:paraId="6B09ECC2">
      <w:pPr>
        <w:widowControl w:val="0"/>
        <w:ind w:firstLine="405"/>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6.3  本项目支持投标人性别平等的相关政策。</w:t>
      </w:r>
    </w:p>
    <w:p w14:paraId="06169B7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7. 本项目若涉及采购货物，则合格的货物及相应服务应满足以下要求：</w:t>
      </w:r>
    </w:p>
    <w:p w14:paraId="1F9D7C4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 xml:space="preserve">.1  </w:t>
      </w:r>
      <w:r>
        <w:rPr>
          <w:rFonts w:hint="eastAsia" w:ascii="宋体" w:hAnsi="宋体" w:eastAsia="宋体" w:cstheme="minorBidi"/>
          <w:kern w:val="2"/>
          <w:sz w:val="21"/>
          <w:szCs w:val="22"/>
          <w:lang w:eastAsia="zh-CN"/>
        </w:rPr>
        <w:t>必须是全新、未使用过的原装合格正品（包括零部件），如安装或配置了软件的，须为正版软件。</w:t>
      </w:r>
    </w:p>
    <w:p w14:paraId="2227BF2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7.2  国产的货物及其有关服务必须符合中华人民共和国的设计、制造生产标准及行业标准。招标公告有其他要求的，亦应符合其要求。</w:t>
      </w:r>
    </w:p>
    <w:p w14:paraId="3509477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71C967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投标人</w:t>
      </w:r>
      <w:bookmarkStart w:id="58" w:name="_Hlk72152753"/>
      <w:r>
        <w:rPr>
          <w:rFonts w:hint="eastAsia" w:ascii="宋体" w:hAnsi="宋体" w:eastAsia="宋体" w:cstheme="minorBidi"/>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8"/>
    </w:p>
    <w:p w14:paraId="4C89E7C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674528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7.6  工期要求：投标人在投标时对其所投项目应提交交货进度、交货计划等，在合同规定的时间内完成项目实施工作。</w:t>
      </w:r>
    </w:p>
    <w:p w14:paraId="4B7AAEA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7.7  投标人必须承担的设备运输、安装调试、验收检测和提供设备操作说明书、图纸等其他相关及类似的义务。</w:t>
      </w:r>
    </w:p>
    <w:p w14:paraId="576CE83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8．投标费用</w:t>
      </w:r>
    </w:p>
    <w:p w14:paraId="2C2B9BC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14:paraId="47577CB0">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9．踏勘现场</w:t>
      </w:r>
    </w:p>
    <w:p w14:paraId="03A813F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302155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9.2投标人及其人员经过采购人的允许，可以进入采购人的项目现场踏勘。若招标文件要求投标人于统一时间地点踏勘现场的，投标人应当按时前往。</w:t>
      </w:r>
    </w:p>
    <w:p w14:paraId="7A3FE09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9.3采购人应当通过采购代理机构向投标人提供有关现场的书面资料和数据。</w:t>
      </w:r>
    </w:p>
    <w:p w14:paraId="3454CC4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9.4任何人或任何组织在踏勘现场时向投标人提供的任何书面资料或口头承诺，未经采购代理机构在网上发布或书面通知，均作无效处理。</w:t>
      </w:r>
    </w:p>
    <w:p w14:paraId="26E0DD01">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14:paraId="40232169">
      <w:pPr>
        <w:widowControl w:val="0"/>
        <w:jc w:val="both"/>
        <w:rPr>
          <w:rFonts w:hint="eastAsia" w:ascii="宋体" w:hAnsi="宋体" w:eastAsia="宋体"/>
          <w:kern w:val="2"/>
          <w:sz w:val="21"/>
          <w:szCs w:val="21"/>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0</w:t>
      </w:r>
      <w:r>
        <w:rPr>
          <w:rFonts w:hint="eastAsia" w:ascii="黑体" w:hAnsi="宋体" w:eastAsia="黑体" w:cstheme="minorBidi"/>
          <w:kern w:val="2"/>
          <w:szCs w:val="22"/>
          <w:lang w:eastAsia="zh-CN"/>
        </w:rPr>
        <w:t>．标前会议</w:t>
      </w:r>
    </w:p>
    <w:p w14:paraId="6428D7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如采购人或采购代理机构认为有必要组织标前会议，投标人应按照招标文件规定的时间或采购代理机构另行书面通知（包括采购代理机构网站发布方式，如更正公告等）的时间和地点，参与标前会议。</w:t>
      </w:r>
    </w:p>
    <w:p w14:paraId="3B320A46">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2"/>
          <w:lang w:eastAsia="zh-CN"/>
        </w:rPr>
        <w:t>10</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任何人或任何组织在标前会议时向投标人提供的任何书面资料或口头承诺，未经采购代理机构在网上发布或书面通知，均作无效处理。</w:t>
      </w:r>
    </w:p>
    <w:p w14:paraId="3A8AB15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57"/>
    <w:p w14:paraId="04247DEC">
      <w:pPr>
        <w:widowControl w:val="0"/>
        <w:ind w:firstLine="411" w:firstLineChars="196"/>
        <w:jc w:val="both"/>
        <w:rPr>
          <w:rFonts w:hint="eastAsia" w:ascii="宋体" w:hAnsi="宋体" w:eastAsia="宋体"/>
          <w:kern w:val="2"/>
          <w:sz w:val="21"/>
          <w:szCs w:val="22"/>
          <w:lang w:eastAsia="zh-CN"/>
        </w:rPr>
      </w:pPr>
    </w:p>
    <w:p w14:paraId="589D2C5F">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14:paraId="6F9AEBD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1</w:t>
      </w:r>
      <w:r>
        <w:rPr>
          <w:rFonts w:hint="eastAsia" w:ascii="黑体" w:hAnsi="宋体" w:eastAsia="黑体" w:cstheme="minorBidi"/>
          <w:kern w:val="2"/>
          <w:szCs w:val="22"/>
          <w:lang w:eastAsia="zh-CN"/>
        </w:rPr>
        <w:t>．</w:t>
      </w:r>
      <w:bookmarkStart w:id="59" w:name="_Hlk72399819"/>
      <w:r>
        <w:rPr>
          <w:rFonts w:hint="eastAsia" w:ascii="黑体" w:hAnsi="宋体" w:eastAsia="黑体" w:cstheme="minorBidi"/>
          <w:kern w:val="2"/>
          <w:szCs w:val="22"/>
          <w:lang w:eastAsia="zh-CN"/>
        </w:rPr>
        <w:t>招标文件的编制与组成</w:t>
      </w:r>
    </w:p>
    <w:p w14:paraId="119A5957">
      <w:pPr>
        <w:widowControl w:val="0"/>
        <w:snapToGrid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.1招标文件除以下内容外，采购代理机构在招标期间发出的澄清或修改等相关公告或通知内容，均是招标文件的组成部分，对投标人起约束作用；</w:t>
      </w:r>
    </w:p>
    <w:p w14:paraId="403B86C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14:paraId="09EEBF31">
      <w:pPr>
        <w:widowControl w:val="0"/>
        <w:ind w:left="480" w:leftChars="200" w:firstLine="413" w:firstLineChars="196"/>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27618089">
      <w:pPr>
        <w:widowControl w:val="0"/>
        <w:ind w:left="1234" w:leftChars="514"/>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47091B7C">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34E696C3">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32FB7CC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484719FE">
      <w:pPr>
        <w:widowControl w:val="0"/>
        <w:ind w:left="720" w:leftChars="300" w:firstLine="411" w:firstLineChars="196"/>
        <w:jc w:val="both"/>
        <w:rPr>
          <w:rFonts w:hint="eastAsia" w:ascii="宋体" w:hAnsi="宋体" w:eastAsia="宋体"/>
          <w:kern w:val="2"/>
          <w:sz w:val="21"/>
          <w:szCs w:val="21"/>
          <w:lang w:eastAsia="zh-CN"/>
        </w:rPr>
      </w:pPr>
      <w:r>
        <w:rPr>
          <w:rFonts w:hint="eastAsia" w:ascii="Calibri" w:hAnsi="Calibri" w:eastAsia="宋体" w:cstheme="minorBidi"/>
          <w:kern w:val="2"/>
          <w:sz w:val="21"/>
          <w:szCs w:val="22"/>
          <w:lang w:eastAsia="zh-CN"/>
        </w:rPr>
        <w:t xml:space="preserve">第四章 </w:t>
      </w:r>
      <w:r>
        <w:rPr>
          <w:rFonts w:ascii="Calibri" w:hAnsi="Calibri" w:eastAsia="宋体" w:cstheme="minorBidi"/>
          <w:kern w:val="2"/>
          <w:sz w:val="21"/>
          <w:szCs w:val="22"/>
          <w:lang w:eastAsia="zh-CN"/>
        </w:rPr>
        <w:t xml:space="preserve"> </w:t>
      </w:r>
      <w:r>
        <w:rPr>
          <w:rFonts w:hint="eastAsia" w:ascii="Calibri" w:hAnsi="Calibri" w:eastAsia="宋体" w:cstheme="minorBidi"/>
          <w:kern w:val="2"/>
          <w:sz w:val="21"/>
          <w:szCs w:val="22"/>
          <w:lang w:eastAsia="zh-CN"/>
        </w:rPr>
        <w:t>投标文件格式及附件</w:t>
      </w:r>
    </w:p>
    <w:p w14:paraId="2AF6EBE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6CEAFC0D">
      <w:pPr>
        <w:widowControl w:val="0"/>
        <w:ind w:left="480" w:leftChars="200" w:firstLine="413" w:firstLineChars="196"/>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1B299168">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0D65777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4A42A36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01E3A3B3">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3FD5A7C1">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1F2EEB58">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15E20B1A">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71B497A2">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4D3B15E9">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7FC66C0D">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4A03588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5E5A409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1160EB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w:t>
      </w:r>
      <w:r>
        <w:rPr>
          <w:rFonts w:hint="eastAsia" w:ascii="宋体" w:hAnsi="宋体" w:eastAsia="宋体" w:cstheme="minorBidi"/>
          <w:kern w:val="2"/>
          <w:sz w:val="21"/>
          <w:szCs w:val="22"/>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D2468D5">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2</w:t>
      </w:r>
      <w:r>
        <w:rPr>
          <w:rFonts w:hint="eastAsia" w:ascii="黑体" w:hAnsi="宋体" w:eastAsia="黑体" w:cstheme="minorBidi"/>
          <w:kern w:val="2"/>
          <w:szCs w:val="22"/>
          <w:lang w:eastAsia="zh-CN"/>
        </w:rPr>
        <w:t>．招标文件的澄清</w:t>
      </w:r>
    </w:p>
    <w:p w14:paraId="43B0323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14:paraId="2AF5F7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.2投标人如对招标文件内容有疑问，应当在招标公告规定的澄清（提问）截止时间前以网上提问的形式通过网上政府采购系统提交采购代理机构。</w:t>
      </w:r>
    </w:p>
    <w:p w14:paraId="227865E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14:paraId="07279DB7">
      <w:pPr>
        <w:widowControl w:val="0"/>
        <w:jc w:val="both"/>
        <w:rPr>
          <w:rFonts w:hint="eastAsia" w:ascii="黑体" w:hAnsi="宋体" w:eastAsia="黑体"/>
          <w:kern w:val="2"/>
          <w:szCs w:val="22"/>
          <w:lang w:eastAsia="zh-CN"/>
        </w:rPr>
      </w:pPr>
      <w:r>
        <w:rPr>
          <w:rFonts w:ascii="黑体" w:hAnsi="宋体" w:eastAsia="黑体" w:cstheme="minorBidi"/>
          <w:kern w:val="2"/>
          <w:szCs w:val="22"/>
          <w:lang w:eastAsia="zh-CN"/>
        </w:rPr>
        <w:t>1</w:t>
      </w:r>
      <w:r>
        <w:rPr>
          <w:rFonts w:hint="eastAsia" w:ascii="黑体" w:hAnsi="宋体" w:eastAsia="黑体" w:cstheme="minorBidi"/>
          <w:kern w:val="2"/>
          <w:szCs w:val="22"/>
          <w:lang w:eastAsia="zh-CN"/>
        </w:rPr>
        <w:t>3．招标文件的修改</w:t>
      </w:r>
    </w:p>
    <w:p w14:paraId="69CEB4A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3.1招标文件发出后，在投标截止日期前任何时候，确需要变更招标文件内容的，采购代理机构可主动或在解答投标人提出的澄清问题时对招标文件进行修改。</w:t>
      </w:r>
    </w:p>
    <w:p w14:paraId="40D86D9A">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3.2招标文件的修改以书面形式（包括采购代理机构网站发布方式，如更正公告等）发送给所有投标人，招标文件的修改内容作为招标文件的组成部分，并具有约束力。</w:t>
      </w:r>
    </w:p>
    <w:p w14:paraId="7443F2C7">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058DF156">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59"/>
    </w:p>
    <w:p w14:paraId="4B990DF0">
      <w:pPr>
        <w:widowControl w:val="0"/>
        <w:jc w:val="both"/>
        <w:rPr>
          <w:rFonts w:hint="eastAsia" w:ascii="宋体" w:hAnsi="宋体" w:eastAsia="宋体"/>
          <w:kern w:val="2"/>
          <w:sz w:val="21"/>
          <w:szCs w:val="21"/>
          <w:lang w:eastAsia="zh-CN"/>
        </w:rPr>
      </w:pPr>
    </w:p>
    <w:p w14:paraId="52E6C6B3">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14:paraId="2D292F15">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14．</w:t>
      </w:r>
      <w:bookmarkStart w:id="60" w:name="_Hlk72400236"/>
      <w:r>
        <w:rPr>
          <w:rFonts w:hint="eastAsia" w:ascii="黑体" w:hAnsi="宋体" w:eastAsia="黑体" w:cstheme="minorBidi"/>
          <w:kern w:val="2"/>
          <w:szCs w:val="22"/>
          <w:lang w:eastAsia="zh-CN"/>
        </w:rPr>
        <w:t>投标文件的语言及度量单位</w:t>
      </w:r>
    </w:p>
    <w:p w14:paraId="135636C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78ABFC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14.2 除技术规范另有规定外，投标文件使用的度量单位，均采用中华人民共和国法定计量单位。</w:t>
      </w:r>
    </w:p>
    <w:bookmarkEnd w:id="60"/>
    <w:p w14:paraId="28691E5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15．</w:t>
      </w:r>
      <w:bookmarkStart w:id="61" w:name="_Hlk72401567"/>
      <w:r>
        <w:rPr>
          <w:rFonts w:hint="eastAsia" w:ascii="黑体" w:hAnsi="宋体" w:eastAsia="黑体" w:cstheme="minorBidi"/>
          <w:kern w:val="2"/>
          <w:szCs w:val="22"/>
          <w:lang w:eastAsia="zh-CN"/>
        </w:rPr>
        <w:t>投标文件的组成</w:t>
      </w:r>
    </w:p>
    <w:p w14:paraId="1A87347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14:paraId="2583CB11">
      <w:pPr>
        <w:widowControl w:val="0"/>
        <w:jc w:val="both"/>
        <w:rPr>
          <w:rFonts w:hint="eastAsia" w:ascii="黑体" w:hAnsi="宋体" w:eastAsia="黑体"/>
          <w:kern w:val="2"/>
          <w:szCs w:val="22"/>
          <w:lang w:eastAsia="zh-CN"/>
        </w:rPr>
      </w:pPr>
      <w:r>
        <w:rPr>
          <w:rFonts w:ascii="黑体" w:hAnsi="宋体" w:eastAsia="黑体" w:cstheme="minorBidi"/>
          <w:kern w:val="2"/>
          <w:szCs w:val="22"/>
          <w:lang w:eastAsia="zh-CN"/>
        </w:rPr>
        <w:t>16．投标文件格式</w:t>
      </w:r>
    </w:p>
    <w:p w14:paraId="11D492B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15条中规定的内容。如招标文件提供了投标文件格式，则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14:paraId="6F5FF54C">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17．投标货币</w:t>
      </w:r>
    </w:p>
    <w:p w14:paraId="702C6D7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61"/>
    <w:p w14:paraId="34A91B5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18．</w:t>
      </w:r>
      <w:bookmarkStart w:id="62" w:name="_Hlk72401735"/>
      <w:r>
        <w:rPr>
          <w:rFonts w:hint="eastAsia" w:ascii="黑体" w:hAnsi="宋体" w:eastAsia="黑体" w:cstheme="minorBidi"/>
          <w:kern w:val="2"/>
          <w:szCs w:val="22"/>
          <w:lang w:eastAsia="zh-CN"/>
        </w:rPr>
        <w:t>证明投标文件投标技术方案的合格性和符合招标文件规定的文件要求</w:t>
      </w:r>
    </w:p>
    <w:p w14:paraId="77034E3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14:paraId="5E8F8AEC">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 xml:space="preserve">.2 </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7A61F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14:paraId="30AAE4F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14:paraId="2041A03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021C1A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2"/>
          <w:lang w:eastAsia="zh-CN"/>
        </w:rPr>
        <w:t>清晰度要求能够使用电脑阅读、识别和判断</w:t>
      </w:r>
      <w:r>
        <w:rPr>
          <w:rFonts w:hint="eastAsia" w:ascii="宋体" w:hAnsi="宋体" w:eastAsia="宋体" w:cstheme="minorBidi"/>
          <w:kern w:val="2"/>
          <w:sz w:val="21"/>
          <w:szCs w:val="21"/>
          <w:lang w:eastAsia="zh-CN"/>
        </w:rPr>
        <w:t>；</w:t>
      </w:r>
    </w:p>
    <w:p w14:paraId="1ED3A0C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263CFE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14:paraId="6E70EE7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2"/>
          <w:lang w:eastAsia="zh-CN"/>
        </w:rPr>
        <w:t>满足要求</w:t>
      </w:r>
      <w:r>
        <w:rPr>
          <w:rFonts w:hint="eastAsia" w:ascii="宋体" w:hAnsi="宋体" w:eastAsia="宋体" w:cstheme="minorBidi"/>
          <w:kern w:val="2"/>
          <w:sz w:val="21"/>
          <w:szCs w:val="21"/>
          <w:lang w:eastAsia="zh-CN"/>
        </w:rPr>
        <w:t>，由评审委员会来评判。</w:t>
      </w:r>
    </w:p>
    <w:p w14:paraId="2D6921D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62"/>
    <w:p w14:paraId="1DF895D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19．</w:t>
      </w:r>
      <w:bookmarkStart w:id="63" w:name="_Hlk72402034"/>
      <w:r>
        <w:rPr>
          <w:rFonts w:hint="eastAsia" w:ascii="黑体" w:hAnsi="宋体" w:eastAsia="黑体" w:cstheme="minorBidi"/>
          <w:kern w:val="2"/>
          <w:szCs w:val="22"/>
          <w:lang w:eastAsia="zh-CN"/>
        </w:rPr>
        <w:t>投标文件其他证明文件的要求</w:t>
      </w:r>
    </w:p>
    <w:p w14:paraId="351BCFA1">
      <w:pPr>
        <w:widowControl w:val="0"/>
        <w:jc w:val="both"/>
        <w:rPr>
          <w:rFonts w:hint="eastAsia" w:ascii="宋体" w:hAnsi="宋体" w:eastAsia="宋体"/>
          <w:color w:val="FF0000"/>
          <w:kern w:val="2"/>
          <w:sz w:val="21"/>
          <w:szCs w:val="21"/>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1"/>
          <w:lang w:eastAsia="zh-CN"/>
        </w:rPr>
        <w:t>19.1</w:t>
      </w:r>
      <w:bookmarkStart w:id="64" w:name="_Hlk71407299"/>
      <w:r>
        <w:rPr>
          <w:rFonts w:hint="eastAsia" w:ascii="宋体" w:hAnsi="宋体" w:eastAsia="宋体" w:cstheme="minorBidi"/>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4"/>
    <w:p w14:paraId="0640753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A0F0D2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20．投标有效期</w:t>
      </w:r>
    </w:p>
    <w:bookmarkEnd w:id="63"/>
    <w:p w14:paraId="2C618354">
      <w:pPr>
        <w:widowControl w:val="0"/>
        <w:ind w:firstLine="411" w:firstLineChars="196"/>
        <w:jc w:val="both"/>
        <w:rPr>
          <w:rFonts w:hint="eastAsia" w:ascii="宋体" w:hAnsi="宋体" w:eastAsia="宋体"/>
          <w:kern w:val="2"/>
          <w:sz w:val="21"/>
          <w:szCs w:val="21"/>
          <w:lang w:eastAsia="zh-CN"/>
        </w:rPr>
      </w:pPr>
      <w:bookmarkStart w:id="65" w:name="_Hlk72402214"/>
      <w:r>
        <w:rPr>
          <w:rFonts w:hint="eastAsia" w:ascii="宋体" w:hAnsi="宋体" w:eastAsia="宋体" w:cstheme="minorBidi"/>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14:paraId="356E2C0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0FCFE6F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 xml:space="preserve"> 中标供应商的投标文件有效期，截止于完成本招标文件规定的全部项目内容，并通过竣工验收及保修期结束。</w:t>
      </w:r>
    </w:p>
    <w:bookmarkEnd w:id="65"/>
    <w:p w14:paraId="78556464">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21．</w:t>
      </w:r>
      <w:bookmarkStart w:id="66" w:name="_Hlk72402325"/>
      <w:r>
        <w:rPr>
          <w:rFonts w:hint="eastAsia" w:ascii="黑体" w:hAnsi="宋体" w:eastAsia="黑体" w:cstheme="minorBidi"/>
          <w:kern w:val="2"/>
          <w:szCs w:val="22"/>
          <w:lang w:eastAsia="zh-CN"/>
        </w:rPr>
        <w:t xml:space="preserve">关于投标保证金 </w:t>
      </w:r>
    </w:p>
    <w:p w14:paraId="436F78AA">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21.1</w:t>
      </w:r>
      <w:r>
        <w:rPr>
          <w:rFonts w:hint="eastAsia" w:ascii="Calibri" w:hAnsi="Calibri" w:eastAsia="宋体" w:cstheme="minorBidi"/>
          <w:kern w:val="2"/>
          <w:sz w:val="21"/>
          <w:szCs w:val="22"/>
          <w:lang w:eastAsia="zh-CN"/>
        </w:rPr>
        <w:t>根据《深圳市财政局关于调整政府采购投标（响应）保证金管理政策的通知》（深财购〔2021〕51号）文的规定，本项目不收取投标保证金。</w:t>
      </w:r>
    </w:p>
    <w:p w14:paraId="00485C9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22．投标人的替代方案</w:t>
      </w:r>
    </w:p>
    <w:p w14:paraId="021AF0A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7C16C7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6"/>
    <w:p w14:paraId="0029DE9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23．</w:t>
      </w:r>
      <w:bookmarkStart w:id="67" w:name="_Hlk72402860"/>
      <w:r>
        <w:rPr>
          <w:rFonts w:ascii="黑体" w:hAnsi="宋体" w:eastAsia="黑体" w:cstheme="minorBidi"/>
          <w:kern w:val="2"/>
          <w:szCs w:val="22"/>
          <w:lang w:eastAsia="zh-CN"/>
        </w:rPr>
        <w:t>投标文件的</w:t>
      </w:r>
      <w:r>
        <w:rPr>
          <w:rFonts w:hint="eastAsia" w:ascii="黑体" w:hAnsi="宋体" w:eastAsia="黑体" w:cstheme="minorBidi"/>
          <w:kern w:val="2"/>
          <w:szCs w:val="22"/>
          <w:lang w:eastAsia="zh-CN"/>
        </w:rPr>
        <w:t>制作</w:t>
      </w:r>
      <w:r>
        <w:rPr>
          <w:rFonts w:ascii="黑体" w:hAnsi="宋体" w:eastAsia="黑体" w:cstheme="minorBidi"/>
          <w:kern w:val="2"/>
          <w:szCs w:val="22"/>
          <w:lang w:eastAsia="zh-CN"/>
        </w:rPr>
        <w:t>要求</w:t>
      </w:r>
    </w:p>
    <w:p w14:paraId="764FDB3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23.1投标人应准备所投项目的电子投标文件一份。</w:t>
      </w:r>
    </w:p>
    <w:p w14:paraId="1CDEDE6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23.2投标人在使用《投标书编制软件》编制投标书时须注意：</w:t>
      </w:r>
    </w:p>
    <w:p w14:paraId="7BE746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23.2.1导入《投标书编制软件》的招标文件项目编号、包号应与以此制作的投标文件项目编号、包号一致。例如，不能将甲项目A包的招标书导入《投标书编制软件》，制作乙项目B包的投标书。</w:t>
      </w:r>
    </w:p>
    <w:p w14:paraId="3935E34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23.2.2不能用非本公司的电子密钥加密本公司的投标文件，或者用其它公司的登录用户上传本公司的投标文件。</w:t>
      </w:r>
    </w:p>
    <w:p w14:paraId="76E556F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23.2.3要求用《投标书编制软件》编制投标书的包，不能用其它方式编制投标书。编制投标文件时，电脑须连通互联网。</w:t>
      </w:r>
    </w:p>
    <w:p w14:paraId="52B5D5C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23.2.4投标文件不能带病毒。采购代理机构将用专业杀毒软件对投标文件进行病毒检测，如果这两种软件均报告发现病毒，则采购代理机构认为该投标文件带病毒。</w:t>
      </w:r>
    </w:p>
    <w:p w14:paraId="6C735D3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23.2.6投标人在编辑投标文件时，</w:t>
      </w:r>
      <w:r>
        <w:rPr>
          <w:rFonts w:hint="eastAsia" w:ascii="宋体" w:hAnsi="宋体" w:eastAsia="宋体" w:cstheme="minorBidi"/>
          <w:b/>
          <w:kern w:val="2"/>
          <w:sz w:val="21"/>
          <w:szCs w:val="22"/>
          <w:lang w:eastAsia="zh-CN"/>
        </w:rPr>
        <w:t>在投标文件目录中属于本节点内容的必须在本节点中填写，填写到其他节点或附件，</w:t>
      </w:r>
      <w:r>
        <w:rPr>
          <w:rFonts w:hint="eastAsia" w:ascii="宋体" w:hAnsi="宋体" w:eastAsia="宋体" w:cstheme="minorBidi"/>
          <w:kern w:val="2"/>
          <w:sz w:val="21"/>
          <w:szCs w:val="22"/>
          <w:lang w:eastAsia="zh-CN"/>
        </w:rPr>
        <w:t>一切后果由供应商自行承担。</w:t>
      </w:r>
    </w:p>
    <w:p w14:paraId="5D55CF4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23.2.7投标文件编写完成后，</w:t>
      </w:r>
      <w:r>
        <w:rPr>
          <w:rFonts w:hint="eastAsia" w:ascii="宋体" w:hAnsi="宋体" w:eastAsia="宋体" w:cstheme="minorBidi"/>
          <w:b/>
          <w:kern w:val="2"/>
          <w:sz w:val="21"/>
          <w:szCs w:val="22"/>
          <w:lang w:eastAsia="zh-CN"/>
        </w:rPr>
        <w:t>必须用属于投标人的电子密钥或电子营业执照进行加密，否则视同未盖公章，将导致投标文件无效。</w:t>
      </w:r>
    </w:p>
    <w:p w14:paraId="154929B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195B9A14">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23.2.9如果开标时出现网络故障、技术故障，影响了政府采购活动，采购代理机构有权采取措施如延期、接受无法从网上上传的投标书等，以保障政府采购活动的公开、公平和公正。</w:t>
      </w:r>
    </w:p>
    <w:p w14:paraId="4B454CF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23.3电报、电话、传真形式的投标概不接受。</w:t>
      </w:r>
    </w:p>
    <w:p w14:paraId="75B6613D">
      <w:pPr>
        <w:widowControl w:val="0"/>
        <w:ind w:firstLine="413" w:firstLineChars="196"/>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23.4经投标人电子密钥或电子营业执照加密的投标文件无须盖章或签字，</w:t>
      </w:r>
      <w:r>
        <w:rPr>
          <w:rFonts w:hint="eastAsia" w:ascii="宋体" w:hAnsi="宋体" w:eastAsia="宋体" w:cstheme="minorBidi"/>
          <w:kern w:val="2"/>
          <w:sz w:val="21"/>
          <w:szCs w:val="22"/>
          <w:lang w:eastAsia="zh-CN"/>
        </w:rPr>
        <w:t>专用条款另有要求的除外。</w:t>
      </w:r>
    </w:p>
    <w:p w14:paraId="515996C8">
      <w:pPr>
        <w:widowControl w:val="0"/>
        <w:ind w:firstLine="413" w:firstLineChars="196"/>
        <w:jc w:val="both"/>
        <w:rPr>
          <w:rFonts w:hint="eastAsia" w:ascii="宋体" w:hAnsi="宋体" w:eastAsia="宋体"/>
          <w:kern w:val="2"/>
          <w:sz w:val="21"/>
          <w:szCs w:val="22"/>
          <w:lang w:eastAsia="zh-CN"/>
        </w:rPr>
      </w:pPr>
      <w:r>
        <w:rPr>
          <w:rFonts w:hint="eastAsia" w:ascii="宋体" w:hAnsi="宋体" w:eastAsia="宋体" w:cstheme="minorBidi"/>
          <w:b/>
          <w:kern w:val="2"/>
          <w:sz w:val="21"/>
          <w:szCs w:val="22"/>
          <w:lang w:eastAsia="zh-CN"/>
        </w:rPr>
        <w:t>23.5</w:t>
      </w:r>
      <w:r>
        <w:rPr>
          <w:rFonts w:hint="eastAsia" w:ascii="宋体" w:hAnsi="宋体" w:eastAsia="宋体" w:cstheme="minorBidi"/>
          <w:kern w:val="2"/>
          <w:sz w:val="21"/>
          <w:szCs w:val="22"/>
          <w:lang w:eastAsia="zh-CN"/>
        </w:rPr>
        <w:t xml:space="preserve"> 各类资格（资质）文件提供扫描件，专用条款另有要求的除外。</w:t>
      </w:r>
      <w:bookmarkEnd w:id="67"/>
    </w:p>
    <w:p w14:paraId="78A554E2">
      <w:pPr>
        <w:widowControl w:val="0"/>
        <w:ind w:firstLine="411" w:firstLineChars="196"/>
        <w:jc w:val="both"/>
        <w:rPr>
          <w:rFonts w:hint="eastAsia" w:ascii="宋体" w:hAnsi="宋体" w:eastAsia="宋体"/>
          <w:kern w:val="2"/>
          <w:sz w:val="21"/>
          <w:szCs w:val="21"/>
          <w:lang w:eastAsia="zh-CN"/>
        </w:rPr>
      </w:pPr>
    </w:p>
    <w:p w14:paraId="61BBE550">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14:paraId="7CAB55C1">
      <w:pPr>
        <w:widowControl w:val="0"/>
        <w:jc w:val="both"/>
        <w:rPr>
          <w:rFonts w:hint="eastAsia" w:ascii="黑体" w:hAnsi="宋体" w:eastAsia="黑体"/>
          <w:kern w:val="2"/>
          <w:szCs w:val="22"/>
          <w:lang w:eastAsia="zh-CN"/>
        </w:rPr>
      </w:pPr>
      <w:bookmarkStart w:id="68" w:name="_Hlk72405459"/>
      <w:r>
        <w:rPr>
          <w:rFonts w:hint="eastAsia" w:ascii="黑体" w:hAnsi="宋体" w:eastAsia="黑体" w:cstheme="minorBidi"/>
          <w:kern w:val="2"/>
          <w:szCs w:val="22"/>
          <w:lang w:eastAsia="zh-CN"/>
        </w:rPr>
        <w:t>24．投标文件的保密</w:t>
      </w:r>
    </w:p>
    <w:p w14:paraId="6026452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eastAsia="宋体" w:cstheme="minorBidi"/>
          <w:kern w:val="2"/>
          <w:sz w:val="21"/>
          <w:szCs w:val="22"/>
          <w:highlight w:val="yellow"/>
          <w:lang w:eastAsia="zh-CN"/>
        </w:rPr>
        <w:t>(注意：加密的投标文件开标时须使用加密文件时使用的锁在项目规定时间内解密！)</w:t>
      </w:r>
    </w:p>
    <w:p w14:paraId="27A2957E">
      <w:pPr>
        <w:widowControl w:val="0"/>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24.2若采购项目出现延期情况：</w:t>
      </w:r>
    </w:p>
    <w:p w14:paraId="7F0E4448">
      <w:pPr>
        <w:widowControl w:val="0"/>
        <w:ind w:firstLine="422" w:firstLineChars="200"/>
        <w:jc w:val="both"/>
        <w:rPr>
          <w:rFonts w:hint="eastAsia" w:ascii="黑体" w:hAnsi="宋体" w:eastAsia="黑体"/>
          <w:b/>
          <w:kern w:val="2"/>
          <w:szCs w:val="22"/>
          <w:lang w:eastAsia="zh-CN"/>
        </w:rPr>
      </w:pPr>
      <w:r>
        <w:rPr>
          <w:rFonts w:hint="eastAsia" w:ascii="宋体" w:hAnsi="宋体" w:eastAsia="宋体" w:cstheme="minorBidi"/>
          <w:b/>
          <w:kern w:val="2"/>
          <w:sz w:val="21"/>
          <w:szCs w:val="22"/>
          <w:lang w:eastAsia="zh-CN"/>
        </w:rPr>
        <w:t>如果供下载的招标文件有更新，投标人必须重新下载招标文件、重新制作投标文件、重新加密投标文件、重新上传投标文件。</w:t>
      </w:r>
    </w:p>
    <w:p w14:paraId="5805078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25．上传投标文件及投标截止日期</w:t>
      </w:r>
    </w:p>
    <w:p w14:paraId="1503299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cstheme="minorBidi"/>
          <w:b/>
          <w:bCs/>
          <w:kern w:val="2"/>
          <w:sz w:val="21"/>
          <w:szCs w:val="22"/>
          <w:lang w:eastAsia="zh-CN"/>
        </w:rPr>
        <w:t>深圳公共资源交易中心</w:t>
      </w:r>
      <w:r>
        <w:rPr>
          <w:rFonts w:hint="eastAsia" w:ascii="宋体" w:hAnsi="宋体" w:eastAsia="宋体" w:cstheme="minorBidi"/>
          <w:b/>
          <w:bCs/>
          <w:kern w:val="2"/>
          <w:sz w:val="21"/>
          <w:szCs w:val="21"/>
          <w:lang w:eastAsia="zh-CN"/>
        </w:rPr>
        <w:t>协助上传，但上传过程中投标截止时间到达仍无法上传成功的，由投标人自行负责</w:t>
      </w:r>
      <w:r>
        <w:rPr>
          <w:rFonts w:hint="eastAsia" w:ascii="宋体" w:hAnsi="宋体" w:eastAsia="宋体" w:cstheme="minorBidi"/>
          <w:kern w:val="2"/>
          <w:sz w:val="21"/>
          <w:szCs w:val="22"/>
          <w:lang w:eastAsia="zh-CN"/>
        </w:rPr>
        <w:t>。</w:t>
      </w:r>
    </w:p>
    <w:p w14:paraId="48556CB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23D0C7C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3投标截止时间以后不得上传投标文件。</w:t>
      </w:r>
    </w:p>
    <w:p w14:paraId="6059D9B2">
      <w:pPr>
        <w:widowControl w:val="0"/>
        <w:ind w:firstLine="411" w:firstLineChars="196"/>
        <w:jc w:val="both"/>
        <w:rPr>
          <w:rFonts w:hint="eastAsia" w:ascii="宋体" w:hAnsi="宋体" w:eastAsia="宋体"/>
          <w:kern w:val="2"/>
          <w:sz w:val="21"/>
          <w:szCs w:val="22"/>
          <w:lang w:eastAsia="zh-CN"/>
        </w:rPr>
      </w:pPr>
    </w:p>
    <w:p w14:paraId="7CC5CDD6">
      <w:pPr>
        <w:widowControl w:val="0"/>
        <w:ind w:firstLine="411" w:firstLineChars="196"/>
        <w:jc w:val="both"/>
        <w:rPr>
          <w:rFonts w:hint="eastAsia" w:ascii="宋体" w:hAnsi="宋体" w:eastAsia="宋体"/>
          <w:kern w:val="2"/>
          <w:sz w:val="21"/>
          <w:szCs w:val="22"/>
          <w:lang w:eastAsia="zh-CN"/>
        </w:rPr>
      </w:pPr>
    </w:p>
    <w:bookmarkEnd w:id="68"/>
    <w:p w14:paraId="0D0B814F">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26. 样品、现场演示、方案讲解</w:t>
      </w:r>
    </w:p>
    <w:p w14:paraId="5A64C195">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26.1 样品、现场演示、方案讲解等事项在招标文件专用条款中进行规定。</w:t>
      </w:r>
    </w:p>
    <w:p w14:paraId="04493BAF">
      <w:pPr>
        <w:widowControl w:val="0"/>
        <w:jc w:val="both"/>
        <w:rPr>
          <w:rFonts w:hint="eastAsia" w:ascii="黑体" w:hAnsi="宋体" w:eastAsia="黑体"/>
          <w:kern w:val="2"/>
          <w:szCs w:val="22"/>
          <w:lang w:eastAsia="zh-CN"/>
        </w:rPr>
      </w:pPr>
      <w:bookmarkStart w:id="69" w:name="_Hlk72428346"/>
      <w:r>
        <w:rPr>
          <w:rFonts w:ascii="黑体" w:hAnsi="宋体" w:eastAsia="黑体" w:cstheme="minorBidi"/>
          <w:kern w:val="2"/>
          <w:szCs w:val="22"/>
          <w:lang w:eastAsia="zh-CN"/>
        </w:rPr>
        <w:t>2</w:t>
      </w:r>
      <w:r>
        <w:rPr>
          <w:rFonts w:hint="eastAsia" w:ascii="黑体" w:hAnsi="宋体" w:eastAsia="黑体" w:cstheme="minorBidi"/>
          <w:kern w:val="2"/>
          <w:szCs w:val="22"/>
          <w:lang w:eastAsia="zh-CN"/>
        </w:rPr>
        <w:t>7．</w:t>
      </w:r>
      <w:r>
        <w:rPr>
          <w:rFonts w:ascii="黑体" w:hAnsi="宋体" w:eastAsia="黑体" w:cstheme="minorBidi"/>
          <w:kern w:val="2"/>
          <w:szCs w:val="22"/>
          <w:lang w:eastAsia="zh-CN"/>
        </w:rPr>
        <w:t>投标文件的修改和撤销</w:t>
      </w:r>
    </w:p>
    <w:p w14:paraId="6B56D1A5">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投标方在提交投标文件后可对其投标文件进行修改</w:t>
      </w:r>
      <w:r>
        <w:rPr>
          <w:rFonts w:hint="eastAsia" w:ascii="宋体" w:hAnsi="宋体" w:eastAsia="宋体" w:cstheme="minorBidi"/>
          <w:kern w:val="2"/>
          <w:sz w:val="21"/>
          <w:szCs w:val="22"/>
          <w:lang w:eastAsia="zh-CN"/>
        </w:rPr>
        <w:t>并重新上传投标文件</w:t>
      </w:r>
      <w:r>
        <w:rPr>
          <w:rFonts w:ascii="宋体" w:hAnsi="宋体" w:eastAsia="宋体" w:cstheme="minorBidi"/>
          <w:kern w:val="2"/>
          <w:sz w:val="21"/>
          <w:szCs w:val="22"/>
          <w:lang w:eastAsia="zh-CN"/>
        </w:rPr>
        <w:t>或</w:t>
      </w:r>
      <w:r>
        <w:rPr>
          <w:rFonts w:hint="eastAsia" w:ascii="宋体" w:hAnsi="宋体" w:eastAsia="宋体" w:cstheme="minorBidi"/>
          <w:kern w:val="2"/>
          <w:sz w:val="21"/>
          <w:szCs w:val="22"/>
          <w:lang w:eastAsia="zh-CN"/>
        </w:rPr>
        <w:t>在网上进行</w:t>
      </w:r>
      <w:r>
        <w:rPr>
          <w:rFonts w:ascii="宋体" w:hAnsi="宋体" w:eastAsia="宋体" w:cstheme="minorBidi"/>
          <w:kern w:val="2"/>
          <w:sz w:val="21"/>
          <w:szCs w:val="22"/>
          <w:lang w:eastAsia="zh-CN"/>
        </w:rPr>
        <w:t>撤销</w:t>
      </w:r>
      <w:r>
        <w:rPr>
          <w:rFonts w:hint="eastAsia" w:ascii="宋体" w:hAnsi="宋体" w:eastAsia="宋体" w:cstheme="minorBidi"/>
          <w:kern w:val="2"/>
          <w:sz w:val="21"/>
          <w:szCs w:val="22"/>
          <w:lang w:eastAsia="zh-CN"/>
        </w:rPr>
        <w:t>投标的操作</w:t>
      </w:r>
      <w:r>
        <w:rPr>
          <w:rFonts w:ascii="宋体" w:hAnsi="宋体" w:eastAsia="宋体" w:cstheme="minorBidi"/>
          <w:kern w:val="2"/>
          <w:sz w:val="21"/>
          <w:szCs w:val="22"/>
          <w:lang w:eastAsia="zh-CN"/>
        </w:rPr>
        <w:t>。</w:t>
      </w:r>
    </w:p>
    <w:p w14:paraId="65A50B2D">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投标截止时间以后不得修改投标文件。</w:t>
      </w:r>
    </w:p>
    <w:p w14:paraId="15E45898">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3从投标截止期至投标人在投标文件中确定的投标有效期之间的这段时间内，投标人不得撤回其投标。</w:t>
      </w:r>
    </w:p>
    <w:p w14:paraId="71E9D81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27.4采购代理机构不退还投标文件，专用条款另有规定的除外。</w:t>
      </w:r>
    </w:p>
    <w:bookmarkEnd w:id="69"/>
    <w:p w14:paraId="20C634F5">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14:paraId="17307BD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28．开标</w:t>
      </w:r>
    </w:p>
    <w:p w14:paraId="0BE44186">
      <w:pPr>
        <w:widowControl w:val="0"/>
        <w:ind w:firstLine="359" w:firstLineChars="171"/>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kern w:val="2"/>
          <w:sz w:val="21"/>
          <w:szCs w:val="21"/>
          <w:lang w:eastAsia="zh-CN"/>
        </w:rPr>
        <w:t>”，使用本单位制作电子投标文件同一个电子密钥进行在线解密、查询开标情况。</w:t>
      </w:r>
    </w:p>
    <w:p w14:paraId="73489168">
      <w:pPr>
        <w:widowControl w:val="0"/>
        <w:ind w:firstLine="315" w:firstLineChars="15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236D46AE">
      <w:pPr>
        <w:widowControl w:val="0"/>
        <w:ind w:firstLine="315" w:firstLineChars="150"/>
        <w:jc w:val="both"/>
        <w:rPr>
          <w:rFonts w:hint="eastAsia" w:ascii="宋体" w:hAnsi="宋体" w:eastAsia="宋体"/>
          <w:kern w:val="2"/>
          <w:sz w:val="21"/>
          <w:szCs w:val="21"/>
          <w:lang w:eastAsia="zh-CN"/>
        </w:rPr>
      </w:pPr>
    </w:p>
    <w:p w14:paraId="6B34311D">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14:paraId="34C6933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29．评审委员会组成</w:t>
      </w:r>
    </w:p>
    <w:p w14:paraId="0D1F72E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29.1网上开标结束后召开评审会议，</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由采购代理机构依法组建，负责评审活动。</w:t>
      </w:r>
    </w:p>
    <w:p w14:paraId="13518B27">
      <w:pPr>
        <w:widowControl w:val="0"/>
        <w:ind w:firstLine="411" w:firstLineChars="196"/>
        <w:jc w:val="both"/>
        <w:rPr>
          <w:rFonts w:hint="eastAsia" w:ascii="宋体" w:hAnsi="宋体" w:eastAsia="宋体"/>
          <w:kern w:val="2"/>
          <w:sz w:val="21"/>
          <w:szCs w:val="22"/>
          <w:lang w:eastAsia="zh-CN"/>
        </w:rPr>
      </w:pPr>
      <w:bookmarkStart w:id="70" w:name="_Hlk72436580"/>
      <w:r>
        <w:rPr>
          <w:rFonts w:hint="eastAsia" w:ascii="宋体" w:hAnsi="宋体" w:eastAsia="宋体" w:cstheme="minorBidi"/>
          <w:kern w:val="2"/>
          <w:sz w:val="21"/>
          <w:szCs w:val="22"/>
          <w:lang w:eastAsia="zh-CN"/>
        </w:rPr>
        <w:t>评审委员会由采购人代表和评审专家组成，成员人数应当为5人以上单数（部分条件下为7人以上单数），其中评审专家不得少于成员总数的三分之二。</w:t>
      </w:r>
      <w:bookmarkEnd w:id="70"/>
      <w:r>
        <w:rPr>
          <w:rFonts w:hint="eastAsia" w:ascii="宋体" w:hAnsi="宋体" w:eastAsia="宋体" w:cstheme="minorBidi"/>
          <w:kern w:val="2"/>
          <w:sz w:val="21"/>
          <w:szCs w:val="22"/>
          <w:lang w:eastAsia="zh-CN"/>
        </w:rPr>
        <w:t>评定</w:t>
      </w:r>
      <w:r>
        <w:rPr>
          <w:rFonts w:hint="eastAsia" w:ascii="Calibri" w:hAnsi="Calibri" w:eastAsia="宋体" w:cstheme="minorBidi"/>
          <w:kern w:val="2"/>
          <w:sz w:val="21"/>
          <w:szCs w:val="22"/>
          <w:lang w:eastAsia="zh-CN"/>
        </w:rPr>
        <w:t>分离项目</w:t>
      </w:r>
      <w:r>
        <w:rPr>
          <w:rFonts w:ascii="Calibri" w:hAnsi="Calibri" w:eastAsia="宋体" w:cstheme="minorBidi"/>
          <w:kern w:val="2"/>
          <w:sz w:val="21"/>
          <w:szCs w:val="22"/>
          <w:lang w:eastAsia="zh-CN"/>
        </w:rPr>
        <w:t>评审专家</w:t>
      </w:r>
      <w:r>
        <w:rPr>
          <w:rFonts w:hint="eastAsia" w:ascii="Calibri" w:hAnsi="Calibri" w:eastAsia="宋体" w:cstheme="minorBidi"/>
          <w:kern w:val="2"/>
          <w:sz w:val="21"/>
          <w:szCs w:val="22"/>
          <w:lang w:eastAsia="zh-CN"/>
        </w:rPr>
        <w:t>均</w:t>
      </w:r>
      <w:r>
        <w:rPr>
          <w:rFonts w:ascii="Calibri" w:hAnsi="Calibri" w:eastAsia="宋体" w:cstheme="minorBidi"/>
          <w:kern w:val="2"/>
          <w:sz w:val="21"/>
          <w:szCs w:val="22"/>
          <w:lang w:eastAsia="zh-CN"/>
        </w:rPr>
        <w:t>由</w:t>
      </w:r>
      <w:r>
        <w:rPr>
          <w:rFonts w:hint="eastAsia" w:ascii="Calibri" w:hAnsi="Calibri" w:eastAsia="宋体" w:cstheme="minorBidi"/>
          <w:kern w:val="2"/>
          <w:sz w:val="21"/>
          <w:szCs w:val="22"/>
          <w:lang w:eastAsia="zh-CN"/>
        </w:rPr>
        <w:t>评审专家组成。</w:t>
      </w:r>
      <w:r>
        <w:rPr>
          <w:rFonts w:hint="eastAsia" w:ascii="宋体" w:hAnsi="宋体" w:eastAsia="宋体" w:cstheme="minorBidi"/>
          <w:kern w:val="2"/>
          <w:sz w:val="21"/>
          <w:szCs w:val="21"/>
          <w:lang w:eastAsia="zh-CN"/>
        </w:rPr>
        <w:t>评审专家一般是</w:t>
      </w:r>
      <w:r>
        <w:rPr>
          <w:rFonts w:hint="eastAsia" w:ascii="宋体" w:hAnsi="宋体" w:eastAsia="宋体" w:cstheme="minorBidi"/>
          <w:kern w:val="2"/>
          <w:sz w:val="21"/>
          <w:szCs w:val="22"/>
          <w:lang w:eastAsia="zh-CN"/>
        </w:rPr>
        <w:t>从深圳市政府采购评审专家库中随机抽取。采购人代表须持本单位签发的《评审授权书》参加评审。</w:t>
      </w:r>
    </w:p>
    <w:p w14:paraId="4FF1C9A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29.2评审定标应当遵循公平、公正、科学、择优的原则。</w:t>
      </w:r>
    </w:p>
    <w:p w14:paraId="6009EAF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29.3评审活动依法进行，任何单位和个人不得非法干预评标过程和结果。</w:t>
      </w:r>
    </w:p>
    <w:p w14:paraId="6265A1D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29.4评审过程中不允许违背评标程序或采用招标文件未载明的评标方法或评标因素进行评标。</w:t>
      </w:r>
    </w:p>
    <w:p w14:paraId="2131159C">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29.5 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2"/>
          <w:lang w:eastAsia="zh-CN"/>
        </w:rPr>
        <w:t>信息公开的内容除外</w:t>
      </w:r>
      <w:r>
        <w:rPr>
          <w:rFonts w:hint="eastAsia" w:ascii="宋体" w:hAnsi="宋体" w:eastAsia="宋体" w:cstheme="minorBidi"/>
          <w:bCs/>
          <w:kern w:val="2"/>
          <w:sz w:val="21"/>
          <w:szCs w:val="22"/>
          <w:lang w:eastAsia="zh-CN"/>
        </w:rPr>
        <w:t>）。</w:t>
      </w:r>
    </w:p>
    <w:p w14:paraId="74D144F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30．向评审委员会提供的资料</w:t>
      </w:r>
    </w:p>
    <w:p w14:paraId="5CE7630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30.1公开发布的招标文件，包括图纸、服务清单、答疑文件等；</w:t>
      </w:r>
    </w:p>
    <w:p w14:paraId="347737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30.2其他评标必须的资料。</w:t>
      </w:r>
    </w:p>
    <w:p w14:paraId="56AACCE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30.3</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应当认真研究招标文件，至少应了解熟悉以下内容：</w:t>
      </w:r>
    </w:p>
    <w:p w14:paraId="2DA263A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（1）招标的目的；</w:t>
      </w:r>
    </w:p>
    <w:p w14:paraId="24E6428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（2）招标项目需求的范围和性质；</w:t>
      </w:r>
    </w:p>
    <w:p w14:paraId="6212EB6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（3）招标文件规定的投标人的资格、财政预算限额、商务条款；</w:t>
      </w:r>
    </w:p>
    <w:p w14:paraId="151999B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（4）招标文件规定的评标程序、评标方法和评标因素；</w:t>
      </w:r>
    </w:p>
    <w:p w14:paraId="55AA40D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（5）招标文件所列示的资格性审查表及符合性审查表。</w:t>
      </w:r>
    </w:p>
    <w:p w14:paraId="7E3E8D5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31．独立评审</w:t>
      </w:r>
    </w:p>
    <w:p w14:paraId="3A4A63E8">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w:t>
      </w:r>
      <w:r>
        <w:rPr>
          <w:rFonts w:ascii="宋体" w:hAnsi="宋体" w:eastAsia="宋体" w:cstheme="minorBidi"/>
          <w:bCs/>
          <w:kern w:val="2"/>
          <w:sz w:val="21"/>
          <w:szCs w:val="22"/>
          <w:lang w:eastAsia="zh-CN"/>
        </w:rPr>
        <w:t>1</w:t>
      </w:r>
      <w:r>
        <w:rPr>
          <w:rFonts w:hint="eastAsia" w:ascii="宋体" w:hAnsi="宋体" w:eastAsia="宋体" w:cstheme="minorBidi"/>
          <w:bCs/>
          <w:kern w:val="2"/>
          <w:sz w:val="21"/>
          <w:szCs w:val="22"/>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2"/>
          <w:lang w:eastAsia="zh-CN"/>
        </w:rPr>
        <w:t>成员的评标活动应当独立进行，并应遵循投标文件初审、澄清有关问题、比较与评价、确定中标供应商、编写评审报告的工作程序。</w:t>
      </w:r>
    </w:p>
    <w:p w14:paraId="40E828F8">
      <w:pPr>
        <w:widowControl w:val="0"/>
        <w:ind w:firstLine="411" w:firstLineChars="196"/>
        <w:jc w:val="both"/>
        <w:rPr>
          <w:rFonts w:hint="eastAsia" w:ascii="宋体" w:hAnsi="宋体" w:eastAsia="宋体"/>
          <w:bCs/>
          <w:kern w:val="2"/>
          <w:sz w:val="21"/>
          <w:szCs w:val="21"/>
          <w:lang w:eastAsia="zh-CN"/>
        </w:rPr>
      </w:pPr>
    </w:p>
    <w:p w14:paraId="0C68052C">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14:paraId="1D6D311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32．投标文件初审</w:t>
      </w:r>
    </w:p>
    <w:p w14:paraId="12B7D5E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32.1投标文件初审包括资格性审查和符合性审查。</w:t>
      </w:r>
    </w:p>
    <w:p w14:paraId="3D523BD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资格性审查：依据法律法规和招标文件的规定，对投标文件中的资格证明等进行审查，以确定投标供应商是否具备投标资格。</w:t>
      </w:r>
    </w:p>
    <w:p w14:paraId="43A7C8C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符合性审查：依据招标文件的规定，对投标文件的有效性、完整性和对招标文件的响应程度进行审查，以确定是否满足符合性审查的要求。</w:t>
      </w:r>
    </w:p>
    <w:p w14:paraId="365DF0A4">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32.2 投标文件初审内容请详见《资格性审查表》和《符合性审查表》部分。投标人若有一条审查不通过则按投标无效处理。</w:t>
      </w:r>
    </w:p>
    <w:p w14:paraId="61393F55">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 投标文件初审中关于供应商家数的计算：</w:t>
      </w:r>
    </w:p>
    <w:p w14:paraId="5D3371F8">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84690DF">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theme="minorBidi"/>
          <w:bCs/>
          <w:kern w:val="2"/>
          <w:sz w:val="21"/>
          <w:szCs w:val="21"/>
          <w:lang w:eastAsia="zh-CN"/>
        </w:rPr>
        <w:t>评审委员会</w:t>
      </w:r>
      <w:r>
        <w:rPr>
          <w:rFonts w:hint="eastAsia" w:ascii="宋体" w:hAnsi="宋体" w:eastAsia="宋体" w:cstheme="minorBidi"/>
          <w:bCs/>
          <w:kern w:val="2"/>
          <w:sz w:val="21"/>
          <w:szCs w:val="22"/>
          <w:lang w:eastAsia="zh-CN"/>
        </w:rPr>
        <w:t>按照招标文件规定的方式确定一个投标人获得中标人推荐资格，招标文件未规定的采取随机抽取方式确定，其他同品牌投标人不作为中标候选人。</w:t>
      </w:r>
    </w:p>
    <w:p w14:paraId="23298DC1">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32.3.3非单一产品采购项目，采购人应当根据采购项目技术构成、产品价格比重等合理确定核心产品，并在招标文件中载明。多家投标人提供的核心产品品牌相同的，按前两款规定处理。</w:t>
      </w:r>
    </w:p>
    <w:p w14:paraId="11BF631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32.4投标人投标文件作无效处理的情形，具体包括但不限于以下：</w:t>
      </w:r>
    </w:p>
    <w:p w14:paraId="053C1EEA">
      <w:pPr>
        <w:widowControl w:val="0"/>
        <w:ind w:firstLine="411" w:firstLineChars="196"/>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32.4.1</w:t>
      </w:r>
      <w:r>
        <w:rPr>
          <w:rFonts w:hint="eastAsia" w:ascii="Calibri" w:hAnsi="Calibri" w:eastAsia="宋体" w:cstheme="minorBidi"/>
          <w:kern w:val="2"/>
          <w:sz w:val="21"/>
          <w:szCs w:val="22"/>
          <w:lang w:eastAsia="zh-CN"/>
        </w:rPr>
        <w:t>不同投标人的投标文件由同一单位或者同一个人编制，或者由同一个人分阶段参与编制；</w:t>
      </w:r>
    </w:p>
    <w:p w14:paraId="69A73516">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2"/>
          <w:lang w:eastAsia="zh-CN"/>
        </w:rPr>
        <w:t>32.4.</w:t>
      </w:r>
      <w:r>
        <w:rPr>
          <w:rFonts w:hint="eastAsia" w:ascii="宋体" w:hAnsi="宋体" w:eastAsia="宋体" w:cstheme="minorBidi"/>
          <w:kern w:val="2"/>
          <w:sz w:val="21"/>
          <w:szCs w:val="22"/>
          <w:lang w:eastAsia="zh-CN"/>
        </w:rPr>
        <w:t>2</w:t>
      </w:r>
      <w:r>
        <w:rPr>
          <w:rFonts w:hint="eastAsia" w:ascii="Calibri" w:hAnsi="Calibri" w:eastAsia="宋体" w:cstheme="minorBidi"/>
          <w:kern w:val="2"/>
          <w:sz w:val="21"/>
          <w:szCs w:val="22"/>
          <w:lang w:eastAsia="zh-CN"/>
        </w:rPr>
        <w:t>不同投标人委托同一单位或者个人办理投标事宜；</w:t>
      </w:r>
    </w:p>
    <w:p w14:paraId="7A6D41A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32.4.3不同投标人的投标文件载明的项目管理成员或者联系人员为同一人；</w:t>
      </w:r>
    </w:p>
    <w:p w14:paraId="20418D0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32.4.4不同投标人的投标文件异常一致或者投标报价呈规律性差异；</w:t>
      </w:r>
    </w:p>
    <w:p w14:paraId="4DA9679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32.4.5</w:t>
      </w:r>
      <w:r>
        <w:rPr>
          <w:rFonts w:ascii="宋体" w:hAnsi="宋体" w:eastAsia="宋体" w:cstheme="minorBidi"/>
          <w:kern w:val="2"/>
          <w:sz w:val="21"/>
          <w:szCs w:val="22"/>
          <w:lang w:eastAsia="zh-CN"/>
        </w:rPr>
        <w:t>不同投标供应商的投标文件或部分投标文件相互混装</w:t>
      </w:r>
      <w:r>
        <w:rPr>
          <w:rFonts w:hint="eastAsia" w:ascii="宋体" w:hAnsi="宋体" w:eastAsia="宋体" w:cstheme="minorBidi"/>
          <w:kern w:val="2"/>
          <w:sz w:val="21"/>
          <w:szCs w:val="22"/>
          <w:lang w:eastAsia="zh-CN"/>
        </w:rPr>
        <w:t>；</w:t>
      </w:r>
    </w:p>
    <w:p w14:paraId="6CB9062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32.4.6投标供应商之间相互约定给予未中标的供应商利益补偿；</w:t>
      </w:r>
    </w:p>
    <w:p w14:paraId="26EA8CE7">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32.4.7不同投标供应商的法定代表人、主要经营负责人、项目投标授权代表人、项目负责人、主要技术人员为同一人、属同一单位或者同一单位缴纳社会保险；</w:t>
      </w:r>
    </w:p>
    <w:p w14:paraId="35F2913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32.4.8不同投标供应商的投标文件内容存在非正常一致；</w:t>
      </w:r>
    </w:p>
    <w:p w14:paraId="7D0AE4F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32.4.9在同一单位工作人员为两家以上（含两家）供应商进行同一项投标活动；</w:t>
      </w:r>
    </w:p>
    <w:p w14:paraId="43EF6E8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32.4.10主管部门依照法律、法规认定的其他情形。</w:t>
      </w:r>
    </w:p>
    <w:p w14:paraId="20D989D3">
      <w:pPr>
        <w:widowControl w:val="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32.5对不属于《资格性审查表》和《符合性审查表》所列的其他情形，除专用条款另有规定和32.4条款所列情形外，不得作为投标无效的理由。</w:t>
      </w:r>
    </w:p>
    <w:p w14:paraId="6369365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33．澄清有关问题</w:t>
      </w:r>
    </w:p>
    <w:p w14:paraId="4C685CC2">
      <w:pPr>
        <w:widowControl w:val="0"/>
        <w:ind w:firstLine="411" w:firstLineChars="196"/>
        <w:jc w:val="both"/>
        <w:rPr>
          <w:rFonts w:hint="eastAsia" w:ascii="宋体" w:hAnsi="宋体" w:eastAsia="宋体"/>
          <w:kern w:val="2"/>
          <w:sz w:val="21"/>
          <w:szCs w:val="22"/>
          <w:lang w:eastAsia="zh-CN"/>
        </w:rPr>
      </w:pPr>
      <w:bookmarkStart w:id="71" w:name="_Hlk71407321"/>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3.1</w:t>
      </w:r>
      <w:r>
        <w:rPr>
          <w:rFonts w:hint="eastAsia" w:ascii="宋体" w:hAnsi="宋体" w:eastAsia="宋体" w:cstheme="minorBidi"/>
          <w:kern w:val="2"/>
          <w:sz w:val="21"/>
          <w:szCs w:val="22"/>
          <w:lang w:eastAsia="zh-CN"/>
        </w:rPr>
        <w:t>对招标文件中描述有歧义或前后不一致的地方（不含</w:t>
      </w:r>
      <w:r>
        <w:rPr>
          <w:rFonts w:ascii="Calibri" w:hAnsi="Calibri" w:eastAsia="宋体" w:cstheme="minorBidi"/>
          <w:kern w:val="2"/>
          <w:sz w:val="21"/>
          <w:szCs w:val="21"/>
          <w:lang w:eastAsia="zh-CN"/>
        </w:rPr>
        <w:t>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2"/>
          <w:lang w:eastAsia="zh-CN"/>
        </w:rPr>
        <w:t>，评审委员会有权进行评判，但对同一条款的评判应适用于每个投标人。</w:t>
      </w:r>
      <w:bookmarkEnd w:id="71"/>
    </w:p>
    <w:p w14:paraId="729D8D9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工作无法进行，或者招标文件内容违反国家有关强制性规定的，应当停止评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采购代理机构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应当修改招标文件，重新组织采购活动。</w:t>
      </w:r>
    </w:p>
    <w:p w14:paraId="5BBB10B4">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33.3</w:t>
      </w:r>
      <w:r>
        <w:rPr>
          <w:rFonts w:hint="eastAsia" w:ascii="宋体" w:hAnsi="宋体" w:eastAsia="宋体" w:cstheme="minorBidi"/>
          <w:kern w:val="2"/>
          <w:sz w:val="21"/>
          <w:szCs w:val="22"/>
          <w:lang w:eastAsia="zh-CN"/>
        </w:rPr>
        <w:t>对于投标文件中含义不明确、同类问题表述不一致或者有明显文字和计算错误的内容，评审委员会应当以书面形式要求投标人作出必要的澄清、说明或者补正。</w:t>
      </w:r>
    </w:p>
    <w:p w14:paraId="54FC53A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D2B2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14:paraId="0F2CBB81">
      <w:pPr>
        <w:widowControl w:val="0"/>
        <w:jc w:val="both"/>
        <w:rPr>
          <w:rFonts w:hint="eastAsia" w:ascii="黑体" w:hAnsi="宋体" w:eastAsia="黑体"/>
          <w:kern w:val="2"/>
          <w:szCs w:val="22"/>
          <w:lang w:eastAsia="zh-CN"/>
        </w:rPr>
      </w:pPr>
      <w:bookmarkStart w:id="72" w:name="_Toc73521581"/>
      <w:bookmarkStart w:id="73" w:name="_Toc73517673"/>
      <w:bookmarkStart w:id="74" w:name="_Toc73521669"/>
      <w:bookmarkStart w:id="75" w:name="_Toc100052400"/>
      <w:bookmarkStart w:id="76" w:name="_Toc73518151"/>
      <w:r>
        <w:rPr>
          <w:rFonts w:hint="eastAsia" w:ascii="黑体" w:hAnsi="宋体" w:eastAsia="黑体" w:cstheme="minorBidi"/>
          <w:kern w:val="2"/>
          <w:szCs w:val="22"/>
          <w:lang w:eastAsia="zh-CN"/>
        </w:rPr>
        <w:t>34．错误的修正</w:t>
      </w:r>
      <w:bookmarkEnd w:id="72"/>
      <w:bookmarkEnd w:id="73"/>
      <w:bookmarkEnd w:id="74"/>
      <w:bookmarkEnd w:id="75"/>
      <w:bookmarkEnd w:id="76"/>
    </w:p>
    <w:p w14:paraId="7FDF577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14:paraId="2E770CF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14:paraId="0472D28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14:paraId="427ACC1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14:paraId="428E0C4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14:paraId="00DA45A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584E99B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35．投标文件的比较与评价</w:t>
      </w:r>
    </w:p>
    <w:p w14:paraId="03ECFDC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7D35B5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017A007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36. 实地考察或资料查验</w:t>
      </w:r>
    </w:p>
    <w:p w14:paraId="2146C33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14:paraId="2B8D69A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37．评审方法</w:t>
      </w:r>
    </w:p>
    <w:p w14:paraId="56957169">
      <w:pPr>
        <w:widowControl w:val="0"/>
        <w:ind w:firstLine="413" w:firstLineChars="196"/>
        <w:jc w:val="both"/>
        <w:rPr>
          <w:rFonts w:hint="eastAsia" w:ascii="宋体" w:hAnsi="宋体" w:eastAsia="宋体"/>
          <w:b/>
          <w:bCs/>
          <w:kern w:val="2"/>
          <w:sz w:val="21"/>
          <w:szCs w:val="21"/>
          <w:lang w:eastAsia="zh-CN"/>
        </w:rPr>
      </w:pPr>
      <w:bookmarkStart w:id="77" w:name="_Hlk72438142"/>
      <w:r>
        <w:rPr>
          <w:rFonts w:hint="eastAsia" w:ascii="宋体" w:hAnsi="宋体" w:eastAsia="宋体" w:cstheme="minorBidi"/>
          <w:b/>
          <w:bCs/>
          <w:kern w:val="2"/>
          <w:sz w:val="21"/>
          <w:szCs w:val="21"/>
          <w:lang w:eastAsia="zh-CN"/>
        </w:rPr>
        <w:t>37.1.1最低价法</w:t>
      </w:r>
    </w:p>
    <w:p w14:paraId="59FB9C56">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最低价法，</w:t>
      </w:r>
      <w:r>
        <w:rPr>
          <w:rFonts w:hint="eastAsia" w:ascii="ˎ̥" w:hAnsi="ˎ̥" w:eastAsia="宋体" w:cstheme="minorBidi"/>
          <w:kern w:val="2"/>
          <w:sz w:val="21"/>
          <w:szCs w:val="22"/>
          <w:lang w:eastAsia="zh-CN"/>
        </w:rPr>
        <w:t>是指投标文件满足招标文件全部实质性要求，且投标报价最低的投标人为中标候选人的评标方法。</w:t>
      </w:r>
    </w:p>
    <w:p w14:paraId="6B47DC9C">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1BC04B33">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14:paraId="457695EC">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综合评分法，是指</w:t>
      </w:r>
      <w:r>
        <w:rPr>
          <w:rFonts w:hint="eastAsia" w:ascii="ˎ̥" w:hAnsi="ˎ̥" w:eastAsia="宋体" w:cstheme="minorBidi"/>
          <w:kern w:val="2"/>
          <w:sz w:val="21"/>
          <w:szCs w:val="22"/>
          <w:lang w:eastAsia="zh-CN"/>
        </w:rPr>
        <w:t>在</w:t>
      </w:r>
      <w:r>
        <w:rPr>
          <w:rFonts w:ascii="ˎ̥" w:hAnsi="ˎ̥" w:eastAsia="宋体" w:cstheme="minorBidi"/>
          <w:kern w:val="2"/>
          <w:sz w:val="21"/>
          <w:szCs w:val="22"/>
          <w:lang w:eastAsia="zh-CN"/>
        </w:rPr>
        <w:t>满足招标文件全部实质性要求</w:t>
      </w:r>
      <w:r>
        <w:rPr>
          <w:rFonts w:hint="eastAsia" w:ascii="ˎ̥" w:hAnsi="ˎ̥" w:eastAsia="宋体" w:cstheme="minorBidi"/>
          <w:kern w:val="2"/>
          <w:sz w:val="21"/>
          <w:szCs w:val="22"/>
          <w:lang w:eastAsia="zh-CN"/>
        </w:rPr>
        <w:t>的前提下</w:t>
      </w:r>
      <w:r>
        <w:rPr>
          <w:rFonts w:ascii="ˎ̥" w:hAnsi="ˎ̥" w:eastAsia="宋体" w:cstheme="minorBidi"/>
          <w:kern w:val="2"/>
          <w:sz w:val="21"/>
          <w:szCs w:val="22"/>
          <w:lang w:eastAsia="zh-CN"/>
        </w:rPr>
        <w:t>，</w:t>
      </w:r>
      <w:r>
        <w:rPr>
          <w:rFonts w:hint="eastAsia" w:ascii="ˎ̥" w:hAnsi="ˎ̥" w:eastAsia="宋体" w:cstheme="minorBidi"/>
          <w:kern w:val="2"/>
          <w:sz w:val="21"/>
          <w:szCs w:val="22"/>
          <w:lang w:eastAsia="zh-CN"/>
        </w:rPr>
        <w:t>按照招标文件中规定的各项因素进行综合评审，评审总得分排名前列的投标人，作为推荐的候选中标供应商。</w:t>
      </w:r>
    </w:p>
    <w:p w14:paraId="4F5F8F14">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7"/>
    </w:p>
    <w:p w14:paraId="37708B3B">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 本项目采用的评审方法见本项目招标文件第一册“专用条款”的相关内容。</w:t>
      </w:r>
    </w:p>
    <w:p w14:paraId="6B3FBCD1">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14:paraId="3B324948">
      <w:pPr>
        <w:widowControl w:val="0"/>
        <w:ind w:firstLine="411" w:firstLineChars="196"/>
        <w:jc w:val="both"/>
        <w:rPr>
          <w:rFonts w:hint="eastAsia"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66739718">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6C2CBA4A">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42C018D9">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20835FA5">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5F9F7B46">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3611D03">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1AC48DB8">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 37.4重新组建评审委员会的情形</w:t>
      </w:r>
    </w:p>
    <w:p w14:paraId="076B1977">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5D027E97">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243CFFBD">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5A3780E4">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51F79DB0">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248E1494">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0B9E8F4B">
      <w:pPr>
        <w:widowControl w:val="0"/>
        <w:ind w:firstLine="411" w:firstLineChars="196"/>
        <w:jc w:val="both"/>
        <w:rPr>
          <w:rFonts w:hint="eastAsia" w:ascii="宋体" w:hAnsi="宋体" w:eastAsia="宋体"/>
          <w:kern w:val="2"/>
          <w:sz w:val="21"/>
          <w:szCs w:val="21"/>
          <w:lang w:eastAsia="zh-CN"/>
        </w:rPr>
      </w:pPr>
    </w:p>
    <w:p w14:paraId="245325D6">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14:paraId="23DAB52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38．定标方法</w:t>
      </w:r>
    </w:p>
    <w:p w14:paraId="4587C470">
      <w:pPr>
        <w:widowControl w:val="0"/>
        <w:ind w:firstLine="411" w:firstLineChars="196"/>
        <w:jc w:val="both"/>
        <w:rPr>
          <w:rFonts w:hint="eastAsia" w:ascii="宋体" w:hAnsi="宋体" w:eastAsia="宋体"/>
          <w:kern w:val="2"/>
          <w:sz w:val="21"/>
          <w:szCs w:val="21"/>
          <w:lang w:eastAsia="zh-CN"/>
        </w:rPr>
      </w:pPr>
      <w:bookmarkStart w:id="78" w:name="_Hlk73782795"/>
      <w:r>
        <w:rPr>
          <w:rFonts w:hint="eastAsia" w:ascii="宋体" w:hAnsi="宋体" w:eastAsia="宋体" w:cstheme="minorBidi"/>
          <w:kern w:val="2"/>
          <w:sz w:val="21"/>
          <w:szCs w:val="21"/>
          <w:lang w:eastAsia="zh-CN"/>
        </w:rPr>
        <w:t>38.1非评定分离项目定标方法</w:t>
      </w:r>
    </w:p>
    <w:p w14:paraId="5284581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1.1评审委员会依据本项目招标文件所约定的评审方法进行评审和比较，向采购代理机构提交书面评审报告，并根据评审方法比较评价结果从优到劣进行排序，确定候选中标供应商。</w:t>
      </w:r>
    </w:p>
    <w:p w14:paraId="43C54CC6">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02241D1">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3E7983C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14:paraId="256E1955">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C8B6AC9">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1"/>
          <w:lang w:eastAsia="zh-CN"/>
        </w:rPr>
        <w:t xml:space="preserve">38.2.2 </w:t>
      </w:r>
      <w:bookmarkStart w:id="79" w:name="_Hlk71469733"/>
      <w:r>
        <w:rPr>
          <w:rFonts w:ascii="Calibri" w:hAnsi="Calibri" w:eastAsia="宋体" w:cstheme="minorBidi"/>
          <w:kern w:val="2"/>
          <w:sz w:val="21"/>
          <w:szCs w:val="22"/>
          <w:lang w:eastAsia="zh-CN"/>
        </w:rPr>
        <w:t>适用评定分离的政府采购项目，采用综合评分法评</w:t>
      </w:r>
      <w:r>
        <w:rPr>
          <w:rFonts w:hint="eastAsia" w:ascii="Calibri" w:hAnsi="Calibri" w:eastAsia="宋体" w:cstheme="minorBidi"/>
          <w:kern w:val="2"/>
          <w:sz w:val="21"/>
          <w:szCs w:val="22"/>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2"/>
          <w:lang w:eastAsia="zh-CN"/>
        </w:rPr>
        <w:t>三个合格的候选中标供应商。</w:t>
      </w:r>
    </w:p>
    <w:p w14:paraId="07BDC8B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80" w:name="_Hlk71469688"/>
      <w:r>
        <w:rPr>
          <w:rFonts w:ascii="Calibri" w:hAnsi="Calibri" w:eastAsia="宋体" w:cstheme="minorBidi"/>
          <w:kern w:val="2"/>
          <w:sz w:val="21"/>
          <w:szCs w:val="22"/>
          <w:lang w:eastAsia="zh-CN"/>
        </w:rPr>
        <w:t>适用评定分离的政府采购项目，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79"/>
      <w:bookmarkEnd w:id="80"/>
    </w:p>
    <w:p w14:paraId="244C83BF">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采购代理机构</w:t>
      </w:r>
      <w:r>
        <w:rPr>
          <w:rFonts w:ascii="Calibri" w:hAnsi="Calibri" w:eastAsia="宋体" w:cstheme="minorBidi"/>
          <w:kern w:val="2"/>
          <w:sz w:val="21"/>
          <w:szCs w:val="22"/>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2"/>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2"/>
          <w:lang w:eastAsia="zh-CN"/>
        </w:rPr>
        <w:t>采购代理机构。具体定标程序及相关要求以按照《</w:t>
      </w:r>
      <w:r>
        <w:rPr>
          <w:rFonts w:ascii="Calibri" w:hAnsi="Calibri" w:eastAsia="宋体" w:cstheme="minorBidi"/>
          <w:kern w:val="2"/>
          <w:sz w:val="21"/>
          <w:szCs w:val="22"/>
          <w:lang w:eastAsia="zh-CN"/>
        </w:rPr>
        <w:t>深圳市财政局关于印发</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深圳市政府采购评标定标分离管理办法</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的通知</w:t>
      </w:r>
      <w:r>
        <w:rPr>
          <w:rFonts w:hint="eastAsia" w:ascii="Calibri" w:hAnsi="Calibri" w:eastAsia="宋体" w:cstheme="minorBidi"/>
          <w:kern w:val="2"/>
          <w:sz w:val="21"/>
          <w:szCs w:val="22"/>
          <w:lang w:eastAsia="zh-CN"/>
        </w:rPr>
        <w:t>》（深财规【2</w:t>
      </w:r>
      <w:r>
        <w:rPr>
          <w:rFonts w:ascii="Calibri" w:hAnsi="Calibri" w:eastAsia="宋体" w:cstheme="minorBidi"/>
          <w:kern w:val="2"/>
          <w:sz w:val="21"/>
          <w:szCs w:val="22"/>
          <w:lang w:eastAsia="zh-CN"/>
        </w:rPr>
        <w:t>020</w:t>
      </w:r>
      <w:r>
        <w:rPr>
          <w:rFonts w:hint="eastAsia" w:ascii="Calibri" w:hAnsi="Calibri" w:eastAsia="宋体" w:cstheme="minorBidi"/>
          <w:kern w:val="2"/>
          <w:sz w:val="21"/>
          <w:szCs w:val="22"/>
          <w:lang w:eastAsia="zh-CN"/>
        </w:rPr>
        <w:t>】1号）执行。</w:t>
      </w:r>
    </w:p>
    <w:p w14:paraId="4A6C6CB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14:paraId="556DA791">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78"/>
    </w:p>
    <w:p w14:paraId="2E99CC6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39．编写评审报告</w:t>
      </w:r>
    </w:p>
    <w:p w14:paraId="1CC78C9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B746A28">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40．中标公告</w:t>
      </w:r>
    </w:p>
    <w:p w14:paraId="3559D9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81" w:name="_Hlk72438709"/>
      <w:r>
        <w:rPr>
          <w:rFonts w:hint="eastAsia" w:ascii="宋体" w:hAnsi="宋体" w:eastAsia="宋体" w:cstheme="minorBidi"/>
          <w:kern w:val="2"/>
          <w:sz w:val="21"/>
          <w:szCs w:val="21"/>
          <w:lang w:eastAsia="zh-CN"/>
        </w:rPr>
        <w:t>为体现“公开、公平、公正”的原则，评审结束后经采购人确认（确定）评审结果，采购代理机构将在</w:t>
      </w:r>
      <w:r>
        <w:rPr>
          <w:rFonts w:hint="eastAsia" w:ascii="宋体" w:hAnsi="宋体" w:eastAsia="宋体" w:cstheme="minorBidi"/>
          <w:b/>
          <w:bCs/>
          <w:kern w:val="2"/>
          <w:sz w:val="21"/>
          <w:szCs w:val="22"/>
          <w:lang w:eastAsia="zh-CN"/>
        </w:rPr>
        <w:t>深圳政府采购自行采购系统</w:t>
      </w:r>
      <w:r>
        <w:rPr>
          <w:rFonts w:hint="eastAsia" w:ascii="宋体" w:hAnsi="宋体" w:eastAsia="宋体" w:cstheme="minorBidi"/>
          <w:b/>
          <w:bCs/>
          <w:kern w:val="2"/>
          <w:sz w:val="21"/>
          <w:szCs w:val="21"/>
          <w:lang w:eastAsia="zh-CN"/>
        </w:rPr>
        <w:t>（https://zxcg.szggzy.com/home/index.html）</w:t>
      </w:r>
      <w:r>
        <w:rPr>
          <w:rFonts w:hint="eastAsia" w:ascii="宋体" w:hAnsi="宋体" w:eastAsia="宋体" w:cstheme="minorBidi"/>
          <w:kern w:val="2"/>
          <w:sz w:val="21"/>
          <w:szCs w:val="21"/>
          <w:lang w:eastAsia="zh-CN"/>
        </w:rPr>
        <w:t>上发布中标结果公告。</w:t>
      </w:r>
      <w:bookmarkEnd w:id="81"/>
      <w:bookmarkStart w:id="82" w:name="_Hlk72438751"/>
      <w:r>
        <w:rPr>
          <w:rFonts w:hint="eastAsia" w:ascii="宋体" w:hAnsi="宋体" w:eastAsia="宋体" w:cstheme="minorBidi"/>
          <w:kern w:val="2"/>
          <w:sz w:val="21"/>
          <w:szCs w:val="21"/>
          <w:lang w:eastAsia="zh-CN"/>
        </w:rPr>
        <w:t>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采购代理机构</w:t>
      </w:r>
      <w:r>
        <w:rPr>
          <w:rFonts w:ascii="宋体" w:hAnsi="宋体" w:eastAsia="宋体" w:cstheme="minorBidi"/>
          <w:kern w:val="2"/>
          <w:sz w:val="21"/>
          <w:szCs w:val="21"/>
          <w:lang w:eastAsia="zh-CN"/>
        </w:rPr>
        <w:t>提出。 监督电话：0755-83948143。</w:t>
      </w:r>
      <w:r>
        <w:rPr>
          <w:rFonts w:hint="eastAsia" w:ascii="宋体" w:hAnsi="宋体" w:eastAsia="宋体" w:cstheme="minorBidi"/>
          <w:kern w:val="2"/>
          <w:sz w:val="21"/>
          <w:szCs w:val="21"/>
          <w:lang w:eastAsia="zh-CN"/>
        </w:rPr>
        <w:t>若在公示期内未提出质疑，则视为认同该评审结果。</w:t>
      </w:r>
    </w:p>
    <w:bookmarkEnd w:id="82"/>
    <w:p w14:paraId="4644E88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14:paraId="779909D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41．中标通知书</w:t>
      </w:r>
    </w:p>
    <w:p w14:paraId="6D46EE2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83" w:name="_Hlk72438863"/>
      <w:r>
        <w:rPr>
          <w:rFonts w:hint="eastAsia" w:ascii="宋体" w:hAnsi="宋体" w:eastAsia="宋体" w:cstheme="minorBidi"/>
          <w:kern w:val="2"/>
          <w:sz w:val="21"/>
          <w:szCs w:val="21"/>
          <w:lang w:eastAsia="zh-CN"/>
        </w:rPr>
        <w:t>中标公告公布以后无异常的情况下，中标供应商和采购人可自行登录</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83"/>
    </w:p>
    <w:p w14:paraId="5CC9879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14:paraId="0598EB7F">
      <w:pPr>
        <w:widowControl w:val="0"/>
        <w:ind w:firstLine="411" w:firstLineChars="196"/>
        <w:jc w:val="both"/>
        <w:rPr>
          <w:rFonts w:hint="eastAsia" w:ascii="宋体" w:hAnsi="宋体" w:eastAsia="宋体"/>
          <w:kern w:val="2"/>
          <w:sz w:val="21"/>
          <w:szCs w:val="21"/>
          <w:lang w:eastAsia="zh-CN"/>
        </w:rPr>
      </w:pPr>
      <w:bookmarkStart w:id="84" w:name="_Hlk71407340"/>
      <w:r>
        <w:rPr>
          <w:rFonts w:hint="eastAsia" w:ascii="宋体" w:hAnsi="宋体" w:eastAsia="宋体" w:cstheme="minorBidi"/>
          <w:kern w:val="2"/>
          <w:sz w:val="21"/>
          <w:szCs w:val="21"/>
          <w:lang w:eastAsia="zh-CN"/>
        </w:rPr>
        <w:t>41.3因质疑投诉或其它原因导致项目结果变更或采购终止的，采购代理机构有权吊销中标通知书。</w:t>
      </w:r>
    </w:p>
    <w:bookmarkEnd w:id="84"/>
    <w:p w14:paraId="70A117B2">
      <w:pPr>
        <w:widowControl w:val="0"/>
        <w:ind w:firstLine="411" w:firstLineChars="196"/>
        <w:jc w:val="both"/>
        <w:rPr>
          <w:rFonts w:hint="eastAsia" w:ascii="宋体" w:hAnsi="宋体" w:eastAsia="宋体"/>
          <w:kern w:val="2"/>
          <w:sz w:val="21"/>
          <w:szCs w:val="21"/>
          <w:lang w:eastAsia="zh-CN"/>
        </w:rPr>
      </w:pPr>
    </w:p>
    <w:p w14:paraId="60041451">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14:paraId="7B75AE7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42．公开招标失败的处理</w:t>
      </w:r>
    </w:p>
    <w:p w14:paraId="464F932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采购代理机构</w:t>
      </w:r>
      <w:r>
        <w:rPr>
          <w:rFonts w:hint="eastAsia" w:ascii="宋体" w:hAnsi="宋体" w:eastAsia="宋体" w:cstheme="minorBidi"/>
          <w:kern w:val="2"/>
          <w:sz w:val="21"/>
          <w:szCs w:val="22"/>
          <w:lang w:eastAsia="zh-CN"/>
        </w:rPr>
        <w:t>重新组织采购。</w:t>
      </w:r>
    </w:p>
    <w:p w14:paraId="145F037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6117FAC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14:paraId="28D610D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（1）由采购代理机构重新组织公开招标；</w:t>
      </w:r>
    </w:p>
    <w:p w14:paraId="6C6CD64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（2）根据实际情况需要向同级财政部门提出非公开招标方式申请，经同级财政部门批准，公开招标失败采购项目可转为竞争性谈判或单一来源谈判方式采购。</w:t>
      </w:r>
    </w:p>
    <w:p w14:paraId="3D4CEC8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42.4公开招标失败的采购项目重新组织公开招标，由采购代理机构重新按公开招标流程组织采购活动。</w:t>
      </w:r>
    </w:p>
    <w:p w14:paraId="5992C318">
      <w:pPr>
        <w:widowControl w:val="0"/>
        <w:jc w:val="both"/>
        <w:rPr>
          <w:rFonts w:hint="eastAsia" w:ascii="宋体" w:hAnsi="宋体" w:eastAsia="宋体"/>
          <w:kern w:val="2"/>
          <w:sz w:val="21"/>
          <w:szCs w:val="22"/>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2"/>
          <w:lang w:eastAsia="zh-CN"/>
        </w:rPr>
        <w:t>42.5公开招标失败的采购项目经同级财政部门批准转为竞争性谈判或单一来源谈判方式采购的，按规定要求组织政府采购工作。</w:t>
      </w:r>
    </w:p>
    <w:p w14:paraId="6BC00D8D">
      <w:pPr>
        <w:widowControl w:val="0"/>
        <w:jc w:val="both"/>
        <w:rPr>
          <w:rFonts w:hint="eastAsia" w:ascii="黑体" w:hAnsi="宋体" w:eastAsia="黑体"/>
          <w:kern w:val="2"/>
          <w:szCs w:val="22"/>
          <w:lang w:eastAsia="zh-CN"/>
        </w:rPr>
      </w:pPr>
    </w:p>
    <w:p w14:paraId="54EE116D">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bookmarkStart w:id="85" w:name="_Hlk72439043"/>
      <w:r>
        <w:rPr>
          <w:rFonts w:hint="eastAsia" w:ascii="Cambria" w:hAnsi="Cambria" w:eastAsia="宋体" w:cstheme="majorBidi"/>
          <w:b/>
          <w:bCs/>
          <w:kern w:val="2"/>
          <w:sz w:val="28"/>
          <w:szCs w:val="28"/>
          <w:lang w:eastAsia="zh-CN"/>
        </w:rPr>
        <w:t>合同的授予与备案</w:t>
      </w:r>
      <w:bookmarkEnd w:id="85"/>
    </w:p>
    <w:p w14:paraId="310BCD3D">
      <w:pPr>
        <w:widowControl w:val="0"/>
        <w:jc w:val="both"/>
        <w:rPr>
          <w:rFonts w:hint="eastAsia" w:ascii="黑体" w:hAnsi="宋体" w:eastAsia="黑体"/>
          <w:kern w:val="2"/>
          <w:szCs w:val="22"/>
          <w:lang w:eastAsia="zh-CN"/>
        </w:rPr>
      </w:pPr>
      <w:bookmarkStart w:id="86" w:name="_Toc73518157"/>
      <w:bookmarkStart w:id="87" w:name="_Toc100052408"/>
      <w:bookmarkStart w:id="88" w:name="_Toc73521586"/>
      <w:bookmarkStart w:id="89" w:name="_Toc73517679"/>
      <w:bookmarkStart w:id="90" w:name="_Toc73521674"/>
      <w:bookmarkStart w:id="91" w:name="_Hlk72439088"/>
      <w:r>
        <w:rPr>
          <w:rFonts w:hint="eastAsia" w:ascii="黑体" w:hAnsi="宋体" w:eastAsia="黑体" w:cstheme="minorBidi"/>
          <w:kern w:val="2"/>
          <w:szCs w:val="22"/>
          <w:lang w:eastAsia="zh-CN"/>
        </w:rPr>
        <w:t>43．合同授予标准</w:t>
      </w:r>
      <w:bookmarkEnd w:id="86"/>
      <w:bookmarkEnd w:id="87"/>
      <w:bookmarkEnd w:id="88"/>
      <w:bookmarkEnd w:id="89"/>
      <w:bookmarkEnd w:id="90"/>
    </w:p>
    <w:p w14:paraId="70F9C42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14:paraId="45C58DBB">
      <w:pPr>
        <w:widowControl w:val="0"/>
        <w:jc w:val="both"/>
        <w:rPr>
          <w:rFonts w:hint="eastAsia" w:ascii="黑体" w:hAnsi="宋体" w:eastAsia="黑体"/>
          <w:kern w:val="2"/>
          <w:szCs w:val="22"/>
          <w:lang w:eastAsia="zh-CN"/>
        </w:rPr>
      </w:pPr>
      <w:bookmarkStart w:id="92" w:name="_Toc73518158"/>
      <w:bookmarkStart w:id="93" w:name="_Toc73517680"/>
      <w:bookmarkStart w:id="94" w:name="_Toc100052409"/>
      <w:bookmarkStart w:id="95" w:name="_Toc73521675"/>
      <w:bookmarkStart w:id="96" w:name="_Toc73521587"/>
      <w:r>
        <w:rPr>
          <w:rFonts w:hint="eastAsia" w:ascii="黑体" w:hAnsi="宋体" w:eastAsia="黑体" w:cstheme="minorBidi"/>
          <w:kern w:val="2"/>
          <w:szCs w:val="22"/>
          <w:lang w:eastAsia="zh-CN"/>
        </w:rPr>
        <w:t>44．</w:t>
      </w:r>
      <w:bookmarkEnd w:id="92"/>
      <w:bookmarkEnd w:id="93"/>
      <w:bookmarkEnd w:id="94"/>
      <w:bookmarkEnd w:id="95"/>
      <w:bookmarkEnd w:id="96"/>
      <w:r>
        <w:rPr>
          <w:rFonts w:hint="eastAsia" w:ascii="黑体" w:hAnsi="宋体" w:eastAsia="黑体" w:cstheme="minorBidi"/>
          <w:kern w:val="2"/>
          <w:szCs w:val="22"/>
          <w:lang w:eastAsia="zh-CN"/>
        </w:rPr>
        <w:t>接受和拒绝任何或所有投标的权力</w:t>
      </w:r>
    </w:p>
    <w:p w14:paraId="1359EF5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5FC1D2F7">
      <w:pPr>
        <w:widowControl w:val="0"/>
        <w:jc w:val="both"/>
        <w:rPr>
          <w:rFonts w:hint="eastAsia" w:ascii="黑体" w:hAnsi="宋体" w:eastAsia="黑体"/>
          <w:kern w:val="2"/>
          <w:szCs w:val="22"/>
          <w:lang w:eastAsia="zh-CN"/>
        </w:rPr>
      </w:pPr>
      <w:bookmarkStart w:id="97" w:name="_Toc73517682"/>
      <w:bookmarkStart w:id="98" w:name="_Toc73518160"/>
      <w:bookmarkStart w:id="99" w:name="_Toc73521677"/>
      <w:bookmarkStart w:id="100" w:name="_Toc100052410"/>
      <w:bookmarkStart w:id="101" w:name="_Toc73521589"/>
      <w:r>
        <w:rPr>
          <w:rFonts w:hint="eastAsia" w:ascii="黑体" w:hAnsi="宋体" w:eastAsia="黑体" w:cstheme="minorBidi"/>
          <w:kern w:val="2"/>
          <w:szCs w:val="22"/>
          <w:lang w:eastAsia="zh-CN"/>
        </w:rPr>
        <w:t>45．合同的签订</w:t>
      </w:r>
      <w:bookmarkEnd w:id="97"/>
      <w:bookmarkEnd w:id="98"/>
      <w:bookmarkEnd w:id="99"/>
      <w:bookmarkEnd w:id="100"/>
      <w:bookmarkEnd w:id="101"/>
    </w:p>
    <w:p w14:paraId="2554A4D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14:paraId="45BAD7CA">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45.2中标人如不按本通用条款第45</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款的规定与采购人签订合同，</w:t>
      </w:r>
      <w:r>
        <w:rPr>
          <w:rFonts w:ascii="宋体" w:hAnsi="宋体" w:eastAsia="宋体" w:cs="宋体"/>
          <w:sz w:val="21"/>
          <w:szCs w:val="21"/>
          <w:lang w:eastAsia="zh-CN"/>
        </w:rPr>
        <w:t>情节严重的，由</w:t>
      </w:r>
      <w:r>
        <w:rPr>
          <w:rFonts w:hint="eastAsia" w:ascii="宋体" w:hAnsi="宋体" w:eastAsia="宋体" w:cs="宋体"/>
          <w:sz w:val="21"/>
          <w:szCs w:val="21"/>
          <w:lang w:eastAsia="zh-CN"/>
        </w:rPr>
        <w:t>同级财政</w:t>
      </w:r>
      <w:r>
        <w:rPr>
          <w:rFonts w:ascii="宋体" w:hAnsi="宋体" w:eastAsia="宋体" w:cs="宋体"/>
          <w:sz w:val="21"/>
          <w:szCs w:val="21"/>
          <w:lang w:eastAsia="zh-CN"/>
        </w:rPr>
        <w:t>部门记入供应商诚信档案，予以通报</w:t>
      </w:r>
      <w:r>
        <w:rPr>
          <w:rFonts w:hint="eastAsia" w:ascii="宋体" w:hAnsi="宋体" w:eastAsia="宋体" w:cstheme="minorBidi"/>
          <w:kern w:val="2"/>
          <w:sz w:val="21"/>
          <w:szCs w:val="21"/>
          <w:lang w:eastAsia="zh-CN"/>
        </w:rPr>
        <w:t>；</w:t>
      </w:r>
    </w:p>
    <w:p w14:paraId="4F0FE4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45.3中标人应当按照合同约定履行义务，完成中标项目，不得将中标项目转让（转包）给他人。</w:t>
      </w:r>
    </w:p>
    <w:p w14:paraId="4CB27E71">
      <w:pPr>
        <w:widowControl w:val="0"/>
        <w:jc w:val="both"/>
        <w:rPr>
          <w:rFonts w:hint="eastAsia" w:ascii="黑体" w:hAnsi="宋体" w:eastAsia="黑体"/>
          <w:kern w:val="2"/>
          <w:szCs w:val="22"/>
          <w:lang w:eastAsia="zh-CN"/>
        </w:rPr>
      </w:pPr>
      <w:bookmarkStart w:id="102" w:name="_Toc100052411"/>
      <w:bookmarkStart w:id="103" w:name="_Toc73521678"/>
      <w:bookmarkStart w:id="104" w:name="_Toc73518161"/>
      <w:bookmarkStart w:id="105" w:name="_Toc73521590"/>
      <w:bookmarkStart w:id="106" w:name="_Toc73517683"/>
      <w:r>
        <w:rPr>
          <w:rFonts w:hint="eastAsia" w:ascii="黑体" w:hAnsi="宋体" w:eastAsia="黑体" w:cstheme="minorBidi"/>
          <w:kern w:val="2"/>
          <w:szCs w:val="22"/>
          <w:lang w:eastAsia="zh-CN"/>
        </w:rPr>
        <w:t>46．履约担保</w:t>
      </w:r>
      <w:bookmarkEnd w:id="102"/>
      <w:bookmarkEnd w:id="103"/>
      <w:bookmarkEnd w:id="104"/>
      <w:bookmarkEnd w:id="105"/>
      <w:bookmarkEnd w:id="106"/>
    </w:p>
    <w:p w14:paraId="0B27E1E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14:paraId="12E80CD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2"/>
          <w:lang w:eastAsia="zh-CN"/>
        </w:rPr>
        <w:t>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提交履约</w:t>
      </w:r>
      <w:r>
        <w:rPr>
          <w:rFonts w:hint="eastAsia" w:ascii="Calibri" w:hAnsi="Calibri" w:eastAsia="宋体" w:cstheme="minorBidi"/>
          <w:kern w:val="2"/>
          <w:sz w:val="21"/>
          <w:szCs w:val="22"/>
          <w:lang w:eastAsia="zh-CN"/>
        </w:rPr>
        <w:t>担保不是</w:t>
      </w:r>
      <w:r>
        <w:rPr>
          <w:rFonts w:ascii="Calibri" w:hAnsi="Calibri" w:eastAsia="宋体" w:cstheme="minorBidi"/>
          <w:kern w:val="2"/>
          <w:sz w:val="21"/>
          <w:szCs w:val="22"/>
          <w:lang w:eastAsia="zh-CN"/>
        </w:rPr>
        <w:t>合同签订的</w:t>
      </w:r>
      <w:r>
        <w:rPr>
          <w:rFonts w:hint="eastAsia" w:ascii="Calibri" w:hAnsi="Calibri" w:eastAsia="宋体" w:cstheme="minorBidi"/>
          <w:kern w:val="2"/>
          <w:sz w:val="21"/>
          <w:szCs w:val="22"/>
          <w:lang w:eastAsia="zh-CN"/>
        </w:rPr>
        <w:t>前提</w:t>
      </w:r>
      <w:r>
        <w:rPr>
          <w:rFonts w:ascii="Calibri" w:hAnsi="Calibri" w:eastAsia="宋体" w:cstheme="minorBidi"/>
          <w:kern w:val="2"/>
          <w:sz w:val="21"/>
          <w:szCs w:val="22"/>
          <w:lang w:eastAsia="zh-CN"/>
        </w:rPr>
        <w:t>条件，不要求中标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提供除法律、法规明确规定外的其他担保</w:t>
      </w:r>
      <w:r>
        <w:rPr>
          <w:rFonts w:hint="eastAsia" w:ascii="Calibri" w:hAnsi="Calibri" w:eastAsia="宋体" w:cstheme="minorBidi"/>
          <w:kern w:val="2"/>
          <w:sz w:val="21"/>
          <w:szCs w:val="22"/>
          <w:lang w:eastAsia="zh-CN"/>
        </w:rPr>
        <w:t>。</w:t>
      </w:r>
    </w:p>
    <w:p w14:paraId="7B121BA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47. 合同备案</w:t>
      </w:r>
    </w:p>
    <w:p w14:paraId="4090700F">
      <w:pPr>
        <w:widowControl w:val="0"/>
        <w:jc w:val="both"/>
        <w:rPr>
          <w:rFonts w:hint="eastAsia" w:ascii="黑体" w:hAnsi="宋体" w:eastAsia="黑体"/>
          <w:kern w:val="2"/>
          <w:szCs w:val="22"/>
          <w:lang w:eastAsia="zh-CN"/>
        </w:rPr>
      </w:pPr>
      <w:r>
        <w:rPr>
          <w:rFonts w:hint="eastAsia" w:ascii="宋体" w:hAnsi="宋体" w:eastAsia="宋体"/>
          <w:kern w:val="2"/>
          <w:sz w:val="21"/>
          <w:szCs w:val="21"/>
          <w:lang w:eastAsia="zh-Hans"/>
        </w:rPr>
        <w:t>采购人与中标供应商自中标通知书发出之日起10个工作日内签订政府采购合同，</w:t>
      </w:r>
      <w:r>
        <w:rPr>
          <w:rFonts w:hint="eastAsia" w:ascii="宋体" w:hAnsi="宋体" w:eastAsia="宋体"/>
          <w:kern w:val="2"/>
          <w:sz w:val="21"/>
          <w:szCs w:val="21"/>
          <w:lang w:eastAsia="zh-CN"/>
        </w:rPr>
        <w:t>并按财政部门规定提交备案。</w:t>
      </w:r>
      <w:r>
        <w:rPr>
          <w:rFonts w:hint="eastAsia" w:ascii="黑体" w:hAnsi="宋体" w:eastAsia="黑体" w:cstheme="minorBidi"/>
          <w:kern w:val="2"/>
          <w:szCs w:val="22"/>
          <w:lang w:eastAsia="zh-CN"/>
        </w:rPr>
        <w:t>48. 合同变更</w:t>
      </w:r>
    </w:p>
    <w:p w14:paraId="5AD2C7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合同变更事宜按《深圳市财政局关于优化政府采购合同备案的通知》（深财发保〔2022〕2号）相关规定执行。</w:t>
      </w:r>
    </w:p>
    <w:p w14:paraId="4740DA14">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49. 项目验收</w:t>
      </w:r>
    </w:p>
    <w:p w14:paraId="26EB5D68">
      <w:pPr>
        <w:widowControl/>
        <w:ind w:right="176" w:firstLine="42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49.1采购人应当按照招标文件和合同规定的标准和方法，及时组织验收。</w:t>
      </w:r>
      <w:r>
        <w:rPr>
          <w:rFonts w:ascii="宋体" w:hAnsi="宋体" w:eastAsia="宋体" w:cstheme="minorBidi"/>
          <w:kern w:val="2"/>
          <w:sz w:val="21"/>
          <w:szCs w:val="22"/>
          <w:lang w:eastAsia="zh-CN"/>
        </w:rPr>
        <w:t xml:space="preserve"> </w:t>
      </w:r>
    </w:p>
    <w:p w14:paraId="1B3BF28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50. 宣传</w:t>
      </w:r>
    </w:p>
    <w:p w14:paraId="54338D33">
      <w:pPr>
        <w:widowControl w:val="0"/>
        <w:ind w:left="240" w:leftChars="1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凡与政府采购活动有关的宣传或广告，若当中提及政府采购，</w:t>
      </w:r>
      <w:r>
        <w:rPr>
          <w:rFonts w:ascii="宋体" w:hAnsi="宋体" w:eastAsia="宋体" w:cstheme="minorBidi"/>
          <w:kern w:val="2"/>
          <w:sz w:val="21"/>
          <w:szCs w:val="22"/>
          <w:lang w:eastAsia="zh-CN"/>
        </w:rPr>
        <w:t>必须事先将具体对外宣传方案报</w:t>
      </w:r>
      <w:r>
        <w:rPr>
          <w:rFonts w:hint="eastAsia" w:ascii="宋体" w:hAnsi="宋体" w:eastAsia="宋体" w:cstheme="minorBidi"/>
          <w:kern w:val="2"/>
          <w:sz w:val="21"/>
          <w:szCs w:val="22"/>
          <w:lang w:eastAsia="zh-CN"/>
        </w:rPr>
        <w:t>同级财政部门</w:t>
      </w:r>
      <w:r>
        <w:rPr>
          <w:rFonts w:ascii="宋体" w:hAnsi="宋体" w:eastAsia="宋体" w:cstheme="minorBidi"/>
          <w:kern w:val="2"/>
          <w:sz w:val="21"/>
          <w:szCs w:val="22"/>
          <w:lang w:eastAsia="zh-CN"/>
        </w:rPr>
        <w:t>和</w:t>
      </w:r>
      <w:r>
        <w:rPr>
          <w:rFonts w:hint="eastAsia" w:ascii="宋体" w:hAnsi="宋体" w:eastAsia="宋体" w:cstheme="minorBidi"/>
          <w:kern w:val="2"/>
          <w:sz w:val="21"/>
          <w:szCs w:val="22"/>
          <w:lang w:eastAsia="zh-CN"/>
        </w:rPr>
        <w:t>采购代理机构</w:t>
      </w:r>
      <w:r>
        <w:rPr>
          <w:rFonts w:ascii="宋体" w:hAnsi="宋体" w:eastAsia="宋体" w:cstheme="minorBidi"/>
          <w:kern w:val="2"/>
          <w:sz w:val="21"/>
          <w:szCs w:val="22"/>
          <w:lang w:eastAsia="zh-CN"/>
        </w:rPr>
        <w:t>，并征得其同意。对外市场宣传包括但不限于以下形式：</w:t>
      </w:r>
    </w:p>
    <w:p w14:paraId="12674889">
      <w:pPr>
        <w:widowControl w:val="0"/>
        <w:ind w:left="240" w:leftChars="100"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a.名片、宣传册、广告标语等；</w:t>
      </w:r>
    </w:p>
    <w:p w14:paraId="2CF7584E">
      <w:pPr>
        <w:widowControl w:val="0"/>
        <w:ind w:left="240" w:leftChars="100"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b.案例介绍、推广等；</w:t>
      </w:r>
    </w:p>
    <w:p w14:paraId="59CC3150">
      <w:pPr>
        <w:widowControl w:val="0"/>
        <w:ind w:left="240" w:leftChars="1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c.工作</w:t>
      </w:r>
      <w:r>
        <w:rPr>
          <w:rFonts w:ascii="宋体" w:hAnsi="宋体" w:eastAsia="宋体" w:cstheme="minorBidi"/>
          <w:kern w:val="2"/>
          <w:sz w:val="21"/>
          <w:szCs w:val="22"/>
          <w:lang w:eastAsia="zh-CN"/>
        </w:rPr>
        <w:t>人员向其他消费群体宣传。</w:t>
      </w:r>
    </w:p>
    <w:p w14:paraId="452A78D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51. 供应商违法责任</w:t>
      </w:r>
    </w:p>
    <w:p w14:paraId="37B4CC7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25B22B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14:paraId="4A77511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14:paraId="290A053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14:paraId="4E08A32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14:paraId="1FDBD4E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14:paraId="42ACB14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14:paraId="5181C0F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14:paraId="4C1893E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14:paraId="1172C05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14:paraId="2B60380A">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 xml:space="preserve">1.2 </w:t>
      </w:r>
      <w:r>
        <w:rPr>
          <w:rFonts w:hint="eastAsia" w:ascii="宋体" w:hAnsi="宋体" w:eastAsia="宋体" w:cstheme="minorBidi"/>
          <w:kern w:val="2"/>
          <w:sz w:val="21"/>
          <w:szCs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07" w:name="_Hlk72440769"/>
      <w:r>
        <w:rPr>
          <w:rFonts w:hint="eastAsia" w:ascii="宋体" w:hAnsi="宋体" w:eastAsia="宋体" w:cstheme="minorBidi"/>
          <w:kern w:val="2"/>
          <w:sz w:val="21"/>
          <w:szCs w:val="21"/>
          <w:lang w:eastAsia="zh-CN"/>
        </w:rPr>
        <w:t>采购代理机构或采购人不予退还其交纳的谈判保证金，情节严重的，并由主管部门</w:t>
      </w:r>
      <w:bookmarkEnd w:id="107"/>
      <w:r>
        <w:rPr>
          <w:rFonts w:hint="eastAsia" w:ascii="宋体" w:hAnsi="宋体" w:eastAsia="宋体" w:cstheme="minorBidi"/>
          <w:kern w:val="2"/>
          <w:sz w:val="21"/>
          <w:szCs w:val="21"/>
          <w:lang w:eastAsia="zh-CN"/>
        </w:rPr>
        <w:t>记入供应商诚信档案，予以通报：</w:t>
      </w:r>
    </w:p>
    <w:p w14:paraId="1A0AB9E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14:paraId="40812923">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14:paraId="7C173B81">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）将中标项目转让给他人或者在投标文件中未说明且未经采购人、采购招标机构同意，将中标项目分包给他人的；</w:t>
      </w:r>
    </w:p>
    <w:p w14:paraId="66742B3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bookmarkEnd w:id="91"/>
    <w:p w14:paraId="2BF8FE0C">
      <w:pPr>
        <w:keepNext/>
        <w:keepLines/>
        <w:widowControl w:val="0"/>
        <w:numPr>
          <w:ilvl w:val="0"/>
          <w:numId w:val="9"/>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14:paraId="3FF55C9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52.质疑提出与答复</w:t>
      </w:r>
    </w:p>
    <w:p w14:paraId="28FDA6E6">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52.1提出质疑</w:t>
      </w:r>
    </w:p>
    <w:p w14:paraId="4AF22A95">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14:paraId="0ABCC6F1">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52.2</w:t>
      </w:r>
      <w:r>
        <w:rPr>
          <w:rFonts w:ascii="宋体" w:hAnsi="宋体" w:eastAsia="宋体" w:cstheme="minorBidi"/>
          <w:kern w:val="2"/>
          <w:sz w:val="21"/>
          <w:szCs w:val="21"/>
          <w:lang w:eastAsia="zh-CN"/>
        </w:rPr>
        <w:t>法律依据</w:t>
      </w:r>
    </w:p>
    <w:p w14:paraId="10AB4E2B">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14:paraId="7501F8F8">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52.3质疑条件</w:t>
      </w:r>
    </w:p>
    <w:p w14:paraId="6DA904B8">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52.3.1提出质疑的供应商应当是参与所质疑项目采购活动的供应商；</w:t>
      </w:r>
      <w:bookmarkStart w:id="108" w:name="_Hlk75374941"/>
      <w:r>
        <w:rPr>
          <w:rFonts w:hint="eastAsia" w:ascii="宋体" w:hAnsi="宋体" w:eastAsia="宋体" w:cstheme="minorBidi"/>
          <w:kern w:val="2"/>
          <w:sz w:val="21"/>
          <w:szCs w:val="21"/>
          <w:lang w:eastAsia="zh-CN"/>
        </w:rPr>
        <w:t>以联合体形式参与的，质疑应当由组成联合体的所有成员共同提出</w:t>
      </w:r>
      <w:bookmarkEnd w:id="108"/>
      <w:r>
        <w:rPr>
          <w:rFonts w:hint="eastAsia" w:ascii="宋体" w:hAnsi="宋体" w:eastAsia="宋体" w:cstheme="minorBidi"/>
          <w:kern w:val="2"/>
          <w:sz w:val="21"/>
          <w:szCs w:val="21"/>
          <w:lang w:eastAsia="zh-CN"/>
        </w:rPr>
        <w:t>；</w:t>
      </w:r>
    </w:p>
    <w:p w14:paraId="2D6DB6E4">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0216E00">
      <w:pPr>
        <w:widowControl w:val="0"/>
        <w:ind w:firstLine="42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r>
        <w:rPr>
          <w:rFonts w:ascii="宋体" w:hAnsi="宋体" w:eastAsia="宋体" w:cstheme="minorBidi"/>
          <w:kern w:val="2"/>
          <w:sz w:val="21"/>
          <w:szCs w:val="21"/>
          <w:lang w:eastAsia="zh-CN"/>
        </w:rPr>
        <w:t xml:space="preserve"> </w:t>
      </w:r>
    </w:p>
    <w:p w14:paraId="4BBFAFF0">
      <w:pPr>
        <w:widowControl w:val="0"/>
        <w:ind w:firstLine="42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14:paraId="2F79AF8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14:paraId="61036ED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14:paraId="7108440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14:paraId="1057241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14:paraId="21FB3DC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14:paraId="73789E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14:paraId="41ECFF6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14:paraId="201BE3C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14:paraId="7260541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26DC75D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0A8E56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14:paraId="5F573FBB">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地址：深圳市拓泰实业有限公司（地址：深圳市龙华区民治街道民强社区梅龙路和民旺路相交处民治商贸广场B2102）。</w:t>
      </w:r>
    </w:p>
    <w:p w14:paraId="4FA6D9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14:paraId="07C52DF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33EE12BE">
      <w:pPr>
        <w:widowControl w:val="0"/>
        <w:ind w:firstLine="420" w:firstLineChars="200"/>
        <w:jc w:val="both"/>
        <w:rPr>
          <w:rFonts w:hint="eastAsia" w:ascii="仿宋" w:hAnsi="仿宋" w:eastAsia="仿宋"/>
          <w:kern w:val="2"/>
          <w:sz w:val="28"/>
          <w:szCs w:val="28"/>
          <w:lang w:eastAsia="zh-CN"/>
        </w:rPr>
      </w:pPr>
      <w:r>
        <w:rPr>
          <w:rFonts w:hint="eastAsia" w:ascii="宋体" w:hAnsi="宋体" w:eastAsia="宋体" w:cstheme="minorBidi"/>
          <w:kern w:val="2"/>
          <w:sz w:val="21"/>
          <w:szCs w:val="21"/>
          <w:lang w:eastAsia="zh-CN"/>
        </w:rPr>
        <w:t>52.6.2供应商提交的质疑材料不符合质疑条件的，视情况处理：</w:t>
      </w:r>
    </w:p>
    <w:p w14:paraId="7581301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供应商提交的质疑材料不全或者未按要求签字或者盖章的，采购代理机构应当一次性告知供应商需补正的内容和补正期限。</w:t>
      </w:r>
    </w:p>
    <w:p w14:paraId="5D672F6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14:paraId="7CDA038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14:paraId="39592EF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14:paraId="33A5C68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14:paraId="1D90248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14:paraId="5227B66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14:paraId="4397023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质疑事项不予受理的，采购代理机构应当向供应商出具不符合质疑条件告知书。</w:t>
      </w:r>
    </w:p>
    <w:p w14:paraId="73ED1424">
      <w:pPr>
        <w:widowControl w:val="0"/>
        <w:jc w:val="both"/>
        <w:rPr>
          <w:rFonts w:hint="eastAsia" w:ascii="宋体" w:hAnsi="宋体" w:eastAsia="宋体"/>
          <w:kern w:val="2"/>
          <w:sz w:val="21"/>
          <w:szCs w:val="21"/>
          <w:lang w:eastAsia="zh-CN"/>
        </w:rPr>
      </w:pP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 xml:space="preserve">  52.7质疑答复时限</w:t>
      </w:r>
    </w:p>
    <w:p w14:paraId="66CE2A5B">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自收文之日起七个工作日内。</w:t>
      </w:r>
    </w:p>
    <w:p w14:paraId="2FEA91EA">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52.8投诉</w:t>
      </w:r>
    </w:p>
    <w:p w14:paraId="77E27164">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对质疑答复不满意或者未在规定时间内答复的，提出质疑的供应商可以在答复期满后15个工作日内向本项目预算主管单位投诉。</w:t>
      </w:r>
    </w:p>
    <w:p w14:paraId="207FECB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53. 质疑后续处理</w:t>
      </w:r>
    </w:p>
    <w:p w14:paraId="517A54F3">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53.1供应商质疑不成立，或者成立但未对中标、成交结果构成影响的，继续开展采购活动。</w:t>
      </w:r>
    </w:p>
    <w:p w14:paraId="1A55416F">
      <w:pPr>
        <w:widowControl w:val="0"/>
        <w:ind w:firstLine="42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365B221">
      <w:pPr>
        <w:widowControl w:val="0"/>
        <w:ind w:firstLine="420"/>
        <w:jc w:val="center"/>
        <w:rPr>
          <w:rFonts w:eastAsia="宋体"/>
          <w:kern w:val="2"/>
          <w:sz w:val="21"/>
          <w:lang w:eastAsia="zh-CN"/>
        </w:rPr>
      </w:pPr>
      <w:r>
        <w:rPr>
          <w:rFonts w:eastAsia="宋体"/>
          <w:kern w:val="2"/>
          <w:sz w:val="21"/>
          <w:lang w:eastAsia="zh-CN"/>
        </w:rPr>
        <w:t>---- END ----</w:t>
      </w:r>
      <w:bookmarkEnd w:id="55"/>
    </w:p>
    <w:p w14:paraId="638F8EA6">
      <w:pPr>
        <w:widowControl w:val="0"/>
        <w:jc w:val="both"/>
        <w:rPr>
          <w:rFonts w:ascii="Calibri" w:hAnsi="Calibri" w:eastAsia="宋体"/>
          <w:b/>
          <w:color w:val="FF0000"/>
          <w:kern w:val="2"/>
          <w:sz w:val="52"/>
          <w:szCs w:val="52"/>
          <w:lang w:eastAsia="zh-CN"/>
        </w:rPr>
      </w:pPr>
    </w:p>
    <w:p w14:paraId="7C76A3D5">
      <w:pPr>
        <w:keepLines/>
        <w:pBdr>
          <w:top w:val="none" w:color="auto" w:sz="0" w:space="0"/>
          <w:left w:val="none" w:color="auto" w:sz="0" w:space="0"/>
          <w:bottom w:val="none" w:color="auto" w:sz="0" w:space="0"/>
          <w:right w:val="none" w:color="auto" w:sz="0" w:space="0"/>
        </w:pBdr>
        <w:spacing w:before="0" w:after="0" w:line="432" w:lineRule="atLeast"/>
        <w:ind w:right="15"/>
        <w:rPr>
          <w:rFonts w:ascii="微软雅黑" w:hAnsi="微软雅黑" w:eastAsia="微软雅黑" w:cs="微软雅黑"/>
          <w:color w:val="333333"/>
          <w:lang w:val="en" w:eastAsia="en"/>
        </w:rPr>
      </w:pPr>
    </w:p>
    <w:sectPr>
      <w:headerReference r:id="rId3" w:type="default"/>
      <w:footerReference r:id="rId4" w:type="default"/>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74226265">
        <w:pPr>
          <w:pStyle w:val="9"/>
          <w:jc w:val="center"/>
        </w:pPr>
        <w:r>
          <w:fldChar w:fldCharType="begin"/>
        </w:r>
        <w:r>
          <w:instrText xml:space="preserve"> PAGE   \* MERGEFORMAT </w:instrText>
        </w:r>
        <w:r>
          <w:fldChar w:fldCharType="separate"/>
        </w:r>
        <w:r>
          <w:rPr>
            <w:lang w:val="zh-CN"/>
          </w:rPr>
          <w:t>81</w:t>
        </w:r>
        <w:r>
          <w:rPr>
            <w:lang w:val="zh-CN"/>
          </w:rPr>
          <w:fldChar w:fldCharType="end"/>
        </w:r>
      </w:p>
    </w:sdtContent>
  </w:sdt>
  <w:p w14:paraId="230EAB3F">
    <w:pPr>
      <w:pStyle w:val="9"/>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EF59">
    <w:pPr>
      <w:pStyle w:val="10"/>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1CBBE0"/>
    <w:multiLevelType w:val="singleLevel"/>
    <w:tmpl w:val="721CBBE0"/>
    <w:lvl w:ilvl="0" w:tentative="0">
      <w:start w:val="1"/>
      <w:numFmt w:val="decimal"/>
      <w:suff w:val="nothing"/>
      <w:lvlText w:val="%1、"/>
      <w:lvlJc w:val="left"/>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ljMDI5ZDg5ODJiMDQxYjQwZWUwOWU1ZDg2NDgzZmYifQ=="/>
  </w:docVars>
  <w:rsids>
    <w:rsidRoot w:val="00A77B3E"/>
    <w:rsid w:val="00A77B3E"/>
    <w:rsid w:val="00CA2A55"/>
    <w:rsid w:val="25624B3B"/>
    <w:rsid w:val="27E63CC6"/>
    <w:rsid w:val="2FF565E5"/>
    <w:rsid w:val="345D447B"/>
    <w:rsid w:val="3A4D2585"/>
    <w:rsid w:val="4B846F38"/>
    <w:rsid w:val="73B005D1"/>
    <w:rsid w:val="74EE3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0"/>
    <w:qFormat/>
    <w:uiPriority w:val="0"/>
    <w:pPr>
      <w:keepNext/>
      <w:keepLines/>
      <w:widowControl w:val="0"/>
      <w:spacing w:before="340" w:afterLines="25" w:line="578" w:lineRule="auto"/>
      <w:jc w:val="both"/>
      <w:outlineLvl w:val="0"/>
    </w:pPr>
    <w:rPr>
      <w:rFonts w:ascii="Arial" w:hAnsi="Arial" w:eastAsia="宋体"/>
      <w:b/>
      <w:bCs/>
      <w:kern w:val="44"/>
      <w:sz w:val="44"/>
      <w:szCs w:val="44"/>
      <w:lang w:eastAsia="zh-CN"/>
    </w:rPr>
  </w:style>
  <w:style w:type="paragraph" w:styleId="3">
    <w:name w:val="heading 2"/>
    <w:basedOn w:val="4"/>
    <w:next w:val="5"/>
    <w:link w:val="23"/>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7">
    <w:name w:val="annotation text"/>
    <w:basedOn w:val="1"/>
    <w:link w:val="22"/>
    <w:unhideWhenUsed/>
    <w:qFormat/>
    <w:uiPriority w:val="99"/>
    <w:pPr>
      <w:widowControl w:val="0"/>
    </w:pPr>
    <w:rPr>
      <w:rFonts w:asciiTheme="minorHAnsi" w:hAnsiTheme="minorHAnsi" w:eastAsiaTheme="minorEastAsia" w:cstheme="minorBidi"/>
      <w:kern w:val="2"/>
      <w:sz w:val="21"/>
      <w:szCs w:val="22"/>
      <w:lang w:eastAsia="zh-CN"/>
    </w:rPr>
  </w:style>
  <w:style w:type="paragraph" w:styleId="8">
    <w:name w:val="Body Text"/>
    <w:basedOn w:val="1"/>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9">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0">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1">
    <w:name w:val="Body Text 2"/>
    <w:basedOn w:val="1"/>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12">
    <w:name w:val="Normal (Web)"/>
    <w:basedOn w:val="1"/>
    <w:link w:val="21"/>
    <w:qFormat/>
    <w:uiPriority w:val="99"/>
    <w:pPr>
      <w:spacing w:before="100" w:beforeAutospacing="1" w:afterAutospacing="1"/>
    </w:pPr>
    <w:rPr>
      <w:rFonts w:ascii="宋体" w:hAnsi="宋体" w:eastAsiaTheme="minorEastAsia" w:cstheme="minorBidi"/>
      <w:kern w:val="2"/>
      <w:lang w:eastAsia="zh-CN"/>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Hyperlink"/>
    <w:basedOn w:val="15"/>
    <w:unhideWhenUsed/>
    <w:qFormat/>
    <w:uiPriority w:val="99"/>
    <w:rPr>
      <w:color w:val="0000FF" w:themeColor="hyperlink"/>
      <w:u w:val="single"/>
    </w:rPr>
  </w:style>
  <w:style w:type="character" w:customStyle="1" w:styleId="18">
    <w:name w:val="页眉 字符"/>
    <w:basedOn w:val="15"/>
    <w:link w:val="10"/>
    <w:qFormat/>
    <w:uiPriority w:val="99"/>
    <w:rPr>
      <w:rFonts w:eastAsia="宋体"/>
      <w:sz w:val="18"/>
      <w:szCs w:val="18"/>
    </w:rPr>
  </w:style>
  <w:style w:type="character" w:customStyle="1" w:styleId="19">
    <w:name w:val="页脚 字符"/>
    <w:basedOn w:val="15"/>
    <w:link w:val="9"/>
    <w:qFormat/>
    <w:uiPriority w:val="99"/>
    <w:rPr>
      <w:rFonts w:eastAsia="宋体"/>
      <w:sz w:val="18"/>
      <w:szCs w:val="18"/>
    </w:rPr>
  </w:style>
  <w:style w:type="character" w:customStyle="1" w:styleId="20">
    <w:name w:val="标题 1 字符"/>
    <w:basedOn w:val="15"/>
    <w:link w:val="2"/>
    <w:qFormat/>
    <w:uiPriority w:val="0"/>
    <w:rPr>
      <w:rFonts w:ascii="Arial" w:hAnsi="Arial" w:eastAsia="宋体"/>
      <w:b/>
      <w:bCs/>
      <w:kern w:val="44"/>
      <w:sz w:val="44"/>
      <w:szCs w:val="44"/>
    </w:rPr>
  </w:style>
  <w:style w:type="character" w:customStyle="1" w:styleId="21">
    <w:name w:val="普通(网站) 字符"/>
    <w:link w:val="12"/>
    <w:qFormat/>
    <w:uiPriority w:val="99"/>
    <w:rPr>
      <w:rFonts w:ascii="宋体" w:hAnsi="宋体" w:eastAsia="宋体"/>
      <w:sz w:val="24"/>
      <w:szCs w:val="24"/>
    </w:rPr>
  </w:style>
  <w:style w:type="character" w:customStyle="1" w:styleId="22">
    <w:name w:val="批注文字 字符"/>
    <w:basedOn w:val="15"/>
    <w:link w:val="7"/>
    <w:qFormat/>
    <w:uiPriority w:val="99"/>
    <w:rPr>
      <w:rFonts w:eastAsia="宋体"/>
    </w:rPr>
  </w:style>
  <w:style w:type="character" w:customStyle="1" w:styleId="23">
    <w:name w:val="标题 2 字符"/>
    <w:basedOn w:val="15"/>
    <w:link w:val="3"/>
    <w:semiHidden/>
    <w:qFormat/>
    <w:uiPriority w:val="9"/>
    <w:rPr>
      <w:rFonts w:asciiTheme="majorHAnsi" w:hAnsiTheme="majorHAnsi" w:eastAsiaTheme="majorEastAsia" w:cstheme="majorBidi"/>
      <w:b/>
      <w:bCs/>
      <w:sz w:val="32"/>
      <w:szCs w:val="32"/>
    </w:rPr>
  </w:style>
  <w:style w:type="table" w:customStyle="1" w:styleId="24">
    <w:name w:val="网格型1"/>
    <w:basedOn w:val="13"/>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table" w:customStyle="1" w:styleId="26">
    <w:name w:val="typo_table"/>
    <w:basedOn w:val="13"/>
    <w:qFormat/>
    <w:uiPriority w:val="0"/>
  </w:style>
  <w:style w:type="paragraph" w:customStyle="1" w:styleId="27">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28">
    <w:name w:val="base"/>
    <w:basedOn w:val="15"/>
    <w:qFormat/>
    <w:uiPriority w:val="0"/>
    <w:rPr>
      <w:rFonts w:ascii="仿宋" w:hAnsi="仿宋" w:eastAsia="仿宋" w:cs="仿宋"/>
      <w:b/>
      <w:bCs/>
      <w:sz w:val="28"/>
      <w:szCs w:val="28"/>
    </w:rPr>
  </w:style>
  <w:style w:type="paragraph" w:customStyle="1" w:styleId="29">
    <w:name w:val="typo_p"/>
    <w:basedOn w:val="1"/>
    <w:qFormat/>
    <w:uiPriority w:val="0"/>
    <w:pPr>
      <w:spacing w:line="432" w:lineRule="atLeast"/>
    </w:pPr>
    <w:rPr>
      <w:rFonts w:ascii="微软雅黑" w:hAnsi="微软雅黑" w:eastAsia="微软雅黑" w:cs="微软雅黑"/>
      <w:color w:val="333333"/>
    </w:rPr>
  </w:style>
  <w:style w:type="character" w:customStyle="1" w:styleId="30">
    <w:name w:val="span"/>
    <w:basedOn w:val="15"/>
    <w:qFormat/>
    <w:uiPriority w:val="0"/>
    <w:rPr>
      <w:rFonts w:ascii="仿宋" w:hAnsi="仿宋" w:eastAsia="仿宋" w:cs="仿宋"/>
    </w:rPr>
  </w:style>
  <w:style w:type="character" w:customStyle="1" w:styleId="31">
    <w:name w:val="underline"/>
    <w:basedOn w:val="15"/>
    <w:qFormat/>
    <w:uiPriority w:val="0"/>
  </w:style>
  <w:style w:type="paragraph" w:customStyle="1" w:styleId="32">
    <w:name w:val="div"/>
    <w:basedOn w:val="1"/>
    <w:qFormat/>
    <w:uiPriority w:val="0"/>
    <w:pPr>
      <w:keepLines/>
      <w:spacing w:line="432" w:lineRule="atLeast"/>
    </w:pPr>
    <w:rPr>
      <w:rFonts w:ascii="微软雅黑" w:hAnsi="微软雅黑" w:eastAsia="微软雅黑" w:cs="微软雅黑"/>
      <w:color w:val="333333"/>
    </w:rPr>
  </w:style>
  <w:style w:type="character" w:customStyle="1" w:styleId="33">
    <w:name w:val="step-methods_step-item_label"/>
    <w:basedOn w:val="15"/>
    <w:qFormat/>
    <w:uiPriority w:val="0"/>
  </w:style>
  <w:style w:type="table" w:customStyle="1" w:styleId="34">
    <w:name w:val="typo_table_0"/>
    <w:basedOn w:val="13"/>
    <w:qFormat/>
    <w:uiPriority w:val="0"/>
  </w:style>
  <w:style w:type="character" w:customStyle="1" w:styleId="35">
    <w:name w:val="strong"/>
    <w:basedOn w:val="15"/>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84</Pages>
  <Words>67354</Words>
  <Characters>72992</Characters>
  <Lines>1</Lines>
  <Paragraphs>1</Paragraphs>
  <TotalTime>3</TotalTime>
  <ScaleCrop>false</ScaleCrop>
  <LinksUpToDate>false</LinksUpToDate>
  <CharactersWithSpaces>75354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2024-09-08T11:56:00Z</dcterms:created>
  <dc:creator>Administrator</dc:creator>
  <cp:lastModifiedBy>djwj</cp:lastModifiedBy>
  <dcterms:modified xsi:type="dcterms:W3CDTF">2024-09-09T03:52:44Z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1989AF82DA214A5190764E9C569BBE72_12</vt:lpwstr>
  </property>
</Properties>
</file>