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987"/>
        <w:gridCol w:w="5725"/>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LHAZXDL-2025-00010</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2025年食堂托管服务采购</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617"/>
        <w:gridCol w:w="680"/>
        <w:gridCol w:w="1457"/>
        <w:gridCol w:w="941"/>
        <w:gridCol w:w="5035"/>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729" w:type="dxa"/>
            <w:gridSpan w:val="5"/>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8729" w:type="dxa"/>
            <w:gridSpan w:val="5"/>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序号</w:t>
            </w:r>
          </w:p>
        </w:tc>
        <w:tc>
          <w:tcPr>
            <w:tcW w:w="3078"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评分项</w:t>
            </w:r>
          </w:p>
        </w:tc>
        <w:tc>
          <w:tcPr>
            <w:tcW w:w="503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3078"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价格</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val="restart"/>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2</w:t>
            </w:r>
          </w:p>
        </w:tc>
        <w:tc>
          <w:tcPr>
            <w:tcW w:w="3078"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技术部分</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55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序号</w:t>
            </w:r>
          </w:p>
        </w:tc>
        <w:tc>
          <w:tcPr>
            <w:tcW w:w="145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评分因素</w:t>
            </w:r>
          </w:p>
        </w:tc>
        <w:tc>
          <w:tcPr>
            <w:tcW w:w="9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权重(%)</w:t>
            </w:r>
          </w:p>
        </w:tc>
        <w:tc>
          <w:tcPr>
            <w:tcW w:w="5034"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实施方案</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8</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评分内容：</w:t>
            </w:r>
            <w:r>
              <w:rPr>
                <w:rFonts w:ascii="宋体" w:eastAsia="宋体" w:hAnsi="宋体" w:cs="宋体" w:hint="eastAsia"/>
                <w:sz w:val="21"/>
                <w:szCs w:val="21"/>
                <w:lang w:eastAsia="zh-CN" w:bidi="ar"/>
              </w:rPr>
              <w:t xml:space="preserve">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投标人提供完整的食堂服务方案，保证食品供应的各个环节完善到位，</w:t>
            </w:r>
            <w:r>
              <w:rPr>
                <w:rFonts w:ascii="宋体" w:eastAsia="宋体" w:hAnsi="宋体" w:cs="宋体" w:hint="eastAsia"/>
                <w:spacing w:val="9"/>
                <w:sz w:val="21"/>
                <w:szCs w:val="21"/>
                <w:lang w:eastAsia="zh-CN"/>
              </w:rPr>
              <w:t>包括但不限于以下内容</w:t>
            </w:r>
            <w:r>
              <w:rPr>
                <w:rFonts w:ascii="宋体" w:eastAsia="宋体" w:hAnsi="宋体" w:cs="宋体" w:hint="eastAsia"/>
                <w:sz w:val="21"/>
                <w:szCs w:val="21"/>
                <w:lang w:eastAsia="zh-CN" w:bidi="ar"/>
              </w:rPr>
              <w:t>：</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1.食堂运营方案</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2.食堂安全管理等。</w:t>
            </w:r>
          </w:p>
          <w:p>
            <w:pPr>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rPr>
            </w:pPr>
            <w:r>
              <w:rPr>
                <w:rFonts w:ascii="宋体" w:eastAsia="宋体" w:hAnsi="宋体" w:cs="宋体" w:hint="eastAsia"/>
                <w:b/>
                <w:bCs/>
                <w:sz w:val="21"/>
                <w:szCs w:val="21"/>
                <w:lang w:eastAsia="zh-CN" w:bidi="ar"/>
              </w:rPr>
              <w:t>评分依据：</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评审委员会根据招标文件的需求和投标文件的内容响应情况进行评分：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1.内容满足以上任意2项要求的，得</w:t>
            </w:r>
            <w:r>
              <w:rPr>
                <w:rFonts w:ascii="宋体" w:hAnsi="宋体" w:cs="宋体" w:hint="eastAsia"/>
                <w:spacing w:val="9"/>
                <w:kern w:val="2"/>
                <w:sz w:val="21"/>
                <w:szCs w:val="21"/>
                <w:lang w:eastAsia="zh-CN"/>
              </w:rPr>
              <w:t>60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内容满足以上任意1项要求的，得</w:t>
            </w:r>
            <w:r>
              <w:rPr>
                <w:rFonts w:ascii="宋体" w:hAnsi="宋体" w:cs="宋体" w:hint="eastAsia"/>
                <w:spacing w:val="9"/>
                <w:kern w:val="2"/>
                <w:sz w:val="21"/>
                <w:szCs w:val="21"/>
                <w:lang w:eastAsia="zh-CN"/>
              </w:rPr>
              <w:t>3</w:t>
            </w:r>
            <w:r>
              <w:rPr>
                <w:rFonts w:ascii="宋体" w:eastAsia="宋体" w:hAnsi="宋体" w:cs="宋体" w:hint="eastAsia"/>
                <w:spacing w:val="9"/>
                <w:kern w:val="2"/>
                <w:sz w:val="21"/>
                <w:szCs w:val="21"/>
              </w:rPr>
              <w:t>0分；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内容未满足不得分。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2、在此基础上，评审委员会根据各投标人的具体响应情况按照以下评审标准进一步评审：</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评审为优（方案设计内容全面，工作内容目标指向性强，整体方案展现高度系统性、科学性和定制化）的加</w:t>
            </w:r>
            <w:r>
              <w:rPr>
                <w:rFonts w:ascii="宋体" w:hAnsi="宋体" w:cs="宋体" w:hint="eastAsia"/>
                <w:spacing w:val="9"/>
                <w:kern w:val="2"/>
                <w:sz w:val="21"/>
                <w:szCs w:val="21"/>
                <w:lang w:eastAsia="zh-CN"/>
              </w:rPr>
              <w:t>4</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评审为良（方案设计较详尽，基本契合项目需求，目标指向性较强，整体方案展现良好的系统性、科学性和定制化）的加</w:t>
            </w:r>
            <w:r>
              <w:rPr>
                <w:rFonts w:ascii="宋体" w:hAnsi="宋体" w:cs="宋体" w:hint="eastAsia"/>
                <w:spacing w:val="9"/>
                <w:kern w:val="2"/>
                <w:sz w:val="21"/>
                <w:szCs w:val="21"/>
                <w:lang w:eastAsia="zh-CN"/>
              </w:rPr>
              <w:t>2</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评审为中（方案设计基本满足项目需求，有明确的工作目标，但方案的系统性、科学性和定制化一般）的</w:t>
            </w:r>
            <w:r>
              <w:rPr>
                <w:rFonts w:ascii="宋体" w:eastAsia="宋体" w:hAnsi="宋体" w:cs="宋体" w:hint="eastAsia"/>
                <w:spacing w:val="9"/>
                <w:kern w:val="2"/>
                <w:sz w:val="21"/>
                <w:szCs w:val="21"/>
                <w:lang w:eastAsia="zh-CN"/>
              </w:rPr>
              <w:t xml:space="preserve"> </w:t>
            </w:r>
            <w:r>
              <w:rPr>
                <w:rFonts w:ascii="宋体" w:eastAsia="宋体" w:hAnsi="宋体" w:cs="宋体" w:hint="eastAsia"/>
                <w:spacing w:val="9"/>
                <w:kern w:val="2"/>
                <w:sz w:val="21"/>
                <w:szCs w:val="21"/>
              </w:rPr>
              <w:t>加</w:t>
            </w:r>
            <w:r>
              <w:rPr>
                <w:rFonts w:ascii="宋体" w:hAnsi="宋体" w:cs="宋体" w:hint="eastAsia"/>
                <w:spacing w:val="9"/>
                <w:kern w:val="2"/>
                <w:sz w:val="21"/>
                <w:szCs w:val="21"/>
                <w:lang w:eastAsia="zh-CN"/>
              </w:rPr>
              <w:t>1</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rPr>
            </w:pPr>
            <w:r>
              <w:rPr>
                <w:rFonts w:ascii="宋体" w:eastAsia="宋体" w:hAnsi="宋体" w:cs="宋体" w:hint="eastAsia"/>
                <w:spacing w:val="9"/>
                <w:kern w:val="2"/>
                <w:sz w:val="21"/>
                <w:szCs w:val="21"/>
                <w:lang w:eastAsia="zh-CN"/>
              </w:rPr>
              <w:t>3、</w:t>
            </w:r>
            <w:r>
              <w:rPr>
                <w:rFonts w:ascii="宋体" w:eastAsia="宋体" w:hAnsi="宋体" w:cs="宋体" w:hint="eastAsia"/>
                <w:spacing w:val="9"/>
                <w:kern w:val="2"/>
                <w:sz w:val="21"/>
                <w:szCs w:val="21"/>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2</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项目重点难点分析、应对措施及相关的合理化建议</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8</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2"/>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提供符合本项目服务特点的相关重点难点分析、应对措施及相关合理化建议，包括但不限于：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1.原材料验收标准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2.菜品加工流程</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3.食品留样制度</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4.内控制度建立。 </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（二）评分依据：</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评审委员会根据招标文件的需求和投标文件的内容响应情况进行评分：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1.内容满足以上4项要求的，得</w:t>
            </w:r>
            <w:r>
              <w:rPr>
                <w:rFonts w:ascii="宋体" w:hAnsi="宋体" w:cs="宋体" w:hint="eastAsia"/>
                <w:sz w:val="21"/>
                <w:szCs w:val="21"/>
                <w:lang w:eastAsia="zh-CN"/>
              </w:rPr>
              <w:t>60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内容满足以上任意3项要求的，得</w:t>
            </w:r>
            <w:r>
              <w:rPr>
                <w:rFonts w:ascii="宋体" w:hAnsi="宋体" w:cs="宋体" w:hint="eastAsia"/>
                <w:sz w:val="21"/>
                <w:szCs w:val="21"/>
                <w:lang w:eastAsia="zh-CN"/>
              </w:rPr>
              <w:t>40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内容满足以上任意2项要求的，得</w:t>
            </w:r>
            <w:r>
              <w:rPr>
                <w:rFonts w:ascii="宋体" w:hAnsi="宋体" w:cs="宋体" w:hint="eastAsia"/>
                <w:sz w:val="21"/>
                <w:szCs w:val="21"/>
                <w:lang w:eastAsia="zh-CN"/>
              </w:rPr>
              <w:t>20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内容满足以上任意1项要求的，得</w:t>
            </w:r>
            <w:r>
              <w:rPr>
                <w:rFonts w:ascii="宋体" w:hAnsi="宋体" w:cs="宋体" w:hint="eastAsia"/>
                <w:sz w:val="21"/>
                <w:szCs w:val="21"/>
                <w:lang w:eastAsia="zh-CN"/>
              </w:rPr>
              <w:t>1</w:t>
            </w:r>
            <w:r>
              <w:rPr>
                <w:rFonts w:ascii="宋体" w:eastAsia="宋体" w:hAnsi="宋体" w:cs="宋体" w:hint="eastAsia"/>
                <w:sz w:val="21"/>
                <w:szCs w:val="21"/>
              </w:rPr>
              <w:t>0分；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内容未满足不得分。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2、在此基础上，评审委员会根据各投标人的具体响应情况按照以下评审标准进一步评审：</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评审为优（方案设计内容全面，工作内容目标指向性强，整体方案展现高度系统性、科学性和定制化）的加</w:t>
            </w:r>
            <w:r>
              <w:rPr>
                <w:rFonts w:ascii="宋体" w:hAnsi="宋体" w:cs="宋体" w:hint="eastAsia"/>
                <w:sz w:val="21"/>
                <w:szCs w:val="21"/>
                <w:lang w:eastAsia="zh-CN"/>
              </w:rPr>
              <w:t>40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评审为良（方案设计较详尽，基本契合项目需求，目标指向性较强，整体方案展现良好的系统性、科学性和定制化）的加</w:t>
            </w:r>
            <w:r>
              <w:rPr>
                <w:rFonts w:ascii="宋体" w:hAnsi="宋体" w:cs="宋体" w:hint="eastAsia"/>
                <w:sz w:val="21"/>
                <w:szCs w:val="21"/>
                <w:lang w:eastAsia="zh-CN"/>
              </w:rPr>
              <w:t>2</w:t>
            </w:r>
            <w:r>
              <w:rPr>
                <w:rFonts w:ascii="宋体" w:eastAsia="宋体" w:hAnsi="宋体" w:cs="宋体" w:hint="eastAsia"/>
                <w:sz w:val="21"/>
                <w:szCs w:val="21"/>
                <w:lang w:eastAsia="zh-CN"/>
              </w:rPr>
              <w:t>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评审为中（方案设计基本满足项目需求，有明确的工作目标，但方案的系统性、科学性和定制化一般）的加</w:t>
            </w:r>
            <w:r>
              <w:rPr>
                <w:rFonts w:ascii="宋体" w:hAnsi="宋体" w:cs="宋体" w:hint="eastAsia"/>
                <w:sz w:val="21"/>
                <w:szCs w:val="21"/>
                <w:lang w:eastAsia="zh-CN"/>
              </w:rPr>
              <w:t>10</w:t>
            </w:r>
            <w:r>
              <w:rPr>
                <w:rFonts w:ascii="宋体" w:eastAsia="宋体" w:hAnsi="宋体" w:cs="宋体" w:hint="eastAsia"/>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3</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质量保障措施及方案</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8</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3"/>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评分内容：</w:t>
            </w:r>
            <w:r>
              <w:rPr>
                <w:rFonts w:ascii="宋体" w:eastAsia="宋体" w:hAnsi="宋体" w:cs="宋体" w:hint="eastAsia"/>
                <w:sz w:val="21"/>
                <w:szCs w:val="21"/>
                <w:lang w:eastAsia="zh-CN" w:bidi="ar"/>
              </w:rPr>
              <w:t>根据投标人提供的质量保障措施及方案，包括但不限于：</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1.餐饮服务质量保障措施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2.应急保障措施（包含食品安全事故、停电停水、燃气泄漏、消防安全等方面有具体的应急保障能力方案。）</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（二）评分依据：</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评审委员会根据招标文件的需求和投标文件的内容响应情况进行评分：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1.内容满足以上任意2项要求的，得</w:t>
            </w:r>
            <w:r>
              <w:rPr>
                <w:rFonts w:ascii="宋体" w:hAnsi="宋体" w:cs="宋体" w:hint="eastAsia"/>
                <w:spacing w:val="9"/>
                <w:kern w:val="2"/>
                <w:sz w:val="21"/>
                <w:szCs w:val="21"/>
                <w:lang w:eastAsia="zh-CN"/>
              </w:rPr>
              <w:t>6</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内容满足以上任意1项要求的，得</w:t>
            </w:r>
            <w:r>
              <w:rPr>
                <w:rFonts w:ascii="宋体" w:hAnsi="宋体" w:cs="宋体" w:hint="eastAsia"/>
                <w:spacing w:val="9"/>
                <w:kern w:val="2"/>
                <w:sz w:val="21"/>
                <w:szCs w:val="21"/>
                <w:lang w:eastAsia="zh-CN"/>
              </w:rPr>
              <w:t>3</w:t>
            </w:r>
            <w:r>
              <w:rPr>
                <w:rFonts w:ascii="宋体" w:eastAsia="宋体" w:hAnsi="宋体" w:cs="宋体" w:hint="eastAsia"/>
                <w:spacing w:val="9"/>
                <w:kern w:val="2"/>
                <w:sz w:val="21"/>
                <w:szCs w:val="21"/>
              </w:rPr>
              <w:t>0分；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内容未满足不得分。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2、在此基础上，评审委员会根据各投标人的具体响应情况按照以下评审标准进一步评审：</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评审为优（方案设计内容全面，工作内容目标指向性强，整体方案展现高度系统性、科学性和定制化）的加</w:t>
            </w:r>
            <w:r>
              <w:rPr>
                <w:rFonts w:ascii="宋体" w:hAnsi="宋体" w:cs="宋体" w:hint="eastAsia"/>
                <w:spacing w:val="9"/>
                <w:kern w:val="2"/>
                <w:sz w:val="21"/>
                <w:szCs w:val="21"/>
                <w:lang w:eastAsia="zh-CN"/>
              </w:rPr>
              <w:t>4</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评审为良（方案设计较详尽，基本契合项目需求，目标指向性较强，整体方案展现良好的系统性、科学性和定制化）的加</w:t>
            </w:r>
            <w:r>
              <w:rPr>
                <w:rFonts w:ascii="宋体" w:hAnsi="宋体" w:cs="宋体" w:hint="eastAsia"/>
                <w:spacing w:val="9"/>
                <w:kern w:val="2"/>
                <w:sz w:val="21"/>
                <w:szCs w:val="21"/>
                <w:lang w:eastAsia="zh-CN"/>
              </w:rPr>
              <w:t>2</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left"/>
              <w:textAlignment w:val="auto"/>
              <w:rPr>
                <w:rFonts w:ascii="宋体" w:eastAsia="宋体" w:hAnsi="宋体" w:cs="宋体" w:hint="eastAsia"/>
                <w:spacing w:val="9"/>
                <w:kern w:val="2"/>
                <w:sz w:val="21"/>
                <w:szCs w:val="21"/>
              </w:rPr>
            </w:pPr>
            <w:r>
              <w:rPr>
                <w:rFonts w:ascii="宋体" w:eastAsia="宋体" w:hAnsi="宋体" w:cs="宋体" w:hint="eastAsia"/>
                <w:spacing w:val="9"/>
                <w:kern w:val="2"/>
                <w:sz w:val="21"/>
                <w:szCs w:val="21"/>
              </w:rPr>
              <w:t>评审为中（方案设计基本满足项目需求，有明确的工作目标，但方案的系统性、科学性和定制化一般）的</w:t>
            </w:r>
            <w:r>
              <w:rPr>
                <w:rFonts w:ascii="宋体" w:eastAsia="宋体" w:hAnsi="宋体" w:cs="宋体" w:hint="eastAsia"/>
                <w:spacing w:val="9"/>
                <w:kern w:val="2"/>
                <w:sz w:val="21"/>
                <w:szCs w:val="21"/>
                <w:lang w:eastAsia="zh-CN"/>
              </w:rPr>
              <w:t xml:space="preserve"> </w:t>
            </w:r>
            <w:r>
              <w:rPr>
                <w:rFonts w:ascii="宋体" w:eastAsia="宋体" w:hAnsi="宋体" w:cs="宋体" w:hint="eastAsia"/>
                <w:spacing w:val="9"/>
                <w:kern w:val="2"/>
                <w:sz w:val="21"/>
                <w:szCs w:val="21"/>
              </w:rPr>
              <w:t>加</w:t>
            </w:r>
            <w:r>
              <w:rPr>
                <w:rFonts w:ascii="宋体" w:hAnsi="宋体" w:cs="宋体" w:hint="eastAsia"/>
                <w:spacing w:val="9"/>
                <w:kern w:val="2"/>
                <w:sz w:val="21"/>
                <w:szCs w:val="21"/>
                <w:lang w:eastAsia="zh-CN"/>
              </w:rPr>
              <w:t>1</w:t>
            </w:r>
            <w:r>
              <w:rPr>
                <w:rFonts w:ascii="宋体" w:eastAsia="宋体" w:hAnsi="宋体" w:cs="宋体" w:hint="eastAsia"/>
                <w:spacing w:val="9"/>
                <w:kern w:val="2"/>
                <w:sz w:val="21"/>
                <w:szCs w:val="21"/>
                <w:lang w:eastAsia="zh-CN"/>
              </w:rPr>
              <w:t>0</w:t>
            </w:r>
            <w:r>
              <w:rPr>
                <w:rFonts w:ascii="宋体" w:eastAsia="宋体" w:hAnsi="宋体" w:cs="宋体" w:hint="eastAsia"/>
                <w:spacing w:val="9"/>
                <w:kern w:val="2"/>
                <w:sz w:val="21"/>
                <w:szCs w:val="21"/>
              </w:rPr>
              <w:t>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pacing w:val="9"/>
                <w:kern w:val="2"/>
                <w:sz w:val="21"/>
                <w:szCs w:val="21"/>
                <w:lang w:eastAsia="zh-CN"/>
              </w:rPr>
              <w:t>3、</w:t>
            </w:r>
            <w:r>
              <w:rPr>
                <w:rFonts w:ascii="宋体" w:eastAsia="宋体" w:hAnsi="宋体" w:cs="宋体" w:hint="eastAsia"/>
                <w:spacing w:val="9"/>
                <w:kern w:val="2"/>
                <w:sz w:val="21"/>
                <w:szCs w:val="21"/>
              </w:rPr>
              <w:t>评审为差（如不满足项目要求的）的不加分。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4</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项目完成（服务期满）后的服务承诺</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rPr>
              <w:t>2</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4"/>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服务期满后的服务承诺:需在服务项目完成后10个工作日配合采购方完成物资交接等工作。如未能按时完成交接工作，将视为违规，投标人需向采购方支付中选价10%的违约金并赔偿其他损失。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b/>
                <w:bCs/>
                <w:sz w:val="21"/>
                <w:szCs w:val="21"/>
                <w:lang w:eastAsia="zh-CN" w:bidi="ar"/>
              </w:rPr>
              <w:t>（二）评分依据：</w:t>
            </w:r>
            <w:r>
              <w:rPr>
                <w:rFonts w:ascii="宋体" w:eastAsia="宋体" w:hAnsi="宋体" w:cs="宋体" w:hint="eastAsia"/>
                <w:sz w:val="21"/>
                <w:szCs w:val="21"/>
                <w:lang w:eastAsia="zh-CN" w:bidi="ar"/>
              </w:rPr>
              <w:t xml:space="preserve">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提供服务期满后的服务承诺函（格式自拟），按要求提供得100分。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5</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违约承诺</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5"/>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书面承诺：需在合同签订之日起7个工作日内，按时开展该合同服务，包括人员配备、服务方案等相关工作。如未能按时开展，将视为根本违约，采购方有权立即解除与其签订的采购合同，并按照招标结果依次顺延其他候选供应商，且还需向采购方支付中选价的5%的违约金并赔偿其他损失。</w:t>
            </w:r>
          </w:p>
          <w:p>
            <w:pPr>
              <w:keepNext w:val="0"/>
              <w:keepLines w:val="0"/>
              <w:pageBreakBefore w:val="0"/>
              <w:widowControl/>
              <w:numPr>
                <w:ilvl w:val="0"/>
                <w:numId w:val="5"/>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评分依据：</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 xml:space="preserve">提供违约承诺函（格式自拟），按要求提供得100分。 未按要求提供或提供不清晰导致专家无法判断的不得分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6</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项目负责人情况（仅限1人）</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9</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6"/>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为本项目拟安排项目负责人负责项目的整体服务工作，项目负责人在具有本科或以上学历证书的基础上进行如下评分 ： </w:t>
            </w:r>
          </w:p>
          <w:p>
            <w:pPr>
              <w:keepNext w:val="0"/>
              <w:keepLines w:val="0"/>
              <w:pageBreakBefore w:val="0"/>
              <w:widowControl/>
              <w:kinsoku/>
              <w:wordWrap/>
              <w:overflowPunct/>
              <w:topLinePunct w:val="0"/>
              <w:autoSpaceDE/>
              <w:autoSpaceDN/>
              <w:bidi w:val="0"/>
              <w:adjustRightInd/>
              <w:snapToGrid/>
              <w:spacing w:line="300"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或人社部门备案的社会评价组织颁发的中式烹调师一级证书得35分，二级证书得15分，</w:t>
            </w:r>
            <w:r>
              <w:rPr>
                <w:rFonts w:eastAsia="宋体" w:hAnsi="宋体" w:cs="宋体" w:hint="eastAsia"/>
                <w:sz w:val="21"/>
                <w:szCs w:val="21"/>
                <w:lang w:eastAsia="zh-CN" w:bidi="ar"/>
              </w:rPr>
              <w:t>其他情况</w:t>
            </w:r>
            <w:r>
              <w:rPr>
                <w:rFonts w:ascii="宋体" w:eastAsia="宋体" w:hAnsi="宋体" w:cs="宋体" w:hint="eastAsia"/>
                <w:sz w:val="21"/>
                <w:szCs w:val="21"/>
                <w:lang w:eastAsia="zh-CN" w:bidi="ar"/>
              </w:rPr>
              <w:t>不得分，本小项最高35分；</w:t>
            </w:r>
          </w:p>
          <w:p>
            <w:pPr>
              <w:keepNext w:val="0"/>
              <w:keepLines w:val="0"/>
              <w:pageBreakBefore w:val="0"/>
              <w:widowControl/>
              <w:kinsoku/>
              <w:wordWrap/>
              <w:overflowPunct/>
              <w:topLinePunct w:val="0"/>
              <w:autoSpaceDE/>
              <w:autoSpaceDN/>
              <w:bidi w:val="0"/>
              <w:adjustRightInd/>
              <w:snapToGrid/>
              <w:spacing w:line="300"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 2.具有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或人社部门备案的社会评价组织颁发的中式面点师三级（含本级）以上证书得15分，</w:t>
            </w:r>
            <w:r>
              <w:rPr>
                <w:rFonts w:eastAsia="宋体" w:hAnsi="宋体" w:cs="宋体" w:hint="eastAsia"/>
                <w:sz w:val="21"/>
                <w:szCs w:val="21"/>
                <w:lang w:eastAsia="zh-CN" w:bidi="ar"/>
              </w:rPr>
              <w:t>其他情况</w:t>
            </w:r>
            <w:r>
              <w:rPr>
                <w:rFonts w:ascii="宋体" w:eastAsia="宋体" w:hAnsi="宋体" w:cs="宋体" w:hint="eastAsia"/>
                <w:sz w:val="21"/>
                <w:szCs w:val="21"/>
                <w:lang w:eastAsia="zh-CN" w:bidi="ar"/>
              </w:rPr>
              <w:t>不得分，本小项最高15分；</w:t>
            </w:r>
          </w:p>
          <w:p>
            <w:pPr>
              <w:keepNext w:val="0"/>
              <w:keepLines w:val="0"/>
              <w:pageBreakBefore w:val="0"/>
              <w:widowControl/>
              <w:kinsoku/>
              <w:wordWrap/>
              <w:overflowPunct/>
              <w:topLinePunct w:val="0"/>
              <w:autoSpaceDE/>
              <w:autoSpaceDN/>
              <w:bidi w:val="0"/>
              <w:adjustRightInd/>
              <w:snapToGrid/>
              <w:spacing w:line="300"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 3.</w:t>
            </w:r>
            <w:r>
              <w:rPr>
                <w:rFonts w:ascii="宋体" w:eastAsia="宋体" w:hAnsi="宋体" w:cs="宋体" w:hint="eastAsia"/>
                <w:sz w:val="21"/>
                <w:szCs w:val="21"/>
                <w:lang w:bidi="ar"/>
              </w:rPr>
              <w:t>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bidi="ar"/>
              </w:rPr>
              <w:t>或人社部门备案的社会评价组织颁发的三</w:t>
            </w:r>
            <w:r>
              <w:rPr>
                <w:rFonts w:ascii="宋体" w:eastAsia="宋体" w:hAnsi="宋体" w:cs="宋体" w:hint="eastAsia"/>
                <w:sz w:val="21"/>
                <w:szCs w:val="21"/>
                <w:lang w:eastAsia="zh-CN" w:bidi="ar"/>
              </w:rPr>
              <w:t>级（含本级）以上</w:t>
            </w:r>
            <w:r>
              <w:rPr>
                <w:rFonts w:ascii="宋体" w:eastAsia="宋体" w:hAnsi="宋体" w:cs="宋体" w:hint="eastAsia"/>
                <w:sz w:val="21"/>
                <w:szCs w:val="21"/>
                <w:lang w:bidi="ar"/>
              </w:rPr>
              <w:t>健康管理师证书得1</w:t>
            </w:r>
            <w:r>
              <w:rPr>
                <w:rFonts w:ascii="宋体" w:eastAsia="宋体" w:hAnsi="宋体" w:cs="宋体" w:hint="eastAsia"/>
                <w:sz w:val="21"/>
                <w:szCs w:val="21"/>
                <w:lang w:eastAsia="zh-CN" w:bidi="ar"/>
              </w:rPr>
              <w:t>5</w:t>
            </w:r>
            <w:r>
              <w:rPr>
                <w:rFonts w:ascii="宋体" w:eastAsia="宋体" w:hAnsi="宋体" w:cs="宋体" w:hint="eastAsia"/>
                <w:sz w:val="21"/>
                <w:szCs w:val="21"/>
                <w:lang w:bidi="ar"/>
              </w:rPr>
              <w:t>分，</w:t>
            </w:r>
            <w:r>
              <w:rPr>
                <w:rFonts w:eastAsia="宋体" w:hAnsi="宋体" w:cs="宋体" w:hint="eastAsia"/>
                <w:sz w:val="21"/>
                <w:szCs w:val="21"/>
                <w:lang w:eastAsia="zh-CN" w:bidi="ar"/>
              </w:rPr>
              <w:t>其他情况</w:t>
            </w:r>
            <w:r>
              <w:rPr>
                <w:rFonts w:ascii="宋体" w:eastAsia="宋体" w:hAnsi="宋体" w:cs="宋体" w:hint="eastAsia"/>
                <w:sz w:val="21"/>
                <w:szCs w:val="21"/>
                <w:lang w:bidi="ar"/>
              </w:rPr>
              <w:t>不得分</w:t>
            </w:r>
            <w:r>
              <w:rPr>
                <w:rFonts w:ascii="宋体" w:eastAsia="宋体" w:hAnsi="宋体" w:cs="宋体" w:hint="eastAsia"/>
                <w:sz w:val="21"/>
                <w:szCs w:val="21"/>
                <w:lang w:eastAsia="zh-CN" w:bidi="ar"/>
              </w:rPr>
              <w:t>，本小项最高15分；</w:t>
            </w:r>
          </w:p>
          <w:p>
            <w:pPr>
              <w:keepNext w:val="0"/>
              <w:keepLines w:val="0"/>
              <w:pageBreakBefore w:val="0"/>
              <w:widowControl/>
              <w:kinsoku/>
              <w:wordWrap/>
              <w:overflowPunct/>
              <w:topLinePunct w:val="0"/>
              <w:autoSpaceDE/>
              <w:autoSpaceDN/>
              <w:bidi w:val="0"/>
              <w:adjustRightInd/>
              <w:snapToGrid/>
              <w:spacing w:line="300"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4.获得区级或以上</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或人力资源部门组织的烹饪职业技能竞赛一等奖荣誉证书得35分，二等奖荣誉证书得15分，</w:t>
            </w:r>
            <w:r>
              <w:rPr>
                <w:rFonts w:eastAsia="宋体" w:hAnsi="宋体" w:cs="宋体" w:hint="eastAsia"/>
                <w:sz w:val="21"/>
                <w:szCs w:val="21"/>
                <w:lang w:eastAsia="zh-CN" w:bidi="ar"/>
              </w:rPr>
              <w:t>其他情况</w:t>
            </w:r>
            <w:r>
              <w:rPr>
                <w:rFonts w:ascii="宋体" w:eastAsia="宋体" w:hAnsi="宋体" w:cs="宋体" w:hint="eastAsia"/>
                <w:sz w:val="21"/>
                <w:szCs w:val="21"/>
                <w:lang w:eastAsia="zh-CN" w:bidi="ar"/>
              </w:rPr>
              <w:t>不得分，本小项最高35分；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both"/>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以上全部满足得100分。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（二）评分依据： </w:t>
            </w:r>
          </w:p>
          <w:p>
            <w:pPr>
              <w:keepNext w:val="0"/>
              <w:keepLines w:val="0"/>
              <w:pageBreakBefore w:val="0"/>
              <w:widowControl/>
              <w:numPr>
                <w:ilvl w:val="0"/>
                <w:numId w:val="7"/>
              </w:numPr>
              <w:suppressLineNumbers w:val="0"/>
              <w:pBdr>
                <w:top w:val="none" w:sz="0" w:space="0" w:color="auto"/>
                <w:left w:val="none" w:sz="0" w:space="0" w:color="auto"/>
                <w:bottom w:val="none" w:sz="0" w:space="0" w:color="auto"/>
                <w:right w:val="none" w:sz="0" w:space="0" w:color="auto"/>
              </w:pBdr>
              <w:tabs>
                <w:tab w:val="left" w:pos="312"/>
              </w:tabs>
              <w:kinsoku/>
              <w:wordWrap/>
              <w:overflowPunct/>
              <w:topLinePunct w:val="0"/>
              <w:autoSpaceDE/>
              <w:autoSpaceDN/>
              <w:bidi w:val="0"/>
              <w:adjustRightInd/>
              <w:snapToGrid/>
              <w:spacing w:line="300" w:lineRule="auto"/>
              <w:ind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项目负责人必须为响应供应商自有员工，开标日前由响应供应商为其缴交的载有社保部门公章的2024年</w:t>
            </w:r>
            <w:r>
              <w:rPr>
                <w:rFonts w:ascii="宋体" w:hAnsi="宋体" w:cs="宋体" w:hint="eastAsia"/>
                <w:sz w:val="21"/>
                <w:szCs w:val="21"/>
                <w:lang w:eastAsia="zh-CN" w:bidi="ar"/>
              </w:rPr>
              <w:t>10</w:t>
            </w:r>
            <w:r>
              <w:rPr>
                <w:rFonts w:ascii="宋体" w:eastAsia="宋体" w:hAnsi="宋体" w:cs="宋体" w:hint="eastAsia"/>
                <w:sz w:val="21"/>
                <w:szCs w:val="21"/>
                <w:lang w:eastAsia="zh-CN" w:bidi="ar"/>
              </w:rPr>
              <w:t>月至 2024年1</w:t>
            </w:r>
            <w:r>
              <w:rPr>
                <w:rFonts w:ascii="宋体" w:hAnsi="宋体" w:cs="宋体" w:hint="eastAsia"/>
                <w:sz w:val="21"/>
                <w:szCs w:val="21"/>
                <w:lang w:eastAsia="zh-CN" w:bidi="ar"/>
              </w:rPr>
              <w:t>2</w:t>
            </w:r>
            <w:r>
              <w:rPr>
                <w:rFonts w:ascii="宋体" w:eastAsia="宋体" w:hAnsi="宋体" w:cs="宋体" w:hint="eastAsia"/>
                <w:sz w:val="21"/>
                <w:szCs w:val="21"/>
                <w:lang w:eastAsia="zh-CN" w:bidi="ar"/>
              </w:rPr>
              <w:t xml:space="preserve">月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w:t>
            </w:r>
          </w:p>
          <w:p>
            <w:pPr>
              <w:keepNext w:val="0"/>
              <w:keepLines w:val="0"/>
              <w:pageBreakBefore w:val="0"/>
              <w:widowControl/>
              <w:numPr>
                <w:ilvl w:val="0"/>
                <w:numId w:val="7"/>
              </w:numPr>
              <w:suppressLineNumbers w:val="0"/>
              <w:pBdr>
                <w:top w:val="none" w:sz="0" w:space="0" w:color="auto"/>
                <w:left w:val="none" w:sz="0" w:space="0" w:color="auto"/>
                <w:bottom w:val="none" w:sz="0" w:space="0" w:color="auto"/>
                <w:right w:val="none" w:sz="0" w:space="0" w:color="auto"/>
              </w:pBdr>
              <w:tabs>
                <w:tab w:val="left" w:pos="312"/>
              </w:tabs>
              <w:kinsoku/>
              <w:wordWrap/>
              <w:overflowPunct/>
              <w:topLinePunct w:val="0"/>
              <w:autoSpaceDE/>
              <w:autoSpaceDN/>
              <w:bidi w:val="0"/>
              <w:adjustRightInd/>
              <w:snapToGrid/>
              <w:spacing w:line="300" w:lineRule="auto"/>
              <w:ind w:leftChars="0"/>
              <w:jc w:val="left"/>
              <w:textAlignment w:val="auto"/>
              <w:rPr>
                <w:rFonts w:ascii="宋体" w:eastAsia="宋体" w:hAnsi="宋体" w:cs="宋体" w:hint="eastAsia"/>
                <w:sz w:val="21"/>
                <w:szCs w:val="21"/>
                <w:lang w:eastAsia="zh-CN" w:bidi="ar"/>
              </w:rPr>
            </w:pPr>
            <w:r>
              <w:rPr>
                <w:rFonts w:ascii="宋体" w:eastAsia="宋体" w:hAnsi="宋体" w:cs="宋体" w:hint="eastAsia"/>
                <w:b/>
                <w:bCs/>
                <w:sz w:val="21"/>
                <w:szCs w:val="21"/>
              </w:rPr>
              <w:t>涉及学历的</w:t>
            </w:r>
            <w:r>
              <w:rPr>
                <w:rFonts w:ascii="宋体" w:eastAsia="宋体" w:hAnsi="宋体" w:cs="宋体" w:hint="eastAsia"/>
                <w:sz w:val="21"/>
                <w:szCs w:val="21"/>
              </w:rPr>
              <w:t>，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它语言，必须附中文译文，以中文译文为准。</w:t>
            </w:r>
          </w:p>
          <w:p>
            <w:pPr>
              <w:keepNext w:val="0"/>
              <w:keepLines w:val="0"/>
              <w:pageBreakBefore w:val="0"/>
              <w:widowControl/>
              <w:numPr>
                <w:ilvl w:val="0"/>
                <w:numId w:val="7"/>
              </w:numPr>
              <w:suppressLineNumbers w:val="0"/>
              <w:pBdr>
                <w:top w:val="none" w:sz="0" w:space="0" w:color="auto"/>
                <w:left w:val="none" w:sz="0" w:space="0" w:color="auto"/>
                <w:bottom w:val="none" w:sz="0" w:space="0" w:color="auto"/>
                <w:right w:val="none" w:sz="0" w:space="0" w:color="auto"/>
              </w:pBdr>
              <w:tabs>
                <w:tab w:val="left" w:pos="312"/>
              </w:tabs>
              <w:kinsoku/>
              <w:wordWrap/>
              <w:overflowPunct/>
              <w:topLinePunct w:val="0"/>
              <w:autoSpaceDE/>
              <w:autoSpaceDN/>
              <w:bidi w:val="0"/>
              <w:adjustRightInd/>
              <w:snapToGrid/>
              <w:spacing w:line="300" w:lineRule="auto"/>
              <w:ind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w:t>
            </w:r>
          </w:p>
          <w:p>
            <w:pPr>
              <w:keepNext w:val="0"/>
              <w:keepLines w:val="0"/>
              <w:pageBreakBefore w:val="0"/>
              <w:widowControl/>
              <w:numPr>
                <w:ilvl w:val="0"/>
                <w:numId w:val="7"/>
              </w:numPr>
              <w:suppressLineNumbers w:val="0"/>
              <w:pBdr>
                <w:top w:val="none" w:sz="0" w:space="0" w:color="auto"/>
                <w:left w:val="none" w:sz="0" w:space="0" w:color="auto"/>
                <w:bottom w:val="none" w:sz="0" w:space="0" w:color="auto"/>
                <w:right w:val="none" w:sz="0" w:space="0" w:color="auto"/>
              </w:pBdr>
              <w:tabs>
                <w:tab w:val="left" w:pos="312"/>
              </w:tabs>
              <w:kinsoku/>
              <w:wordWrap/>
              <w:overflowPunct/>
              <w:topLinePunct w:val="0"/>
              <w:autoSpaceDE/>
              <w:autoSpaceDN/>
              <w:bidi w:val="0"/>
              <w:adjustRightInd/>
              <w:snapToGrid/>
              <w:spacing w:line="300" w:lineRule="auto"/>
              <w:ind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第4点需同时提供获奖荣誉证书与颁发单位的公布文件或官方网站截图，缺一不可。</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 xml:space="preserve"> 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7</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项目团队成员（不含项目负责人）</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15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8"/>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团队成员总人数要求至少4人，提供承诺函，未达到人数要求的不得分：</w:t>
            </w:r>
          </w:p>
          <w:p>
            <w:pPr>
              <w:keepNext w:val="0"/>
              <w:keepLines w:val="0"/>
              <w:pageBreakBefore w:val="0"/>
              <w:widowControl/>
              <w:kinsoku/>
              <w:wordWrap/>
              <w:overflowPunct/>
              <w:topLinePunct w:val="0"/>
              <w:autoSpaceDE/>
              <w:autoSpaceDN/>
              <w:bidi w:val="0"/>
              <w:adjustRightInd/>
              <w:snapToGrid/>
              <w:spacing w:line="300" w:lineRule="auto"/>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1.主厨1名：具有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或人社部门备案的社会评价组织颁发的一级中式烹调师得10分，二级得5分，</w:t>
            </w:r>
            <w:r>
              <w:rPr>
                <w:rFonts w:eastAsia="宋体" w:hAnsi="宋体" w:cs="宋体" w:hint="eastAsia"/>
                <w:sz w:val="21"/>
                <w:szCs w:val="21"/>
                <w:lang w:eastAsia="zh-CN" w:bidi="ar"/>
              </w:rPr>
              <w:t>其他情况</w:t>
            </w:r>
            <w:r>
              <w:rPr>
                <w:rFonts w:ascii="宋体" w:eastAsia="宋体" w:hAnsi="宋体" w:cs="宋体" w:hint="eastAsia"/>
                <w:sz w:val="21"/>
                <w:szCs w:val="21"/>
                <w:lang w:eastAsia="zh-CN" w:bidi="ar"/>
              </w:rPr>
              <w:t>不得分，本小项最高得10分；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r>
              <w:rPr>
                <w:rFonts w:ascii="宋体" w:hAnsi="宋体" w:cs="宋体" w:hint="eastAsia"/>
                <w:sz w:val="21"/>
                <w:szCs w:val="21"/>
                <w:lang w:eastAsia="zh-CN" w:bidi="ar"/>
              </w:rPr>
              <w:t>营养师1</w:t>
            </w:r>
            <w:r>
              <w:rPr>
                <w:rFonts w:ascii="宋体" w:eastAsia="宋体" w:hAnsi="宋体" w:cs="宋体" w:hint="eastAsia"/>
                <w:sz w:val="21"/>
                <w:szCs w:val="21"/>
                <w:lang w:eastAsia="zh-CN" w:bidi="ar"/>
              </w:rPr>
              <w:t>名：在具有专科或以上学历（食品类或管理类相关专业）证书的基础上，进行如下评分 ：</w:t>
            </w:r>
          </w:p>
          <w:p>
            <w:pPr>
              <w:keepNext w:val="0"/>
              <w:keepLines w:val="0"/>
              <w:pageBreakBefore w:val="0"/>
              <w:widowControl/>
              <w:kinsoku/>
              <w:wordWrap/>
              <w:overflowPunct/>
              <w:topLinePunct w:val="0"/>
              <w:autoSpaceDE/>
              <w:autoSpaceDN/>
              <w:bidi w:val="0"/>
              <w:adjustRightInd/>
              <w:snapToGrid/>
              <w:spacing w:line="300" w:lineRule="auto"/>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或人社部门备案的社会评价组织颁发的一级健康管理师证书；</w:t>
            </w:r>
          </w:p>
          <w:p>
            <w:pPr>
              <w:keepNext w:val="0"/>
              <w:keepLines w:val="0"/>
              <w:pageBreakBefore w:val="0"/>
              <w:widowControl/>
              <w:kinsoku/>
              <w:wordWrap/>
              <w:overflowPunct/>
              <w:topLinePunct w:val="0"/>
              <w:autoSpaceDE/>
              <w:autoSpaceDN/>
              <w:bidi w:val="0"/>
              <w:adjustRightInd/>
              <w:snapToGrid/>
              <w:spacing w:line="300" w:lineRule="auto"/>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或人社部门备案的社会评价组织颁发的一级公共营养师证书的；</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210" w:firstLineChars="10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满足以上条件得</w:t>
            </w:r>
            <w:r>
              <w:rPr>
                <w:rFonts w:ascii="宋体" w:hAnsi="宋体" w:cs="宋体" w:hint="eastAsia"/>
                <w:sz w:val="21"/>
                <w:szCs w:val="21"/>
                <w:lang w:eastAsia="zh-CN" w:bidi="ar"/>
              </w:rPr>
              <w:t>40</w:t>
            </w:r>
            <w:r>
              <w:rPr>
                <w:rFonts w:ascii="宋体" w:eastAsia="宋体" w:hAnsi="宋体" w:cs="宋体" w:hint="eastAsia"/>
                <w:sz w:val="21"/>
                <w:szCs w:val="21"/>
                <w:lang w:eastAsia="zh-CN" w:bidi="ar"/>
              </w:rPr>
              <w:t>分，未满足不得分，本小项最高得</w:t>
            </w:r>
            <w:r>
              <w:rPr>
                <w:rFonts w:ascii="宋体" w:hAnsi="宋体" w:cs="宋体" w:hint="eastAsia"/>
                <w:sz w:val="21"/>
                <w:szCs w:val="21"/>
                <w:lang w:eastAsia="zh-CN" w:bidi="ar"/>
              </w:rPr>
              <w:t>40</w:t>
            </w:r>
            <w:r>
              <w:rPr>
                <w:rFonts w:ascii="宋体" w:eastAsia="宋体" w:hAnsi="宋体" w:cs="宋体" w:hint="eastAsia"/>
                <w:sz w:val="21"/>
                <w:szCs w:val="21"/>
                <w:lang w:eastAsia="zh-CN" w:bidi="ar"/>
              </w:rPr>
              <w:t>分。</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firstLine="0" w:leftChars="0"/>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3.出品主管1名：</w:t>
            </w:r>
          </w:p>
          <w:p>
            <w:pPr>
              <w:keepNext w:val="0"/>
              <w:keepLines w:val="0"/>
              <w:pageBreakBefore w:val="0"/>
              <w:widowControl/>
              <w:numPr>
                <w:ilvl w:val="0"/>
                <w:numId w:val="9"/>
              </w:numPr>
              <w:tabs>
                <w:tab w:val="left" w:pos="312"/>
              </w:tabs>
              <w:kinsoku/>
              <w:wordWrap/>
              <w:overflowPunct/>
              <w:topLinePunct w:val="0"/>
              <w:autoSpaceDE/>
              <w:autoSpaceDN/>
              <w:bidi w:val="0"/>
              <w:adjustRightInd/>
              <w:snapToGrid/>
              <w:spacing w:line="300" w:lineRule="auto"/>
              <w:ind w:leftChars="0"/>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或人社部门备案的社会评价组织颁发的一级中式烹调师证书；</w:t>
            </w:r>
          </w:p>
          <w:p>
            <w:pPr>
              <w:keepNext w:val="0"/>
              <w:keepLines w:val="0"/>
              <w:pageBreakBefore w:val="0"/>
              <w:widowControl/>
              <w:numPr>
                <w:ilvl w:val="0"/>
                <w:numId w:val="9"/>
              </w:numPr>
              <w:tabs>
                <w:tab w:val="left" w:pos="312"/>
              </w:tabs>
              <w:kinsoku/>
              <w:wordWrap/>
              <w:overflowPunct/>
              <w:topLinePunct w:val="0"/>
              <w:autoSpaceDE/>
              <w:autoSpaceDN/>
              <w:bidi w:val="0"/>
              <w:adjustRightInd/>
              <w:snapToGrid/>
              <w:spacing w:line="300" w:lineRule="auto"/>
              <w:ind w:leftChars="0"/>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具有</w:t>
            </w:r>
            <w:r>
              <w:rPr>
                <w:rFonts w:ascii="宋体" w:eastAsia="宋体" w:hAnsi="宋体" w:cs="宋体" w:hint="eastAsia"/>
                <w:sz w:val="21"/>
                <w:szCs w:val="21"/>
                <w:lang w:eastAsia="zh-CN"/>
              </w:rPr>
              <w:t>行政机关或事业单位</w:t>
            </w:r>
            <w:r>
              <w:rPr>
                <w:rFonts w:ascii="宋体" w:eastAsia="宋体" w:hAnsi="宋体" w:cs="宋体" w:hint="eastAsia"/>
                <w:sz w:val="21"/>
                <w:szCs w:val="21"/>
                <w:lang w:eastAsia="zh-CN" w:bidi="ar"/>
              </w:rPr>
              <w:t>或人社部门备案的社会评价组织颁发的一级中式面点师证书；</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firstLine="0"/>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  满足以上条件得</w:t>
            </w:r>
            <w:r>
              <w:rPr>
                <w:rFonts w:ascii="宋体" w:hAnsi="宋体" w:cs="宋体" w:hint="eastAsia"/>
                <w:sz w:val="21"/>
                <w:szCs w:val="21"/>
                <w:lang w:eastAsia="zh-CN" w:bidi="ar"/>
              </w:rPr>
              <w:t>35</w:t>
            </w:r>
            <w:r>
              <w:rPr>
                <w:rFonts w:ascii="宋体" w:eastAsia="宋体" w:hAnsi="宋体" w:cs="宋体" w:hint="eastAsia"/>
                <w:sz w:val="21"/>
                <w:szCs w:val="21"/>
                <w:lang w:eastAsia="zh-CN" w:bidi="ar"/>
              </w:rPr>
              <w:t>分，未满足不得分，本小项最高得</w:t>
            </w:r>
            <w:r>
              <w:rPr>
                <w:rFonts w:ascii="宋体" w:hAnsi="宋体" w:cs="宋体" w:hint="eastAsia"/>
                <w:sz w:val="21"/>
                <w:szCs w:val="21"/>
                <w:lang w:eastAsia="zh-CN" w:bidi="ar"/>
              </w:rPr>
              <w:t>35</w:t>
            </w:r>
            <w:r>
              <w:rPr>
                <w:rFonts w:ascii="宋体" w:eastAsia="宋体" w:hAnsi="宋体" w:cs="宋体" w:hint="eastAsia"/>
                <w:sz w:val="21"/>
                <w:szCs w:val="21"/>
                <w:lang w:eastAsia="zh-CN" w:bidi="ar"/>
              </w:rPr>
              <w:t>分</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firstLine="0"/>
              <w:textAlignment w:val="auto"/>
              <w:rPr>
                <w:rFonts w:ascii="宋体" w:eastAsia="宋体" w:hAnsi="宋体" w:cs="宋体"/>
                <w:sz w:val="21"/>
                <w:szCs w:val="21"/>
                <w:lang w:eastAsia="zh-CN" w:bidi="ar"/>
              </w:rPr>
            </w:pPr>
            <w:r>
              <w:rPr>
                <w:rFonts w:ascii="宋体" w:hAnsi="宋体" w:cs="宋体" w:hint="eastAsia"/>
                <w:sz w:val="21"/>
                <w:szCs w:val="21"/>
                <w:lang w:eastAsia="zh-CN" w:bidi="ar"/>
              </w:rPr>
              <w:t>4.食品安全管理员1名：市场监督管理局或食品药品监督管理局颁发的有效期内初级餐饮服务食品安全管理员证书的得5分，中级餐饮服务食品安全管理员证书的得10分，高级餐饮服务食品安全管理员证书的得15分,本项最高得分15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 </w:t>
            </w:r>
            <w:r>
              <w:rPr>
                <w:rFonts w:ascii="宋体" w:eastAsia="宋体" w:hAnsi="宋体" w:cs="宋体" w:hint="eastAsia"/>
                <w:b/>
                <w:bCs/>
                <w:sz w:val="21"/>
                <w:szCs w:val="21"/>
                <w:lang w:eastAsia="zh-CN" w:bidi="ar"/>
              </w:rPr>
              <w:t xml:space="preserve">（二）评分依据：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1、项目团队成员必须为响应供应商自有员工，开标日前由响应供应商为其缴交的载有社保部门公章的 2024年</w:t>
            </w:r>
            <w:r>
              <w:rPr>
                <w:rFonts w:ascii="宋体" w:hAnsi="宋体" w:cs="宋体" w:hint="eastAsia"/>
                <w:sz w:val="21"/>
                <w:szCs w:val="21"/>
                <w:lang w:eastAsia="zh-CN" w:bidi="ar"/>
              </w:rPr>
              <w:t>10</w:t>
            </w:r>
            <w:r>
              <w:rPr>
                <w:rFonts w:ascii="宋体" w:eastAsia="宋体" w:hAnsi="宋体" w:cs="宋体" w:hint="eastAsia"/>
                <w:sz w:val="21"/>
                <w:szCs w:val="21"/>
                <w:lang w:eastAsia="zh-CN" w:bidi="ar"/>
              </w:rPr>
              <w:t>月至 2024年</w:t>
            </w:r>
            <w:r>
              <w:rPr>
                <w:rFonts w:ascii="宋体" w:hAnsi="宋体" w:cs="宋体" w:hint="eastAsia"/>
                <w:sz w:val="21"/>
                <w:szCs w:val="21"/>
                <w:lang w:eastAsia="zh-CN" w:bidi="ar"/>
              </w:rPr>
              <w:t>12</w:t>
            </w:r>
            <w:r>
              <w:rPr>
                <w:rFonts w:ascii="宋体" w:eastAsia="宋体" w:hAnsi="宋体" w:cs="宋体" w:hint="eastAsia"/>
                <w:sz w:val="21"/>
                <w:szCs w:val="21"/>
                <w:lang w:eastAsia="zh-CN" w:bidi="ar"/>
              </w:rPr>
              <w:t>月社保缴交证明材料（已退休返聘人员需提供聘用合同），如开标日上一个月的社保材料因社保部门原因暂时无法取得，则可以往前顺延一个月，</w:t>
            </w:r>
            <w:r>
              <w:rPr>
                <w:rFonts w:ascii="宋体" w:eastAsia="宋体" w:hAnsi="宋体" w:cs="宋体" w:hint="eastAsia"/>
                <w:sz w:val="21"/>
                <w:szCs w:val="21"/>
                <w:lang w:eastAsia="zh-CN" w:bidi="ar"/>
              </w:rPr>
              <w:t>投标人若为新成立企业（或成立时间不足3月）的，按成立时限提供</w:t>
            </w:r>
            <w:r>
              <w:rPr>
                <w:rFonts w:ascii="宋体" w:eastAsia="宋体" w:hAnsi="宋体" w:cs="宋体" w:hint="eastAsia"/>
                <w:sz w:val="21"/>
                <w:szCs w:val="21"/>
                <w:lang w:eastAsia="zh-CN" w:bidi="ar"/>
              </w:rPr>
              <w:t xml:space="preserve">；社保资料必须至少显示缴交养老保险信息，未显示该信息的该社保资料则不符合要求，原件备查。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val="restart"/>
            <w:tcBorders>
              <w:top w:val="single" w:sz="8" w:space="0" w:color="000000"/>
              <w:left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3</w:t>
            </w:r>
          </w:p>
        </w:tc>
        <w:tc>
          <w:tcPr>
            <w:tcW w:w="3078"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商务部分</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35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序号</w:t>
            </w:r>
          </w:p>
        </w:tc>
        <w:tc>
          <w:tcPr>
            <w:tcW w:w="145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评分因素</w:t>
            </w:r>
          </w:p>
        </w:tc>
        <w:tc>
          <w:tcPr>
            <w:tcW w:w="9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权重(%)</w:t>
            </w:r>
          </w:p>
        </w:tc>
        <w:tc>
          <w:tcPr>
            <w:tcW w:w="5034"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通过相关认证情况</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评分内容：</w:t>
            </w:r>
          </w:p>
          <w:p>
            <w:pPr>
              <w:keepNext w:val="0"/>
              <w:keepLines w:val="0"/>
              <w:pageBreakBefore w:val="0"/>
              <w:widowControl/>
              <w:numPr>
                <w:ilvl w:val="0"/>
                <w:numId w:val="1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具有质量管理体系认证证书，得20分； </w:t>
            </w:r>
          </w:p>
          <w:p>
            <w:pPr>
              <w:keepNext w:val="0"/>
              <w:keepLines w:val="0"/>
              <w:pageBreakBefore w:val="0"/>
              <w:widowControl/>
              <w:numPr>
                <w:ilvl w:val="0"/>
                <w:numId w:val="1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 xml:space="preserve">具有环境管理体系认证证书，得20分； </w:t>
            </w:r>
          </w:p>
          <w:p>
            <w:pPr>
              <w:keepNext w:val="0"/>
              <w:keepLines w:val="0"/>
              <w:pageBreakBefore w:val="0"/>
              <w:widowControl/>
              <w:numPr>
                <w:ilvl w:val="0"/>
                <w:numId w:val="1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 xml:space="preserve">具有食品安全管理体系认证证书，得20分； </w:t>
            </w:r>
          </w:p>
          <w:p>
            <w:pPr>
              <w:keepNext w:val="0"/>
              <w:keepLines w:val="0"/>
              <w:pageBreakBefore w:val="0"/>
              <w:widowControl/>
              <w:numPr>
                <w:ilvl w:val="0"/>
                <w:numId w:val="1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 xml:space="preserve">具有餐饮企业现场管理评价认证证书，得20分； </w:t>
            </w:r>
          </w:p>
          <w:p>
            <w:pPr>
              <w:keepNext w:val="0"/>
              <w:keepLines w:val="0"/>
              <w:pageBreakBefore w:val="0"/>
              <w:widowControl/>
              <w:numPr>
                <w:ilvl w:val="0"/>
                <w:numId w:val="11"/>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具有绿色餐饮服务认证证书，得20分。</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rPr>
            </w:pPr>
            <w:r>
              <w:rPr>
                <w:rFonts w:ascii="宋体" w:eastAsia="宋体" w:hAnsi="宋体" w:cs="宋体" w:hint="eastAsia"/>
                <w:sz w:val="21"/>
                <w:szCs w:val="21"/>
                <w:lang w:eastAsia="zh-CN" w:bidi="ar"/>
              </w:rPr>
              <w:t xml:space="preserve"> 以上证书累加计分，满分得100分。 </w:t>
            </w:r>
          </w:p>
          <w:p>
            <w:pPr>
              <w:keepNext w:val="0"/>
              <w:keepLines w:val="0"/>
              <w:pageBreakBefore w:val="0"/>
              <w:widowControl/>
              <w:numPr>
                <w:ilvl w:val="0"/>
                <w:numId w:val="1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评分依据：</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105" w:firstLine="0" w:leftChars="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 xml:space="preserve">提供有效期内的认证证书扫描件及在全国认证认可信息公共服务平台（认e云）查询有效的截图（http://cx.cnca.cn）且编号一致，原件备查（截图需显示证书状态为有效）。 </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食品检测</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2"/>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评分内容：</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 1、按以下要求提供有效期内具备CMA和CNAS资质的第三方检测机构出具的印有CMA和CNAS印章的合格检测报告（检测报告的委托单位需为投标人）：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检测至少包含以下项目但不限于：①生产用水②炒菜类③米饭④餐盘和筷子。</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全部具有得100分，缺一项扣30分。 </w:t>
            </w:r>
          </w:p>
          <w:p>
            <w:pPr>
              <w:keepNext w:val="0"/>
              <w:keepLines w:val="0"/>
              <w:pageBreakBefore w:val="0"/>
              <w:widowControl/>
              <w:numPr>
                <w:ilvl w:val="0"/>
                <w:numId w:val="12"/>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bidi="ar"/>
              </w:rPr>
            </w:pPr>
            <w:r>
              <w:rPr>
                <w:rFonts w:ascii="宋体" w:eastAsia="宋体" w:hAnsi="宋体" w:cs="宋体" w:hint="eastAsia"/>
                <w:b/>
                <w:bCs/>
                <w:sz w:val="21"/>
                <w:szCs w:val="21"/>
                <w:lang w:eastAsia="zh-CN" w:bidi="ar"/>
              </w:rPr>
              <w:t xml:space="preserve">评分依据：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bidi="ar"/>
              </w:rPr>
            </w:pPr>
            <w:r>
              <w:rPr>
                <w:rFonts w:ascii="宋体" w:eastAsia="宋体" w:hAnsi="宋体" w:cs="宋体" w:hint="eastAsia"/>
                <w:sz w:val="21"/>
                <w:szCs w:val="21"/>
                <w:lang w:eastAsia="zh-CN" w:bidi="ar"/>
              </w:rPr>
              <w:t>投标人须提供相关检测报告证明文件扫描件</w:t>
            </w:r>
            <w:r>
              <w:rPr>
                <w:rFonts w:ascii="宋体" w:eastAsia="宋体" w:hAnsi="宋体" w:cs="宋体" w:hint="eastAsia"/>
                <w:sz w:val="21"/>
                <w:szCs w:val="21"/>
                <w:lang w:bidi="ar"/>
              </w:rPr>
              <w:t>及在全国认证认可信息公共服务平台（认e云）查询有效的截图（http://cx.cnca.cn）且编号一致，原件备查。</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eastAsia="zh-CN"/>
              </w:rPr>
            </w:pPr>
            <w:r>
              <w:rPr>
                <w:rFonts w:ascii="宋体" w:eastAsia="宋体" w:hAnsi="宋体" w:cs="宋体" w:hint="eastAsia"/>
                <w:sz w:val="21"/>
                <w:szCs w:val="21"/>
                <w:lang w:eastAsia="zh-CN" w:bidi="ar"/>
              </w:rPr>
              <w:t>未提供或未按要求提供或提供不清晰导致评审无法辨别的不得分。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rPr>
              <w:t>3</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服务网点</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3"/>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评分内容：</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rPr>
              <w:t>投标人在深圳市</w:t>
            </w:r>
            <w:r>
              <w:rPr>
                <w:rFonts w:ascii="宋体" w:eastAsia="宋体" w:hAnsi="宋体" w:cs="宋体" w:hint="eastAsia"/>
                <w:sz w:val="21"/>
                <w:szCs w:val="21"/>
                <w:lang w:eastAsia="zh-CN"/>
              </w:rPr>
              <w:t>设有常驻服务点</w:t>
            </w:r>
            <w:r>
              <w:rPr>
                <w:rFonts w:ascii="宋体" w:eastAsia="宋体" w:hAnsi="宋体" w:cs="宋体" w:hint="eastAsia"/>
                <w:sz w:val="21"/>
                <w:szCs w:val="21"/>
              </w:rPr>
              <w:t>或投标人承诺</w:t>
            </w:r>
            <w:r>
              <w:rPr>
                <w:rFonts w:ascii="宋体" w:eastAsia="宋体" w:hAnsi="宋体" w:cs="宋体" w:hint="eastAsia"/>
                <w:sz w:val="21"/>
                <w:szCs w:val="21"/>
                <w:lang w:eastAsia="zh-CN"/>
              </w:rPr>
              <w:t>中标</w:t>
            </w:r>
            <w:r>
              <w:rPr>
                <w:rFonts w:ascii="宋体" w:eastAsia="宋体" w:hAnsi="宋体" w:cs="宋体" w:hint="eastAsia"/>
                <w:sz w:val="21"/>
                <w:szCs w:val="21"/>
              </w:rPr>
              <w:t>后30日内在深圳市范围内设定</w:t>
            </w:r>
            <w:r>
              <w:rPr>
                <w:rFonts w:ascii="宋体" w:eastAsia="宋体" w:hAnsi="宋体" w:cs="宋体" w:hint="eastAsia"/>
                <w:sz w:val="21"/>
                <w:szCs w:val="21"/>
                <w:lang w:eastAsia="zh-CN"/>
              </w:rPr>
              <w:t>常驻服务点</w:t>
            </w:r>
            <w:r>
              <w:rPr>
                <w:rFonts w:ascii="宋体" w:eastAsia="宋体" w:hAnsi="宋体" w:cs="宋体" w:hint="eastAsia"/>
                <w:sz w:val="21"/>
                <w:szCs w:val="21"/>
              </w:rPr>
              <w:t>的得</w:t>
            </w:r>
            <w:r>
              <w:rPr>
                <w:rFonts w:ascii="宋体" w:eastAsia="宋体" w:hAnsi="宋体" w:cs="宋体" w:hint="eastAsia"/>
                <w:sz w:val="21"/>
                <w:szCs w:val="21"/>
                <w:lang w:eastAsia="zh-CN"/>
              </w:rPr>
              <w:t>100</w:t>
            </w:r>
            <w:r>
              <w:rPr>
                <w:rFonts w:ascii="宋体" w:eastAsia="宋体" w:hAnsi="宋体" w:cs="宋体" w:hint="eastAsia"/>
                <w:sz w:val="21"/>
                <w:szCs w:val="21"/>
              </w:rPr>
              <w:t>分,其他</w:t>
            </w:r>
            <w:r>
              <w:rPr>
                <w:rFonts w:ascii="宋体" w:eastAsia="宋体" w:hAnsi="宋体" w:cs="宋体" w:hint="eastAsia"/>
                <w:sz w:val="21"/>
                <w:szCs w:val="21"/>
                <w:lang w:eastAsia="zh-CN"/>
              </w:rPr>
              <w:t>情况</w:t>
            </w:r>
            <w:r>
              <w:rPr>
                <w:rFonts w:ascii="宋体" w:eastAsia="宋体" w:hAnsi="宋体" w:cs="宋体" w:hint="eastAsia"/>
                <w:sz w:val="21"/>
                <w:szCs w:val="21"/>
              </w:rPr>
              <w:t>不得分。</w:t>
            </w:r>
          </w:p>
          <w:p>
            <w:pPr>
              <w:keepNext w:val="0"/>
              <w:keepLines w:val="0"/>
              <w:pageBreakBefore w:val="0"/>
              <w:widowControl/>
              <w:numPr>
                <w:ilvl w:val="0"/>
                <w:numId w:val="13"/>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评分依据：</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投标人提供服务机构的营业执照或办公场所的房产证明或租赁合同扫描件；或提供符合上述要求的承诺函。</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未提供或未按要求提供或提供不清晰导致专家无法判断的不得分。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rPr>
              <w:t>4</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rPr>
            </w:pPr>
            <w:r>
              <w:rPr>
                <w:rFonts w:ascii="宋体" w:eastAsia="宋体" w:hAnsi="宋体" w:cs="宋体" w:hint="eastAsia"/>
                <w:sz w:val="21"/>
                <w:szCs w:val="21"/>
                <w:lang w:eastAsia="zh-CN" w:bidi="ar"/>
              </w:rPr>
              <w:t>供应商获奖情况</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4"/>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评分内容：</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投标人提供2021年1月1日至本项目投标截止之日（以证书落款日期为准），获得国家级餐饮主管部门或烹饪协会颁发的</w:t>
            </w:r>
            <w:r>
              <w:rPr>
                <w:rFonts w:ascii="宋体" w:hAnsi="宋体" w:cs="宋体" w:hint="eastAsia"/>
                <w:sz w:val="21"/>
                <w:szCs w:val="21"/>
                <w:lang w:eastAsia="zh-CN" w:bidi="ar"/>
              </w:rPr>
              <w:t>团餐</w:t>
            </w:r>
            <w:r>
              <w:rPr>
                <w:rFonts w:ascii="宋体" w:eastAsia="宋体" w:hAnsi="宋体" w:cs="宋体" w:hint="eastAsia"/>
                <w:sz w:val="21"/>
                <w:szCs w:val="21"/>
                <w:lang w:eastAsia="zh-CN" w:bidi="ar"/>
              </w:rPr>
              <w:t>类技术比赛荣誉证书的得100分，省级荣誉的得50分，市级荣誉的得10分，相关荣誉可累计得分，本项满分100分。</w:t>
            </w:r>
          </w:p>
          <w:p>
            <w:pPr>
              <w:keepNext w:val="0"/>
              <w:keepLines w:val="0"/>
              <w:pageBreakBefore w:val="0"/>
              <w:widowControl/>
              <w:numPr>
                <w:ilvl w:val="0"/>
                <w:numId w:val="14"/>
              </w:numPr>
              <w:kinsoku/>
              <w:wordWrap/>
              <w:overflowPunct/>
              <w:topLinePunct w:val="0"/>
              <w:autoSpaceDE/>
              <w:autoSpaceDN/>
              <w:bidi w:val="0"/>
              <w:adjustRightInd/>
              <w:snapToGrid/>
              <w:spacing w:line="300" w:lineRule="auto"/>
              <w:ind w:left="0" w:firstLine="0" w:leftChars="0" w:firstLineChars="0"/>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评分依据： </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0" w:firstLine="0"/>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提供奖项照片或获奖（荣誉）证书等证明材料扫描件，原件备查；如协会或其他社会组织颁发的证书（或荣誉），避免出现山寨组织或取缔组织，由社会组织颁发的证书，还需提供该组织在“中国社会组织政务服务平台（官网地址：(https://chinanpo.mca.gov.cn/)”的已合法登记且状态正常截图。否则不予认可，视为无效证书。</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pacing w:val="14"/>
                <w:sz w:val="21"/>
                <w:szCs w:val="21"/>
              </w:rPr>
            </w:pPr>
            <w:r>
              <w:rPr>
                <w:rFonts w:ascii="宋体" w:eastAsia="宋体" w:hAnsi="宋体" w:cs="宋体" w:hint="eastAsia"/>
                <w:sz w:val="21"/>
                <w:szCs w:val="21"/>
                <w:lang w:eastAsia="zh-CN" w:bidi="ar"/>
              </w:rPr>
              <w:t>备注：评分中出现无证明资料或专家无法凭所提供资料判断是否得分的情况，一律作不得分处理。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rPr>
              <w:t>5</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同类项目业绩</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5"/>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评分内容：</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投标人提供2021年1月1日至本项目投标截止之日（以合同签订时间为准），承担过</w:t>
            </w:r>
            <w:r>
              <w:rPr>
                <w:rFonts w:ascii="宋体" w:eastAsia="宋体" w:hAnsi="宋体" w:cs="宋体" w:hint="eastAsia"/>
                <w:sz w:val="21"/>
                <w:szCs w:val="21"/>
                <w:lang w:eastAsia="zh-CN" w:bidi="ar"/>
              </w:rPr>
              <w:t>行政机关</w:t>
            </w:r>
            <w:r>
              <w:rPr>
                <w:rFonts w:ascii="宋体" w:eastAsia="宋体" w:hAnsi="宋体" w:cs="宋体" w:hint="eastAsia"/>
                <w:sz w:val="21"/>
                <w:szCs w:val="21"/>
                <w:lang w:bidi="ar"/>
              </w:rPr>
              <w:t>或事业单位的食堂托管管理服务</w:t>
            </w:r>
            <w:r>
              <w:rPr>
                <w:rFonts w:ascii="宋体" w:eastAsia="宋体" w:hAnsi="宋体" w:cs="宋体" w:hint="eastAsia"/>
                <w:sz w:val="21"/>
                <w:szCs w:val="21"/>
                <w:lang w:eastAsia="zh-CN" w:bidi="ar"/>
              </w:rPr>
              <w:t>或</w:t>
            </w:r>
            <w:r>
              <w:rPr>
                <w:rFonts w:ascii="宋体" w:eastAsia="宋体" w:hAnsi="宋体" w:cs="宋体" w:hint="eastAsia"/>
                <w:sz w:val="21"/>
                <w:szCs w:val="21"/>
                <w:lang w:bidi="ar"/>
              </w:rPr>
              <w:t>食堂外包服务类同类项目业绩</w:t>
            </w:r>
            <w:r>
              <w:rPr>
                <w:rFonts w:ascii="宋体" w:eastAsia="宋体" w:hAnsi="宋体" w:cs="宋体" w:hint="eastAsia"/>
                <w:sz w:val="21"/>
                <w:szCs w:val="21"/>
                <w:lang w:eastAsia="zh-CN" w:bidi="ar"/>
              </w:rPr>
              <w:t>,每提供1个同类业绩得20分，满分100分。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（二）评分依据： </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提供中标通知书和合同关键页</w:t>
            </w:r>
            <w:r>
              <w:rPr>
                <w:rFonts w:ascii="宋体" w:eastAsia="宋体" w:hAnsi="宋体" w:cs="宋体" w:hint="eastAsia"/>
                <w:bCs/>
                <w:sz w:val="21"/>
                <w:szCs w:val="21"/>
              </w:rPr>
              <w:t>（关键信息包括但不仅限于合同的项目名称、服务内容、合同服务的起止时间、签订日期等）</w:t>
            </w:r>
            <w:r>
              <w:rPr>
                <w:rFonts w:ascii="宋体" w:eastAsia="宋体" w:hAnsi="宋体" w:cs="宋体" w:hint="eastAsia"/>
                <w:sz w:val="21"/>
                <w:szCs w:val="21"/>
                <w:lang w:eastAsia="zh-CN" w:bidi="ar"/>
              </w:rPr>
              <w:t>证明文件扫描件，若合同无法体现的还需提供加盖甲方公章或业务章的证明文件，原件备查。</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802"/>
          <w:tblCellSpacing w:w="0" w:type="dxa"/>
          <w:jc w:val="center"/>
        </w:trPr>
        <w:tc>
          <w:tcPr>
            <w:tcW w:w="617" w:type="dxa"/>
            <w:vMerge/>
            <w:tcBorders>
              <w:left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shd w:val="clear" w:color="auto" w:fill="FFFFFF"/>
              </w:rPr>
              <w:t>6</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履约评价情况</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numPr>
                <w:ilvl w:val="0"/>
                <w:numId w:val="16"/>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评分内容： </w:t>
            </w:r>
          </w:p>
          <w:p>
            <w:pPr>
              <w:keepNext w:val="0"/>
              <w:keepLines w:val="0"/>
              <w:pageBreakBefore w:val="0"/>
              <w:widowControl/>
              <w:kinsoku/>
              <w:wordWrap/>
              <w:overflowPunct/>
              <w:topLinePunct w:val="0"/>
              <w:autoSpaceDE/>
              <w:autoSpaceDN/>
              <w:bidi w:val="0"/>
              <w:adjustRightInd/>
              <w:snapToGrid/>
              <w:spacing w:line="300" w:lineRule="auto"/>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投标人提供2021年1月1日至本项目投标截止日前，具有上述有效项目业绩并经服务单位考核评价为优或满意</w:t>
            </w:r>
            <w:r>
              <w:rPr>
                <w:rFonts w:ascii="宋体" w:eastAsia="宋体" w:hAnsi="宋体" w:cs="宋体" w:hint="eastAsia"/>
                <w:sz w:val="21"/>
                <w:szCs w:val="21"/>
                <w:lang w:eastAsia="zh-CN"/>
              </w:rPr>
              <w:t>或</w:t>
            </w:r>
            <w:r>
              <w:rPr>
                <w:rFonts w:ascii="宋体" w:eastAsia="宋体" w:hAnsi="宋体" w:cs="宋体" w:hint="eastAsia"/>
                <w:sz w:val="21"/>
                <w:szCs w:val="21"/>
              </w:rPr>
              <w:t>评价表中其他最高等级评价</w:t>
            </w:r>
            <w:r>
              <w:rPr>
                <w:rFonts w:ascii="宋体" w:eastAsia="宋体" w:hAnsi="宋体" w:cs="宋体" w:hint="eastAsia"/>
                <w:sz w:val="21"/>
                <w:szCs w:val="21"/>
                <w:lang w:eastAsia="zh-CN" w:bidi="ar"/>
              </w:rPr>
              <w:t>的每提供1项得20分，本项最高得100分。</w:t>
            </w:r>
          </w:p>
          <w:p>
            <w:pPr>
              <w:keepNext w:val="0"/>
              <w:keepLines w:val="0"/>
              <w:pageBreakBefore w:val="0"/>
              <w:widowControl/>
              <w:numPr>
                <w:ilvl w:val="0"/>
                <w:numId w:val="16"/>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b/>
                <w:bCs/>
                <w:sz w:val="21"/>
                <w:szCs w:val="21"/>
                <w:lang w:eastAsia="zh-CN" w:bidi="ar"/>
              </w:rPr>
            </w:pPr>
            <w:r>
              <w:rPr>
                <w:rFonts w:ascii="宋体" w:eastAsia="宋体" w:hAnsi="宋体" w:cs="宋体" w:hint="eastAsia"/>
                <w:b/>
                <w:bCs/>
                <w:sz w:val="21"/>
                <w:szCs w:val="21"/>
                <w:lang w:eastAsia="zh-CN" w:bidi="ar"/>
              </w:rPr>
              <w:t xml:space="preserve">评分依据： </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jc w:val="left"/>
              <w:textAlignment w:val="auto"/>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提供以上项目</w:t>
            </w:r>
            <w:r>
              <w:rPr>
                <w:rFonts w:ascii="宋体" w:eastAsia="宋体" w:hAnsi="宋体" w:cs="宋体" w:hint="eastAsia"/>
                <w:sz w:val="21"/>
                <w:szCs w:val="21"/>
                <w:lang w:eastAsia="zh-CN"/>
              </w:rPr>
              <w:t>盖有</w:t>
            </w:r>
            <w:r>
              <w:rPr>
                <w:rFonts w:ascii="宋体" w:eastAsia="宋体" w:hAnsi="宋体" w:cs="宋体" w:hint="eastAsia"/>
                <w:sz w:val="21"/>
                <w:szCs w:val="21"/>
              </w:rPr>
              <w:t>采购单位</w:t>
            </w:r>
            <w:r>
              <w:rPr>
                <w:rFonts w:ascii="宋体" w:eastAsia="宋体" w:hAnsi="宋体" w:cs="宋体" w:hint="eastAsia"/>
                <w:sz w:val="21"/>
                <w:szCs w:val="21"/>
                <w:lang w:eastAsia="zh-CN"/>
              </w:rPr>
              <w:t>公章</w:t>
            </w:r>
            <w:r>
              <w:rPr>
                <w:rFonts w:ascii="宋体" w:eastAsia="宋体" w:hAnsi="宋体" w:cs="宋体" w:hint="eastAsia"/>
                <w:sz w:val="21"/>
                <w:szCs w:val="21"/>
              </w:rPr>
              <w:t>的总体履约评价为“优”或</w:t>
            </w:r>
            <w:r>
              <w:rPr>
                <w:rFonts w:ascii="宋体" w:eastAsia="宋体" w:hAnsi="宋体" w:cs="宋体" w:hint="eastAsia"/>
                <w:sz w:val="21"/>
                <w:szCs w:val="21"/>
                <w:lang w:eastAsia="zh-CN"/>
              </w:rPr>
              <w:t>满意</w:t>
            </w:r>
            <w:r>
              <w:rPr>
                <w:rFonts w:ascii="宋体" w:eastAsia="宋体" w:hAnsi="宋体" w:cs="宋体" w:hint="eastAsia"/>
                <w:sz w:val="21"/>
                <w:szCs w:val="21"/>
              </w:rPr>
              <w:t>或评价表中其他最高等级评价的</w:t>
            </w:r>
            <w:r>
              <w:rPr>
                <w:rFonts w:ascii="宋体" w:eastAsia="宋体" w:hAnsi="宋体" w:cs="宋体" w:hint="eastAsia"/>
                <w:sz w:val="21"/>
                <w:szCs w:val="21"/>
                <w:lang w:eastAsia="zh-CN"/>
              </w:rPr>
              <w:t>履约评价证明文件（</w:t>
            </w:r>
            <w:r>
              <w:rPr>
                <w:rFonts w:ascii="宋体" w:eastAsia="宋体" w:hAnsi="宋体" w:cs="宋体" w:hint="eastAsia"/>
                <w:sz w:val="21"/>
                <w:szCs w:val="21"/>
              </w:rPr>
              <w:t>内容必须包括但不仅限于项目名称、</w:t>
            </w:r>
            <w:r>
              <w:rPr>
                <w:rFonts w:ascii="宋体" w:eastAsia="宋体" w:hAnsi="宋体" w:cs="宋体" w:hint="eastAsia"/>
                <w:sz w:val="21"/>
                <w:szCs w:val="21"/>
                <w:lang w:eastAsia="zh-CN"/>
              </w:rPr>
              <w:t>项目编号、</w:t>
            </w:r>
            <w:r>
              <w:rPr>
                <w:rFonts w:ascii="宋体" w:eastAsia="宋体" w:hAnsi="宋体" w:cs="宋体" w:hint="eastAsia"/>
                <w:sz w:val="21"/>
                <w:szCs w:val="21"/>
              </w:rPr>
              <w:t>总体履约评价结果、出具证明的签署日期等相关内容</w:t>
            </w:r>
            <w:r>
              <w:rPr>
                <w:rFonts w:ascii="宋体" w:eastAsia="宋体" w:hAnsi="宋体" w:cs="宋体" w:hint="eastAsia"/>
                <w:sz w:val="21"/>
                <w:szCs w:val="21"/>
                <w:lang w:eastAsia="zh-CN"/>
              </w:rPr>
              <w:t>）</w:t>
            </w:r>
            <w:r>
              <w:rPr>
                <w:rFonts w:ascii="宋体" w:eastAsia="宋体" w:hAnsi="宋体" w:cs="宋体" w:hint="eastAsia"/>
                <w:sz w:val="21"/>
                <w:szCs w:val="21"/>
                <w:lang w:eastAsia="zh-CN" w:bidi="ar"/>
              </w:rPr>
              <w:t>，原件备查。</w:t>
            </w:r>
          </w:p>
          <w:p>
            <w:pPr>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line="300" w:lineRule="auto"/>
              <w:ind w:left="0" w:firstLine="0" w:leftChars="0" w:firstLineChars="0"/>
              <w:jc w:val="left"/>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bidi="ar"/>
              </w:rPr>
              <w:t>未提供或未按要求提供或提供不清晰导致专家无法判断的不得分。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617" w:type="dxa"/>
            <w:vMerge/>
            <w:tcBorders>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left"/>
              <w:textAlignment w:val="auto"/>
              <w:rPr>
                <w:rFonts w:ascii="宋体" w:eastAsia="宋体" w:hAnsi="宋体" w:cs="宋体" w:hint="eastAsia"/>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ascii="宋体" w:eastAsia="宋体" w:hAnsi="宋体" w:cs="宋体" w:hint="eastAsia"/>
                <w:sz w:val="21"/>
                <w:szCs w:val="21"/>
                <w:shd w:val="clear" w:color="auto" w:fill="FFFFFF"/>
                <w:lang w:eastAsia="zh-CN"/>
              </w:rPr>
            </w:pPr>
            <w:r>
              <w:rPr>
                <w:rFonts w:ascii="宋体" w:eastAsia="宋体" w:hAnsi="宋体" w:cs="宋体" w:hint="eastAsia"/>
                <w:sz w:val="21"/>
                <w:szCs w:val="21"/>
                <w:shd w:val="clear" w:color="auto" w:fill="FFFFFF"/>
                <w:lang w:eastAsia="zh-CN"/>
              </w:rPr>
              <w:t>7</w:t>
            </w:r>
          </w:p>
        </w:tc>
        <w:tc>
          <w:tcPr>
            <w:tcW w:w="1457"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auto"/>
              <w:ind w:left="0" w:right="0" w:firstLine="0" w:leftChars="0" w:rightChars="0" w:firstLineChars="0"/>
              <w:jc w:val="center"/>
              <w:textAlignment w:val="auto"/>
              <w:rPr>
                <w:rFonts w:ascii="宋体" w:eastAsia="宋体" w:hAnsi="宋体" w:cs="宋体" w:hint="eastAsia"/>
                <w:sz w:val="21"/>
                <w:szCs w:val="21"/>
                <w:lang w:eastAsia="zh-CN" w:bidi="ar"/>
              </w:rPr>
            </w:pPr>
            <w:r>
              <w:rPr>
                <w:rFonts w:ascii="宋体" w:eastAsia="宋体" w:hAnsi="宋体" w:cs="宋体" w:hint="eastAsia"/>
                <w:sz w:val="21"/>
                <w:szCs w:val="21"/>
              </w:rPr>
              <w:t>诚信情况</w:t>
            </w:r>
          </w:p>
        </w:tc>
        <w:tc>
          <w:tcPr>
            <w:tcW w:w="94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auto"/>
              <w:ind w:left="0" w:right="0" w:firstLine="0" w:leftChars="0" w:rightChars="0" w:firstLineChars="0"/>
              <w:jc w:val="center"/>
              <w:textAlignment w:val="auto"/>
              <w:rPr>
                <w:rFonts w:ascii="宋体" w:eastAsia="宋体" w:hAnsi="宋体" w:cs="宋体" w:hint="eastAsia"/>
                <w:sz w:val="21"/>
                <w:szCs w:val="21"/>
                <w:lang w:eastAsia="zh-CN" w:bidi="ar"/>
              </w:rPr>
            </w:pPr>
            <w:r>
              <w:rPr>
                <w:rFonts w:ascii="宋体" w:eastAsia="宋体" w:hAnsi="宋体" w:cs="宋体" w:hint="eastAsia"/>
                <w:sz w:val="21"/>
                <w:szCs w:val="21"/>
              </w:rPr>
              <w:t>5</w:t>
            </w:r>
          </w:p>
        </w:tc>
        <w:tc>
          <w:tcPr>
            <w:tcW w:w="5034"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00" w:lineRule="auto"/>
              <w:ind w:left="0" w:right="0" w:firstLine="0" w:leftChars="0" w:rightChars="0" w:firstLineChars="0"/>
              <w:jc w:val="both"/>
              <w:textAlignment w:val="auto"/>
              <w:rPr>
                <w:rFonts w:ascii="宋体" w:eastAsia="宋体" w:hAnsi="宋体" w:cs="宋体" w:hint="eastAsia"/>
                <w:sz w:val="21"/>
                <w:szCs w:val="21"/>
                <w:lang w:eastAsia="zh-CN"/>
              </w:rPr>
            </w:pPr>
            <w:bookmarkStart w:id="1" w:name="_GoBack"/>
            <w:r>
              <w:rPr>
                <w:rFonts w:ascii="宋体" w:eastAsia="宋体" w:hAnsi="宋体" w:cs="宋体" w:hint="eastAsia"/>
                <w:sz w:val="21"/>
                <w:szCs w:val="21"/>
                <w:lang w:eastAsia="zh-CN"/>
              </w:rPr>
              <w:t>投标人存在《深圳市财政局政府采购供应商信用信息管理办法》（深财规〔2023〕3号）列明的一般行政处罚信息、一般违法失信记录信息的，本项不得分，不存在上述情形的本项得100分。</w:t>
            </w:r>
          </w:p>
          <w:p>
            <w:pPr>
              <w:keepNext w:val="0"/>
              <w:keepLines w:val="0"/>
              <w:pageBreakBefore w:val="0"/>
              <w:widowControl/>
              <w:kinsoku/>
              <w:wordWrap/>
              <w:overflowPunct/>
              <w:topLinePunct w:val="0"/>
              <w:autoSpaceDE/>
              <w:autoSpaceDN/>
              <w:bidi w:val="0"/>
              <w:adjustRightInd/>
              <w:snapToGrid/>
              <w:spacing w:beforeAutospacing="0" w:afterAutospacing="0" w:line="300" w:lineRule="auto"/>
              <w:ind w:left="0" w:right="0" w:firstLine="0" w:leftChars="0" w:rightChars="0" w:firstLineChars="0"/>
              <w:jc w:val="both"/>
              <w:textAlignment w:val="auto"/>
              <w:rPr>
                <w:rFonts w:ascii="宋体" w:eastAsia="宋体" w:hAnsi="宋体" w:cs="宋体" w:hint="eastAsia"/>
                <w:b/>
                <w:bCs/>
                <w:sz w:val="21"/>
                <w:szCs w:val="21"/>
                <w:lang w:eastAsia="zh-CN" w:bidi="ar"/>
              </w:rPr>
            </w:pPr>
            <w:r>
              <w:rPr>
                <w:rFonts w:ascii="宋体" w:eastAsia="宋体" w:hAnsi="宋体" w:cs="宋体" w:hint="eastAsia"/>
                <w:sz w:val="21"/>
                <w:szCs w:val="21"/>
                <w:lang w:eastAsia="zh-CN"/>
              </w:rPr>
              <w:t>须提供《诚信承诺函》，按采购文件格式要求提供，不提供或提供的不符合要求或提供不清晰导致专家无法判断的均不得分。如被认定提供的陈述与事实不符受到行政处罚的，依法追究其责任。</w:t>
            </w:r>
            <w:bookmarkEnd w:id="1"/>
          </w:p>
        </w:tc>
      </w:tr>
    </w:tbl>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spacing w:line="360" w:lineRule="auto"/>
        <w:ind w:firstLine="420" w:firstLineChars="200"/>
        <w:rPr>
          <w:rFonts w:ascii="宋体" w:eastAsia="宋体" w:hAnsi="宋体" w:cs="宋体" w:hint="eastAsia"/>
          <w:color w:val="FF0000"/>
          <w:sz w:val="21"/>
          <w:szCs w:val="21"/>
        </w:rPr>
      </w:pPr>
      <w:r>
        <w:rPr>
          <w:rFonts w:ascii="宋体" w:eastAsia="宋体" w:hAnsi="宋体" w:cs="宋体" w:hint="eastAsia"/>
          <w:color w:val="FF0000"/>
          <w:sz w:val="21"/>
          <w:szCs w:val="21"/>
        </w:rPr>
        <w:t>2.对于要求提供检测（检验）报告的，设置检测（检验）报告评审因素需与采购项目实际需要相适应或与合同履行相关，不得简单追求检测报告/检验报告数量，增加供应商投标成本，若设置检测报告要求的需明确检测的具体内容、依据的标准及查询的网址，且检测机构需取得市场监督管理部门认定的资质。例如：投标人所投产品需通过由市场监督管理部门资质认定的第三方检测机构关于甲醛含量符合GB...合格的检测，需同时提供检测机构体现产品检测能力的“检验检测机构资质证书”、标注CMA或CNAS标识的检测报告及检测报告在全国认证认可信息公共服务平台网站（http://cx.cnca.cn/CertECloud/qts/qts/qtsPage）查询截图扫描件作为得分依据，否则不得分。</w:t>
      </w:r>
    </w:p>
    <w:p>
      <w:pPr>
        <w:widowControl w:val="0"/>
        <w:spacing w:line="360" w:lineRule="auto"/>
        <w:ind w:firstLine="420" w:firstLineChars="200"/>
        <w:jc w:val="both"/>
        <w:rPr>
          <w:rFonts w:ascii="宋体" w:eastAsia="宋体" w:hAnsi="宋体" w:cs="宋体" w:hint="eastAsia"/>
          <w:bCs/>
          <w:color w:val="FF0000"/>
          <w:kern w:val="2"/>
          <w:sz w:val="21"/>
          <w:szCs w:val="21"/>
          <w:lang w:eastAsia="zh-CN"/>
        </w:rPr>
      </w:pPr>
      <w:r>
        <w:rPr>
          <w:rFonts w:ascii="宋体" w:eastAsia="宋体" w:hAnsi="宋体" w:cs="宋体" w:hint="eastAsia"/>
          <w:bCs/>
          <w:color w:val="FF0000"/>
          <w:kern w:val="2"/>
          <w:sz w:val="21"/>
          <w:szCs w:val="21"/>
          <w:lang w:eastAsia="zh-CN"/>
        </w:rPr>
        <w:t>3.若采购人将产品节能要求纳入评审因素，需考察属于本项目的所投产品。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outlineLvl w:val="9"/>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outlineLvl w:val="9"/>
        <w:rPr>
          <w:rFonts w:hint="eastAsia"/>
          <w:lang w:eastAsia="zh-CN"/>
        </w:rPr>
      </w:pPr>
    </w:p>
    <w:p>
      <w:pPr>
        <w:outlineLvl w:val="9"/>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outlineLvl w:val="9"/>
        <w:rPr>
          <w:rFonts w:ascii="宋体" w:eastAsia="宋体" w:hAnsi="宋体" w:cs="宋体" w:hint="eastAsia"/>
          <w:color w:val="FF0000"/>
          <w:sz w:val="21"/>
          <w:szCs w:val="21"/>
          <w:lang w:eastAsia="zh-CN"/>
        </w:rPr>
      </w:pPr>
    </w:p>
    <w:p>
      <w:pPr>
        <w:outlineLvl w:val="9"/>
        <w:rPr>
          <w:rFonts w:hint="eastAsia"/>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Calibri" w:eastAsia="宋体" w:hAnsi="Calibri" w:cstheme="minorBidi"/>
          <w:kern w:val="2"/>
          <w:sz w:val="21"/>
          <w:szCs w:val="22"/>
          <w:lang w:eastAsia="zh-CN"/>
        </w:rPr>
        <w:br w:type="page"/>
      </w: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2、参与本项目投标前三年内，在经营活动中没有重大违法记录（由供应商在《龙华区教育局自行采购投标及履约承诺函》中作出声明）。</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3、参与本项目政府采购活动时不存在被有关部门禁止参与政府采购活动且在有效期内的情况（由供应商在《龙华区教育局自行采购投标及履约承诺函》中作出声明）。</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4、具备《中华人民共和国政府采购法》第二十二条第一款的条件（由供应商在《龙华区教育局自行采购投标及履约承诺函》中作出声明）。</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“深圳市政府采购监管网”为供应商信用信息的查询渠道，相关信息以开标当日的代理机构查询结果为准。</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kern w:val="2"/>
          <w:sz w:val="21"/>
          <w:szCs w:val="20"/>
          <w:lang w:eastAsia="zh-CN"/>
        </w:rPr>
      </w:pPr>
      <w:r>
        <w:rPr>
          <w:rFonts w:ascii="宋体" w:eastAsia="宋体" w:hAnsi="宋体" w:hint="eastAsia"/>
          <w:kern w:val="2"/>
          <w:sz w:val="21"/>
          <w:szCs w:val="20"/>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hint="eastAsia"/>
          <w:kern w:val="2"/>
          <w:sz w:val="21"/>
          <w:szCs w:val="20"/>
          <w:lang w:eastAsia="zh-CN"/>
        </w:rPr>
      </w:pPr>
      <w:r>
        <w:rPr>
          <w:rFonts w:ascii="宋体" w:eastAsia="宋体" w:hAnsi="宋体" w:hint="eastAsia"/>
          <w:kern w:val="2"/>
          <w:sz w:val="21"/>
          <w:szCs w:val="20"/>
          <w:lang w:eastAsia="zh-CN"/>
        </w:rPr>
        <w:t>7、单位负责人为同一人或者存在直接控股、管理关系的不同供应商，不得参加同一合同项下的政府采购活动。（由供应商在《龙华区教育局自行采购投标及履约承诺函》中作出承诺）。</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ascii="宋体" w:eastAsia="宋体" w:hAnsi="宋体" w:hint="eastAsia"/>
          <w:kern w:val="2"/>
          <w:sz w:val="21"/>
          <w:szCs w:val="20"/>
          <w:lang w:eastAsia="zh-CN"/>
        </w:rPr>
      </w:pPr>
      <w:r>
        <w:rPr>
          <w:rFonts w:ascii="宋体" w:eastAsia="宋体" w:hAnsi="宋体" w:hint="eastAsia"/>
          <w:kern w:val="2"/>
          <w:sz w:val="21"/>
          <w:szCs w:val="20"/>
          <w:lang w:eastAsia="zh-CN"/>
        </w:rPr>
        <w:t>8、</w:t>
      </w:r>
      <w:r>
        <w:rPr>
          <w:rFonts w:ascii="宋体" w:eastAsia="宋体" w:hAnsi="宋体" w:hint="eastAsia"/>
          <w:color w:val="FF0000"/>
          <w:kern w:val="2"/>
          <w:sz w:val="21"/>
          <w:szCs w:val="20"/>
          <w:lang w:eastAsia="zh-CN"/>
        </w:rPr>
        <w:t>落实政府采购政策需满足的资格要求：本</w:t>
      </w:r>
      <w:r>
        <w:rPr>
          <w:rFonts w:ascii="宋体" w:eastAsia="宋体" w:hAnsi="宋体" w:cs="宋体" w:hint="eastAsia"/>
          <w:color w:val="FF0000"/>
          <w:sz w:val="21"/>
          <w:szCs w:val="21"/>
          <w:shd w:val="clear" w:color="auto" w:fill="FFFFFF"/>
        </w:rPr>
        <w:t>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keepNext w:val="0"/>
        <w:keepLines w:val="0"/>
        <w:pageBreakBefore w:val="0"/>
        <w:widowControl w:val="0"/>
        <w:kinsoku/>
        <w:wordWrap/>
        <w:overflowPunct/>
        <w:topLinePunct w:val="0"/>
        <w:autoSpaceDE/>
        <w:autoSpaceDN/>
        <w:bidi w:val="0"/>
        <w:adjustRightInd/>
        <w:snapToGrid/>
        <w:spacing w:after="60" w:afterLines="25" w:line="360" w:lineRule="auto"/>
        <w:ind w:firstLine="420" w:firstLineChars="200"/>
        <w:jc w:val="both"/>
        <w:textAlignment w:val="auto"/>
        <w:rPr>
          <w:rFonts w:eastAsia="宋体" w:hint="eastAsia"/>
          <w:kern w:val="2"/>
          <w:sz w:val="21"/>
          <w:szCs w:val="20"/>
          <w:lang w:eastAsia="zh-CN"/>
        </w:rPr>
      </w:pPr>
      <w:r>
        <w:rPr>
          <w:rFonts w:ascii="宋体" w:eastAsia="宋体" w:hAnsi="宋体" w:hint="eastAsia"/>
          <w:kern w:val="2"/>
          <w:sz w:val="21"/>
          <w:szCs w:val="20"/>
          <w:lang w:eastAsia="zh-CN"/>
        </w:rPr>
        <w:t>9、本项目不接受联合体投标，不接受进口产品参与投标，不允许转包、分包。（由供应商在《龙华区教育局自行采购投标及履约承诺函》中作出承诺）。</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3" w:name="_Hlk71926094"/>
      <w:r>
        <w:rPr>
          <w:rFonts w:ascii="宋体" w:eastAsia="宋体" w:hAnsi="宋体" w:hint="eastAsia"/>
          <w:b/>
          <w:bCs/>
          <w:sz w:val="28"/>
          <w:szCs w:val="28"/>
          <w:lang w:eastAsia="zh-CN"/>
        </w:rPr>
        <w:t>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4" w:name="_Toc73518117"/>
      <w:bookmarkStart w:id="5" w:name="_Toc101074876"/>
      <w:bookmarkStart w:id="6" w:name="_Toc73517639"/>
      <w:bookmarkStart w:id="7" w:name="_Toc100052364"/>
      <w:bookmarkStart w:id="8" w:name="_Toc73521547"/>
      <w:bookmarkStart w:id="9" w:name="_Toc60560625"/>
      <w:bookmarkStart w:id="10" w:name="_Toc60631620"/>
      <w:bookmarkStart w:id="11" w:name="_Toc73521635"/>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 xml:space="preserve">深圳市龙华区第三实验学校 </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（1）专门面向中小企业采购的项目，不再执行价格扣除比例。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（2）非专门面向中小企业采购的项目，应执行价格扣除比例：供应商提供的服务全部由优惠主体承接，则对其投标总价给予</w:t>
      </w:r>
      <w:r>
        <w:rPr>
          <w:rFonts w:ascii="宋体" w:eastAsia="宋体" w:hAnsi="宋体" w:cs="宋体" w:hint="eastAsia"/>
          <w:kern w:val="2"/>
          <w:sz w:val="21"/>
          <w:u w:val="single"/>
          <w:lang w:eastAsia="zh-CN"/>
        </w:rPr>
        <w:t xml:space="preserve"> 10 </w:t>
      </w:r>
      <w:r>
        <w:rPr>
          <w:rFonts w:ascii="宋体" w:eastAsia="宋体" w:hAnsi="宋体" w:cs="宋体" w:hint="eastAsia"/>
          <w:kern w:val="2"/>
          <w:sz w:val="21"/>
          <w:lang w:eastAsia="zh-CN"/>
        </w:rPr>
        <w:t>%（10%~20%）的扣除，用扣除后的价格参与评审。满足多项优惠政策的企业，不重复享受多项价格扣除政策。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（3）中小企业参加政府采购活动，应当按照国务院批准的《中小企业划型标准规定》（工信部联企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kern w:val="2"/>
          <w:sz w:val="21"/>
          <w:lang w:eastAsia="zh-CN"/>
        </w:rPr>
        <w:t>《中小企业声明函》中相关企业所属行业应当与采购标的所属行业相一致。</w:t>
      </w:r>
      <w:r>
        <w:rPr>
          <w:rFonts w:ascii="宋体" w:eastAsia="宋体" w:hAnsi="宋体" w:cs="宋体" w:hint="eastAsia"/>
          <w:kern w:val="2"/>
          <w:sz w:val="21"/>
          <w:lang w:eastAsia="zh-CN"/>
        </w:rPr>
        <w:t>本项目采购标的（服务需求）对应的中小企业划分标准所属行业为</w:t>
      </w:r>
      <w:r>
        <w:rPr>
          <w:rFonts w:ascii="宋体" w:eastAsia="宋体" w:hAnsi="宋体" w:cs="宋体" w:hint="eastAsia"/>
          <w:b/>
          <w:bCs/>
          <w:kern w:val="2"/>
          <w:sz w:val="21"/>
          <w:u w:val="single"/>
          <w:lang w:eastAsia="zh-CN"/>
        </w:rPr>
        <w:t>餐饮业</w:t>
      </w:r>
      <w:r>
        <w:rPr>
          <w:rFonts w:ascii="宋体" w:eastAsia="宋体" w:hAnsi="宋体" w:cs="宋体" w:hint="eastAsia"/>
          <w:kern w:val="2"/>
          <w:sz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ascii="宋体" w:eastAsia="宋体" w:hAnsi="宋体" w:cs="宋体" w:hint="eastAsia"/>
          <w:sz w:val="21"/>
          <w:szCs w:val="21"/>
          <w:lang w:eastAsia="zh-CN"/>
        </w:rPr>
        <w:t>声明函样式见本招标文件第一册专用条款第四章“投标文件格式、附件”中“三、投标人情况及资格证明文件”章节提供的格式</w:t>
      </w:r>
      <w:r>
        <w:rPr>
          <w:rFonts w:ascii="宋体" w:eastAsia="宋体" w:hAnsi="宋体" w:cs="宋体" w:hint="eastAsia"/>
          <w:kern w:val="2"/>
          <w:sz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lang w:eastAsia="zh-CN"/>
        </w:rPr>
      </w:pPr>
      <w:r>
        <w:rPr>
          <w:rFonts w:ascii="宋体" w:eastAsia="宋体" w:hAnsi="宋体" w:cs="宋体" w:hint="eastAsia"/>
          <w:kern w:val="2"/>
          <w:sz w:val="21"/>
          <w:lang w:eastAsia="zh-CN"/>
        </w:rPr>
        <w:t>（5）享受价格扣除获得政府采购合同的，小微企业不得将合同分包给大中型企业。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highlight w:val="yellow"/>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万元（含）-500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 万元（含）-1000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0.45%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1000 万元（含）-5000 万元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5000 万元（含）-1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0.1%</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 亿元（含）-5 亿</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color w:val="333333"/>
                <w:sz w:val="21"/>
                <w:szCs w:val="21"/>
                <w:lang w:eastAsia="zh-CN"/>
              </w:rPr>
              <w:t>5 亿元（含）-10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 亿元（含）-50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50 亿元（含）-100 亿元</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100 亿元（含）以</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843"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c>
          <w:tcPr>
            <w:tcW w:w="1758" w:type="dxa"/>
            <w:shd w:val="clear" w:color="auto" w:fill="auto"/>
            <w:vAlign w:val="center"/>
          </w:tcPr>
          <w:p>
            <w:pPr>
              <w:widowControl/>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0.004%</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（1）按本表费率计算的收费为招标代理服务的收费基准价格。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（2）招标代理服务收费按差额定率累进法计算。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例如：某服务招标代理业务中标金额为600万元，计算招标代理服务收费额如下：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100万元×1.5%=1.5万元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（500-100）万元×0.8%=3.2万元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（600-500）万元×0.45%=0.45万元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合计收费=1.5+3.2+0.45=5.15万元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备注：最低收费不低于人民币7000元。代理服务费用超过7000元，则按国家计费规定收取代理服务费。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收款单位：深圳市千里招标代理有限公司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开户银行：中国平安银行深圳创业路支行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帐号：（人民币）15000094959311（用于支付标书费和中标服务费）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highlight w:val="yellow"/>
          <w:lang w:eastAsia="zh-CN"/>
        </w:rPr>
      </w:pPr>
      <w:r>
        <w:rPr>
          <w:rFonts w:ascii="宋体" w:eastAsia="宋体" w:hAnsi="宋体" w:cs="宋体" w:hint="eastAsia"/>
          <w:b/>
          <w:color w:val="FF0000"/>
          <w:kern w:val="2"/>
          <w:sz w:val="32"/>
          <w:szCs w:val="32"/>
          <w:highlight w:val="yellow"/>
          <w:lang w:eastAsia="zh-CN"/>
        </w:rPr>
        <w:t>★</w:t>
      </w:r>
      <w:r>
        <w:rPr>
          <w:rFonts w:ascii="宋体" w:eastAsia="宋体" w:hAnsi="宋体" w:cs="宋体" w:hint="eastAsia"/>
          <w:b/>
          <w:bCs/>
          <w:color w:val="FF0000"/>
          <w:sz w:val="28"/>
          <w:szCs w:val="28"/>
          <w:highlight w:val="yellow"/>
          <w:lang w:eastAsia="zh-CN"/>
        </w:rPr>
        <w:t>第三章 用户需求书</w:t>
      </w:r>
    </w:p>
    <w:p>
      <w:pPr>
        <w:keepNext/>
        <w:keepLines/>
        <w:widowControl w:val="0"/>
        <w:tabs>
          <w:tab w:val="left" w:pos="1680"/>
        </w:tabs>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22"/>
        <w:gridCol w:w="4652"/>
        <w:gridCol w:w="3396"/>
      </w:tblGrid>
      <w:tr>
        <w:tblPrEx>
          <w:tblW w:w="5000" w:type="pct"/>
          <w:jc w:val="center"/>
          <w:tblLayout w:type="fixed"/>
          <w:tblCellMar>
            <w:top w:w="15" w:type="dxa"/>
            <w:left w:w="15" w:type="dxa"/>
            <w:bottom w:w="15" w:type="dxa"/>
            <w:right w:w="15" w:type="dxa"/>
          </w:tblCellMar>
        </w:tblPrEx>
        <w:trPr>
          <w:trHeight w:val="552"/>
          <w:jc w:val="center"/>
        </w:trPr>
        <w:tc>
          <w:tcPr>
            <w:tcW w:w="612"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4579"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采购项目名称</w:t>
            </w:r>
          </w:p>
        </w:tc>
        <w:tc>
          <w:tcPr>
            <w:tcW w:w="3343" w:type="dxa"/>
            <w:tcBorders>
              <w:top w:val="single" w:sz="4" w:space="0" w:color="auto"/>
              <w:left w:val="single" w:sz="4" w:space="0" w:color="auto"/>
              <w:bottom w:val="single" w:sz="4" w:space="0" w:color="auto"/>
              <w:right w:val="single" w:sz="4" w:space="0" w:color="auto"/>
            </w:tcBorders>
            <w:shd w:val="clear" w:color="auto" w:fill="C6D9F0"/>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财政预算限额（元）</w:t>
            </w:r>
          </w:p>
        </w:tc>
      </w:tr>
      <w:tr>
        <w:tblPrEx>
          <w:tblW w:w="5000" w:type="pct"/>
          <w:jc w:val="center"/>
          <w:tblLayout w:type="fixed"/>
          <w:tblCellMar>
            <w:top w:w="15" w:type="dxa"/>
            <w:left w:w="15" w:type="dxa"/>
            <w:bottom w:w="15" w:type="dxa"/>
            <w:right w:w="15" w:type="dxa"/>
          </w:tblCellMar>
        </w:tblPrEx>
        <w:trPr>
          <w:trHeight w:val="286"/>
          <w:jc w:val="center"/>
        </w:trPr>
        <w:tc>
          <w:tcPr>
            <w:tcW w:w="612"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4579"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1"/>
                <w:lang w:eastAsia="zh-CN"/>
              </w:rPr>
            </w:pPr>
            <w:r>
              <w:rPr>
                <w:rFonts w:ascii="Calibri" w:eastAsia="宋体" w:hAnsi="Calibri" w:cstheme="minorBidi" w:hint="eastAsia"/>
                <w:bCs/>
                <w:kern w:val="2"/>
                <w:sz w:val="21"/>
                <w:szCs w:val="21"/>
                <w:lang w:eastAsia="zh-CN"/>
              </w:rPr>
              <w:t>2025年食堂托管服务采购</w:t>
            </w:r>
          </w:p>
        </w:tc>
        <w:tc>
          <w:tcPr>
            <w:tcW w:w="3343" w:type="dxa"/>
            <w:tcBorders>
              <w:top w:val="single" w:sz="4" w:space="0" w:color="auto"/>
              <w:left w:val="single" w:sz="4" w:space="0" w:color="auto"/>
              <w:bottom w:val="single" w:sz="4" w:space="0" w:color="auto"/>
              <w:right w:val="single" w:sz="4" w:space="0" w:color="auto"/>
            </w:tcBorders>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365,000.00</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lang w:eastAsia="zh-CN"/>
        </w:rPr>
      </w:pPr>
      <w:r>
        <w:rPr>
          <w:rFonts w:ascii="宋体" w:eastAsia="宋体" w:hAnsi="宋体" w:cs="宋体" w:hint="eastAsia"/>
          <w:b/>
          <w:color w:val="FF0000"/>
          <w:kern w:val="2"/>
          <w:lang w:eastAsia="zh-CN"/>
        </w:rPr>
        <w:t>本项目控制金额为人民币365,000.00元，投标报价超出控制金额将作投标无效处理。</w:t>
      </w: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
          <w:bCs/>
          <w:kern w:val="2"/>
          <w:sz w:val="28"/>
          <w:szCs w:val="32"/>
          <w:lang w:eastAsia="zh-CN"/>
        </w:rPr>
      </w:pPr>
      <w:r>
        <w:rPr>
          <w:rFonts w:ascii="宋体" w:eastAsia="宋体" w:hAnsi="宋体" w:cs="宋体" w:hint="eastAsia"/>
          <w:b/>
          <w:bCs/>
          <w:kern w:val="2"/>
          <w:sz w:val="32"/>
          <w:szCs w:val="32"/>
          <w:lang w:eastAsia="zh-CN"/>
        </w:rPr>
        <w:t>二</w:t>
      </w:r>
      <w:r>
        <w:rPr>
          <w:rFonts w:ascii="宋体" w:eastAsia="宋体" w:hAnsi="宋体" w:cs="宋体" w:hint="eastAsia"/>
          <w:b/>
          <w:bCs/>
          <w:kern w:val="2"/>
          <w:sz w:val="28"/>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809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4"/>
          <w:jc w:val="center"/>
        </w:trPr>
        <w:tc>
          <w:tcPr>
            <w:tcW w:w="761"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序号</w:t>
            </w:r>
          </w:p>
        </w:tc>
        <w:tc>
          <w:tcPr>
            <w:tcW w:w="8078"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95"/>
          <w:jc w:val="center"/>
        </w:trPr>
        <w:tc>
          <w:tcPr>
            <w:tcW w:w="761"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p>
        </w:tc>
        <w:tc>
          <w:tcPr>
            <w:tcW w:w="8078" w:type="dxa"/>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本项目</w:t>
            </w:r>
            <w:r>
              <w:rPr>
                <w:rFonts w:ascii="宋体" w:eastAsia="宋体" w:hAnsi="宋体" w:cs="宋体" w:hint="eastAsia"/>
                <w:color w:val="FF0000"/>
                <w:kern w:val="2"/>
                <w:sz w:val="21"/>
                <w:szCs w:val="22"/>
                <w:lang w:eastAsia="zh-CN"/>
              </w:rPr>
              <w:t>★第三章用户需求书</w:t>
            </w:r>
            <w:r>
              <w:rPr>
                <w:rFonts w:ascii="宋体" w:eastAsia="宋体" w:hAnsi="宋体" w:cs="宋体" w:hint="eastAsia"/>
                <w:kern w:val="2"/>
                <w:sz w:val="21"/>
                <w:szCs w:val="22"/>
                <w:lang w:eastAsia="zh-CN"/>
              </w:rPr>
              <w:t>全部内容</w:t>
            </w:r>
          </w:p>
        </w:tc>
      </w:tr>
    </w:tbl>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2"/>
          <w:lang w:eastAsia="zh-CN"/>
        </w:rPr>
      </w:pPr>
      <w:r>
        <w:rPr>
          <w:rFonts w:ascii="宋体" w:eastAsia="宋体" w:hAnsi="宋体" w:cs="宋体" w:hint="eastAsia"/>
          <w:b/>
          <w:color w:val="FF0000"/>
          <w:kern w:val="2"/>
          <w:sz w:val="21"/>
          <w:szCs w:val="22"/>
          <w:lang w:eastAsia="zh-CN"/>
        </w:rPr>
        <w:t>注</w:t>
      </w:r>
      <w:r>
        <w:rPr>
          <w:rFonts w:ascii="宋体" w:eastAsia="宋体" w:hAnsi="宋体" w:cs="宋体" w:hint="eastAsia"/>
          <w:kern w:val="2"/>
          <w:sz w:val="21"/>
          <w:szCs w:val="22"/>
          <w:lang w:eastAsia="zh-CN"/>
        </w:rPr>
        <w:t>：</w:t>
      </w:r>
      <w:r>
        <w:rPr>
          <w:rFonts w:ascii="宋体" w:eastAsia="宋体" w:hAnsi="宋体" w:cs="宋体"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widowControl w:val="0"/>
        <w:numPr>
          <w:ilvl w:val="0"/>
          <w:numId w:val="0"/>
        </w:numPr>
        <w:spacing w:before="340" w:after="60" w:afterLines="25" w:line="578" w:lineRule="auto"/>
        <w:ind w:left="0" w:firstLine="0"/>
        <w:jc w:val="center"/>
        <w:outlineLvl w:val="0"/>
        <w:rPr>
          <w:rFonts w:ascii="宋体" w:eastAsia="宋体" w:hAnsi="宋体" w:cs="宋体" w:hint="eastAsia"/>
          <w:b/>
          <w:kern w:val="2"/>
          <w:sz w:val="32"/>
          <w:szCs w:val="32"/>
          <w:lang w:eastAsia="zh-CN"/>
        </w:rPr>
      </w:pPr>
      <w:r>
        <w:rPr>
          <w:rFonts w:ascii="宋体" w:eastAsia="宋体" w:hAnsi="宋体" w:cs="宋体" w:hint="eastAsia"/>
          <w:b/>
          <w:kern w:val="2"/>
          <w:sz w:val="32"/>
          <w:szCs w:val="32"/>
          <w:lang w:eastAsia="zh-CN"/>
        </w:rPr>
        <w:t>三、服务需求内容表述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 xml:space="preserve">3.1 项目概况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为解决及保障本校区教职工用餐问题，现向社会公开招标，选择优秀的供应商承担本校区（食堂）相关的食堂人员服务，包括：食堂管理及运营人员服务，保障学校教职工正常开餐，负责经营过程的食品安全。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 xml:space="preserve">3.2 项目服务内容及服务要求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 xml:space="preserve">（一）服务内容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对采购方的食堂日常事务管理，中标方应严格执行国家、广东省、深圳市的食品卫生安全法规的规范要求；食堂工作人员必须持有效健康证上岗；做好个人卫生、环境卫生和餐厨用具用品的消毒工作，保障食堂出品的食品卫生安全；严防食物中毒和食源性疾病；严格执行安全生产制度，做好防火防盗的预防工作，杜绝重大事故的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饭菜质量：食堂供应的食品，必须符合食品卫生安全规范的质量要求，注重食品营养结构和风味搭配，确保热饭热菜供应服务，努力提高烹调服务水平。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环境卫生：食堂环境卫生清洁要达到国家有关规定及行业规范的标准。食堂工作场所及周边中标方应做到每天及时清洁，每周彻底打扫一次。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工作团队人员管理：所有人员的薪酬、福利、加班费、休假、健康管理及社会保障事务都由中标企业负责。对不适合在本项目团队中工作的人员，双方商议后可以调换，有离职时需立即补上合适的人员。接替人员应该具有被调换或主动离职人员相同的职业资格。所有人员都需持有既定的、有效的健康及卫生培训证明，该类证书在到期前由中标企业负责监督续办，不得延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1.质量考核验收标准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 早餐供应：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品种：早餐提供8种菜品以上，如小菜、粥品、汤粉面、广式茶点、蛋类、豆浆、粗粮、青菜等供教职工选择。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 午、晚餐供应：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午餐不少于6种以上菜品、老火靓汤、米饭、粗粮等，配备甜点及水果。晚餐视情况而定。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（3） 就餐时间：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早餐：6:30-8:00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中餐：11:20-13:00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晚餐：17:30-19:00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如遇特殊情况需进行特别保障的（如节假日供餐、提前或延后开饭等有关情形），中标方需无条件执行保障任务。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中标方应按规定时间准时开餐，每餐所供应食品在开餐前15分钟布置完毕，如变更或其他情况，不能准时开餐，中标方应提前通知招标方，并留有充分时间做出补救。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合理安排就餐人数，做好用餐人员分流工作，保持供餐器血内食品在一半以上，不可出现用餐人员等候拥挤混乱现象。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分餐服务人员及时准确进行分餐，保证菜量。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当招标方增加或减少餐费标准时，中标方应在招标方指定的时间内对饭菜做出调整，调整前必须提前制定出方案，经招标方审核、确认、批准后方可实施。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2.违约处置事项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   （1） 中标供应商如送餐迟到一次采购单位应提出口头警告，并要求作出书面保证,两次迟到或者一次迟到30分钟以上的扣罚当天总货款的10%，三次迟到或者两次迟到30分钟以上，采购单位可解除其供货合同。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 中标供应商配送的货物有不符合要求的，采购方有权拒收质量达不到要求的货物并要求供货方重新送货：出现一次，由采购方向供货方提出口头批评；二次，采购方向供货方提出警告，供货方向采购方作出书面保证；三次，扣除该项当天出现质量达不到要求的货物的货款总价；三次以上，采购方有权解除其供货合同。供货方交售的餐品如有污染或疾病的，采购方有权拒收，并可按国家有关规定处理，采购方有权更换不满意的食品。因供货方所送食品造成采购方人员食物中毒的，经卫生防疫部门鉴定，供货方须承担一切法律责任，并终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3.3项目人员要求</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309"/>
        <w:gridCol w:w="782"/>
        <w:gridCol w:w="2248"/>
        <w:gridCol w:w="430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459"/>
          <w:jc w:val="center"/>
        </w:trPr>
        <w:tc>
          <w:tcPr>
            <w:tcW w:w="757" w:type="pct"/>
            <w:noWrap w:val="0"/>
            <w:vAlign w:val="center"/>
          </w:tcPr>
          <w:p>
            <w:pPr>
              <w:bidi w:val="0"/>
              <w:spacing w:line="360" w:lineRule="auto"/>
              <w:jc w:val="center"/>
              <w:rPr>
                <w:rFonts w:ascii="宋体" w:hAnsi="宋体" w:cs="宋体" w:hint="eastAsia"/>
                <w:b/>
                <w:bCs/>
                <w:sz w:val="21"/>
                <w:szCs w:val="21"/>
                <w:lang w:eastAsia="zh-CN"/>
              </w:rPr>
            </w:pPr>
            <w:r>
              <w:rPr>
                <w:rFonts w:ascii="宋体" w:hAnsi="宋体" w:cs="宋体" w:hint="eastAsia"/>
                <w:b/>
                <w:bCs/>
                <w:sz w:val="21"/>
                <w:szCs w:val="21"/>
                <w:lang w:eastAsia="zh-CN"/>
              </w:rPr>
              <w:t>岗 位</w:t>
            </w:r>
          </w:p>
        </w:tc>
        <w:tc>
          <w:tcPr>
            <w:tcW w:w="452" w:type="pct"/>
            <w:noWrap w:val="0"/>
            <w:vAlign w:val="center"/>
          </w:tcPr>
          <w:p>
            <w:pPr>
              <w:bidi w:val="0"/>
              <w:spacing w:line="360" w:lineRule="auto"/>
              <w:jc w:val="center"/>
              <w:rPr>
                <w:rFonts w:ascii="宋体" w:hAnsi="宋体" w:cs="宋体" w:hint="eastAsia"/>
                <w:b/>
                <w:bCs/>
                <w:sz w:val="21"/>
                <w:szCs w:val="21"/>
                <w:lang w:eastAsia="zh-CN"/>
              </w:rPr>
            </w:pPr>
            <w:r>
              <w:rPr>
                <w:rFonts w:ascii="宋体" w:hAnsi="宋体" w:cs="宋体" w:hint="eastAsia"/>
                <w:b/>
                <w:bCs/>
                <w:sz w:val="21"/>
                <w:szCs w:val="21"/>
                <w:lang w:eastAsia="zh-CN"/>
              </w:rPr>
              <w:t>人数</w:t>
            </w:r>
          </w:p>
        </w:tc>
        <w:tc>
          <w:tcPr>
            <w:tcW w:w="1299" w:type="pct"/>
            <w:noWrap w:val="0"/>
            <w:vAlign w:val="center"/>
          </w:tcPr>
          <w:p>
            <w:pPr>
              <w:bidi w:val="0"/>
              <w:spacing w:line="360" w:lineRule="auto"/>
              <w:jc w:val="center"/>
              <w:rPr>
                <w:rFonts w:ascii="宋体" w:hAnsi="宋体" w:cs="宋体" w:hint="eastAsia"/>
                <w:b/>
                <w:bCs/>
                <w:sz w:val="21"/>
                <w:szCs w:val="21"/>
                <w:lang w:eastAsia="zh-CN"/>
              </w:rPr>
            </w:pPr>
            <w:r>
              <w:rPr>
                <w:rFonts w:ascii="宋体" w:hAnsi="宋体" w:cs="宋体" w:hint="eastAsia"/>
                <w:b/>
                <w:bCs/>
                <w:sz w:val="21"/>
                <w:szCs w:val="21"/>
                <w:lang w:eastAsia="zh-CN"/>
              </w:rPr>
              <w:t>岗位职责</w:t>
            </w:r>
          </w:p>
        </w:tc>
        <w:tc>
          <w:tcPr>
            <w:tcW w:w="2490" w:type="pct"/>
            <w:noWrap w:val="0"/>
            <w:vAlign w:val="center"/>
          </w:tcPr>
          <w:p>
            <w:pPr>
              <w:bidi w:val="0"/>
              <w:spacing w:line="360" w:lineRule="auto"/>
              <w:jc w:val="center"/>
              <w:rPr>
                <w:rFonts w:ascii="宋体" w:hAnsi="宋体" w:cs="宋体" w:hint="eastAsia"/>
                <w:b/>
                <w:bCs/>
                <w:sz w:val="21"/>
                <w:szCs w:val="21"/>
                <w:lang w:eastAsia="zh-CN"/>
              </w:rPr>
            </w:pPr>
            <w:r>
              <w:rPr>
                <w:rFonts w:ascii="宋体" w:hAnsi="宋体" w:cs="宋体" w:hint="eastAsia"/>
                <w:b/>
                <w:bCs/>
                <w:sz w:val="21"/>
                <w:szCs w:val="21"/>
                <w:lang w:eastAsia="zh-CN"/>
              </w:rPr>
              <w:t>其他要求</w:t>
            </w:r>
          </w:p>
        </w:tc>
      </w:tr>
      <w:tr>
        <w:tblPrEx>
          <w:tblW w:w="5000" w:type="pct"/>
          <w:jc w:val="center"/>
          <w:tblLayout w:type="fixed"/>
          <w:tblCellMar>
            <w:top w:w="0" w:type="dxa"/>
            <w:left w:w="0" w:type="dxa"/>
            <w:bottom w:w="0" w:type="dxa"/>
            <w:right w:w="0" w:type="dxa"/>
          </w:tblCellMar>
        </w:tblPrEx>
        <w:trPr>
          <w:trHeight w:val="1877"/>
          <w:jc w:val="center"/>
        </w:trPr>
        <w:tc>
          <w:tcPr>
            <w:tcW w:w="757"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厨师管理（食品安全管理）服务</w:t>
            </w:r>
          </w:p>
        </w:tc>
        <w:tc>
          <w:tcPr>
            <w:tcW w:w="452"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至少</w:t>
            </w:r>
          </w:p>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1人</w:t>
            </w:r>
          </w:p>
        </w:tc>
        <w:tc>
          <w:tcPr>
            <w:tcW w:w="1299"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负责菜品质量控制、卫生管理、日常员工餐制作监管等。</w:t>
            </w:r>
          </w:p>
        </w:tc>
        <w:tc>
          <w:tcPr>
            <w:tcW w:w="2490"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具备本岗位相关工作经验，要求有中式烹调师资格证书，食品安全管理员证书，有 5 年以上餐饮行业管理工作经验，熟悉大锅菜和小锅菜制作，工作责任心强，具有高度的自觉性和服务意识，各人有不同菜系烹饪特长，以粤菜和客家菜为主，其他菜式为辅。</w:t>
            </w:r>
          </w:p>
        </w:tc>
      </w:tr>
      <w:tr>
        <w:tblPrEx>
          <w:tblW w:w="5000" w:type="pct"/>
          <w:jc w:val="center"/>
          <w:tblLayout w:type="fixed"/>
          <w:tblCellMar>
            <w:top w:w="0" w:type="dxa"/>
            <w:left w:w="0" w:type="dxa"/>
            <w:bottom w:w="0" w:type="dxa"/>
            <w:right w:w="0" w:type="dxa"/>
          </w:tblCellMar>
        </w:tblPrEx>
        <w:trPr>
          <w:trHeight w:val="1943"/>
          <w:jc w:val="center"/>
        </w:trPr>
        <w:tc>
          <w:tcPr>
            <w:tcW w:w="757"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高级烹饪服务</w:t>
            </w:r>
          </w:p>
        </w:tc>
        <w:tc>
          <w:tcPr>
            <w:tcW w:w="452"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至少</w:t>
            </w:r>
          </w:p>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1人</w:t>
            </w:r>
          </w:p>
        </w:tc>
        <w:tc>
          <w:tcPr>
            <w:tcW w:w="1299"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负责日常工作餐制作，主要包括配合营养师拟定菜谱、菜肴制作、卫生、配餐服务等工作</w:t>
            </w:r>
          </w:p>
        </w:tc>
        <w:tc>
          <w:tcPr>
            <w:tcW w:w="2490"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具备本岗位相关工作经验，要求有中式烹调师资格证书，食品安全管理员证书，5年以上本岗位工作经验，熟悉大锅菜和小锅菜制作，工作责任心强，具有高度的自觉性和服务意识，各人有不同菜系烹饪特长，以粤菜和客家菜为主，其他菜式为辅。</w:t>
            </w:r>
          </w:p>
        </w:tc>
      </w:tr>
      <w:tr>
        <w:tblPrEx>
          <w:tblW w:w="5000" w:type="pct"/>
          <w:jc w:val="center"/>
          <w:tblLayout w:type="fixed"/>
          <w:tblCellMar>
            <w:top w:w="0" w:type="dxa"/>
            <w:left w:w="0" w:type="dxa"/>
            <w:bottom w:w="0" w:type="dxa"/>
            <w:right w:w="0" w:type="dxa"/>
          </w:tblCellMar>
        </w:tblPrEx>
        <w:trPr>
          <w:trHeight w:val="1468"/>
          <w:jc w:val="center"/>
        </w:trPr>
        <w:tc>
          <w:tcPr>
            <w:tcW w:w="757"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点心服务</w:t>
            </w:r>
          </w:p>
        </w:tc>
        <w:tc>
          <w:tcPr>
            <w:tcW w:w="452"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至少</w:t>
            </w:r>
          </w:p>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1人</w:t>
            </w:r>
          </w:p>
        </w:tc>
        <w:tc>
          <w:tcPr>
            <w:tcW w:w="1299"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负责食堂早、中餐中西点心及各类面点的制作。</w:t>
            </w:r>
          </w:p>
        </w:tc>
        <w:tc>
          <w:tcPr>
            <w:tcW w:w="2490"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具备本岗位相关工作经验，要求有面点师资格证书，食品安全管理员证书，熟悉各式南北风味点心制作，各人有西点、中点制作特长，包括广式茶点的制作经验。</w:t>
            </w:r>
          </w:p>
        </w:tc>
      </w:tr>
      <w:tr>
        <w:tblPrEx>
          <w:tblW w:w="5000" w:type="pct"/>
          <w:jc w:val="center"/>
          <w:tblLayout w:type="fixed"/>
          <w:tblCellMar>
            <w:top w:w="0" w:type="dxa"/>
            <w:left w:w="0" w:type="dxa"/>
            <w:bottom w:w="0" w:type="dxa"/>
            <w:right w:w="0" w:type="dxa"/>
          </w:tblCellMar>
        </w:tblPrEx>
        <w:trPr>
          <w:trHeight w:val="1633"/>
          <w:jc w:val="center"/>
        </w:trPr>
        <w:tc>
          <w:tcPr>
            <w:tcW w:w="757"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洗菜洗碗清洁服务</w:t>
            </w:r>
          </w:p>
        </w:tc>
        <w:tc>
          <w:tcPr>
            <w:tcW w:w="452" w:type="pct"/>
            <w:noWrap w:val="0"/>
            <w:vAlign w:val="center"/>
          </w:tcPr>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至少</w:t>
            </w:r>
          </w:p>
          <w:p>
            <w:pPr>
              <w:bidi w:val="0"/>
              <w:spacing w:line="360" w:lineRule="auto"/>
              <w:jc w:val="center"/>
              <w:rPr>
                <w:rFonts w:ascii="宋体" w:hAnsi="宋体" w:cs="宋体" w:hint="eastAsia"/>
                <w:sz w:val="21"/>
                <w:szCs w:val="21"/>
                <w:lang w:eastAsia="zh-CN"/>
              </w:rPr>
            </w:pPr>
            <w:r>
              <w:rPr>
                <w:rFonts w:ascii="宋体" w:hAnsi="宋体" w:cs="宋体" w:hint="eastAsia"/>
                <w:sz w:val="21"/>
                <w:szCs w:val="21"/>
                <w:lang w:eastAsia="zh-CN"/>
              </w:rPr>
              <w:t>1人</w:t>
            </w:r>
          </w:p>
        </w:tc>
        <w:tc>
          <w:tcPr>
            <w:tcW w:w="1299" w:type="pct"/>
            <w:noWrap w:val="0"/>
            <w:vAlign w:val="center"/>
          </w:tcPr>
          <w:p>
            <w:pPr>
              <w:bidi w:val="0"/>
              <w:spacing w:line="360" w:lineRule="auto"/>
              <w:ind w:firstLine="210" w:firstLineChars="100"/>
              <w:jc w:val="left"/>
              <w:rPr>
                <w:rFonts w:ascii="宋体" w:hAnsi="宋体" w:cs="宋体" w:hint="eastAsia"/>
                <w:sz w:val="21"/>
                <w:szCs w:val="21"/>
                <w:lang w:eastAsia="zh-CN"/>
              </w:rPr>
            </w:pPr>
            <w:r>
              <w:rPr>
                <w:rFonts w:ascii="宋体" w:hAnsi="宋体" w:cs="宋体" w:hint="eastAsia"/>
                <w:sz w:val="21"/>
                <w:szCs w:val="21"/>
                <w:lang w:eastAsia="zh-CN"/>
              </w:rPr>
              <w:t>负责原材料清洗、分拣，餐具用品清洁保养及协助厨房其他工作。</w:t>
            </w:r>
          </w:p>
        </w:tc>
        <w:tc>
          <w:tcPr>
            <w:tcW w:w="2490" w:type="pct"/>
            <w:noWrap w:val="0"/>
            <w:vAlign w:val="center"/>
          </w:tcPr>
          <w:p>
            <w:pPr>
              <w:bidi w:val="0"/>
              <w:spacing w:line="360" w:lineRule="auto"/>
              <w:jc w:val="left"/>
              <w:rPr>
                <w:rFonts w:ascii="宋体" w:hAnsi="宋体" w:cs="宋体" w:hint="eastAsia"/>
                <w:sz w:val="21"/>
                <w:szCs w:val="21"/>
                <w:lang w:eastAsia="zh-CN"/>
              </w:rPr>
            </w:pPr>
            <w:r>
              <w:rPr>
                <w:rFonts w:ascii="宋体" w:hAnsi="宋体" w:cs="宋体" w:hint="eastAsia"/>
                <w:sz w:val="21"/>
                <w:szCs w:val="21"/>
                <w:lang w:eastAsia="zh-CN"/>
              </w:rPr>
              <w:t>具备本岗位相关工作经验，要求要通过食安快线上面相对应的岗位资格证书，食品安全管理员证书，初中以上学历，2 年以上本岗位工作经验，形象气质佳，具有高度的服务意识和责任心、自觉性。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 xml:space="preserve">3.4其他服务内容及要求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1、厨师必须持有健康证、厨师等级证书；营养师必须持有健康证；其他人员必须持有健康证， 健康证，无犯罪证明一年一更新。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2、严格执行国家《中华人民共和国食品安全法》，遵守卫生法规，严格做好厨房食品卫生及食品卫生安全工作，有专业的食品安全高级食品安全员定期为相关从业人员培训相关食品安全操作及制度。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工作人员严格按安全生产规定、要求、服务工作程序做好食堂早、中、晚餐饮服务工作，按计划公布每周就餐计划及菜式菜款，制定完善有效的食堂就餐及服务计划，服务规范，程序完善。根据气候条件和需求，定期煲煮凉茶、糖水、御寒姜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4、加工烹饪食品菜肴要精心制作，保证口味和质量做到饭热菜香。食材卫生：所有入仓食材均需安排专人检验，并按5S标准标识摆放，杜绝三无产品入库。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5、厨房作业区分区明确，标注明晰，物品归类有序；生食物和熟食物的盛用容器、刀具等严格区分，不得混用。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6、厨房每餐后台面地面要及时擦扫干净，刀具、机械用具、盛用器皿等用后热水洗净，擦干保存。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7、厨房排水保持畅通，污水及时倒入污水池，不积存脏水污物，厨房地面、墙壁无污物。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8、按照节能指标考核要求，落实水、电、煤气等能耗管理，并制定和落实相关节能措施；坚持每月物资清点登记制度，做好设备财产和物资管理，无财产及物资外流、人为损坏和偷盗等现象发生。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9、人员卫生：所有人员都必须经过卫生食品常识培训,考核、彻底去除个人不良卫生习惯，确保食品在加工过程中因个人卫生不洁，间接污染食品，工作人员进入厨房作业区必须穿着统一的工作服装，工作服保持整洁干净，禁止穿工作服离开厨房、食堂或做与制作饭菜无关的工作；工作人员做好个人卫生，不留长指甲、涂指甲油、接触直接入口食品前双手应进行消毒，工作前或工作中接触脏物后必须洗手，不得对着食物咳嗽、打喷嚏，不能用工作服擦鼻涕、擦汗、擦手或厨具等，不能随地吐痰；工作人员穿着工作服，工作服保持整洁干净；工作人员搬送菜肴和餐具前必须洗手，成品分膳时必须配戴工帽、口罩、一次性手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10、食品加工制作：食品加工流程做到生进熟出一条龙，确保“四过关”（一洗、二刷、三冲、四消毒）；加工食品做到生与熟、成品与半成品、食品与杂物和药物、食品与天然冰隔离存放；生熟工用具、容器、冰箱要分开使用；食品原料新鲜，存放分类分架，离墙隔地，防尘防蝇；配菜与出菜盘专用，标志明显；刀具无锈，盖布洁净，正反标志清晰；使用公用餐、茶具及盛放直接入口食品的容器，采用物理或化学方法洗净、消毒，达到光、洁、涩、干，密闭存放；工用具保持清洁、定位存放，菜墩立式存放药品、苍蝇拍按规定位置存放；废弃物、垃圾及时清运、日产日清，盛放垃圾容器清洁、美观，定期消毒；操作间地面、墙壁、门窗、桌椅清洁无油污，无灰尘，无杂物，干净整齐个人物品集中摆放；每周定期对厨房所有厨具、设施进行大扫除及消毒，加工食品烧熟煮透隔夜隔顿或外购熟食品须重新加热，（公众餐厅一般杜绝使用隔顿食品）米饭温度保证在50℃以上，食用菜式的中心温度不低于60℃（使用专用食品温度计测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11、菜肴质量：全程控制菜肴主、辅料及制作过程安全卫生，无食物中毒或因食物引起的其他不良反应；所有当餐食用材料进行48小时留样制度。菜肴新鲜，色泽良好，无过期及腐烂变质的食物；菜肴口味好，咸淡适中，并保证饭菜热度，使用专业保温台进行保温工作；更新度：菜肴花色更新及时，一周内不出现2次以上完全相同品种菜肴，根据季节及工作需要调整就餐菜式，保证每月推出3款时令菜；控制油及其他调味品用量，菜肴品种齐全，营养搭配合理；根据就餐情况，及时更新添加菜肴，合理控制上菜节奏，杜绝浪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12、就餐区环境：餐厅餐桌椅摆放整齐、桌上物品摆放有序；餐厅地面、墙壁无污物；餐具整洁干净，摆放有序，每餐洗净后及时进行消毒，消毒、监测报告和消杀记录齐全。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13、就餐要求：教职工和学生就餐期间，厨房工作人员要做好巡查，及时发现问题，及时清扫餐桌，及时补充就餐区各种饭菜、餐桌牙签、餐巾纸等，就餐介绍后及时清洁餐厅各项卫生，保持餐厅洁净；工作人员坚守岗位，按照分工做好本职工作，，文明礼貌，不粗言粗语和高声叫喊。积极主动，热情周到，细致入微。职工就餐过程中，坚持三勤服务，即“嘴勤、手勤、眼勤”，及时提供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14、中标单位在校服务人员住宿由招标单位提供。</w:t>
      </w:r>
    </w:p>
    <w:p>
      <w:pPr>
        <w:spacing w:line="360" w:lineRule="auto"/>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四、服务期限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项目服务期限为自本项目合同签订之日起一年(12个月)；履约评价等级为优或满意的，合同可续签不超过2次，每次不超过12个月，续期的合同实质性内容不得改变，年度合同期结束后采购方根据第一年的项目执行情况经双方协商，自行决定是否续签第二年、第三年的服务合同，合同执行期限最长不超过 36 个月。</w:t>
      </w:r>
    </w:p>
    <w:p>
      <w:pPr>
        <w:numPr>
          <w:ilvl w:val="0"/>
          <w:numId w:val="0"/>
        </w:numPr>
        <w:spacing w:line="360" w:lineRule="auto"/>
        <w:ind w:left="0" w:firstLine="0" w:leftChars="0"/>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五、付款方式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1、按月支付，经采购人（可以委托协议的方式聘请第三方检测机构协助开展验收）品质验收合格后，采购人向中标供应商支付上一个月服务费用。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numPr>
          <w:ilvl w:val="0"/>
          <w:numId w:val="0"/>
        </w:numPr>
        <w:spacing w:line="360" w:lineRule="auto"/>
        <w:ind w:left="0" w:firstLine="0" w:leftChars="0"/>
        <w:rPr>
          <w:rFonts w:ascii="宋体" w:eastAsia="宋体" w:hAnsi="宋体" w:cs="宋体" w:hint="eastAsia"/>
          <w:b/>
          <w:bCs/>
          <w:kern w:val="44"/>
          <w:sz w:val="21"/>
          <w:szCs w:val="21"/>
          <w:lang w:eastAsia="zh-CN"/>
        </w:rPr>
      </w:pPr>
      <w:bookmarkStart w:id="13" w:name="_Toc13673"/>
      <w:r>
        <w:rPr>
          <w:rFonts w:ascii="宋体" w:eastAsia="宋体" w:hAnsi="宋体" w:cs="宋体" w:hint="eastAsia"/>
          <w:b/>
          <w:bCs/>
          <w:kern w:val="44"/>
          <w:sz w:val="21"/>
          <w:szCs w:val="21"/>
          <w:lang w:eastAsia="zh-CN"/>
        </w:rPr>
        <w:t>六、投标报价要求</w:t>
      </w:r>
      <w:bookmarkEnd w:id="1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3、如果中选价低于财政预算限额的70%，该项目将被列为优先实施履约检查的项目。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4、投标人的投标报价不得超过财政预算限额，如设投标最高限价的，报价不得超过最高限价；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5、投标人的投标报价，应是本项目采购范围和采购文件及合同条款上所列的各项内容中所述的全部，不得以任何理由予以重复，并以投标人在中提出的综合单价或总价为依据；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6、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kern w:val="44"/>
          <w:sz w:val="21"/>
          <w:szCs w:val="21"/>
          <w:lang w:eastAsia="zh-CN"/>
        </w:rPr>
      </w:pPr>
      <w:r>
        <w:rPr>
          <w:rFonts w:ascii="宋体" w:eastAsia="宋体" w:hAnsi="宋体" w:cs="宋体" w:hint="eastAsia"/>
          <w:kern w:val="44"/>
          <w:sz w:val="21"/>
          <w:szCs w:val="21"/>
          <w:lang w:eastAsia="zh-CN"/>
        </w:rPr>
        <w:t>7、投标人应先到项目地点踏勘以充分了解项目的位置、情况、道路及任何其它足以影响投标报价的情况，任何因忽视或误解项目情况而导致的索赔或服务期限延长申请将不获批准；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20" w:leftChars="0" w:firstLineChars="200"/>
        <w:textAlignment w:val="auto"/>
        <w:rPr>
          <w:rFonts w:ascii="宋体" w:eastAsia="宋体" w:hAnsi="宋体" w:cs="宋体" w:hint="eastAsia"/>
          <w:b/>
          <w:bCs/>
          <w:kern w:val="44"/>
          <w:sz w:val="21"/>
          <w:szCs w:val="21"/>
          <w:lang w:eastAsia="zh-CN"/>
        </w:rPr>
      </w:pPr>
      <w:r>
        <w:rPr>
          <w:rFonts w:ascii="宋体" w:eastAsia="宋体" w:hAnsi="宋体" w:cs="宋体" w:hint="eastAsia"/>
          <w:kern w:val="44"/>
          <w:sz w:val="21"/>
          <w:szCs w:val="21"/>
          <w:lang w:eastAsia="zh-CN"/>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spacing w:line="360" w:lineRule="auto"/>
        <w:outlineLvl w:val="0"/>
        <w:rPr>
          <w:rFonts w:ascii="宋体" w:eastAsia="宋体" w:hAnsi="宋体" w:cs="宋体" w:hint="eastAsia"/>
          <w:b/>
          <w:bCs/>
          <w:sz w:val="21"/>
          <w:szCs w:val="21"/>
        </w:rPr>
      </w:pPr>
      <w:bookmarkStart w:id="14" w:name="_Toc14614"/>
      <w:r>
        <w:rPr>
          <w:rFonts w:ascii="宋体" w:eastAsia="宋体" w:hAnsi="宋体" w:cs="宋体" w:hint="eastAsia"/>
          <w:b/>
          <w:bCs/>
          <w:sz w:val="21"/>
          <w:szCs w:val="21"/>
          <w:lang w:eastAsia="zh-CN"/>
        </w:rPr>
        <w:t>七</w:t>
      </w:r>
      <w:r>
        <w:rPr>
          <w:rFonts w:ascii="宋体" w:eastAsia="宋体" w:hAnsi="宋体" w:cs="宋体" w:hint="eastAsia"/>
          <w:b/>
          <w:bCs/>
          <w:sz w:val="21"/>
          <w:szCs w:val="21"/>
        </w:rPr>
        <w:t>、注意事项</w:t>
      </w:r>
      <w:bookmarkEnd w:id="14"/>
    </w:p>
    <w:p>
      <w:pPr>
        <w:spacing w:line="360" w:lineRule="auto"/>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1、中标人不得将项目非法分包或转包给任何单位和个人。否则，采购单位有权即刻终止合同，并要求中标人赔偿相应损失。</w:t>
      </w:r>
    </w:p>
    <w:p>
      <w:pPr>
        <w:spacing w:line="360" w:lineRule="auto"/>
        <w:ind w:firstLine="393" w:firstLineChars="187"/>
        <w:jc w:val="left"/>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2、投标人使用的标准必须是国际公认或国家、或地方政府颁布的同等或更高的标准，如投标人使用的标准低于上述标准,评标小组将有权不予接受，投标人必须列表将明显的差异详细说明。</w:t>
      </w:r>
    </w:p>
    <w:p>
      <w:pPr>
        <w:spacing w:line="360" w:lineRule="auto"/>
        <w:ind w:firstLine="420" w:firstLineChars="200"/>
        <w:jc w:val="left"/>
        <w:rPr>
          <w:rFonts w:ascii="宋体" w:eastAsia="宋体" w:hAnsi="宋体" w:cs="宋体" w:hint="eastAsia"/>
          <w:sz w:val="21"/>
          <w:szCs w:val="21"/>
          <w:lang w:bidi="ar"/>
        </w:rPr>
      </w:pPr>
      <w:r>
        <w:rPr>
          <w:rFonts w:ascii="宋体" w:eastAsia="宋体" w:hAnsi="宋体" w:cs="宋体" w:hint="eastAsia"/>
          <w:sz w:val="21"/>
          <w:szCs w:val="21"/>
          <w:lang w:bidi="ar"/>
        </w:rPr>
        <w:t>3、投标人须在质疑期内一次性提出针对同一采购程序环节的质疑。</w:t>
      </w:r>
    </w:p>
    <w:p>
      <w:pPr>
        <w:spacing w:line="360" w:lineRule="auto"/>
        <w:ind w:firstLine="420" w:firstLineChars="200"/>
        <w:jc w:val="left"/>
        <w:rPr>
          <w:rFonts w:ascii="宋体" w:eastAsia="宋体" w:hAnsi="宋体" w:cs="宋体" w:hint="eastAsia"/>
          <w:sz w:val="21"/>
          <w:szCs w:val="21"/>
          <w:lang w:bidi="ar"/>
        </w:rPr>
      </w:pPr>
      <w:r>
        <w:rPr>
          <w:rFonts w:ascii="宋体" w:eastAsia="宋体" w:hAnsi="宋体" w:cs="宋体" w:hint="eastAsia"/>
          <w:sz w:val="21"/>
          <w:szCs w:val="21"/>
          <w:lang w:bidi="ar"/>
        </w:rPr>
        <w:t>4、本项目按照深圳市龙华区教育局的相关采购规定执行，招标文件未明确的事项，参照政府采购有关法律法规执行。</w:t>
      </w:r>
    </w:p>
    <w:p>
      <w:pPr>
        <w:widowControl w:val="0"/>
        <w:ind w:firstLine="420" w:firstLineChars="200"/>
        <w:jc w:val="both"/>
        <w:rPr>
          <w:rFonts w:ascii="Calibri" w:eastAsia="宋体" w:hAnsi="Calibri"/>
          <w:bCs/>
          <w:kern w:val="2"/>
          <w:sz w:val="21"/>
          <w:szCs w:val="21"/>
          <w:lang w:eastAsia="zh-CN"/>
        </w:rPr>
      </w:pPr>
    </w:p>
    <w:p>
      <w:pPr>
        <w:widowControl w:val="0"/>
        <w:jc w:val="both"/>
        <w:rPr>
          <w:rFonts w:ascii="宋体" w:eastAsia="宋体" w:hAnsi="宋体"/>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5" w:name="_Hlk72257167"/>
    </w:p>
    <w:bookmarkEnd w:id="15"/>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6"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（9）实施方案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（10）项目重点难点分析、应对措施及相关的合理化建议</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（11）质量保障措施及方案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（12）项目完成（服务期满）后的服务承诺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（13）违约承诺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（14）项目负责人情况（仅限1人）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eastAsia="宋体" w:hint="eastAsia"/>
          <w:lang w:eastAsia="zh-CN"/>
        </w:rPr>
      </w:pPr>
      <w:r>
        <w:rPr>
          <w:rFonts w:hint="eastAsia"/>
        </w:rPr>
        <w:t>（15）项目团队成员</w:t>
      </w:r>
      <w:r>
        <w:rPr>
          <w:rFonts w:eastAsia="宋体" w:hint="eastAsia"/>
          <w:lang w:eastAsia="zh-CN"/>
        </w:rPr>
        <w:t>（不含</w:t>
      </w:r>
      <w:r>
        <w:rPr>
          <w:rFonts w:hint="eastAsia"/>
        </w:rPr>
        <w:t>项目负责人</w:t>
      </w:r>
      <w:r>
        <w:rPr>
          <w:rFonts w:eastAsia="宋体" w:hint="eastAsia"/>
          <w:lang w:eastAsia="zh-CN"/>
        </w:rPr>
        <w:t>）</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（16）通过相关认证情况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（17）食品检测</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（18）服务网点</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（1</w:t>
      </w:r>
      <w:r>
        <w:rPr>
          <w:rFonts w:eastAsia="宋体" w:hint="eastAsia"/>
          <w:lang w:eastAsia="zh-CN"/>
        </w:rPr>
        <w:t>9</w:t>
      </w:r>
      <w:r>
        <w:rPr>
          <w:rFonts w:hint="eastAsia"/>
        </w:rPr>
        <w:t>）供应商获奖情况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20</w:t>
      </w:r>
      <w:r>
        <w:rPr>
          <w:rFonts w:hint="eastAsia"/>
        </w:rPr>
        <w:t>）同类项目业绩</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21</w:t>
      </w:r>
      <w:r>
        <w:rPr>
          <w:rFonts w:hint="eastAsia"/>
        </w:rPr>
        <w:t>）履约评价情况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2</w:t>
      </w:r>
      <w:r>
        <w:rPr>
          <w:rFonts w:eastAsia="宋体" w:hint="eastAsia"/>
          <w:lang w:eastAsia="zh-CN"/>
        </w:rPr>
        <w:t>2</w:t>
      </w:r>
      <w:r>
        <w:rPr>
          <w:rFonts w:hint="eastAsia"/>
        </w:rPr>
        <w:t>）诚信承诺函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2</w:t>
      </w:r>
      <w:r>
        <w:rPr>
          <w:rFonts w:eastAsia="宋体" w:hint="eastAsia"/>
          <w:lang w:eastAsia="zh-CN"/>
        </w:rPr>
        <w:t>3</w:t>
      </w:r>
      <w:r>
        <w:rPr>
          <w:rFonts w:hint="eastAsia"/>
        </w:rPr>
        <w:t>）投标人认为需要加以说明的其他内容</w:t>
      </w:r>
    </w:p>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7"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7"/>
      <w:r>
        <w:rPr>
          <w:rFonts w:ascii="宋体" w:eastAsia="黑体" w:hAnsi="宋体"/>
          <w:bCs/>
          <w:kern w:val="44"/>
          <w:sz w:val="32"/>
          <w:szCs w:val="32"/>
          <w:lang w:eastAsia="zh-CN"/>
        </w:rPr>
        <w:br w:type="page"/>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18"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19" w:name="_Hlk73818812"/>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thick"/>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ascii="宋体" w:eastAsia="宋体" w:hAnsi="宋体" w:cs="宋体" w:hint="eastAsia"/>
          <w:kern w:val="2"/>
          <w:sz w:val="21"/>
          <w:szCs w:val="21"/>
          <w:lang w:eastAsia="zh-CN"/>
        </w:rPr>
        <w:t>愿意按照招标文件要求承包上述项目并修补其任何缺陷。</w:t>
      </w:r>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21" w:name="_Hlk73819847"/>
      <w:r>
        <w:rPr>
          <w:rFonts w:ascii="宋体" w:eastAsia="宋体" w:hAnsi="宋体" w:cs="宋体" w:hint="eastAsia"/>
          <w:kern w:val="2"/>
          <w:sz w:val="21"/>
          <w:szCs w:val="21"/>
          <w:lang w:eastAsia="zh-CN"/>
        </w:rPr>
        <w:t>投标价格见投标书编制软件中《开标一览表》中填写的投标总价。</w:t>
      </w:r>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jc w:val="both"/>
        <w:rPr>
          <w:rFonts w:ascii="黑体" w:eastAsia="黑体" w:hAnsi="宋体"/>
          <w:kern w:val="2"/>
          <w:sz w:val="21"/>
          <w:szCs w:val="2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8"/>
    <w:p>
      <w:pPr>
        <w:keepNext/>
        <w:keepLines/>
        <w:widowControl w:val="0"/>
        <w:spacing w:line="360" w:lineRule="auto"/>
        <w:jc w:val="center"/>
        <w:outlineLvl w:val="2"/>
        <w:rPr>
          <w:rFonts w:ascii="宋体" w:eastAsia="宋体" w:hAnsi="宋体" w:cs="宋体"/>
          <w:b/>
          <w:kern w:val="2"/>
          <w:sz w:val="28"/>
          <w:lang w:eastAsia="zh-CN"/>
        </w:rPr>
      </w:pPr>
      <w:r>
        <w:rPr>
          <w:rFonts w:ascii="宋体" w:eastAsia="宋体" w:hAnsi="宋体" w:cs="宋体" w:hint="eastAsia"/>
          <w:b/>
          <w:kern w:val="2"/>
          <w:sz w:val="28"/>
          <w:lang w:eastAsia="zh-CN"/>
        </w:rPr>
        <w:t>二、龙华区教育局自行采购投标及履约承诺函</w:t>
      </w:r>
    </w:p>
    <w:p>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1.我单位本招标项目所提供的货物或服务未侵犯知识产权。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2.我单位参与本项目投标前三年内，在经营活动中没有重大违法记录。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3.我单位参与本项目政府采购活动时不存在被有关部门禁止参与政府采购活动且在有效期内的情况。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4.我单位具备《中华人民共和国政府采购法》第二十二条第一款规定的六项条件。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5.我单位未被列入失信被执行人、重大税收违法案件当事人名单（税收违法黑名单）、政府采购严重违法失信行为记录名单。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 xml:space="preserve"> 我单位承诺参与本项目非联合体投标，不选用进口产品参与投标，中标后项目不转包，未经采购人同意不进行分包。</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13.我单位承诺，符合《中华人民共和国政府采购法实施条例》第十八条第一款规定，不存在我单位与其他供应商的负责人为同一人或者存在直接控股、管理关系的情况。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14.所投标（响应）的货物、工程或服务，不存在侵犯知识产权的情况；已知悉并同意中标（成交）结果信息公示（公开）的内容。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15.本单位（公司）不存在《深圳市财政局政府采购供应商信用信息管理办法》（深财规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360" w:lineRule="auto"/>
        <w:jc w:val="both"/>
        <w:rPr>
          <w:rFonts w:ascii="宋体" w:eastAsia="宋体" w:hAnsi="宋体" w:cs="宋体"/>
          <w:kern w:val="2"/>
          <w:sz w:val="18"/>
          <w:szCs w:val="18"/>
          <w:lang w:eastAsia="zh-CN"/>
        </w:rPr>
      </w:pPr>
    </w:p>
    <w:p>
      <w:pPr>
        <w:widowControl w:val="0"/>
        <w:spacing w:line="360" w:lineRule="auto"/>
        <w:ind w:firstLine="645"/>
        <w:jc w:val="right"/>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pPr>
        <w:widowControl w:val="0"/>
        <w:wordWrap w:val="0"/>
        <w:spacing w:line="360" w:lineRule="auto"/>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日期：年月日</w:t>
      </w:r>
    </w:p>
    <w:p>
      <w:pPr>
        <w:widowControl w:val="0"/>
        <w:spacing w:line="360" w:lineRule="auto"/>
        <w:jc w:val="both"/>
        <w:rPr>
          <w:rFonts w:ascii="宋体" w:eastAsia="宋体" w:hAnsi="宋体" w:cs="宋体"/>
          <w:b/>
          <w:bCs/>
          <w:color w:val="FF0000"/>
          <w:kern w:val="2"/>
          <w:sz w:val="21"/>
          <w:szCs w:val="21"/>
          <w:lang w:eastAsia="zh-CN"/>
        </w:rPr>
      </w:pPr>
    </w:p>
    <w:p>
      <w:pPr>
        <w:widowControl w:val="0"/>
        <w:spacing w:line="360" w:lineRule="auto"/>
        <w:jc w:val="both"/>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三、投标人情况及资格证明文件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2" w:name="_Hlk72257590"/>
      <w:r>
        <w:rPr>
          <w:rFonts w:ascii="宋体" w:eastAsia="宋体" w:hAnsi="宋体" w:cs="宋体" w:hint="eastAsia"/>
          <w:bCs/>
          <w:szCs w:val="32"/>
          <w:lang w:eastAsia="zh-CN"/>
        </w:rPr>
        <w:t>（一）投标人资格证明文件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3" w:name="_Hlk72257908"/>
      <w:r>
        <w:rPr>
          <w:rFonts w:ascii="宋体" w:eastAsia="宋体" w:hAnsi="宋体" w:cs="宋体" w:hint="eastAsia"/>
          <w:bCs/>
          <w:szCs w:val="32"/>
          <w:lang w:eastAsia="zh-CN"/>
        </w:rPr>
        <w:t>（二）中小企业声明函、残疾人福利性单位声明函及监狱企业声明函</w:t>
      </w:r>
      <w:bookmarkEnd w:id="22"/>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填写指引：</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bCs/>
          <w:color w:val="FF0000"/>
          <w:sz w:val="21"/>
          <w:szCs w:val="21"/>
          <w:lang w:eastAsia="zh-CN"/>
        </w:rPr>
        <w:t>1、该部分内容由投标人根据自身实际情况填写，不符合要求的投标人可以不填写或直接删除相应的声明函。</w:t>
      </w:r>
      <w:r>
        <w:rPr>
          <w:rFonts w:ascii="宋体" w:eastAsia="宋体" w:hAnsi="宋体" w:cs="宋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2、该部分内容填写需要参考的相关文件：</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(1)财政部《政府采购促进中小企业发展管理办法》（财库〔2020〕46号）；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(2)《工业和信息化部、国家统计局、国家发展和改革委员会、财政部关于印发中小企业划型标准规定的通知》（工信部联企业〔2011〕300 号，以下简称300号文）；</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(3)《统计上大中小微型企业划分办法(2017)》（国统字〔2017〕213 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(4)《关于促进残疾人就业政府采购政策的通知》（财库〔2017〕141号）；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(5)《关于政府采购支持监狱企业发展有关问题的通知》（财库〔2014〕68号）</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3、请依照提供的格式和内容填写声明函，不要随意变更格式；声明函不需要盖章或签字；</w:t>
      </w:r>
      <w:r>
        <w:rPr>
          <w:rFonts w:ascii="宋体" w:eastAsia="宋体" w:hAnsi="宋体" w:cs="宋体" w:hint="eastAsia"/>
          <w:color w:val="FF0000"/>
          <w:kern w:val="2"/>
          <w:sz w:val="21"/>
          <w:szCs w:val="21"/>
          <w:lang w:eastAsia="zh-CN"/>
        </w:rPr>
        <w:t>满足多项优惠政策的投标人，不重复享受多项价格扣除政策。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4、声明函具体填写要求：</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（1）声明是中小企业须填写《中小企业声明函》的以下内容：</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第一处，在“单位名称”下划线处如实填写采购人名称（深圳公共资源交易中心不是本项目的采购人，而是组织实施机构）；</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第二处，在“项目名称”下划线处如实填写采购项目名称；</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（2）声明是残疾人福利性单位须填写《残疾人福利性单位声明函》的相关内容，具体参照以上《中小企业声明函》填写要求执行。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（3）声明是监狱企业须填写《监狱企业声明函》的三项内容（填写位置的字体已加粗），具体参照以上《中小企业声明函》填写要求执行。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23"/>
    <w:p>
      <w:pPr>
        <w:widowControl w:val="0"/>
        <w:numPr>
          <w:ilvl w:val="0"/>
          <w:numId w:val="17"/>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w:t>
      </w:r>
      <w:r>
        <w:rPr>
          <w:rFonts w:ascii="Calibri" w:eastAsia="宋体" w:hAnsi="Calibri" w:cstheme="minorBidi" w:hint="eastAsia"/>
          <w:b/>
          <w:kern w:val="2"/>
          <w:szCs w:val="22"/>
          <w:lang w:eastAsia="zh-CN"/>
        </w:rPr>
        <w:t>服务</w:t>
      </w:r>
      <w:r>
        <w:rPr>
          <w:rFonts w:ascii="Calibri" w:eastAsia="宋体" w:hAnsi="Calibri" w:cstheme="minorBidi"/>
          <w:b/>
          <w:kern w:val="2"/>
          <w:szCs w:val="22"/>
          <w:lang w:eastAsia="zh-CN"/>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本公司郑重声明，根据《政府采购促进中小企业发展管理办法》（财库﹝2020﹞46号）的规定，本公司参加</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餐饮业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3"/>
        <w:rPr>
          <w:rFonts w:ascii="宋体" w:eastAsia="宋体" w:hAnsi="宋体" w:cs="宋体" w:hint="eastAsia"/>
          <w:kern w:val="2"/>
          <w:sz w:val="21"/>
          <w:szCs w:val="21"/>
          <w:lang w:eastAsia="zh-CN"/>
        </w:rPr>
      </w:pPr>
      <w:bookmarkStart w:id="24"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widowControl w:val="0"/>
        <w:ind w:firstLine="420" w:firstLineChars="200"/>
        <w:jc w:val="both"/>
        <w:rPr>
          <w:rFonts w:ascii="Calibri" w:eastAsia="宋体" w:hAnsi="Calibri"/>
          <w:kern w:val="2"/>
          <w:sz w:val="21"/>
          <w:szCs w:val="22"/>
          <w:lang w:eastAsia="zh-CN"/>
        </w:rPr>
      </w:pPr>
    </w:p>
    <w:p>
      <w:pPr>
        <w:widowControl w:val="0"/>
        <w:jc w:val="center"/>
        <w:outlineLvl w:val="3"/>
        <w:rPr>
          <w:rFonts w:ascii="Calibri" w:eastAsia="宋体" w:hAnsi="Calibri" w:hint="eastAsia"/>
          <w:b/>
          <w:kern w:val="2"/>
          <w:szCs w:val="22"/>
          <w:lang w:eastAsia="zh-CN"/>
        </w:rPr>
      </w:pPr>
      <w:r>
        <w:rPr>
          <w:rFonts w:ascii="Calibri" w:eastAsia="宋体" w:hAnsi="Calibri" w:cstheme="minorBidi" w:hint="eastAsia"/>
          <w:b/>
          <w:kern w:val="2"/>
          <w:szCs w:val="22"/>
          <w:lang w:eastAsia="zh-CN"/>
        </w:rPr>
        <w:t>2、残疾人福利性单位声明函（服务类）</w:t>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3、监狱企业声明函【服务类，监狱企业如需享受优惠政策，还须另行提供省级以上监狱管理局、戒毒管理局（含新疆生产建设兵团）出具的监狱企业证明文件】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b/>
          <w:bCs/>
          <w:kern w:val="2"/>
          <w:sz w:val="21"/>
          <w:szCs w:val="21"/>
          <w:u w:val="single"/>
          <w:lang w:eastAsia="zh-CN"/>
        </w:rPr>
        <w:t>）</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outlineLvl w:val="3"/>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spacing w:line="360" w:lineRule="auto"/>
        <w:ind w:firstLine="420" w:firstLineChars="200"/>
        <w:jc w:val="both"/>
        <w:rPr>
          <w:rFonts w:ascii="Calibri" w:eastAsia="宋体" w:hAnsi="Calibri"/>
          <w:b/>
          <w:bCs/>
          <w:color w:val="FF0000"/>
          <w:kern w:val="2"/>
          <w:sz w:val="21"/>
          <w:szCs w:val="21"/>
          <w:lang w:eastAsia="zh-CN"/>
        </w:rPr>
      </w:pPr>
    </w:p>
    <w:p>
      <w:pPr>
        <w:keepNext/>
        <w:keepLines/>
        <w:pageBreakBefore/>
        <w:widowControl w:val="0"/>
        <w:adjustRightInd w:val="0"/>
        <w:snapToGrid w:val="0"/>
        <w:spacing w:line="360" w:lineRule="auto"/>
        <w:jc w:val="center"/>
        <w:textAlignment w:val="baseline"/>
        <w:outlineLvl w:val="3"/>
        <w:rPr>
          <w:rFonts w:eastAsia="宋体"/>
          <w:kern w:val="2"/>
          <w:sz w:val="21"/>
          <w:lang w:eastAsia="zh-CN"/>
        </w:rPr>
      </w:pPr>
      <w:r>
        <w:rPr>
          <w:rFonts w:ascii="宋体" w:eastAsia="宋体" w:hAnsi="宋体" w:hint="eastAsia"/>
          <w:b/>
          <w:bCs/>
          <w:szCs w:val="20"/>
          <w:lang w:eastAsia="zh-CN"/>
        </w:rPr>
        <w:t>四、分项报价清单</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810"/>
        <w:gridCol w:w="3200"/>
        <w:gridCol w:w="1390"/>
        <w:gridCol w:w="1446"/>
        <w:gridCol w:w="2002"/>
        <w:gridCol w:w="8"/>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line="360" w:lineRule="auto"/>
              <w:jc w:val="center"/>
              <w:rPr>
                <w:rFonts w:ascii="宋体" w:hAnsi="宋体" w:cs="Arial"/>
              </w:rPr>
            </w:pPr>
            <w:r>
              <w:rPr>
                <w:rFonts w:ascii="宋体" w:hAnsi="宋体" w:cs="Arial" w:hint="eastAsia"/>
              </w:rPr>
              <w:t>序号</w:t>
            </w:r>
          </w:p>
        </w:tc>
        <w:tc>
          <w:tcPr>
            <w:tcW w:w="3260" w:type="dxa"/>
            <w:vAlign w:val="center"/>
          </w:tcPr>
          <w:p>
            <w:pPr>
              <w:snapToGrid w:val="0"/>
              <w:spacing w:after="60" w:afterLines="25" w:line="360" w:lineRule="auto"/>
              <w:jc w:val="center"/>
              <w:rPr>
                <w:rFonts w:ascii="宋体" w:hAnsi="宋体" w:cs="Arial"/>
              </w:rPr>
            </w:pPr>
            <w:r>
              <w:rPr>
                <w:rFonts w:ascii="宋体" w:hAnsi="宋体" w:cs="Arial" w:hint="eastAsia"/>
              </w:rPr>
              <w:t>支出项名称</w:t>
            </w:r>
          </w:p>
        </w:tc>
        <w:tc>
          <w:tcPr>
            <w:tcW w:w="1413" w:type="dxa"/>
            <w:vAlign w:val="center"/>
          </w:tcPr>
          <w:p>
            <w:pPr>
              <w:snapToGrid w:val="0"/>
              <w:spacing w:after="60" w:afterLines="25" w:line="360" w:lineRule="auto"/>
              <w:jc w:val="center"/>
              <w:rPr>
                <w:rFonts w:ascii="宋体" w:hAnsi="宋体" w:cs="Arial"/>
              </w:rPr>
            </w:pPr>
            <w:r>
              <w:rPr>
                <w:rFonts w:ascii="宋体" w:hAnsi="宋体" w:cs="Arial" w:hint="eastAsia"/>
              </w:rPr>
              <w:t>数量</w:t>
            </w:r>
          </w:p>
        </w:tc>
        <w:tc>
          <w:tcPr>
            <w:tcW w:w="1470" w:type="dxa"/>
            <w:vAlign w:val="center"/>
          </w:tcPr>
          <w:p>
            <w:pPr>
              <w:snapToGrid w:val="0"/>
              <w:spacing w:after="60" w:afterLines="25" w:line="360" w:lineRule="auto"/>
              <w:jc w:val="center"/>
              <w:rPr>
                <w:rFonts w:ascii="宋体" w:hAnsi="宋体" w:cs="Arial"/>
              </w:rPr>
            </w:pPr>
            <w:r>
              <w:rPr>
                <w:rFonts w:ascii="宋体" w:hAnsi="宋体" w:cs="Arial" w:hint="eastAsia"/>
              </w:rPr>
              <w:t>单价（元）</w:t>
            </w:r>
          </w:p>
        </w:tc>
        <w:tc>
          <w:tcPr>
            <w:tcW w:w="2046" w:type="dxa"/>
            <w:gridSpan w:val="2"/>
            <w:vAlign w:val="center"/>
          </w:tcPr>
          <w:p>
            <w:pPr>
              <w:snapToGrid w:val="0"/>
              <w:spacing w:after="60" w:afterLines="25" w:line="360" w:lineRule="auto"/>
              <w:jc w:val="center"/>
              <w:rPr>
                <w:rFonts w:ascii="宋体" w:hAnsi="宋体" w:cs="Arial"/>
              </w:rPr>
            </w:pPr>
            <w:r>
              <w:rPr>
                <w:rFonts w:ascii="宋体" w:hAnsi="宋体" w:cs="Arial" w:hint="eastAsia"/>
              </w:rPr>
              <w:t>总价（元）</w:t>
            </w: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line="360" w:lineRule="auto"/>
              <w:jc w:val="center"/>
              <w:rPr>
                <w:rFonts w:ascii="宋体" w:hAnsi="宋体" w:cs="Arial"/>
              </w:rPr>
            </w:pPr>
            <w:r>
              <w:rPr>
                <w:rFonts w:ascii="宋体" w:hAnsi="宋体" w:cs="Arial" w:hint="eastAsia"/>
              </w:rPr>
              <w:t>1</w:t>
            </w:r>
          </w:p>
        </w:tc>
        <w:tc>
          <w:tcPr>
            <w:tcW w:w="3260" w:type="dxa"/>
            <w:vAlign w:val="center"/>
          </w:tcPr>
          <w:p>
            <w:pPr>
              <w:snapToGrid w:val="0"/>
              <w:spacing w:after="60" w:afterLines="25" w:line="360" w:lineRule="auto"/>
              <w:jc w:val="center"/>
              <w:rPr>
                <w:rFonts w:ascii="宋体" w:eastAsia="黑体" w:hAnsi="宋体"/>
                <w:b/>
                <w:bCs/>
                <w:kern w:val="44"/>
              </w:rPr>
            </w:pPr>
          </w:p>
        </w:tc>
        <w:tc>
          <w:tcPr>
            <w:tcW w:w="1413" w:type="dxa"/>
            <w:vAlign w:val="center"/>
          </w:tcPr>
          <w:p>
            <w:pPr>
              <w:snapToGrid w:val="0"/>
              <w:spacing w:after="60" w:afterLines="25" w:line="360" w:lineRule="auto"/>
              <w:jc w:val="center"/>
              <w:rPr>
                <w:rFonts w:ascii="宋体" w:eastAsia="黑体" w:hAnsi="宋体" w:cs="Arial"/>
                <w:b/>
                <w:bCs/>
                <w:kern w:val="44"/>
              </w:rPr>
            </w:pPr>
          </w:p>
        </w:tc>
        <w:tc>
          <w:tcPr>
            <w:tcW w:w="1470" w:type="dxa"/>
            <w:vAlign w:val="center"/>
          </w:tcPr>
          <w:p>
            <w:pPr>
              <w:snapToGrid w:val="0"/>
              <w:spacing w:after="60" w:afterLines="25" w:line="360" w:lineRule="auto"/>
              <w:jc w:val="center"/>
              <w:rPr>
                <w:rFonts w:ascii="宋体" w:eastAsia="黑体" w:hAnsi="宋体" w:cs="Arial"/>
                <w:b/>
                <w:bCs/>
                <w:kern w:val="44"/>
              </w:rPr>
            </w:pPr>
          </w:p>
        </w:tc>
        <w:tc>
          <w:tcPr>
            <w:tcW w:w="2046" w:type="dxa"/>
            <w:gridSpan w:val="2"/>
            <w:vAlign w:val="center"/>
          </w:tcPr>
          <w:p>
            <w:pPr>
              <w:snapToGrid w:val="0"/>
              <w:spacing w:after="60" w:afterLines="25" w:line="360" w:lineRule="auto"/>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line="360" w:lineRule="auto"/>
              <w:jc w:val="center"/>
              <w:rPr>
                <w:rFonts w:ascii="宋体" w:hAnsi="宋体" w:cs="Arial"/>
              </w:rPr>
            </w:pPr>
            <w:r>
              <w:rPr>
                <w:rFonts w:ascii="宋体" w:hAnsi="宋体" w:cs="Arial" w:hint="eastAsia"/>
              </w:rPr>
              <w:t>2</w:t>
            </w:r>
          </w:p>
        </w:tc>
        <w:tc>
          <w:tcPr>
            <w:tcW w:w="3260" w:type="dxa"/>
            <w:vAlign w:val="center"/>
          </w:tcPr>
          <w:p>
            <w:pPr>
              <w:snapToGrid w:val="0"/>
              <w:spacing w:after="60" w:afterLines="25" w:line="360" w:lineRule="auto"/>
              <w:jc w:val="center"/>
              <w:rPr>
                <w:rFonts w:ascii="宋体" w:eastAsia="黑体" w:hAnsi="宋体"/>
                <w:b/>
                <w:bCs/>
                <w:kern w:val="44"/>
              </w:rPr>
            </w:pPr>
          </w:p>
        </w:tc>
        <w:tc>
          <w:tcPr>
            <w:tcW w:w="1413" w:type="dxa"/>
            <w:vAlign w:val="center"/>
          </w:tcPr>
          <w:p>
            <w:pPr>
              <w:snapToGrid w:val="0"/>
              <w:spacing w:after="60" w:afterLines="25" w:line="360" w:lineRule="auto"/>
              <w:jc w:val="center"/>
              <w:rPr>
                <w:rFonts w:ascii="宋体" w:eastAsia="黑体" w:hAnsi="宋体" w:cs="Arial"/>
                <w:b/>
                <w:bCs/>
                <w:kern w:val="44"/>
              </w:rPr>
            </w:pPr>
          </w:p>
        </w:tc>
        <w:tc>
          <w:tcPr>
            <w:tcW w:w="1470" w:type="dxa"/>
            <w:vAlign w:val="center"/>
          </w:tcPr>
          <w:p>
            <w:pPr>
              <w:snapToGrid w:val="0"/>
              <w:spacing w:after="60" w:afterLines="25" w:line="360" w:lineRule="auto"/>
              <w:jc w:val="center"/>
              <w:rPr>
                <w:rFonts w:ascii="宋体" w:eastAsia="黑体" w:hAnsi="宋体" w:cs="Arial"/>
                <w:b/>
                <w:bCs/>
                <w:kern w:val="44"/>
              </w:rPr>
            </w:pPr>
          </w:p>
        </w:tc>
        <w:tc>
          <w:tcPr>
            <w:tcW w:w="2046" w:type="dxa"/>
            <w:gridSpan w:val="2"/>
            <w:vAlign w:val="center"/>
          </w:tcPr>
          <w:p>
            <w:pPr>
              <w:snapToGrid w:val="0"/>
              <w:spacing w:after="60" w:afterLines="25" w:line="360" w:lineRule="auto"/>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line="360" w:lineRule="auto"/>
              <w:jc w:val="center"/>
              <w:rPr>
                <w:rFonts w:ascii="宋体" w:hAnsi="宋体" w:cs="Arial"/>
              </w:rPr>
            </w:pPr>
            <w:r>
              <w:rPr>
                <w:rFonts w:ascii="宋体" w:hAnsi="宋体" w:cs="Arial" w:hint="eastAsia"/>
              </w:rPr>
              <w:t>3</w:t>
            </w:r>
          </w:p>
        </w:tc>
        <w:tc>
          <w:tcPr>
            <w:tcW w:w="3260" w:type="dxa"/>
            <w:vAlign w:val="center"/>
          </w:tcPr>
          <w:p>
            <w:pPr>
              <w:snapToGrid w:val="0"/>
              <w:spacing w:after="60" w:afterLines="25" w:line="360" w:lineRule="auto"/>
              <w:jc w:val="center"/>
              <w:rPr>
                <w:rFonts w:ascii="宋体" w:eastAsia="黑体" w:hAnsi="宋体"/>
                <w:b/>
                <w:bCs/>
                <w:kern w:val="44"/>
              </w:rPr>
            </w:pPr>
          </w:p>
        </w:tc>
        <w:tc>
          <w:tcPr>
            <w:tcW w:w="1413" w:type="dxa"/>
            <w:vAlign w:val="center"/>
          </w:tcPr>
          <w:p>
            <w:pPr>
              <w:snapToGrid w:val="0"/>
              <w:spacing w:after="60" w:afterLines="25" w:line="360" w:lineRule="auto"/>
              <w:jc w:val="center"/>
              <w:rPr>
                <w:rFonts w:ascii="宋体" w:eastAsia="黑体" w:hAnsi="宋体" w:cs="Arial"/>
                <w:b/>
                <w:bCs/>
                <w:kern w:val="44"/>
              </w:rPr>
            </w:pPr>
          </w:p>
        </w:tc>
        <w:tc>
          <w:tcPr>
            <w:tcW w:w="1470" w:type="dxa"/>
            <w:vAlign w:val="center"/>
          </w:tcPr>
          <w:p>
            <w:pPr>
              <w:snapToGrid w:val="0"/>
              <w:spacing w:after="60" w:afterLines="25" w:line="360" w:lineRule="auto"/>
              <w:jc w:val="center"/>
              <w:rPr>
                <w:rFonts w:ascii="宋体" w:eastAsia="黑体" w:hAnsi="宋体" w:cs="Arial"/>
                <w:b/>
                <w:bCs/>
                <w:kern w:val="44"/>
              </w:rPr>
            </w:pPr>
          </w:p>
        </w:tc>
        <w:tc>
          <w:tcPr>
            <w:tcW w:w="2046" w:type="dxa"/>
            <w:gridSpan w:val="2"/>
            <w:vAlign w:val="center"/>
          </w:tcPr>
          <w:p>
            <w:pPr>
              <w:snapToGrid w:val="0"/>
              <w:spacing w:after="60" w:afterLines="25" w:line="360" w:lineRule="auto"/>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vAlign w:val="center"/>
          </w:tcPr>
          <w:p>
            <w:pPr>
              <w:snapToGrid w:val="0"/>
              <w:spacing w:after="60" w:afterLines="25" w:line="360" w:lineRule="auto"/>
              <w:jc w:val="center"/>
              <w:rPr>
                <w:rFonts w:ascii="宋体" w:hAnsi="宋体" w:cs="Arial"/>
              </w:rPr>
            </w:pPr>
            <w:r>
              <w:rPr>
                <w:rFonts w:ascii="宋体" w:hAnsi="宋体" w:cs="Arial" w:hint="eastAsia"/>
              </w:rPr>
              <w:t>……</w:t>
            </w:r>
          </w:p>
        </w:tc>
        <w:tc>
          <w:tcPr>
            <w:tcW w:w="3260" w:type="dxa"/>
            <w:vAlign w:val="center"/>
          </w:tcPr>
          <w:p>
            <w:pPr>
              <w:snapToGrid w:val="0"/>
              <w:spacing w:after="60" w:afterLines="25" w:line="360" w:lineRule="auto"/>
              <w:jc w:val="center"/>
              <w:rPr>
                <w:rFonts w:ascii="宋体" w:eastAsia="黑体" w:hAnsi="宋体" w:cs="Arial"/>
                <w:b/>
                <w:bCs/>
                <w:kern w:val="44"/>
              </w:rPr>
            </w:pPr>
          </w:p>
        </w:tc>
        <w:tc>
          <w:tcPr>
            <w:tcW w:w="1413" w:type="dxa"/>
            <w:vAlign w:val="center"/>
          </w:tcPr>
          <w:p>
            <w:pPr>
              <w:snapToGrid w:val="0"/>
              <w:spacing w:after="60" w:afterLines="25" w:line="360" w:lineRule="auto"/>
              <w:jc w:val="center"/>
              <w:rPr>
                <w:rFonts w:ascii="宋体" w:eastAsia="黑体" w:hAnsi="宋体" w:cs="Arial"/>
                <w:b/>
                <w:bCs/>
                <w:kern w:val="44"/>
              </w:rPr>
            </w:pPr>
          </w:p>
        </w:tc>
        <w:tc>
          <w:tcPr>
            <w:tcW w:w="1470" w:type="dxa"/>
            <w:vAlign w:val="center"/>
          </w:tcPr>
          <w:p>
            <w:pPr>
              <w:snapToGrid w:val="0"/>
              <w:spacing w:after="60" w:afterLines="25" w:line="360" w:lineRule="auto"/>
              <w:jc w:val="center"/>
              <w:rPr>
                <w:rFonts w:ascii="宋体" w:eastAsia="黑体" w:hAnsi="宋体" w:cs="Arial"/>
                <w:b/>
                <w:bCs/>
                <w:kern w:val="44"/>
              </w:rPr>
            </w:pPr>
          </w:p>
        </w:tc>
        <w:tc>
          <w:tcPr>
            <w:tcW w:w="2046" w:type="dxa"/>
            <w:gridSpan w:val="2"/>
            <w:vAlign w:val="center"/>
          </w:tcPr>
          <w:p>
            <w:pPr>
              <w:snapToGrid w:val="0"/>
              <w:spacing w:after="60" w:afterLines="25" w:line="360" w:lineRule="auto"/>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gridAfter w:val="1"/>
          <w:wAfter w:w="8" w:type="dxa"/>
          <w:cantSplit/>
          <w:trHeight w:val="646"/>
          <w:jc w:val="center"/>
        </w:trPr>
        <w:tc>
          <w:tcPr>
            <w:tcW w:w="6965" w:type="dxa"/>
            <w:gridSpan w:val="4"/>
            <w:vAlign w:val="center"/>
          </w:tcPr>
          <w:p>
            <w:pPr>
              <w:snapToGrid w:val="0"/>
              <w:spacing w:after="60" w:afterLines="25" w:line="360" w:lineRule="auto"/>
              <w:jc w:val="center"/>
              <w:rPr>
                <w:rFonts w:ascii="宋体" w:hAnsi="宋体" w:cs="Arial"/>
                <w:b/>
              </w:rPr>
            </w:pPr>
            <w:r>
              <w:rPr>
                <w:rFonts w:ascii="宋体" w:hAnsi="宋体" w:cs="Arial" w:hint="eastAsia"/>
                <w:b/>
              </w:rPr>
              <w:t>投标总价</w:t>
            </w:r>
            <w:r>
              <w:rPr>
                <w:rFonts w:ascii="宋体" w:hAnsi="宋体" w:hint="eastAsia"/>
              </w:rPr>
              <w:t>（币种：人民币；单位：元）</w:t>
            </w:r>
          </w:p>
        </w:tc>
        <w:tc>
          <w:tcPr>
            <w:tcW w:w="2038" w:type="dxa"/>
            <w:vAlign w:val="center"/>
          </w:tcPr>
          <w:p>
            <w:pPr>
              <w:snapToGrid w:val="0"/>
              <w:spacing w:after="60" w:afterLines="25" w:line="360" w:lineRule="auto"/>
              <w:jc w:val="center"/>
              <w:rPr>
                <w:rFonts w:ascii="宋体" w:eastAsia="黑体" w:hAnsi="宋体" w:cs="Arial"/>
                <w:b/>
                <w:bCs/>
                <w:kern w:val="44"/>
              </w:rPr>
            </w:pPr>
          </w:p>
        </w:tc>
      </w:tr>
    </w:tbl>
    <w:p>
      <w:pPr>
        <w:widowControl w:val="0"/>
        <w:spacing w:line="360" w:lineRule="auto"/>
        <w:jc w:val="both"/>
        <w:rPr>
          <w:rFonts w:ascii="宋体" w:hAnsi="宋体"/>
          <w:b/>
          <w:sz w:val="21"/>
          <w:szCs w:val="21"/>
        </w:rPr>
      </w:pPr>
      <w:r>
        <w:rPr>
          <w:rFonts w:ascii="宋体" w:hAnsi="宋体" w:hint="eastAsia"/>
          <w:b/>
          <w:sz w:val="21"/>
          <w:szCs w:val="21"/>
        </w:rPr>
        <w:t>上述表格格式仅供参考，投标人可根据实际情况自行调整。</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五、股东构成审查表</w:t>
      </w:r>
    </w:p>
    <w:p>
      <w:pPr>
        <w:keepNext/>
        <w:keepLines/>
        <w:widowControl w:val="0"/>
        <w:numPr>
          <w:ilvl w:val="0"/>
          <w:numId w:val="18"/>
        </w:numPr>
        <w:kinsoku/>
        <w:overflowPunct/>
        <w:topLinePunct w:val="0"/>
        <w:bidi w:val="0"/>
        <w:spacing w:before="0" w:beforeAutospacing="0" w:after="0" w:afterAutospacing="0" w:line="360" w:lineRule="auto"/>
        <w:ind w:left="0" w:right="0" w:firstLine="0" w:leftChars="0" w:firstLineChars="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4"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(需体现股东及出资信息）</w:t>
      </w:r>
      <w:r>
        <w:rPr>
          <w:rFonts w:ascii="宋体" w:eastAsia="宋体" w:hAnsi="宋体" w:cs="宋体" w:hint="eastAsia"/>
          <w:kern w:val="2"/>
          <w:sz w:val="21"/>
          <w:szCs w:val="21"/>
          <w:lang w:eastAsia="zh-CN"/>
        </w:rPr>
        <w:t>。网址：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9"/>
        <w:rPr>
          <w:rFonts w:ascii="宋体" w:eastAsia="宋体" w:hAnsi="宋体" w:cs="宋体" w:hint="eastAsia"/>
          <w:kern w:val="2"/>
          <w:sz w:val="21"/>
          <w:lang w:eastAsia="zh-CN"/>
        </w:rPr>
      </w:pPr>
      <w:r>
        <w:rPr>
          <w:rFonts w:ascii="宋体" w:eastAsia="宋体" w:hAnsi="宋体" w:cs="宋体" w:hint="eastAsia"/>
          <w:kern w:val="2"/>
          <w:sz w:val="21"/>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六、</w:t>
      </w:r>
      <w:bookmarkStart w:id="25" w:name="_Hlk72092499"/>
      <w:r>
        <w:rPr>
          <w:rFonts w:ascii="宋体" w:eastAsia="宋体" w:hAnsi="宋体" w:hint="eastAsia"/>
          <w:b/>
          <w:bCs/>
          <w:szCs w:val="20"/>
          <w:lang w:eastAsia="zh-CN"/>
        </w:rPr>
        <w:t>法定代表人（负责人）证明书</w:t>
      </w:r>
      <w:bookmarkEnd w:id="25"/>
    </w:p>
    <w:p>
      <w:pPr>
        <w:widowControl w:val="0"/>
        <w:jc w:val="both"/>
        <w:rPr>
          <w:rFonts w:ascii="Calibri" w:eastAsia="宋体" w:hAnsi="Calibri"/>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（姓名），现任我单位</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职务，为法定代表人（负责人），身份证件号为：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特此证明。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说明：1、法定代表人为投标人（企业事业单位、国家机关、社会团体）的主要行政负责人。</w:t>
      </w:r>
    </w:p>
    <w:p>
      <w:pPr>
        <w:widowControl w:val="0"/>
        <w:numPr>
          <w:ilvl w:val="0"/>
          <w:numId w:val="1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本证明书要供法定代表人（负责人）</w:t>
      </w:r>
      <w:r>
        <w:rPr>
          <w:rFonts w:ascii="宋体" w:eastAsia="宋体" w:hAnsi="宋体" w:cs="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1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Hans"/>
        </w:rPr>
        <w:t>本项目投标授权代表为法定代表人（负责人）的，无需提供</w:t>
      </w:r>
      <w:r>
        <w:rPr>
          <w:rFonts w:ascii="宋体" w:eastAsia="宋体" w:hAnsi="宋体" w:cs="宋体" w:hint="eastAsia"/>
          <w:kern w:val="2"/>
          <w:sz w:val="21"/>
          <w:szCs w:val="21"/>
          <w:lang w:eastAsia="zh-CN"/>
        </w:rPr>
        <w:t>《投标文件签署授权委托书》</w:t>
      </w:r>
      <w:r>
        <w:rPr>
          <w:rFonts w:ascii="宋体" w:eastAsia="宋体" w:hAnsi="宋体" w:cs="宋体" w:hint="eastAsia"/>
          <w:kern w:val="2"/>
          <w:sz w:val="21"/>
          <w:szCs w:val="21"/>
          <w:lang w:eastAsia="zh-Hans"/>
        </w:rPr>
        <w:t>。</w:t>
      </w:r>
    </w:p>
    <w:p>
      <w:pPr>
        <w:widowControl w:val="0"/>
        <w:numPr>
          <w:ilvl w:val="0"/>
          <w:numId w:val="19"/>
        </w:numPr>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99"/>
        </w:trPr>
        <w:tc>
          <w:tcPr>
            <w:tcW w:w="425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6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身份证件号：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，手机：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，电子邮箱：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附：</w:t>
      </w:r>
    </w:p>
    <w:p>
      <w:pPr>
        <w:keepNext w:val="0"/>
        <w:keepLines w:val="0"/>
        <w:pageBreakBefore w:val="0"/>
        <w:widowControl w:val="0"/>
        <w:numPr>
          <w:ilvl w:val="0"/>
          <w:numId w:val="20"/>
        </w:numPr>
        <w:tabs>
          <w:tab w:val="left" w:pos="312"/>
        </w:tabs>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请提供代理人身份证扫描件（正反两面）；港澳台居民可提供来往通行证扫描件；非中国国籍管辖范围人员，可提供公安部门认可的身份证明材料扫描件。</w:t>
      </w:r>
    </w:p>
    <w:p>
      <w:pPr>
        <w:keepNext w:val="0"/>
        <w:keepLines w:val="0"/>
        <w:pageBreakBefore w:val="0"/>
        <w:widowControl w:val="0"/>
        <w:numPr>
          <w:ilvl w:val="0"/>
          <w:numId w:val="20"/>
        </w:numPr>
        <w:tabs>
          <w:tab w:val="left" w:pos="312"/>
        </w:tabs>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投标时提供项目投标授权代表人近三个月（含开标当月）中的任意一个月的社会保险证明。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（1）投标人应如实提供上述人员的社会保险证明，如上述人员的社会保险未由投标人缴纳，亦须提供相应单位为其缴纳的社会保险证明。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（2）投标人为新成立企业且成立时间不足三个月可提供加盖投标人公章的情况说明或者证明材料亦视为符合。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（3）若为退休人员，提供退休证明。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（5）若因为社保部门或税务部门原因无法提供的，需提供劳动合同及社保部门或税务部门官方通知证明（或官网公告截图）。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（6）如本项目未安排项目投标授权代表人的，无需提供投标授权代表人的社保。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color w:val="FF0000"/>
          <w:kern w:val="2"/>
          <w:sz w:val="21"/>
          <w:szCs w:val="21"/>
          <w:lang w:eastAsia="zh-CN"/>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1"/>
        </w:trPr>
        <w:tc>
          <w:tcPr>
            <w:tcW w:w="4249"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证件扫描件正面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c>
          <w:tcPr>
            <w:tcW w:w="4250" w:type="dxa"/>
          </w:tcPr>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 w:val="21"/>
                <w:szCs w:val="22"/>
                <w:lang w:eastAsia="zh-CN"/>
              </w:rPr>
            </w:pPr>
            <w:r>
              <w:rPr>
                <w:rFonts w:ascii="宋体" w:hAnsi="宋体" w:cs="宋体" w:hint="eastAsia"/>
                <w:kern w:val="2"/>
                <w:sz w:val="21"/>
                <w:szCs w:val="22"/>
                <w:lang w:eastAsia="zh-CN"/>
              </w:rPr>
              <w:t>证件扫描件反面</w:t>
            </w: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b/>
                <w:bCs/>
                <w:kern w:val="2"/>
                <w:szCs w:val="22"/>
                <w:lang w:eastAsia="zh-CN"/>
              </w:rPr>
            </w:pPr>
          </w:p>
          <w:p>
            <w:pPr>
              <w:kinsoku/>
              <w:overflowPunct/>
              <w:topLinePunct w:val="0"/>
              <w:bidi w:val="0"/>
              <w:spacing w:beforeAutospacing="0" w:afterAutospacing="0" w:line="360" w:lineRule="auto"/>
              <w:ind w:left="0" w:right="0" w:firstLine="0" w:leftChars="0" w:firstLineChars="0"/>
              <w:jc w:val="center"/>
              <w:rPr>
                <w:rFonts w:ascii="宋体" w:hAnsi="宋体" w:cs="宋体" w:hint="eastAsia"/>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rFonts w:ascii="黑体" w:eastAsia="黑体" w:hAnsi="Calibri"/>
          <w:b/>
          <w:bCs/>
          <w:lang w:eastAsia="zh-CN"/>
        </w:rPr>
      </w:pPr>
    </w:p>
    <w:p>
      <w:pPr>
        <w:widowControl w:val="0"/>
        <w:spacing w:line="360" w:lineRule="auto"/>
        <w:jc w:val="both"/>
        <w:rPr>
          <w:rFonts w:ascii="黑体" w:eastAsia="黑体" w:hAnsi="Calibri"/>
          <w:b/>
          <w:bCs/>
          <w:kern w:val="2"/>
          <w:szCs w:val="22"/>
          <w:lang w:eastAsia="zh-CN"/>
        </w:rPr>
      </w:pPr>
    </w:p>
    <w:p>
      <w:pPr>
        <w:rPr>
          <w:lang w:eastAsia="zh-CN"/>
        </w:rPr>
      </w:pPr>
    </w:p>
    <w:p>
      <w:pPr>
        <w:widowControl w:val="0"/>
        <w:spacing w:line="360" w:lineRule="auto"/>
        <w:jc w:val="both"/>
        <w:rPr>
          <w:rFonts w:ascii="黑体" w:eastAsia="黑体" w:hAnsi="Calibri"/>
          <w:b/>
          <w:bCs/>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八、</w:t>
      </w:r>
      <w:bookmarkStart w:id="26" w:name="_Hlk72092634"/>
      <w:r>
        <w:rPr>
          <w:rFonts w:ascii="宋体" w:eastAsia="宋体" w:hAnsi="宋体" w:cs="宋体" w:hint="eastAsia"/>
          <w:b/>
          <w:bCs/>
          <w:lang w:eastAsia="zh-CN"/>
        </w:rPr>
        <w:t>实质性条款响应情况表</w:t>
      </w:r>
      <w:bookmarkEnd w:id="26"/>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九、实施方案</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十、项目重点难点分析、应对措施及相关的合理化建议</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十一、质量保障措施及方案</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十二、项目完成（服务期满）后的服务承诺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十三、违约承诺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十四、项目负责人情况（仅限1人）</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十五、项目团队成员</w:t>
      </w:r>
      <w:r>
        <w:rPr>
          <w:rFonts w:eastAsia="宋体" w:hint="eastAsia"/>
          <w:lang w:eastAsia="zh-CN"/>
        </w:rPr>
        <w:t>（不含</w:t>
      </w:r>
      <w:r>
        <w:rPr>
          <w:rFonts w:hint="eastAsia"/>
        </w:rPr>
        <w:t>项目负责人</w:t>
      </w:r>
      <w:r>
        <w:rPr>
          <w:rFonts w:eastAsia="宋体" w:hint="eastAsia"/>
          <w:lang w:eastAsia="zh-CN"/>
        </w:rPr>
        <w:t>）</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color w:val="FF0000"/>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十六、通过相关认证情况</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十七、食品检测</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十八、服务网点</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十九、供应商获奖情况</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kern w:val="2"/>
          <w:szCs w:val="22"/>
          <w:lang w:eastAsia="zh-CN"/>
        </w:rPr>
      </w:pPr>
      <w:r>
        <w:rPr>
          <w:rFonts w:ascii="宋体" w:eastAsia="宋体" w:hAnsi="宋体" w:cs="宋体" w:hint="eastAsia"/>
          <w:color w:val="FF0000"/>
          <w:lang w:eastAsia="zh-CN"/>
        </w:rPr>
        <w:t>（格式自拟）</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lang w:eastAsia="zh-CN"/>
        </w:rPr>
      </w:pPr>
      <w:r>
        <w:rPr>
          <w:rFonts w:ascii="宋体" w:eastAsia="宋体" w:hAnsi="宋体" w:cs="宋体" w:hint="eastAsia"/>
          <w:lang w:eastAsia="zh-CN"/>
        </w:rPr>
        <w:t>二十、同类项目业绩</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widowControl w:val="0"/>
        <w:spacing w:line="360" w:lineRule="auto"/>
        <w:jc w:val="center"/>
        <w:rPr>
          <w:rFonts w:ascii="Calibri" w:eastAsia="宋体" w:hAnsi="Calibri" w:hint="eastAsia"/>
          <w:kern w:val="2"/>
          <w:szCs w:val="22"/>
          <w:lang w:eastAsia="zh-CN"/>
        </w:rPr>
      </w:pPr>
      <w:r>
        <w:rPr>
          <w:rFonts w:ascii="Calibri" w:eastAsia="宋体" w:hAnsi="Calibri" w:hint="eastAsia"/>
          <w:kern w:val="2"/>
          <w:szCs w:val="22"/>
          <w:lang w:eastAsia="zh-CN"/>
        </w:rPr>
        <w:t>二十一、履约评价情况</w:t>
      </w:r>
    </w:p>
    <w:p>
      <w:pPr>
        <w:widowControl w:val="0"/>
        <w:kinsoku/>
        <w:overflowPunct/>
        <w:topLinePunct w:val="0"/>
        <w:bidi w:val="0"/>
        <w:spacing w:beforeAutospacing="0" w:afterAutospacing="0" w:line="360" w:lineRule="auto"/>
        <w:ind w:left="0" w:right="0" w:firstLine="0" w:leftChars="0" w:firstLineChars="0"/>
        <w:jc w:val="center"/>
        <w:rPr>
          <w:rFonts w:ascii="Calibri" w:eastAsia="宋体" w:hAnsi="Calibri" w:hint="eastAsia"/>
          <w:b/>
          <w:bCs/>
          <w:kern w:val="2"/>
          <w:szCs w:val="22"/>
          <w:lang w:eastAsia="zh-CN"/>
        </w:rPr>
      </w:pPr>
      <w:r>
        <w:rPr>
          <w:rFonts w:ascii="宋体" w:eastAsia="宋体" w:hAnsi="宋体" w:cs="宋体" w:hint="eastAsia"/>
          <w:color w:val="FF0000"/>
          <w:lang w:eastAsia="zh-CN"/>
        </w:rPr>
        <w:t>（格式自拟）</w:t>
      </w:r>
    </w:p>
    <w:p>
      <w:pPr>
        <w:spacing w:before="120" w:after="120" w:line="416" w:lineRule="auto"/>
        <w:jc w:val="center"/>
        <w:outlineLvl w:val="2"/>
        <w:rPr>
          <w:rFonts w:ascii="Calibri" w:eastAsia="宋体" w:hAnsi="Calibri" w:hint="eastAsia"/>
          <w:kern w:val="2"/>
          <w:szCs w:val="22"/>
          <w:lang w:eastAsia="zh-CN"/>
        </w:rPr>
      </w:pPr>
      <w:bookmarkStart w:id="27" w:name="_Toc31144"/>
      <w:r>
        <w:rPr>
          <w:rFonts w:ascii="Calibri" w:eastAsia="宋体" w:hAnsi="Calibri" w:hint="eastAsia"/>
          <w:kern w:val="2"/>
          <w:szCs w:val="22"/>
          <w:lang w:eastAsia="zh-CN"/>
        </w:rPr>
        <w:t>二十二、诚信承诺函</w:t>
      </w:r>
      <w:bookmarkEnd w:id="27"/>
    </w:p>
    <w:p>
      <w:pPr>
        <w:spacing w:line="360" w:lineRule="auto"/>
        <w:jc w:val="left"/>
        <w:rPr>
          <w:rFonts w:ascii="宋体" w:eastAsia="宋体" w:hAnsi="宋体" w:hint="eastAsia"/>
          <w:b/>
          <w:szCs w:val="21"/>
        </w:rPr>
      </w:pPr>
      <w:r>
        <w:rPr>
          <w:rFonts w:ascii="宋体" w:eastAsia="宋体" w:hAnsi="宋体" w:hint="eastAsia"/>
          <w:b/>
          <w:szCs w:val="21"/>
        </w:rPr>
        <w:t>致</w:t>
      </w:r>
      <w:r>
        <w:rPr>
          <w:rFonts w:ascii="宋体" w:eastAsia="宋体" w:hAnsi="宋体" w:hint="eastAsia"/>
          <w:b/>
          <w:szCs w:val="21"/>
        </w:rPr>
        <w:t>：深圳市千里招标代理有限公司</w:t>
      </w:r>
    </w:p>
    <w:p>
      <w:pPr>
        <w:widowControl/>
        <w:spacing w:line="360" w:lineRule="auto"/>
        <w:ind w:firstLine="440" w:firstLineChars="200"/>
        <w:rPr>
          <w:rFonts w:eastAsia="宋体" w:hint="eastAsia"/>
          <w:b/>
          <w:color w:val="FF0000"/>
          <w:sz w:val="22"/>
          <w:szCs w:val="22"/>
          <w:lang w:eastAsia="zh-CN"/>
        </w:rPr>
      </w:pPr>
      <w:r>
        <w:rPr>
          <w:rFonts w:ascii="宋体" w:eastAsia="宋体" w:hAnsi="宋体" w:hint="eastAsia"/>
          <w:sz w:val="22"/>
          <w:szCs w:val="22"/>
        </w:rPr>
        <w:t>我公司承诺，在参与贵单位组织的</w:t>
      </w:r>
      <w:r>
        <w:rPr>
          <w:rFonts w:ascii="宋体" w:eastAsia="宋体" w:hAnsi="宋体" w:hint="eastAsia"/>
          <w:sz w:val="22"/>
          <w:szCs w:val="22"/>
          <w:u w:val="single"/>
        </w:rPr>
        <w:t xml:space="preserve">       （项目名称）    （项目编号：      ） </w:t>
      </w:r>
      <w:r>
        <w:rPr>
          <w:rFonts w:ascii="宋体" w:eastAsia="宋体" w:hAnsi="宋体" w:hint="eastAsia"/>
          <w:sz w:val="22"/>
          <w:szCs w:val="22"/>
          <w:lang w:eastAsia="zh-CN"/>
        </w:rPr>
        <w:t>招标</w:t>
      </w:r>
      <w:r>
        <w:rPr>
          <w:rFonts w:ascii="宋体" w:eastAsia="宋体" w:hAnsi="宋体" w:hint="eastAsia"/>
          <w:sz w:val="22"/>
          <w:szCs w:val="22"/>
        </w:rPr>
        <w:t>采购活动中，我单位承诺：</w:t>
      </w:r>
      <w:r>
        <w:rPr>
          <w:rFonts w:ascii="宋体" w:eastAsia="宋体" w:hAnsi="宋体" w:hint="eastAsia"/>
          <w:b/>
          <w:color w:val="FF0000"/>
          <w:sz w:val="22"/>
          <w:szCs w:val="22"/>
        </w:rPr>
        <w:t>本公司不存在《深圳市财政局政府采购供应商信用信息管理办法》（深财规〔2023〕3号）列明的一般行政处罚信息、一般违法失信记录信息的</w:t>
      </w:r>
      <w:r>
        <w:rPr>
          <w:rFonts w:ascii="宋体" w:eastAsia="宋体" w:hAnsi="宋体" w:hint="eastAsia"/>
          <w:b/>
          <w:color w:val="FF0000"/>
          <w:sz w:val="22"/>
          <w:szCs w:val="22"/>
          <w:lang w:eastAsia="zh-CN"/>
        </w:rPr>
        <w:t>。</w:t>
      </w:r>
    </w:p>
    <w:p>
      <w:pPr>
        <w:widowControl/>
        <w:spacing w:line="360" w:lineRule="auto"/>
        <w:rPr>
          <w:rFonts w:ascii="宋体" w:eastAsia="宋体" w:hAnsi="宋体"/>
          <w:sz w:val="22"/>
          <w:szCs w:val="22"/>
        </w:rPr>
      </w:pPr>
      <w:r>
        <w:rPr>
          <w:rFonts w:ascii="宋体" w:eastAsia="宋体" w:hAnsi="宋体" w:hint="eastAsia"/>
          <w:sz w:val="22"/>
          <w:szCs w:val="22"/>
        </w:rPr>
        <w:t xml:space="preserve">    我公司对该承诺的真实性负责，如有不实，自愿接受相关法律法规的处罚及其他一切后果。</w:t>
      </w:r>
    </w:p>
    <w:p>
      <w:pPr>
        <w:spacing w:line="360" w:lineRule="auto"/>
        <w:rPr>
          <w:rFonts w:ascii="宋体" w:hAnsi="宋体"/>
          <w:sz w:val="22"/>
        </w:rPr>
      </w:pPr>
      <w:r>
        <w:rPr>
          <w:rFonts w:ascii="宋体" w:hAnsi="宋体" w:hint="eastAsia"/>
          <w:sz w:val="22"/>
        </w:rPr>
        <w:t xml:space="preserve">    特此承诺。</w:t>
      </w:r>
    </w:p>
    <w:p>
      <w:pPr>
        <w:spacing w:line="360" w:lineRule="auto"/>
        <w:rPr>
          <w:sz w:val="22"/>
        </w:rPr>
      </w:pPr>
    </w:p>
    <w:p>
      <w:pPr>
        <w:widowControl w:val="0"/>
        <w:spacing w:line="360" w:lineRule="auto"/>
        <w:jc w:val="both"/>
        <w:rPr>
          <w:rFonts w:ascii="Calibri" w:eastAsia="宋体" w:hAnsi="Calibri"/>
          <w:b/>
          <w:bCs/>
          <w:kern w:val="2"/>
          <w:sz w:val="22"/>
          <w:szCs w:val="22"/>
          <w:lang w:eastAsia="zh-CN"/>
        </w:rPr>
      </w:pPr>
    </w:p>
    <w:p>
      <w:pPr>
        <w:spacing w:line="360" w:lineRule="auto"/>
        <w:ind w:firstLine="4560" w:firstLineChars="1900"/>
        <w:rPr>
          <w:rFonts w:ascii="宋体" w:hAnsi="宋体" w:cs="宋体" w:hint="eastAsia"/>
        </w:rPr>
      </w:pPr>
      <w:r>
        <w:rPr>
          <w:rFonts w:ascii="宋体" w:hAnsi="宋体" w:cs="宋体" w:hint="eastAsia"/>
        </w:rPr>
        <w:t xml:space="preserve">投标单位： </w:t>
      </w:r>
    </w:p>
    <w:p>
      <w:pPr>
        <w:widowControl w:val="0"/>
        <w:spacing w:line="360" w:lineRule="auto"/>
        <w:jc w:val="both"/>
        <w:rPr>
          <w:rFonts w:ascii="Calibri" w:eastAsia="宋体" w:hAnsi="Calibri" w:hint="eastAsia"/>
          <w:b/>
          <w:bCs/>
          <w:kern w:val="2"/>
          <w:sz w:val="22"/>
          <w:szCs w:val="22"/>
          <w:highlight w:val="yellow"/>
          <w:lang w:eastAsia="zh-CN"/>
        </w:rPr>
      </w:pPr>
    </w:p>
    <w:p>
      <w:pPr>
        <w:spacing w:line="360" w:lineRule="auto"/>
        <w:jc w:val="center"/>
        <w:rPr>
          <w:rFonts w:ascii="宋体" w:hAnsi="宋体" w:cs="宋体" w:hint="eastAsia"/>
          <w:sz w:val="22"/>
        </w:rPr>
      </w:pPr>
      <w:r>
        <w:rPr>
          <w:rFonts w:ascii="宋体" w:hAnsi="宋体" w:cs="宋体" w:hint="eastAsia"/>
          <w:sz w:val="22"/>
        </w:rPr>
        <w:t xml:space="preserve">       </w:t>
      </w:r>
      <w:r>
        <w:rPr>
          <w:rFonts w:ascii="宋体" w:eastAsia="宋体" w:hAnsi="宋体" w:cs="宋体" w:hint="eastAsia"/>
          <w:sz w:val="22"/>
          <w:lang w:eastAsia="zh-CN"/>
        </w:rPr>
        <w:t xml:space="preserve">              </w:t>
      </w:r>
      <w:r>
        <w:rPr>
          <w:rFonts w:ascii="宋体" w:hAnsi="宋体" w:cs="宋体" w:hint="eastAsia"/>
          <w:sz w:val="22"/>
        </w:rPr>
        <w:t xml:space="preserve"> 日期：   年  月  日</w:t>
      </w:r>
    </w:p>
    <w:p>
      <w:pPr>
        <w:spacing w:line="360" w:lineRule="auto"/>
        <w:jc w:val="right"/>
        <w:rPr>
          <w:rFonts w:ascii="宋体" w:eastAsia="宋体" w:hAnsi="宋体" w:hint="eastAsia"/>
          <w:szCs w:val="21"/>
        </w:rPr>
      </w:pPr>
    </w:p>
    <w:p>
      <w:pPr>
        <w:spacing w:line="360" w:lineRule="auto"/>
        <w:jc w:val="right"/>
        <w:rPr>
          <w:rFonts w:ascii="宋体" w:eastAsia="宋体" w:hAnsi="宋体" w:hint="eastAsia"/>
          <w:szCs w:val="21"/>
        </w:rPr>
      </w:pPr>
    </w:p>
    <w:p>
      <w:pPr>
        <w:widowControl w:val="0"/>
        <w:wordWrap w:val="0"/>
        <w:spacing w:line="360" w:lineRule="auto"/>
        <w:ind w:firstLine="645"/>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val="0"/>
        <w:wordWrap/>
        <w:spacing w:line="360" w:lineRule="auto"/>
        <w:jc w:val="both"/>
        <w:rPr>
          <w:rFonts w:ascii="宋体" w:eastAsia="宋体" w:hAnsi="宋体" w:cs="宋体" w:hint="eastAsia"/>
          <w:b/>
          <w:bCs/>
          <w:kern w:val="2"/>
          <w:sz w:val="21"/>
          <w:szCs w:val="21"/>
          <w:lang w:eastAsia="zh-CN"/>
        </w:rPr>
      </w:pPr>
    </w:p>
    <w:p>
      <w:pPr>
        <w:widowControl/>
        <w:spacing w:line="360" w:lineRule="auto"/>
        <w:jc w:val="left"/>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pPr>
    </w:p>
    <w:p>
      <w:pPr>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二十三、投标人认为需要加以说明的其他内容</w:t>
      </w:r>
    </w:p>
    <w:p>
      <w:pPr>
        <w:widowControl/>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szCs w:val="20"/>
          <w:lang w:eastAsia="zh-CN"/>
        </w:rPr>
      </w:pPr>
      <w:r>
        <w:rPr>
          <w:rFonts w:ascii="宋体" w:eastAsia="宋体" w:hAnsi="宋体" w:cs="宋体" w:hint="eastAsia"/>
          <w:szCs w:val="20"/>
          <w:lang w:eastAsia="zh-CN"/>
        </w:rPr>
        <w:t>（一）政府采购违法行为风险知悉确认书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一、本公司已充分知悉“隐瞒真实情况，提供虚假资料”的法定情形，相关情形包括但不限于：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（一）通过转让或者租借等方式从其他单位获取资格或者资质证书投标的。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（二）由其他单位或者其他单位负责人在投标供应商编制的投标文件上加盖印章或者签字的。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（三）项目负责人或者主要技术人员不是本单位人员的。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（四）投标保证金不是从投标供应商基本账户转出的。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（五）其他隐瞒真实情况、提供虚假资料的行为。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二、本公司已充分知悉“与其他采购参加人串通投标”的法定情形，相关情形包括但不限于：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（一）投标供应商之间相互约定给予未中标的供应商利益补偿。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（三）不同投标供应商的投标文件由同一单位或者同一人编制，或者由同一人分阶段参与编制的。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（四）不同投标供应商的投标文件或部分投标文件相互混装。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（五）不同投标供应商的投标文件内容存在非正常一致。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（六）由同一单位工作人员为两家以上（含两家）供应商进行同一项投标活动的。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（七）不同投标人的投标报价呈规律性差异。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（八）不同投标人的投标保证金从同一单位或者个人的账户转出。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（九）主管部门依照法律、法规认定的其他情形。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三、本公司已充分知悉下列情形所对应的法律风险，并在投标前已对相关风险事项进行排查。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kern w:val="2"/>
          <w:sz w:val="21"/>
          <w:szCs w:val="22"/>
          <w:lang w:eastAsia="zh-CN"/>
        </w:rPr>
        <w:t>（一）对于从其他主体获取的投标资料，供应商应审慎核查，确保投标资料的真实性。</w:t>
      </w:r>
      <w:r>
        <w:rPr>
          <w:rFonts w:ascii="宋体" w:eastAsia="宋体" w:hAnsi="宋体"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（三）对于涉及安全生产、特种作业、抢险救灾、防疫等政府采购项目，供应商实施提供虚假资料、串通投标等违法行为的，主管部门将依法从严处理。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四、本公司已充分知悉政府采购违法、违规行为的法律后果。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我单位确认：“本公司已仔细阅读《政府采购违法行为风险知悉确认书》，充分知悉违法行为的法律后果，并承诺将严谨、诚信、依法依规参与政府采购活动”。</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投标单位：</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kinsoku/>
        <w:wordWrap w:val="0"/>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 xml:space="preserve">     </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pPr>
        <w:widowControl/>
        <w:kinsoku/>
        <w:overflowPunct/>
        <w:topLinePunct w:val="0"/>
        <w:autoSpaceDE w:val="0"/>
        <w:autoSpaceDN w:val="0"/>
        <w:bidi w:val="0"/>
        <w:spacing w:beforeAutospacing="0" w:afterAutospacing="0" w:line="360" w:lineRule="auto"/>
        <w:ind w:left="0" w:right="0" w:firstLine="0" w:leftChars="0" w:firstLineChars="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宋体" w:eastAsia="宋体" w:hAnsi="宋体"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kinsoku/>
        <w:overflowPunct/>
        <w:topLinePunct w:val="0"/>
        <w:autoSpaceDE w:val="0"/>
        <w:autoSpaceDN w:val="0"/>
        <w:bidi w:val="0"/>
        <w:spacing w:beforeAutospacing="0" w:afterAutospacing="0" w:line="360" w:lineRule="auto"/>
        <w:ind w:left="0" w:right="0" w:firstLine="0" w:leftChars="0" w:firstLineChars="0"/>
        <w:jc w:val="right"/>
        <w:rPr>
          <w:rFonts w:ascii="宋体" w:eastAsia="宋体" w:hAnsi="宋体" w:cs="宋体" w:hint="eastAsia"/>
          <w:szCs w:val="22"/>
          <w:lang w:eastAsia="zh-CN"/>
        </w:rPr>
      </w:pPr>
    </w:p>
    <w:p>
      <w:pPr>
        <w:widowControl/>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bCs/>
          <w:szCs w:val="20"/>
          <w:lang w:eastAsia="zh-CN"/>
        </w:rPr>
      </w:pPr>
      <w:r>
        <w:rPr>
          <w:rFonts w:ascii="宋体" w:eastAsia="宋体" w:hAnsi="宋体" w:cs="宋体" w:hint="eastAsia"/>
          <w:b/>
          <w:bCs/>
          <w:szCs w:val="20"/>
          <w:lang w:eastAsia="zh-CN"/>
        </w:rPr>
        <w:t>（二）投标人认为需要加以说明的其他内容（格式自定）</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Cs w:val="22"/>
          <w:lang w:eastAsia="zh-CN"/>
        </w:rPr>
      </w:pPr>
      <w:r>
        <w:rPr>
          <w:rFonts w:ascii="宋体" w:eastAsia="宋体" w:hAnsi="宋体" w:cs="宋体" w:hint="eastAsia"/>
          <w:b/>
          <w:kern w:val="2"/>
          <w:szCs w:val="22"/>
          <w:lang w:eastAsia="zh-CN"/>
        </w:rPr>
        <w:t>合同条款</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r>
        <w:rPr>
          <w:rFonts w:ascii="宋体" w:eastAsia="宋体" w:hAnsi="宋体" w:cs="宋体" w:hint="eastAsia"/>
          <w:b/>
          <w:kern w:val="2"/>
          <w:szCs w:val="22"/>
          <w:lang w:eastAsia="zh-CN"/>
        </w:rPr>
        <w:t>（仅供参考，项目具体要求以采购项目需求为准）</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甲方：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统一社会信用代码：</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法定代表人：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联系方式：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地址：</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根据深圳市龙华区</w:t>
      </w:r>
      <w:r>
        <w:rPr>
          <w:rFonts w:ascii="宋体" w:eastAsia="宋体" w:hAnsi="宋体" w:cs="宋体" w:hint="eastAsia"/>
          <w:color w:val="FF0000"/>
          <w:kern w:val="2"/>
          <w:sz w:val="21"/>
          <w:szCs w:val="21"/>
          <w:lang w:eastAsia="zh-CN"/>
        </w:rPr>
        <w:t>******</w:t>
      </w:r>
      <w:r>
        <w:rPr>
          <w:rFonts w:ascii="宋体" w:eastAsia="宋体" w:hAnsi="宋体" w:cs="宋体" w:hint="eastAsia"/>
          <w:kern w:val="2"/>
          <w:sz w:val="21"/>
          <w:szCs w:val="21"/>
          <w:lang w:eastAsia="zh-CN"/>
        </w:rPr>
        <w:t>采购项目的响应结果，由单位为中选方。按照有关规定，经深圳市（以下简称甲方）和单位（以下简称乙方）协商，就甲方委托乙方承担</w:t>
      </w:r>
      <w:r>
        <w:rPr>
          <w:rFonts w:ascii="宋体" w:eastAsia="宋体" w:hAnsi="宋体" w:cs="宋体" w:hint="eastAsia"/>
          <w:b/>
          <w:bCs/>
          <w:snapToGrid w:val="0"/>
          <w:sz w:val="21"/>
          <w:szCs w:val="21"/>
          <w:u w:val="single"/>
          <w:lang w:val="zh-CN" w:eastAsia="zh-CN"/>
        </w:rPr>
        <w:t xml:space="preserve">                      服务项目</w:t>
      </w:r>
      <w:r>
        <w:rPr>
          <w:rFonts w:ascii="宋体" w:eastAsia="宋体" w:hAnsi="宋体" w:cs="宋体" w:hint="eastAsia"/>
          <w:kern w:val="2"/>
          <w:sz w:val="21"/>
          <w:szCs w:val="21"/>
          <w:lang w:eastAsia="zh-CN"/>
        </w:rPr>
        <w:t>，达成以下合同条款：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第一条　项目概况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项目名称：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项目内容：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服务时间：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合同价款：合同总价为元，含一切税、费。</w:t>
      </w:r>
      <w:r>
        <w:rPr>
          <w:rFonts w:ascii="宋体" w:eastAsia="宋体" w:hAnsi="宋体" w:cs="宋体" w:hint="eastAsia"/>
          <w:kern w:val="2"/>
          <w:sz w:val="21"/>
          <w:szCs w:val="22"/>
          <w:lang w:eastAsia="zh-CN"/>
        </w:rPr>
        <w:t>本合同总价包括</w:t>
      </w:r>
      <w:r>
        <w:rPr>
          <w:rFonts w:ascii="宋体" w:eastAsia="宋体" w:hAnsi="宋体" w:cs="宋体" w:hint="eastAsia"/>
          <w:kern w:val="2"/>
          <w:sz w:val="21"/>
          <w:szCs w:val="21"/>
          <w:lang w:eastAsia="zh-CN"/>
        </w:rPr>
        <w:t>乙方为实施本项目所需的设备仪器费、车辆租赁费、</w:t>
      </w:r>
      <w:r>
        <w:rPr>
          <w:rFonts w:ascii="宋体" w:eastAsia="宋体" w:hAnsi="宋体" w:cs="宋体" w:hint="eastAsia"/>
          <w:kern w:val="2"/>
          <w:sz w:val="21"/>
          <w:szCs w:val="22"/>
          <w:lang w:eastAsia="zh-CN"/>
        </w:rPr>
        <w:t>服务和技术费用等，为固定不变价格，且不随通货膨胀的影响而波动。合同总价包括</w:t>
      </w:r>
      <w:r>
        <w:rPr>
          <w:rFonts w:ascii="宋体" w:eastAsia="宋体" w:hAnsi="宋体" w:cs="宋体" w:hint="eastAsia"/>
          <w:kern w:val="2"/>
          <w:sz w:val="21"/>
          <w:szCs w:val="21"/>
          <w:lang w:eastAsia="zh-CN"/>
        </w:rPr>
        <w:t>乙方</w:t>
      </w:r>
      <w:r>
        <w:rPr>
          <w:rFonts w:ascii="宋体" w:eastAsia="宋体" w:hAnsi="宋体" w:cs="宋体" w:hint="eastAsia"/>
          <w:kern w:val="2"/>
          <w:sz w:val="21"/>
          <w:szCs w:val="22"/>
          <w:lang w:eastAsia="zh-CN"/>
        </w:rPr>
        <w:t>履行本合同义务所发生的一切费用和支出和以各种方式寄送技术资料到甲方办公室所发生的费用。如发生本合同规定的不可抗力，合同总价可经双方友好协商予以调整。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支付方式：分期支付。</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第二条  服务范围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 其他合同未明示的相关工作。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第三条  时间要求及阶段成果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1、合同签订天内完成项目实施的准备工作，包括工作大纲和试验细则的编制；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第四条  服务资料归属(若有)</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1、所有提交给甲方的服务文件及相关的资料的最后文本，包括为履行服务范围所编制的设计图纸、计划和证明资料等，都属于甲方的财产，</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方在提交给甲方之前应将上述资料进行整理归类和编制索引。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方未经甲方的书面同意，不得将上述资料用于与本服务项目之外的任何项目。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3、合同履行完毕，未经甲方的书面同意，</w:t>
      </w:r>
      <w:r>
        <w:rPr>
          <w:rFonts w:ascii="宋体" w:eastAsia="宋体" w:hAnsi="宋体" w:cs="宋体" w:hint="eastAsia"/>
          <w:kern w:val="2"/>
          <w:sz w:val="21"/>
          <w:szCs w:val="21"/>
          <w:lang w:eastAsia="zh-CN"/>
        </w:rPr>
        <w:t>乙</w:t>
      </w:r>
      <w:r>
        <w:rPr>
          <w:rFonts w:ascii="宋体" w:eastAsia="宋体" w:hAnsi="宋体" w:cs="宋体" w:hint="eastAsia"/>
          <w:kern w:val="2"/>
          <w:sz w:val="21"/>
          <w:szCs w:val="22"/>
          <w:lang w:eastAsia="zh-CN"/>
        </w:rPr>
        <w:t>方不得保存在履行合同过程中所获得或接触到的任何</w:t>
      </w:r>
      <w:r>
        <w:rPr>
          <w:rFonts w:ascii="宋体" w:eastAsia="宋体" w:hAnsi="宋体" w:cs="宋体" w:hint="eastAsia"/>
          <w:kern w:val="2"/>
          <w:sz w:val="21"/>
          <w:szCs w:val="21"/>
          <w:lang w:eastAsia="zh-CN"/>
        </w:rPr>
        <w:t>内部数据资料。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第五条  甲方的义务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1、负责与本服务项目有关的第三方的协调，提供开展服务工作的外部条件。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2、向乙方提供与本项目服务工作有关的资料。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第六条　乙方的义务</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１、应按照号采购文件、乙方响应文件要求按期完成本项目服务工作。</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2、负责组织项目的实施，保证服务效率及工作质量，并符合招标文件和行业相关标准。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3、在履行合同期间或合同规定期限内，不得泄露与本合同规定业务活动有关的保密资料。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第七条  甲方的权利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1、有权向乙方询问工作进展情况及相关的内容。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2、有权阐述对具体问题的意见和建议。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3、当甲方认定乙方人员不按合同履行其职责，或与第三人串通给甲方造成经济损失的，甲方有权要求更换人员，直至终止合同并要求乙方承担相应的赔偿责任。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第八条  乙方的权利</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1、乙方在本项目服务过程中，如甲方提供的资料不明确时可向甲方提出书面报告。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2、乙方在本项目服务过程中，有权对第三方提出与本项目服务业务有关的问题进行核对或查问。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3、乙方在本项目服务过程中，可根据项目需求现场勘查。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第九条  甲方的责任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1、应当履行本合同约定的义务，如有违反则应当承担违约责任，赔偿给乙方造成的损失。</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2、甲方向乙方提出赔偿要求不能成立时，则应补偿由于该赔偿或其他要求所导致乙方的各种费用的支出。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第十条  乙方的责任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2、乙方的责任期内，应当履行本合同中约定的义务，因乙方的单方过失造成的经济损失，应当向甲方进行赔偿。</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3、乙方对甲方或第三方所提出的问题不能及时核对或答复，导致合同不能全部或部分履行，乙方应承担责任。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4、乙方向甲方提出赔偿要求不能成立时，则应补偿由于该赔偿或其他要求所导致甲方的各种费用的支出。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第十一条  人员要求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1、参加本项目服务人员必须具有招标文件及国家有关部门规定的相应资质。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 参加本项目的服务人员的配置必须与响应文件中的服务承诺书和项目组织实施方案一致。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3、必须以直属服务人员参与本项目服务，不得使用挂靠队伍。</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第十二条  乙方服务工具要求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1、乙方应配备中选项目所需的足够数量的仪器、仪表以及工具等设备。用户不需向乙方提供施工工具和仪器、仪表。</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2、乙方在提供服务过程中应自备车辆。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第十三条  保密要求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2、乙方在履行合同过程中所获得或接触到的任何内部数据资料，未经甲方同意，不得向第三方透露。</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3、乙方实施项目的一切程序都应符合国家安全、保密的有关规定和标准。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4、乙方参加项目的有关人员均需同甲方签订保密协议。</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第十四条  验收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1、下列文件的验收分为</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个阶段:</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2、其余文件和工作由用户组织有关技术人员根据国家和行业有关规范、规程、标准和用户需求直接验收。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3、验收依据为号采购文件、乙方响应文件，国家和行业有关规范、规程和标准。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第十五条  付款方式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1、合同签订后天内，甲方向乙方支付合同总价%的款项。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2、全部服务完成并经甲方验收合格后，甲方向乙方支付合同总价%的款项。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第十六条  争议解决办法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执行本合同发生的争议，</w:t>
      </w:r>
      <w:r>
        <w:rPr>
          <w:rFonts w:ascii="宋体" w:eastAsia="宋体" w:hAnsi="宋体" w:cs="宋体" w:hint="eastAsia"/>
          <w:sz w:val="22"/>
          <w:szCs w:val="22"/>
          <w:lang w:eastAsia="zh-CN"/>
        </w:rPr>
        <w:t>由甲乙双方协商解决；协商不成，</w:t>
      </w:r>
      <w:r>
        <w:rPr>
          <w:rFonts w:ascii="宋体" w:eastAsia="宋体" w:hAnsi="宋体" w:cs="宋体" w:hint="eastAsia"/>
          <w:kern w:val="2"/>
          <w:sz w:val="21"/>
          <w:szCs w:val="21"/>
          <w:lang w:eastAsia="zh-CN"/>
        </w:rPr>
        <w:t>由甲方所在地人民法院管辖。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第十七条  风险责任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１、乙方应完全地按照号采购文件的要求和乙方响应文件的承诺完成本项目，出于自身财务、技术、人力等原因导致项目失败的，应承担全部责任。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2、乙方在服务过程中应对自身的安全生产负责，若由乙方原因发生的各种事故甲方不承担任何责任。</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第十八条  违约责任</w:t>
      </w:r>
    </w:p>
    <w:p>
      <w:pPr>
        <w:widowControl/>
        <w:kinsoku/>
        <w:overflowPunct/>
        <w:topLinePunct w:val="0"/>
        <w:bidi w:val="0"/>
        <w:spacing w:before="0"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投标人若未按照招投标文件及本合同要求履约，则需对履约不足的部分支付违约金，但最高不超过中标总额的10％。</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第十九条  其他</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1、下列文件均为本合同的重要组成部分：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（1）本项目的采购文件、答疑及补充通知；</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（2）本项目中选的响应文件；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（3）本合同执行中共同签署的补充与修正文件。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r>
        <w:rPr>
          <w:rFonts w:ascii="宋体" w:eastAsia="宋体" w:hAnsi="宋体" w:cs="宋体" w:hint="eastAsia"/>
          <w:kern w:val="2"/>
          <w:sz w:val="21"/>
          <w:szCs w:val="21"/>
          <w:lang w:eastAsia="zh-CN"/>
        </w:rPr>
        <w:t>以上文件互为补充，如果出现内容冲突的情况，为准的优先顺序为（2）、（1）、（3）。</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2、本合同一式___份，甲、乙方双方各执份，具有同等法律效力。本合同自双方法定代表人或委托代理人签字并盖章认可之日起生效。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本合同未尽事宜，双方友好协商，达成解决方案，经双方签字后，可作为本合同的有效附件。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甲方：                              乙方：</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（签章）                         （签章）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地址：                        地址：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法定代表人：（签章）           法定代表人：（签章）</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                      开户行：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人民币账号：                  人民币账号：</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联系人：                      联系人：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电话：                        电话：</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日期：                        日期：</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36"/>
          <w:szCs w:val="44"/>
          <w:lang w:eastAsia="zh-CN"/>
        </w:rPr>
      </w:pPr>
    </w:p>
    <w:p>
      <w:pPr>
        <w:widowControl w:val="0"/>
        <w:spacing w:line="360" w:lineRule="auto"/>
        <w:jc w:val="both"/>
        <w:rPr>
          <w:rFonts w:ascii="宋体" w:eastAsia="宋体" w:hAnsi="宋体"/>
          <w:kern w:val="2"/>
          <w:sz w:val="21"/>
          <w:szCs w:val="21"/>
          <w:lang w:eastAsia="zh-CN"/>
        </w:rPr>
      </w:pPr>
    </w:p>
    <w:p>
      <w:pPr>
        <w:widowControl/>
        <w:jc w:val="both"/>
        <w:rPr>
          <w:rFonts w:ascii="Calibri" w:eastAsia="宋体" w:hAnsi="Calibri"/>
          <w:b/>
          <w:kern w:val="2"/>
          <w:szCs w:val="22"/>
          <w:lang w:eastAsia="zh-CN"/>
        </w:rPr>
      </w:pPr>
      <w:r>
        <w:rPr>
          <w:rFonts w:ascii="宋体" w:eastAsia="宋体" w:hAnsi="宋体" w:hint="eastAsia"/>
          <w:b/>
          <w:kern w:val="2"/>
          <w:sz w:val="21"/>
          <w:szCs w:val="21"/>
          <w:lang w:eastAsia="zh-CN"/>
        </w:rPr>
        <w:t>注：本合同样本仅供参考，具体条款内容由采购单位和中标单位协商确定。</w:t>
      </w:r>
    </w:p>
    <w:p>
      <w:pPr>
        <w:widowControl/>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8" w:name="_Toc1312"/>
      <w:r>
        <w:rPr>
          <w:rFonts w:ascii="Arial" w:eastAsia="宋体" w:hAnsi="Arial" w:hint="eastAsia"/>
          <w:b/>
          <w:kern w:val="2"/>
          <w:sz w:val="32"/>
          <w:lang w:eastAsia="zh-CN"/>
        </w:rPr>
        <w:t>第一章 总则</w:t>
      </w:r>
      <w:bookmarkEnd w:id="28"/>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9" w:name="_Toc696"/>
      <w:r>
        <w:rPr>
          <w:rFonts w:ascii="Arial" w:eastAsia="宋体" w:hAnsi="Arial" w:hint="eastAsia"/>
          <w:b/>
          <w:kern w:val="2"/>
          <w:sz w:val="32"/>
          <w:lang w:eastAsia="zh-CN"/>
        </w:rPr>
        <w:t xml:space="preserve">第二章 </w:t>
      </w:r>
      <w:bookmarkStart w:id="30" w:name="_Toc4237"/>
      <w:bookmarkStart w:id="31" w:name="_Toc25500"/>
      <w:bookmarkStart w:id="32" w:name="_Toc16272"/>
      <w:r>
        <w:rPr>
          <w:rFonts w:ascii="Arial" w:eastAsia="宋体" w:hAnsi="Arial" w:hint="eastAsia"/>
          <w:b/>
          <w:kern w:val="2"/>
          <w:sz w:val="32"/>
          <w:lang w:eastAsia="zh-CN"/>
        </w:rPr>
        <w:t>招标文件</w:t>
      </w:r>
      <w:bookmarkEnd w:id="29"/>
      <w:bookmarkEnd w:id="30"/>
      <w:bookmarkEnd w:id="31"/>
      <w:bookmarkEnd w:id="3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3"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18814"/>
      <w:bookmarkStart w:id="35" w:name="_Toc17279"/>
      <w:bookmarkStart w:id="36" w:name="_Toc31413"/>
      <w:bookmarkStart w:id="37" w:name="_Toc13741"/>
      <w:r>
        <w:rPr>
          <w:rFonts w:ascii="Arial" w:eastAsia="宋体" w:hAnsi="Arial" w:hint="eastAsia"/>
          <w:b/>
          <w:kern w:val="2"/>
          <w:sz w:val="32"/>
          <w:lang w:eastAsia="zh-CN"/>
        </w:rPr>
        <w:t>第三章 投标文件的编制</w:t>
      </w:r>
      <w:bookmarkEnd w:id="34"/>
      <w:bookmarkEnd w:id="35"/>
      <w:bookmarkEnd w:id="36"/>
      <w:bookmarkEnd w:id="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8"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3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39"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0"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1"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2"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bookmarkStart w:id="43"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4"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5"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5"/>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6" w:name="_Toc18062"/>
      <w:bookmarkStart w:id="47" w:name="_Toc28552"/>
      <w:bookmarkStart w:id="48" w:name="_Toc21427"/>
      <w:bookmarkStart w:id="49" w:name="_Toc26761"/>
      <w:r>
        <w:rPr>
          <w:rFonts w:ascii="Arial" w:eastAsia="宋体" w:hAnsi="Arial" w:hint="eastAsia"/>
          <w:b/>
          <w:kern w:val="2"/>
          <w:sz w:val="32"/>
          <w:lang w:eastAsia="zh-CN"/>
        </w:rPr>
        <w:t xml:space="preserve">第四章 </w:t>
      </w:r>
      <w:bookmarkStart w:id="50" w:name="_Toc30105"/>
      <w:r>
        <w:rPr>
          <w:rFonts w:ascii="Arial" w:eastAsia="宋体" w:hAnsi="Arial" w:hint="eastAsia"/>
          <w:b/>
          <w:kern w:val="2"/>
          <w:sz w:val="32"/>
          <w:lang w:eastAsia="zh-CN"/>
        </w:rPr>
        <w:t>投标文件的</w:t>
      </w:r>
      <w:bookmarkEnd w:id="46"/>
      <w:r>
        <w:rPr>
          <w:rFonts w:ascii="Arial" w:eastAsia="宋体" w:hAnsi="Arial" w:hint="eastAsia"/>
          <w:b/>
          <w:kern w:val="2"/>
          <w:sz w:val="32"/>
          <w:lang w:eastAsia="zh-CN"/>
        </w:rPr>
        <w:t>递交</w:t>
      </w:r>
      <w:bookmarkEnd w:id="47"/>
      <w:bookmarkEnd w:id="48"/>
      <w:bookmarkEnd w:id="49"/>
      <w:bookmarkEnd w:id="50"/>
    </w:p>
    <w:p>
      <w:pPr>
        <w:widowControl/>
        <w:wordWrap w:val="0"/>
        <w:autoSpaceDE w:val="0"/>
        <w:autoSpaceDN w:val="0"/>
        <w:spacing w:line="400" w:lineRule="exact"/>
        <w:ind w:right="808" w:firstLine="420" w:firstLineChars="200"/>
        <w:jc w:val="both"/>
        <w:rPr>
          <w:rFonts w:eastAsia="宋体"/>
          <w:kern w:val="2"/>
          <w:sz w:val="21"/>
          <w:lang w:eastAsia="zh-CN"/>
        </w:rPr>
      </w:pPr>
      <w:bookmarkStart w:id="51"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2"/>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3" w:name="第五章1"/>
      <w:bookmarkEnd w:id="53"/>
      <w:bookmarkStart w:id="54" w:name="_Toc73517666"/>
      <w:bookmarkStart w:id="55" w:name="_Toc100052391"/>
      <w:bookmarkStart w:id="56" w:name="_Toc2041"/>
      <w:bookmarkStart w:id="57" w:name="_Toc73518144"/>
      <w:bookmarkStart w:id="58" w:name="_Toc14713"/>
      <w:bookmarkStart w:id="59" w:name="_Toc1658"/>
      <w:bookmarkStart w:id="60" w:name="_Toc13806"/>
      <w:bookmarkStart w:id="61" w:name="_Toc101074881"/>
      <w:r>
        <w:rPr>
          <w:rFonts w:ascii="Arial" w:eastAsia="宋体" w:hAnsi="Arial" w:hint="eastAsia"/>
          <w:b/>
          <w:kern w:val="2"/>
          <w:sz w:val="32"/>
          <w:lang w:eastAsia="zh-CN"/>
        </w:rPr>
        <w:t xml:space="preserve">第五章 </w:t>
      </w:r>
      <w:bookmarkStart w:id="62" w:name="_Toc4434"/>
      <w:r>
        <w:rPr>
          <w:rFonts w:ascii="Arial" w:eastAsia="宋体" w:hAnsi="Arial" w:hint="eastAsia"/>
          <w:b/>
          <w:kern w:val="2"/>
          <w:sz w:val="32"/>
          <w:lang w:eastAsia="zh-CN"/>
        </w:rPr>
        <w:t>开标</w:t>
      </w:r>
      <w:bookmarkEnd w:id="54"/>
      <w:bookmarkEnd w:id="55"/>
      <w:bookmarkEnd w:id="56"/>
      <w:bookmarkEnd w:id="57"/>
      <w:bookmarkEnd w:id="58"/>
      <w:bookmarkEnd w:id="59"/>
      <w:bookmarkEnd w:id="60"/>
      <w:bookmarkEnd w:id="61"/>
      <w:bookmarkEnd w:id="62"/>
    </w:p>
    <w:p>
      <w:pPr>
        <w:widowControl/>
        <w:wordWrap w:val="0"/>
        <w:autoSpaceDE w:val="0"/>
        <w:autoSpaceDN w:val="0"/>
        <w:spacing w:line="400" w:lineRule="exact"/>
        <w:ind w:right="808" w:firstLine="420" w:firstLineChars="200"/>
        <w:jc w:val="both"/>
        <w:rPr>
          <w:rFonts w:eastAsia="宋体"/>
          <w:kern w:val="2"/>
          <w:sz w:val="21"/>
          <w:lang w:eastAsia="zh-CN"/>
        </w:rPr>
      </w:pPr>
      <w:bookmarkStart w:id="63" w:name="_Toc73517668"/>
      <w:bookmarkStart w:id="64" w:name="_Toc73518146"/>
      <w:bookmarkStart w:id="65" w:name="_Toc101074882"/>
      <w:bookmarkStart w:id="66"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3"/>
    <w:bookmarkEnd w:id="64"/>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7" w:name="第六章1"/>
      <w:bookmarkEnd w:id="67"/>
      <w:bookmarkStart w:id="68" w:name="_Toc7319"/>
      <w:bookmarkStart w:id="69" w:name="_Toc29197"/>
      <w:bookmarkStart w:id="70" w:name="_Toc27869"/>
      <w:bookmarkStart w:id="71" w:name="_Toc20179"/>
      <w:r>
        <w:rPr>
          <w:rFonts w:ascii="Arial" w:eastAsia="宋体" w:hAnsi="Arial" w:hint="eastAsia"/>
          <w:b/>
          <w:kern w:val="2"/>
          <w:sz w:val="32"/>
          <w:lang w:eastAsia="zh-CN"/>
        </w:rPr>
        <w:t xml:space="preserve">第六章 </w:t>
      </w:r>
      <w:bookmarkStart w:id="72" w:name="_Toc29225"/>
      <w:r>
        <w:rPr>
          <w:rFonts w:ascii="Arial" w:eastAsia="宋体" w:hAnsi="Arial" w:hint="eastAsia"/>
          <w:b/>
          <w:kern w:val="2"/>
          <w:sz w:val="32"/>
          <w:lang w:eastAsia="zh-CN"/>
        </w:rPr>
        <w:t>评审要求</w:t>
      </w:r>
      <w:bookmarkEnd w:id="65"/>
      <w:bookmarkEnd w:id="66"/>
      <w:bookmarkEnd w:id="68"/>
      <w:bookmarkEnd w:id="69"/>
      <w:bookmarkEnd w:id="70"/>
      <w:bookmarkEnd w:id="71"/>
      <w:bookmarkEnd w:id="72"/>
    </w:p>
    <w:p>
      <w:pPr>
        <w:widowControl/>
        <w:wordWrap w:val="0"/>
        <w:autoSpaceDE w:val="0"/>
        <w:autoSpaceDN w:val="0"/>
        <w:spacing w:line="400" w:lineRule="exact"/>
        <w:ind w:right="808" w:firstLine="420" w:firstLineChars="200"/>
        <w:jc w:val="both"/>
        <w:rPr>
          <w:rFonts w:eastAsia="宋体"/>
          <w:kern w:val="2"/>
          <w:sz w:val="21"/>
          <w:lang w:eastAsia="zh-CN"/>
        </w:rPr>
      </w:pPr>
      <w:bookmarkStart w:id="73" w:name="第七章1"/>
      <w:bookmarkEnd w:id="73"/>
      <w:bookmarkStart w:id="74" w:name="_Toc20125"/>
      <w:bookmarkStart w:id="75" w:name="_Toc101074883"/>
      <w:bookmarkStart w:id="76" w:name="_Toc1296"/>
      <w:bookmarkStart w:id="77" w:name="_Toc100052397"/>
      <w:bookmarkStart w:id="78" w:name="_Toc19125"/>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79"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79"/>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0" w:name="_Toc18761"/>
      <w:r>
        <w:rPr>
          <w:rFonts w:ascii="Arial" w:eastAsia="宋体" w:hAnsi="Arial" w:hint="eastAsia"/>
          <w:b/>
          <w:kern w:val="2"/>
          <w:sz w:val="32"/>
          <w:lang w:eastAsia="zh-CN"/>
        </w:rPr>
        <w:t xml:space="preserve">第七章 </w:t>
      </w:r>
      <w:bookmarkStart w:id="81" w:name="_Toc26636"/>
      <w:r>
        <w:rPr>
          <w:rFonts w:ascii="Arial" w:eastAsia="宋体" w:hAnsi="Arial" w:hint="eastAsia"/>
          <w:b/>
          <w:kern w:val="2"/>
          <w:sz w:val="32"/>
          <w:lang w:eastAsia="zh-CN"/>
        </w:rPr>
        <w:t>评审程序</w:t>
      </w:r>
      <w:bookmarkStart w:id="82" w:name="_Toc73517671"/>
      <w:bookmarkStart w:id="83" w:name="_Toc73518149"/>
      <w:r>
        <w:rPr>
          <w:rFonts w:ascii="Arial" w:eastAsia="宋体" w:hAnsi="Arial" w:hint="eastAsia"/>
          <w:b/>
          <w:kern w:val="2"/>
          <w:sz w:val="32"/>
          <w:lang w:eastAsia="zh-CN"/>
        </w:rPr>
        <w:t>及评审方法</w:t>
      </w:r>
      <w:bookmarkEnd w:id="74"/>
      <w:bookmarkEnd w:id="75"/>
      <w:bookmarkEnd w:id="76"/>
      <w:bookmarkEnd w:id="77"/>
      <w:bookmarkEnd w:id="78"/>
      <w:bookmarkEnd w:id="80"/>
      <w:bookmarkEnd w:id="81"/>
    </w:p>
    <w:bookmarkEnd w:id="82"/>
    <w:bookmarkEnd w:id="8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4"/>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Toc73518151"/>
      <w:bookmarkStart w:id="86" w:name="_Toc73521669"/>
      <w:bookmarkStart w:id="87" w:name="_Toc73521581"/>
      <w:bookmarkStart w:id="88" w:name="_Toc100052400"/>
      <w:bookmarkStart w:id="89" w:name="_Toc73517673"/>
      <w:r>
        <w:rPr>
          <w:rFonts w:eastAsia="宋体" w:hint="eastAsia"/>
          <w:kern w:val="2"/>
          <w:sz w:val="21"/>
          <w:lang w:eastAsia="zh-CN"/>
        </w:rPr>
        <w:t>34．错误的修正</w:t>
      </w:r>
      <w:bookmarkEnd w:id="85"/>
      <w:bookmarkEnd w:id="86"/>
      <w:bookmarkEnd w:id="87"/>
      <w:bookmarkEnd w:id="88"/>
      <w:bookmarkEnd w:id="8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1" w:name="第八章1"/>
      <w:bookmarkEnd w:id="91"/>
      <w:bookmarkStart w:id="92" w:name="_Toc30568"/>
      <w:bookmarkStart w:id="93" w:name="_Toc26094"/>
      <w:bookmarkStart w:id="94" w:name="_Toc13341"/>
      <w:bookmarkStart w:id="95" w:name="_Toc1513"/>
      <w:r>
        <w:rPr>
          <w:rFonts w:ascii="Arial" w:eastAsia="宋体" w:hAnsi="Arial" w:hint="eastAsia"/>
          <w:b/>
          <w:kern w:val="2"/>
          <w:sz w:val="32"/>
          <w:lang w:eastAsia="zh-CN"/>
        </w:rPr>
        <w:t xml:space="preserve">第八章 </w:t>
      </w:r>
      <w:bookmarkStart w:id="96" w:name="_Toc24537"/>
      <w:r>
        <w:rPr>
          <w:rFonts w:ascii="Arial" w:eastAsia="宋体" w:hAnsi="Arial" w:hint="eastAsia"/>
          <w:b/>
          <w:kern w:val="2"/>
          <w:sz w:val="32"/>
          <w:lang w:eastAsia="zh-CN"/>
        </w:rPr>
        <w:t>定标及公示</w:t>
      </w:r>
      <w:bookmarkEnd w:id="92"/>
      <w:bookmarkEnd w:id="93"/>
      <w:bookmarkEnd w:id="94"/>
      <w:bookmarkEnd w:id="95"/>
      <w:bookmarkEnd w:id="9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7"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98"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99"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8"/>
      <w:bookmarkEnd w:id="99"/>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0"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0"/>
      <w:bookmarkStart w:id="101"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10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2"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1407340"/>
      <w:r>
        <w:rPr>
          <w:rFonts w:eastAsia="宋体" w:hint="eastAsia"/>
          <w:kern w:val="2"/>
          <w:sz w:val="21"/>
          <w:lang w:eastAsia="zh-CN"/>
        </w:rPr>
        <w:t>41.3因质疑投诉或其它原因导致项目结果变更或采购终止的，采购代理机构有权吊销中标通知书。</w:t>
      </w:r>
    </w:p>
    <w:bookmarkEnd w:id="103"/>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4" w:name="第九章1"/>
      <w:bookmarkEnd w:id="104"/>
      <w:bookmarkStart w:id="105" w:name="_Toc25733"/>
      <w:bookmarkStart w:id="106" w:name="_Toc17412"/>
      <w:bookmarkStart w:id="107" w:name="_Toc24474"/>
      <w:bookmarkStart w:id="108" w:name="_Toc20277"/>
      <w:bookmarkStart w:id="109" w:name="_Toc11736"/>
      <w:bookmarkStart w:id="110" w:name="_Toc100052407"/>
      <w:bookmarkStart w:id="111" w:name="_Toc101074884"/>
      <w:bookmarkStart w:id="112" w:name="_Toc73517678"/>
      <w:r>
        <w:rPr>
          <w:rFonts w:ascii="Arial" w:eastAsia="宋体" w:hAnsi="Arial" w:hint="eastAsia"/>
          <w:b/>
          <w:kern w:val="2"/>
          <w:sz w:val="32"/>
          <w:lang w:eastAsia="zh-CN"/>
        </w:rPr>
        <w:t>第九章 公开采购失败的后续处理</w:t>
      </w:r>
      <w:bookmarkEnd w:id="105"/>
      <w:bookmarkEnd w:id="106"/>
      <w:bookmarkEnd w:id="107"/>
      <w:bookmarkEnd w:id="108"/>
      <w:bookmarkEnd w:id="10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0"/>
    <w:bookmarkEnd w:id="111"/>
    <w:bookmarkEnd w:id="112"/>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3" w:name="第十章1"/>
      <w:bookmarkEnd w:id="113"/>
      <w:bookmarkStart w:id="114" w:name="_Toc13677"/>
      <w:bookmarkStart w:id="115" w:name="_Toc26814"/>
      <w:bookmarkStart w:id="116" w:name="_Toc26432"/>
      <w:bookmarkStart w:id="117" w:name="_Toc27904"/>
      <w:bookmarkStart w:id="118" w:name="_Toc9122"/>
      <w:r>
        <w:rPr>
          <w:rFonts w:ascii="Arial" w:eastAsia="宋体" w:hAnsi="Arial" w:hint="eastAsia"/>
          <w:b/>
          <w:kern w:val="2"/>
          <w:sz w:val="32"/>
          <w:lang w:eastAsia="zh-CN"/>
        </w:rPr>
        <w:t>第十章 合同的授予与备案</w:t>
      </w:r>
      <w:bookmarkEnd w:id="114"/>
      <w:bookmarkEnd w:id="115"/>
      <w:bookmarkEnd w:id="116"/>
      <w:bookmarkEnd w:id="117"/>
      <w:bookmarkEnd w:id="118"/>
    </w:p>
    <w:p>
      <w:pPr>
        <w:widowControl/>
        <w:wordWrap w:val="0"/>
        <w:autoSpaceDE w:val="0"/>
        <w:autoSpaceDN w:val="0"/>
        <w:spacing w:line="400" w:lineRule="exact"/>
        <w:ind w:right="808" w:firstLine="420" w:firstLineChars="200"/>
        <w:jc w:val="both"/>
        <w:rPr>
          <w:rFonts w:eastAsia="宋体"/>
          <w:kern w:val="2"/>
          <w:sz w:val="21"/>
          <w:lang w:eastAsia="zh-CN"/>
        </w:rPr>
      </w:pPr>
      <w:bookmarkStart w:id="119" w:name="_33._合同授予标准"/>
      <w:bookmarkEnd w:id="119"/>
      <w:bookmarkStart w:id="120" w:name="_Toc100052408"/>
      <w:bookmarkStart w:id="121" w:name="_Toc73521586"/>
      <w:bookmarkStart w:id="122" w:name="_Toc73521674"/>
      <w:bookmarkStart w:id="123" w:name="_Toc73518157"/>
      <w:bookmarkStart w:id="124" w:name="_Toc73517679"/>
      <w:bookmarkStart w:id="125" w:name="_Hlk72439088"/>
      <w:r>
        <w:rPr>
          <w:rFonts w:eastAsia="宋体" w:hint="eastAsia"/>
          <w:kern w:val="2"/>
          <w:sz w:val="21"/>
          <w:lang w:eastAsia="zh-CN"/>
        </w:rPr>
        <w:t>43．合同授予标准</w:t>
      </w:r>
      <w:bookmarkEnd w:id="120"/>
      <w:bookmarkEnd w:id="121"/>
      <w:bookmarkEnd w:id="122"/>
      <w:bookmarkEnd w:id="123"/>
      <w:bookmarkEnd w:id="12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6" w:name="_Toc73517680"/>
      <w:bookmarkStart w:id="127" w:name="_Toc73518158"/>
      <w:bookmarkStart w:id="128" w:name="_Toc73521587"/>
      <w:bookmarkStart w:id="129" w:name="_Toc73521675"/>
      <w:bookmarkStart w:id="130" w:name="_Toc100052409"/>
      <w:r>
        <w:rPr>
          <w:rFonts w:eastAsia="宋体" w:hint="eastAsia"/>
          <w:kern w:val="2"/>
          <w:sz w:val="21"/>
          <w:lang w:eastAsia="zh-CN"/>
        </w:rPr>
        <w:t>44．</w:t>
      </w:r>
      <w:bookmarkEnd w:id="126"/>
      <w:bookmarkEnd w:id="127"/>
      <w:bookmarkEnd w:id="128"/>
      <w:bookmarkEnd w:id="129"/>
      <w:bookmarkEnd w:id="130"/>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21589"/>
      <w:bookmarkStart w:id="132" w:name="_Toc100052410"/>
      <w:bookmarkStart w:id="133" w:name="_Toc73517682"/>
      <w:bookmarkStart w:id="134" w:name="_Toc73521677"/>
      <w:bookmarkStart w:id="135" w:name="_Toc73518160"/>
      <w:r>
        <w:rPr>
          <w:rFonts w:eastAsia="宋体" w:hint="eastAsia"/>
          <w:kern w:val="2"/>
          <w:sz w:val="21"/>
          <w:lang w:eastAsia="zh-CN"/>
        </w:rPr>
        <w:t>45．合同的签订</w:t>
      </w:r>
      <w:bookmarkEnd w:id="131"/>
      <w:bookmarkEnd w:id="132"/>
      <w:bookmarkEnd w:id="133"/>
      <w:bookmarkEnd w:id="134"/>
      <w:bookmarkEnd w:id="13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73521590"/>
      <w:bookmarkStart w:id="137" w:name="_Toc100052411"/>
      <w:bookmarkStart w:id="138" w:name="_Toc73521678"/>
      <w:bookmarkStart w:id="139" w:name="_Toc73517683"/>
      <w:bookmarkStart w:id="140" w:name="_Toc73518161"/>
      <w:r>
        <w:rPr>
          <w:rFonts w:eastAsia="宋体" w:hint="eastAsia"/>
          <w:kern w:val="2"/>
          <w:sz w:val="21"/>
          <w:lang w:eastAsia="zh-CN"/>
        </w:rPr>
        <w:t>46．履约担保</w:t>
      </w:r>
      <w:bookmarkEnd w:id="136"/>
      <w:bookmarkEnd w:id="137"/>
      <w:bookmarkEnd w:id="138"/>
      <w:bookmarkEnd w:id="139"/>
      <w:bookmarkEnd w:id="14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1" w:name="_Hlk72440769"/>
      <w:r>
        <w:rPr>
          <w:rFonts w:eastAsia="宋体" w:hint="eastAsia"/>
          <w:kern w:val="2"/>
          <w:sz w:val="21"/>
          <w:lang w:eastAsia="zh-CN"/>
        </w:rPr>
        <w:t>采购代理机构或采购人不予退还其交纳的谈判保证金，情节严重的，并由主管部门</w:t>
      </w:r>
      <w:bookmarkEnd w:id="141"/>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5"/>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2" w:name="_Toc19433"/>
      <w:r>
        <w:rPr>
          <w:rFonts w:ascii="Arial" w:eastAsia="宋体" w:hAnsi="Arial" w:hint="eastAsia"/>
          <w:b/>
          <w:kern w:val="2"/>
          <w:sz w:val="32"/>
          <w:lang w:eastAsia="zh-CN"/>
        </w:rPr>
        <w:t>第十一章 质疑处理</w:t>
      </w:r>
      <w:bookmarkEnd w:id="1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43" w:name="_Hlk75374941"/>
      <w:r>
        <w:rPr>
          <w:rFonts w:eastAsia="宋体" w:hint="eastAsia"/>
          <w:kern w:val="2"/>
          <w:sz w:val="21"/>
          <w:lang w:eastAsia="zh-CN"/>
        </w:rPr>
        <w:t>以联合体形式参与的，质疑应当由组成联合体的所有成员共同提出</w:t>
      </w:r>
      <w:bookmarkEnd w:id="143"/>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2025年食堂托管服务采购-A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项目团队成员（不含项目负责人）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通过相关认证情况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食品检测</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LHAZXDL-2025-00010-001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2025年食堂托管服务采购-A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代理机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投标人提供完整的食堂服务方案，保证食品供应的各个环节完善到位，包括但不限于以下内容： 1.食堂运营方案 2.食堂安全管理等。 （二）评分依据： 评审委员会根据招标文件的需求和投标文件的内容响应情况进行评分： 1.内容满足以上任意2项要求的，得60分； 内容满足以上任意1项要求的，得30分； 内容未满足不得分。 2、在此基础上，评审委员会根据各投标人的具体响应情况按照以下评审标准进一步评审： 评审为优（方案设计内容全面，工作内容目标指向性强，整体方案展现高度系统性、科学性和定制化）的加40分； 评审为良（方案设计较详尽，基本契合项目需求，目标指向性较强，整体方案展现良好的系统性、科学性和定制化）的加20分； 评审为中（方案设计基本满足项目需求，有明确的工作目标，但方案的系统性、科学性和定制化一般）的 加10分；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提供符合本项目服务特点的相关重点难点分析、应对措施及相关合理化建议，包括但不限于： 1.原材料验收标准 2.菜品加工流程 3.食品留样制度 4.内控制度建立。 （二）评分依据： 评审委员会根据招标文件的需求和投标文件的内容响应情况进行评分： 1.内容满足以上4项要求的，得60分； 内容满足以上任意3项要求的，得40分； 内容满足以上任意2项要求的，得20分； 内容满足以上任意1项要求的，得10分； 内容未满足不得分。 2、在此基础上，评审委员会根据各投标人的具体响应情况按照以下评审标准进一步评审： 评审为优（方案设计内容全面，工作内容目标指向性强，整体方案展现高度系统性、科学性和定制化）的加40分； 评审为良（方案设计较详尽，基本契合项目需求，目标指向性较强，整体方案展现良好的系统性、科学性和定制化）的加20分； 评审为中（方案设计基本满足项目需求，有明确的工作目标，但方案的系统性、科学性和定制化一般）的加10分； 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（一）评分内容：根据投标人提供的质量保障措施及方案，包括但不限于： 1.餐饮服务质量保障措施 2.应急保障措施（包含食品安全事故、停电停水、燃气泄漏、消防安全等方面有具体的应急保障能力方案。） （二）评分依据： 评审委员会根据招标文件的需求和投标文件的内容响应情况进行评分： 1.内容满足以上任意2项要求的，得60分； 内容满足以上任意1项要求的，得30分； 内容未满足不得分。 2、在此基础上，评审委员会根据各投标人的具体响应情况按照以下评审标准进一步评审： 评审为优（方案设计内容全面，工作内容目标指向性强，整体方案展现高度系统性、科学性和定制化）的加40分； 评审为良（方案设计较详尽，基本契合项目需求，目标指向性较强，整体方案展现良好的系统性、科学性和定制化）的加20分； 评审为中（方案设计基本满足项目需求，有明确的工作目标，但方案的系统性、科学性和定制化一般）的 加10分； 3、评审为差（如不满足项目要求的）的不加分。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服务期满后的服务承诺需在服务项目完成后10个工作日配合采购方完成物资交接等工作。如未能按时完成交接工作，将视为违规，投标人需向采购方支付中选价10%的违约金并赔偿其他损失。 （二）评分依据： 提供服务期满后的服务承诺函（格式自拟），按要求提供得100分。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书面承诺：需在合同签订之日起7个工作日内，按时开展该合同服务，包括人员配备、服务方案等相关工作。如未能按时开展，将视为根本违约，采购方有权立即解除与其签订的采购合同，并按照招标结果依次顺延其他候选供应商，且还需向采购方支付中选价的5%的违约金并赔偿其他损失。 （二）评分依据： 提供违约承诺函（格式自拟），按要求提供得100分。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为本项目拟安排项目负责人负责项目的整体服务工作，项目负责人在具有本科或以上学历证书的基础上进行如下评分 ： 1.具有行政机关或事业单位或人社部门备案的社会评价组织颁发的中式烹调师一级证书得35分，二级证书得15分，其他情况不得分，本小项最高35分； 2.具有行政机关或事业单位或人社部门备案的社会评价组织颁发的中式面点师三级（含本级）以上证书得15分，其他情况不得分，本小项最高15分； 3.具有行政机关或事业单位或人社部门备案的社会评价组织颁发的三级（含本级）以上健康管理师证书得15分，其他情况不得分，本小项最高15分； 4.获得区级或以上行政机关或事业单位或人力资源部门组织的烹饪职业技能竞赛一等奖荣誉证书得35分，二等奖荣誉证书得15分，其他情况不得分，本小项最高35分； 以上全部满足得100分。 （二）评分依据： 1.项目负责人必须为响应供应商自有员工，开标日前由响应供应商为其缴交的载有社保部门公章的2024年10月至 2024年12月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涉及学历的，需同时提供学信网信息查询截图：①如较早颁发的学历证书，学信网无法查询的，可提供毕业院校或教育或人社部门等颁发机构或监管机构等出具的证明。②如海外留学（含港澳台）人学历无法通过学信网站查询的，应当提供教育部留学服务中心出具的国外学历认证证书以及教育部留学服务中心官网查询截图。若证明文件为其它语言，必须附中文译文，以中文译文为准。 3.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4.第4点需同时提供获奖荣誉证书与颁发单位的公布文件或官方网站截图，缺一不可。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项目团队成员（不含项目负责人）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团队成员总人数要求至少4人，提供承诺函，未达到人数要求的不得分： 1.主厨1名：具有行政机关或事业单位或人社部门备案的社会评价组织颁发的一级中式烹调师得10分，二级得5分，其他情况不得分，本小项最高得10分； 2.营养师1名：在具有专科或以上学历（食品类或管理类相关专业）证书的基础上，进行如下评分 ： 1）具有行政机关或事业单位或人社部门备案的社会评价组织颁发的一级健康管理师证书； 2）具有行政机关或事业单位或人社部门备案的社会评价组织颁发的一级公共营养师证书的； 满足以上条件得40分，未满足不得分，本小项最高得40分。 3.出品主管1名： 1)具有行政机关或事业单位或人社部门备案的社会评价组织颁发的一级中式烹调师证书； 2)具有行政机关或事业单位或人社部门备案的社会评价组织颁发的一级中式面点师证书； 满足以上条件得35分，未满足不得分，本小项最高得35分 4.食品安全管理员1名：市场监督管理局或食品药品监督管理局颁发的有效期内初级餐饮服务食品安全管理员证书的得5分，中级餐饮服务食品安全管理员证书的得10分，高级餐饮服务食品安全管理员证书的得15分,本项最高得分15分。 （二）评分依据： 1、项目团队成员必须为响应供应商自有员工，开标日前由响应供应商为其缴交的载有社保部门公章的 2024年10月至 2024年12月社保缴交证明材料（已退休返聘人员需提供聘用合同），如开标日上一个月的社保材料因社保部门原因暂时无法取得，则可以往前顺延一个月，投标人若为新成立企业（或成立时间不足3月）的，按成立时限提供；社保资料必须至少显示缴交养老保险信息，未显示该信息的该社保资料则不符合要求，原件备查。 2、提供相关人员有效证书扫描件及证书官网查询截图，若为人力资源和社会保障部门颁发的证书扫描件还需提供在技能人才评价网（httpzscx.osta.org.cn）查询截图，若为行业协会等社会组织颁发的证书需提供证书扫描件和技能人才评价证书全国联网查询系统（httpzscx.osta.org.cn）截图，否则不予认可，视为无效证书。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通过相关认证情况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1）具有质量管理体系认证证书，得20分； 2）具有环境管理体系认证证书，得20分； 3）具有食品安全管理体系认证证书，得20分； 4）具有餐饮企业现场管理评价认证证书，得20分； 5）具有绿色餐饮服务认证证书，得20分。 以上证书累加计分，满分得100分。 （二）评分依据： 提供有效期内的认证证书扫描件及在全国认证认可信息公共服务平台（认e云）查询有效的截图（httpcx.cnca.cn）且编号一致，原件备查（截图需显示证书状态为有效）。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食品检测</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1、按以下要求提供有效期内具备CMA和CNAS资质的第三方检测机构出具的印有CMA和CNAS印章的合格检测报告（检测报告的委托单位需为投标人）： 检测至少包含以下项目但不限于：①生产用水②炒菜类③米饭④餐盘和筷子。 全部具有得100分，缺一项扣30分。 （二）评分依据： 投标人须提供相关检测报告证明文件扫描件及在全国认证认可信息公共服务平台（认e云）查询有效的截图（httpcx.cnca.cn）且编号一致，原件备查。 未提供或未按要求提供或提供不清晰导致评审无法辨别的不得分。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投标人在深圳市设有常驻服务点或投标人承诺中标后30日内在深圳市范围内设定常驻服务点的得100分,其他情况不得分。 （二）评分依据： 投标人提供服务机构的营业执照或办公场所的房产证明或租赁合同扫描件；或提供符合上述要求的承诺函。 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2021年1月1日至本项目投标截止之日（以证书落款日期为准），获得国家级餐饮主管部门或烹饪协会颁发的团餐类技术比赛荣誉证书的得100分，省级荣誉的得50分，市级荣誉的得10分，相关荣誉可累计得分，本项满分100分。 （二）评分依据： 提供奖项照片或获奖（荣誉）证书等证明材料扫描件，原件备查；如协会或其他社会组织颁发的证书（或荣誉），避免出现山寨组织或取缔组织，由社会组织颁发的证书，还需提供该组织在“中国社会组织政务服务平台（官网地址：(httpschinanpo.mca.gov.cn)”的已合法登记且状态正常截图。否则不予认可，视为无效证书。 备注：评分中出现无证明资料或专家无法凭所提供资料判断是否得分的情况，一律作不得分处理。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投标人提供2021年1月1日至本项目投标截止之日（以合同签订时间为准），承担过行政机关或事业单位的食堂托管管理服务或食堂外包服务类同类项目业绩,每提供1个同类业绩得20分，满分100分。 （二）评分依据： 提供中标通知书和合同关键页（关键信息包括但不仅限于合同的项目名称、服务内容、合同服务的起止时间、签订日期等）证明文件扫描件，若合同无法体现的还需提供加盖甲方公章或业务章的证明文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投标人提供2021年1月1日至本项目投标截止日前，具有上述有效项目业绩并经服务单位考核评价为优或满意或评价表中其他最高等级评价的每提供1项得20分，本项最高得100分。 （二）评分依据： 提供以上项目盖有采购单位公章的总体履约评价为“优”或满意或评价表中其他最高等级评价的履约评价证明文件（内容必须包括但不仅限于项目名称、项目编号、总体履约评价结果、出具证明的签署日期等相关内容），原件备查。 未提供或未按要求提供或提供不清晰导致专家无法判断的不得分。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 须提供《诚信承诺函》，按采购文件格式要求提供，不提供或提供的不符合要求或提供不清晰导致专家无法判断的均不得分。如被认定提供的陈述与事实不符受到行政处罚的，依法追究其责任。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8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3D89F"/>
    <w:multiLevelType w:val="singleLevel"/>
    <w:tmpl w:val="88A3D89F"/>
    <w:lvl w:ilvl="0">
      <w:start w:val="1"/>
      <w:numFmt w:val="decimal"/>
      <w:lvlText w:val="%1)"/>
      <w:lvlJc w:val="left"/>
      <w:pPr>
        <w:tabs>
          <w:tab w:val="left" w:pos="312"/>
        </w:tabs>
      </w:pPr>
    </w:lvl>
  </w:abstractNum>
  <w:abstractNum w:abstractNumId="1">
    <w:nsid w:val="9461FFEF"/>
    <w:multiLevelType w:val="singleLevel"/>
    <w:tmpl w:val="9461FFEF"/>
    <w:lvl w:ilvl="0">
      <w:start w:val="1"/>
      <w:numFmt w:val="chineseCounting"/>
      <w:suff w:val="nothing"/>
      <w:lvlText w:val="（%1）"/>
      <w:lvlJc w:val="left"/>
      <w:rPr>
        <w:rFonts w:hint="eastAsia"/>
      </w:rPr>
    </w:lvl>
  </w:abstractNum>
  <w:abstractNum w:abstractNumId="2">
    <w:nsid w:val="A33188A3"/>
    <w:multiLevelType w:val="singleLevel"/>
    <w:tmpl w:val="A33188A3"/>
    <w:lvl w:ilvl="0">
      <w:start w:val="1"/>
      <w:numFmt w:val="chineseCounting"/>
      <w:suff w:val="nothing"/>
      <w:lvlText w:val="（%1）"/>
      <w:lvlJc w:val="left"/>
      <w:rPr>
        <w:rFonts w:hint="eastAsia"/>
      </w:rPr>
    </w:lvl>
  </w:abstractNum>
  <w:abstractNum w:abstractNumId="3">
    <w:nsid w:val="A702A6DD"/>
    <w:multiLevelType w:val="singleLevel"/>
    <w:tmpl w:val="A702A6DD"/>
    <w:lvl w:ilvl="0">
      <w:start w:val="1"/>
      <w:numFmt w:val="decimal"/>
      <w:suff w:val="nothing"/>
      <w:lvlText w:val="%1、"/>
      <w:lvlJc w:val="left"/>
    </w:lvl>
  </w:abstractNum>
  <w:abstractNum w:abstractNumId="4">
    <w:nsid w:val="AF4DC178"/>
    <w:multiLevelType w:val="singleLevel"/>
    <w:tmpl w:val="AF4DC178"/>
    <w:lvl w:ilvl="0">
      <w:start w:val="1"/>
      <w:numFmt w:val="chineseCounting"/>
      <w:suff w:val="nothing"/>
      <w:lvlText w:val="（%1）"/>
      <w:lvlJc w:val="left"/>
      <w:rPr>
        <w:rFonts w:hint="eastAsia"/>
      </w:rPr>
    </w:lvl>
  </w:abstractNum>
  <w:abstractNum w:abstractNumId="5">
    <w:nsid w:val="B2774A2B"/>
    <w:multiLevelType w:val="singleLevel"/>
    <w:tmpl w:val="B2774A2B"/>
    <w:lvl w:ilvl="0">
      <w:start w:val="1"/>
      <w:numFmt w:val="chineseCounting"/>
      <w:suff w:val="nothing"/>
      <w:lvlText w:val="（%1）"/>
      <w:lvlJc w:val="left"/>
      <w:rPr>
        <w:rFonts w:hint="eastAsia"/>
      </w:rPr>
    </w:lvl>
  </w:abstractNum>
  <w:abstractNum w:abstractNumId="6">
    <w:nsid w:val="B9358C2E"/>
    <w:multiLevelType w:val="singleLevel"/>
    <w:tmpl w:val="B9358C2E"/>
    <w:lvl w:ilvl="0">
      <w:start w:val="2"/>
      <w:numFmt w:val="decimal"/>
      <w:suff w:val="nothing"/>
      <w:lvlText w:val="%1、"/>
      <w:lvlJc w:val="left"/>
    </w:lvl>
  </w:abstractNum>
  <w:abstractNum w:abstractNumId="7">
    <w:nsid w:val="CD5F4EC5"/>
    <w:multiLevelType w:val="singleLevel"/>
    <w:tmpl w:val="CD5F4EC5"/>
    <w:lvl w:ilvl="0">
      <w:start w:val="1"/>
      <w:numFmt w:val="decimal"/>
      <w:lvlText w:val="%1."/>
      <w:lvlJc w:val="left"/>
      <w:pPr>
        <w:tabs>
          <w:tab w:val="left" w:pos="312"/>
        </w:tabs>
      </w:pPr>
    </w:lvl>
  </w:abstractNum>
  <w:abstractNum w:abstractNumId="8">
    <w:nsid w:val="CDEA7D33"/>
    <w:multiLevelType w:val="singleLevel"/>
    <w:tmpl w:val="CDEA7D33"/>
    <w:lvl w:ilvl="0">
      <w:start w:val="1"/>
      <w:numFmt w:val="chineseCounting"/>
      <w:suff w:val="nothing"/>
      <w:lvlText w:val="（%1）"/>
      <w:lvlJc w:val="left"/>
      <w:rPr>
        <w:rFonts w:hint="eastAsia"/>
        <w:b/>
        <w:bCs/>
      </w:rPr>
    </w:lvl>
  </w:abstractNum>
  <w:abstractNum w:abstractNumId="9">
    <w:nsid w:val="E451AB84"/>
    <w:multiLevelType w:val="singleLevel"/>
    <w:tmpl w:val="E451AB84"/>
    <w:lvl w:ilvl="0">
      <w:start w:val="1"/>
      <w:numFmt w:val="chineseCounting"/>
      <w:suff w:val="nothing"/>
      <w:lvlText w:val="（%1）"/>
      <w:lvlJc w:val="left"/>
      <w:rPr>
        <w:rFonts w:hint="eastAsia"/>
        <w:b/>
        <w:bCs/>
      </w:rPr>
    </w:lvl>
  </w:abstractNum>
  <w:abstractNum w:abstractNumId="10">
    <w:nsid w:val="ED3C36C2"/>
    <w:multiLevelType w:val="singleLevel"/>
    <w:tmpl w:val="ED3C36C2"/>
    <w:lvl w:ilvl="0">
      <w:start w:val="1"/>
      <w:numFmt w:val="chineseCounting"/>
      <w:suff w:val="nothing"/>
      <w:lvlText w:val="（%1）"/>
      <w:lvlJc w:val="left"/>
      <w:rPr>
        <w:rFonts w:hint="eastAsia"/>
      </w:rPr>
    </w:lvl>
  </w:abstractNum>
  <w:abstractNum w:abstractNumId="11">
    <w:nsid w:val="F10CBE19"/>
    <w:multiLevelType w:val="singleLevel"/>
    <w:tmpl w:val="F10CBE19"/>
    <w:lvl w:ilvl="0">
      <w:start w:val="1"/>
      <w:numFmt w:val="chineseCounting"/>
      <w:suff w:val="nothing"/>
      <w:lvlText w:val="（%1）"/>
      <w:lvlJc w:val="left"/>
      <w:rPr>
        <w:rFonts w:hint="eastAsia"/>
      </w:rPr>
    </w:lvl>
  </w:abstractNum>
  <w:abstractNum w:abstractNumId="12">
    <w:nsid w:val="0BBFCB86"/>
    <w:multiLevelType w:val="singleLevel"/>
    <w:tmpl w:val="0BBFCB86"/>
    <w:lvl w:ilvl="0">
      <w:start w:val="1"/>
      <w:numFmt w:val="decimal"/>
      <w:lvlText w:val="%1."/>
      <w:lvlJc w:val="left"/>
      <w:pPr>
        <w:tabs>
          <w:tab w:val="left" w:pos="312"/>
        </w:tabs>
      </w:pPr>
    </w:lvl>
  </w:abstractNum>
  <w:abstractNum w:abstractNumId="13">
    <w:nsid w:val="1570242E"/>
    <w:multiLevelType w:val="singleLevel"/>
    <w:tmpl w:val="1570242E"/>
    <w:lvl w:ilvl="0">
      <w:start w:val="1"/>
      <w:numFmt w:val="chineseCounting"/>
      <w:suff w:val="nothing"/>
      <w:lvlText w:val="（%1）"/>
      <w:lvlJc w:val="left"/>
      <w:rPr>
        <w:rFonts w:hint="eastAsia"/>
      </w:rPr>
    </w:lvl>
  </w:abstractNum>
  <w:abstractNum w:abstractNumId="14">
    <w:nsid w:val="1ED01857"/>
    <w:multiLevelType w:val="singleLevel"/>
    <w:tmpl w:val="1ED01857"/>
    <w:lvl w:ilvl="0">
      <w:start w:val="1"/>
      <w:numFmt w:val="chineseCounting"/>
      <w:suff w:val="nothing"/>
      <w:lvlText w:val="（%1）"/>
      <w:lvlJc w:val="left"/>
      <w:rPr>
        <w:rFonts w:hint="eastAsia"/>
      </w:rPr>
    </w:lvl>
  </w:abstractNum>
  <w:abstractNum w:abstractNumId="15">
    <w:nsid w:val="2E4182E7"/>
    <w:multiLevelType w:val="singleLevel"/>
    <w:tmpl w:val="2E4182E7"/>
    <w:lvl w:ilvl="0">
      <w:start w:val="1"/>
      <w:numFmt w:val="decimal"/>
      <w:suff w:val="space"/>
      <w:lvlText w:val="%1）"/>
      <w:lvlJc w:val="left"/>
    </w:lvl>
  </w:abstractNum>
  <w:abstractNum w:abstractNumId="16">
    <w:nsid w:val="50236F4F"/>
    <w:multiLevelType w:val="singleLevel"/>
    <w:tmpl w:val="50236F4F"/>
    <w:lvl w:ilvl="0">
      <w:start w:val="1"/>
      <w:numFmt w:val="chineseCounting"/>
      <w:suff w:val="nothing"/>
      <w:lvlText w:val="（%1）"/>
      <w:lvlJc w:val="left"/>
      <w:rPr>
        <w:rFonts w:hint="eastAsia"/>
      </w:rPr>
    </w:lvl>
  </w:abstractNum>
  <w:abstractNum w:abstractNumId="17">
    <w:nsid w:val="50A8A04E"/>
    <w:multiLevelType w:val="singleLevel"/>
    <w:tmpl w:val="50A8A04E"/>
    <w:lvl w:ilvl="0">
      <w:start w:val="1"/>
      <w:numFmt w:val="chineseCounting"/>
      <w:suff w:val="nothing"/>
      <w:lvlText w:val="（%1）"/>
      <w:lvlJc w:val="left"/>
      <w:rPr>
        <w:rFonts w:hint="eastAsia"/>
      </w:rPr>
    </w:lvl>
  </w:abstractNum>
  <w:abstractNum w:abstractNumId="18">
    <w:nsid w:val="6C1656E4"/>
    <w:multiLevelType w:val="singleLevel"/>
    <w:tmpl w:val="6C1656E4"/>
    <w:lvl w:ilvl="0">
      <w:start w:val="1"/>
      <w:numFmt w:val="chineseCounting"/>
      <w:suff w:val="nothing"/>
      <w:lvlText w:val="（%1）"/>
      <w:lvlJc w:val="left"/>
      <w:rPr>
        <w:rFonts w:hint="eastAsia"/>
      </w:rPr>
    </w:lvl>
  </w:abstractNum>
  <w:abstractNum w:abstractNumId="19">
    <w:nsid w:val="721CBBE0"/>
    <w:multiLevelType w:val="singleLevel"/>
    <w:tmpl w:val="721CBBE0"/>
    <w:lvl w:ilvl="0">
      <w:start w:val="1"/>
      <w:numFmt w:val="decimal"/>
      <w:suff w:val="nothing"/>
      <w:lvlText w:val="%1、"/>
      <w:lvlJc w:val="left"/>
    </w:lvl>
  </w:abstractNum>
  <w:num w:numId="1">
    <w:abstractNumId w:val="9"/>
  </w:num>
  <w:num w:numId="2">
    <w:abstractNumId w:val="13"/>
  </w:num>
  <w:num w:numId="3">
    <w:abstractNumId w:val="8"/>
  </w:num>
  <w:num w:numId="4">
    <w:abstractNumId w:val="16"/>
  </w:num>
  <w:num w:numId="5">
    <w:abstractNumId w:val="11"/>
  </w:num>
  <w:num w:numId="6">
    <w:abstractNumId w:val="4"/>
  </w:num>
  <w:num w:numId="7">
    <w:abstractNumId w:val="12"/>
  </w:num>
  <w:num w:numId="8">
    <w:abstractNumId w:val="18"/>
  </w:num>
  <w:num w:numId="9">
    <w:abstractNumId w:val="0"/>
  </w:num>
  <w:num w:numId="10">
    <w:abstractNumId w:val="1"/>
  </w:num>
  <w:num w:numId="11">
    <w:abstractNumId w:val="15"/>
  </w:num>
  <w:num w:numId="12">
    <w:abstractNumId w:val="14"/>
  </w:num>
  <w:num w:numId="13">
    <w:abstractNumId w:val="17"/>
  </w:num>
  <w:num w:numId="14">
    <w:abstractNumId w:val="2"/>
  </w:num>
  <w:num w:numId="15">
    <w:abstractNumId w:val="5"/>
  </w:num>
  <w:num w:numId="16">
    <w:abstractNumId w:val="10"/>
  </w:num>
  <w:num w:numId="17">
    <w:abstractNumId w:val="3"/>
  </w:num>
  <w:num w:numId="18">
    <w:abstractNumId w:val="19"/>
  </w:num>
  <w:num w:numId="19">
    <w:abstractNumId w:val="6"/>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spacing w:before="260" w:after="260" w:line="416" w:lineRule="auto"/>
      <w:outlineLvl w:val="2"/>
    </w:pPr>
    <w:rPr>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customStyle="1" w:styleId="pf0">
    <w:name w:val="pf0"/>
    <w:basedOn w:val="Normal"/>
    <w:qFormat/>
    <w:pPr>
      <w:spacing w:before="100" w:beforeAutospacing="1" w:after="100" w:afterAutospacing="1"/>
    </w:pPr>
    <w:rPr>
      <w:rFonts w:ascii="宋体" w:hAnsi="宋体" w:cs="宋体"/>
    </w:rPr>
  </w:style>
  <w:style w:type="paragraph" w:styleId="CommentText">
    <w:name w:val="annotation text"/>
    <w:basedOn w:val="Normal"/>
    <w:qFormat/>
  </w:style>
  <w:style w:type="paragraph" w:styleId="BodyText">
    <w:name w:val="Body Text"/>
    <w:basedOn w:val="Normal"/>
    <w:link w:val="Char1"/>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Char1">
    <w:name w:val="正文文本 Char"/>
    <w:link w:val="BodyText"/>
    <w:qFormat/>
    <w:rPr>
      <w:rFonts w:asciiTheme="minorHAnsi" w:eastAsiaTheme="minorEastAsia" w:hAnsiTheme="minorHAnsi" w:cstheme="minorBidi"/>
      <w:b/>
      <w:bCs/>
      <w:kern w:val="2"/>
      <w:sz w:val="24"/>
      <w:szCs w:val="22"/>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nhideWhenUsed/>
    <w:qFormat/>
    <w:rPr>
      <w:rFonts w:eastAsia="宋体"/>
    </w:rPr>
    <w:tblPr>
      <w:tblCellMar>
        <w:top w:w="0" w:type="dxa"/>
        <w:left w:w="0" w:type="dxa"/>
        <w:bottom w:w="0" w:type="dxa"/>
        <w:right w:w="0" w:type="dxa"/>
      </w:tblCellMar>
    </w:tblPr>
  </w:style>
  <w:style w:type="paragraph" w:styleId="NormalIndent">
    <w:name w:val="Normal Indent"/>
    <w:basedOn w:val="Normal"/>
    <w:next w:val="BodyText"/>
    <w:qFormat/>
    <w:pPr>
      <w:ind w:firstLine="420"/>
    </w:pPr>
    <w:rPr>
      <w:rFonts w:eastAsia="宋体"/>
      <w:szCs w:val="20"/>
    </w:rPr>
  </w:style>
  <w:style w:type="paragraph" w:styleId="NormalWeb">
    <w:name w:val="Normal (Web)"/>
    <w:basedOn w:val="Normal"/>
    <w:qFormat/>
    <w:rPr>
      <w:rFonts w:eastAsia="宋体"/>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