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23.10.0 -->
  <w:body>
    <w:p>
      <w:pPr>
        <w:widowControl/>
        <w:spacing w:before="0" w:beforeAutospacing="1" w:after="0" w:afterAutospacing="1"/>
        <w:jc w:val="center"/>
        <w:outlineLvl w:val="1"/>
        <w:rPr>
          <w:rFonts w:ascii="黑体" w:eastAsia="黑体" w:hAnsi="宋体" w:cs="黑体" w:hint="eastAsia"/>
          <w:sz w:val="40"/>
          <w:szCs w:val="40"/>
          <w:lang w:eastAsia="zh-CN"/>
        </w:rPr>
      </w:pPr>
      <w:bookmarkStart w:id="0" w:name="_Hlk71456902"/>
      <w:r>
        <w:rPr>
          <w:rFonts w:ascii="黑体" w:eastAsia="黑体" w:hAnsi="宋体" w:cs="黑体" w:hint="eastAsia"/>
          <w:sz w:val="40"/>
          <w:szCs w:val="40"/>
          <w:lang w:eastAsia="zh-CN"/>
        </w:rPr>
        <w:t>谈判文件信息</w:t>
      </w:r>
    </w:p>
    <w:tbl>
      <w:tblPr>
        <w:tblStyle w:val="TableNormal"/>
        <w:tblW w:w="5000" w:type="pct"/>
        <w:jc w:val="center"/>
        <w:tblCellSpacing w:w="0" w:type="dxa"/>
        <w:tblLayout w:type="fixed"/>
        <w:tblCellMar>
          <w:top w:w="45" w:type="dxa"/>
          <w:left w:w="45" w:type="dxa"/>
          <w:bottom w:w="45" w:type="dxa"/>
          <w:right w:w="45" w:type="dxa"/>
        </w:tblCellMar>
      </w:tblPr>
      <w:tblGrid>
        <w:gridCol w:w="3141"/>
        <w:gridCol w:w="6020"/>
      </w:tblGrid>
      <w:tr>
        <w:tblPrEx>
          <w:tblW w:w="5000" w:type="pct"/>
          <w:jc w:val="center"/>
          <w:tblCellSpacing w:w="0" w:type="dxa"/>
          <w:tblLayout w:type="fixed"/>
          <w:tblCellMar>
            <w:top w:w="45" w:type="dxa"/>
            <w:left w:w="45" w:type="dxa"/>
            <w:bottom w:w="45" w:type="dxa"/>
            <w:right w:w="45" w:type="dxa"/>
          </w:tblCellMar>
        </w:tblPrEx>
        <w:trPr>
          <w:trHeight w:val="738"/>
          <w:tblCellSpacing w:w="0" w:type="dxa"/>
          <w:jc w:val="center"/>
        </w:trPr>
        <w:tc>
          <w:tcPr>
            <w:tcW w:w="2723" w:type="dxa"/>
            <w:shd w:val="clear" w:color="auto" w:fill="auto"/>
            <w:vAlign w:val="center"/>
          </w:tcPr>
          <w:p>
            <w:pPr>
              <w:widowControl/>
              <w:jc w:val="right"/>
              <w:rPr>
                <w:rFonts w:eastAsia="宋体"/>
                <w:kern w:val="2"/>
                <w:sz w:val="30"/>
                <w:szCs w:val="30"/>
                <w:lang w:eastAsia="zh-CN"/>
              </w:rPr>
            </w:pPr>
            <w:r>
              <w:rPr>
                <w:rFonts w:ascii="宋体" w:eastAsia="宋体" w:hAnsi="宋体" w:cs="宋体"/>
                <w:sz w:val="30"/>
                <w:szCs w:val="30"/>
                <w:lang w:eastAsia="zh-CN" w:bidi="ar"/>
              </w:rPr>
              <w:t>项目编号：</w:t>
            </w:r>
          </w:p>
        </w:tc>
        <w:tc>
          <w:tcPr>
            <w:tcW w:w="5220" w:type="dxa"/>
            <w:shd w:val="clear" w:color="auto" w:fill="auto"/>
            <w:vAlign w:val="center"/>
          </w:tcPr>
          <w:p>
            <w:pPr>
              <w:widowControl/>
              <w:jc w:val="left"/>
              <w:rPr>
                <w:rFonts w:eastAsia="宋体" w:hint="eastAsia"/>
                <w:kern w:val="2"/>
                <w:sz w:val="30"/>
                <w:szCs w:val="30"/>
                <w:lang w:eastAsia="zh-CN"/>
              </w:rPr>
            </w:pPr>
            <w:r>
              <w:rPr>
                <w:rFonts w:ascii="宋体" w:eastAsia="宋体" w:hAnsi="宋体" w:cs="宋体" w:hint="eastAsia"/>
                <w:sz w:val="30"/>
                <w:szCs w:val="30"/>
                <w:lang w:eastAsia="zh-CN" w:bidi="ar"/>
              </w:rPr>
              <w:t>SZZXCG-2025-0007</w:t>
            </w:r>
            <w:r>
              <w:rPr>
                <w:rFonts w:ascii="宋体" w:eastAsia="宋体" w:hAnsi="宋体" w:cs="宋体" w:hint="eastAsia"/>
                <w:sz w:val="30"/>
                <w:szCs w:val="30"/>
                <w:lang w:eastAsia="zh-CN" w:bidi="ar"/>
              </w:rPr>
              <w:t>4</w:t>
            </w:r>
          </w:p>
        </w:tc>
      </w:tr>
      <w:tr>
        <w:tblPrEx>
          <w:tblW w:w="5000" w:type="pct"/>
          <w:jc w:val="center"/>
          <w:tblCellSpacing w:w="0" w:type="dxa"/>
          <w:tblLayout w:type="fixed"/>
          <w:tblCellMar>
            <w:top w:w="45" w:type="dxa"/>
            <w:left w:w="45" w:type="dxa"/>
            <w:bottom w:w="45" w:type="dxa"/>
            <w:right w:w="45" w:type="dxa"/>
          </w:tblCellMar>
        </w:tblPrEx>
        <w:trPr>
          <w:trHeight w:val="738"/>
          <w:tblCellSpacing w:w="0" w:type="dxa"/>
          <w:jc w:val="center"/>
        </w:trPr>
        <w:tc>
          <w:tcPr>
            <w:tcW w:w="2723" w:type="dxa"/>
            <w:shd w:val="clear" w:color="auto" w:fill="auto"/>
            <w:vAlign w:val="center"/>
          </w:tcPr>
          <w:p>
            <w:pPr>
              <w:widowControl/>
              <w:jc w:val="right"/>
              <w:rPr>
                <w:rFonts w:eastAsia="宋体"/>
                <w:kern w:val="2"/>
                <w:sz w:val="30"/>
                <w:szCs w:val="30"/>
                <w:lang w:eastAsia="zh-CN"/>
              </w:rPr>
            </w:pPr>
            <w:r>
              <w:rPr>
                <w:rFonts w:ascii="宋体" w:eastAsia="宋体" w:hAnsi="宋体" w:cs="宋体"/>
                <w:sz w:val="30"/>
                <w:szCs w:val="30"/>
                <w:lang w:eastAsia="zh-CN" w:bidi="ar"/>
              </w:rPr>
              <w:t>项目名称：</w:t>
            </w:r>
          </w:p>
        </w:tc>
        <w:tc>
          <w:tcPr>
            <w:tcW w:w="5220" w:type="dxa"/>
            <w:shd w:val="clear" w:color="auto" w:fill="auto"/>
            <w:vAlign w:val="center"/>
          </w:tcPr>
          <w:p>
            <w:pPr>
              <w:widowControl/>
              <w:jc w:val="left"/>
              <w:rPr>
                <w:rFonts w:eastAsia="宋体"/>
                <w:kern w:val="2"/>
                <w:sz w:val="30"/>
                <w:szCs w:val="30"/>
                <w:lang w:eastAsia="zh-CN"/>
              </w:rPr>
            </w:pPr>
            <w:bookmarkStart w:id="1" w:name="OLE_LINK2"/>
            <w:r>
              <w:rPr>
                <w:rFonts w:eastAsia="宋体" w:hint="eastAsia"/>
                <w:kern w:val="2"/>
                <w:sz w:val="30"/>
                <w:szCs w:val="30"/>
                <w:lang w:eastAsia="zh-CN"/>
              </w:rPr>
              <w:t>盐田科技大厦福彩办公区域</w:t>
            </w:r>
            <w:r>
              <w:rPr>
                <w:rFonts w:eastAsia="宋体" w:hint="eastAsia"/>
                <w:kern w:val="2"/>
                <w:sz w:val="30"/>
                <w:szCs w:val="30"/>
                <w:lang w:eastAsia="zh-CN"/>
              </w:rPr>
              <w:t>物业管理服务项目</w:t>
            </w:r>
            <w:bookmarkEnd w:id="1"/>
          </w:p>
        </w:tc>
      </w:tr>
      <w:tr>
        <w:tblPrEx>
          <w:tblW w:w="5000" w:type="pct"/>
          <w:jc w:val="center"/>
          <w:tblCellSpacing w:w="0" w:type="dxa"/>
          <w:tblLayout w:type="fixed"/>
          <w:tblCellMar>
            <w:top w:w="45" w:type="dxa"/>
            <w:left w:w="45" w:type="dxa"/>
            <w:bottom w:w="45" w:type="dxa"/>
            <w:right w:w="45" w:type="dxa"/>
          </w:tblCellMar>
        </w:tblPrEx>
        <w:trPr>
          <w:trHeight w:val="738"/>
          <w:tblCellSpacing w:w="0" w:type="dxa"/>
          <w:jc w:val="center"/>
        </w:trPr>
        <w:tc>
          <w:tcPr>
            <w:tcW w:w="2723" w:type="dxa"/>
            <w:shd w:val="clear" w:color="auto" w:fill="auto"/>
            <w:vAlign w:val="center"/>
          </w:tcPr>
          <w:p>
            <w:pPr>
              <w:widowControl/>
              <w:jc w:val="right"/>
              <w:rPr>
                <w:rFonts w:eastAsia="宋体"/>
                <w:kern w:val="2"/>
                <w:sz w:val="30"/>
                <w:szCs w:val="30"/>
                <w:lang w:eastAsia="zh-CN"/>
              </w:rPr>
            </w:pPr>
            <w:r>
              <w:rPr>
                <w:rFonts w:ascii="宋体" w:eastAsia="宋体" w:hAnsi="宋体" w:cs="宋体"/>
                <w:sz w:val="30"/>
                <w:szCs w:val="30"/>
                <w:lang w:eastAsia="zh-CN" w:bidi="ar"/>
              </w:rPr>
              <w:t>包 号：</w:t>
            </w:r>
          </w:p>
        </w:tc>
        <w:tc>
          <w:tcPr>
            <w:tcW w:w="5220" w:type="dxa"/>
            <w:shd w:val="clear" w:color="auto" w:fill="auto"/>
            <w:vAlign w:val="center"/>
          </w:tcPr>
          <w:p>
            <w:pPr>
              <w:widowControl/>
              <w:jc w:val="left"/>
              <w:rPr>
                <w:rFonts w:eastAsia="宋体"/>
                <w:kern w:val="2"/>
                <w:sz w:val="30"/>
                <w:szCs w:val="30"/>
                <w:lang w:eastAsia="zh-CN"/>
              </w:rPr>
            </w:pPr>
            <w:r>
              <w:rPr>
                <w:rFonts w:ascii="宋体" w:eastAsia="宋体" w:hAnsi="宋体" w:cs="宋体"/>
                <w:sz w:val="30"/>
                <w:szCs w:val="30"/>
                <w:lang w:eastAsia="zh-CN" w:bidi="ar"/>
              </w:rPr>
              <w:t>A</w:t>
            </w:r>
          </w:p>
        </w:tc>
      </w:tr>
      <w:tr>
        <w:tblPrEx>
          <w:tblW w:w="5000" w:type="pct"/>
          <w:jc w:val="center"/>
          <w:tblCellSpacing w:w="0" w:type="dxa"/>
          <w:tblLayout w:type="fixed"/>
          <w:tblCellMar>
            <w:top w:w="45" w:type="dxa"/>
            <w:left w:w="45" w:type="dxa"/>
            <w:bottom w:w="45" w:type="dxa"/>
            <w:right w:w="45" w:type="dxa"/>
          </w:tblCellMar>
        </w:tblPrEx>
        <w:trPr>
          <w:trHeight w:val="738"/>
          <w:tblCellSpacing w:w="0" w:type="dxa"/>
          <w:jc w:val="center"/>
        </w:trPr>
        <w:tc>
          <w:tcPr>
            <w:tcW w:w="2723" w:type="dxa"/>
            <w:shd w:val="clear" w:color="auto" w:fill="auto"/>
            <w:vAlign w:val="center"/>
          </w:tcPr>
          <w:p>
            <w:pPr>
              <w:widowControl/>
              <w:jc w:val="right"/>
              <w:rPr>
                <w:rFonts w:eastAsia="宋体"/>
                <w:kern w:val="2"/>
                <w:sz w:val="30"/>
                <w:szCs w:val="30"/>
                <w:lang w:eastAsia="zh-CN"/>
              </w:rPr>
            </w:pPr>
            <w:r>
              <w:rPr>
                <w:rFonts w:ascii="宋体" w:eastAsia="宋体" w:hAnsi="宋体" w:cs="宋体"/>
                <w:sz w:val="30"/>
                <w:szCs w:val="30"/>
                <w:lang w:eastAsia="zh-CN" w:bidi="ar"/>
              </w:rPr>
              <w:t>项目类型：</w:t>
            </w:r>
          </w:p>
        </w:tc>
        <w:tc>
          <w:tcPr>
            <w:tcW w:w="5220" w:type="dxa"/>
            <w:shd w:val="clear" w:color="auto" w:fill="auto"/>
            <w:vAlign w:val="center"/>
          </w:tcPr>
          <w:p>
            <w:pPr>
              <w:widowControl/>
              <w:jc w:val="left"/>
              <w:rPr>
                <w:rFonts w:eastAsia="宋体"/>
                <w:kern w:val="2"/>
                <w:sz w:val="30"/>
                <w:szCs w:val="30"/>
                <w:lang w:eastAsia="zh-CN"/>
              </w:rPr>
            </w:pPr>
            <w:r>
              <w:rPr>
                <w:rFonts w:ascii="宋体" w:eastAsia="宋体" w:hAnsi="宋体" w:cs="宋体" w:hint="eastAsia"/>
                <w:sz w:val="30"/>
                <w:szCs w:val="30"/>
                <w:lang w:eastAsia="zh-CN" w:bidi="ar"/>
              </w:rPr>
              <w:t>服务</w:t>
            </w:r>
            <w:r>
              <w:rPr>
                <w:rFonts w:ascii="宋体" w:eastAsia="宋体" w:hAnsi="宋体" w:cs="宋体"/>
                <w:sz w:val="30"/>
                <w:szCs w:val="30"/>
                <w:lang w:eastAsia="zh-CN" w:bidi="ar"/>
              </w:rPr>
              <w:t>类</w:t>
            </w:r>
          </w:p>
        </w:tc>
      </w:tr>
      <w:tr>
        <w:tblPrEx>
          <w:tblW w:w="5000" w:type="pct"/>
          <w:jc w:val="center"/>
          <w:tblCellSpacing w:w="0" w:type="dxa"/>
          <w:tblLayout w:type="fixed"/>
          <w:tblCellMar>
            <w:top w:w="45" w:type="dxa"/>
            <w:left w:w="45" w:type="dxa"/>
            <w:bottom w:w="45" w:type="dxa"/>
            <w:right w:w="45" w:type="dxa"/>
          </w:tblCellMar>
        </w:tblPrEx>
        <w:trPr>
          <w:trHeight w:val="738"/>
          <w:tblCellSpacing w:w="0" w:type="dxa"/>
          <w:jc w:val="center"/>
        </w:trPr>
        <w:tc>
          <w:tcPr>
            <w:tcW w:w="2723" w:type="dxa"/>
            <w:shd w:val="clear" w:color="auto" w:fill="auto"/>
            <w:vAlign w:val="center"/>
          </w:tcPr>
          <w:p>
            <w:pPr>
              <w:widowControl/>
              <w:jc w:val="right"/>
              <w:rPr>
                <w:rFonts w:eastAsia="宋体"/>
                <w:kern w:val="2"/>
                <w:sz w:val="30"/>
                <w:szCs w:val="30"/>
                <w:lang w:eastAsia="zh-CN"/>
              </w:rPr>
            </w:pPr>
            <w:r>
              <w:rPr>
                <w:rFonts w:ascii="宋体" w:eastAsia="宋体" w:hAnsi="宋体" w:cs="宋体"/>
                <w:sz w:val="30"/>
                <w:szCs w:val="30"/>
                <w:lang w:eastAsia="zh-CN" w:bidi="ar"/>
              </w:rPr>
              <w:t>采购方式：</w:t>
            </w:r>
          </w:p>
        </w:tc>
        <w:tc>
          <w:tcPr>
            <w:tcW w:w="5220" w:type="dxa"/>
            <w:shd w:val="clear" w:color="auto" w:fill="auto"/>
            <w:vAlign w:val="center"/>
          </w:tcPr>
          <w:p>
            <w:pPr>
              <w:widowControl/>
              <w:jc w:val="left"/>
              <w:rPr>
                <w:rFonts w:eastAsia="宋体" w:hint="eastAsia"/>
                <w:kern w:val="2"/>
                <w:sz w:val="30"/>
                <w:szCs w:val="30"/>
                <w:lang w:eastAsia="zh-CN"/>
              </w:rPr>
            </w:pPr>
            <w:r>
              <w:rPr>
                <w:rFonts w:eastAsia="宋体" w:hint="eastAsia"/>
                <w:kern w:val="2"/>
                <w:sz w:val="30"/>
                <w:szCs w:val="30"/>
                <w:lang w:eastAsia="zh-CN"/>
              </w:rPr>
              <w:t>单一来源</w:t>
            </w:r>
          </w:p>
        </w:tc>
      </w:tr>
      <w:tr>
        <w:tblPrEx>
          <w:tblW w:w="5000" w:type="pct"/>
          <w:jc w:val="center"/>
          <w:tblCellSpacing w:w="0" w:type="dxa"/>
          <w:tblLayout w:type="fixed"/>
          <w:tblCellMar>
            <w:top w:w="45" w:type="dxa"/>
            <w:left w:w="45" w:type="dxa"/>
            <w:bottom w:w="45" w:type="dxa"/>
            <w:right w:w="45" w:type="dxa"/>
          </w:tblCellMar>
        </w:tblPrEx>
        <w:trPr>
          <w:trHeight w:val="738"/>
          <w:tblCellSpacing w:w="0" w:type="dxa"/>
          <w:jc w:val="center"/>
        </w:trPr>
        <w:tc>
          <w:tcPr>
            <w:tcW w:w="2723" w:type="dxa"/>
            <w:shd w:val="clear" w:color="auto" w:fill="auto"/>
            <w:vAlign w:val="center"/>
          </w:tcPr>
          <w:p>
            <w:pPr>
              <w:widowControl/>
              <w:jc w:val="right"/>
              <w:rPr>
                <w:rFonts w:eastAsia="宋体"/>
                <w:kern w:val="2"/>
                <w:sz w:val="30"/>
                <w:szCs w:val="30"/>
                <w:lang w:eastAsia="zh-CN"/>
              </w:rPr>
            </w:pPr>
            <w:r>
              <w:rPr>
                <w:rFonts w:ascii="宋体" w:eastAsia="宋体" w:hAnsi="宋体" w:cs="宋体"/>
                <w:sz w:val="30"/>
                <w:szCs w:val="30"/>
                <w:lang w:eastAsia="zh-CN" w:bidi="ar"/>
              </w:rPr>
              <w:t>货币类型：</w:t>
            </w:r>
          </w:p>
        </w:tc>
        <w:tc>
          <w:tcPr>
            <w:tcW w:w="5220" w:type="dxa"/>
            <w:shd w:val="clear" w:color="auto" w:fill="auto"/>
            <w:vAlign w:val="center"/>
          </w:tcPr>
          <w:p>
            <w:pPr>
              <w:widowControl/>
              <w:jc w:val="left"/>
              <w:rPr>
                <w:rFonts w:eastAsia="宋体"/>
                <w:kern w:val="2"/>
                <w:sz w:val="30"/>
                <w:szCs w:val="30"/>
                <w:lang w:eastAsia="zh-CN"/>
              </w:rPr>
            </w:pPr>
            <w:r>
              <w:rPr>
                <w:rFonts w:ascii="宋体" w:eastAsia="宋体" w:hAnsi="宋体" w:cs="宋体"/>
                <w:sz w:val="30"/>
                <w:szCs w:val="30"/>
                <w:lang w:eastAsia="zh-CN" w:bidi="ar"/>
              </w:rPr>
              <w:t>人民币</w:t>
            </w:r>
          </w:p>
        </w:tc>
      </w:tr>
      <w:tr>
        <w:tblPrEx>
          <w:tblW w:w="5000" w:type="pct"/>
          <w:jc w:val="center"/>
          <w:tblCellSpacing w:w="0" w:type="dxa"/>
          <w:tblLayout w:type="fixed"/>
          <w:tblCellMar>
            <w:top w:w="45" w:type="dxa"/>
            <w:left w:w="45" w:type="dxa"/>
            <w:bottom w:w="45" w:type="dxa"/>
            <w:right w:w="45" w:type="dxa"/>
          </w:tblCellMar>
        </w:tblPrEx>
        <w:trPr>
          <w:trHeight w:val="738"/>
          <w:tblCellSpacing w:w="0" w:type="dxa"/>
          <w:jc w:val="center"/>
        </w:trPr>
        <w:tc>
          <w:tcPr>
            <w:tcW w:w="2723" w:type="dxa"/>
            <w:shd w:val="clear" w:color="auto" w:fill="auto"/>
            <w:vAlign w:val="center"/>
          </w:tcPr>
          <w:p>
            <w:pPr>
              <w:widowControl/>
              <w:jc w:val="right"/>
              <w:rPr>
                <w:rFonts w:eastAsia="宋体"/>
                <w:kern w:val="2"/>
                <w:sz w:val="30"/>
                <w:szCs w:val="30"/>
                <w:lang w:eastAsia="zh-CN"/>
              </w:rPr>
            </w:pPr>
            <w:r>
              <w:rPr>
                <w:rFonts w:ascii="宋体" w:eastAsia="宋体" w:hAnsi="宋体" w:cs="宋体" w:hint="eastAsia"/>
                <w:sz w:val="30"/>
                <w:szCs w:val="30"/>
                <w:lang w:eastAsia="zh-CN" w:bidi="ar"/>
              </w:rPr>
              <w:t>评审</w:t>
            </w:r>
            <w:r>
              <w:rPr>
                <w:rFonts w:ascii="宋体" w:eastAsia="宋体" w:hAnsi="宋体" w:cs="宋体"/>
                <w:sz w:val="30"/>
                <w:szCs w:val="30"/>
                <w:lang w:eastAsia="zh-CN" w:bidi="ar"/>
              </w:rPr>
              <w:t>方法：</w:t>
            </w:r>
          </w:p>
        </w:tc>
        <w:tc>
          <w:tcPr>
            <w:tcW w:w="5220" w:type="dxa"/>
            <w:shd w:val="clear" w:color="auto" w:fill="auto"/>
            <w:vAlign w:val="center"/>
          </w:tcPr>
          <w:p>
            <w:pPr>
              <w:widowControl/>
              <w:jc w:val="left"/>
              <w:rPr>
                <w:rFonts w:eastAsia="宋体" w:hint="eastAsia"/>
                <w:kern w:val="2"/>
                <w:sz w:val="30"/>
                <w:szCs w:val="30"/>
                <w:lang w:eastAsia="zh-CN"/>
              </w:rPr>
            </w:pPr>
            <w:r>
              <w:rPr>
                <w:rFonts w:ascii="宋体" w:eastAsia="宋体" w:hAnsi="宋体" w:cs="宋体" w:hint="eastAsia"/>
                <w:sz w:val="30"/>
                <w:szCs w:val="30"/>
                <w:lang w:eastAsia="zh-CN" w:bidi="ar"/>
              </w:rPr>
              <w:t>最低价法</w:t>
            </w:r>
          </w:p>
        </w:tc>
      </w:tr>
      <w:bookmarkEnd w:id="0"/>
    </w:tbl>
    <w:p>
      <w:pPr>
        <w:widowControl w:val="0"/>
        <w:jc w:val="both"/>
        <w:rPr>
          <w:rFonts w:ascii="宋体" w:eastAsia="宋体" w:hAnsi="Courier New"/>
          <w:kern w:val="2"/>
          <w:sz w:val="21"/>
          <w:szCs w:val="20"/>
          <w:lang w:eastAsia="zh-CN"/>
        </w:rPr>
      </w:pPr>
    </w:p>
    <w:p>
      <w:pPr>
        <w:widowControl/>
        <w:spacing w:beforeAutospacing="1" w:afterAutospacing="1"/>
        <w:jc w:val="center"/>
        <w:outlineLvl w:val="1"/>
        <w:rPr>
          <w:rFonts w:ascii="黑体" w:eastAsia="黑体" w:hAnsi="宋体" w:cs="黑体" w:hint="eastAsia"/>
          <w:sz w:val="40"/>
          <w:szCs w:val="40"/>
          <w:lang w:eastAsia="zh-CN"/>
        </w:rPr>
        <w:sectPr>
          <w:footerReference w:type="even" r:id="rId4"/>
          <w:footerReference w:type="default" r:id="rId5"/>
          <w:headerReference w:type="first" r:id="rId6"/>
          <w:pgSz w:w="11907" w:h="16840"/>
          <w:pgMar w:top="1440" w:right="1418" w:bottom="1440" w:left="1418" w:header="851" w:footer="992" w:gutter="0"/>
          <w:cols w:num="1" w:space="425"/>
          <w:titlePg/>
          <w:docGrid w:linePitch="462" w:charSpace="0"/>
        </w:sectPr>
      </w:pPr>
    </w:p>
    <w:p>
      <w:pPr>
        <w:widowControl/>
        <w:spacing w:beforeAutospacing="1" w:afterAutospacing="1"/>
        <w:jc w:val="center"/>
        <w:outlineLvl w:val="1"/>
        <w:rPr>
          <w:rFonts w:ascii="黑体" w:eastAsia="黑体" w:hAnsi="宋体" w:cs="黑体" w:hint="eastAsia"/>
          <w:sz w:val="40"/>
          <w:szCs w:val="40"/>
          <w:lang w:eastAsia="zh-CN"/>
        </w:rPr>
      </w:pPr>
      <w:r>
        <w:rPr>
          <w:rFonts w:ascii="黑体" w:eastAsia="黑体" w:hAnsi="宋体" w:cs="黑体" w:hint="eastAsia"/>
          <w:sz w:val="40"/>
          <w:szCs w:val="40"/>
          <w:lang w:eastAsia="zh-CN"/>
        </w:rPr>
        <w:t>资格性审查表</w:t>
      </w:r>
    </w:p>
    <w:tbl>
      <w:tblPr>
        <w:tblStyle w:val="TableNormal"/>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left w:w="108" w:type="dxa"/>
          <w:bottom w:w="20" w:type="dxa"/>
          <w:right w:w="108" w:type="dxa"/>
        </w:tblCellMar>
      </w:tblPr>
      <w:tblGrid>
        <w:gridCol w:w="812"/>
        <w:gridCol w:w="8475"/>
      </w:tblGrid>
      <w:tr>
        <w:tblPrEx>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pPr>
              <w:widowControl/>
              <w:jc w:val="center"/>
              <w:rPr>
                <w:rFonts w:eastAsia="宋体"/>
                <w:kern w:val="2"/>
                <w:sz w:val="28"/>
                <w:szCs w:val="28"/>
                <w:lang w:eastAsia="zh-CN"/>
              </w:rPr>
            </w:pPr>
            <w:r>
              <w:rPr>
                <w:rFonts w:ascii="宋体" w:eastAsia="宋体" w:hAnsi="宋体" w:cs="宋体"/>
                <w:sz w:val="28"/>
                <w:szCs w:val="28"/>
                <w:lang w:eastAsia="zh-CN" w:bidi="ar"/>
              </w:rPr>
              <w:t>序号</w:t>
            </w:r>
          </w:p>
        </w:tc>
        <w:tc>
          <w:tcPr>
            <w:tcW w:w="8284" w:type="dxa"/>
            <w:tcBorders>
              <w:top w:val="single" w:sz="8" w:space="0" w:color="000000"/>
              <w:left w:val="single" w:sz="8" w:space="0" w:color="000000"/>
              <w:bottom w:val="single" w:sz="8" w:space="0" w:color="000000"/>
              <w:right w:val="single" w:sz="8" w:space="0" w:color="000000"/>
            </w:tcBorders>
            <w:shd w:val="clear" w:color="auto" w:fill="E6EFFA"/>
            <w:vAlign w:val="center"/>
          </w:tcPr>
          <w:p>
            <w:pPr>
              <w:widowControl/>
              <w:jc w:val="center"/>
              <w:rPr>
                <w:rFonts w:eastAsia="宋体"/>
                <w:kern w:val="2"/>
                <w:sz w:val="28"/>
                <w:szCs w:val="28"/>
                <w:lang w:eastAsia="zh-CN"/>
              </w:rPr>
            </w:pPr>
            <w:r>
              <w:rPr>
                <w:rFonts w:ascii="宋体" w:eastAsia="宋体" w:hAnsi="宋体" w:cs="宋体"/>
                <w:sz w:val="28"/>
                <w:szCs w:val="28"/>
                <w:lang w:eastAsia="zh-CN" w:bidi="ar"/>
              </w:rPr>
              <w:t>内容</w:t>
            </w:r>
          </w:p>
        </w:tc>
      </w:tr>
      <w:tr>
        <w:tblPrEx>
          <w:tblW w:w="5000" w:type="pct"/>
          <w:jc w:val="center"/>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pPr>
              <w:widowControl/>
              <w:jc w:val="center"/>
              <w:textAlignment w:val="top"/>
              <w:rPr>
                <w:rFonts w:eastAsia="宋体"/>
                <w:kern w:val="2"/>
                <w:sz w:val="21"/>
                <w:szCs w:val="21"/>
                <w:lang w:eastAsia="zh-CN"/>
              </w:rPr>
            </w:pPr>
            <w:r>
              <w:rPr>
                <w:rFonts w:ascii="宋体" w:eastAsia="宋体" w:hAnsi="宋体" w:cs="宋体"/>
                <w:sz w:val="21"/>
                <w:szCs w:val="21"/>
                <w:lang w:eastAsia="zh-CN" w:bidi="ar"/>
              </w:rPr>
              <w:t>1</w:t>
            </w:r>
          </w:p>
        </w:tc>
        <w:tc>
          <w:tcPr>
            <w:tcW w:w="8284" w:type="dxa"/>
            <w:tcBorders>
              <w:top w:val="single" w:sz="8" w:space="0" w:color="000000"/>
              <w:left w:val="single" w:sz="8" w:space="0" w:color="000000"/>
              <w:bottom w:val="single" w:sz="8" w:space="0" w:color="000000"/>
              <w:right w:val="single" w:sz="8" w:space="0" w:color="000000"/>
            </w:tcBorders>
            <w:shd w:val="clear" w:color="auto" w:fill="auto"/>
          </w:tcPr>
          <w:p>
            <w:pPr>
              <w:widowControl/>
              <w:jc w:val="left"/>
              <w:textAlignment w:val="top"/>
              <w:rPr>
                <w:rFonts w:eastAsia="宋体"/>
                <w:kern w:val="2"/>
                <w:sz w:val="21"/>
                <w:szCs w:val="21"/>
                <w:lang w:eastAsia="zh-CN"/>
              </w:rPr>
            </w:pPr>
            <w:r>
              <w:rPr>
                <w:rFonts w:eastAsia="宋体"/>
                <w:kern w:val="2"/>
                <w:sz w:val="21"/>
                <w:szCs w:val="21"/>
                <w:lang w:eastAsia="zh-CN"/>
              </w:rPr>
              <w:t>供应商不符合项目资格要求，或未提交相应的资格证明资料</w:t>
            </w:r>
            <w:r>
              <w:rPr>
                <w:rFonts w:ascii="宋体" w:eastAsia="宋体" w:hAnsi="宋体" w:cs="宋体"/>
                <w:sz w:val="21"/>
                <w:szCs w:val="21"/>
                <w:lang w:eastAsia="zh-CN" w:bidi="ar"/>
              </w:rPr>
              <w:t>（详见</w:t>
            </w:r>
            <w:r>
              <w:rPr>
                <w:rFonts w:ascii="宋体" w:eastAsia="宋体" w:hAnsi="宋体" w:cs="宋体" w:hint="eastAsia"/>
                <w:sz w:val="21"/>
                <w:szCs w:val="21"/>
                <w:lang w:eastAsia="zh-CN" w:bidi="ar"/>
              </w:rPr>
              <w:t>谈判公告</w:t>
            </w:r>
            <w:r>
              <w:rPr>
                <w:rFonts w:ascii="宋体" w:eastAsia="宋体" w:hAnsi="宋体" w:cs="宋体" w:hint="eastAsia"/>
                <w:kern w:val="2"/>
                <w:sz w:val="21"/>
                <w:szCs w:val="21"/>
                <w:lang w:eastAsia="zh-CN" w:bidi="ar"/>
              </w:rPr>
              <w:t>供应商</w:t>
            </w:r>
            <w:r>
              <w:rPr>
                <w:rFonts w:ascii="宋体" w:eastAsia="宋体" w:hAnsi="宋体" w:hint="eastAsia"/>
                <w:kern w:val="2"/>
                <w:sz w:val="21"/>
                <w:szCs w:val="21"/>
                <w:lang w:eastAsia="zh-CN"/>
              </w:rPr>
              <w:t>资格要求，即申请人的资格要求</w:t>
            </w:r>
            <w:r>
              <w:rPr>
                <w:rFonts w:ascii="宋体" w:eastAsia="宋体" w:hAnsi="宋体" w:cs="宋体"/>
                <w:sz w:val="21"/>
                <w:szCs w:val="21"/>
                <w:lang w:eastAsia="zh-CN" w:bidi="ar"/>
              </w:rPr>
              <w:t>）</w:t>
            </w:r>
            <w:r>
              <w:rPr>
                <w:rFonts w:eastAsia="宋体"/>
                <w:kern w:val="2"/>
                <w:sz w:val="21"/>
                <w:szCs w:val="21"/>
                <w:lang w:eastAsia="zh-CN"/>
              </w:rPr>
              <w:t>；</w:t>
            </w:r>
          </w:p>
        </w:tc>
      </w:tr>
      <w:tr>
        <w:tblPrEx>
          <w:tblW w:w="5000" w:type="pct"/>
          <w:jc w:val="center"/>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pPr>
              <w:widowControl/>
              <w:jc w:val="center"/>
              <w:textAlignment w:val="top"/>
              <w:rPr>
                <w:rFonts w:ascii="宋体" w:eastAsia="宋体" w:hAnsi="宋体" w:cs="宋体" w:hint="eastAsia"/>
                <w:sz w:val="21"/>
                <w:szCs w:val="21"/>
                <w:lang w:eastAsia="zh-CN" w:bidi="ar"/>
              </w:rPr>
            </w:pPr>
            <w:r>
              <w:rPr>
                <w:rFonts w:ascii="宋体" w:eastAsia="宋体" w:hAnsi="宋体" w:cs="宋体" w:hint="eastAsia"/>
                <w:sz w:val="21"/>
                <w:szCs w:val="21"/>
                <w:lang w:eastAsia="zh-CN" w:bidi="ar"/>
              </w:rPr>
              <w:t>2</w:t>
            </w:r>
          </w:p>
        </w:tc>
        <w:tc>
          <w:tcPr>
            <w:tcW w:w="8284" w:type="dxa"/>
            <w:tcBorders>
              <w:top w:val="single" w:sz="8" w:space="0" w:color="000000"/>
              <w:left w:val="single" w:sz="8" w:space="0" w:color="000000"/>
              <w:bottom w:val="single" w:sz="8" w:space="0" w:color="000000"/>
              <w:right w:val="single" w:sz="8" w:space="0" w:color="000000"/>
            </w:tcBorders>
            <w:shd w:val="clear" w:color="auto" w:fill="auto"/>
          </w:tcPr>
          <w:p>
            <w:pPr>
              <w:widowControl/>
              <w:jc w:val="left"/>
              <w:textAlignment w:val="top"/>
              <w:rPr>
                <w:rFonts w:ascii="宋体" w:eastAsia="宋体" w:hAnsi="宋体" w:cs="宋体" w:hint="eastAsia"/>
                <w:sz w:val="21"/>
                <w:szCs w:val="21"/>
                <w:lang w:eastAsia="zh-CN" w:bidi="ar"/>
              </w:rPr>
            </w:pPr>
            <w:r>
              <w:rPr>
                <w:rFonts w:ascii="宋体" w:eastAsia="宋体" w:hAnsi="宋体" w:cs="宋体" w:hint="eastAsia"/>
                <w:sz w:val="21"/>
                <w:szCs w:val="21"/>
                <w:lang w:eastAsia="zh-CN" w:bidi="ar"/>
              </w:rPr>
              <w:t>供应商缺席谈判的；</w:t>
            </w:r>
          </w:p>
        </w:tc>
      </w:tr>
    </w:tbl>
    <w:p>
      <w:pPr>
        <w:widowControl/>
        <w:spacing w:before="280" w:beforeAutospacing="0" w:afterAutospacing="1"/>
        <w:jc w:val="center"/>
        <w:outlineLvl w:val="1"/>
        <w:rPr>
          <w:rFonts w:ascii="黑体" w:eastAsia="黑体" w:hAnsi="宋体" w:cs="黑体" w:hint="eastAsia"/>
          <w:sz w:val="40"/>
          <w:szCs w:val="40"/>
          <w:lang w:eastAsia="zh-CN"/>
        </w:rPr>
      </w:pPr>
      <w:r>
        <w:rPr>
          <w:rFonts w:ascii="黑体" w:eastAsia="黑体" w:hAnsi="宋体" w:cs="黑体" w:hint="eastAsia"/>
          <w:sz w:val="40"/>
          <w:szCs w:val="40"/>
          <w:lang w:eastAsia="zh-CN"/>
        </w:rPr>
        <w:t>符合性审查表</w:t>
      </w:r>
    </w:p>
    <w:tbl>
      <w:tblPr>
        <w:tblStyle w:val="TableNormal"/>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left w:w="108" w:type="dxa"/>
          <w:bottom w:w="20" w:type="dxa"/>
          <w:right w:w="108" w:type="dxa"/>
        </w:tblCellMar>
      </w:tblPr>
      <w:tblGrid>
        <w:gridCol w:w="812"/>
        <w:gridCol w:w="8475"/>
      </w:tblGrid>
      <w:tr>
        <w:tblPrEx>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pPr>
              <w:widowControl/>
              <w:jc w:val="center"/>
              <w:rPr>
                <w:rFonts w:eastAsia="宋体"/>
                <w:kern w:val="2"/>
                <w:sz w:val="28"/>
                <w:szCs w:val="28"/>
                <w:lang w:eastAsia="zh-CN"/>
              </w:rPr>
            </w:pPr>
            <w:r>
              <w:rPr>
                <w:rFonts w:ascii="宋体" w:eastAsia="宋体" w:hAnsi="宋体" w:cs="宋体"/>
                <w:sz w:val="28"/>
                <w:szCs w:val="28"/>
                <w:lang w:eastAsia="zh-CN" w:bidi="ar"/>
              </w:rPr>
              <w:t>序号</w:t>
            </w:r>
          </w:p>
        </w:tc>
        <w:tc>
          <w:tcPr>
            <w:tcW w:w="8284" w:type="dxa"/>
            <w:tcBorders>
              <w:top w:val="single" w:sz="8" w:space="0" w:color="000000"/>
              <w:left w:val="single" w:sz="8" w:space="0" w:color="000000"/>
              <w:bottom w:val="single" w:sz="8" w:space="0" w:color="000000"/>
              <w:right w:val="single" w:sz="8" w:space="0" w:color="000000"/>
            </w:tcBorders>
            <w:shd w:val="clear" w:color="auto" w:fill="E6EFFA"/>
            <w:vAlign w:val="center"/>
          </w:tcPr>
          <w:p>
            <w:pPr>
              <w:widowControl/>
              <w:jc w:val="center"/>
              <w:rPr>
                <w:rFonts w:eastAsia="宋体"/>
                <w:kern w:val="2"/>
                <w:sz w:val="28"/>
                <w:szCs w:val="28"/>
                <w:lang w:eastAsia="zh-CN"/>
              </w:rPr>
            </w:pPr>
            <w:r>
              <w:rPr>
                <w:rFonts w:ascii="宋体" w:eastAsia="宋体" w:hAnsi="宋体" w:cs="宋体"/>
                <w:sz w:val="28"/>
                <w:szCs w:val="28"/>
                <w:lang w:eastAsia="zh-CN" w:bidi="ar"/>
              </w:rPr>
              <w:t>内容</w:t>
            </w:r>
          </w:p>
        </w:tc>
      </w:tr>
      <w:tr>
        <w:tblPrEx>
          <w:tblW w:w="5000" w:type="pct"/>
          <w:jc w:val="center"/>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pPr>
              <w:widowControl/>
              <w:jc w:val="center"/>
              <w:textAlignment w:val="top"/>
              <w:rPr>
                <w:rFonts w:eastAsia="宋体"/>
                <w:kern w:val="2"/>
                <w:sz w:val="21"/>
                <w:szCs w:val="21"/>
                <w:lang w:eastAsia="zh-CN"/>
              </w:rPr>
            </w:pPr>
            <w:r>
              <w:rPr>
                <w:rFonts w:ascii="宋体" w:eastAsia="宋体" w:hAnsi="宋体" w:cs="宋体"/>
                <w:sz w:val="21"/>
                <w:szCs w:val="21"/>
                <w:lang w:eastAsia="zh-CN" w:bidi="ar"/>
              </w:rPr>
              <w:t>1</w:t>
            </w:r>
          </w:p>
        </w:tc>
        <w:tc>
          <w:tcPr>
            <w:tcW w:w="8284" w:type="dxa"/>
            <w:tcBorders>
              <w:top w:val="single" w:sz="8" w:space="0" w:color="000000"/>
              <w:left w:val="single" w:sz="8" w:space="0" w:color="000000"/>
              <w:bottom w:val="single" w:sz="8" w:space="0" w:color="000000"/>
              <w:right w:val="single" w:sz="8" w:space="0" w:color="000000"/>
            </w:tcBorders>
            <w:shd w:val="clear" w:color="auto" w:fill="auto"/>
          </w:tcPr>
          <w:p>
            <w:pPr>
              <w:widowControl/>
              <w:jc w:val="both"/>
              <w:textAlignment w:val="top"/>
              <w:rPr>
                <w:rFonts w:eastAsia="宋体"/>
                <w:kern w:val="2"/>
                <w:sz w:val="21"/>
                <w:szCs w:val="21"/>
                <w:lang w:eastAsia="zh-CN"/>
              </w:rPr>
            </w:pPr>
            <w:bookmarkStart w:id="2" w:name="OLE_LINK5"/>
            <w:r>
              <w:rPr>
                <w:rFonts w:eastAsia="宋体" w:hint="eastAsia"/>
                <w:kern w:val="2"/>
                <w:sz w:val="21"/>
                <w:lang w:eastAsia="zh-CN"/>
              </w:rPr>
              <w:t>不得将一个包的内容拆开进行应答；</w:t>
            </w:r>
            <w:bookmarkEnd w:id="2"/>
          </w:p>
        </w:tc>
      </w:tr>
      <w:tr>
        <w:tblPrEx>
          <w:tblW w:w="5000" w:type="pct"/>
          <w:jc w:val="center"/>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pPr>
              <w:widowControl/>
              <w:jc w:val="center"/>
              <w:textAlignment w:val="top"/>
              <w:rPr>
                <w:rFonts w:ascii="宋体" w:eastAsia="宋体" w:hAnsi="宋体" w:cs="宋体" w:hint="eastAsia"/>
                <w:sz w:val="21"/>
                <w:szCs w:val="21"/>
                <w:lang w:eastAsia="zh-CN" w:bidi="ar"/>
              </w:rPr>
            </w:pPr>
            <w:r>
              <w:rPr>
                <w:rFonts w:ascii="宋体" w:eastAsia="宋体" w:hAnsi="宋体" w:cs="宋体" w:hint="eastAsia"/>
                <w:sz w:val="21"/>
                <w:szCs w:val="21"/>
                <w:lang w:eastAsia="zh-CN" w:bidi="ar"/>
              </w:rPr>
              <w:t>2</w:t>
            </w:r>
          </w:p>
        </w:tc>
        <w:tc>
          <w:tcPr>
            <w:tcW w:w="8284" w:type="dxa"/>
            <w:tcBorders>
              <w:top w:val="single" w:sz="8" w:space="0" w:color="000000"/>
              <w:left w:val="single" w:sz="8" w:space="0" w:color="000000"/>
              <w:bottom w:val="single" w:sz="8" w:space="0" w:color="000000"/>
              <w:right w:val="single" w:sz="8" w:space="0" w:color="000000"/>
            </w:tcBorders>
            <w:shd w:val="clear" w:color="auto" w:fill="auto"/>
          </w:tcPr>
          <w:p>
            <w:pPr>
              <w:widowControl/>
              <w:jc w:val="both"/>
              <w:textAlignment w:val="top"/>
              <w:rPr>
                <w:rFonts w:eastAsia="宋体"/>
                <w:kern w:val="2"/>
                <w:sz w:val="21"/>
                <w:lang w:eastAsia="zh-CN"/>
              </w:rPr>
            </w:pPr>
            <w:r>
              <w:rPr>
                <w:rFonts w:eastAsia="宋体" w:hint="eastAsia"/>
                <w:kern w:val="2"/>
                <w:sz w:val="21"/>
                <w:lang w:eastAsia="zh-CN"/>
              </w:rPr>
              <w:t>不得</w:t>
            </w:r>
            <w:r>
              <w:rPr>
                <w:rFonts w:eastAsia="宋体"/>
                <w:kern w:val="2"/>
                <w:sz w:val="21"/>
                <w:szCs w:val="21"/>
                <w:lang w:eastAsia="zh-CN"/>
              </w:rPr>
              <w:t>以他人的名义参与谈判、相互串通进行谈判、以行贿手段谋取成交或者以其他弄虚作假方式谈判；</w:t>
            </w:r>
          </w:p>
        </w:tc>
      </w:tr>
      <w:tr>
        <w:tblPrEx>
          <w:tblW w:w="5000" w:type="pct"/>
          <w:jc w:val="center"/>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pPr>
              <w:widowControl/>
              <w:jc w:val="center"/>
              <w:textAlignment w:val="top"/>
              <w:rPr>
                <w:rFonts w:eastAsia="宋体"/>
                <w:kern w:val="2"/>
                <w:sz w:val="21"/>
                <w:szCs w:val="21"/>
                <w:lang w:eastAsia="zh-CN"/>
              </w:rPr>
            </w:pPr>
            <w:r>
              <w:rPr>
                <w:rFonts w:eastAsia="宋体" w:hint="eastAsia"/>
                <w:kern w:val="2"/>
                <w:sz w:val="21"/>
                <w:szCs w:val="21"/>
                <w:lang w:eastAsia="zh-CN"/>
              </w:rPr>
              <w:t>3</w:t>
            </w:r>
          </w:p>
        </w:tc>
        <w:tc>
          <w:tcPr>
            <w:tcW w:w="8284" w:type="dxa"/>
            <w:tcBorders>
              <w:top w:val="single" w:sz="8" w:space="0" w:color="000000"/>
              <w:left w:val="single" w:sz="8" w:space="0" w:color="000000"/>
              <w:bottom w:val="single" w:sz="8" w:space="0" w:color="000000"/>
              <w:right w:val="single" w:sz="8" w:space="0" w:color="000000"/>
            </w:tcBorders>
            <w:shd w:val="clear" w:color="auto" w:fill="auto"/>
          </w:tcPr>
          <w:p>
            <w:pPr>
              <w:widowControl/>
              <w:jc w:val="both"/>
              <w:textAlignment w:val="top"/>
              <w:rPr>
                <w:rFonts w:eastAsia="宋体"/>
                <w:kern w:val="2"/>
                <w:sz w:val="21"/>
                <w:szCs w:val="21"/>
                <w:lang w:eastAsia="zh-CN"/>
              </w:rPr>
            </w:pPr>
            <w:r>
              <w:rPr>
                <w:rFonts w:eastAsia="宋体" w:hint="eastAsia"/>
                <w:kern w:val="2"/>
                <w:sz w:val="21"/>
                <w:lang w:eastAsia="zh-CN"/>
              </w:rPr>
              <w:t>不得对同一项目提供两套以上的应答方案（谈判文件另有规定的除外）；</w:t>
            </w:r>
          </w:p>
        </w:tc>
      </w:tr>
      <w:tr>
        <w:tblPrEx>
          <w:tblW w:w="5000" w:type="pct"/>
          <w:jc w:val="center"/>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pPr>
              <w:widowControl/>
              <w:jc w:val="center"/>
              <w:textAlignment w:val="top"/>
              <w:rPr>
                <w:rFonts w:eastAsia="宋体"/>
                <w:kern w:val="2"/>
                <w:sz w:val="21"/>
                <w:szCs w:val="21"/>
                <w:lang w:eastAsia="zh-CN"/>
              </w:rPr>
            </w:pPr>
            <w:r>
              <w:rPr>
                <w:rFonts w:eastAsia="宋体" w:hint="eastAsia"/>
                <w:kern w:val="2"/>
                <w:sz w:val="21"/>
                <w:szCs w:val="21"/>
                <w:lang w:eastAsia="zh-CN"/>
              </w:rPr>
              <w:t>4</w:t>
            </w:r>
          </w:p>
        </w:tc>
        <w:tc>
          <w:tcPr>
            <w:tcW w:w="8284" w:type="dxa"/>
            <w:tcBorders>
              <w:top w:val="single" w:sz="8" w:space="0" w:color="000000"/>
              <w:left w:val="single" w:sz="8" w:space="0" w:color="000000"/>
              <w:bottom w:val="single" w:sz="8" w:space="0" w:color="000000"/>
              <w:right w:val="single" w:sz="8" w:space="0" w:color="000000"/>
            </w:tcBorders>
            <w:shd w:val="clear" w:color="auto" w:fill="auto"/>
          </w:tcPr>
          <w:p>
            <w:pPr>
              <w:widowControl/>
              <w:jc w:val="both"/>
              <w:textAlignment w:val="top"/>
              <w:rPr>
                <w:rFonts w:eastAsia="宋体"/>
                <w:kern w:val="2"/>
                <w:sz w:val="21"/>
                <w:szCs w:val="21"/>
                <w:lang w:eastAsia="zh-CN"/>
              </w:rPr>
            </w:pPr>
            <w:r>
              <w:rPr>
                <w:rFonts w:eastAsia="宋体" w:hint="eastAsia"/>
                <w:kern w:val="2"/>
                <w:sz w:val="21"/>
                <w:lang w:eastAsia="zh-CN"/>
              </w:rPr>
              <w:t>分项报价或谈判应答总价不得高于</w:t>
            </w:r>
            <w:bookmarkStart w:id="3" w:name="_Hlk71832186"/>
            <w:r>
              <w:rPr>
                <w:rFonts w:eastAsia="宋体" w:hint="eastAsia"/>
                <w:kern w:val="2"/>
                <w:sz w:val="21"/>
                <w:lang w:eastAsia="zh-CN"/>
              </w:rPr>
              <w:t>相应的预算金额（或设定的预算金额下的最高限价）</w:t>
            </w:r>
            <w:bookmarkEnd w:id="3"/>
            <w:r>
              <w:rPr>
                <w:rFonts w:eastAsia="宋体" w:hint="eastAsia"/>
                <w:kern w:val="2"/>
                <w:sz w:val="21"/>
                <w:lang w:eastAsia="zh-CN"/>
              </w:rPr>
              <w:t>；</w:t>
            </w:r>
          </w:p>
        </w:tc>
      </w:tr>
      <w:tr>
        <w:tblPrEx>
          <w:tblW w:w="5000" w:type="pct"/>
          <w:jc w:val="center"/>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pPr>
              <w:widowControl/>
              <w:jc w:val="center"/>
              <w:textAlignment w:val="top"/>
              <w:rPr>
                <w:rFonts w:eastAsia="宋体"/>
                <w:kern w:val="2"/>
                <w:sz w:val="21"/>
                <w:szCs w:val="21"/>
                <w:lang w:eastAsia="zh-CN"/>
              </w:rPr>
            </w:pPr>
            <w:r>
              <w:rPr>
                <w:rFonts w:eastAsia="宋体" w:hint="eastAsia"/>
                <w:kern w:val="2"/>
                <w:sz w:val="21"/>
                <w:szCs w:val="21"/>
                <w:lang w:eastAsia="zh-CN"/>
              </w:rPr>
              <w:t>5</w:t>
            </w:r>
          </w:p>
        </w:tc>
        <w:tc>
          <w:tcPr>
            <w:tcW w:w="8284" w:type="dxa"/>
            <w:tcBorders>
              <w:top w:val="single" w:sz="8" w:space="0" w:color="000000"/>
              <w:left w:val="single" w:sz="8" w:space="0" w:color="000000"/>
              <w:bottom w:val="single" w:sz="8" w:space="0" w:color="000000"/>
              <w:right w:val="single" w:sz="8" w:space="0" w:color="000000"/>
            </w:tcBorders>
            <w:shd w:val="clear" w:color="auto" w:fill="auto"/>
          </w:tcPr>
          <w:p>
            <w:pPr>
              <w:widowControl/>
              <w:jc w:val="both"/>
              <w:textAlignment w:val="top"/>
              <w:rPr>
                <w:rFonts w:eastAsia="宋体"/>
                <w:kern w:val="2"/>
                <w:sz w:val="21"/>
                <w:szCs w:val="21"/>
                <w:lang w:eastAsia="zh-CN"/>
              </w:rPr>
            </w:pPr>
            <w:bookmarkStart w:id="4" w:name="OLE_LINK6"/>
            <w:r>
              <w:rPr>
                <w:rFonts w:eastAsia="宋体" w:hint="eastAsia"/>
                <w:kern w:val="2"/>
                <w:sz w:val="21"/>
                <w:lang w:eastAsia="zh-CN"/>
              </w:rPr>
              <w:t>谈判小组认为谈判供应商的报价明显低于其他通过符合性审查谈判供应商的报价，有可能影响产品质量或者不能诚信履约的，应当要求其在谈判现场合理的时间内提供书面说明，必要时提交相关证明材料；在此情况下，谈判供应商仍不能证明其报价合理性的（谈判小组成员对谈判供应商提供的说明材料判断不一致的，按照“少数服从多数”的原则确定谈判小组的意见）；</w:t>
            </w:r>
            <w:bookmarkEnd w:id="4"/>
          </w:p>
        </w:tc>
      </w:tr>
      <w:tr>
        <w:tblPrEx>
          <w:tblW w:w="5000" w:type="pct"/>
          <w:jc w:val="center"/>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pPr>
              <w:widowControl/>
              <w:jc w:val="center"/>
              <w:textAlignment w:val="top"/>
              <w:rPr>
                <w:rFonts w:eastAsia="宋体"/>
                <w:kern w:val="2"/>
                <w:sz w:val="21"/>
                <w:szCs w:val="21"/>
                <w:lang w:eastAsia="zh-CN"/>
              </w:rPr>
            </w:pPr>
            <w:r>
              <w:rPr>
                <w:rFonts w:eastAsia="宋体" w:hint="eastAsia"/>
                <w:kern w:val="2"/>
                <w:sz w:val="21"/>
                <w:szCs w:val="21"/>
                <w:lang w:eastAsia="zh-CN"/>
              </w:rPr>
              <w:t>6</w:t>
            </w:r>
          </w:p>
        </w:tc>
        <w:tc>
          <w:tcPr>
            <w:tcW w:w="8284" w:type="dxa"/>
            <w:tcBorders>
              <w:top w:val="single" w:sz="8" w:space="0" w:color="000000"/>
              <w:left w:val="single" w:sz="8" w:space="0" w:color="000000"/>
              <w:bottom w:val="single" w:sz="8" w:space="0" w:color="000000"/>
              <w:right w:val="single" w:sz="8" w:space="0" w:color="000000"/>
            </w:tcBorders>
            <w:shd w:val="clear" w:color="auto" w:fill="auto"/>
          </w:tcPr>
          <w:p>
            <w:pPr>
              <w:widowControl/>
              <w:jc w:val="both"/>
              <w:textAlignment w:val="top"/>
              <w:rPr>
                <w:rFonts w:eastAsia="宋体"/>
                <w:kern w:val="2"/>
                <w:sz w:val="21"/>
                <w:szCs w:val="21"/>
                <w:lang w:eastAsia="zh-CN"/>
              </w:rPr>
            </w:pPr>
            <w:r>
              <w:rPr>
                <w:rFonts w:eastAsia="宋体" w:hint="eastAsia"/>
                <w:kern w:val="2"/>
                <w:sz w:val="21"/>
                <w:lang w:eastAsia="zh-CN"/>
              </w:rPr>
              <w:t>所投货物、服务在技术、商务等方面没有实质性满足谈判文件要求的（是否实质性满足谈判文件要求，由谈判小组根据实质性条款响应情况做出评判，若谈判文件未设置实质性条款，不得据此做应答无效处理）；</w:t>
            </w:r>
          </w:p>
        </w:tc>
      </w:tr>
      <w:tr>
        <w:tblPrEx>
          <w:tblW w:w="5000" w:type="pct"/>
          <w:jc w:val="center"/>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pPr>
              <w:widowControl/>
              <w:jc w:val="center"/>
              <w:textAlignment w:val="top"/>
              <w:rPr>
                <w:rFonts w:eastAsia="宋体"/>
                <w:kern w:val="2"/>
                <w:sz w:val="21"/>
                <w:szCs w:val="21"/>
                <w:lang w:eastAsia="zh-CN"/>
              </w:rPr>
            </w:pPr>
            <w:r>
              <w:rPr>
                <w:rFonts w:eastAsia="宋体" w:hint="eastAsia"/>
                <w:kern w:val="2"/>
                <w:sz w:val="21"/>
                <w:szCs w:val="21"/>
                <w:lang w:eastAsia="zh-CN"/>
              </w:rPr>
              <w:t>7</w:t>
            </w:r>
          </w:p>
        </w:tc>
        <w:tc>
          <w:tcPr>
            <w:tcW w:w="8284" w:type="dxa"/>
            <w:tcBorders>
              <w:top w:val="single" w:sz="8" w:space="0" w:color="000000"/>
              <w:left w:val="single" w:sz="8" w:space="0" w:color="000000"/>
              <w:bottom w:val="single" w:sz="8" w:space="0" w:color="000000"/>
              <w:right w:val="single" w:sz="8" w:space="0" w:color="000000"/>
            </w:tcBorders>
            <w:shd w:val="clear" w:color="auto" w:fill="auto"/>
          </w:tcPr>
          <w:p>
            <w:pPr>
              <w:widowControl/>
              <w:jc w:val="both"/>
              <w:textAlignment w:val="top"/>
              <w:rPr>
                <w:rFonts w:eastAsia="宋体"/>
                <w:kern w:val="2"/>
                <w:sz w:val="21"/>
                <w:szCs w:val="21"/>
                <w:lang w:eastAsia="zh-CN"/>
              </w:rPr>
            </w:pPr>
            <w:r>
              <w:rPr>
                <w:rFonts w:eastAsia="宋体" w:hint="eastAsia"/>
                <w:kern w:val="2"/>
                <w:sz w:val="21"/>
                <w:lang w:eastAsia="zh-CN"/>
              </w:rPr>
              <w:t>未按谈判文件所提供的样式填写《应答书》；未按谈判文件所提供的《采购应答及履约承诺函》进行承诺或不符合承诺的；未按谈判文件对应答文件组成的要求提供应答文件；</w:t>
            </w:r>
          </w:p>
        </w:tc>
      </w:tr>
      <w:tr>
        <w:tblPrEx>
          <w:tblW w:w="5000" w:type="pct"/>
          <w:jc w:val="center"/>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pPr>
              <w:widowControl/>
              <w:jc w:val="center"/>
              <w:textAlignment w:val="top"/>
              <w:rPr>
                <w:rFonts w:eastAsia="宋体"/>
                <w:kern w:val="2"/>
                <w:sz w:val="21"/>
                <w:szCs w:val="21"/>
                <w:lang w:eastAsia="zh-CN"/>
              </w:rPr>
            </w:pPr>
            <w:r>
              <w:rPr>
                <w:rFonts w:eastAsia="宋体" w:hint="eastAsia"/>
                <w:kern w:val="2"/>
                <w:sz w:val="21"/>
                <w:szCs w:val="21"/>
                <w:lang w:eastAsia="zh-CN"/>
              </w:rPr>
              <w:t>8</w:t>
            </w:r>
          </w:p>
        </w:tc>
        <w:tc>
          <w:tcPr>
            <w:tcW w:w="8284" w:type="dxa"/>
            <w:tcBorders>
              <w:top w:val="single" w:sz="8" w:space="0" w:color="000000"/>
              <w:left w:val="single" w:sz="8" w:space="0" w:color="000000"/>
              <w:bottom w:val="single" w:sz="8" w:space="0" w:color="000000"/>
              <w:right w:val="single" w:sz="8" w:space="0" w:color="000000"/>
            </w:tcBorders>
            <w:shd w:val="clear" w:color="auto" w:fill="auto"/>
          </w:tcPr>
          <w:p>
            <w:pPr>
              <w:widowControl/>
              <w:jc w:val="both"/>
              <w:textAlignment w:val="top"/>
              <w:rPr>
                <w:rFonts w:eastAsia="宋体"/>
                <w:kern w:val="2"/>
                <w:sz w:val="21"/>
                <w:szCs w:val="21"/>
                <w:lang w:eastAsia="zh-CN"/>
              </w:rPr>
            </w:pPr>
            <w:r>
              <w:rPr>
                <w:rFonts w:eastAsia="宋体" w:hint="eastAsia"/>
                <w:color w:val="FF0000"/>
                <w:kern w:val="2"/>
                <w:sz w:val="21"/>
                <w:lang w:eastAsia="zh-CN"/>
              </w:rPr>
              <w:t>采购标的/所投产品/货物清单/报价等任意一类有缺漏项或响应不全</w:t>
            </w:r>
            <w:r>
              <w:rPr>
                <w:rFonts w:eastAsia="宋体" w:hint="eastAsia"/>
                <w:kern w:val="2"/>
                <w:sz w:val="21"/>
                <w:lang w:eastAsia="zh-CN"/>
              </w:rPr>
              <w:t>，或者对谈判文件规定的项目需求内容或者需求数量进行修改</w:t>
            </w:r>
            <w:r>
              <w:rPr>
                <w:rFonts w:eastAsia="宋体" w:hint="eastAsia"/>
                <w:kern w:val="2"/>
                <w:sz w:val="21"/>
                <w:szCs w:val="21"/>
                <w:lang w:eastAsia="zh-CN"/>
              </w:rPr>
              <w:t>，谈判小组判定谈判响应不满足谈判需求</w:t>
            </w:r>
            <w:r>
              <w:rPr>
                <w:rFonts w:eastAsia="宋体" w:hint="eastAsia"/>
                <w:kern w:val="2"/>
                <w:sz w:val="21"/>
                <w:lang w:eastAsia="zh-CN"/>
              </w:rPr>
              <w:t>；</w:t>
            </w:r>
          </w:p>
        </w:tc>
      </w:tr>
      <w:tr>
        <w:tblPrEx>
          <w:tblW w:w="5000" w:type="pct"/>
          <w:jc w:val="center"/>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pPr>
              <w:widowControl/>
              <w:jc w:val="center"/>
              <w:textAlignment w:val="top"/>
              <w:rPr>
                <w:rFonts w:eastAsia="宋体"/>
                <w:kern w:val="2"/>
                <w:sz w:val="21"/>
                <w:szCs w:val="21"/>
                <w:lang w:eastAsia="zh-CN"/>
              </w:rPr>
            </w:pPr>
            <w:r>
              <w:rPr>
                <w:rFonts w:eastAsia="宋体" w:hint="eastAsia"/>
                <w:kern w:val="2"/>
                <w:sz w:val="21"/>
                <w:szCs w:val="21"/>
                <w:lang w:eastAsia="zh-CN"/>
              </w:rPr>
              <w:t>9</w:t>
            </w:r>
          </w:p>
        </w:tc>
        <w:tc>
          <w:tcPr>
            <w:tcW w:w="8284" w:type="dxa"/>
            <w:tcBorders>
              <w:top w:val="single" w:sz="8" w:space="0" w:color="000000"/>
              <w:left w:val="single" w:sz="8" w:space="0" w:color="000000"/>
              <w:bottom w:val="single" w:sz="8" w:space="0" w:color="000000"/>
              <w:right w:val="single" w:sz="8" w:space="0" w:color="000000"/>
            </w:tcBorders>
            <w:shd w:val="clear" w:color="auto" w:fill="auto"/>
          </w:tcPr>
          <w:p>
            <w:pPr>
              <w:widowControl/>
              <w:jc w:val="both"/>
              <w:textAlignment w:val="top"/>
              <w:rPr>
                <w:rFonts w:eastAsia="宋体"/>
                <w:kern w:val="2"/>
                <w:sz w:val="21"/>
                <w:lang w:eastAsia="zh-CN"/>
              </w:rPr>
            </w:pPr>
            <w:r>
              <w:rPr>
                <w:rFonts w:eastAsia="宋体" w:hint="eastAsia"/>
                <w:kern w:val="2"/>
                <w:sz w:val="21"/>
                <w:lang w:eastAsia="zh-CN"/>
              </w:rPr>
              <w:t>谈判应答附有采购人或谈判小组不能接受的条件；</w:t>
            </w:r>
          </w:p>
        </w:tc>
      </w:tr>
      <w:tr>
        <w:tblPrEx>
          <w:tblW w:w="5000" w:type="pct"/>
          <w:jc w:val="center"/>
          <w:tblLayout w:type="fixed"/>
          <w:tblCellMar>
            <w:top w:w="20" w:type="dxa"/>
            <w:left w:w="108" w:type="dxa"/>
            <w:bottom w:w="20" w:type="dxa"/>
            <w:right w:w="108" w:type="dxa"/>
          </w:tblCellMar>
        </w:tblPrEx>
        <w:trPr>
          <w:trHeight w:val="260"/>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pPr>
              <w:widowControl/>
              <w:jc w:val="center"/>
              <w:textAlignment w:val="top"/>
              <w:rPr>
                <w:rFonts w:eastAsia="宋体"/>
                <w:kern w:val="2"/>
                <w:sz w:val="21"/>
                <w:szCs w:val="21"/>
                <w:lang w:eastAsia="zh-CN"/>
              </w:rPr>
            </w:pPr>
            <w:r>
              <w:rPr>
                <w:rFonts w:eastAsia="宋体" w:hint="eastAsia"/>
                <w:kern w:val="2"/>
                <w:sz w:val="21"/>
                <w:szCs w:val="21"/>
                <w:lang w:eastAsia="zh-CN"/>
              </w:rPr>
              <w:t>1</w:t>
            </w:r>
            <w:r>
              <w:rPr>
                <w:rFonts w:eastAsia="宋体"/>
                <w:kern w:val="2"/>
                <w:sz w:val="21"/>
                <w:szCs w:val="21"/>
                <w:lang w:eastAsia="zh-CN"/>
              </w:rPr>
              <w:t>0</w:t>
            </w:r>
          </w:p>
        </w:tc>
        <w:tc>
          <w:tcPr>
            <w:tcW w:w="8284" w:type="dxa"/>
            <w:tcBorders>
              <w:top w:val="single" w:sz="8" w:space="0" w:color="000000"/>
              <w:left w:val="single" w:sz="8" w:space="0" w:color="000000"/>
              <w:bottom w:val="single" w:sz="8" w:space="0" w:color="000000"/>
              <w:right w:val="single" w:sz="8" w:space="0" w:color="000000"/>
            </w:tcBorders>
            <w:shd w:val="clear" w:color="auto" w:fill="auto"/>
          </w:tcPr>
          <w:p>
            <w:pPr>
              <w:widowControl/>
              <w:jc w:val="both"/>
              <w:textAlignment w:val="top"/>
              <w:rPr>
                <w:rFonts w:eastAsia="宋体"/>
                <w:kern w:val="2"/>
                <w:sz w:val="21"/>
                <w:szCs w:val="21"/>
                <w:lang w:eastAsia="zh-CN"/>
              </w:rPr>
            </w:pPr>
            <w:bookmarkStart w:id="5" w:name="OLE_LINK3"/>
            <w:r>
              <w:rPr>
                <w:rFonts w:eastAsia="宋体" w:hint="eastAsia"/>
                <w:kern w:val="2"/>
                <w:sz w:val="21"/>
                <w:lang w:eastAsia="zh-CN"/>
              </w:rPr>
              <w:t>应答文件电子文档不得带病毒；</w:t>
            </w:r>
            <w:bookmarkEnd w:id="5"/>
          </w:p>
        </w:tc>
      </w:tr>
      <w:tr>
        <w:tblPrEx>
          <w:tblW w:w="5000" w:type="pct"/>
          <w:jc w:val="center"/>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pPr>
              <w:widowControl/>
              <w:jc w:val="center"/>
              <w:textAlignment w:val="top"/>
              <w:rPr>
                <w:rFonts w:eastAsia="宋体"/>
                <w:kern w:val="2"/>
                <w:sz w:val="21"/>
                <w:szCs w:val="21"/>
                <w:lang w:eastAsia="zh-CN"/>
              </w:rPr>
            </w:pPr>
            <w:r>
              <w:rPr>
                <w:rFonts w:ascii="宋体" w:eastAsia="宋体" w:hAnsi="宋体" w:cs="宋体"/>
                <w:sz w:val="21"/>
                <w:szCs w:val="21"/>
                <w:lang w:eastAsia="zh-CN" w:bidi="ar"/>
              </w:rPr>
              <w:t>11</w:t>
            </w:r>
          </w:p>
        </w:tc>
        <w:tc>
          <w:tcPr>
            <w:tcW w:w="8284" w:type="dxa"/>
            <w:tcBorders>
              <w:top w:val="single" w:sz="8" w:space="0" w:color="000000"/>
              <w:left w:val="single" w:sz="8" w:space="0" w:color="000000"/>
              <w:bottom w:val="single" w:sz="8" w:space="0" w:color="000000"/>
              <w:right w:val="single" w:sz="8" w:space="0" w:color="000000"/>
            </w:tcBorders>
            <w:shd w:val="clear" w:color="auto" w:fill="auto"/>
          </w:tcPr>
          <w:p>
            <w:pPr>
              <w:widowControl/>
              <w:jc w:val="both"/>
              <w:textAlignment w:val="top"/>
              <w:rPr>
                <w:rFonts w:eastAsia="宋体"/>
                <w:kern w:val="2"/>
                <w:sz w:val="21"/>
                <w:szCs w:val="21"/>
                <w:lang w:eastAsia="zh-CN"/>
              </w:rPr>
            </w:pPr>
            <w:bookmarkStart w:id="6" w:name="OLE_LINK4"/>
            <w:r>
              <w:rPr>
                <w:rFonts w:eastAsia="宋体" w:hint="eastAsia"/>
                <w:kern w:val="2"/>
                <w:sz w:val="21"/>
                <w:lang w:eastAsia="zh-CN"/>
              </w:rPr>
              <w:t>应答文件用不属于本公司的电子密钥进行加密或应答文件未按时解密的；</w:t>
            </w:r>
            <w:bookmarkEnd w:id="6"/>
          </w:p>
        </w:tc>
      </w:tr>
      <w:tr>
        <w:tblPrEx>
          <w:tblW w:w="5000" w:type="pct"/>
          <w:jc w:val="center"/>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pPr>
              <w:widowControl/>
              <w:jc w:val="center"/>
              <w:textAlignment w:val="top"/>
              <w:rPr>
                <w:rFonts w:eastAsia="宋体"/>
                <w:kern w:val="2"/>
                <w:sz w:val="21"/>
                <w:szCs w:val="21"/>
                <w:lang w:eastAsia="zh-CN"/>
              </w:rPr>
            </w:pPr>
            <w:r>
              <w:rPr>
                <w:rFonts w:eastAsia="宋体" w:hint="eastAsia"/>
                <w:kern w:val="2"/>
                <w:sz w:val="21"/>
                <w:szCs w:val="21"/>
                <w:lang w:eastAsia="zh-CN"/>
              </w:rPr>
              <w:t>12</w:t>
            </w:r>
          </w:p>
        </w:tc>
        <w:tc>
          <w:tcPr>
            <w:tcW w:w="8284" w:type="dxa"/>
            <w:tcBorders>
              <w:top w:val="single" w:sz="8" w:space="0" w:color="000000"/>
              <w:left w:val="single" w:sz="8" w:space="0" w:color="000000"/>
              <w:bottom w:val="single" w:sz="8" w:space="0" w:color="000000"/>
              <w:right w:val="single" w:sz="8" w:space="0" w:color="000000"/>
            </w:tcBorders>
            <w:shd w:val="clear" w:color="auto" w:fill="auto"/>
          </w:tcPr>
          <w:p>
            <w:pPr>
              <w:widowControl/>
              <w:jc w:val="both"/>
              <w:textAlignment w:val="top"/>
              <w:rPr>
                <w:rFonts w:eastAsia="宋体"/>
                <w:kern w:val="2"/>
                <w:sz w:val="21"/>
                <w:szCs w:val="21"/>
                <w:lang w:eastAsia="zh-CN"/>
              </w:rPr>
            </w:pPr>
            <w:r>
              <w:rPr>
                <w:rFonts w:eastAsia="宋体" w:hint="eastAsia"/>
                <w:kern w:val="2"/>
                <w:sz w:val="21"/>
                <w:lang w:eastAsia="zh-CN"/>
              </w:rPr>
              <w:t>法律、法规、规章、规范性文件规定的其他情形。</w:t>
            </w:r>
          </w:p>
        </w:tc>
      </w:tr>
    </w:tbl>
    <w:p>
      <w:pPr>
        <w:widowControl w:val="0"/>
        <w:jc w:val="both"/>
        <w:rPr>
          <w:rFonts w:eastAsia="宋体"/>
          <w:kern w:val="2"/>
          <w:sz w:val="21"/>
          <w:lang w:eastAsia="zh-CN"/>
        </w:rPr>
      </w:pPr>
    </w:p>
    <w:p>
      <w:pPr>
        <w:widowControl/>
        <w:spacing w:beforeAutospacing="1" w:afterAutospacing="1"/>
        <w:jc w:val="center"/>
        <w:outlineLvl w:val="1"/>
        <w:rPr>
          <w:rFonts w:ascii="黑体" w:eastAsia="黑体" w:hAnsi="宋体" w:cs="黑体" w:hint="eastAsia"/>
          <w:sz w:val="40"/>
          <w:szCs w:val="40"/>
          <w:lang w:eastAsia="zh-CN"/>
        </w:rPr>
        <w:sectPr>
          <w:pgSz w:w="11907" w:h="16840"/>
          <w:pgMar w:top="1440" w:right="1418" w:bottom="1440" w:left="1418" w:header="851" w:footer="992" w:gutter="0"/>
          <w:cols w:num="1" w:space="425"/>
          <w:titlePg/>
          <w:docGrid w:linePitch="462" w:charSpace="0"/>
        </w:sectPr>
      </w:pPr>
    </w:p>
    <w:p>
      <w:pPr>
        <w:widowControl w:val="0"/>
        <w:jc w:val="center"/>
        <w:outlineLvl w:val="1"/>
        <w:rPr>
          <w:rFonts w:ascii="黑体" w:eastAsia="黑体" w:hAnsi="黑体" w:hint="eastAsia"/>
          <w:kern w:val="2"/>
          <w:sz w:val="40"/>
          <w:szCs w:val="40"/>
          <w:lang w:eastAsia="zh-CN"/>
        </w:rPr>
      </w:pPr>
      <w:r>
        <w:rPr>
          <w:rFonts w:ascii="黑体" w:eastAsia="黑体" w:hAnsi="黑体" w:hint="eastAsia"/>
          <w:kern w:val="2"/>
          <w:sz w:val="40"/>
          <w:szCs w:val="40"/>
          <w:lang w:eastAsia="zh-CN"/>
        </w:rPr>
        <w:t>评标信息</w:t>
      </w:r>
    </w:p>
    <w:tbl>
      <w:tblPr>
        <w:tblStyle w:val="TableNormal"/>
        <w:tblW w:w="5000" w:type="pct"/>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5" w:type="dxa"/>
          <w:left w:w="45" w:type="dxa"/>
          <w:bottom w:w="45" w:type="dxa"/>
          <w:right w:w="45" w:type="dxa"/>
        </w:tblCellMar>
      </w:tblPr>
      <w:tblGrid>
        <w:gridCol w:w="9181"/>
      </w:tblGrid>
      <w:tr>
        <w:tblPrEx>
          <w:tblW w:w="5000" w:type="pct"/>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5" w:type="dxa"/>
            <w:left w:w="45" w:type="dxa"/>
            <w:bottom w:w="45" w:type="dxa"/>
            <w:right w:w="45" w:type="dxa"/>
          </w:tblCellMar>
        </w:tblPrEx>
        <w:trPr>
          <w:tblCellSpacing w:w="0" w:type="dxa"/>
          <w:jc w:val="center"/>
        </w:trPr>
        <w:tc>
          <w:tcPr>
            <w:tcW w:w="9072" w:type="dxa"/>
            <w:vAlign w:val="center"/>
          </w:tcPr>
          <w:p>
            <w:pPr>
              <w:widowControl w:val="0"/>
              <w:jc w:val="left"/>
              <w:rPr>
                <w:rFonts w:ascii="宋体" w:eastAsia="宋体" w:hAnsi="宋体" w:cs="宋体" w:hint="eastAsia"/>
                <w:b/>
                <w:bCs/>
                <w:kern w:val="2"/>
                <w:lang w:eastAsia="zh-CN"/>
              </w:rPr>
            </w:pPr>
            <w:r>
              <w:rPr>
                <w:rFonts w:eastAsia="宋体"/>
                <w:b/>
                <w:bCs/>
                <w:kern w:val="2"/>
                <w:sz w:val="21"/>
                <w:lang w:eastAsia="zh-CN"/>
              </w:rPr>
              <w:t>评标方法：</w:t>
            </w:r>
          </w:p>
        </w:tc>
      </w:tr>
      <w:tr>
        <w:tblPrEx>
          <w:tblW w:w="5000" w:type="pct"/>
          <w:jc w:val="center"/>
          <w:tblCellSpacing w:w="0" w:type="dxa"/>
          <w:tblLayout w:type="fixed"/>
          <w:tblCellMar>
            <w:top w:w="45" w:type="dxa"/>
            <w:left w:w="45" w:type="dxa"/>
            <w:bottom w:w="45" w:type="dxa"/>
            <w:right w:w="45" w:type="dxa"/>
          </w:tblCellMar>
        </w:tblPrEx>
        <w:trPr>
          <w:tblCellSpacing w:w="0" w:type="dxa"/>
          <w:jc w:val="center"/>
        </w:trPr>
        <w:tc>
          <w:tcPr>
            <w:tcW w:w="9072" w:type="dxa"/>
            <w:vAlign w:val="center"/>
          </w:tcPr>
          <w:p>
            <w:pPr>
              <w:widowControl w:val="0"/>
              <w:ind w:left="420"/>
              <w:jc w:val="both"/>
              <w:rPr>
                <w:rFonts w:eastAsia="宋体"/>
                <w:kern w:val="2"/>
                <w:sz w:val="21"/>
                <w:szCs w:val="21"/>
                <w:lang w:eastAsia="zh-CN"/>
              </w:rPr>
            </w:pPr>
            <w:r>
              <w:rPr>
                <w:rFonts w:eastAsia="宋体" w:hint="eastAsia"/>
                <w:kern w:val="2"/>
                <w:sz w:val="21"/>
                <w:szCs w:val="21"/>
                <w:lang w:eastAsia="zh-CN"/>
              </w:rPr>
              <w:t>最低评标价法，是指投标文件满足招标文件全部实质性要求，且投标报价最低的投标人为中标候选人的评标方法。采用最低价法评标时，除了算术修正和落实政府采购政策需进行的价格扣除外，不能对投标人的投标价格进行任何调整。</w:t>
            </w:r>
          </w:p>
          <w:p>
            <w:pPr>
              <w:widowControl w:val="0"/>
              <w:ind w:left="420"/>
              <w:jc w:val="both"/>
              <w:rPr>
                <w:rFonts w:eastAsia="宋体"/>
                <w:kern w:val="2"/>
                <w:sz w:val="21"/>
                <w:szCs w:val="21"/>
                <w:lang w:eastAsia="zh-CN"/>
              </w:rPr>
            </w:pPr>
          </w:p>
        </w:tc>
      </w:tr>
    </w:tbl>
    <w:p>
      <w:pPr>
        <w:widowControl w:val="0"/>
        <w:jc w:val="both"/>
        <w:rPr>
          <w:rFonts w:eastAsia="宋体"/>
          <w:vanish/>
          <w:kern w:val="2"/>
          <w:lang w:eastAsia="zh-CN"/>
        </w:rPr>
      </w:pPr>
    </w:p>
    <w:p>
      <w:pPr>
        <w:widowControl w:val="0"/>
        <w:jc w:val="both"/>
        <w:rPr>
          <w:rFonts w:eastAsia="宋体"/>
          <w:kern w:val="2"/>
          <w:sz w:val="21"/>
          <w:lang w:eastAsia="zh-CN"/>
        </w:rPr>
      </w:pPr>
    </w:p>
    <w:p>
      <w:pPr>
        <w:widowControl w:val="0"/>
        <w:jc w:val="both"/>
        <w:rPr>
          <w:rFonts w:eastAsia="宋体"/>
          <w:kern w:val="2"/>
          <w:sz w:val="21"/>
          <w:lang w:eastAsia="zh-CN"/>
        </w:rPr>
        <w:sectPr>
          <w:pgSz w:w="11907" w:h="16840"/>
          <w:pgMar w:top="1440" w:right="1418" w:bottom="1440" w:left="1418" w:header="851" w:footer="992" w:gutter="0"/>
          <w:cols w:num="1" w:space="425"/>
          <w:titlePg/>
          <w:docGrid w:linePitch="462" w:charSpace="0"/>
        </w:sectPr>
      </w:pPr>
    </w:p>
    <w:p>
      <w:pPr>
        <w:widowControl w:val="0"/>
        <w:jc w:val="both"/>
        <w:rPr>
          <w:rFonts w:eastAsia="宋体"/>
          <w:kern w:val="2"/>
          <w:sz w:val="21"/>
          <w:lang w:eastAsia="zh-CN"/>
        </w:rPr>
      </w:pPr>
    </w:p>
    <w:p>
      <w:pPr>
        <w:widowControl w:val="0"/>
        <w:jc w:val="both"/>
        <w:rPr>
          <w:rFonts w:eastAsia="宋体"/>
          <w:kern w:val="2"/>
          <w:sz w:val="21"/>
          <w:lang w:eastAsia="zh-CN"/>
        </w:rPr>
      </w:pPr>
    </w:p>
    <w:p>
      <w:pPr>
        <w:widowControl w:val="0"/>
        <w:jc w:val="center"/>
        <w:rPr>
          <w:rFonts w:eastAsia="宋体"/>
          <w:b/>
          <w:kern w:val="2"/>
          <w:sz w:val="84"/>
          <w:szCs w:val="84"/>
          <w:lang w:eastAsia="zh-CN"/>
        </w:rPr>
      </w:pPr>
    </w:p>
    <w:p>
      <w:pPr>
        <w:widowControl w:val="0"/>
        <w:jc w:val="center"/>
        <w:rPr>
          <w:rFonts w:eastAsia="宋体"/>
          <w:b/>
          <w:kern w:val="2"/>
          <w:sz w:val="84"/>
          <w:szCs w:val="84"/>
          <w:lang w:eastAsia="zh-CN"/>
        </w:rPr>
      </w:pPr>
    </w:p>
    <w:p>
      <w:pPr>
        <w:widowControl w:val="0"/>
        <w:jc w:val="center"/>
        <w:rPr>
          <w:rFonts w:eastAsia="宋体"/>
          <w:b/>
          <w:kern w:val="2"/>
          <w:sz w:val="84"/>
          <w:szCs w:val="84"/>
          <w:lang w:eastAsia="zh-CN"/>
        </w:rPr>
      </w:pPr>
    </w:p>
    <w:p>
      <w:pPr>
        <w:widowControl w:val="0"/>
        <w:jc w:val="center"/>
        <w:rPr>
          <w:rFonts w:eastAsia="宋体"/>
          <w:b/>
          <w:kern w:val="2"/>
          <w:sz w:val="120"/>
          <w:szCs w:val="120"/>
          <w:lang w:eastAsia="zh-CN"/>
        </w:rPr>
      </w:pPr>
      <w:r>
        <w:rPr>
          <w:rFonts w:eastAsia="宋体" w:hint="eastAsia"/>
          <w:b/>
          <w:kern w:val="2"/>
          <w:sz w:val="120"/>
          <w:szCs w:val="120"/>
          <w:lang w:eastAsia="zh-CN"/>
        </w:rPr>
        <w:t>自行采购</w:t>
      </w:r>
    </w:p>
    <w:p>
      <w:pPr>
        <w:widowControl w:val="0"/>
        <w:jc w:val="center"/>
        <w:rPr>
          <w:rFonts w:eastAsia="宋体"/>
          <w:b/>
          <w:kern w:val="2"/>
          <w:sz w:val="120"/>
          <w:szCs w:val="120"/>
          <w:lang w:eastAsia="zh-CN"/>
        </w:rPr>
      </w:pPr>
      <w:r>
        <w:rPr>
          <w:rFonts w:eastAsia="宋体" w:hint="eastAsia"/>
          <w:b/>
          <w:kern w:val="2"/>
          <w:sz w:val="120"/>
          <w:szCs w:val="120"/>
          <w:lang w:eastAsia="zh-CN"/>
        </w:rPr>
        <w:t>谈判文件</w:t>
      </w:r>
    </w:p>
    <w:p>
      <w:pPr>
        <w:widowControl w:val="0"/>
        <w:jc w:val="center"/>
        <w:rPr>
          <w:rFonts w:eastAsia="宋体"/>
          <w:b/>
          <w:kern w:val="2"/>
          <w:sz w:val="52"/>
          <w:szCs w:val="52"/>
          <w:lang w:eastAsia="zh-CN"/>
        </w:rPr>
      </w:pPr>
      <w:r>
        <w:rPr>
          <w:rFonts w:eastAsia="宋体" w:hint="eastAsia"/>
          <w:b/>
          <w:kern w:val="2"/>
          <w:sz w:val="52"/>
          <w:szCs w:val="52"/>
          <w:lang w:eastAsia="zh-CN"/>
        </w:rPr>
        <w:t>（服务类）</w:t>
      </w:r>
    </w:p>
    <w:p>
      <w:pPr>
        <w:widowControl w:val="0"/>
        <w:jc w:val="both"/>
        <w:rPr>
          <w:rFonts w:eastAsia="宋体"/>
          <w:kern w:val="2"/>
          <w:sz w:val="21"/>
          <w:lang w:eastAsia="zh-CN"/>
        </w:rPr>
      </w:pPr>
    </w:p>
    <w:p>
      <w:pPr>
        <w:widowControl w:val="0"/>
        <w:jc w:val="both"/>
        <w:rPr>
          <w:rFonts w:eastAsia="宋体"/>
          <w:kern w:val="2"/>
          <w:sz w:val="21"/>
          <w:lang w:eastAsia="zh-CN"/>
        </w:rPr>
      </w:pPr>
    </w:p>
    <w:p>
      <w:pPr>
        <w:widowControl w:val="0"/>
        <w:jc w:val="both"/>
        <w:rPr>
          <w:rFonts w:eastAsia="宋体"/>
          <w:kern w:val="2"/>
          <w:sz w:val="21"/>
          <w:lang w:eastAsia="zh-CN"/>
        </w:rPr>
      </w:pPr>
    </w:p>
    <w:p>
      <w:pPr>
        <w:widowControl w:val="0"/>
        <w:jc w:val="both"/>
        <w:rPr>
          <w:rFonts w:eastAsia="宋体"/>
          <w:kern w:val="2"/>
          <w:sz w:val="21"/>
          <w:lang w:eastAsia="zh-CN"/>
        </w:rPr>
      </w:pPr>
    </w:p>
    <w:p>
      <w:pPr>
        <w:widowControl w:val="0"/>
        <w:jc w:val="both"/>
        <w:rPr>
          <w:rFonts w:eastAsia="宋体"/>
          <w:kern w:val="2"/>
          <w:sz w:val="21"/>
          <w:lang w:eastAsia="zh-CN"/>
        </w:rPr>
      </w:pPr>
    </w:p>
    <w:p>
      <w:pPr>
        <w:widowControl w:val="0"/>
        <w:jc w:val="both"/>
        <w:rPr>
          <w:rFonts w:eastAsia="宋体"/>
          <w:kern w:val="2"/>
          <w:sz w:val="21"/>
          <w:lang w:eastAsia="zh-CN"/>
        </w:rPr>
      </w:pPr>
    </w:p>
    <w:p>
      <w:pPr>
        <w:widowControl w:val="0"/>
        <w:jc w:val="both"/>
        <w:rPr>
          <w:rFonts w:eastAsia="宋体"/>
          <w:kern w:val="2"/>
          <w:sz w:val="21"/>
          <w:lang w:eastAsia="zh-CN"/>
        </w:rPr>
      </w:pPr>
    </w:p>
    <w:p>
      <w:pPr>
        <w:widowControl w:val="0"/>
        <w:jc w:val="both"/>
        <w:rPr>
          <w:rFonts w:eastAsia="宋体"/>
          <w:kern w:val="2"/>
          <w:sz w:val="21"/>
          <w:lang w:eastAsia="zh-CN"/>
        </w:rPr>
      </w:pPr>
    </w:p>
    <w:p>
      <w:pPr>
        <w:widowControl w:val="0"/>
        <w:jc w:val="both"/>
        <w:rPr>
          <w:rFonts w:eastAsia="宋体"/>
          <w:kern w:val="2"/>
          <w:sz w:val="21"/>
          <w:lang w:eastAsia="zh-CN"/>
        </w:rPr>
      </w:pPr>
    </w:p>
    <w:p>
      <w:pPr>
        <w:widowControl w:val="0"/>
        <w:jc w:val="both"/>
        <w:rPr>
          <w:rFonts w:eastAsia="宋体"/>
          <w:kern w:val="2"/>
          <w:sz w:val="21"/>
          <w:lang w:eastAsia="zh-CN"/>
        </w:rPr>
      </w:pPr>
    </w:p>
    <w:p>
      <w:pPr>
        <w:widowControl w:val="0"/>
        <w:jc w:val="both"/>
        <w:rPr>
          <w:rFonts w:eastAsia="宋体"/>
          <w:kern w:val="2"/>
          <w:sz w:val="21"/>
          <w:lang w:eastAsia="zh-CN"/>
        </w:rPr>
      </w:pPr>
    </w:p>
    <w:p>
      <w:pPr>
        <w:widowControl w:val="0"/>
        <w:jc w:val="both"/>
        <w:rPr>
          <w:rFonts w:eastAsia="宋体"/>
          <w:kern w:val="2"/>
          <w:sz w:val="21"/>
          <w:lang w:eastAsia="zh-CN"/>
        </w:rPr>
      </w:pPr>
    </w:p>
    <w:p>
      <w:pPr>
        <w:widowControl w:val="0"/>
        <w:jc w:val="both"/>
        <w:rPr>
          <w:rFonts w:eastAsia="宋体"/>
          <w:kern w:val="2"/>
          <w:sz w:val="21"/>
          <w:lang w:eastAsia="zh-CN"/>
        </w:rPr>
      </w:pPr>
    </w:p>
    <w:p>
      <w:pPr>
        <w:widowControl w:val="0"/>
        <w:jc w:val="both"/>
        <w:rPr>
          <w:rFonts w:eastAsia="宋体"/>
          <w:kern w:val="2"/>
          <w:sz w:val="21"/>
          <w:lang w:eastAsia="zh-CN"/>
        </w:rPr>
      </w:pPr>
    </w:p>
    <w:p>
      <w:pPr>
        <w:widowControl w:val="0"/>
        <w:jc w:val="both"/>
        <w:rPr>
          <w:rFonts w:eastAsia="宋体"/>
          <w:kern w:val="2"/>
          <w:sz w:val="21"/>
          <w:lang w:eastAsia="zh-CN"/>
        </w:rPr>
      </w:pPr>
    </w:p>
    <w:p>
      <w:pPr>
        <w:widowControl w:val="0"/>
        <w:jc w:val="both"/>
        <w:rPr>
          <w:rFonts w:eastAsia="宋体"/>
          <w:kern w:val="2"/>
          <w:sz w:val="21"/>
          <w:lang w:eastAsia="zh-CN"/>
        </w:rPr>
      </w:pPr>
    </w:p>
    <w:p>
      <w:pPr>
        <w:widowControl w:val="0"/>
        <w:jc w:val="both"/>
        <w:rPr>
          <w:rFonts w:eastAsia="宋体"/>
          <w:kern w:val="2"/>
          <w:sz w:val="21"/>
          <w:lang w:eastAsia="zh-CN"/>
        </w:rPr>
      </w:pPr>
    </w:p>
    <w:p>
      <w:pPr>
        <w:widowControl w:val="0"/>
        <w:jc w:val="both"/>
        <w:rPr>
          <w:rFonts w:eastAsia="宋体"/>
          <w:kern w:val="2"/>
          <w:sz w:val="21"/>
          <w:lang w:eastAsia="zh-CN"/>
        </w:rPr>
      </w:pPr>
    </w:p>
    <w:p>
      <w:pPr>
        <w:widowControl w:val="0"/>
        <w:jc w:val="both"/>
        <w:rPr>
          <w:rFonts w:eastAsia="宋体"/>
          <w:kern w:val="2"/>
          <w:sz w:val="21"/>
          <w:lang w:eastAsia="zh-CN"/>
        </w:rPr>
      </w:pPr>
    </w:p>
    <w:p>
      <w:pPr>
        <w:widowControl w:val="0"/>
        <w:jc w:val="center"/>
        <w:rPr>
          <w:rFonts w:eastAsia="宋体"/>
          <w:b/>
          <w:kern w:val="2"/>
          <w:sz w:val="44"/>
          <w:szCs w:val="44"/>
          <w:lang w:eastAsia="zh-CN"/>
        </w:rPr>
      </w:pPr>
      <w:bookmarkStart w:id="7" w:name="_Hlk71465316"/>
      <w:r>
        <w:rPr>
          <w:rFonts w:eastAsia="宋体" w:hint="eastAsia"/>
          <w:b/>
          <w:kern w:val="2"/>
          <w:sz w:val="44"/>
          <w:szCs w:val="44"/>
          <w:lang w:eastAsia="zh-CN"/>
        </w:rPr>
        <w:t>深圳公共资源交易中心</w:t>
      </w:r>
    </w:p>
    <w:p>
      <w:pPr>
        <w:widowControl w:val="0"/>
        <w:jc w:val="center"/>
        <w:rPr>
          <w:rFonts w:eastAsia="宋体"/>
          <w:b/>
          <w:kern w:val="2"/>
          <w:sz w:val="44"/>
          <w:szCs w:val="44"/>
          <w:lang w:eastAsia="zh-CN"/>
        </w:rPr>
      </w:pPr>
      <w:r>
        <w:rPr>
          <w:rFonts w:eastAsia="宋体" w:hint="eastAsia"/>
          <w:b/>
          <w:kern w:val="2"/>
          <w:sz w:val="44"/>
          <w:szCs w:val="44"/>
          <w:lang w:eastAsia="zh-CN"/>
        </w:rPr>
        <w:t>（2025）</w:t>
      </w:r>
      <w:bookmarkEnd w:id="7"/>
    </w:p>
    <w:p>
      <w:pPr>
        <w:widowControl w:val="0"/>
        <w:ind w:firstLine="435"/>
        <w:jc w:val="left"/>
        <w:rPr>
          <w:rFonts w:eastAsia="宋体"/>
          <w:kern w:val="2"/>
          <w:sz w:val="21"/>
          <w:lang w:eastAsia="zh-CN"/>
        </w:rPr>
      </w:pPr>
    </w:p>
    <w:p>
      <w:pPr>
        <w:widowControl w:val="0"/>
        <w:ind w:firstLine="435"/>
        <w:jc w:val="left"/>
        <w:rPr>
          <w:rFonts w:eastAsia="宋体"/>
          <w:kern w:val="2"/>
          <w:sz w:val="21"/>
          <w:lang w:eastAsia="zh-CN"/>
        </w:rPr>
      </w:pPr>
    </w:p>
    <w:p>
      <w:pPr>
        <w:widowControl w:val="0"/>
        <w:ind w:firstLine="435"/>
        <w:jc w:val="left"/>
        <w:rPr>
          <w:rFonts w:eastAsia="宋体"/>
          <w:kern w:val="2"/>
          <w:sz w:val="21"/>
          <w:lang w:eastAsia="zh-CN"/>
        </w:rPr>
      </w:pPr>
    </w:p>
    <w:p>
      <w:pPr>
        <w:keepNext/>
        <w:keepLines/>
        <w:widowControl w:val="0"/>
        <w:adjustRightInd w:val="0"/>
        <w:spacing w:before="260" w:after="260" w:line="240" w:lineRule="auto"/>
        <w:jc w:val="center"/>
        <w:textAlignment w:val="baseline"/>
        <w:outlineLvl w:val="1"/>
        <w:rPr>
          <w:rFonts w:ascii="宋体" w:eastAsia="宋体" w:hAnsi="宋体" w:hint="eastAsia"/>
          <w:b/>
          <w:bCs/>
          <w:color w:val="FF0000"/>
          <w:kern w:val="2"/>
          <w:sz w:val="22"/>
          <w:szCs w:val="22"/>
          <w:lang w:eastAsia="zh-CN"/>
        </w:rPr>
      </w:pPr>
      <w:r>
        <w:rPr>
          <w:rFonts w:ascii="宋体" w:eastAsia="宋体" w:hAnsi="宋体" w:hint="eastAsia"/>
          <w:b/>
          <w:bCs/>
          <w:color w:val="FF0000"/>
          <w:kern w:val="2"/>
          <w:sz w:val="22"/>
          <w:szCs w:val="22"/>
          <w:lang w:eastAsia="zh-CN"/>
        </w:rPr>
        <w:t>警示条款</w:t>
      </w:r>
    </w:p>
    <w:p>
      <w:pPr>
        <w:widowControl w:val="0"/>
        <w:ind w:firstLine="400" w:firstLineChars="200"/>
        <w:jc w:val="both"/>
        <w:rPr>
          <w:rFonts w:ascii="宋体" w:eastAsia="宋体" w:hAnsi="宋体" w:hint="eastAsia"/>
          <w:color w:val="FF0000"/>
          <w:kern w:val="2"/>
          <w:sz w:val="20"/>
          <w:szCs w:val="20"/>
          <w:lang w:eastAsia="zh-CN"/>
        </w:rPr>
      </w:pPr>
      <w:r>
        <w:rPr>
          <w:rFonts w:ascii="宋体" w:eastAsia="宋体" w:hAnsi="宋体" w:hint="eastAsia"/>
          <w:color w:val="FF0000"/>
          <w:kern w:val="2"/>
          <w:sz w:val="20"/>
          <w:szCs w:val="20"/>
          <w:lang w:eastAsia="zh-CN"/>
        </w:rPr>
        <w:t>本项目为自行采购项目，参照《深圳经济特区政府采购条例》、《深圳经济特区政府采购条例实施细则》及政府采购其他法律法规，按照采购人内控制度要求确定成交供应商。</w:t>
      </w:r>
    </w:p>
    <w:p>
      <w:pPr>
        <w:widowControl w:val="0"/>
        <w:ind w:firstLine="400" w:firstLineChars="200"/>
        <w:jc w:val="both"/>
        <w:rPr>
          <w:rFonts w:ascii="宋体" w:eastAsia="宋体" w:hAnsi="宋体" w:hint="eastAsia"/>
          <w:color w:val="FF0000"/>
          <w:kern w:val="2"/>
          <w:sz w:val="20"/>
          <w:szCs w:val="20"/>
          <w:lang w:eastAsia="zh-CN"/>
        </w:rPr>
      </w:pPr>
      <w:r>
        <w:rPr>
          <w:rFonts w:ascii="宋体" w:eastAsia="宋体" w:hAnsi="宋体" w:hint="eastAsia"/>
          <w:color w:val="FF0000"/>
          <w:kern w:val="2"/>
          <w:sz w:val="20"/>
          <w:szCs w:val="20"/>
          <w:lang w:eastAsia="zh-CN"/>
        </w:rPr>
        <w:t>一、</w:t>
      </w:r>
      <w:r>
        <w:rPr>
          <w:rFonts w:ascii="宋体" w:eastAsia="宋体" w:hAnsi="宋体" w:hint="eastAsia"/>
          <w:b/>
          <w:bCs/>
          <w:color w:val="FF0000"/>
          <w:kern w:val="2"/>
          <w:sz w:val="20"/>
          <w:szCs w:val="20"/>
          <w:lang w:eastAsia="zh-CN"/>
        </w:rPr>
        <w:t>《深圳经济特区政府采购条例》第五十七条</w:t>
      </w:r>
      <w:r>
        <w:rPr>
          <w:rFonts w:ascii="宋体" w:eastAsia="宋体" w:hAnsi="宋体" w:hint="eastAsia"/>
          <w:color w:val="FF0000"/>
          <w:kern w:val="2"/>
          <w:sz w:val="20"/>
          <w:szCs w:val="20"/>
          <w:lang w:eastAsia="zh-CN"/>
        </w:rPr>
        <w:t xml:space="preserve"> 供应商在政府采购中，有下列行为之一的，一至三年内禁止其参与本市政府采购，并由主管部门记入供应商诚信档案，处采购金额千分之十以上千分之二十以下罚款；情节严重的，取消其参与本市政府采购资格，处采购金额千分之二十以上千分之三十以下罚款，并由市场监管部门依法吊销其营业执照；给他人造成损失的，依法承担赔偿责任；构成犯罪的，依法追究刑事责任：</w:t>
      </w:r>
    </w:p>
    <w:p>
      <w:pPr>
        <w:widowControl w:val="0"/>
        <w:ind w:firstLine="400" w:firstLineChars="200"/>
        <w:jc w:val="both"/>
        <w:rPr>
          <w:rFonts w:ascii="宋体" w:eastAsia="宋体" w:hAnsi="宋体" w:hint="eastAsia"/>
          <w:color w:val="FF0000"/>
          <w:kern w:val="2"/>
          <w:sz w:val="20"/>
          <w:szCs w:val="20"/>
          <w:lang w:eastAsia="zh-CN"/>
        </w:rPr>
      </w:pPr>
      <w:r>
        <w:rPr>
          <w:rFonts w:ascii="宋体" w:eastAsia="宋体" w:hAnsi="宋体" w:hint="eastAsia"/>
          <w:color w:val="FF0000"/>
          <w:kern w:val="2"/>
          <w:sz w:val="20"/>
          <w:szCs w:val="20"/>
          <w:lang w:eastAsia="zh-CN"/>
        </w:rPr>
        <w:t>（一）在采购活动中应当回避而未回避的；</w:t>
      </w:r>
    </w:p>
    <w:p>
      <w:pPr>
        <w:widowControl w:val="0"/>
        <w:ind w:firstLine="400" w:firstLineChars="200"/>
        <w:jc w:val="both"/>
        <w:rPr>
          <w:rFonts w:ascii="宋体" w:eastAsia="宋体" w:hAnsi="宋体" w:hint="eastAsia"/>
          <w:color w:val="FF0000"/>
          <w:kern w:val="2"/>
          <w:sz w:val="20"/>
          <w:szCs w:val="20"/>
          <w:lang w:eastAsia="zh-CN"/>
        </w:rPr>
      </w:pPr>
      <w:r>
        <w:rPr>
          <w:rFonts w:ascii="宋体" w:eastAsia="宋体" w:hAnsi="宋体" w:hint="eastAsia"/>
          <w:color w:val="FF0000"/>
          <w:kern w:val="2"/>
          <w:sz w:val="20"/>
          <w:szCs w:val="20"/>
          <w:lang w:eastAsia="zh-CN"/>
        </w:rPr>
        <w:t>（二）未按本条例规定签订、履行采购合同，造成严重后果的；</w:t>
      </w:r>
    </w:p>
    <w:p>
      <w:pPr>
        <w:widowControl w:val="0"/>
        <w:ind w:firstLine="400" w:firstLineChars="200"/>
        <w:jc w:val="both"/>
        <w:rPr>
          <w:rFonts w:ascii="宋体" w:eastAsia="宋体" w:hAnsi="宋体" w:hint="eastAsia"/>
          <w:color w:val="FF0000"/>
          <w:kern w:val="2"/>
          <w:sz w:val="20"/>
          <w:szCs w:val="20"/>
          <w:lang w:eastAsia="zh-CN"/>
        </w:rPr>
      </w:pPr>
      <w:r>
        <w:rPr>
          <w:rFonts w:ascii="宋体" w:eastAsia="宋体" w:hAnsi="宋体" w:hint="eastAsia"/>
          <w:color w:val="FF0000"/>
          <w:kern w:val="2"/>
          <w:sz w:val="20"/>
          <w:szCs w:val="20"/>
          <w:lang w:eastAsia="zh-CN"/>
        </w:rPr>
        <w:t>（三）隐瞒真实情况，提供虚假资料的；</w:t>
      </w:r>
    </w:p>
    <w:p>
      <w:pPr>
        <w:widowControl w:val="0"/>
        <w:ind w:firstLine="400" w:firstLineChars="200"/>
        <w:jc w:val="both"/>
        <w:rPr>
          <w:rFonts w:ascii="宋体" w:eastAsia="宋体" w:hAnsi="宋体" w:hint="eastAsia"/>
          <w:color w:val="FF0000"/>
          <w:kern w:val="2"/>
          <w:sz w:val="20"/>
          <w:szCs w:val="20"/>
          <w:lang w:eastAsia="zh-CN"/>
        </w:rPr>
      </w:pPr>
      <w:r>
        <w:rPr>
          <w:rFonts w:ascii="宋体" w:eastAsia="宋体" w:hAnsi="宋体" w:hint="eastAsia"/>
          <w:color w:val="FF0000"/>
          <w:kern w:val="2"/>
          <w:sz w:val="20"/>
          <w:szCs w:val="20"/>
          <w:lang w:eastAsia="zh-CN"/>
        </w:rPr>
        <w:t>（四）以非法手段排斥其他供应商参与竞争的；</w:t>
      </w:r>
    </w:p>
    <w:p>
      <w:pPr>
        <w:widowControl w:val="0"/>
        <w:ind w:firstLine="400" w:firstLineChars="200"/>
        <w:jc w:val="both"/>
        <w:rPr>
          <w:rFonts w:ascii="宋体" w:eastAsia="宋体" w:hAnsi="宋体" w:hint="eastAsia"/>
          <w:color w:val="FF0000"/>
          <w:kern w:val="2"/>
          <w:sz w:val="20"/>
          <w:szCs w:val="20"/>
          <w:lang w:eastAsia="zh-CN"/>
        </w:rPr>
      </w:pPr>
      <w:r>
        <w:rPr>
          <w:rFonts w:ascii="宋体" w:eastAsia="宋体" w:hAnsi="宋体" w:hint="eastAsia"/>
          <w:color w:val="FF0000"/>
          <w:kern w:val="2"/>
          <w:sz w:val="20"/>
          <w:szCs w:val="20"/>
          <w:lang w:eastAsia="zh-CN"/>
        </w:rPr>
        <w:t>（五）与其他采购参加人串通投标的；</w:t>
      </w:r>
    </w:p>
    <w:p>
      <w:pPr>
        <w:widowControl w:val="0"/>
        <w:ind w:firstLine="400" w:firstLineChars="200"/>
        <w:jc w:val="both"/>
        <w:rPr>
          <w:rFonts w:ascii="宋体" w:eastAsia="宋体" w:hAnsi="宋体" w:hint="eastAsia"/>
          <w:color w:val="FF0000"/>
          <w:kern w:val="2"/>
          <w:sz w:val="20"/>
          <w:szCs w:val="20"/>
          <w:lang w:eastAsia="zh-CN"/>
        </w:rPr>
      </w:pPr>
      <w:r>
        <w:rPr>
          <w:rFonts w:ascii="宋体" w:eastAsia="宋体" w:hAnsi="宋体" w:hint="eastAsia"/>
          <w:color w:val="FF0000"/>
          <w:kern w:val="2"/>
          <w:sz w:val="20"/>
          <w:szCs w:val="20"/>
          <w:lang w:eastAsia="zh-CN"/>
        </w:rPr>
        <w:t>（六）恶意投诉的；</w:t>
      </w:r>
    </w:p>
    <w:p>
      <w:pPr>
        <w:widowControl w:val="0"/>
        <w:ind w:firstLine="400" w:firstLineChars="200"/>
        <w:jc w:val="both"/>
        <w:rPr>
          <w:rFonts w:ascii="宋体" w:eastAsia="宋体" w:hAnsi="宋体" w:hint="eastAsia"/>
          <w:color w:val="FF0000"/>
          <w:kern w:val="2"/>
          <w:sz w:val="20"/>
          <w:szCs w:val="20"/>
          <w:lang w:eastAsia="zh-CN"/>
        </w:rPr>
      </w:pPr>
      <w:r>
        <w:rPr>
          <w:rFonts w:ascii="宋体" w:eastAsia="宋体" w:hAnsi="宋体" w:hint="eastAsia"/>
          <w:color w:val="FF0000"/>
          <w:kern w:val="2"/>
          <w:sz w:val="20"/>
          <w:szCs w:val="20"/>
          <w:lang w:eastAsia="zh-CN"/>
        </w:rPr>
        <w:t>（七）向采购项目相关人行贿或者提供其他不当利益的；</w:t>
      </w:r>
    </w:p>
    <w:p>
      <w:pPr>
        <w:widowControl w:val="0"/>
        <w:ind w:firstLine="400" w:firstLineChars="200"/>
        <w:jc w:val="both"/>
        <w:rPr>
          <w:rFonts w:ascii="宋体" w:eastAsia="宋体" w:hAnsi="宋体" w:hint="eastAsia"/>
          <w:color w:val="FF0000"/>
          <w:kern w:val="2"/>
          <w:sz w:val="20"/>
          <w:szCs w:val="20"/>
          <w:lang w:eastAsia="zh-CN"/>
        </w:rPr>
      </w:pPr>
      <w:r>
        <w:rPr>
          <w:rFonts w:ascii="宋体" w:eastAsia="宋体" w:hAnsi="宋体" w:hint="eastAsia"/>
          <w:color w:val="FF0000"/>
          <w:kern w:val="2"/>
          <w:sz w:val="20"/>
          <w:szCs w:val="20"/>
          <w:lang w:eastAsia="zh-CN"/>
        </w:rPr>
        <w:t>（八）阻碍、抗拒主管部门监督检查的；</w:t>
      </w:r>
    </w:p>
    <w:p>
      <w:pPr>
        <w:widowControl w:val="0"/>
        <w:ind w:firstLine="400" w:firstLineChars="200"/>
        <w:jc w:val="both"/>
        <w:rPr>
          <w:rFonts w:ascii="宋体" w:eastAsia="宋体" w:hAnsi="宋体" w:hint="eastAsia"/>
          <w:color w:val="FF0000"/>
          <w:kern w:val="2"/>
          <w:sz w:val="20"/>
          <w:szCs w:val="20"/>
          <w:lang w:eastAsia="zh-CN"/>
        </w:rPr>
      </w:pPr>
      <w:r>
        <w:rPr>
          <w:rFonts w:ascii="宋体" w:eastAsia="宋体" w:hAnsi="宋体" w:hint="eastAsia"/>
          <w:color w:val="FF0000"/>
          <w:kern w:val="2"/>
          <w:sz w:val="20"/>
          <w:szCs w:val="20"/>
          <w:lang w:eastAsia="zh-CN"/>
        </w:rPr>
        <w:t>（九）其他违反本条例规定的行为。</w:t>
      </w:r>
    </w:p>
    <w:p>
      <w:pPr>
        <w:widowControl w:val="0"/>
        <w:ind w:firstLine="400" w:firstLineChars="200"/>
        <w:jc w:val="both"/>
        <w:rPr>
          <w:rFonts w:ascii="宋体" w:eastAsia="宋体" w:hAnsi="宋体" w:hint="eastAsia"/>
          <w:color w:val="FF0000"/>
          <w:kern w:val="2"/>
          <w:sz w:val="20"/>
          <w:szCs w:val="20"/>
          <w:lang w:eastAsia="zh-CN"/>
        </w:rPr>
      </w:pPr>
      <w:r>
        <w:rPr>
          <w:rFonts w:ascii="宋体" w:eastAsia="宋体" w:hAnsi="宋体" w:hint="eastAsia"/>
          <w:b/>
          <w:bCs/>
          <w:color w:val="FF0000"/>
          <w:kern w:val="2"/>
          <w:sz w:val="20"/>
          <w:szCs w:val="20"/>
          <w:lang w:eastAsia="zh-CN"/>
        </w:rPr>
        <w:t>二、《深圳经济特区政府采购条例实施细则》第七十五条 </w:t>
      </w:r>
      <w:r>
        <w:rPr>
          <w:rFonts w:ascii="宋体" w:eastAsia="宋体" w:hAnsi="宋体" w:hint="eastAsia"/>
          <w:color w:val="FF0000"/>
          <w:kern w:val="2"/>
          <w:sz w:val="20"/>
          <w:szCs w:val="20"/>
          <w:lang w:eastAsia="zh-CN"/>
        </w:rPr>
        <w:t>供应商有下列情形的，属于采购条例所称的串通投标行为，按照采购条例第五十七条有关规定处理：（一）投标供应商之间相互约定给予未中标的供应商利益补偿；（二）不同投标供应商的法定代表人、主要经营负责人、项目投标授权代表人、项目负责人、主要技术人员为同一人、属同一单位或者在同一单位缴纳社会保险；（三）不同投标供应商的投标文件由同一单位或者同一人编制，或者由同一人分阶段参与编制的；（四）不同投标供应商的投标文件或部分投标文件相互混装；（五）不同投标供应商的投标文件内容存在非正常一致；（六）由同一单位工作人员为两家以上（含两家）供应商进行同一项投标活动的；（七）主管部门依照法律、法规认定的其他情形。</w:t>
      </w:r>
    </w:p>
    <w:p>
      <w:pPr>
        <w:widowControl w:val="0"/>
        <w:ind w:firstLine="400" w:firstLineChars="200"/>
        <w:jc w:val="both"/>
        <w:rPr>
          <w:rFonts w:ascii="宋体" w:eastAsia="宋体" w:hAnsi="宋体" w:hint="eastAsia"/>
          <w:color w:val="FF0000"/>
          <w:kern w:val="2"/>
          <w:sz w:val="20"/>
          <w:szCs w:val="20"/>
          <w:lang w:eastAsia="zh-CN"/>
        </w:rPr>
      </w:pPr>
      <w:r>
        <w:rPr>
          <w:rFonts w:ascii="宋体" w:eastAsia="宋体" w:hAnsi="宋体" w:hint="eastAsia"/>
          <w:b/>
          <w:bCs/>
          <w:color w:val="FF0000"/>
          <w:kern w:val="2"/>
          <w:sz w:val="20"/>
          <w:szCs w:val="20"/>
          <w:lang w:eastAsia="zh-CN"/>
        </w:rPr>
        <w:t>三、《深圳经济特区政府采购条例实施细则》第七十七条 </w:t>
      </w:r>
      <w:r>
        <w:rPr>
          <w:rFonts w:ascii="宋体" w:eastAsia="宋体" w:hAnsi="宋体" w:hint="eastAsia"/>
          <w:color w:val="FF0000"/>
          <w:kern w:val="2"/>
          <w:sz w:val="20"/>
          <w:szCs w:val="20"/>
          <w:lang w:eastAsia="zh-CN"/>
        </w:rPr>
        <w:t>供应商有下列情形之一的，属于隐瞒真实情况，提供虚假资料，按照采购条例第五十七条的有关规定处理：（一）通过转让或者租借等方式从其他单位获取资格或者资质证书投标的；（二）由其他单位或者其他单位负责人在投标供应商编制的投标文件上加盖印章或者签字的；（三）项目负责人或者主要技术人员不是本单位人员的；（四）投标保证金不是从投标供应商基本账户转出的；（五）其他隐瞒真实情况、提供虚假资料的行为。</w:t>
      </w:r>
    </w:p>
    <w:p>
      <w:pPr>
        <w:widowControl w:val="0"/>
        <w:ind w:firstLine="400" w:firstLineChars="200"/>
        <w:jc w:val="both"/>
        <w:rPr>
          <w:rFonts w:ascii="宋体" w:eastAsia="宋体" w:hAnsi="宋体" w:hint="eastAsia"/>
          <w:color w:val="FF0000"/>
          <w:kern w:val="2"/>
          <w:sz w:val="20"/>
          <w:szCs w:val="20"/>
          <w:lang w:eastAsia="zh-CN"/>
        </w:rPr>
      </w:pPr>
      <w:r>
        <w:rPr>
          <w:rFonts w:ascii="宋体" w:eastAsia="宋体" w:hAnsi="宋体" w:hint="eastAsia"/>
          <w:color w:val="FF0000"/>
          <w:kern w:val="2"/>
          <w:sz w:val="20"/>
          <w:szCs w:val="20"/>
          <w:lang w:eastAsia="zh-CN"/>
        </w:rPr>
        <w:t>投标供应商不能提供项目负责人或者主要技术人员的劳动合同、社会保险等劳动关系证明材料的，视为存在前款第（三）项规定的情形。</w:t>
      </w:r>
    </w:p>
    <w:p>
      <w:pPr>
        <w:widowControl w:val="0"/>
        <w:ind w:firstLine="420" w:firstLineChars="200"/>
        <w:jc w:val="both"/>
        <w:rPr>
          <w:rFonts w:eastAsia="宋体"/>
          <w:b/>
          <w:color w:val="FF0000"/>
          <w:kern w:val="2"/>
          <w:sz w:val="21"/>
          <w:lang w:eastAsia="zh-CN"/>
        </w:rPr>
      </w:pPr>
      <w:r>
        <w:rPr>
          <w:rFonts w:eastAsia="宋体" w:hint="eastAsia"/>
          <w:b/>
          <w:color w:val="FF0000"/>
          <w:kern w:val="2"/>
          <w:sz w:val="21"/>
          <w:lang w:eastAsia="zh-CN"/>
        </w:rPr>
        <w:t>四、请供应商阅读《自行采购违法行为风险知悉确认书》（内容详见第四章 投标文件组成要求及格式中节点“供应商认为需要加以说明的其他内容（格式自定）”），并经各供应商负责人或授权代表签字并加盖单位公章后，扫描上传至应答文件一并提交。注：该风险知悉确认书用于对供应商违法行为的警示，不作为供应商资格性审查及符合性审查条件。</w:t>
      </w:r>
    </w:p>
    <w:p>
      <w:pPr>
        <w:widowControl w:val="0"/>
        <w:ind w:firstLine="400" w:firstLineChars="200"/>
        <w:jc w:val="both"/>
        <w:rPr>
          <w:rFonts w:ascii="宋体" w:eastAsia="宋体" w:hAnsi="宋体" w:hint="eastAsia"/>
          <w:color w:val="FF0000"/>
          <w:kern w:val="2"/>
          <w:sz w:val="20"/>
          <w:szCs w:val="20"/>
          <w:lang w:eastAsia="zh-CN"/>
        </w:rPr>
        <w:sectPr>
          <w:pgSz w:w="11907" w:h="16840"/>
          <w:pgMar w:top="1440" w:right="1797" w:bottom="1440" w:left="1797" w:header="851" w:footer="992" w:gutter="0"/>
          <w:cols w:num="1" w:space="425"/>
          <w:titlePg/>
          <w:docGrid w:linePitch="462" w:charSpace="0"/>
        </w:sectPr>
      </w:pPr>
      <w:r>
        <w:rPr>
          <w:rFonts w:ascii="宋体" w:eastAsia="宋体" w:hAnsi="宋体" w:hint="eastAsia"/>
          <w:color w:val="FF0000"/>
          <w:kern w:val="2"/>
          <w:sz w:val="20"/>
          <w:szCs w:val="20"/>
          <w:lang w:eastAsia="zh-CN"/>
        </w:rPr>
        <w:t>五、根据《深圳经济特区政府采购条例实施细则》第七十五条规定，不同投标供应商的投标文件由同一单位或者同一人编制，或者由同一人分阶段参与编制的，或者由同一单位工作人员为两家以上（含两家）供应商进行同一项投标活动的，属于串通投标行为。一经查实，供应商将面临罚款、一定年限内禁止参与政府采购活动的行政处罚，请各供应商独立编制、上传投标文件，妥善保管和使用电子秘钥。</w:t>
      </w:r>
    </w:p>
    <w:p>
      <w:pPr>
        <w:keepNext/>
        <w:keepLines/>
        <w:widowControl w:val="0"/>
        <w:spacing w:before="340" w:after="330" w:line="360" w:lineRule="auto"/>
        <w:jc w:val="center"/>
        <w:outlineLvl w:val="0"/>
        <w:rPr>
          <w:rFonts w:ascii="宋体" w:eastAsia="黑体" w:hAnsi="宋体" w:hint="eastAsia"/>
          <w:b/>
          <w:bCs/>
          <w:kern w:val="44"/>
          <w:sz w:val="28"/>
          <w:szCs w:val="44"/>
          <w:lang w:eastAsia="zh-CN"/>
        </w:rPr>
      </w:pPr>
      <w:bookmarkStart w:id="8" w:name="_Hlk72218009"/>
      <w:r>
        <w:rPr>
          <w:rFonts w:ascii="宋体" w:eastAsia="黑体" w:hAnsi="宋体" w:hint="eastAsia"/>
          <w:b/>
          <w:bCs/>
          <w:kern w:val="44"/>
          <w:sz w:val="28"/>
          <w:szCs w:val="44"/>
          <w:lang w:eastAsia="zh-CN"/>
        </w:rPr>
        <w:t>目   录</w:t>
      </w:r>
    </w:p>
    <w:p>
      <w:pPr>
        <w:widowControl/>
        <w:wordWrap w:val="0"/>
        <w:jc w:val="left"/>
        <w:textAlignment w:val="top"/>
        <w:rPr>
          <w:rFonts w:eastAsia="宋体"/>
          <w:kern w:val="2"/>
          <w:sz w:val="21"/>
          <w:szCs w:val="21"/>
          <w:lang w:eastAsia="zh-CN"/>
        </w:rPr>
      </w:pPr>
      <w:r>
        <w:rPr>
          <w:rFonts w:eastAsia="宋体" w:hint="eastAsia"/>
          <w:kern w:val="2"/>
          <w:lang w:eastAsia="zh-CN"/>
        </w:rPr>
        <w:t xml:space="preserve">        </w:t>
      </w:r>
      <w:r>
        <w:rPr>
          <w:rFonts w:eastAsia="宋体" w:hint="eastAsia"/>
          <w:kern w:val="2"/>
          <w:sz w:val="21"/>
          <w:szCs w:val="21"/>
          <w:lang w:eastAsia="zh-CN"/>
        </w:rPr>
        <w:t xml:space="preserve">  </w:t>
      </w:r>
      <w:r>
        <w:rPr>
          <w:rFonts w:eastAsia="宋体"/>
          <w:kern w:val="2"/>
          <w:sz w:val="21"/>
          <w:szCs w:val="21"/>
          <w:lang w:eastAsia="zh-CN"/>
        </w:rPr>
        <w:t xml:space="preserve">           </w:t>
      </w:r>
      <w:r>
        <w:rPr>
          <w:rFonts w:eastAsia="宋体" w:hint="eastAsia"/>
          <w:kern w:val="2"/>
          <w:sz w:val="21"/>
          <w:szCs w:val="21"/>
          <w:lang w:eastAsia="zh-CN"/>
        </w:rPr>
        <w:t>关键信息</w:t>
      </w:r>
    </w:p>
    <w:p>
      <w:pPr>
        <w:widowControl/>
        <w:wordWrap w:val="0"/>
        <w:ind w:firstLine="1260" w:firstLineChars="600"/>
        <w:jc w:val="left"/>
        <w:textAlignment w:val="top"/>
        <w:rPr>
          <w:rFonts w:eastAsia="宋体"/>
          <w:kern w:val="2"/>
          <w:sz w:val="21"/>
          <w:szCs w:val="21"/>
          <w:lang w:eastAsia="zh-CN"/>
        </w:rPr>
      </w:pPr>
      <w:r>
        <w:rPr>
          <w:rFonts w:eastAsia="宋体" w:hint="eastAsia"/>
          <w:kern w:val="2"/>
          <w:sz w:val="21"/>
          <w:szCs w:val="21"/>
          <w:lang w:eastAsia="zh-CN"/>
        </w:rPr>
        <w:t>第一章  谈判公告</w:t>
      </w:r>
    </w:p>
    <w:p>
      <w:pPr>
        <w:widowControl/>
        <w:wordWrap w:val="0"/>
        <w:ind w:firstLine="1260" w:firstLineChars="600"/>
        <w:jc w:val="left"/>
        <w:textAlignment w:val="top"/>
        <w:rPr>
          <w:rFonts w:eastAsia="宋体"/>
          <w:kern w:val="2"/>
          <w:sz w:val="21"/>
          <w:szCs w:val="21"/>
          <w:lang w:eastAsia="zh-CN"/>
        </w:rPr>
      </w:pPr>
      <w:r>
        <w:rPr>
          <w:rFonts w:eastAsia="宋体" w:hint="eastAsia"/>
          <w:kern w:val="2"/>
          <w:sz w:val="21"/>
          <w:szCs w:val="21"/>
          <w:lang w:eastAsia="zh-CN"/>
        </w:rPr>
        <w:t xml:space="preserve">第二章  </w:t>
      </w:r>
      <w:bookmarkStart w:id="9" w:name="_Hlk71994379"/>
      <w:r>
        <w:rPr>
          <w:rFonts w:eastAsia="宋体" w:hint="eastAsia"/>
          <w:kern w:val="2"/>
          <w:sz w:val="21"/>
          <w:szCs w:val="21"/>
          <w:lang w:eastAsia="zh-CN"/>
        </w:rPr>
        <w:t>对谈判须知条款的补充内容及其他关键信息</w:t>
      </w:r>
      <w:bookmarkEnd w:id="9"/>
    </w:p>
    <w:p>
      <w:pPr>
        <w:widowControl/>
        <w:wordWrap w:val="0"/>
        <w:ind w:firstLine="1260" w:firstLineChars="600"/>
        <w:jc w:val="left"/>
        <w:textAlignment w:val="top"/>
        <w:rPr>
          <w:rFonts w:eastAsia="宋体"/>
          <w:kern w:val="2"/>
          <w:sz w:val="21"/>
          <w:szCs w:val="21"/>
          <w:lang w:eastAsia="zh-CN"/>
        </w:rPr>
      </w:pPr>
      <w:r>
        <w:rPr>
          <w:rFonts w:eastAsia="宋体" w:hint="eastAsia"/>
          <w:kern w:val="2"/>
          <w:sz w:val="21"/>
          <w:szCs w:val="21"/>
          <w:lang w:eastAsia="zh-CN"/>
        </w:rPr>
        <w:t xml:space="preserve">第三章 </w:t>
      </w:r>
      <w:r>
        <w:rPr>
          <w:rFonts w:eastAsia="宋体"/>
          <w:kern w:val="2"/>
          <w:sz w:val="21"/>
          <w:szCs w:val="21"/>
          <w:lang w:eastAsia="zh-CN"/>
        </w:rPr>
        <w:t xml:space="preserve"> </w:t>
      </w:r>
      <w:r>
        <w:rPr>
          <w:rFonts w:eastAsia="宋体" w:hint="eastAsia"/>
          <w:kern w:val="2"/>
          <w:sz w:val="21"/>
          <w:szCs w:val="21"/>
          <w:lang w:eastAsia="zh-CN"/>
        </w:rPr>
        <w:t>用户需求书</w:t>
      </w:r>
    </w:p>
    <w:p>
      <w:pPr>
        <w:widowControl/>
        <w:wordWrap w:val="0"/>
        <w:ind w:firstLine="1260" w:firstLineChars="600"/>
        <w:jc w:val="left"/>
        <w:textAlignment w:val="top"/>
        <w:rPr>
          <w:rFonts w:eastAsia="宋体"/>
          <w:kern w:val="2"/>
          <w:sz w:val="21"/>
          <w:szCs w:val="21"/>
          <w:lang w:eastAsia="zh-CN"/>
        </w:rPr>
      </w:pPr>
      <w:r>
        <w:rPr>
          <w:rFonts w:eastAsia="宋体" w:hint="eastAsia"/>
          <w:kern w:val="2"/>
          <w:sz w:val="21"/>
          <w:szCs w:val="21"/>
          <w:lang w:eastAsia="zh-CN"/>
        </w:rPr>
        <w:t xml:space="preserve">第四章 </w:t>
      </w:r>
      <w:r>
        <w:rPr>
          <w:rFonts w:eastAsia="宋体"/>
          <w:kern w:val="2"/>
          <w:sz w:val="21"/>
          <w:szCs w:val="21"/>
          <w:lang w:eastAsia="zh-CN"/>
        </w:rPr>
        <w:t xml:space="preserve"> </w:t>
      </w:r>
      <w:r>
        <w:rPr>
          <w:rFonts w:eastAsia="宋体" w:hint="eastAsia"/>
          <w:kern w:val="2"/>
          <w:sz w:val="21"/>
          <w:szCs w:val="21"/>
          <w:lang w:eastAsia="zh-CN"/>
        </w:rPr>
        <w:t>谈判应答文件组成要求及格式</w:t>
      </w:r>
    </w:p>
    <w:p>
      <w:pPr>
        <w:widowControl/>
        <w:wordWrap w:val="0"/>
        <w:ind w:firstLine="1260" w:firstLineChars="600"/>
        <w:jc w:val="left"/>
        <w:textAlignment w:val="top"/>
        <w:rPr>
          <w:rFonts w:eastAsia="宋体"/>
          <w:kern w:val="2"/>
          <w:sz w:val="21"/>
          <w:szCs w:val="21"/>
          <w:lang w:eastAsia="zh-CN"/>
        </w:rPr>
      </w:pPr>
      <w:r>
        <w:rPr>
          <w:rFonts w:eastAsia="宋体" w:hint="eastAsia"/>
          <w:kern w:val="2"/>
          <w:sz w:val="21"/>
          <w:szCs w:val="21"/>
          <w:lang w:eastAsia="zh-CN"/>
        </w:rPr>
        <w:t>第五章  合同条款及格式</w:t>
      </w:r>
    </w:p>
    <w:p>
      <w:pPr>
        <w:widowControl/>
        <w:wordWrap w:val="0"/>
        <w:ind w:firstLine="1260" w:firstLineChars="600"/>
        <w:jc w:val="left"/>
        <w:textAlignment w:val="top"/>
        <w:rPr>
          <w:rFonts w:eastAsia="宋体"/>
          <w:kern w:val="2"/>
          <w:sz w:val="21"/>
          <w:szCs w:val="21"/>
          <w:lang w:eastAsia="zh-CN"/>
        </w:rPr>
      </w:pPr>
      <w:r>
        <w:rPr>
          <w:rFonts w:eastAsia="宋体" w:hint="eastAsia"/>
          <w:kern w:val="2"/>
          <w:sz w:val="21"/>
          <w:szCs w:val="21"/>
          <w:lang w:eastAsia="zh-CN"/>
        </w:rPr>
        <w:t xml:space="preserve">第六章 </w:t>
      </w:r>
      <w:r>
        <w:rPr>
          <w:rFonts w:eastAsia="宋体"/>
          <w:kern w:val="2"/>
          <w:sz w:val="21"/>
          <w:szCs w:val="21"/>
          <w:lang w:eastAsia="zh-CN"/>
        </w:rPr>
        <w:t xml:space="preserve"> </w:t>
      </w:r>
      <w:r>
        <w:rPr>
          <w:rFonts w:eastAsia="宋体" w:hint="eastAsia"/>
          <w:kern w:val="2"/>
          <w:sz w:val="21"/>
          <w:szCs w:val="21"/>
          <w:lang w:eastAsia="zh-CN"/>
        </w:rPr>
        <w:t>谈判须知</w:t>
      </w:r>
    </w:p>
    <w:p>
      <w:pPr>
        <w:widowControl/>
        <w:jc w:val="left"/>
        <w:rPr>
          <w:rFonts w:eastAsia="宋体"/>
          <w:kern w:val="2"/>
          <w:sz w:val="21"/>
          <w:szCs w:val="21"/>
          <w:lang w:eastAsia="zh-CN"/>
        </w:rPr>
      </w:pPr>
      <w:r>
        <w:rPr>
          <w:rFonts w:eastAsia="宋体"/>
          <w:kern w:val="2"/>
          <w:sz w:val="21"/>
          <w:szCs w:val="21"/>
          <w:lang w:eastAsia="zh-CN"/>
        </w:rPr>
        <w:br w:type="page"/>
      </w:r>
    </w:p>
    <w:bookmarkEnd w:id="8"/>
    <w:p>
      <w:pPr>
        <w:keepNext/>
        <w:keepLines/>
        <w:widowControl w:val="0"/>
        <w:adjustRightInd w:val="0"/>
        <w:spacing w:before="260" w:after="260" w:line="360" w:lineRule="auto"/>
        <w:jc w:val="center"/>
        <w:textAlignment w:val="baseline"/>
        <w:outlineLvl w:val="1"/>
        <w:rPr>
          <w:rFonts w:ascii="宋体" w:eastAsia="宋体" w:hAnsi="宋体" w:hint="eastAsia"/>
          <w:b/>
          <w:bCs/>
          <w:sz w:val="28"/>
          <w:szCs w:val="20"/>
          <w:lang w:eastAsia="zh-CN"/>
        </w:rPr>
      </w:pPr>
      <w:bookmarkStart w:id="10" w:name="bt合同格式"/>
      <w:bookmarkEnd w:id="10"/>
      <w:bookmarkStart w:id="11" w:name="bt投标函"/>
      <w:bookmarkEnd w:id="11"/>
      <w:bookmarkStart w:id="12" w:name="bt投标人须知"/>
      <w:bookmarkEnd w:id="12"/>
      <w:bookmarkStart w:id="13" w:name="bt技术标投标文件格式"/>
      <w:bookmarkEnd w:id="13"/>
      <w:bookmarkStart w:id="14" w:name="bt投标人情况介绍"/>
      <w:bookmarkEnd w:id="14"/>
      <w:bookmarkStart w:id="15" w:name="bt合同条款"/>
      <w:bookmarkEnd w:id="15"/>
      <w:bookmarkStart w:id="16" w:name="bt投标报价汇总表"/>
      <w:bookmarkEnd w:id="16"/>
      <w:bookmarkStart w:id="17" w:name="bt其他资料2"/>
      <w:bookmarkEnd w:id="17"/>
      <w:bookmarkStart w:id="18" w:name="bt合同条款及格式"/>
      <w:bookmarkEnd w:id="18"/>
      <w:bookmarkStart w:id="19" w:name="bt投标文件签署授权委托书"/>
      <w:bookmarkEnd w:id="19"/>
      <w:bookmarkStart w:id="20" w:name="合同格式"/>
      <w:bookmarkEnd w:id="20"/>
      <w:bookmarkStart w:id="21" w:name="bt说明"/>
      <w:bookmarkEnd w:id="21"/>
      <w:bookmarkStart w:id="22" w:name="bt开标一览表"/>
      <w:bookmarkEnd w:id="22"/>
      <w:bookmarkStart w:id="23" w:name="bt其他资料由投标人自定"/>
      <w:bookmarkEnd w:id="23"/>
      <w:bookmarkStart w:id="24" w:name="bt商务标投标文件格式"/>
      <w:bookmarkEnd w:id="24"/>
      <w:bookmarkStart w:id="25" w:name="bt项目管理班子配备情况"/>
      <w:bookmarkEnd w:id="25"/>
      <w:bookmarkStart w:id="26" w:name="bt本工程承诺书"/>
      <w:bookmarkEnd w:id="26"/>
      <w:r>
        <w:rPr>
          <w:rFonts w:ascii="宋体" w:eastAsia="宋体" w:hAnsi="宋体" w:hint="eastAsia"/>
          <w:b/>
          <w:bCs/>
          <w:sz w:val="28"/>
          <w:szCs w:val="20"/>
          <w:lang w:eastAsia="zh-CN"/>
        </w:rPr>
        <w:t>第一章 谈判公告</w:t>
      </w:r>
    </w:p>
    <w:p>
      <w:pPr>
        <w:widowControl w:val="0"/>
        <w:spacing w:line="360" w:lineRule="auto"/>
        <w:jc w:val="both"/>
        <w:rPr>
          <w:rFonts w:ascii="宋体" w:eastAsia="宋体" w:hAnsi="宋体" w:cs="宋体" w:hint="eastAsia"/>
          <w:b/>
          <w:bCs/>
          <w:sz w:val="21"/>
          <w:szCs w:val="21"/>
          <w:lang w:eastAsia="zh-CN"/>
        </w:rPr>
      </w:pPr>
      <w:r>
        <w:rPr>
          <w:rFonts w:ascii="宋体" w:eastAsia="宋体" w:hAnsi="宋体" w:cs="宋体" w:hint="eastAsia"/>
          <w:b/>
          <w:bCs/>
          <w:sz w:val="21"/>
          <w:szCs w:val="21"/>
          <w:lang w:eastAsia="zh-CN"/>
        </w:rPr>
        <w:t>申请人的资格要求：</w:t>
      </w:r>
    </w:p>
    <w:p>
      <w:pPr>
        <w:widowControl w:val="0"/>
        <w:ind w:firstLine="420" w:firstLineChars="200"/>
        <w:jc w:val="both"/>
        <w:rPr>
          <w:rFonts w:ascii="宋体" w:eastAsia="宋体" w:hAnsi="宋体"/>
          <w:kern w:val="2"/>
          <w:sz w:val="21"/>
          <w:szCs w:val="21"/>
          <w:lang w:eastAsia="zh-CN"/>
        </w:rPr>
      </w:pPr>
      <w:bookmarkStart w:id="27" w:name="_Hlk72162904"/>
      <w:r>
        <w:rPr>
          <w:rFonts w:ascii="宋体" w:eastAsia="宋体" w:hAnsi="宋体" w:cs="宋体" w:hint="eastAsia"/>
          <w:sz w:val="21"/>
          <w:szCs w:val="21"/>
          <w:lang w:eastAsia="zh-CN"/>
        </w:rPr>
        <w:t>1.</w:t>
      </w:r>
      <w:bookmarkEnd w:id="27"/>
      <w:r>
        <w:rPr>
          <w:rFonts w:ascii="宋体" w:eastAsia="宋体" w:hAnsi="宋体" w:hint="eastAsia"/>
          <w:kern w:val="2"/>
          <w:sz w:val="21"/>
          <w:szCs w:val="21"/>
          <w:lang w:eastAsia="zh-CN"/>
        </w:rPr>
        <w:t>必须是采购人推荐的供应商（提供营业执照或事业单位法人证书等证明资料扫描件）；</w:t>
      </w:r>
    </w:p>
    <w:p>
      <w:pPr>
        <w:widowControl w:val="0"/>
        <w:ind w:firstLine="420" w:firstLineChars="200"/>
        <w:jc w:val="both"/>
        <w:rPr>
          <w:rFonts w:ascii="宋体" w:eastAsia="宋体" w:hAnsi="宋体" w:cs="宋体" w:hint="eastAsia"/>
          <w:sz w:val="21"/>
          <w:szCs w:val="21"/>
          <w:lang w:eastAsia="zh-CN"/>
        </w:rPr>
      </w:pPr>
      <w:r>
        <w:rPr>
          <w:rFonts w:ascii="宋体" w:eastAsia="宋体" w:hAnsi="宋体" w:cs="宋体" w:hint="eastAsia"/>
          <w:color w:val="FF0000"/>
          <w:sz w:val="21"/>
          <w:szCs w:val="21"/>
          <w:lang w:eastAsia="zh-CN"/>
        </w:rPr>
        <w:t>2.本项目不接受联合体参与谈判，不接受供应商选用进口产品参与谈判（由供应商在《采购应答及履约承诺函》中作出声明）；</w:t>
      </w:r>
    </w:p>
    <w:p>
      <w:pPr>
        <w:widowControl w:val="0"/>
        <w:ind w:firstLine="420" w:firstLineChars="200"/>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3</w:t>
      </w:r>
      <w:r>
        <w:rPr>
          <w:rFonts w:ascii="宋体" w:eastAsia="宋体" w:hAnsi="宋体" w:cs="宋体"/>
          <w:sz w:val="21"/>
          <w:szCs w:val="21"/>
          <w:lang w:eastAsia="zh-CN"/>
        </w:rPr>
        <w:t>.</w:t>
      </w:r>
      <w:r>
        <w:rPr>
          <w:rFonts w:ascii="宋体" w:eastAsia="宋体" w:hAnsi="宋体" w:cs="宋体" w:hint="eastAsia"/>
          <w:sz w:val="21"/>
          <w:szCs w:val="21"/>
          <w:lang w:eastAsia="zh-CN"/>
        </w:rPr>
        <w:t>参与本项目政府采购活动时不存在被有关部门禁止参与政府采购活动且在有效期内的情况（由供应商在《采购应答及履约承诺函》中作出声明）；</w:t>
      </w:r>
    </w:p>
    <w:p>
      <w:pPr>
        <w:widowControl w:val="0"/>
        <w:ind w:firstLine="420" w:firstLineChars="200"/>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4</w:t>
      </w:r>
      <w:r>
        <w:rPr>
          <w:rFonts w:ascii="宋体" w:eastAsia="宋体" w:hAnsi="宋体" w:cs="宋体"/>
          <w:sz w:val="21"/>
          <w:szCs w:val="21"/>
          <w:lang w:eastAsia="zh-CN"/>
        </w:rPr>
        <w:t>.</w:t>
      </w:r>
      <w:r>
        <w:rPr>
          <w:rFonts w:ascii="宋体" w:eastAsia="宋体" w:hAnsi="宋体" w:cs="宋体" w:hint="eastAsia"/>
          <w:sz w:val="21"/>
          <w:szCs w:val="21"/>
          <w:lang w:eastAsia="zh-CN"/>
        </w:rPr>
        <w:t>具备《中华人民共和国政府采购法》第二十二条第一款的条件（由供应商在《采购应答及履约承诺函》中作出声明）；</w:t>
      </w:r>
    </w:p>
    <w:p>
      <w:pPr>
        <w:widowControl w:val="0"/>
        <w:ind w:firstLine="420" w:firstLineChars="200"/>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5</w:t>
      </w:r>
      <w:r>
        <w:rPr>
          <w:rFonts w:ascii="宋体" w:eastAsia="宋体" w:hAnsi="宋体" w:cs="宋体"/>
          <w:sz w:val="21"/>
          <w:szCs w:val="21"/>
          <w:lang w:eastAsia="zh-CN"/>
        </w:rPr>
        <w:t>.</w:t>
      </w:r>
      <w:r>
        <w:rPr>
          <w:rFonts w:ascii="宋体" w:eastAsia="宋体" w:hAnsi="宋体" w:cs="宋体" w:hint="eastAsia"/>
          <w:sz w:val="21"/>
          <w:szCs w:val="21"/>
          <w:lang w:eastAsia="zh-CN"/>
        </w:rPr>
        <w:t>未被列入失信被执行人、重大税收违法案件当事人名单、政府采购严重违法失信行为记录名单（由供应商在《采购应答及履约承诺函》中作出声明）；</w:t>
      </w:r>
    </w:p>
    <w:p>
      <w:pPr>
        <w:widowControl w:val="0"/>
        <w:ind w:firstLine="420" w:firstLineChars="200"/>
        <w:jc w:val="both"/>
        <w:rPr>
          <w:rFonts w:ascii="宋体" w:eastAsia="宋体" w:hAnsi="宋体" w:cs="宋体" w:hint="eastAsia"/>
          <w:color w:val="FF0000"/>
          <w:sz w:val="21"/>
          <w:szCs w:val="21"/>
          <w:lang w:eastAsia="zh-CN"/>
        </w:rPr>
      </w:pPr>
      <w:r>
        <w:rPr>
          <w:rFonts w:ascii="宋体" w:eastAsia="宋体" w:hAnsi="宋体" w:cs="宋体" w:hint="eastAsia"/>
          <w:color w:val="FF0000"/>
          <w:sz w:val="21"/>
          <w:szCs w:val="21"/>
          <w:lang w:eastAsia="zh-CN"/>
        </w:rPr>
        <w:t>6.不存在《深圳市财政局政府采购供应商信用信息管理办法》（深财规〔2023〕3号）列明的严重违法失信行为（由供应商在《采购应答及履约承诺函》中作出声明）；</w:t>
      </w:r>
    </w:p>
    <w:p>
      <w:pPr>
        <w:widowControl w:val="0"/>
        <w:ind w:firstLine="420" w:firstLineChars="200"/>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7.单位负责人为同一人或者存在直接控股、管理关系的不同供应商，不得参加同一合同项下的政府采购活动；为采购项目提供整体设计、规范编制或者项目管理、监理、检测等服务的供应商，不得再参加该采购项目的其他采购活动（由供应商在《采购应答及履约承诺函》中作出声明）；</w:t>
      </w:r>
    </w:p>
    <w:p>
      <w:pPr>
        <w:widowControl w:val="0"/>
        <w:ind w:firstLine="420" w:firstLineChars="200"/>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8.本项目是（否）专门面向中小企业采购：否</w:t>
      </w:r>
      <w:r>
        <w:rPr>
          <w:rFonts w:ascii="宋体" w:eastAsia="宋体" w:hAnsi="宋体" w:cs="宋体" w:hint="eastAsia"/>
          <w:sz w:val="21"/>
          <w:szCs w:val="21"/>
          <w:lang w:eastAsia="zh-CN"/>
        </w:rPr>
        <w:t>。</w:t>
      </w:r>
    </w:p>
    <w:p>
      <w:pPr>
        <w:widowControl w:val="0"/>
        <w:ind w:firstLine="420" w:firstLineChars="200"/>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注：（1）“信用中国”（www.creditchina.gov.cn，查询“信用服务”栏的“重大税收违法失信主体”“失信被执行人”或者下载信用信息报告），“中国政府采购网”（www.ccgp.gov.cn）中的“政府采购严重违法失信行为记录名单”，以及“深圳市政府采购监管网”（http://zfcg.sz.gov.cn）为供应商信用信息的查询渠道，相关信息以开标（谈判）当日的查询结果为准；</w:t>
      </w:r>
    </w:p>
    <w:p>
      <w:pPr>
        <w:widowControl w:val="0"/>
        <w:ind w:firstLine="420" w:firstLineChars="200"/>
        <w:jc w:val="both"/>
        <w:rPr>
          <w:rFonts w:ascii="宋体" w:eastAsia="宋体" w:hAnsi="宋体" w:cs="宋体" w:hint="eastAsia"/>
          <w:sz w:val="21"/>
          <w:szCs w:val="21"/>
          <w:lang w:eastAsia="zh-CN"/>
        </w:rPr>
      </w:pPr>
      <w:r>
        <w:rPr>
          <w:rFonts w:ascii="宋体" w:eastAsia="宋体" w:hAnsi="宋体" w:hint="eastAsia"/>
          <w:kern w:val="2"/>
          <w:sz w:val="21"/>
          <w:szCs w:val="21"/>
          <w:lang w:eastAsia="zh-CN"/>
        </w:rPr>
        <w:t>（2）供应商谈判响应（上传应答文件）必须先行办理注册手续，具体操作指引请按照深圳公共资源交易网/交易服务指南/资料下载/深圳政府采购自行采购系统用户操作指引（供应商）相关内容指引办理。</w:t>
      </w:r>
    </w:p>
    <w:p>
      <w:pPr>
        <w:widowControl w:val="0"/>
        <w:ind w:firstLine="420" w:firstLineChars="200"/>
        <w:jc w:val="both"/>
        <w:rPr>
          <w:rFonts w:ascii="宋体" w:eastAsia="宋体" w:hAnsi="宋体" w:cs="宋体" w:hint="eastAsia"/>
          <w:color w:val="FF0000"/>
          <w:sz w:val="21"/>
          <w:szCs w:val="21"/>
          <w:lang w:eastAsia="zh-CN"/>
        </w:rPr>
      </w:pP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完整公告内容详见：深圳交易集团（深圳公共资源交易中心）官网https://www.szexgrp.com/jyfw/zfcg-view.html?id=zfcg</w:t>
      </w:r>
    </w:p>
    <w:p>
      <w:pPr>
        <w:widowControl w:val="0"/>
        <w:ind w:firstLine="420" w:firstLineChars="200"/>
        <w:jc w:val="both"/>
        <w:rPr>
          <w:rFonts w:ascii="宋体" w:eastAsia="宋体" w:hAnsi="宋体" w:hint="eastAsia"/>
          <w:b/>
          <w:bCs/>
          <w:color w:val="FF0000"/>
          <w:kern w:val="2"/>
          <w:sz w:val="21"/>
          <w:szCs w:val="21"/>
          <w:lang w:eastAsia="zh-CN"/>
        </w:rPr>
      </w:pPr>
      <w:bookmarkStart w:id="28" w:name="_Hlk101431859"/>
    </w:p>
    <w:p>
      <w:pPr>
        <w:widowControl w:val="0"/>
        <w:ind w:firstLine="420" w:firstLineChars="200"/>
        <w:jc w:val="both"/>
        <w:rPr>
          <w:rFonts w:ascii="宋体" w:eastAsia="宋体" w:hAnsi="宋体"/>
          <w:b/>
          <w:bCs/>
          <w:color w:val="000000"/>
          <w:kern w:val="2"/>
          <w:sz w:val="21"/>
          <w:szCs w:val="21"/>
          <w:lang w:eastAsia="zh-CN"/>
        </w:rPr>
      </w:pPr>
      <w:r>
        <w:rPr>
          <w:rFonts w:ascii="宋体" w:eastAsia="宋体" w:hAnsi="宋体" w:hint="eastAsia"/>
          <w:b/>
          <w:bCs/>
          <w:color w:val="000000"/>
          <w:kern w:val="2"/>
          <w:sz w:val="21"/>
          <w:szCs w:val="21"/>
          <w:lang w:eastAsia="zh-CN"/>
        </w:rPr>
        <w:t>请在系统公告中补充：</w:t>
      </w:r>
      <w:r>
        <w:rPr>
          <w:rFonts w:ascii="宋体" w:eastAsia="宋体" w:hAnsi="宋体" w:cs="Arial" w:hint="eastAsia"/>
          <w:color w:val="000000"/>
          <w:kern w:val="2"/>
          <w:sz w:val="21"/>
          <w:szCs w:val="21"/>
          <w:lang w:eastAsia="zh-CN"/>
        </w:rPr>
        <w:t>参加谈判的供应商谈判代表应在本项目谈判当日9:00-9:30（应答文件提交截止时间为上午时适用）,14:00-14:30（应答文件提交截止时间为下午时适用）到谈判现场（深圳市南山区西丽街道沙河西路3185号智谷产业园A座深圳交易集团总部大楼3楼），填写谈判供应商签到表。供应商授权代表需提供法定代表人（负责人）授权委托书（加盖公章）、授权委托人身份证（港澳台居民可提供来往通行证；非中国国籍管辖范围人员，可提供公安部门认可的身份证明材料）原件以及电脑和电子密钥证书，到政府集中采购机构指定签到地点按现场工作人员指引填写签到表。</w:t>
      </w:r>
      <w:bookmarkEnd w:id="28"/>
    </w:p>
    <w:p>
      <w:pPr>
        <w:widowControl/>
        <w:jc w:val="left"/>
        <w:rPr>
          <w:rFonts w:eastAsia="宋体"/>
          <w:kern w:val="2"/>
          <w:sz w:val="21"/>
          <w:szCs w:val="20"/>
          <w:lang w:eastAsia="zh-CN"/>
        </w:rPr>
      </w:pPr>
      <w:r>
        <w:rPr>
          <w:rFonts w:eastAsia="宋体"/>
          <w:kern w:val="2"/>
          <w:sz w:val="21"/>
          <w:lang w:eastAsia="zh-CN"/>
        </w:rPr>
        <w:br w:type="page"/>
      </w:r>
    </w:p>
    <w:p>
      <w:pPr>
        <w:widowControl w:val="0"/>
        <w:spacing w:before="60" w:beforeLines="25" w:after="60" w:afterLines="25"/>
        <w:ind w:firstLine="393" w:firstLineChars="187"/>
        <w:jc w:val="both"/>
        <w:rPr>
          <w:rFonts w:eastAsia="宋体"/>
          <w:kern w:val="2"/>
          <w:sz w:val="21"/>
          <w:szCs w:val="20"/>
          <w:lang w:eastAsia="zh-CN"/>
        </w:rPr>
      </w:pPr>
    </w:p>
    <w:p>
      <w:pPr>
        <w:keepNext/>
        <w:keepLines/>
        <w:widowControl w:val="0"/>
        <w:adjustRightInd w:val="0"/>
        <w:spacing w:before="260" w:after="260" w:line="240" w:lineRule="auto"/>
        <w:jc w:val="center"/>
        <w:textAlignment w:val="baseline"/>
        <w:outlineLvl w:val="1"/>
        <w:rPr>
          <w:rFonts w:ascii="宋体" w:eastAsia="宋体" w:hAnsi="宋体" w:hint="eastAsia"/>
          <w:b/>
          <w:bCs/>
          <w:sz w:val="28"/>
          <w:szCs w:val="28"/>
          <w:lang w:eastAsia="zh-CN"/>
        </w:rPr>
      </w:pPr>
      <w:r>
        <w:rPr>
          <w:rFonts w:ascii="宋体" w:eastAsia="宋体" w:hAnsi="宋体" w:hint="eastAsia"/>
          <w:b/>
          <w:bCs/>
          <w:sz w:val="28"/>
          <w:szCs w:val="28"/>
          <w:lang w:eastAsia="zh-CN"/>
        </w:rPr>
        <w:t xml:space="preserve">第二章 </w:t>
      </w:r>
      <w:bookmarkStart w:id="29" w:name="_Hlk71926094"/>
      <w:r>
        <w:rPr>
          <w:rFonts w:ascii="宋体" w:eastAsia="宋体" w:hAnsi="宋体" w:hint="eastAsia"/>
          <w:b/>
          <w:bCs/>
          <w:sz w:val="28"/>
          <w:szCs w:val="28"/>
          <w:lang w:eastAsia="zh-CN"/>
        </w:rPr>
        <w:t>对谈判须知条款的补充内容及其他关键信息</w:t>
      </w:r>
      <w:bookmarkEnd w:id="29"/>
    </w:p>
    <w:p>
      <w:pPr>
        <w:keepNext/>
        <w:keepLines/>
        <w:widowControl w:val="0"/>
        <w:adjustRightInd w:val="0"/>
        <w:spacing w:before="120" w:beforeLines="50" w:after="120" w:afterLines="50" w:line="240" w:lineRule="auto"/>
        <w:jc w:val="center"/>
        <w:textAlignment w:val="baseline"/>
        <w:outlineLvl w:val="1"/>
        <w:rPr>
          <w:rFonts w:ascii="宋体" w:eastAsia="宋体" w:hAnsi="宋体" w:hint="eastAsia"/>
          <w:b/>
          <w:bCs/>
          <w:lang w:eastAsia="zh-CN"/>
        </w:rPr>
      </w:pPr>
      <w:bookmarkStart w:id="30" w:name="_Toc60560625"/>
      <w:bookmarkStart w:id="31" w:name="_Toc73521547"/>
      <w:bookmarkStart w:id="32" w:name="_Toc73517639"/>
      <w:bookmarkStart w:id="33" w:name="_Toc73521635"/>
      <w:bookmarkStart w:id="34" w:name="_Toc101074876"/>
      <w:bookmarkStart w:id="35" w:name="_Toc73518117"/>
      <w:bookmarkStart w:id="36" w:name="_Toc60631620"/>
      <w:bookmarkStart w:id="37" w:name="_Toc100052364"/>
      <w:r>
        <w:rPr>
          <w:rFonts w:ascii="宋体" w:eastAsia="宋体" w:hAnsi="宋体" w:hint="eastAsia"/>
          <w:b/>
          <w:bCs/>
          <w:lang w:eastAsia="zh-CN"/>
        </w:rPr>
        <w:t>一、对谈判须知条款的补充内容</w:t>
      </w:r>
    </w:p>
    <w:bookmarkEnd w:id="30"/>
    <w:bookmarkEnd w:id="31"/>
    <w:bookmarkEnd w:id="32"/>
    <w:bookmarkEnd w:id="33"/>
    <w:bookmarkEnd w:id="34"/>
    <w:bookmarkEnd w:id="35"/>
    <w:bookmarkEnd w:id="36"/>
    <w:bookmarkEnd w:id="37"/>
    <w:tbl>
      <w:tblPr>
        <w:tblStyle w:val="TableNormal"/>
        <w:tblW w:w="5000" w:type="pct"/>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0" w:type="dxa"/>
          <w:left w:w="108" w:type="dxa"/>
          <w:bottom w:w="0" w:type="dxa"/>
          <w:right w:w="108" w:type="dxa"/>
        </w:tblCellMar>
      </w:tblPr>
      <w:tblGrid>
        <w:gridCol w:w="997"/>
        <w:gridCol w:w="2456"/>
        <w:gridCol w:w="5076"/>
      </w:tblGrid>
      <w:tr>
        <w:tblPrEx>
          <w:tblW w:w="5000" w:type="pct"/>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0" w:type="dxa"/>
            <w:left w:w="108" w:type="dxa"/>
            <w:bottom w:w="0" w:type="dxa"/>
            <w:right w:w="108" w:type="dxa"/>
          </w:tblCellMar>
        </w:tblPrEx>
        <w:trPr>
          <w:cantSplit/>
          <w:trHeight w:val="20"/>
          <w:jc w:val="center"/>
        </w:trPr>
        <w:tc>
          <w:tcPr>
            <w:tcW w:w="978" w:type="dxa"/>
            <w:vAlign w:val="center"/>
          </w:tcPr>
          <w:p>
            <w:pPr>
              <w:widowControl w:val="0"/>
              <w:jc w:val="center"/>
              <w:rPr>
                <w:rFonts w:ascii="宋体" w:eastAsia="宋体" w:hAnsi="宋体" w:hint="eastAsia"/>
                <w:b/>
                <w:bCs/>
                <w:kern w:val="2"/>
                <w:sz w:val="21"/>
                <w:lang w:eastAsia="zh-CN"/>
              </w:rPr>
            </w:pPr>
            <w:bookmarkStart w:id="38" w:name="_Hlk72218097"/>
            <w:r>
              <w:rPr>
                <w:rFonts w:ascii="宋体" w:eastAsia="宋体" w:hAnsi="宋体" w:hint="eastAsia"/>
                <w:b/>
                <w:bCs/>
                <w:kern w:val="2"/>
                <w:sz w:val="21"/>
                <w:lang w:eastAsia="zh-CN"/>
              </w:rPr>
              <w:t>通用条款序号</w:t>
            </w:r>
          </w:p>
        </w:tc>
        <w:tc>
          <w:tcPr>
            <w:tcW w:w="2409" w:type="dxa"/>
            <w:vAlign w:val="center"/>
          </w:tcPr>
          <w:p>
            <w:pPr>
              <w:widowControl w:val="0"/>
              <w:jc w:val="center"/>
              <w:rPr>
                <w:rFonts w:ascii="宋体" w:eastAsia="宋体" w:hAnsi="宋体" w:hint="eastAsia"/>
                <w:b/>
                <w:bCs/>
                <w:kern w:val="2"/>
                <w:sz w:val="21"/>
                <w:lang w:eastAsia="zh-CN"/>
              </w:rPr>
            </w:pPr>
            <w:r>
              <w:rPr>
                <w:rFonts w:ascii="宋体" w:eastAsia="宋体" w:hAnsi="宋体" w:hint="eastAsia"/>
                <w:b/>
                <w:bCs/>
                <w:kern w:val="2"/>
                <w:sz w:val="21"/>
                <w:lang w:eastAsia="zh-CN"/>
              </w:rPr>
              <w:t>涉及事项</w:t>
            </w:r>
          </w:p>
        </w:tc>
        <w:tc>
          <w:tcPr>
            <w:tcW w:w="4980" w:type="dxa"/>
            <w:vAlign w:val="center"/>
          </w:tcPr>
          <w:p>
            <w:pPr>
              <w:widowControl w:val="0"/>
              <w:jc w:val="center"/>
              <w:rPr>
                <w:rFonts w:ascii="宋体" w:eastAsia="宋体" w:hAnsi="宋体" w:hint="eastAsia"/>
                <w:b/>
                <w:bCs/>
                <w:kern w:val="2"/>
                <w:sz w:val="21"/>
                <w:lang w:eastAsia="zh-CN"/>
              </w:rPr>
            </w:pPr>
            <w:r>
              <w:rPr>
                <w:rFonts w:ascii="宋体" w:eastAsia="宋体" w:hAnsi="宋体" w:hint="eastAsia"/>
                <w:b/>
                <w:bCs/>
                <w:kern w:val="2"/>
                <w:sz w:val="21"/>
                <w:lang w:eastAsia="zh-CN"/>
              </w:rPr>
              <w:t xml:space="preserve">具 </w:t>
            </w:r>
            <w:r>
              <w:rPr>
                <w:rFonts w:ascii="宋体" w:eastAsia="宋体" w:hAnsi="宋体"/>
                <w:b/>
                <w:bCs/>
                <w:kern w:val="2"/>
                <w:sz w:val="21"/>
                <w:lang w:eastAsia="zh-CN"/>
              </w:rPr>
              <w:t xml:space="preserve"> </w:t>
            </w:r>
            <w:r>
              <w:rPr>
                <w:rFonts w:ascii="宋体" w:eastAsia="宋体" w:hAnsi="宋体" w:hint="eastAsia"/>
                <w:b/>
                <w:bCs/>
                <w:kern w:val="2"/>
                <w:sz w:val="21"/>
                <w:lang w:eastAsia="zh-CN"/>
              </w:rPr>
              <w:t xml:space="preserve">体 </w:t>
            </w:r>
            <w:r>
              <w:rPr>
                <w:rFonts w:ascii="宋体" w:eastAsia="宋体" w:hAnsi="宋体"/>
                <w:b/>
                <w:bCs/>
                <w:kern w:val="2"/>
                <w:sz w:val="21"/>
                <w:lang w:eastAsia="zh-CN"/>
              </w:rPr>
              <w:t xml:space="preserve"> </w:t>
            </w:r>
            <w:r>
              <w:rPr>
                <w:rFonts w:ascii="宋体" w:eastAsia="宋体" w:hAnsi="宋体" w:hint="eastAsia"/>
                <w:b/>
                <w:bCs/>
                <w:kern w:val="2"/>
                <w:sz w:val="21"/>
                <w:lang w:eastAsia="zh-CN"/>
              </w:rPr>
              <w:t xml:space="preserve">补 </w:t>
            </w:r>
            <w:r>
              <w:rPr>
                <w:rFonts w:ascii="宋体" w:eastAsia="宋体" w:hAnsi="宋体"/>
                <w:b/>
                <w:bCs/>
                <w:kern w:val="2"/>
                <w:sz w:val="21"/>
                <w:lang w:eastAsia="zh-CN"/>
              </w:rPr>
              <w:t xml:space="preserve"> </w:t>
            </w:r>
            <w:r>
              <w:rPr>
                <w:rFonts w:ascii="宋体" w:eastAsia="宋体" w:hAnsi="宋体" w:hint="eastAsia"/>
                <w:b/>
                <w:bCs/>
                <w:kern w:val="2"/>
                <w:sz w:val="21"/>
                <w:lang w:eastAsia="zh-CN"/>
              </w:rPr>
              <w:t xml:space="preserve">充 </w:t>
            </w:r>
            <w:r>
              <w:rPr>
                <w:rFonts w:ascii="宋体" w:eastAsia="宋体" w:hAnsi="宋体"/>
                <w:b/>
                <w:bCs/>
                <w:kern w:val="2"/>
                <w:sz w:val="21"/>
                <w:lang w:eastAsia="zh-CN"/>
              </w:rPr>
              <w:t xml:space="preserve"> </w:t>
            </w:r>
            <w:r>
              <w:rPr>
                <w:rFonts w:ascii="宋体" w:eastAsia="宋体" w:hAnsi="宋体" w:hint="eastAsia"/>
                <w:b/>
                <w:bCs/>
                <w:kern w:val="2"/>
                <w:sz w:val="21"/>
                <w:lang w:eastAsia="zh-CN"/>
              </w:rPr>
              <w:t xml:space="preserve">内 </w:t>
            </w:r>
            <w:r>
              <w:rPr>
                <w:rFonts w:ascii="宋体" w:eastAsia="宋体" w:hAnsi="宋体"/>
                <w:b/>
                <w:bCs/>
                <w:kern w:val="2"/>
                <w:sz w:val="21"/>
                <w:lang w:eastAsia="zh-CN"/>
              </w:rPr>
              <w:t xml:space="preserve"> </w:t>
            </w:r>
            <w:r>
              <w:rPr>
                <w:rFonts w:ascii="宋体" w:eastAsia="宋体" w:hAnsi="宋体" w:hint="eastAsia"/>
                <w:b/>
                <w:bCs/>
                <w:kern w:val="2"/>
                <w:sz w:val="21"/>
                <w:lang w:eastAsia="zh-CN"/>
              </w:rPr>
              <w:t>容</w:t>
            </w:r>
          </w:p>
        </w:tc>
      </w:tr>
      <w:tr>
        <w:tblPrEx>
          <w:tblW w:w="5000" w:type="pct"/>
          <w:jc w:val="center"/>
          <w:tblLayout w:type="fixed"/>
          <w:tblCellMar>
            <w:top w:w="0" w:type="dxa"/>
            <w:left w:w="108" w:type="dxa"/>
            <w:bottom w:w="0" w:type="dxa"/>
            <w:right w:w="108" w:type="dxa"/>
          </w:tblCellMar>
        </w:tblPrEx>
        <w:trPr>
          <w:cantSplit/>
          <w:trHeight w:val="20"/>
          <w:jc w:val="center"/>
        </w:trPr>
        <w:tc>
          <w:tcPr>
            <w:tcW w:w="8367" w:type="dxa"/>
            <w:gridSpan w:val="3"/>
            <w:vAlign w:val="center"/>
          </w:tcPr>
          <w:p>
            <w:pPr>
              <w:widowControl w:val="0"/>
              <w:jc w:val="center"/>
              <w:rPr>
                <w:rFonts w:ascii="宋体" w:eastAsia="宋体" w:hAnsi="宋体" w:hint="eastAsia"/>
                <w:b/>
                <w:bCs/>
                <w:kern w:val="2"/>
                <w:sz w:val="21"/>
                <w:lang w:eastAsia="zh-CN"/>
              </w:rPr>
            </w:pPr>
            <w:r>
              <w:rPr>
                <w:rFonts w:eastAsia="宋体" w:hint="eastAsia"/>
                <w:kern w:val="2"/>
                <w:sz w:val="21"/>
                <w:lang w:eastAsia="zh-CN"/>
              </w:rPr>
              <w:t>本项目为自行采购项目，相关事宜按照谈判文件要求及采购单位内控制度执行。</w:t>
            </w:r>
          </w:p>
        </w:tc>
      </w:tr>
      <w:tr>
        <w:tblPrEx>
          <w:tblW w:w="5000" w:type="pct"/>
          <w:jc w:val="center"/>
          <w:tblLayout w:type="fixed"/>
          <w:tblCellMar>
            <w:top w:w="0" w:type="dxa"/>
            <w:left w:w="108" w:type="dxa"/>
            <w:bottom w:w="0" w:type="dxa"/>
            <w:right w:w="108" w:type="dxa"/>
          </w:tblCellMar>
        </w:tblPrEx>
        <w:trPr>
          <w:cantSplit/>
          <w:trHeight w:val="20"/>
          <w:jc w:val="center"/>
        </w:trPr>
        <w:tc>
          <w:tcPr>
            <w:tcW w:w="978" w:type="dxa"/>
            <w:vAlign w:val="center"/>
          </w:tcPr>
          <w:p>
            <w:pPr>
              <w:widowControl w:val="0"/>
              <w:jc w:val="center"/>
              <w:rPr>
                <w:rFonts w:ascii="宋体" w:eastAsia="宋体" w:hAnsi="宋体" w:hint="eastAsia"/>
                <w:kern w:val="2"/>
                <w:sz w:val="21"/>
                <w:lang w:eastAsia="zh-CN"/>
              </w:rPr>
            </w:pPr>
            <w:r>
              <w:rPr>
                <w:rFonts w:ascii="宋体" w:eastAsia="宋体" w:hAnsi="宋体" w:hint="eastAsia"/>
                <w:kern w:val="2"/>
                <w:sz w:val="21"/>
                <w:lang w:eastAsia="zh-CN"/>
              </w:rPr>
              <w:t>3</w:t>
            </w:r>
            <w:r>
              <w:rPr>
                <w:rFonts w:ascii="宋体" w:eastAsia="宋体" w:hAnsi="宋体"/>
                <w:kern w:val="2"/>
                <w:sz w:val="21"/>
                <w:lang w:eastAsia="zh-CN"/>
              </w:rPr>
              <w:t>.1</w:t>
            </w:r>
          </w:p>
        </w:tc>
        <w:tc>
          <w:tcPr>
            <w:tcW w:w="2409" w:type="dxa"/>
            <w:vAlign w:val="center"/>
          </w:tcPr>
          <w:p>
            <w:pPr>
              <w:widowControl w:val="0"/>
              <w:jc w:val="center"/>
              <w:rPr>
                <w:rFonts w:eastAsia="宋体"/>
                <w:kern w:val="2"/>
                <w:sz w:val="21"/>
                <w:lang w:eastAsia="zh-CN"/>
              </w:rPr>
            </w:pPr>
            <w:r>
              <w:rPr>
                <w:rFonts w:eastAsia="宋体" w:hint="eastAsia"/>
                <w:kern w:val="2"/>
                <w:sz w:val="21"/>
                <w:lang w:eastAsia="zh-CN"/>
              </w:rPr>
              <w:t>采购人</w:t>
            </w:r>
          </w:p>
        </w:tc>
        <w:tc>
          <w:tcPr>
            <w:tcW w:w="4980" w:type="dxa"/>
            <w:vAlign w:val="center"/>
          </w:tcPr>
          <w:p>
            <w:pPr>
              <w:widowControl w:val="0"/>
              <w:jc w:val="center"/>
              <w:rPr>
                <w:rFonts w:ascii="宋体" w:eastAsia="宋体" w:hAnsi="宋体" w:hint="eastAsia"/>
                <w:kern w:val="2"/>
                <w:sz w:val="21"/>
                <w:lang w:eastAsia="zh-CN"/>
              </w:rPr>
            </w:pPr>
            <w:r>
              <w:rPr>
                <w:rFonts w:ascii="宋体" w:eastAsia="宋体" w:hAnsi="宋体" w:hint="eastAsia"/>
                <w:kern w:val="2"/>
                <w:sz w:val="21"/>
                <w:szCs w:val="44"/>
                <w:lang w:eastAsia="zh-CN"/>
              </w:rPr>
              <w:t>深圳市福利彩票发行中心</w:t>
            </w:r>
          </w:p>
        </w:tc>
      </w:tr>
      <w:tr>
        <w:tblPrEx>
          <w:tblW w:w="5000" w:type="pct"/>
          <w:jc w:val="center"/>
          <w:tblLayout w:type="fixed"/>
          <w:tblCellMar>
            <w:top w:w="0" w:type="dxa"/>
            <w:left w:w="108" w:type="dxa"/>
            <w:bottom w:w="0" w:type="dxa"/>
            <w:right w:w="108" w:type="dxa"/>
          </w:tblCellMar>
        </w:tblPrEx>
        <w:trPr>
          <w:cantSplit/>
          <w:trHeight w:val="20"/>
          <w:jc w:val="center"/>
        </w:trPr>
        <w:tc>
          <w:tcPr>
            <w:tcW w:w="978" w:type="dxa"/>
            <w:vAlign w:val="center"/>
          </w:tcPr>
          <w:p>
            <w:pPr>
              <w:widowControl w:val="0"/>
              <w:jc w:val="center"/>
              <w:rPr>
                <w:rFonts w:ascii="宋体" w:eastAsia="宋体" w:hAnsi="宋体" w:hint="eastAsia"/>
                <w:kern w:val="2"/>
                <w:sz w:val="21"/>
                <w:lang w:eastAsia="zh-CN"/>
              </w:rPr>
            </w:pPr>
            <w:r>
              <w:rPr>
                <w:rFonts w:ascii="宋体" w:eastAsia="宋体" w:hAnsi="宋体" w:hint="eastAsia"/>
                <w:kern w:val="2"/>
                <w:sz w:val="21"/>
                <w:lang w:eastAsia="zh-CN"/>
              </w:rPr>
              <w:t>3</w:t>
            </w:r>
            <w:r>
              <w:rPr>
                <w:rFonts w:ascii="宋体" w:eastAsia="宋体" w:hAnsi="宋体"/>
                <w:kern w:val="2"/>
                <w:sz w:val="21"/>
                <w:lang w:eastAsia="zh-CN"/>
              </w:rPr>
              <w:t>.2</w:t>
            </w:r>
          </w:p>
        </w:tc>
        <w:tc>
          <w:tcPr>
            <w:tcW w:w="2409" w:type="dxa"/>
            <w:vAlign w:val="center"/>
          </w:tcPr>
          <w:p>
            <w:pPr>
              <w:widowControl w:val="0"/>
              <w:jc w:val="center"/>
              <w:rPr>
                <w:rFonts w:ascii="宋体" w:eastAsia="宋体" w:hAnsi="宋体" w:hint="eastAsia"/>
                <w:kern w:val="2"/>
                <w:sz w:val="21"/>
                <w:lang w:eastAsia="zh-CN"/>
              </w:rPr>
            </w:pPr>
            <w:r>
              <w:rPr>
                <w:rFonts w:ascii="宋体" w:eastAsia="宋体" w:hAnsi="宋体" w:hint="eastAsia"/>
                <w:kern w:val="2"/>
                <w:sz w:val="21"/>
                <w:lang w:eastAsia="zh-CN"/>
              </w:rPr>
              <w:t>政府集中采购机构</w:t>
            </w:r>
          </w:p>
        </w:tc>
        <w:tc>
          <w:tcPr>
            <w:tcW w:w="4980" w:type="dxa"/>
            <w:vAlign w:val="center"/>
          </w:tcPr>
          <w:p>
            <w:pPr>
              <w:widowControl w:val="0"/>
              <w:jc w:val="center"/>
              <w:rPr>
                <w:rFonts w:ascii="宋体" w:eastAsia="宋体" w:hAnsi="宋体" w:hint="eastAsia"/>
                <w:kern w:val="2"/>
                <w:sz w:val="21"/>
                <w:lang w:eastAsia="zh-CN"/>
              </w:rPr>
            </w:pPr>
            <w:r>
              <w:rPr>
                <w:rFonts w:ascii="宋体" w:eastAsia="宋体" w:hAnsi="宋体" w:hint="eastAsia"/>
                <w:kern w:val="2"/>
                <w:sz w:val="21"/>
                <w:lang w:eastAsia="zh-CN"/>
              </w:rPr>
              <w:t>深圳公共资源交易中心</w:t>
            </w:r>
          </w:p>
          <w:p>
            <w:pPr>
              <w:widowControl w:val="0"/>
              <w:jc w:val="center"/>
              <w:rPr>
                <w:rFonts w:ascii="宋体" w:eastAsia="宋体" w:hAnsi="宋体" w:hint="eastAsia"/>
                <w:kern w:val="2"/>
                <w:sz w:val="21"/>
                <w:lang w:eastAsia="zh-CN"/>
              </w:rPr>
            </w:pPr>
            <w:r>
              <w:rPr>
                <w:rFonts w:ascii="宋体" w:eastAsia="宋体" w:hAnsi="宋体" w:hint="eastAsia"/>
                <w:kern w:val="2"/>
                <w:sz w:val="21"/>
                <w:lang w:eastAsia="zh-CN"/>
              </w:rPr>
              <w:t>（深圳交易集团有限公司政府采购业务分公司）</w:t>
            </w:r>
          </w:p>
        </w:tc>
      </w:tr>
      <w:tr>
        <w:tblPrEx>
          <w:tblW w:w="5000" w:type="pct"/>
          <w:jc w:val="center"/>
          <w:tblLayout w:type="fixed"/>
          <w:tblCellMar>
            <w:top w:w="0" w:type="dxa"/>
            <w:left w:w="108" w:type="dxa"/>
            <w:bottom w:w="0" w:type="dxa"/>
            <w:right w:w="108" w:type="dxa"/>
          </w:tblCellMar>
        </w:tblPrEx>
        <w:trPr>
          <w:cantSplit/>
          <w:trHeight w:val="20"/>
          <w:jc w:val="center"/>
        </w:trPr>
        <w:tc>
          <w:tcPr>
            <w:tcW w:w="978" w:type="dxa"/>
            <w:vAlign w:val="center"/>
          </w:tcPr>
          <w:p>
            <w:pPr>
              <w:widowControl w:val="0"/>
              <w:jc w:val="center"/>
              <w:rPr>
                <w:rFonts w:ascii="宋体" w:eastAsia="宋体" w:hAnsi="宋体" w:hint="eastAsia"/>
                <w:kern w:val="2"/>
                <w:sz w:val="21"/>
                <w:lang w:eastAsia="zh-CN"/>
              </w:rPr>
            </w:pPr>
            <w:r>
              <w:rPr>
                <w:rFonts w:ascii="宋体" w:eastAsia="宋体" w:hAnsi="宋体" w:hint="eastAsia"/>
                <w:kern w:val="2"/>
                <w:sz w:val="21"/>
                <w:lang w:eastAsia="zh-CN"/>
              </w:rPr>
              <w:t>1</w:t>
            </w:r>
            <w:r>
              <w:rPr>
                <w:rFonts w:ascii="宋体" w:eastAsia="宋体" w:hAnsi="宋体"/>
                <w:kern w:val="2"/>
                <w:sz w:val="21"/>
                <w:lang w:eastAsia="zh-CN"/>
              </w:rPr>
              <w:t>0</w:t>
            </w:r>
            <w:r>
              <w:rPr>
                <w:rFonts w:ascii="宋体" w:eastAsia="宋体" w:hAnsi="宋体" w:hint="eastAsia"/>
                <w:kern w:val="2"/>
                <w:sz w:val="21"/>
                <w:lang w:eastAsia="zh-CN"/>
              </w:rPr>
              <w:t>/1</w:t>
            </w:r>
            <w:r>
              <w:rPr>
                <w:rFonts w:ascii="宋体" w:eastAsia="宋体" w:hAnsi="宋体"/>
                <w:kern w:val="2"/>
                <w:sz w:val="21"/>
                <w:lang w:eastAsia="zh-CN"/>
              </w:rPr>
              <w:t>1</w:t>
            </w:r>
          </w:p>
        </w:tc>
        <w:tc>
          <w:tcPr>
            <w:tcW w:w="2409" w:type="dxa"/>
            <w:vAlign w:val="center"/>
          </w:tcPr>
          <w:p>
            <w:pPr>
              <w:widowControl w:val="0"/>
              <w:jc w:val="center"/>
              <w:rPr>
                <w:rFonts w:ascii="宋体" w:eastAsia="宋体" w:hAnsi="宋体" w:hint="eastAsia"/>
                <w:kern w:val="2"/>
                <w:sz w:val="21"/>
                <w:lang w:eastAsia="zh-CN"/>
              </w:rPr>
            </w:pPr>
            <w:r>
              <w:rPr>
                <w:rFonts w:ascii="宋体" w:eastAsia="宋体" w:hAnsi="宋体" w:hint="eastAsia"/>
                <w:kern w:val="2"/>
                <w:sz w:val="21"/>
                <w:lang w:eastAsia="zh-CN"/>
              </w:rPr>
              <w:t>应答文件的澄清和修改</w:t>
            </w:r>
          </w:p>
        </w:tc>
        <w:tc>
          <w:tcPr>
            <w:tcW w:w="4980" w:type="dxa"/>
            <w:vAlign w:val="center"/>
          </w:tcPr>
          <w:p>
            <w:pPr>
              <w:widowControl w:val="0"/>
              <w:jc w:val="center"/>
              <w:rPr>
                <w:rFonts w:ascii="宋体" w:eastAsia="宋体" w:hAnsi="宋体" w:hint="eastAsia"/>
                <w:kern w:val="2"/>
                <w:sz w:val="21"/>
                <w:lang w:eastAsia="zh-CN"/>
              </w:rPr>
            </w:pPr>
            <w:r>
              <w:rPr>
                <w:rFonts w:ascii="宋体" w:eastAsia="宋体" w:hAnsi="宋体" w:hint="eastAsia"/>
                <w:kern w:val="2"/>
                <w:sz w:val="21"/>
                <w:lang w:eastAsia="zh-CN"/>
              </w:rPr>
              <w:t>应答截止日三日前，供应商有义务在采购期间在政府集中采购机构网站浏览与本项目有关的澄清和修改信息</w:t>
            </w:r>
          </w:p>
        </w:tc>
      </w:tr>
      <w:tr>
        <w:tblPrEx>
          <w:tblW w:w="5000" w:type="pct"/>
          <w:jc w:val="center"/>
          <w:tblLayout w:type="fixed"/>
          <w:tblCellMar>
            <w:top w:w="0" w:type="dxa"/>
            <w:left w:w="108" w:type="dxa"/>
            <w:bottom w:w="0" w:type="dxa"/>
            <w:right w:w="108" w:type="dxa"/>
          </w:tblCellMar>
        </w:tblPrEx>
        <w:trPr>
          <w:cantSplit/>
          <w:trHeight w:val="20"/>
          <w:jc w:val="center"/>
        </w:trPr>
        <w:tc>
          <w:tcPr>
            <w:tcW w:w="978" w:type="dxa"/>
            <w:vAlign w:val="center"/>
          </w:tcPr>
          <w:p>
            <w:pPr>
              <w:widowControl w:val="0"/>
              <w:jc w:val="center"/>
              <w:rPr>
                <w:rFonts w:ascii="宋体" w:eastAsia="宋体" w:hAnsi="宋体" w:hint="eastAsia"/>
                <w:kern w:val="2"/>
                <w:sz w:val="21"/>
                <w:lang w:eastAsia="zh-CN"/>
              </w:rPr>
            </w:pPr>
            <w:r>
              <w:rPr>
                <w:rFonts w:ascii="宋体" w:eastAsia="宋体" w:hAnsi="宋体" w:hint="eastAsia"/>
                <w:kern w:val="2"/>
                <w:sz w:val="21"/>
                <w:lang w:eastAsia="zh-CN"/>
              </w:rPr>
              <w:t>1</w:t>
            </w:r>
            <w:r>
              <w:rPr>
                <w:rFonts w:ascii="宋体" w:eastAsia="宋体" w:hAnsi="宋体"/>
                <w:kern w:val="2"/>
                <w:sz w:val="21"/>
                <w:lang w:eastAsia="zh-CN"/>
              </w:rPr>
              <w:t>8</w:t>
            </w:r>
          </w:p>
        </w:tc>
        <w:tc>
          <w:tcPr>
            <w:tcW w:w="2409" w:type="dxa"/>
            <w:vAlign w:val="center"/>
          </w:tcPr>
          <w:p>
            <w:pPr>
              <w:widowControl w:val="0"/>
              <w:jc w:val="center"/>
              <w:rPr>
                <w:rFonts w:ascii="宋体" w:eastAsia="宋体" w:hAnsi="宋体" w:hint="eastAsia"/>
                <w:kern w:val="2"/>
                <w:sz w:val="21"/>
                <w:lang w:eastAsia="zh-CN"/>
              </w:rPr>
            </w:pPr>
            <w:r>
              <w:rPr>
                <w:rFonts w:ascii="宋体" w:eastAsia="宋体" w:hAnsi="宋体" w:hint="eastAsia"/>
                <w:kern w:val="2"/>
                <w:sz w:val="21"/>
                <w:lang w:eastAsia="zh-CN"/>
              </w:rPr>
              <w:t>谈判应答有效期</w:t>
            </w:r>
          </w:p>
        </w:tc>
        <w:tc>
          <w:tcPr>
            <w:tcW w:w="4980" w:type="dxa"/>
            <w:vAlign w:val="center"/>
          </w:tcPr>
          <w:p>
            <w:pPr>
              <w:widowControl w:val="0"/>
              <w:jc w:val="center"/>
              <w:rPr>
                <w:rFonts w:ascii="宋体" w:eastAsia="宋体" w:hAnsi="宋体" w:hint="eastAsia"/>
                <w:kern w:val="2"/>
                <w:sz w:val="21"/>
                <w:lang w:eastAsia="zh-CN"/>
              </w:rPr>
            </w:pPr>
            <w:r>
              <w:rPr>
                <w:rFonts w:ascii="宋体" w:eastAsia="宋体" w:hAnsi="宋体" w:hint="eastAsia"/>
                <w:kern w:val="2"/>
                <w:sz w:val="21"/>
                <w:lang w:eastAsia="zh-CN"/>
              </w:rPr>
              <w:t>1</w:t>
            </w:r>
            <w:r>
              <w:rPr>
                <w:rFonts w:ascii="宋体" w:eastAsia="宋体" w:hAnsi="宋体"/>
                <w:kern w:val="2"/>
                <w:sz w:val="21"/>
                <w:lang w:eastAsia="zh-CN"/>
              </w:rPr>
              <w:t>20</w:t>
            </w:r>
            <w:r>
              <w:rPr>
                <w:rFonts w:ascii="宋体" w:eastAsia="宋体" w:hAnsi="宋体" w:hint="eastAsia"/>
                <w:kern w:val="2"/>
                <w:sz w:val="21"/>
                <w:lang w:eastAsia="zh-CN"/>
              </w:rPr>
              <w:t>个日历日</w:t>
            </w:r>
          </w:p>
        </w:tc>
      </w:tr>
      <w:tr>
        <w:tblPrEx>
          <w:tblW w:w="5000" w:type="pct"/>
          <w:jc w:val="center"/>
          <w:tblLayout w:type="fixed"/>
          <w:tblCellMar>
            <w:top w:w="0" w:type="dxa"/>
            <w:left w:w="108" w:type="dxa"/>
            <w:bottom w:w="0" w:type="dxa"/>
            <w:right w:w="108" w:type="dxa"/>
          </w:tblCellMar>
        </w:tblPrEx>
        <w:trPr>
          <w:cantSplit/>
          <w:trHeight w:val="20"/>
          <w:jc w:val="center"/>
        </w:trPr>
        <w:tc>
          <w:tcPr>
            <w:tcW w:w="978" w:type="dxa"/>
            <w:vAlign w:val="center"/>
          </w:tcPr>
          <w:p>
            <w:pPr>
              <w:widowControl w:val="0"/>
              <w:jc w:val="center"/>
              <w:rPr>
                <w:rFonts w:ascii="宋体" w:eastAsia="宋体" w:hAnsi="宋体" w:hint="eastAsia"/>
                <w:kern w:val="2"/>
                <w:sz w:val="21"/>
                <w:lang w:eastAsia="zh-CN"/>
              </w:rPr>
            </w:pPr>
            <w:r>
              <w:rPr>
                <w:rFonts w:ascii="宋体" w:eastAsia="宋体" w:hAnsi="宋体" w:hint="eastAsia"/>
                <w:kern w:val="2"/>
                <w:sz w:val="21"/>
                <w:lang w:eastAsia="zh-CN"/>
              </w:rPr>
              <w:t>2</w:t>
            </w:r>
            <w:r>
              <w:rPr>
                <w:rFonts w:ascii="宋体" w:eastAsia="宋体" w:hAnsi="宋体"/>
                <w:kern w:val="2"/>
                <w:sz w:val="21"/>
                <w:lang w:eastAsia="zh-CN"/>
              </w:rPr>
              <w:t>0</w:t>
            </w:r>
          </w:p>
        </w:tc>
        <w:tc>
          <w:tcPr>
            <w:tcW w:w="2409" w:type="dxa"/>
            <w:vAlign w:val="center"/>
          </w:tcPr>
          <w:p>
            <w:pPr>
              <w:widowControl w:val="0"/>
              <w:jc w:val="center"/>
              <w:rPr>
                <w:rFonts w:ascii="宋体" w:eastAsia="宋体" w:hAnsi="宋体" w:hint="eastAsia"/>
                <w:kern w:val="2"/>
                <w:sz w:val="21"/>
                <w:lang w:eastAsia="zh-CN"/>
              </w:rPr>
            </w:pPr>
            <w:r>
              <w:rPr>
                <w:rFonts w:ascii="宋体" w:eastAsia="宋体" w:hAnsi="宋体" w:hint="eastAsia"/>
                <w:kern w:val="2"/>
                <w:sz w:val="21"/>
                <w:lang w:eastAsia="zh-CN"/>
              </w:rPr>
              <w:t>供应商的替代方案</w:t>
            </w:r>
          </w:p>
        </w:tc>
        <w:tc>
          <w:tcPr>
            <w:tcW w:w="4980" w:type="dxa"/>
            <w:vAlign w:val="center"/>
          </w:tcPr>
          <w:p>
            <w:pPr>
              <w:widowControl w:val="0"/>
              <w:jc w:val="center"/>
              <w:rPr>
                <w:rFonts w:ascii="宋体" w:eastAsia="宋体" w:hAnsi="宋体" w:hint="eastAsia"/>
                <w:kern w:val="2"/>
                <w:sz w:val="21"/>
                <w:lang w:eastAsia="zh-CN"/>
              </w:rPr>
            </w:pPr>
            <w:r>
              <w:rPr>
                <w:rFonts w:ascii="宋体" w:eastAsia="宋体" w:hAnsi="宋体" w:hint="eastAsia"/>
                <w:kern w:val="2"/>
                <w:sz w:val="21"/>
                <w:lang w:eastAsia="zh-CN"/>
              </w:rPr>
              <w:t>不接受</w:t>
            </w:r>
          </w:p>
        </w:tc>
      </w:tr>
      <w:tr>
        <w:tblPrEx>
          <w:tblW w:w="5000" w:type="pct"/>
          <w:jc w:val="center"/>
          <w:tblLayout w:type="fixed"/>
          <w:tblCellMar>
            <w:top w:w="0" w:type="dxa"/>
            <w:left w:w="108" w:type="dxa"/>
            <w:bottom w:w="0" w:type="dxa"/>
            <w:right w:w="108" w:type="dxa"/>
          </w:tblCellMar>
        </w:tblPrEx>
        <w:trPr>
          <w:cantSplit/>
          <w:trHeight w:val="20"/>
          <w:jc w:val="center"/>
        </w:trPr>
        <w:tc>
          <w:tcPr>
            <w:tcW w:w="978" w:type="dxa"/>
            <w:vAlign w:val="center"/>
          </w:tcPr>
          <w:p>
            <w:pPr>
              <w:widowControl w:val="0"/>
              <w:jc w:val="center"/>
              <w:rPr>
                <w:rFonts w:ascii="宋体" w:eastAsia="宋体" w:hAnsi="宋体" w:hint="eastAsia"/>
                <w:kern w:val="2"/>
                <w:sz w:val="21"/>
                <w:lang w:eastAsia="zh-CN"/>
              </w:rPr>
            </w:pPr>
            <w:r>
              <w:rPr>
                <w:rFonts w:ascii="宋体" w:eastAsia="宋体" w:hAnsi="宋体" w:hint="eastAsia"/>
                <w:kern w:val="2"/>
                <w:sz w:val="21"/>
                <w:lang w:eastAsia="zh-CN"/>
              </w:rPr>
              <w:t>2</w:t>
            </w:r>
            <w:r>
              <w:rPr>
                <w:rFonts w:ascii="宋体" w:eastAsia="宋体" w:hAnsi="宋体"/>
                <w:kern w:val="2"/>
                <w:sz w:val="21"/>
                <w:lang w:eastAsia="zh-CN"/>
              </w:rPr>
              <w:t>5</w:t>
            </w:r>
          </w:p>
        </w:tc>
        <w:tc>
          <w:tcPr>
            <w:tcW w:w="2409" w:type="dxa"/>
            <w:vAlign w:val="center"/>
          </w:tcPr>
          <w:p>
            <w:pPr>
              <w:widowControl w:val="0"/>
              <w:jc w:val="center"/>
              <w:rPr>
                <w:rFonts w:ascii="宋体" w:eastAsia="宋体" w:hAnsi="宋体" w:hint="eastAsia"/>
                <w:kern w:val="2"/>
                <w:sz w:val="21"/>
                <w:lang w:eastAsia="zh-CN"/>
              </w:rPr>
            </w:pPr>
            <w:r>
              <w:rPr>
                <w:rFonts w:ascii="宋体" w:eastAsia="宋体" w:hAnsi="宋体" w:hint="eastAsia"/>
                <w:kern w:val="2"/>
                <w:sz w:val="21"/>
                <w:lang w:eastAsia="zh-CN"/>
              </w:rPr>
              <w:t>应答文件的大小</w:t>
            </w:r>
          </w:p>
        </w:tc>
        <w:tc>
          <w:tcPr>
            <w:tcW w:w="4980" w:type="dxa"/>
            <w:vAlign w:val="center"/>
          </w:tcPr>
          <w:p>
            <w:pPr>
              <w:widowControl w:val="0"/>
              <w:jc w:val="center"/>
              <w:rPr>
                <w:rFonts w:ascii="宋体" w:eastAsia="宋体" w:hAnsi="宋体" w:hint="eastAsia"/>
                <w:kern w:val="2"/>
                <w:sz w:val="21"/>
                <w:lang w:eastAsia="zh-CN"/>
              </w:rPr>
            </w:pPr>
            <w:r>
              <w:rPr>
                <w:rFonts w:ascii="宋体" w:eastAsia="宋体" w:hAnsi="宋体" w:hint="eastAsia"/>
                <w:kern w:val="2"/>
                <w:sz w:val="21"/>
                <w:lang w:eastAsia="zh-CN"/>
              </w:rPr>
              <w:t>应答文件大小不得超过100MB</w:t>
            </w:r>
          </w:p>
        </w:tc>
      </w:tr>
      <w:tr>
        <w:tblPrEx>
          <w:tblW w:w="5000" w:type="pct"/>
          <w:jc w:val="center"/>
          <w:tblLayout w:type="fixed"/>
          <w:tblCellMar>
            <w:top w:w="0" w:type="dxa"/>
            <w:left w:w="108" w:type="dxa"/>
            <w:bottom w:w="0" w:type="dxa"/>
            <w:right w:w="108" w:type="dxa"/>
          </w:tblCellMar>
        </w:tblPrEx>
        <w:trPr>
          <w:cantSplit/>
          <w:trHeight w:val="20"/>
          <w:jc w:val="center"/>
        </w:trPr>
        <w:tc>
          <w:tcPr>
            <w:tcW w:w="978" w:type="dxa"/>
            <w:vAlign w:val="center"/>
          </w:tcPr>
          <w:p>
            <w:pPr>
              <w:widowControl w:val="0"/>
              <w:jc w:val="center"/>
              <w:rPr>
                <w:rFonts w:ascii="宋体" w:eastAsia="宋体" w:hAnsi="宋体" w:hint="eastAsia"/>
                <w:kern w:val="2"/>
                <w:sz w:val="21"/>
                <w:lang w:eastAsia="zh-CN"/>
              </w:rPr>
            </w:pPr>
            <w:r>
              <w:rPr>
                <w:rFonts w:ascii="宋体" w:eastAsia="宋体" w:hAnsi="宋体" w:hint="eastAsia"/>
                <w:kern w:val="2"/>
                <w:sz w:val="21"/>
                <w:lang w:eastAsia="zh-CN"/>
              </w:rPr>
              <w:t>3</w:t>
            </w:r>
            <w:r>
              <w:rPr>
                <w:rFonts w:ascii="宋体" w:eastAsia="宋体" w:hAnsi="宋体"/>
                <w:kern w:val="2"/>
                <w:sz w:val="21"/>
                <w:lang w:eastAsia="zh-CN"/>
              </w:rPr>
              <w:t>2</w:t>
            </w:r>
          </w:p>
        </w:tc>
        <w:tc>
          <w:tcPr>
            <w:tcW w:w="2409" w:type="dxa"/>
            <w:vAlign w:val="center"/>
          </w:tcPr>
          <w:p>
            <w:pPr>
              <w:widowControl w:val="0"/>
              <w:jc w:val="center"/>
              <w:rPr>
                <w:rFonts w:ascii="宋体" w:eastAsia="宋体" w:hAnsi="宋体" w:hint="eastAsia"/>
                <w:kern w:val="2"/>
                <w:sz w:val="21"/>
                <w:lang w:eastAsia="zh-CN"/>
              </w:rPr>
            </w:pPr>
            <w:r>
              <w:rPr>
                <w:rFonts w:ascii="宋体" w:eastAsia="宋体" w:hAnsi="宋体" w:hint="eastAsia"/>
                <w:kern w:val="2"/>
                <w:sz w:val="21"/>
                <w:lang w:eastAsia="zh-CN"/>
              </w:rPr>
              <w:t>评审方法</w:t>
            </w:r>
          </w:p>
        </w:tc>
        <w:tc>
          <w:tcPr>
            <w:tcW w:w="4980" w:type="dxa"/>
            <w:vAlign w:val="center"/>
          </w:tcPr>
          <w:p>
            <w:pPr>
              <w:widowControl w:val="0"/>
              <w:jc w:val="left"/>
              <w:rPr>
                <w:rFonts w:ascii="宋体" w:eastAsia="宋体" w:hAnsi="宋体" w:hint="eastAsia"/>
                <w:kern w:val="2"/>
                <w:sz w:val="21"/>
                <w:lang w:eastAsia="zh-CN"/>
              </w:rPr>
            </w:pPr>
            <w:r>
              <w:rPr>
                <w:rFonts w:ascii="宋体" w:eastAsia="宋体" w:hAnsi="宋体" w:hint="eastAsia"/>
                <w:kern w:val="2"/>
                <w:sz w:val="21"/>
                <w:lang w:eastAsia="zh-CN"/>
              </w:rPr>
              <w:t xml:space="preserve"> 最低评标价法</w:t>
            </w:r>
          </w:p>
        </w:tc>
      </w:tr>
      <w:tr>
        <w:tblPrEx>
          <w:tblW w:w="5000" w:type="pct"/>
          <w:jc w:val="center"/>
          <w:tblLayout w:type="fixed"/>
          <w:tblCellMar>
            <w:top w:w="0" w:type="dxa"/>
            <w:left w:w="108" w:type="dxa"/>
            <w:bottom w:w="0" w:type="dxa"/>
            <w:right w:w="108" w:type="dxa"/>
          </w:tblCellMar>
        </w:tblPrEx>
        <w:trPr>
          <w:cantSplit/>
          <w:trHeight w:val="20"/>
          <w:jc w:val="center"/>
        </w:trPr>
        <w:tc>
          <w:tcPr>
            <w:tcW w:w="978" w:type="dxa"/>
            <w:vAlign w:val="center"/>
          </w:tcPr>
          <w:p>
            <w:pPr>
              <w:widowControl w:val="0"/>
              <w:jc w:val="center"/>
              <w:rPr>
                <w:rFonts w:ascii="宋体" w:eastAsia="宋体" w:hAnsi="宋体" w:hint="eastAsia"/>
                <w:kern w:val="2"/>
                <w:sz w:val="21"/>
                <w:lang w:eastAsia="zh-CN"/>
              </w:rPr>
            </w:pPr>
            <w:r>
              <w:rPr>
                <w:rFonts w:ascii="宋体" w:eastAsia="宋体" w:hAnsi="宋体" w:hint="eastAsia"/>
                <w:kern w:val="2"/>
                <w:sz w:val="21"/>
                <w:lang w:eastAsia="zh-CN"/>
              </w:rPr>
              <w:t>3</w:t>
            </w:r>
            <w:r>
              <w:rPr>
                <w:rFonts w:ascii="宋体" w:eastAsia="宋体" w:hAnsi="宋体"/>
                <w:kern w:val="2"/>
                <w:sz w:val="21"/>
                <w:lang w:eastAsia="zh-CN"/>
              </w:rPr>
              <w:t>8</w:t>
            </w:r>
          </w:p>
        </w:tc>
        <w:tc>
          <w:tcPr>
            <w:tcW w:w="2409" w:type="dxa"/>
            <w:vAlign w:val="center"/>
          </w:tcPr>
          <w:p>
            <w:pPr>
              <w:widowControl w:val="0"/>
              <w:jc w:val="center"/>
              <w:rPr>
                <w:rFonts w:ascii="宋体" w:eastAsia="宋体" w:hAnsi="宋体" w:hint="eastAsia"/>
                <w:kern w:val="2"/>
                <w:sz w:val="21"/>
                <w:lang w:eastAsia="zh-CN"/>
              </w:rPr>
            </w:pPr>
            <w:r>
              <w:rPr>
                <w:rFonts w:ascii="宋体" w:eastAsia="宋体" w:hAnsi="宋体" w:hint="eastAsia"/>
                <w:kern w:val="2"/>
                <w:sz w:val="21"/>
                <w:lang w:eastAsia="zh-CN"/>
              </w:rPr>
              <w:t>履约担保</w:t>
            </w:r>
          </w:p>
        </w:tc>
        <w:tc>
          <w:tcPr>
            <w:tcW w:w="4980" w:type="dxa"/>
            <w:vAlign w:val="center"/>
          </w:tcPr>
          <w:p>
            <w:pPr>
              <w:widowControl w:val="0"/>
              <w:jc w:val="left"/>
              <w:rPr>
                <w:rFonts w:ascii="宋体" w:eastAsia="宋体" w:hAnsi="宋体" w:hint="eastAsia"/>
                <w:kern w:val="2"/>
                <w:sz w:val="21"/>
                <w:lang w:eastAsia="zh-CN"/>
              </w:rPr>
            </w:pPr>
            <w:r>
              <w:rPr>
                <w:rFonts w:ascii="宋体" w:eastAsia="宋体" w:hAnsi="宋体" w:hint="eastAsia"/>
                <w:b/>
                <w:kern w:val="2"/>
                <w:sz w:val="21"/>
                <w:lang w:eastAsia="zh-CN"/>
              </w:rPr>
              <w:t xml:space="preserve"> </w:t>
            </w:r>
            <w:r>
              <w:rPr>
                <w:rFonts w:ascii="宋体" w:eastAsia="宋体" w:hAnsi="宋体" w:hint="eastAsia"/>
                <w:kern w:val="2"/>
                <w:sz w:val="21"/>
                <w:lang w:eastAsia="zh-CN"/>
              </w:rPr>
              <w:t>不需要</w:t>
            </w:r>
          </w:p>
        </w:tc>
      </w:tr>
      <w:tr>
        <w:tblPrEx>
          <w:tblW w:w="5000" w:type="pct"/>
          <w:jc w:val="center"/>
          <w:tblLayout w:type="fixed"/>
          <w:tblCellMar>
            <w:top w:w="0" w:type="dxa"/>
            <w:left w:w="108" w:type="dxa"/>
            <w:bottom w:w="0" w:type="dxa"/>
            <w:right w:w="108" w:type="dxa"/>
          </w:tblCellMar>
        </w:tblPrEx>
        <w:trPr>
          <w:cantSplit/>
          <w:trHeight w:val="20"/>
          <w:jc w:val="center"/>
        </w:trPr>
        <w:tc>
          <w:tcPr>
            <w:tcW w:w="978" w:type="dxa"/>
            <w:vAlign w:val="center"/>
          </w:tcPr>
          <w:p>
            <w:pPr>
              <w:widowControl w:val="0"/>
              <w:jc w:val="center"/>
              <w:rPr>
                <w:rFonts w:ascii="宋体" w:eastAsia="宋体" w:hAnsi="宋体" w:hint="eastAsia"/>
                <w:kern w:val="2"/>
                <w:sz w:val="21"/>
                <w:lang w:eastAsia="zh-CN"/>
              </w:rPr>
            </w:pPr>
            <w:r>
              <w:rPr>
                <w:rFonts w:ascii="宋体" w:eastAsia="宋体" w:hAnsi="宋体" w:hint="eastAsia"/>
                <w:kern w:val="2"/>
                <w:sz w:val="21"/>
                <w:lang w:eastAsia="zh-CN"/>
              </w:rPr>
              <w:t>44.8</w:t>
            </w:r>
          </w:p>
        </w:tc>
        <w:tc>
          <w:tcPr>
            <w:tcW w:w="2409" w:type="dxa"/>
            <w:vAlign w:val="center"/>
          </w:tcPr>
          <w:p>
            <w:pPr>
              <w:widowControl w:val="0"/>
              <w:jc w:val="center"/>
              <w:rPr>
                <w:rFonts w:ascii="宋体" w:eastAsia="宋体" w:hAnsi="宋体" w:hint="eastAsia"/>
                <w:kern w:val="2"/>
                <w:sz w:val="21"/>
                <w:lang w:eastAsia="zh-CN"/>
              </w:rPr>
            </w:pPr>
            <w:r>
              <w:rPr>
                <w:rFonts w:ascii="宋体" w:eastAsia="宋体" w:hAnsi="宋体" w:hint="eastAsia"/>
                <w:kern w:val="2"/>
                <w:sz w:val="21"/>
                <w:lang w:eastAsia="zh-CN"/>
              </w:rPr>
              <w:t>投诉</w:t>
            </w:r>
          </w:p>
        </w:tc>
        <w:tc>
          <w:tcPr>
            <w:tcW w:w="4980" w:type="dxa"/>
            <w:vAlign w:val="center"/>
          </w:tcPr>
          <w:p>
            <w:pPr>
              <w:widowControl w:val="0"/>
              <w:jc w:val="left"/>
              <w:rPr>
                <w:rFonts w:ascii="宋体" w:eastAsia="宋体" w:hAnsi="宋体" w:hint="eastAsia"/>
                <w:b/>
                <w:kern w:val="2"/>
                <w:sz w:val="21"/>
                <w:lang w:eastAsia="zh-CN"/>
              </w:rPr>
            </w:pPr>
            <w:r>
              <w:rPr>
                <w:rFonts w:ascii="宋体" w:eastAsia="宋体" w:hAnsi="宋体" w:hint="eastAsia"/>
                <w:kern w:val="2"/>
                <w:sz w:val="21"/>
                <w:lang w:eastAsia="zh-CN"/>
              </w:rPr>
              <w:t>对被质疑人的答复不满意或者被质疑人未在规定时间内答复的，提出质疑的供应商可以在答复期满后十五个工作日内向本项目预算主管单位（本项目采购人）投诉。供应商投诉的事项应当是经过质疑的事项。</w:t>
            </w:r>
          </w:p>
        </w:tc>
      </w:tr>
    </w:tbl>
    <w:p>
      <w:pPr>
        <w:widowControl w:val="0"/>
        <w:jc w:val="both"/>
        <w:rPr>
          <w:rFonts w:eastAsia="宋体"/>
          <w:b/>
          <w:kern w:val="2"/>
          <w:sz w:val="21"/>
          <w:lang w:eastAsia="zh-CN"/>
        </w:rPr>
      </w:pPr>
      <w:r>
        <w:rPr>
          <w:rFonts w:eastAsia="宋体" w:hint="eastAsia"/>
          <w:kern w:val="2"/>
          <w:sz w:val="21"/>
          <w:szCs w:val="21"/>
          <w:lang w:eastAsia="zh-CN"/>
        </w:rPr>
        <w:t>备注：本表是谈判须知条款相关条款的补充和明确，如与谈判须知条款内容相冲突的，以本表为准。</w:t>
      </w:r>
    </w:p>
    <w:bookmarkEnd w:id="38"/>
    <w:p>
      <w:pPr>
        <w:keepNext/>
        <w:keepLines/>
        <w:widowControl w:val="0"/>
        <w:adjustRightInd w:val="0"/>
        <w:spacing w:before="120" w:beforeLines="50" w:after="120" w:afterLines="50" w:line="240" w:lineRule="auto"/>
        <w:jc w:val="center"/>
        <w:textAlignment w:val="baseline"/>
        <w:outlineLvl w:val="1"/>
        <w:rPr>
          <w:rFonts w:ascii="宋体" w:eastAsia="宋体" w:hAnsi="宋体" w:hint="eastAsia"/>
          <w:b/>
          <w:bCs/>
          <w:lang w:eastAsia="zh-CN"/>
        </w:rPr>
      </w:pPr>
      <w:bookmarkStart w:id="39" w:name="_Hlk72218117"/>
      <w:r>
        <w:rPr>
          <w:rFonts w:ascii="宋体" w:eastAsia="宋体" w:hAnsi="宋体" w:hint="eastAsia"/>
          <w:b/>
          <w:bCs/>
          <w:lang w:eastAsia="zh-CN"/>
        </w:rPr>
        <w:t>二、其他关键信息</w:t>
      </w:r>
    </w:p>
    <w:p>
      <w:pPr>
        <w:widowControl w:val="0"/>
        <w:ind w:firstLine="420" w:firstLineChars="200"/>
        <w:jc w:val="both"/>
        <w:rPr>
          <w:rFonts w:eastAsia="宋体"/>
          <w:b/>
          <w:bCs/>
          <w:kern w:val="2"/>
          <w:sz w:val="21"/>
          <w:lang w:eastAsia="zh-CN"/>
        </w:rPr>
      </w:pPr>
      <w:bookmarkStart w:id="40" w:name="_Hlk72579427"/>
      <w:r>
        <w:rPr>
          <w:rFonts w:eastAsia="宋体" w:hint="eastAsia"/>
          <w:b/>
          <w:bCs/>
          <w:kern w:val="2"/>
          <w:sz w:val="21"/>
          <w:lang w:eastAsia="zh-CN"/>
        </w:rPr>
        <w:t>（一）与“对通用条款的补充内容”章节相关的事项</w:t>
      </w:r>
    </w:p>
    <w:p>
      <w:pPr>
        <w:widowControl w:val="0"/>
        <w:ind w:firstLine="420" w:firstLineChars="200"/>
        <w:jc w:val="both"/>
        <w:rPr>
          <w:rFonts w:ascii="宋体" w:eastAsia="宋体" w:hAnsi="宋体" w:hint="eastAsia"/>
          <w:b/>
          <w:kern w:val="2"/>
          <w:sz w:val="21"/>
          <w:lang w:eastAsia="zh-CN"/>
        </w:rPr>
      </w:pPr>
      <w:r>
        <w:rPr>
          <w:rFonts w:ascii="宋体" w:eastAsia="宋体" w:hAnsi="宋体" w:hint="eastAsia"/>
          <w:b/>
          <w:kern w:val="2"/>
          <w:sz w:val="21"/>
          <w:lang w:eastAsia="zh-CN"/>
        </w:rPr>
        <w:t>1、评审信息</w:t>
      </w:r>
    </w:p>
    <w:tbl>
      <w:tblPr>
        <w:tblStyle w:val="TableGrid"/>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916"/>
        <w:gridCol w:w="5613"/>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2844" w:type="dxa"/>
          </w:tcPr>
          <w:p>
            <w:pPr>
              <w:jc w:val="center"/>
              <w:rPr>
                <w:kern w:val="2"/>
                <w:sz w:val="21"/>
                <w:lang w:eastAsia="zh-CN"/>
              </w:rPr>
            </w:pPr>
            <w:r>
              <w:rPr>
                <w:rFonts w:hint="eastAsia"/>
                <w:kern w:val="2"/>
                <w:sz w:val="21"/>
                <w:lang w:eastAsia="zh-CN"/>
              </w:rPr>
              <w:t>评标方法</w:t>
            </w:r>
          </w:p>
        </w:tc>
        <w:tc>
          <w:tcPr>
            <w:tcW w:w="5475" w:type="dxa"/>
          </w:tcPr>
          <w:p>
            <w:pPr>
              <w:jc w:val="center"/>
              <w:rPr>
                <w:kern w:val="2"/>
                <w:sz w:val="21"/>
                <w:lang w:eastAsia="zh-CN"/>
              </w:rPr>
            </w:pPr>
            <w:r>
              <w:rPr>
                <w:rFonts w:ascii="Wingdings" w:hAnsi="Wingdings"/>
                <w:kern w:val="2"/>
                <w:sz w:val="21"/>
                <w:lang w:eastAsia="zh-CN"/>
              </w:rPr>
              <w:sym w:font="Wingdings" w:char="F0FE"/>
            </w:r>
            <w:r>
              <w:rPr>
                <w:rFonts w:hint="eastAsia"/>
                <w:kern w:val="2"/>
                <w:sz w:val="21"/>
                <w:lang w:eastAsia="zh-CN"/>
              </w:rPr>
              <w:t>最低价法</w:t>
            </w:r>
          </w:p>
        </w:tc>
      </w:tr>
      <w:tr>
        <w:tblPrEx>
          <w:tblW w:w="5000" w:type="pct"/>
          <w:tblInd w:w="0" w:type="dxa"/>
          <w:tblLayout w:type="fixed"/>
          <w:tblCellMar>
            <w:top w:w="0" w:type="dxa"/>
            <w:left w:w="108" w:type="dxa"/>
            <w:bottom w:w="0" w:type="dxa"/>
            <w:right w:w="108" w:type="dxa"/>
          </w:tblCellMar>
        </w:tblPrEx>
        <w:tc>
          <w:tcPr>
            <w:tcW w:w="2844" w:type="dxa"/>
          </w:tcPr>
          <w:p>
            <w:pPr>
              <w:jc w:val="center"/>
              <w:rPr>
                <w:kern w:val="2"/>
                <w:sz w:val="21"/>
                <w:lang w:eastAsia="zh-CN"/>
              </w:rPr>
            </w:pPr>
            <w:r>
              <w:rPr>
                <w:rFonts w:hint="eastAsia"/>
                <w:kern w:val="2"/>
                <w:sz w:val="21"/>
                <w:lang w:eastAsia="zh-CN"/>
              </w:rPr>
              <w:t>候选成交供应商家数</w:t>
            </w:r>
          </w:p>
        </w:tc>
        <w:tc>
          <w:tcPr>
            <w:tcW w:w="5475" w:type="dxa"/>
          </w:tcPr>
          <w:p>
            <w:pPr>
              <w:jc w:val="center"/>
              <w:rPr>
                <w:rFonts w:hint="eastAsia"/>
                <w:kern w:val="2"/>
                <w:sz w:val="21"/>
                <w:lang w:eastAsia="zh-CN"/>
              </w:rPr>
            </w:pPr>
            <w:r>
              <w:rPr>
                <w:rFonts w:hint="eastAsia"/>
                <w:kern w:val="2"/>
                <w:sz w:val="21"/>
                <w:lang w:eastAsia="zh-CN"/>
              </w:rPr>
              <w:t>1</w:t>
            </w:r>
          </w:p>
        </w:tc>
      </w:tr>
      <w:tr>
        <w:tblPrEx>
          <w:tblW w:w="5000" w:type="pct"/>
          <w:tblInd w:w="0" w:type="dxa"/>
          <w:tblLayout w:type="fixed"/>
          <w:tblCellMar>
            <w:top w:w="0" w:type="dxa"/>
            <w:left w:w="108" w:type="dxa"/>
            <w:bottom w:w="0" w:type="dxa"/>
            <w:right w:w="108" w:type="dxa"/>
          </w:tblCellMar>
        </w:tblPrEx>
        <w:tc>
          <w:tcPr>
            <w:tcW w:w="2844" w:type="dxa"/>
          </w:tcPr>
          <w:p>
            <w:pPr>
              <w:jc w:val="center"/>
              <w:rPr>
                <w:kern w:val="2"/>
                <w:sz w:val="21"/>
                <w:lang w:eastAsia="zh-CN"/>
              </w:rPr>
            </w:pPr>
            <w:r>
              <w:rPr>
                <w:rFonts w:hint="eastAsia"/>
                <w:kern w:val="2"/>
                <w:sz w:val="21"/>
                <w:lang w:eastAsia="zh-CN"/>
              </w:rPr>
              <w:t>成交供应商家数</w:t>
            </w:r>
          </w:p>
        </w:tc>
        <w:tc>
          <w:tcPr>
            <w:tcW w:w="5475" w:type="dxa"/>
          </w:tcPr>
          <w:p>
            <w:pPr>
              <w:jc w:val="center"/>
              <w:rPr>
                <w:kern w:val="2"/>
                <w:sz w:val="21"/>
                <w:lang w:eastAsia="zh-CN"/>
              </w:rPr>
            </w:pPr>
            <w:r>
              <w:rPr>
                <w:rFonts w:hint="eastAsia"/>
                <w:kern w:val="2"/>
                <w:sz w:val="21"/>
                <w:lang w:eastAsia="zh-CN"/>
              </w:rPr>
              <w:t>1</w:t>
            </w:r>
          </w:p>
        </w:tc>
      </w:tr>
    </w:tbl>
    <w:p>
      <w:pPr>
        <w:widowControl w:val="0"/>
        <w:jc w:val="both"/>
        <w:rPr>
          <w:rFonts w:eastAsia="宋体"/>
          <w:b/>
          <w:bCs/>
          <w:kern w:val="2"/>
          <w:sz w:val="21"/>
          <w:lang w:eastAsia="zh-CN"/>
        </w:rPr>
      </w:pPr>
    </w:p>
    <w:p>
      <w:pPr>
        <w:widowControl w:val="0"/>
        <w:ind w:firstLine="420" w:firstLineChars="200"/>
        <w:jc w:val="both"/>
        <w:rPr>
          <w:rFonts w:eastAsia="宋体"/>
          <w:b/>
          <w:kern w:val="2"/>
          <w:sz w:val="21"/>
          <w:lang w:eastAsia="zh-CN"/>
        </w:rPr>
      </w:pPr>
      <w:bookmarkStart w:id="41" w:name="_Hlk73641770"/>
      <w:r>
        <w:rPr>
          <w:rFonts w:eastAsia="宋体" w:hint="eastAsia"/>
          <w:b/>
          <w:kern w:val="2"/>
          <w:sz w:val="21"/>
          <w:lang w:eastAsia="zh-CN"/>
        </w:rPr>
        <w:t>（二）其他事项</w:t>
      </w:r>
      <w:bookmarkEnd w:id="40"/>
    </w:p>
    <w:p>
      <w:pPr>
        <w:widowControl w:val="0"/>
        <w:ind w:firstLine="420" w:firstLineChars="200"/>
        <w:jc w:val="both"/>
        <w:rPr>
          <w:rFonts w:eastAsia="宋体"/>
          <w:color w:val="0000FF"/>
          <w:kern w:val="2"/>
          <w:sz w:val="21"/>
          <w:lang w:eastAsia="zh-CN"/>
        </w:rPr>
      </w:pPr>
      <w:r>
        <w:rPr>
          <w:rFonts w:eastAsia="宋体" w:hint="eastAsia"/>
          <w:b/>
          <w:bCs/>
          <w:kern w:val="2"/>
          <w:sz w:val="21"/>
          <w:lang w:eastAsia="zh-CN"/>
        </w:rPr>
        <w:t>2、</w:t>
      </w:r>
      <w:r>
        <w:rPr>
          <w:rFonts w:eastAsia="宋体" w:hint="eastAsia"/>
          <w:b/>
          <w:kern w:val="2"/>
          <w:sz w:val="21"/>
          <w:lang w:eastAsia="zh-CN"/>
        </w:rPr>
        <w:t>关于采购订单融资政策</w:t>
      </w:r>
    </w:p>
    <w:p>
      <w:pPr>
        <w:widowControl w:val="0"/>
        <w:wordWrap w:val="0"/>
        <w:ind w:firstLine="420" w:firstLineChars="200"/>
        <w:jc w:val="both"/>
        <w:rPr>
          <w:rFonts w:eastAsia="宋体"/>
          <w:color w:val="0000FF"/>
          <w:kern w:val="2"/>
          <w:sz w:val="21"/>
          <w:lang w:eastAsia="zh-CN"/>
        </w:rPr>
      </w:pPr>
      <w:r>
        <w:rPr>
          <w:rFonts w:eastAsia="宋体" w:hint="eastAsia"/>
          <w:kern w:val="2"/>
          <w:sz w:val="21"/>
          <w:lang w:eastAsia="zh-CN"/>
        </w:rPr>
        <w:t>为深入贯彻落实国家深化政府采购制度改革精神，充分发挥政府采购扶持中小企业发展的政策功能，缓解中小微企业融资难、融资贵的问题，根据《深圳市财政局关于加大力度运用政府采购订单融资政策支持企业发展的通知》要求，参与深圳市政府采购活动供应商可凭借所获取的深圳市政府采购中标（成交）通知书与采购合同，向参与订单融资业务的金融机构提出融资申请，金融机构以各自信贷政策为基础，为中标（成交）供应商提供融资授信，订单融资具体流程可登录深圳要素交易金融服务平台(https://finance.szexgrp.com/gtm/web/guarantee/#/)，相关政策法规参阅深圳市政府采购监管网（http://zfcg.sz.gov.cn/）信息公开栏目。</w:t>
      </w:r>
    </w:p>
    <w:bookmarkEnd w:id="41"/>
    <w:p>
      <w:pPr>
        <w:widowControl w:val="0"/>
        <w:ind w:firstLine="640" w:firstLineChars="200"/>
        <w:jc w:val="both"/>
        <w:rPr>
          <w:rFonts w:eastAsia="宋体"/>
          <w:b/>
          <w:kern w:val="2"/>
          <w:sz w:val="21"/>
          <w:lang w:eastAsia="zh-CN"/>
        </w:rPr>
      </w:pPr>
      <w:r>
        <w:rPr>
          <w:rFonts w:ascii="Wingdings" w:eastAsia="宋体" w:hAnsi="Wingdings"/>
          <w:kern w:val="2"/>
          <w:sz w:val="32"/>
          <w:szCs w:val="40"/>
          <w:lang w:eastAsia="zh-CN"/>
        </w:rPr>
        <w:sym w:font="Wingdings" w:char="F0FE"/>
      </w:r>
      <w:r>
        <w:rPr>
          <w:rFonts w:eastAsia="宋体" w:hint="eastAsia"/>
          <w:b/>
          <w:kern w:val="2"/>
          <w:sz w:val="21"/>
          <w:lang w:eastAsia="zh-CN"/>
        </w:rPr>
        <w:t>3、</w:t>
      </w:r>
      <w:bookmarkStart w:id="42" w:name="_Hlk76855768"/>
      <w:bookmarkStart w:id="43" w:name="_Hlk72594729"/>
      <w:r>
        <w:rPr>
          <w:rFonts w:eastAsia="宋体" w:hint="eastAsia"/>
          <w:b/>
          <w:kern w:val="2"/>
          <w:sz w:val="21"/>
          <w:lang w:eastAsia="zh-CN"/>
        </w:rPr>
        <w:t>本项目为代理服务项目，将向中标（成交）供应商收取代理服务费。</w:t>
      </w:r>
    </w:p>
    <w:bookmarkEnd w:id="42"/>
    <w:bookmarkEnd w:id="43"/>
    <w:p>
      <w:pPr>
        <w:widowControl w:val="0"/>
        <w:ind w:firstLine="420" w:firstLineChars="200"/>
        <w:jc w:val="both"/>
        <w:rPr>
          <w:rFonts w:eastAsia="宋体"/>
          <w:kern w:val="2"/>
          <w:sz w:val="21"/>
          <w:lang w:eastAsia="zh-CN"/>
        </w:rPr>
      </w:pPr>
      <w:r>
        <w:rPr>
          <w:rFonts w:eastAsia="宋体" w:hint="eastAsia"/>
          <w:kern w:val="2"/>
          <w:sz w:val="21"/>
          <w:lang w:eastAsia="zh-CN"/>
        </w:rPr>
        <w:t>中标（成交）供应商在领取《中标（成交）通知书》之前须向深圳公共资源交易中心（深圳交易集团有限公司政府采购业务分公司）交纳代理服务费。若因中标（成交）供应商交纳代理服务费所产生的时间影响到合同签订的，由中标（成交）供应商自行承担责任。代理服务费标准参照下列标准收取。</w:t>
      </w:r>
      <w:r>
        <w:rPr>
          <w:rFonts w:eastAsia="宋体" w:hint="eastAsia"/>
          <w:b/>
          <w:color w:val="FF0000"/>
          <w:kern w:val="2"/>
          <w:sz w:val="21"/>
          <w:lang w:eastAsia="zh-CN"/>
        </w:rPr>
        <w:t>本项目类型为服务采购：</w:t>
      </w:r>
    </w:p>
    <w:p>
      <w:pPr>
        <w:widowControl w:val="0"/>
        <w:ind w:firstLine="420" w:firstLineChars="200"/>
        <w:jc w:val="both"/>
        <w:rPr>
          <w:rFonts w:eastAsia="宋体"/>
          <w:kern w:val="2"/>
          <w:sz w:val="21"/>
          <w:lang w:eastAsia="zh-CN"/>
        </w:rPr>
      </w:pPr>
      <w:r>
        <w:rPr>
          <w:rFonts w:eastAsia="宋体" w:hint="eastAsia"/>
          <w:kern w:val="2"/>
          <w:sz w:val="21"/>
          <w:lang w:eastAsia="zh-CN"/>
        </w:rPr>
        <w:t>（1）代理服务费以《中标（成交）通知书》确定的中标（成交）金额作为计算基数，按差额定率累进法计算。</w:t>
      </w:r>
    </w:p>
    <w:p>
      <w:pPr>
        <w:widowControl w:val="0"/>
        <w:ind w:firstLine="420" w:firstLineChars="200"/>
        <w:jc w:val="both"/>
        <w:rPr>
          <w:rFonts w:eastAsia="宋体"/>
          <w:kern w:val="2"/>
          <w:sz w:val="21"/>
          <w:lang w:eastAsia="zh-CN"/>
        </w:rPr>
      </w:pPr>
      <w:r>
        <w:rPr>
          <w:rFonts w:eastAsia="宋体" w:hint="eastAsia"/>
          <w:kern w:val="2"/>
          <w:sz w:val="21"/>
          <w:lang w:eastAsia="zh-CN"/>
        </w:rPr>
        <w:t>（2）中标（成交）金额的各部分费率如下表：</w:t>
      </w:r>
    </w:p>
    <w:tbl>
      <w:tblPr>
        <w:tblStyle w:val="TableNorm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3129"/>
        <w:gridCol w:w="1800"/>
        <w:gridCol w:w="1800"/>
        <w:gridCol w:w="1800"/>
      </w:tblGrid>
      <w:tr>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601"/>
          <w:jc w:val="center"/>
        </w:trPr>
        <w:tc>
          <w:tcPr>
            <w:tcW w:w="3125" w:type="dxa"/>
            <w:vAlign w:val="center"/>
          </w:tcPr>
          <w:p>
            <w:pPr>
              <w:widowControl/>
              <w:spacing w:line="360" w:lineRule="auto"/>
              <w:jc w:val="center"/>
              <w:rPr>
                <w:rFonts w:eastAsia="宋体"/>
                <w:kern w:val="2"/>
                <w:sz w:val="21"/>
                <w:lang w:eastAsia="zh-CN"/>
              </w:rPr>
            </w:pPr>
            <w:r>
              <w:rPr>
                <w:rFonts w:eastAsia="宋体" w:hint="eastAsia"/>
                <w:kern w:val="2"/>
                <w:sz w:val="21"/>
                <w:lang w:eastAsia="zh-CN"/>
              </w:rPr>
              <w:t>中标（成交）金额</w:t>
            </w:r>
          </w:p>
        </w:tc>
        <w:tc>
          <w:tcPr>
            <w:tcW w:w="1799" w:type="dxa"/>
            <w:vAlign w:val="center"/>
          </w:tcPr>
          <w:p>
            <w:pPr>
              <w:widowControl/>
              <w:spacing w:line="360" w:lineRule="auto"/>
              <w:jc w:val="center"/>
              <w:rPr>
                <w:rFonts w:eastAsia="宋体"/>
                <w:kern w:val="2"/>
                <w:sz w:val="21"/>
                <w:lang w:eastAsia="zh-CN"/>
              </w:rPr>
            </w:pPr>
            <w:r>
              <w:rPr>
                <w:rFonts w:eastAsia="宋体" w:hint="eastAsia"/>
                <w:kern w:val="2"/>
                <w:sz w:val="21"/>
                <w:lang w:eastAsia="zh-CN"/>
              </w:rPr>
              <w:t>货物采购</w:t>
            </w:r>
          </w:p>
        </w:tc>
        <w:tc>
          <w:tcPr>
            <w:tcW w:w="1799" w:type="dxa"/>
            <w:vAlign w:val="center"/>
          </w:tcPr>
          <w:p>
            <w:pPr>
              <w:widowControl/>
              <w:spacing w:line="360" w:lineRule="auto"/>
              <w:jc w:val="center"/>
              <w:rPr>
                <w:rFonts w:eastAsia="宋体"/>
                <w:kern w:val="2"/>
                <w:sz w:val="21"/>
                <w:lang w:eastAsia="zh-CN"/>
              </w:rPr>
            </w:pPr>
            <w:r>
              <w:rPr>
                <w:rFonts w:eastAsia="宋体" w:hint="eastAsia"/>
                <w:kern w:val="2"/>
                <w:sz w:val="21"/>
                <w:lang w:eastAsia="zh-CN"/>
              </w:rPr>
              <w:t>服务采购</w:t>
            </w:r>
          </w:p>
        </w:tc>
        <w:tc>
          <w:tcPr>
            <w:tcW w:w="1799" w:type="dxa"/>
            <w:vAlign w:val="center"/>
          </w:tcPr>
          <w:p>
            <w:pPr>
              <w:widowControl/>
              <w:spacing w:line="360" w:lineRule="auto"/>
              <w:jc w:val="center"/>
              <w:rPr>
                <w:rFonts w:eastAsia="宋体"/>
                <w:kern w:val="2"/>
                <w:sz w:val="21"/>
                <w:lang w:eastAsia="zh-CN"/>
              </w:rPr>
            </w:pPr>
            <w:r>
              <w:rPr>
                <w:rFonts w:eastAsia="宋体" w:hint="eastAsia"/>
                <w:kern w:val="2"/>
                <w:sz w:val="21"/>
                <w:lang w:eastAsia="zh-CN"/>
              </w:rPr>
              <w:t>工程采购</w:t>
            </w:r>
          </w:p>
        </w:tc>
      </w:tr>
      <w:tr>
        <w:tblPrEx>
          <w:tblW w:w="5000" w:type="pct"/>
          <w:jc w:val="center"/>
          <w:tblLayout w:type="fixed"/>
          <w:tblCellMar>
            <w:top w:w="0" w:type="dxa"/>
            <w:left w:w="108" w:type="dxa"/>
            <w:bottom w:w="0" w:type="dxa"/>
            <w:right w:w="108" w:type="dxa"/>
          </w:tblCellMar>
        </w:tblPrEx>
        <w:trPr>
          <w:jc w:val="center"/>
        </w:trPr>
        <w:tc>
          <w:tcPr>
            <w:tcW w:w="3125" w:type="dxa"/>
            <w:vAlign w:val="center"/>
          </w:tcPr>
          <w:p>
            <w:pPr>
              <w:widowControl/>
              <w:spacing w:line="360" w:lineRule="auto"/>
              <w:jc w:val="center"/>
              <w:rPr>
                <w:rFonts w:eastAsia="宋体"/>
                <w:kern w:val="2"/>
                <w:sz w:val="21"/>
                <w:lang w:eastAsia="zh-CN"/>
              </w:rPr>
            </w:pPr>
            <w:r>
              <w:rPr>
                <w:rFonts w:eastAsia="宋体" w:hint="eastAsia"/>
                <w:kern w:val="2"/>
                <w:sz w:val="21"/>
                <w:lang w:eastAsia="zh-CN"/>
              </w:rPr>
              <w:t>100万元以下</w:t>
            </w:r>
          </w:p>
        </w:tc>
        <w:tc>
          <w:tcPr>
            <w:tcW w:w="1799" w:type="dxa"/>
            <w:vAlign w:val="center"/>
          </w:tcPr>
          <w:p>
            <w:pPr>
              <w:widowControl/>
              <w:spacing w:line="360" w:lineRule="auto"/>
              <w:jc w:val="center"/>
              <w:rPr>
                <w:rFonts w:eastAsia="宋体"/>
                <w:kern w:val="2"/>
                <w:sz w:val="21"/>
                <w:lang w:eastAsia="zh-CN"/>
              </w:rPr>
            </w:pPr>
            <w:r>
              <w:rPr>
                <w:rFonts w:eastAsia="宋体" w:hint="eastAsia"/>
                <w:kern w:val="2"/>
                <w:sz w:val="21"/>
                <w:lang w:eastAsia="zh-CN"/>
              </w:rPr>
              <w:t>1.5%</w:t>
            </w:r>
          </w:p>
        </w:tc>
        <w:tc>
          <w:tcPr>
            <w:tcW w:w="1799" w:type="dxa"/>
            <w:vAlign w:val="center"/>
          </w:tcPr>
          <w:p>
            <w:pPr>
              <w:widowControl/>
              <w:spacing w:line="360" w:lineRule="auto"/>
              <w:jc w:val="center"/>
              <w:rPr>
                <w:rFonts w:eastAsia="宋体"/>
                <w:kern w:val="2"/>
                <w:sz w:val="21"/>
                <w:lang w:eastAsia="zh-CN"/>
              </w:rPr>
            </w:pPr>
            <w:r>
              <w:rPr>
                <w:rFonts w:eastAsia="宋体" w:hint="eastAsia"/>
                <w:kern w:val="2"/>
                <w:sz w:val="21"/>
                <w:lang w:eastAsia="zh-CN"/>
              </w:rPr>
              <w:t>1.5%</w:t>
            </w:r>
          </w:p>
        </w:tc>
        <w:tc>
          <w:tcPr>
            <w:tcW w:w="1799" w:type="dxa"/>
            <w:vAlign w:val="center"/>
          </w:tcPr>
          <w:p>
            <w:pPr>
              <w:widowControl/>
              <w:spacing w:line="360" w:lineRule="auto"/>
              <w:jc w:val="center"/>
              <w:rPr>
                <w:rFonts w:eastAsia="宋体"/>
                <w:kern w:val="2"/>
                <w:sz w:val="21"/>
                <w:lang w:eastAsia="zh-CN"/>
              </w:rPr>
            </w:pPr>
            <w:r>
              <w:rPr>
                <w:rFonts w:eastAsia="宋体" w:hint="eastAsia"/>
                <w:kern w:val="2"/>
                <w:sz w:val="21"/>
                <w:lang w:eastAsia="zh-CN"/>
              </w:rPr>
              <w:t>1.0%</w:t>
            </w:r>
          </w:p>
        </w:tc>
      </w:tr>
      <w:tr>
        <w:tblPrEx>
          <w:tblW w:w="5000" w:type="pct"/>
          <w:jc w:val="center"/>
          <w:tblLayout w:type="fixed"/>
          <w:tblCellMar>
            <w:top w:w="0" w:type="dxa"/>
            <w:left w:w="108" w:type="dxa"/>
            <w:bottom w:w="0" w:type="dxa"/>
            <w:right w:w="108" w:type="dxa"/>
          </w:tblCellMar>
        </w:tblPrEx>
        <w:trPr>
          <w:jc w:val="center"/>
        </w:trPr>
        <w:tc>
          <w:tcPr>
            <w:tcW w:w="3125" w:type="dxa"/>
            <w:vAlign w:val="center"/>
          </w:tcPr>
          <w:p>
            <w:pPr>
              <w:widowControl/>
              <w:spacing w:line="360" w:lineRule="auto"/>
              <w:jc w:val="center"/>
              <w:rPr>
                <w:rFonts w:eastAsia="宋体"/>
                <w:kern w:val="2"/>
                <w:sz w:val="21"/>
                <w:lang w:eastAsia="zh-CN"/>
              </w:rPr>
            </w:pPr>
            <w:r>
              <w:rPr>
                <w:rFonts w:eastAsia="宋体" w:hint="eastAsia"/>
                <w:kern w:val="2"/>
                <w:sz w:val="21"/>
                <w:lang w:eastAsia="zh-CN"/>
              </w:rPr>
              <w:t>100万元（含）-500万元</w:t>
            </w:r>
          </w:p>
        </w:tc>
        <w:tc>
          <w:tcPr>
            <w:tcW w:w="1799" w:type="dxa"/>
            <w:vAlign w:val="center"/>
          </w:tcPr>
          <w:p>
            <w:pPr>
              <w:widowControl/>
              <w:spacing w:line="360" w:lineRule="auto"/>
              <w:jc w:val="center"/>
              <w:rPr>
                <w:rFonts w:eastAsia="宋体"/>
                <w:kern w:val="2"/>
                <w:sz w:val="21"/>
                <w:lang w:eastAsia="zh-CN"/>
              </w:rPr>
            </w:pPr>
            <w:r>
              <w:rPr>
                <w:rFonts w:eastAsia="宋体" w:hint="eastAsia"/>
                <w:kern w:val="2"/>
                <w:sz w:val="21"/>
                <w:lang w:eastAsia="zh-CN"/>
              </w:rPr>
              <w:t>1.1%</w:t>
            </w:r>
          </w:p>
        </w:tc>
        <w:tc>
          <w:tcPr>
            <w:tcW w:w="1799" w:type="dxa"/>
            <w:vAlign w:val="center"/>
          </w:tcPr>
          <w:p>
            <w:pPr>
              <w:widowControl/>
              <w:spacing w:line="360" w:lineRule="auto"/>
              <w:jc w:val="center"/>
              <w:rPr>
                <w:rFonts w:eastAsia="宋体"/>
                <w:kern w:val="2"/>
                <w:sz w:val="21"/>
                <w:lang w:eastAsia="zh-CN"/>
              </w:rPr>
            </w:pPr>
            <w:r>
              <w:rPr>
                <w:rFonts w:eastAsia="宋体" w:hint="eastAsia"/>
                <w:kern w:val="2"/>
                <w:sz w:val="21"/>
                <w:lang w:eastAsia="zh-CN"/>
              </w:rPr>
              <w:t>0.8%</w:t>
            </w:r>
          </w:p>
        </w:tc>
        <w:tc>
          <w:tcPr>
            <w:tcW w:w="1799" w:type="dxa"/>
            <w:vAlign w:val="center"/>
          </w:tcPr>
          <w:p>
            <w:pPr>
              <w:widowControl/>
              <w:spacing w:line="360" w:lineRule="auto"/>
              <w:jc w:val="center"/>
              <w:rPr>
                <w:rFonts w:eastAsia="宋体"/>
                <w:kern w:val="2"/>
                <w:sz w:val="21"/>
                <w:lang w:eastAsia="zh-CN"/>
              </w:rPr>
            </w:pPr>
            <w:r>
              <w:rPr>
                <w:rFonts w:eastAsia="宋体" w:hint="eastAsia"/>
                <w:kern w:val="2"/>
                <w:sz w:val="21"/>
                <w:lang w:eastAsia="zh-CN"/>
              </w:rPr>
              <w:t>0.7%</w:t>
            </w:r>
          </w:p>
        </w:tc>
      </w:tr>
      <w:tr>
        <w:tblPrEx>
          <w:tblW w:w="5000" w:type="pct"/>
          <w:jc w:val="center"/>
          <w:tblLayout w:type="fixed"/>
          <w:tblCellMar>
            <w:top w:w="0" w:type="dxa"/>
            <w:left w:w="108" w:type="dxa"/>
            <w:bottom w:w="0" w:type="dxa"/>
            <w:right w:w="108" w:type="dxa"/>
          </w:tblCellMar>
        </w:tblPrEx>
        <w:trPr>
          <w:jc w:val="center"/>
        </w:trPr>
        <w:tc>
          <w:tcPr>
            <w:tcW w:w="3125" w:type="dxa"/>
            <w:vAlign w:val="center"/>
          </w:tcPr>
          <w:p>
            <w:pPr>
              <w:widowControl/>
              <w:spacing w:line="360" w:lineRule="auto"/>
              <w:jc w:val="center"/>
              <w:rPr>
                <w:rFonts w:eastAsia="宋体"/>
                <w:kern w:val="2"/>
                <w:sz w:val="21"/>
                <w:lang w:eastAsia="zh-CN"/>
              </w:rPr>
            </w:pPr>
            <w:r>
              <w:rPr>
                <w:rFonts w:eastAsia="宋体" w:hint="eastAsia"/>
                <w:kern w:val="2"/>
                <w:sz w:val="21"/>
                <w:lang w:eastAsia="zh-CN"/>
              </w:rPr>
              <w:t>500万元（含）-1000万元</w:t>
            </w:r>
          </w:p>
        </w:tc>
        <w:tc>
          <w:tcPr>
            <w:tcW w:w="1799" w:type="dxa"/>
            <w:vAlign w:val="center"/>
          </w:tcPr>
          <w:p>
            <w:pPr>
              <w:widowControl/>
              <w:spacing w:line="360" w:lineRule="auto"/>
              <w:jc w:val="center"/>
              <w:rPr>
                <w:rFonts w:eastAsia="宋体"/>
                <w:kern w:val="2"/>
                <w:sz w:val="21"/>
                <w:lang w:eastAsia="zh-CN"/>
              </w:rPr>
            </w:pPr>
            <w:r>
              <w:rPr>
                <w:rFonts w:eastAsia="宋体" w:hint="eastAsia"/>
                <w:kern w:val="2"/>
                <w:sz w:val="21"/>
                <w:lang w:eastAsia="zh-CN"/>
              </w:rPr>
              <w:t>0.8%</w:t>
            </w:r>
          </w:p>
        </w:tc>
        <w:tc>
          <w:tcPr>
            <w:tcW w:w="1799" w:type="dxa"/>
            <w:vAlign w:val="center"/>
          </w:tcPr>
          <w:p>
            <w:pPr>
              <w:widowControl/>
              <w:spacing w:line="360" w:lineRule="auto"/>
              <w:jc w:val="center"/>
              <w:rPr>
                <w:rFonts w:eastAsia="宋体"/>
                <w:kern w:val="2"/>
                <w:sz w:val="21"/>
                <w:lang w:eastAsia="zh-CN"/>
              </w:rPr>
            </w:pPr>
            <w:r>
              <w:rPr>
                <w:rFonts w:eastAsia="宋体" w:hint="eastAsia"/>
                <w:kern w:val="2"/>
                <w:sz w:val="21"/>
                <w:lang w:eastAsia="zh-CN"/>
              </w:rPr>
              <w:t>0.45%</w:t>
            </w:r>
          </w:p>
        </w:tc>
        <w:tc>
          <w:tcPr>
            <w:tcW w:w="1799" w:type="dxa"/>
            <w:vAlign w:val="center"/>
          </w:tcPr>
          <w:p>
            <w:pPr>
              <w:widowControl/>
              <w:spacing w:line="360" w:lineRule="auto"/>
              <w:jc w:val="center"/>
              <w:rPr>
                <w:rFonts w:eastAsia="宋体"/>
                <w:kern w:val="2"/>
                <w:sz w:val="21"/>
                <w:lang w:eastAsia="zh-CN"/>
              </w:rPr>
            </w:pPr>
            <w:r>
              <w:rPr>
                <w:rFonts w:eastAsia="宋体" w:hint="eastAsia"/>
                <w:kern w:val="2"/>
                <w:sz w:val="21"/>
                <w:lang w:eastAsia="zh-CN"/>
              </w:rPr>
              <w:t>0.55%</w:t>
            </w:r>
          </w:p>
        </w:tc>
      </w:tr>
      <w:tr>
        <w:tblPrEx>
          <w:tblW w:w="5000" w:type="pct"/>
          <w:jc w:val="center"/>
          <w:tblLayout w:type="fixed"/>
          <w:tblCellMar>
            <w:top w:w="0" w:type="dxa"/>
            <w:left w:w="108" w:type="dxa"/>
            <w:bottom w:w="0" w:type="dxa"/>
            <w:right w:w="108" w:type="dxa"/>
          </w:tblCellMar>
        </w:tblPrEx>
        <w:trPr>
          <w:jc w:val="center"/>
        </w:trPr>
        <w:tc>
          <w:tcPr>
            <w:tcW w:w="3125" w:type="dxa"/>
            <w:vAlign w:val="center"/>
          </w:tcPr>
          <w:p>
            <w:pPr>
              <w:widowControl/>
              <w:spacing w:line="360" w:lineRule="auto"/>
              <w:jc w:val="center"/>
              <w:rPr>
                <w:rFonts w:eastAsia="宋体"/>
                <w:kern w:val="2"/>
                <w:sz w:val="21"/>
                <w:lang w:eastAsia="zh-CN"/>
              </w:rPr>
            </w:pPr>
            <w:r>
              <w:rPr>
                <w:rFonts w:eastAsia="宋体" w:hint="eastAsia"/>
                <w:kern w:val="2"/>
                <w:sz w:val="21"/>
                <w:lang w:eastAsia="zh-CN"/>
              </w:rPr>
              <w:t>1000万元（含）-5000万元</w:t>
            </w:r>
          </w:p>
        </w:tc>
        <w:tc>
          <w:tcPr>
            <w:tcW w:w="1799" w:type="dxa"/>
            <w:vAlign w:val="center"/>
          </w:tcPr>
          <w:p>
            <w:pPr>
              <w:widowControl/>
              <w:spacing w:line="360" w:lineRule="auto"/>
              <w:jc w:val="center"/>
              <w:rPr>
                <w:rFonts w:eastAsia="宋体"/>
                <w:kern w:val="2"/>
                <w:sz w:val="21"/>
                <w:lang w:eastAsia="zh-CN"/>
              </w:rPr>
            </w:pPr>
            <w:r>
              <w:rPr>
                <w:rFonts w:eastAsia="宋体" w:hint="eastAsia"/>
                <w:kern w:val="2"/>
                <w:sz w:val="21"/>
                <w:lang w:eastAsia="zh-CN"/>
              </w:rPr>
              <w:t>0.5%</w:t>
            </w:r>
          </w:p>
        </w:tc>
        <w:tc>
          <w:tcPr>
            <w:tcW w:w="1799" w:type="dxa"/>
            <w:vAlign w:val="center"/>
          </w:tcPr>
          <w:p>
            <w:pPr>
              <w:widowControl/>
              <w:spacing w:line="360" w:lineRule="auto"/>
              <w:jc w:val="center"/>
              <w:rPr>
                <w:rFonts w:eastAsia="宋体"/>
                <w:kern w:val="2"/>
                <w:sz w:val="21"/>
                <w:lang w:eastAsia="zh-CN"/>
              </w:rPr>
            </w:pPr>
            <w:r>
              <w:rPr>
                <w:rFonts w:eastAsia="宋体" w:hint="eastAsia"/>
                <w:kern w:val="2"/>
                <w:sz w:val="21"/>
                <w:lang w:eastAsia="zh-CN"/>
              </w:rPr>
              <w:t>0.25%</w:t>
            </w:r>
          </w:p>
        </w:tc>
        <w:tc>
          <w:tcPr>
            <w:tcW w:w="1799" w:type="dxa"/>
            <w:vAlign w:val="center"/>
          </w:tcPr>
          <w:p>
            <w:pPr>
              <w:widowControl/>
              <w:spacing w:line="360" w:lineRule="auto"/>
              <w:jc w:val="center"/>
              <w:rPr>
                <w:rFonts w:eastAsia="宋体"/>
                <w:kern w:val="2"/>
                <w:sz w:val="21"/>
                <w:lang w:eastAsia="zh-CN"/>
              </w:rPr>
            </w:pPr>
            <w:r>
              <w:rPr>
                <w:rFonts w:eastAsia="宋体" w:hint="eastAsia"/>
                <w:kern w:val="2"/>
                <w:sz w:val="21"/>
                <w:lang w:eastAsia="zh-CN"/>
              </w:rPr>
              <w:t>0.35%</w:t>
            </w:r>
          </w:p>
        </w:tc>
      </w:tr>
      <w:tr>
        <w:tblPrEx>
          <w:tblW w:w="5000" w:type="pct"/>
          <w:jc w:val="center"/>
          <w:tblLayout w:type="fixed"/>
          <w:tblCellMar>
            <w:top w:w="0" w:type="dxa"/>
            <w:left w:w="108" w:type="dxa"/>
            <w:bottom w:w="0" w:type="dxa"/>
            <w:right w:w="108" w:type="dxa"/>
          </w:tblCellMar>
        </w:tblPrEx>
        <w:trPr>
          <w:jc w:val="center"/>
        </w:trPr>
        <w:tc>
          <w:tcPr>
            <w:tcW w:w="3125" w:type="dxa"/>
            <w:vAlign w:val="center"/>
          </w:tcPr>
          <w:p>
            <w:pPr>
              <w:widowControl/>
              <w:spacing w:line="360" w:lineRule="auto"/>
              <w:jc w:val="center"/>
              <w:rPr>
                <w:rFonts w:eastAsia="宋体"/>
                <w:kern w:val="2"/>
                <w:sz w:val="21"/>
                <w:lang w:eastAsia="zh-CN"/>
              </w:rPr>
            </w:pPr>
            <w:r>
              <w:rPr>
                <w:rFonts w:eastAsia="宋体" w:hint="eastAsia"/>
                <w:kern w:val="2"/>
                <w:sz w:val="21"/>
                <w:lang w:eastAsia="zh-CN"/>
              </w:rPr>
              <w:t>5000万元（含）-1亿元</w:t>
            </w:r>
          </w:p>
        </w:tc>
        <w:tc>
          <w:tcPr>
            <w:tcW w:w="1799" w:type="dxa"/>
            <w:vAlign w:val="center"/>
          </w:tcPr>
          <w:p>
            <w:pPr>
              <w:widowControl/>
              <w:spacing w:line="360" w:lineRule="auto"/>
              <w:jc w:val="center"/>
              <w:rPr>
                <w:rFonts w:eastAsia="宋体"/>
                <w:kern w:val="2"/>
                <w:sz w:val="21"/>
                <w:lang w:eastAsia="zh-CN"/>
              </w:rPr>
            </w:pPr>
            <w:r>
              <w:rPr>
                <w:rFonts w:eastAsia="宋体" w:hint="eastAsia"/>
                <w:kern w:val="2"/>
                <w:sz w:val="21"/>
                <w:lang w:eastAsia="zh-CN"/>
              </w:rPr>
              <w:t>0.25%</w:t>
            </w:r>
          </w:p>
        </w:tc>
        <w:tc>
          <w:tcPr>
            <w:tcW w:w="1799" w:type="dxa"/>
            <w:vAlign w:val="center"/>
          </w:tcPr>
          <w:p>
            <w:pPr>
              <w:widowControl/>
              <w:spacing w:line="360" w:lineRule="auto"/>
              <w:jc w:val="center"/>
              <w:rPr>
                <w:rFonts w:eastAsia="宋体"/>
                <w:kern w:val="2"/>
                <w:sz w:val="21"/>
                <w:lang w:eastAsia="zh-CN"/>
              </w:rPr>
            </w:pPr>
            <w:r>
              <w:rPr>
                <w:rFonts w:eastAsia="宋体" w:hint="eastAsia"/>
                <w:kern w:val="2"/>
                <w:sz w:val="21"/>
                <w:lang w:eastAsia="zh-CN"/>
              </w:rPr>
              <w:t>0.1%</w:t>
            </w:r>
          </w:p>
        </w:tc>
        <w:tc>
          <w:tcPr>
            <w:tcW w:w="1799" w:type="dxa"/>
            <w:vAlign w:val="center"/>
          </w:tcPr>
          <w:p>
            <w:pPr>
              <w:widowControl/>
              <w:spacing w:line="360" w:lineRule="auto"/>
              <w:jc w:val="center"/>
              <w:rPr>
                <w:rFonts w:eastAsia="宋体"/>
                <w:kern w:val="2"/>
                <w:sz w:val="21"/>
                <w:lang w:eastAsia="zh-CN"/>
              </w:rPr>
            </w:pPr>
            <w:r>
              <w:rPr>
                <w:rFonts w:eastAsia="宋体" w:hint="eastAsia"/>
                <w:kern w:val="2"/>
                <w:sz w:val="21"/>
                <w:lang w:eastAsia="zh-CN"/>
              </w:rPr>
              <w:t>0.2%</w:t>
            </w:r>
          </w:p>
        </w:tc>
      </w:tr>
      <w:tr>
        <w:tblPrEx>
          <w:tblW w:w="5000" w:type="pct"/>
          <w:jc w:val="center"/>
          <w:tblLayout w:type="fixed"/>
          <w:tblCellMar>
            <w:top w:w="0" w:type="dxa"/>
            <w:left w:w="108" w:type="dxa"/>
            <w:bottom w:w="0" w:type="dxa"/>
            <w:right w:w="108" w:type="dxa"/>
          </w:tblCellMar>
        </w:tblPrEx>
        <w:trPr>
          <w:jc w:val="center"/>
        </w:trPr>
        <w:tc>
          <w:tcPr>
            <w:tcW w:w="3125" w:type="dxa"/>
            <w:vAlign w:val="center"/>
          </w:tcPr>
          <w:p>
            <w:pPr>
              <w:widowControl/>
              <w:spacing w:line="360" w:lineRule="auto"/>
              <w:jc w:val="center"/>
              <w:rPr>
                <w:rFonts w:eastAsia="宋体"/>
                <w:kern w:val="2"/>
                <w:sz w:val="21"/>
                <w:lang w:eastAsia="zh-CN"/>
              </w:rPr>
            </w:pPr>
            <w:r>
              <w:rPr>
                <w:rFonts w:eastAsia="宋体" w:hint="eastAsia"/>
                <w:kern w:val="2"/>
                <w:sz w:val="21"/>
                <w:lang w:eastAsia="zh-CN"/>
              </w:rPr>
              <w:t>1亿元（含）-5亿元</w:t>
            </w:r>
          </w:p>
        </w:tc>
        <w:tc>
          <w:tcPr>
            <w:tcW w:w="1799" w:type="dxa"/>
            <w:vAlign w:val="center"/>
          </w:tcPr>
          <w:p>
            <w:pPr>
              <w:widowControl/>
              <w:spacing w:line="360" w:lineRule="auto"/>
              <w:jc w:val="center"/>
              <w:rPr>
                <w:rFonts w:eastAsia="宋体"/>
                <w:kern w:val="2"/>
                <w:sz w:val="21"/>
                <w:lang w:eastAsia="zh-CN"/>
              </w:rPr>
            </w:pPr>
            <w:r>
              <w:rPr>
                <w:rFonts w:eastAsia="宋体" w:hint="eastAsia"/>
                <w:kern w:val="2"/>
                <w:sz w:val="21"/>
                <w:lang w:eastAsia="zh-CN"/>
              </w:rPr>
              <w:t>0.05%</w:t>
            </w:r>
          </w:p>
        </w:tc>
        <w:tc>
          <w:tcPr>
            <w:tcW w:w="1799" w:type="dxa"/>
            <w:vAlign w:val="center"/>
          </w:tcPr>
          <w:p>
            <w:pPr>
              <w:widowControl/>
              <w:spacing w:line="360" w:lineRule="auto"/>
              <w:jc w:val="center"/>
              <w:rPr>
                <w:rFonts w:eastAsia="宋体"/>
                <w:kern w:val="2"/>
                <w:sz w:val="21"/>
                <w:lang w:eastAsia="zh-CN"/>
              </w:rPr>
            </w:pPr>
            <w:r>
              <w:rPr>
                <w:rFonts w:eastAsia="宋体" w:hint="eastAsia"/>
                <w:kern w:val="2"/>
                <w:sz w:val="21"/>
                <w:lang w:eastAsia="zh-CN"/>
              </w:rPr>
              <w:t>0.05%</w:t>
            </w:r>
          </w:p>
        </w:tc>
        <w:tc>
          <w:tcPr>
            <w:tcW w:w="1799" w:type="dxa"/>
            <w:vAlign w:val="center"/>
          </w:tcPr>
          <w:p>
            <w:pPr>
              <w:widowControl/>
              <w:spacing w:line="360" w:lineRule="auto"/>
              <w:jc w:val="center"/>
              <w:rPr>
                <w:rFonts w:eastAsia="宋体"/>
                <w:kern w:val="2"/>
                <w:sz w:val="21"/>
                <w:lang w:eastAsia="zh-CN"/>
              </w:rPr>
            </w:pPr>
            <w:r>
              <w:rPr>
                <w:rFonts w:eastAsia="宋体" w:hint="eastAsia"/>
                <w:kern w:val="2"/>
                <w:sz w:val="21"/>
                <w:lang w:eastAsia="zh-CN"/>
              </w:rPr>
              <w:t>0.05%</w:t>
            </w:r>
          </w:p>
        </w:tc>
      </w:tr>
      <w:tr>
        <w:tblPrEx>
          <w:tblW w:w="5000" w:type="pct"/>
          <w:jc w:val="center"/>
          <w:tblLayout w:type="fixed"/>
          <w:tblCellMar>
            <w:top w:w="0" w:type="dxa"/>
            <w:left w:w="108" w:type="dxa"/>
            <w:bottom w:w="0" w:type="dxa"/>
            <w:right w:w="108" w:type="dxa"/>
          </w:tblCellMar>
        </w:tblPrEx>
        <w:trPr>
          <w:jc w:val="center"/>
        </w:trPr>
        <w:tc>
          <w:tcPr>
            <w:tcW w:w="3125" w:type="dxa"/>
            <w:vAlign w:val="center"/>
          </w:tcPr>
          <w:p>
            <w:pPr>
              <w:widowControl/>
              <w:spacing w:line="360" w:lineRule="auto"/>
              <w:jc w:val="center"/>
              <w:rPr>
                <w:rFonts w:eastAsia="宋体"/>
                <w:kern w:val="2"/>
                <w:sz w:val="21"/>
                <w:lang w:eastAsia="zh-CN"/>
              </w:rPr>
            </w:pPr>
            <w:r>
              <w:rPr>
                <w:rFonts w:eastAsia="宋体" w:hint="eastAsia"/>
                <w:kern w:val="2"/>
                <w:sz w:val="21"/>
                <w:lang w:eastAsia="zh-CN"/>
              </w:rPr>
              <w:t>5亿元（含）-10亿元</w:t>
            </w:r>
          </w:p>
        </w:tc>
        <w:tc>
          <w:tcPr>
            <w:tcW w:w="1799" w:type="dxa"/>
            <w:vAlign w:val="center"/>
          </w:tcPr>
          <w:p>
            <w:pPr>
              <w:widowControl/>
              <w:spacing w:line="360" w:lineRule="auto"/>
              <w:jc w:val="center"/>
              <w:rPr>
                <w:rFonts w:eastAsia="宋体"/>
                <w:kern w:val="2"/>
                <w:sz w:val="21"/>
                <w:lang w:eastAsia="zh-CN"/>
              </w:rPr>
            </w:pPr>
            <w:r>
              <w:rPr>
                <w:rFonts w:eastAsia="宋体" w:hint="eastAsia"/>
                <w:kern w:val="2"/>
                <w:sz w:val="21"/>
                <w:lang w:eastAsia="zh-CN"/>
              </w:rPr>
              <w:t>0.035%</w:t>
            </w:r>
          </w:p>
        </w:tc>
        <w:tc>
          <w:tcPr>
            <w:tcW w:w="1799" w:type="dxa"/>
            <w:vAlign w:val="center"/>
          </w:tcPr>
          <w:p>
            <w:pPr>
              <w:widowControl/>
              <w:spacing w:line="360" w:lineRule="auto"/>
              <w:jc w:val="center"/>
              <w:rPr>
                <w:rFonts w:eastAsia="宋体"/>
                <w:kern w:val="2"/>
                <w:sz w:val="21"/>
                <w:lang w:eastAsia="zh-CN"/>
              </w:rPr>
            </w:pPr>
            <w:r>
              <w:rPr>
                <w:rFonts w:eastAsia="宋体" w:hint="eastAsia"/>
                <w:kern w:val="2"/>
                <w:sz w:val="21"/>
                <w:lang w:eastAsia="zh-CN"/>
              </w:rPr>
              <w:t>0.035%</w:t>
            </w:r>
          </w:p>
        </w:tc>
        <w:tc>
          <w:tcPr>
            <w:tcW w:w="1799" w:type="dxa"/>
            <w:vAlign w:val="center"/>
          </w:tcPr>
          <w:p>
            <w:pPr>
              <w:widowControl/>
              <w:spacing w:line="360" w:lineRule="auto"/>
              <w:jc w:val="center"/>
              <w:rPr>
                <w:rFonts w:eastAsia="宋体"/>
                <w:kern w:val="2"/>
                <w:sz w:val="21"/>
                <w:lang w:eastAsia="zh-CN"/>
              </w:rPr>
            </w:pPr>
            <w:r>
              <w:rPr>
                <w:rFonts w:eastAsia="宋体" w:hint="eastAsia"/>
                <w:kern w:val="2"/>
                <w:sz w:val="21"/>
                <w:lang w:eastAsia="zh-CN"/>
              </w:rPr>
              <w:t>0.035%</w:t>
            </w:r>
          </w:p>
        </w:tc>
      </w:tr>
      <w:tr>
        <w:tblPrEx>
          <w:tblW w:w="5000" w:type="pct"/>
          <w:jc w:val="center"/>
          <w:tblLayout w:type="fixed"/>
          <w:tblCellMar>
            <w:top w:w="0" w:type="dxa"/>
            <w:left w:w="108" w:type="dxa"/>
            <w:bottom w:w="0" w:type="dxa"/>
            <w:right w:w="108" w:type="dxa"/>
          </w:tblCellMar>
        </w:tblPrEx>
        <w:trPr>
          <w:trHeight w:val="90"/>
          <w:jc w:val="center"/>
        </w:trPr>
        <w:tc>
          <w:tcPr>
            <w:tcW w:w="3125" w:type="dxa"/>
            <w:vAlign w:val="center"/>
          </w:tcPr>
          <w:p>
            <w:pPr>
              <w:widowControl/>
              <w:spacing w:line="360" w:lineRule="auto"/>
              <w:jc w:val="center"/>
              <w:rPr>
                <w:rFonts w:eastAsia="宋体"/>
                <w:kern w:val="2"/>
                <w:sz w:val="21"/>
                <w:lang w:eastAsia="zh-CN"/>
              </w:rPr>
            </w:pPr>
            <w:r>
              <w:rPr>
                <w:rFonts w:eastAsia="宋体" w:hint="eastAsia"/>
                <w:kern w:val="2"/>
                <w:sz w:val="21"/>
                <w:lang w:eastAsia="zh-CN"/>
              </w:rPr>
              <w:t>10亿元（含）-50亿元</w:t>
            </w:r>
          </w:p>
        </w:tc>
        <w:tc>
          <w:tcPr>
            <w:tcW w:w="1799" w:type="dxa"/>
            <w:vAlign w:val="center"/>
          </w:tcPr>
          <w:p>
            <w:pPr>
              <w:widowControl/>
              <w:spacing w:line="360" w:lineRule="auto"/>
              <w:jc w:val="center"/>
              <w:rPr>
                <w:rFonts w:eastAsia="宋体"/>
                <w:kern w:val="2"/>
                <w:sz w:val="21"/>
                <w:lang w:eastAsia="zh-CN"/>
              </w:rPr>
            </w:pPr>
            <w:r>
              <w:rPr>
                <w:rFonts w:eastAsia="宋体" w:hint="eastAsia"/>
                <w:kern w:val="2"/>
                <w:sz w:val="21"/>
                <w:lang w:eastAsia="zh-CN"/>
              </w:rPr>
              <w:t>0.008%</w:t>
            </w:r>
          </w:p>
        </w:tc>
        <w:tc>
          <w:tcPr>
            <w:tcW w:w="1799" w:type="dxa"/>
            <w:vAlign w:val="center"/>
          </w:tcPr>
          <w:p>
            <w:pPr>
              <w:widowControl/>
              <w:spacing w:line="360" w:lineRule="auto"/>
              <w:jc w:val="center"/>
              <w:rPr>
                <w:rFonts w:eastAsia="宋体"/>
                <w:kern w:val="2"/>
                <w:sz w:val="21"/>
                <w:lang w:eastAsia="zh-CN"/>
              </w:rPr>
            </w:pPr>
            <w:r>
              <w:rPr>
                <w:rFonts w:eastAsia="宋体" w:hint="eastAsia"/>
                <w:kern w:val="2"/>
                <w:sz w:val="21"/>
                <w:lang w:eastAsia="zh-CN"/>
              </w:rPr>
              <w:t>0.008%</w:t>
            </w:r>
          </w:p>
        </w:tc>
        <w:tc>
          <w:tcPr>
            <w:tcW w:w="1799" w:type="dxa"/>
            <w:vAlign w:val="center"/>
          </w:tcPr>
          <w:p>
            <w:pPr>
              <w:widowControl/>
              <w:spacing w:line="360" w:lineRule="auto"/>
              <w:jc w:val="center"/>
              <w:rPr>
                <w:rFonts w:eastAsia="宋体"/>
                <w:kern w:val="2"/>
                <w:sz w:val="21"/>
                <w:lang w:eastAsia="zh-CN"/>
              </w:rPr>
            </w:pPr>
            <w:r>
              <w:rPr>
                <w:rFonts w:eastAsia="宋体" w:hint="eastAsia"/>
                <w:kern w:val="2"/>
                <w:sz w:val="21"/>
                <w:lang w:eastAsia="zh-CN"/>
              </w:rPr>
              <w:t>0.008%</w:t>
            </w:r>
          </w:p>
        </w:tc>
      </w:tr>
      <w:tr>
        <w:tblPrEx>
          <w:tblW w:w="5000" w:type="pct"/>
          <w:jc w:val="center"/>
          <w:tblLayout w:type="fixed"/>
          <w:tblCellMar>
            <w:top w:w="0" w:type="dxa"/>
            <w:left w:w="108" w:type="dxa"/>
            <w:bottom w:w="0" w:type="dxa"/>
            <w:right w:w="108" w:type="dxa"/>
          </w:tblCellMar>
        </w:tblPrEx>
        <w:trPr>
          <w:jc w:val="center"/>
        </w:trPr>
        <w:tc>
          <w:tcPr>
            <w:tcW w:w="3125" w:type="dxa"/>
            <w:vAlign w:val="center"/>
          </w:tcPr>
          <w:p>
            <w:pPr>
              <w:widowControl/>
              <w:spacing w:line="360" w:lineRule="auto"/>
              <w:jc w:val="center"/>
              <w:rPr>
                <w:rFonts w:eastAsia="宋体"/>
                <w:kern w:val="2"/>
                <w:sz w:val="21"/>
                <w:lang w:eastAsia="zh-CN"/>
              </w:rPr>
            </w:pPr>
            <w:r>
              <w:rPr>
                <w:rFonts w:eastAsia="宋体" w:hint="eastAsia"/>
                <w:kern w:val="2"/>
                <w:sz w:val="21"/>
                <w:lang w:eastAsia="zh-CN"/>
              </w:rPr>
              <w:t>50亿元（含）-100亿元</w:t>
            </w:r>
          </w:p>
        </w:tc>
        <w:tc>
          <w:tcPr>
            <w:tcW w:w="1799" w:type="dxa"/>
            <w:vAlign w:val="center"/>
          </w:tcPr>
          <w:p>
            <w:pPr>
              <w:widowControl/>
              <w:spacing w:line="360" w:lineRule="auto"/>
              <w:jc w:val="center"/>
              <w:rPr>
                <w:rFonts w:eastAsia="宋体"/>
                <w:kern w:val="2"/>
                <w:sz w:val="21"/>
                <w:lang w:eastAsia="zh-CN"/>
              </w:rPr>
            </w:pPr>
            <w:r>
              <w:rPr>
                <w:rFonts w:eastAsia="宋体" w:hint="eastAsia"/>
                <w:kern w:val="2"/>
                <w:sz w:val="21"/>
                <w:lang w:eastAsia="zh-CN"/>
              </w:rPr>
              <w:t>0.006%</w:t>
            </w:r>
          </w:p>
        </w:tc>
        <w:tc>
          <w:tcPr>
            <w:tcW w:w="1799" w:type="dxa"/>
            <w:vAlign w:val="center"/>
          </w:tcPr>
          <w:p>
            <w:pPr>
              <w:widowControl/>
              <w:spacing w:line="360" w:lineRule="auto"/>
              <w:jc w:val="center"/>
              <w:rPr>
                <w:rFonts w:eastAsia="宋体"/>
                <w:kern w:val="2"/>
                <w:sz w:val="21"/>
                <w:lang w:eastAsia="zh-CN"/>
              </w:rPr>
            </w:pPr>
            <w:r>
              <w:rPr>
                <w:rFonts w:eastAsia="宋体" w:hint="eastAsia"/>
                <w:kern w:val="2"/>
                <w:sz w:val="21"/>
                <w:lang w:eastAsia="zh-CN"/>
              </w:rPr>
              <w:t>0.006%</w:t>
            </w:r>
          </w:p>
        </w:tc>
        <w:tc>
          <w:tcPr>
            <w:tcW w:w="1799" w:type="dxa"/>
            <w:vAlign w:val="center"/>
          </w:tcPr>
          <w:p>
            <w:pPr>
              <w:widowControl/>
              <w:spacing w:line="360" w:lineRule="auto"/>
              <w:jc w:val="center"/>
              <w:rPr>
                <w:rFonts w:eastAsia="宋体"/>
                <w:kern w:val="2"/>
                <w:sz w:val="21"/>
                <w:lang w:eastAsia="zh-CN"/>
              </w:rPr>
            </w:pPr>
            <w:r>
              <w:rPr>
                <w:rFonts w:eastAsia="宋体" w:hint="eastAsia"/>
                <w:kern w:val="2"/>
                <w:sz w:val="21"/>
                <w:lang w:eastAsia="zh-CN"/>
              </w:rPr>
              <w:t>0.006%</w:t>
            </w:r>
          </w:p>
        </w:tc>
      </w:tr>
      <w:tr>
        <w:tblPrEx>
          <w:tblW w:w="5000" w:type="pct"/>
          <w:jc w:val="center"/>
          <w:tblLayout w:type="fixed"/>
          <w:tblCellMar>
            <w:top w:w="0" w:type="dxa"/>
            <w:left w:w="108" w:type="dxa"/>
            <w:bottom w:w="0" w:type="dxa"/>
            <w:right w:w="108" w:type="dxa"/>
          </w:tblCellMar>
        </w:tblPrEx>
        <w:trPr>
          <w:jc w:val="center"/>
        </w:trPr>
        <w:tc>
          <w:tcPr>
            <w:tcW w:w="3125" w:type="dxa"/>
            <w:vAlign w:val="center"/>
          </w:tcPr>
          <w:p>
            <w:pPr>
              <w:widowControl/>
              <w:spacing w:line="360" w:lineRule="auto"/>
              <w:jc w:val="center"/>
              <w:rPr>
                <w:rFonts w:eastAsia="宋体"/>
                <w:kern w:val="2"/>
                <w:sz w:val="21"/>
                <w:lang w:eastAsia="zh-CN"/>
              </w:rPr>
            </w:pPr>
            <w:r>
              <w:rPr>
                <w:rFonts w:eastAsia="宋体" w:hint="eastAsia"/>
                <w:kern w:val="2"/>
                <w:sz w:val="21"/>
                <w:lang w:eastAsia="zh-CN"/>
              </w:rPr>
              <w:t>100亿元（含）以上</w:t>
            </w:r>
          </w:p>
        </w:tc>
        <w:tc>
          <w:tcPr>
            <w:tcW w:w="1799" w:type="dxa"/>
            <w:vAlign w:val="center"/>
          </w:tcPr>
          <w:p>
            <w:pPr>
              <w:widowControl/>
              <w:spacing w:line="360" w:lineRule="auto"/>
              <w:jc w:val="center"/>
              <w:rPr>
                <w:rFonts w:eastAsia="宋体"/>
                <w:kern w:val="2"/>
                <w:sz w:val="21"/>
                <w:lang w:eastAsia="zh-CN"/>
              </w:rPr>
            </w:pPr>
            <w:r>
              <w:rPr>
                <w:rFonts w:eastAsia="宋体" w:hint="eastAsia"/>
                <w:kern w:val="2"/>
                <w:sz w:val="21"/>
                <w:lang w:eastAsia="zh-CN"/>
              </w:rPr>
              <w:t>0.004%</w:t>
            </w:r>
          </w:p>
        </w:tc>
        <w:tc>
          <w:tcPr>
            <w:tcW w:w="1799" w:type="dxa"/>
            <w:vAlign w:val="center"/>
          </w:tcPr>
          <w:p>
            <w:pPr>
              <w:widowControl/>
              <w:spacing w:line="360" w:lineRule="auto"/>
              <w:jc w:val="center"/>
              <w:rPr>
                <w:rFonts w:eastAsia="宋体"/>
                <w:kern w:val="2"/>
                <w:sz w:val="21"/>
                <w:lang w:eastAsia="zh-CN"/>
              </w:rPr>
            </w:pPr>
            <w:r>
              <w:rPr>
                <w:rFonts w:eastAsia="宋体" w:hint="eastAsia"/>
                <w:kern w:val="2"/>
                <w:sz w:val="21"/>
                <w:lang w:eastAsia="zh-CN"/>
              </w:rPr>
              <w:t>0.004%</w:t>
            </w:r>
          </w:p>
        </w:tc>
        <w:tc>
          <w:tcPr>
            <w:tcW w:w="1799" w:type="dxa"/>
            <w:vAlign w:val="center"/>
          </w:tcPr>
          <w:p>
            <w:pPr>
              <w:widowControl/>
              <w:spacing w:line="360" w:lineRule="auto"/>
              <w:jc w:val="center"/>
              <w:rPr>
                <w:rFonts w:eastAsia="宋体"/>
                <w:kern w:val="2"/>
                <w:sz w:val="21"/>
                <w:lang w:eastAsia="zh-CN"/>
              </w:rPr>
            </w:pPr>
            <w:r>
              <w:rPr>
                <w:rFonts w:eastAsia="宋体" w:hint="eastAsia"/>
                <w:kern w:val="2"/>
                <w:sz w:val="21"/>
                <w:lang w:eastAsia="zh-CN"/>
              </w:rPr>
              <w:t>0.004%</w:t>
            </w:r>
          </w:p>
        </w:tc>
      </w:tr>
    </w:tbl>
    <w:p>
      <w:pPr>
        <w:widowControl w:val="0"/>
        <w:ind w:firstLine="420" w:firstLineChars="200"/>
        <w:jc w:val="both"/>
        <w:rPr>
          <w:rFonts w:eastAsia="宋体"/>
          <w:kern w:val="2"/>
          <w:sz w:val="21"/>
          <w:lang w:eastAsia="zh-CN"/>
        </w:rPr>
      </w:pPr>
      <w:r>
        <w:rPr>
          <w:rFonts w:eastAsia="宋体" w:hint="eastAsia"/>
          <w:kern w:val="2"/>
          <w:sz w:val="21"/>
          <w:lang w:eastAsia="zh-CN"/>
        </w:rPr>
        <w:t>备注：1.每宗交易代理服务费不低于 5000 元；</w:t>
      </w:r>
    </w:p>
    <w:p>
      <w:pPr>
        <w:widowControl w:val="0"/>
        <w:ind w:firstLine="420" w:firstLineChars="200"/>
        <w:jc w:val="both"/>
        <w:rPr>
          <w:rFonts w:eastAsia="宋体"/>
          <w:kern w:val="2"/>
          <w:sz w:val="21"/>
          <w:lang w:eastAsia="zh-CN"/>
        </w:rPr>
      </w:pPr>
      <w:r>
        <w:rPr>
          <w:rFonts w:eastAsia="宋体" w:hint="eastAsia"/>
          <w:kern w:val="2"/>
          <w:sz w:val="21"/>
          <w:lang w:eastAsia="zh-CN"/>
        </w:rPr>
        <w:t>2.对于报总价的采购类项目，中标（成交）价为中标（成交）金额；对于报单价、折扣或费率的采购类项目，中标（成交）价为预算上限金额或经委托方与代理方确定的支付上限金额；</w:t>
      </w:r>
    </w:p>
    <w:p>
      <w:pPr>
        <w:widowControl w:val="0"/>
        <w:ind w:firstLine="420" w:firstLineChars="200"/>
        <w:jc w:val="both"/>
        <w:rPr>
          <w:rFonts w:eastAsia="宋体"/>
          <w:kern w:val="2"/>
          <w:sz w:val="21"/>
          <w:lang w:eastAsia="zh-CN"/>
        </w:rPr>
      </w:pPr>
    </w:p>
    <w:p>
      <w:pPr>
        <w:widowControl w:val="0"/>
        <w:ind w:firstLine="420" w:firstLineChars="200"/>
        <w:jc w:val="both"/>
        <w:rPr>
          <w:rFonts w:eastAsia="宋体"/>
          <w:kern w:val="2"/>
          <w:sz w:val="21"/>
          <w:lang w:eastAsia="zh-CN"/>
        </w:rPr>
      </w:pPr>
      <w:r>
        <w:rPr>
          <w:rFonts w:eastAsia="宋体" w:hint="eastAsia"/>
          <w:kern w:val="2"/>
          <w:sz w:val="21"/>
          <w:lang w:eastAsia="zh-CN"/>
        </w:rPr>
        <w:t>如某货物采购项目，中标（成交）金额为600万元，总共交纳的代理服务费的具体计算过程如下：</w:t>
      </w:r>
    </w:p>
    <w:p>
      <w:pPr>
        <w:widowControl w:val="0"/>
        <w:ind w:firstLine="420" w:firstLineChars="200"/>
        <w:jc w:val="both"/>
        <w:rPr>
          <w:rFonts w:eastAsia="宋体"/>
          <w:kern w:val="2"/>
          <w:sz w:val="21"/>
          <w:lang w:eastAsia="zh-CN"/>
        </w:rPr>
      </w:pPr>
      <w:r>
        <w:rPr>
          <w:rFonts w:eastAsia="宋体" w:hint="eastAsia"/>
          <w:kern w:val="2"/>
          <w:sz w:val="21"/>
          <w:lang w:eastAsia="zh-CN"/>
        </w:rPr>
        <w:t>标准代理服务费＝（100万以下部分的代理服务费）+（100万～500万部分的代理服务费）+（500万～600万部分的代理服务费）＝100万元×1.5%+（500-100）万元×1.1%+（600-500）万元×0.8%=1.5万元+4.4万元+0.8万元＝6.7万元</w:t>
      </w:r>
    </w:p>
    <w:p>
      <w:pPr>
        <w:widowControl w:val="0"/>
        <w:ind w:firstLine="420" w:firstLineChars="200"/>
        <w:jc w:val="both"/>
        <w:rPr>
          <w:rFonts w:eastAsia="宋体"/>
          <w:b/>
          <w:color w:val="FF0000"/>
          <w:kern w:val="2"/>
          <w:sz w:val="21"/>
          <w:lang w:eastAsia="zh-CN"/>
        </w:rPr>
      </w:pPr>
      <w:r>
        <w:rPr>
          <w:rFonts w:eastAsia="宋体" w:hint="eastAsia"/>
          <w:kern w:val="2"/>
          <w:sz w:val="21"/>
          <w:lang w:eastAsia="zh-CN"/>
        </w:rPr>
        <w:t>（3）中标（成交）供应商中标（成交）后，必须按规定采用银行对公转账方式向深圳交易集团有限公司直接交纳代理服务费，具体交纳信息以《付款（缴款）通知书》内容为准。</w:t>
      </w:r>
    </w:p>
    <w:p>
      <w:pPr>
        <w:widowControl w:val="0"/>
        <w:ind w:firstLine="420" w:firstLineChars="200"/>
        <w:jc w:val="left"/>
        <w:rPr>
          <w:rFonts w:eastAsia="宋体"/>
          <w:b/>
          <w:color w:val="000000"/>
          <w:kern w:val="2"/>
          <w:sz w:val="21"/>
          <w:lang w:eastAsia="zh-CN"/>
        </w:rPr>
      </w:pPr>
    </w:p>
    <w:p>
      <w:pPr>
        <w:widowControl w:val="0"/>
        <w:wordWrap w:val="0"/>
        <w:ind w:firstLine="420"/>
        <w:jc w:val="both"/>
        <w:rPr>
          <w:rFonts w:eastAsia="宋体"/>
          <w:b/>
          <w:color w:val="FF0000"/>
          <w:kern w:val="2"/>
          <w:sz w:val="21"/>
          <w:lang w:eastAsia="zh-CN"/>
        </w:rPr>
      </w:pPr>
    </w:p>
    <w:p>
      <w:pPr>
        <w:widowControl w:val="0"/>
        <w:ind w:firstLine="420" w:firstLineChars="200"/>
        <w:jc w:val="both"/>
        <w:rPr>
          <w:rFonts w:eastAsia="宋体"/>
          <w:b/>
          <w:color w:val="FF0000"/>
          <w:kern w:val="2"/>
          <w:sz w:val="21"/>
          <w:lang w:eastAsia="zh-CN"/>
        </w:rPr>
        <w:sectPr>
          <w:pgSz w:w="11907" w:h="16840"/>
          <w:pgMar w:top="1440" w:right="1797" w:bottom="1440" w:left="1797" w:header="851" w:footer="992" w:gutter="0"/>
          <w:cols w:num="1" w:space="425"/>
          <w:titlePg/>
          <w:docGrid w:linePitch="462" w:charSpace="0"/>
        </w:sectPr>
      </w:pPr>
    </w:p>
    <w:bookmarkEnd w:id="39"/>
    <w:p>
      <w:pPr>
        <w:keepNext/>
        <w:keepLines/>
        <w:widowControl w:val="0"/>
        <w:adjustRightInd w:val="0"/>
        <w:spacing w:before="260" w:after="260" w:line="240" w:lineRule="auto"/>
        <w:jc w:val="center"/>
        <w:textAlignment w:val="baseline"/>
        <w:outlineLvl w:val="1"/>
        <w:rPr>
          <w:rFonts w:ascii="宋体" w:eastAsia="宋体" w:hAnsi="宋体" w:hint="eastAsia"/>
          <w:b/>
          <w:bCs/>
          <w:sz w:val="28"/>
          <w:szCs w:val="28"/>
          <w:lang w:eastAsia="zh-CN"/>
        </w:rPr>
      </w:pPr>
      <w:r>
        <w:rPr>
          <w:rFonts w:ascii="宋体" w:eastAsia="宋体" w:hAnsi="宋体" w:hint="eastAsia"/>
          <w:b/>
          <w:bCs/>
          <w:sz w:val="28"/>
          <w:szCs w:val="28"/>
          <w:lang w:eastAsia="zh-CN"/>
        </w:rPr>
        <w:t>第三章 用户需求书</w:t>
      </w:r>
    </w:p>
    <w:p>
      <w:pPr>
        <w:keepNext/>
        <w:keepLines/>
        <w:widowControl w:val="0"/>
        <w:adjustRightInd w:val="0"/>
        <w:spacing w:before="120" w:beforeLines="50" w:after="120" w:afterLines="50" w:line="240" w:lineRule="auto"/>
        <w:jc w:val="center"/>
        <w:textAlignment w:val="baseline"/>
        <w:outlineLvl w:val="1"/>
        <w:rPr>
          <w:rFonts w:ascii="宋体" w:eastAsia="宋体" w:hAnsi="宋体" w:hint="eastAsia"/>
          <w:b/>
          <w:bCs/>
          <w:lang w:eastAsia="zh-CN"/>
        </w:rPr>
      </w:pPr>
      <w:r>
        <w:rPr>
          <w:rFonts w:ascii="宋体" w:eastAsia="宋体" w:hAnsi="宋体" w:hint="eastAsia"/>
          <w:b/>
          <w:bCs/>
          <w:lang w:eastAsia="zh-CN"/>
        </w:rPr>
        <w:t>一、项目基本信息</w:t>
      </w:r>
    </w:p>
    <w:tbl>
      <w:tblPr>
        <w:tblStyle w:val="TableNormal"/>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423"/>
        <w:gridCol w:w="5553"/>
        <w:gridCol w:w="2553"/>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554"/>
        </w:trPr>
        <w:tc>
          <w:tcPr>
            <w:tcW w:w="426" w:type="dxa"/>
            <w:vAlign w:val="center"/>
          </w:tcPr>
          <w:p>
            <w:pPr>
              <w:widowControl w:val="0"/>
              <w:jc w:val="center"/>
              <w:rPr>
                <w:rFonts w:eastAsia="宋体"/>
                <w:bCs/>
                <w:kern w:val="2"/>
                <w:sz w:val="21"/>
                <w:szCs w:val="21"/>
                <w:lang w:eastAsia="zh-CN"/>
              </w:rPr>
            </w:pPr>
            <w:r>
              <w:rPr>
                <w:rFonts w:eastAsia="宋体" w:hint="eastAsia"/>
                <w:bCs/>
                <w:kern w:val="2"/>
                <w:sz w:val="21"/>
                <w:szCs w:val="21"/>
                <w:lang w:eastAsia="zh-CN"/>
              </w:rPr>
              <w:t>序号</w:t>
            </w:r>
          </w:p>
        </w:tc>
        <w:tc>
          <w:tcPr>
            <w:tcW w:w="5634" w:type="dxa"/>
            <w:vAlign w:val="center"/>
          </w:tcPr>
          <w:p>
            <w:pPr>
              <w:widowControl w:val="0"/>
              <w:jc w:val="center"/>
              <w:rPr>
                <w:rFonts w:eastAsia="宋体"/>
                <w:bCs/>
                <w:kern w:val="2"/>
                <w:sz w:val="21"/>
                <w:szCs w:val="21"/>
                <w:lang w:eastAsia="zh-CN"/>
              </w:rPr>
            </w:pPr>
            <w:r>
              <w:rPr>
                <w:rFonts w:eastAsia="宋体" w:hint="eastAsia"/>
                <w:bCs/>
                <w:kern w:val="2"/>
                <w:sz w:val="21"/>
                <w:szCs w:val="21"/>
                <w:lang w:eastAsia="zh-CN"/>
              </w:rPr>
              <w:t>采购项目名称</w:t>
            </w:r>
          </w:p>
        </w:tc>
        <w:tc>
          <w:tcPr>
            <w:tcW w:w="2588" w:type="dxa"/>
            <w:vAlign w:val="center"/>
          </w:tcPr>
          <w:p>
            <w:pPr>
              <w:widowControl w:val="0"/>
              <w:jc w:val="center"/>
              <w:rPr>
                <w:rFonts w:eastAsia="宋体"/>
                <w:b/>
                <w:bCs/>
                <w:color w:val="FF0000"/>
                <w:kern w:val="2"/>
                <w:sz w:val="21"/>
                <w:szCs w:val="21"/>
                <w:lang w:eastAsia="zh-CN"/>
              </w:rPr>
            </w:pPr>
            <w:r>
              <w:rPr>
                <w:rFonts w:eastAsia="宋体" w:hint="eastAsia"/>
                <w:b/>
                <w:bCs/>
                <w:color w:val="FF0000"/>
                <w:kern w:val="2"/>
                <w:sz w:val="21"/>
                <w:szCs w:val="21"/>
                <w:lang w:eastAsia="zh-CN"/>
              </w:rPr>
              <w:t>预算金额（元）</w:t>
            </w:r>
          </w:p>
        </w:tc>
      </w:tr>
      <w:tr>
        <w:tblPrEx>
          <w:tblW w:w="5000" w:type="pct"/>
          <w:tblInd w:w="0" w:type="dxa"/>
          <w:tblLayout w:type="fixed"/>
          <w:tblCellMar>
            <w:top w:w="0" w:type="dxa"/>
            <w:left w:w="108" w:type="dxa"/>
            <w:bottom w:w="0" w:type="dxa"/>
            <w:right w:w="108" w:type="dxa"/>
          </w:tblCellMar>
        </w:tblPrEx>
        <w:trPr>
          <w:trHeight w:val="290"/>
        </w:trPr>
        <w:tc>
          <w:tcPr>
            <w:tcW w:w="426" w:type="dxa"/>
            <w:vAlign w:val="center"/>
          </w:tcPr>
          <w:p>
            <w:pPr>
              <w:widowControl w:val="0"/>
              <w:jc w:val="center"/>
              <w:rPr>
                <w:rFonts w:eastAsia="宋体"/>
                <w:bCs/>
                <w:color w:val="FF0000"/>
                <w:kern w:val="2"/>
                <w:sz w:val="21"/>
                <w:szCs w:val="21"/>
                <w:lang w:eastAsia="zh-CN"/>
              </w:rPr>
            </w:pPr>
            <w:r>
              <w:rPr>
                <w:rFonts w:eastAsia="宋体" w:hint="eastAsia"/>
                <w:bCs/>
                <w:color w:val="FF0000"/>
                <w:kern w:val="2"/>
                <w:sz w:val="21"/>
                <w:szCs w:val="21"/>
                <w:lang w:eastAsia="zh-CN"/>
              </w:rPr>
              <w:t>1</w:t>
            </w:r>
          </w:p>
        </w:tc>
        <w:tc>
          <w:tcPr>
            <w:tcW w:w="5634" w:type="dxa"/>
            <w:vAlign w:val="center"/>
          </w:tcPr>
          <w:p>
            <w:pPr>
              <w:widowControl w:val="0"/>
              <w:jc w:val="center"/>
              <w:rPr>
                <w:rFonts w:eastAsia="宋体"/>
                <w:b/>
                <w:bCs/>
                <w:color w:val="FF0000"/>
                <w:kern w:val="2"/>
                <w:sz w:val="21"/>
                <w:szCs w:val="21"/>
                <w:lang w:eastAsia="zh-CN"/>
              </w:rPr>
            </w:pPr>
            <w:bookmarkStart w:id="44" w:name="OLE_LINK1"/>
            <w:r>
              <w:rPr>
                <w:rFonts w:ascii="宋体" w:eastAsia="宋体" w:hAnsi="宋体" w:hint="eastAsia"/>
                <w:kern w:val="2"/>
                <w:sz w:val="21"/>
                <w:szCs w:val="44"/>
                <w:lang w:eastAsia="zh-CN"/>
              </w:rPr>
              <w:t>盐田科技大厦福彩办公区域</w:t>
            </w:r>
            <w:r>
              <w:rPr>
                <w:rFonts w:ascii="宋体" w:eastAsia="宋体" w:hAnsi="宋体" w:hint="eastAsia"/>
                <w:kern w:val="2"/>
                <w:sz w:val="21"/>
                <w:szCs w:val="44"/>
                <w:lang w:eastAsia="zh-CN"/>
              </w:rPr>
              <w:t>物业管理服务项目</w:t>
            </w:r>
            <w:bookmarkEnd w:id="44"/>
          </w:p>
        </w:tc>
        <w:tc>
          <w:tcPr>
            <w:tcW w:w="2588" w:type="dxa"/>
            <w:vAlign w:val="center"/>
          </w:tcPr>
          <w:p>
            <w:pPr>
              <w:widowControl w:val="0"/>
              <w:jc w:val="center"/>
              <w:rPr>
                <w:rFonts w:eastAsia="宋体"/>
                <w:bCs/>
                <w:color w:val="FF0000"/>
                <w:kern w:val="2"/>
                <w:sz w:val="21"/>
                <w:szCs w:val="21"/>
                <w:lang w:eastAsia="zh-CN"/>
              </w:rPr>
            </w:pPr>
            <w:r>
              <w:rPr>
                <w:rFonts w:eastAsia="宋体" w:hint="eastAsia"/>
                <w:kern w:val="2"/>
                <w:sz w:val="21"/>
                <w:lang w:eastAsia="zh-CN"/>
              </w:rPr>
              <w:t>713600</w:t>
            </w:r>
          </w:p>
        </w:tc>
      </w:tr>
    </w:tbl>
    <w:p>
      <w:pPr>
        <w:keepNext/>
        <w:keepLines/>
        <w:widowControl w:val="0"/>
        <w:adjustRightInd w:val="0"/>
        <w:spacing w:before="120" w:beforeLines="50" w:after="120" w:afterLines="50" w:line="240" w:lineRule="auto"/>
        <w:jc w:val="center"/>
        <w:textAlignment w:val="baseline"/>
        <w:outlineLvl w:val="1"/>
        <w:rPr>
          <w:rFonts w:ascii="宋体" w:eastAsia="宋体" w:hAnsi="宋体" w:hint="eastAsia"/>
          <w:b/>
          <w:bCs/>
          <w:lang w:eastAsia="zh-CN"/>
        </w:rPr>
      </w:pPr>
      <w:r>
        <w:rPr>
          <w:rFonts w:ascii="宋体" w:eastAsia="宋体" w:hAnsi="宋体" w:hint="eastAsia"/>
          <w:b/>
          <w:bCs/>
          <w:lang w:eastAsia="zh-CN"/>
        </w:rPr>
        <w:t>二、项目概况</w:t>
      </w:r>
    </w:p>
    <w:p>
      <w:pPr>
        <w:widowControl w:val="0"/>
        <w:spacing w:line="400" w:lineRule="exact"/>
        <w:ind w:firstLine="420" w:firstLineChars="200"/>
        <w:jc w:val="both"/>
        <w:rPr>
          <w:rFonts w:ascii="宋体" w:eastAsia="宋体" w:hAnsi="宋体" w:hint="eastAsia"/>
          <w:b/>
          <w:color w:val="FF0000"/>
          <w:kern w:val="2"/>
          <w:sz w:val="21"/>
          <w:szCs w:val="21"/>
          <w:lang w:eastAsia="zh-CN"/>
        </w:rPr>
      </w:pPr>
      <w:r>
        <w:rPr>
          <w:rFonts w:eastAsia="宋体" w:hint="eastAsia"/>
          <w:kern w:val="2"/>
          <w:sz w:val="21"/>
          <w:lang w:eastAsia="zh-CN"/>
        </w:rPr>
        <w:t>经相关上级政府部门批准，采购人落户入驻盐田科技大厦19层。</w:t>
      </w:r>
      <w:r>
        <w:rPr>
          <w:rFonts w:eastAsia="宋体" w:hint="eastAsia"/>
          <w:kern w:val="2"/>
          <w:sz w:val="21"/>
          <w:lang w:eastAsia="zh-CN"/>
        </w:rPr>
        <w:t>目前，采购人在</w:t>
      </w:r>
      <w:r>
        <w:rPr>
          <w:rFonts w:eastAsia="宋体" w:hint="eastAsia"/>
          <w:kern w:val="2"/>
          <w:sz w:val="21"/>
          <w:lang w:eastAsia="zh-CN"/>
        </w:rPr>
        <w:t>盐田科技大厦</w:t>
      </w:r>
      <w:r>
        <w:rPr>
          <w:rFonts w:eastAsia="宋体" w:hint="eastAsia"/>
          <w:kern w:val="2"/>
          <w:sz w:val="21"/>
          <w:lang w:eastAsia="zh-CN"/>
        </w:rPr>
        <w:t>需要提供物业管理服务的办公区域及面积为：19楼办公区2669㎡，1楼兑奖大厅228.8㎡，两者合计总面积为2897.8㎡</w:t>
      </w:r>
      <w:r>
        <w:rPr>
          <w:rFonts w:eastAsia="宋体" w:hint="eastAsia"/>
          <w:kern w:val="2"/>
          <w:sz w:val="21"/>
          <w:lang w:eastAsia="zh-CN"/>
        </w:rPr>
        <w:t>。</w:t>
      </w:r>
    </w:p>
    <w:p>
      <w:pPr>
        <w:keepNext/>
        <w:keepLines/>
        <w:widowControl w:val="0"/>
        <w:numPr>
          <w:ilvl w:val="0"/>
          <w:numId w:val="1"/>
        </w:numPr>
        <w:adjustRightInd w:val="0"/>
        <w:spacing w:before="120" w:beforeLines="50" w:after="120" w:afterLines="50" w:line="240" w:lineRule="auto"/>
        <w:jc w:val="center"/>
        <w:textAlignment w:val="baseline"/>
        <w:outlineLvl w:val="1"/>
        <w:rPr>
          <w:rFonts w:ascii="宋体" w:eastAsia="宋体" w:hAnsi="宋体" w:hint="eastAsia"/>
          <w:b/>
          <w:bCs/>
          <w:lang w:eastAsia="zh-CN"/>
        </w:rPr>
      </w:pPr>
      <w:bookmarkStart w:id="45" w:name="_Hlk72073432"/>
      <w:r>
        <w:rPr>
          <w:rFonts w:ascii="宋体" w:eastAsia="宋体" w:hAnsi="宋体" w:hint="eastAsia"/>
          <w:b/>
          <w:bCs/>
          <w:lang w:eastAsia="zh-CN"/>
        </w:rPr>
        <w:t>服务需求明细</w:t>
      </w:r>
      <w:bookmarkEnd w:id="45"/>
    </w:p>
    <w:tbl>
      <w:tblPr>
        <w:tblStyle w:val="TableGrid"/>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18"/>
        <w:gridCol w:w="5124"/>
        <w:gridCol w:w="1689"/>
        <w:gridCol w:w="898"/>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586"/>
        </w:trPr>
        <w:tc>
          <w:tcPr>
            <w:tcW w:w="756" w:type="dxa"/>
            <w:noWrap w:val="0"/>
            <w:vAlign w:val="center"/>
          </w:tcPr>
          <w:p>
            <w:pPr>
              <w:spacing w:line="400" w:lineRule="exact"/>
              <w:ind w:firstLine="420" w:firstLineChars="200"/>
              <w:rPr>
                <w:kern w:val="2"/>
                <w:sz w:val="21"/>
                <w:lang w:eastAsia="zh-CN"/>
              </w:rPr>
            </w:pPr>
            <w:r>
              <w:rPr>
                <w:rFonts w:hint="eastAsia"/>
                <w:kern w:val="2"/>
                <w:sz w:val="21"/>
                <w:lang w:eastAsia="zh-CN"/>
              </w:rPr>
              <w:t>序号</w:t>
            </w:r>
          </w:p>
        </w:tc>
        <w:tc>
          <w:tcPr>
            <w:tcW w:w="4733" w:type="dxa"/>
            <w:noWrap w:val="0"/>
            <w:vAlign w:val="center"/>
          </w:tcPr>
          <w:p>
            <w:pPr>
              <w:spacing w:line="400" w:lineRule="exact"/>
              <w:ind w:firstLine="420" w:firstLineChars="200"/>
              <w:rPr>
                <w:kern w:val="2"/>
                <w:sz w:val="21"/>
                <w:lang w:eastAsia="zh-CN"/>
              </w:rPr>
            </w:pPr>
            <w:r>
              <w:rPr>
                <w:rFonts w:hint="eastAsia"/>
                <w:kern w:val="2"/>
                <w:sz w:val="21"/>
                <w:lang w:eastAsia="zh-CN"/>
              </w:rPr>
              <w:t>服务需求名称（标的名称）</w:t>
            </w:r>
          </w:p>
        </w:tc>
        <w:tc>
          <w:tcPr>
            <w:tcW w:w="1560" w:type="dxa"/>
            <w:noWrap w:val="0"/>
            <w:vAlign w:val="center"/>
          </w:tcPr>
          <w:p>
            <w:pPr>
              <w:spacing w:line="400" w:lineRule="exact"/>
              <w:ind w:firstLine="420" w:firstLineChars="200"/>
              <w:rPr>
                <w:kern w:val="2"/>
                <w:sz w:val="21"/>
                <w:lang w:eastAsia="zh-CN"/>
              </w:rPr>
            </w:pPr>
            <w:r>
              <w:rPr>
                <w:rFonts w:hint="eastAsia"/>
                <w:kern w:val="2"/>
                <w:sz w:val="21"/>
                <w:lang w:eastAsia="zh-CN"/>
              </w:rPr>
              <w:t>数量</w:t>
            </w:r>
          </w:p>
        </w:tc>
        <w:tc>
          <w:tcPr>
            <w:tcW w:w="829" w:type="dxa"/>
            <w:noWrap w:val="0"/>
            <w:vAlign w:val="center"/>
          </w:tcPr>
          <w:p>
            <w:pPr>
              <w:spacing w:line="400" w:lineRule="exact"/>
              <w:rPr>
                <w:kern w:val="2"/>
                <w:sz w:val="21"/>
                <w:lang w:eastAsia="zh-CN"/>
              </w:rPr>
            </w:pPr>
            <w:r>
              <w:rPr>
                <w:rFonts w:hint="eastAsia"/>
                <w:kern w:val="2"/>
                <w:sz w:val="21"/>
                <w:lang w:eastAsia="zh-CN"/>
              </w:rPr>
              <w:t>单位</w:t>
            </w:r>
          </w:p>
        </w:tc>
      </w:tr>
      <w:tr>
        <w:tblPrEx>
          <w:tblW w:w="5000" w:type="pct"/>
          <w:tblInd w:w="0" w:type="dxa"/>
          <w:tblLayout w:type="fixed"/>
          <w:tblCellMar>
            <w:top w:w="0" w:type="dxa"/>
            <w:left w:w="108" w:type="dxa"/>
            <w:bottom w:w="0" w:type="dxa"/>
            <w:right w:w="108" w:type="dxa"/>
          </w:tblCellMar>
        </w:tblPrEx>
        <w:trPr>
          <w:trHeight w:val="586"/>
        </w:trPr>
        <w:tc>
          <w:tcPr>
            <w:tcW w:w="756" w:type="dxa"/>
            <w:noWrap w:val="0"/>
            <w:vAlign w:val="center"/>
          </w:tcPr>
          <w:p>
            <w:pPr>
              <w:spacing w:line="400" w:lineRule="exact"/>
              <w:ind w:firstLine="420" w:firstLineChars="200"/>
              <w:rPr>
                <w:kern w:val="2"/>
                <w:sz w:val="21"/>
                <w:lang w:eastAsia="zh-CN"/>
              </w:rPr>
            </w:pPr>
            <w:r>
              <w:rPr>
                <w:rFonts w:hint="eastAsia"/>
                <w:kern w:val="2"/>
                <w:sz w:val="21"/>
                <w:lang w:eastAsia="zh-CN"/>
              </w:rPr>
              <w:t>1</w:t>
            </w:r>
          </w:p>
        </w:tc>
        <w:tc>
          <w:tcPr>
            <w:tcW w:w="4733" w:type="dxa"/>
            <w:noWrap w:val="0"/>
            <w:vAlign w:val="top"/>
          </w:tcPr>
          <w:p>
            <w:pPr>
              <w:spacing w:line="400" w:lineRule="exact"/>
              <w:rPr>
                <w:rFonts w:hint="eastAsia"/>
                <w:kern w:val="2"/>
                <w:sz w:val="21"/>
                <w:lang w:eastAsia="zh-CN"/>
              </w:rPr>
            </w:pPr>
            <w:r>
              <w:rPr>
                <w:rFonts w:hint="eastAsia"/>
                <w:kern w:val="2"/>
                <w:sz w:val="21"/>
                <w:lang w:eastAsia="zh-CN"/>
              </w:rPr>
              <w:t>综合服务、大厦公共区域清洁卫生服务、户外及大厦大堂绿化养护（含绿植摆放）服务、秩序维护服务</w:t>
            </w:r>
          </w:p>
        </w:tc>
        <w:tc>
          <w:tcPr>
            <w:tcW w:w="1560" w:type="dxa"/>
            <w:noWrap w:val="0"/>
            <w:vAlign w:val="center"/>
          </w:tcPr>
          <w:p>
            <w:pPr>
              <w:spacing w:line="400" w:lineRule="exact"/>
              <w:ind w:firstLine="420" w:firstLineChars="200"/>
              <w:rPr>
                <w:rFonts w:hint="eastAsia"/>
                <w:kern w:val="2"/>
                <w:sz w:val="21"/>
                <w:lang w:eastAsia="zh-CN"/>
              </w:rPr>
            </w:pPr>
            <w:r>
              <w:rPr>
                <w:rFonts w:hint="eastAsia"/>
                <w:kern w:val="2"/>
                <w:sz w:val="21"/>
                <w:lang w:eastAsia="zh-CN"/>
              </w:rPr>
              <w:t>2897.8</w:t>
            </w:r>
          </w:p>
        </w:tc>
        <w:tc>
          <w:tcPr>
            <w:tcW w:w="829" w:type="dxa"/>
            <w:noWrap w:val="0"/>
            <w:vAlign w:val="center"/>
          </w:tcPr>
          <w:p>
            <w:pPr>
              <w:spacing w:line="400" w:lineRule="exact"/>
              <w:ind w:firstLine="420" w:firstLineChars="200"/>
              <w:rPr>
                <w:rFonts w:hint="eastAsia"/>
                <w:kern w:val="2"/>
                <w:sz w:val="21"/>
                <w:lang w:eastAsia="zh-CN"/>
              </w:rPr>
            </w:pPr>
            <w:r>
              <w:rPr>
                <w:rFonts w:hint="eastAsia"/>
                <w:kern w:val="2"/>
                <w:sz w:val="21"/>
                <w:lang w:eastAsia="zh-CN"/>
              </w:rPr>
              <w:t>㎡</w:t>
            </w:r>
          </w:p>
        </w:tc>
      </w:tr>
      <w:tr>
        <w:tblPrEx>
          <w:tblW w:w="5000" w:type="pct"/>
          <w:tblInd w:w="0" w:type="dxa"/>
          <w:tblLayout w:type="fixed"/>
          <w:tblCellMar>
            <w:top w:w="0" w:type="dxa"/>
            <w:left w:w="108" w:type="dxa"/>
            <w:bottom w:w="0" w:type="dxa"/>
            <w:right w:w="108" w:type="dxa"/>
          </w:tblCellMar>
        </w:tblPrEx>
        <w:trPr>
          <w:trHeight w:val="586"/>
        </w:trPr>
        <w:tc>
          <w:tcPr>
            <w:tcW w:w="756" w:type="dxa"/>
            <w:noWrap w:val="0"/>
            <w:vAlign w:val="center"/>
          </w:tcPr>
          <w:p>
            <w:pPr>
              <w:spacing w:line="400" w:lineRule="exact"/>
              <w:ind w:firstLine="420" w:firstLineChars="200"/>
              <w:rPr>
                <w:kern w:val="2"/>
                <w:sz w:val="21"/>
                <w:lang w:eastAsia="zh-CN"/>
              </w:rPr>
            </w:pPr>
            <w:r>
              <w:rPr>
                <w:rFonts w:hint="eastAsia"/>
                <w:kern w:val="2"/>
                <w:sz w:val="21"/>
                <w:lang w:eastAsia="zh-CN"/>
              </w:rPr>
              <w:t>2</w:t>
            </w:r>
          </w:p>
        </w:tc>
        <w:tc>
          <w:tcPr>
            <w:tcW w:w="4733" w:type="dxa"/>
            <w:noWrap w:val="0"/>
            <w:vAlign w:val="top"/>
          </w:tcPr>
          <w:p>
            <w:pPr>
              <w:spacing w:line="400" w:lineRule="exact"/>
              <w:rPr>
                <w:rFonts w:hint="eastAsia"/>
                <w:kern w:val="2"/>
                <w:sz w:val="21"/>
                <w:lang w:eastAsia="zh-CN"/>
              </w:rPr>
            </w:pPr>
            <w:r>
              <w:rPr>
                <w:rFonts w:hint="eastAsia"/>
                <w:kern w:val="2"/>
                <w:sz w:val="21"/>
                <w:lang w:eastAsia="zh-CN"/>
              </w:rPr>
              <w:t>公共设施设备管理服务</w:t>
            </w:r>
          </w:p>
        </w:tc>
        <w:tc>
          <w:tcPr>
            <w:tcW w:w="1560" w:type="dxa"/>
            <w:noWrap w:val="0"/>
            <w:vAlign w:val="center"/>
          </w:tcPr>
          <w:p>
            <w:pPr>
              <w:spacing w:line="400" w:lineRule="exact"/>
              <w:ind w:firstLine="420" w:firstLineChars="200"/>
              <w:rPr>
                <w:rFonts w:hint="eastAsia"/>
                <w:kern w:val="2"/>
                <w:sz w:val="21"/>
                <w:lang w:eastAsia="zh-CN"/>
              </w:rPr>
            </w:pPr>
            <w:r>
              <w:rPr>
                <w:rFonts w:hint="eastAsia"/>
                <w:kern w:val="2"/>
                <w:sz w:val="21"/>
                <w:lang w:eastAsia="zh-CN"/>
              </w:rPr>
              <w:t>2897.8</w:t>
            </w:r>
          </w:p>
        </w:tc>
        <w:tc>
          <w:tcPr>
            <w:tcW w:w="829" w:type="dxa"/>
            <w:noWrap w:val="0"/>
            <w:vAlign w:val="center"/>
          </w:tcPr>
          <w:p>
            <w:pPr>
              <w:spacing w:line="400" w:lineRule="exact"/>
              <w:ind w:firstLine="420" w:firstLineChars="200"/>
              <w:rPr>
                <w:rFonts w:hint="eastAsia"/>
                <w:kern w:val="2"/>
                <w:sz w:val="21"/>
                <w:lang w:eastAsia="zh-CN"/>
              </w:rPr>
            </w:pPr>
            <w:r>
              <w:rPr>
                <w:rFonts w:hint="eastAsia"/>
                <w:kern w:val="2"/>
                <w:sz w:val="21"/>
                <w:lang w:eastAsia="zh-CN"/>
              </w:rPr>
              <w:t>㎡</w:t>
            </w:r>
          </w:p>
        </w:tc>
      </w:tr>
      <w:tr>
        <w:tblPrEx>
          <w:tblW w:w="5000" w:type="pct"/>
          <w:tblInd w:w="0" w:type="dxa"/>
          <w:tblLayout w:type="fixed"/>
          <w:tblCellMar>
            <w:top w:w="0" w:type="dxa"/>
            <w:left w:w="108" w:type="dxa"/>
            <w:bottom w:w="0" w:type="dxa"/>
            <w:right w:w="108" w:type="dxa"/>
          </w:tblCellMar>
        </w:tblPrEx>
        <w:trPr>
          <w:trHeight w:val="586"/>
        </w:trPr>
        <w:tc>
          <w:tcPr>
            <w:tcW w:w="756" w:type="dxa"/>
            <w:noWrap w:val="0"/>
            <w:vAlign w:val="center"/>
          </w:tcPr>
          <w:p>
            <w:pPr>
              <w:spacing w:line="400" w:lineRule="exact"/>
              <w:ind w:firstLine="420" w:firstLineChars="200"/>
              <w:rPr>
                <w:kern w:val="2"/>
                <w:sz w:val="21"/>
                <w:lang w:eastAsia="zh-CN"/>
              </w:rPr>
            </w:pPr>
            <w:r>
              <w:rPr>
                <w:rFonts w:hint="eastAsia"/>
                <w:kern w:val="2"/>
                <w:sz w:val="21"/>
                <w:lang w:eastAsia="zh-CN"/>
              </w:rPr>
              <w:t>3</w:t>
            </w:r>
          </w:p>
        </w:tc>
        <w:tc>
          <w:tcPr>
            <w:tcW w:w="4733" w:type="dxa"/>
            <w:noWrap w:val="0"/>
            <w:vAlign w:val="top"/>
          </w:tcPr>
          <w:p>
            <w:pPr>
              <w:spacing w:line="400" w:lineRule="exact"/>
              <w:rPr>
                <w:rFonts w:hint="eastAsia"/>
                <w:kern w:val="2"/>
                <w:sz w:val="21"/>
                <w:lang w:eastAsia="zh-CN"/>
              </w:rPr>
            </w:pPr>
            <w:r>
              <w:rPr>
                <w:rFonts w:hint="eastAsia"/>
                <w:kern w:val="2"/>
                <w:sz w:val="21"/>
                <w:lang w:eastAsia="zh-CN"/>
              </w:rPr>
              <w:t>办公坐席区域清洁服务（含对外服务窗口、会议室等）</w:t>
            </w:r>
          </w:p>
        </w:tc>
        <w:tc>
          <w:tcPr>
            <w:tcW w:w="1560" w:type="dxa"/>
            <w:noWrap w:val="0"/>
            <w:vAlign w:val="center"/>
          </w:tcPr>
          <w:p>
            <w:pPr>
              <w:spacing w:line="400" w:lineRule="exact"/>
              <w:ind w:firstLine="420" w:firstLineChars="200"/>
              <w:rPr>
                <w:kern w:val="2"/>
                <w:sz w:val="21"/>
                <w:lang w:eastAsia="zh-CN"/>
              </w:rPr>
            </w:pPr>
            <w:r>
              <w:rPr>
                <w:rFonts w:hint="eastAsia"/>
                <w:kern w:val="2"/>
                <w:sz w:val="21"/>
                <w:lang w:eastAsia="zh-CN"/>
              </w:rPr>
              <w:t>270</w:t>
            </w:r>
          </w:p>
        </w:tc>
        <w:tc>
          <w:tcPr>
            <w:tcW w:w="829" w:type="dxa"/>
            <w:noWrap w:val="0"/>
            <w:vAlign w:val="center"/>
          </w:tcPr>
          <w:p>
            <w:pPr>
              <w:spacing w:line="400" w:lineRule="exact"/>
              <w:ind w:firstLine="420" w:firstLineChars="200"/>
              <w:rPr>
                <w:kern w:val="2"/>
                <w:sz w:val="21"/>
                <w:lang w:eastAsia="zh-CN"/>
              </w:rPr>
            </w:pPr>
            <w:r>
              <w:rPr>
                <w:rFonts w:hint="eastAsia"/>
                <w:kern w:val="2"/>
                <w:sz w:val="21"/>
                <w:lang w:eastAsia="zh-CN"/>
              </w:rPr>
              <w:t>个</w:t>
            </w:r>
          </w:p>
        </w:tc>
      </w:tr>
    </w:tbl>
    <w:p>
      <w:pPr>
        <w:keepNext/>
        <w:keepLines/>
        <w:widowControl w:val="0"/>
        <w:numPr>
          <w:ilvl w:val="0"/>
          <w:numId w:val="0"/>
        </w:numPr>
        <w:spacing w:before="280" w:after="290" w:line="376" w:lineRule="auto"/>
        <w:ind w:left="0" w:firstLine="0"/>
        <w:jc w:val="both"/>
        <w:outlineLvl w:val="3"/>
        <w:rPr>
          <w:rFonts w:ascii="Arial" w:eastAsia="黑体" w:hAnsi="Arial" w:hint="eastAsia"/>
          <w:b/>
          <w:bCs/>
          <w:kern w:val="2"/>
          <w:sz w:val="28"/>
          <w:szCs w:val="28"/>
          <w:lang w:eastAsia="zh-CN"/>
        </w:rPr>
      </w:pPr>
    </w:p>
    <w:p>
      <w:pPr>
        <w:widowControl w:val="0"/>
        <w:jc w:val="both"/>
        <w:rPr>
          <w:rFonts w:ascii="宋体" w:eastAsia="宋体" w:hAnsi="宋体" w:hint="eastAsia"/>
          <w:b/>
          <w:color w:val="FF0000"/>
          <w:kern w:val="2"/>
          <w:sz w:val="21"/>
          <w:szCs w:val="21"/>
          <w:lang w:eastAsia="zh-CN"/>
        </w:rPr>
      </w:pPr>
    </w:p>
    <w:p>
      <w:pPr>
        <w:keepNext/>
        <w:keepLines/>
        <w:widowControl w:val="0"/>
        <w:adjustRightInd w:val="0"/>
        <w:spacing w:before="120" w:beforeLines="50" w:after="120" w:afterLines="50" w:line="240" w:lineRule="auto"/>
        <w:jc w:val="center"/>
        <w:textAlignment w:val="baseline"/>
        <w:outlineLvl w:val="1"/>
        <w:rPr>
          <w:rFonts w:ascii="宋体" w:eastAsia="宋体" w:hAnsi="宋体" w:hint="eastAsia"/>
          <w:b/>
          <w:bCs/>
          <w:lang w:eastAsia="zh-CN"/>
        </w:rPr>
      </w:pPr>
      <w:r>
        <w:rPr>
          <w:rFonts w:ascii="宋体" w:eastAsia="宋体" w:hAnsi="宋体" w:hint="eastAsia"/>
          <w:b/>
          <w:bCs/>
          <w:lang w:eastAsia="zh-CN"/>
        </w:rPr>
        <w:t>四、实质性条款</w:t>
      </w:r>
    </w:p>
    <w:tbl>
      <w:tblPr>
        <w:tblStyle w:val="TableNormal"/>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698"/>
        <w:gridCol w:w="7831"/>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705" w:type="dxa"/>
          </w:tcPr>
          <w:p>
            <w:pPr>
              <w:widowControl w:val="0"/>
              <w:adjustRightInd w:val="0"/>
              <w:snapToGrid w:val="0"/>
              <w:spacing w:line="360" w:lineRule="auto"/>
              <w:jc w:val="center"/>
              <w:rPr>
                <w:rFonts w:ascii="宋体" w:eastAsia="宋体" w:hAnsi="宋体" w:hint="eastAsia"/>
                <w:sz w:val="21"/>
                <w:szCs w:val="21"/>
                <w:lang w:eastAsia="zh-CN"/>
              </w:rPr>
            </w:pPr>
            <w:r>
              <w:rPr>
                <w:rFonts w:ascii="宋体" w:eastAsia="宋体" w:hAnsi="宋体" w:hint="eastAsia"/>
                <w:sz w:val="21"/>
                <w:szCs w:val="21"/>
                <w:lang w:eastAsia="zh-CN"/>
              </w:rPr>
              <w:t>序号</w:t>
            </w:r>
          </w:p>
        </w:tc>
        <w:tc>
          <w:tcPr>
            <w:tcW w:w="7951" w:type="dxa"/>
          </w:tcPr>
          <w:p>
            <w:pPr>
              <w:widowControl w:val="0"/>
              <w:adjustRightInd w:val="0"/>
              <w:snapToGrid w:val="0"/>
              <w:spacing w:line="360" w:lineRule="auto"/>
              <w:jc w:val="center"/>
              <w:rPr>
                <w:rFonts w:ascii="宋体" w:eastAsia="宋体" w:hAnsi="宋体" w:hint="eastAsia"/>
                <w:sz w:val="21"/>
                <w:szCs w:val="21"/>
                <w:lang w:eastAsia="zh-CN"/>
              </w:rPr>
            </w:pPr>
            <w:r>
              <w:rPr>
                <w:rFonts w:ascii="宋体" w:eastAsia="宋体" w:hAnsi="宋体" w:hint="eastAsia"/>
                <w:sz w:val="21"/>
                <w:szCs w:val="21"/>
                <w:lang w:eastAsia="zh-CN"/>
              </w:rPr>
              <w:t>实质性条款具体内容</w:t>
            </w:r>
          </w:p>
        </w:tc>
      </w:tr>
      <w:tr>
        <w:tblPrEx>
          <w:tblW w:w="5000" w:type="pct"/>
          <w:tblInd w:w="0" w:type="dxa"/>
          <w:tblLayout w:type="fixed"/>
          <w:tblCellMar>
            <w:top w:w="0" w:type="dxa"/>
            <w:left w:w="108" w:type="dxa"/>
            <w:bottom w:w="0" w:type="dxa"/>
            <w:right w:w="108" w:type="dxa"/>
          </w:tblCellMar>
        </w:tblPrEx>
        <w:tc>
          <w:tcPr>
            <w:tcW w:w="705" w:type="dxa"/>
          </w:tcPr>
          <w:p>
            <w:pPr>
              <w:widowControl w:val="0"/>
              <w:adjustRightInd w:val="0"/>
              <w:snapToGrid w:val="0"/>
              <w:spacing w:line="360" w:lineRule="auto"/>
              <w:jc w:val="center"/>
              <w:rPr>
                <w:rFonts w:ascii="宋体" w:eastAsia="宋体" w:hAnsi="宋体" w:hint="eastAsia"/>
                <w:sz w:val="21"/>
                <w:szCs w:val="21"/>
                <w:lang w:eastAsia="zh-CN"/>
              </w:rPr>
            </w:pPr>
            <w:r>
              <w:rPr>
                <w:rFonts w:ascii="宋体" w:eastAsia="宋体" w:hAnsi="宋体" w:hint="eastAsia"/>
                <w:sz w:val="21"/>
                <w:szCs w:val="21"/>
                <w:lang w:eastAsia="zh-CN"/>
              </w:rPr>
              <w:t>1</w:t>
            </w:r>
          </w:p>
        </w:tc>
        <w:tc>
          <w:tcPr>
            <w:tcW w:w="7951" w:type="dxa"/>
          </w:tcPr>
          <w:p>
            <w:pPr>
              <w:widowControl w:val="0"/>
              <w:jc w:val="both"/>
              <w:rPr>
                <w:rFonts w:eastAsia="宋体" w:hAnsi="宋体" w:hint="eastAsia"/>
                <w:sz w:val="21"/>
                <w:szCs w:val="21"/>
                <w:lang w:eastAsia="zh-CN"/>
              </w:rPr>
            </w:pPr>
            <w:r>
              <w:rPr>
                <w:rFonts w:eastAsia="宋体" w:hint="eastAsia"/>
                <w:kern w:val="2"/>
                <w:sz w:val="21"/>
                <w:lang w:eastAsia="zh-CN"/>
              </w:rPr>
              <w:t>满足本项目标★的条款要求</w:t>
            </w:r>
          </w:p>
        </w:tc>
      </w:tr>
    </w:tbl>
    <w:p>
      <w:pPr>
        <w:widowControl w:val="0"/>
        <w:jc w:val="both"/>
        <w:rPr>
          <w:rFonts w:ascii="宋体" w:eastAsia="宋体"/>
          <w:b/>
          <w:szCs w:val="20"/>
          <w:lang w:eastAsia="zh-CN"/>
        </w:rPr>
      </w:pPr>
      <w:r>
        <w:rPr>
          <w:rFonts w:ascii="宋体" w:eastAsia="宋体"/>
          <w:b/>
          <w:szCs w:val="20"/>
          <w:lang w:eastAsia="zh-CN"/>
        </w:rPr>
        <w:t>注：上表所列内容为不可负偏离条款，负偏离将视为未实质性满足</w:t>
      </w:r>
      <w:r>
        <w:rPr>
          <w:rFonts w:ascii="宋体" w:eastAsia="宋体" w:hint="eastAsia"/>
          <w:b/>
          <w:szCs w:val="20"/>
          <w:lang w:eastAsia="zh-CN"/>
        </w:rPr>
        <w:t>谈判</w:t>
      </w:r>
      <w:r>
        <w:rPr>
          <w:rFonts w:ascii="宋体" w:eastAsia="宋体"/>
          <w:b/>
          <w:szCs w:val="20"/>
          <w:lang w:eastAsia="zh-CN"/>
        </w:rPr>
        <w:t>文件要求和条件作</w:t>
      </w:r>
      <w:r>
        <w:rPr>
          <w:rFonts w:ascii="宋体" w:eastAsia="宋体" w:hint="eastAsia"/>
          <w:b/>
          <w:szCs w:val="20"/>
          <w:lang w:eastAsia="zh-CN"/>
        </w:rPr>
        <w:t>应答</w:t>
      </w:r>
      <w:r>
        <w:rPr>
          <w:rFonts w:ascii="宋体" w:eastAsia="宋体"/>
          <w:b/>
          <w:szCs w:val="20"/>
          <w:lang w:eastAsia="zh-CN"/>
        </w:rPr>
        <w:t>无效处理。</w:t>
      </w:r>
    </w:p>
    <w:p>
      <w:pPr>
        <w:widowControl w:val="0"/>
        <w:spacing w:line="360" w:lineRule="auto"/>
        <w:jc w:val="both"/>
        <w:rPr>
          <w:rFonts w:eastAsia="宋体"/>
          <w:b/>
          <w:bCs/>
          <w:kern w:val="2"/>
          <w:lang w:eastAsia="zh-CN"/>
        </w:rPr>
      </w:pPr>
    </w:p>
    <w:p>
      <w:pPr>
        <w:keepNext/>
        <w:keepLines/>
        <w:widowControl w:val="0"/>
        <w:adjustRightInd w:val="0"/>
        <w:spacing w:before="120" w:beforeLines="50" w:after="120" w:afterLines="50" w:line="240" w:lineRule="auto"/>
        <w:jc w:val="center"/>
        <w:textAlignment w:val="baseline"/>
        <w:outlineLvl w:val="1"/>
        <w:rPr>
          <w:rFonts w:ascii="宋体" w:eastAsia="宋体" w:hAnsi="宋体" w:hint="eastAsia"/>
          <w:b/>
          <w:bCs/>
          <w:lang w:eastAsia="zh-CN"/>
        </w:rPr>
      </w:pPr>
      <w:r>
        <w:rPr>
          <w:rFonts w:ascii="宋体" w:eastAsia="宋体" w:hAnsi="宋体" w:hint="eastAsia"/>
          <w:b/>
          <w:bCs/>
          <w:lang w:eastAsia="zh-CN"/>
        </w:rPr>
        <w:t>五、技术要求</w:t>
      </w:r>
    </w:p>
    <w:tbl>
      <w:tblPr>
        <w:tblStyle w:val="TableGrid"/>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36"/>
        <w:gridCol w:w="1895"/>
        <w:gridCol w:w="5798"/>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54"/>
        </w:trPr>
        <w:tc>
          <w:tcPr>
            <w:tcW w:w="829" w:type="dxa"/>
            <w:noWrap w:val="0"/>
            <w:vAlign w:val="center"/>
          </w:tcPr>
          <w:p>
            <w:pPr>
              <w:pageBreakBefore w:val="0"/>
              <w:widowControl/>
              <w:kinsoku/>
              <w:wordWrap/>
              <w:overflowPunct/>
              <w:topLinePunct w:val="0"/>
              <w:bidi w:val="0"/>
              <w:snapToGrid w:val="0"/>
              <w:spacing w:line="300" w:lineRule="auto"/>
              <w:ind w:left="0"/>
              <w:jc w:val="center"/>
              <w:rPr>
                <w:rFonts w:ascii="Calibri" w:hAnsi="Calibri" w:cs="Calibri"/>
                <w:b/>
                <w:bCs/>
                <w:sz w:val="21"/>
                <w:szCs w:val="21"/>
                <w:lang w:eastAsia="zh-CN"/>
              </w:rPr>
            </w:pPr>
            <w:r>
              <w:rPr>
                <w:rFonts w:ascii="Calibri" w:hAnsi="Calibri" w:cs="Calibri"/>
                <w:b/>
                <w:bCs/>
                <w:sz w:val="21"/>
                <w:szCs w:val="21"/>
                <w:lang w:eastAsia="zh-CN"/>
              </w:rPr>
              <w:t>序号</w:t>
            </w:r>
          </w:p>
        </w:tc>
        <w:tc>
          <w:tcPr>
            <w:tcW w:w="1879" w:type="dxa"/>
            <w:noWrap w:val="0"/>
            <w:vAlign w:val="center"/>
          </w:tcPr>
          <w:p>
            <w:pPr>
              <w:pageBreakBefore w:val="0"/>
              <w:widowControl/>
              <w:kinsoku/>
              <w:wordWrap/>
              <w:overflowPunct/>
              <w:topLinePunct w:val="0"/>
              <w:bidi w:val="0"/>
              <w:snapToGrid w:val="0"/>
              <w:spacing w:line="300" w:lineRule="auto"/>
              <w:ind w:left="0"/>
              <w:jc w:val="center"/>
              <w:rPr>
                <w:rFonts w:ascii="Calibri" w:hAnsi="Calibri" w:cs="Calibri"/>
                <w:b/>
                <w:bCs/>
                <w:sz w:val="21"/>
                <w:szCs w:val="21"/>
                <w:lang w:eastAsia="zh-CN"/>
              </w:rPr>
            </w:pPr>
            <w:r>
              <w:rPr>
                <w:rFonts w:ascii="Calibri" w:hAnsi="Calibri" w:cs="Calibri"/>
                <w:b/>
                <w:bCs/>
                <w:sz w:val="21"/>
                <w:szCs w:val="21"/>
                <w:lang w:eastAsia="zh-CN"/>
              </w:rPr>
              <w:t>服务内容</w:t>
            </w:r>
          </w:p>
        </w:tc>
        <w:tc>
          <w:tcPr>
            <w:tcW w:w="5748" w:type="dxa"/>
            <w:noWrap w:val="0"/>
            <w:vAlign w:val="center"/>
          </w:tcPr>
          <w:p>
            <w:pPr>
              <w:pageBreakBefore w:val="0"/>
              <w:widowControl/>
              <w:kinsoku/>
              <w:wordWrap/>
              <w:overflowPunct/>
              <w:topLinePunct w:val="0"/>
              <w:bidi w:val="0"/>
              <w:snapToGrid w:val="0"/>
              <w:spacing w:line="300" w:lineRule="auto"/>
              <w:ind w:left="0"/>
              <w:jc w:val="center"/>
              <w:rPr>
                <w:rFonts w:ascii="Calibri" w:hAnsi="Calibri" w:cs="Calibri"/>
                <w:b/>
                <w:bCs/>
                <w:sz w:val="21"/>
                <w:szCs w:val="21"/>
                <w:lang w:eastAsia="zh-CN"/>
              </w:rPr>
            </w:pPr>
            <w:r>
              <w:rPr>
                <w:rFonts w:ascii="Calibri" w:hAnsi="Calibri" w:cs="Calibri"/>
                <w:b/>
                <w:bCs/>
                <w:sz w:val="21"/>
                <w:szCs w:val="21"/>
                <w:lang w:eastAsia="zh-CN"/>
              </w:rPr>
              <w:t>服务标准</w:t>
            </w:r>
          </w:p>
        </w:tc>
      </w:tr>
      <w:tr>
        <w:tblPrEx>
          <w:tblW w:w="5000" w:type="pct"/>
          <w:tblInd w:w="0" w:type="dxa"/>
          <w:tblLayout w:type="fixed"/>
          <w:tblCellMar>
            <w:top w:w="0" w:type="dxa"/>
            <w:left w:w="108" w:type="dxa"/>
            <w:bottom w:w="0" w:type="dxa"/>
            <w:right w:w="108" w:type="dxa"/>
          </w:tblCellMar>
        </w:tblPrEx>
        <w:trPr>
          <w:trHeight w:val="454"/>
        </w:trPr>
        <w:tc>
          <w:tcPr>
            <w:tcW w:w="829"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firstLine="0" w:leftChars="0" w:firstLineChars="0"/>
              <w:jc w:val="center"/>
              <w:textAlignment w:val="auto"/>
              <w:rPr>
                <w:rFonts w:ascii="Calibri" w:hAnsi="Calibri" w:cs="Calibri"/>
                <w:kern w:val="2"/>
                <w:sz w:val="21"/>
                <w:lang w:eastAsia="zh-CN"/>
              </w:rPr>
            </w:pPr>
            <w:r>
              <w:rPr>
                <w:rFonts w:ascii="Calibri" w:hAnsi="Calibri" w:cs="Calibri"/>
                <w:kern w:val="2"/>
                <w:sz w:val="21"/>
                <w:lang w:eastAsia="zh-CN"/>
              </w:rPr>
              <w:t>1</w:t>
            </w:r>
          </w:p>
        </w:tc>
        <w:tc>
          <w:tcPr>
            <w:tcW w:w="1879"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firstLine="0" w:leftChars="0" w:firstLineChars="0"/>
              <w:textAlignment w:val="auto"/>
              <w:rPr>
                <w:rFonts w:ascii="Calibri" w:hAnsi="Calibri" w:cs="Calibri"/>
                <w:kern w:val="2"/>
                <w:sz w:val="21"/>
                <w:lang w:eastAsia="zh-CN"/>
              </w:rPr>
            </w:pPr>
            <w:r>
              <w:rPr>
                <w:rFonts w:ascii="Calibri" w:hAnsi="Calibri" w:cs="Calibri"/>
                <w:kern w:val="2"/>
                <w:sz w:val="21"/>
                <w:lang w:eastAsia="zh-CN"/>
              </w:rPr>
              <w:t>目标与责任</w:t>
            </w:r>
          </w:p>
        </w:tc>
        <w:tc>
          <w:tcPr>
            <w:tcW w:w="5748"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ascii="Calibri" w:hAnsi="Calibri" w:cs="Calibri"/>
                <w:sz w:val="21"/>
                <w:szCs w:val="21"/>
                <w:lang w:eastAsia="zh-CN"/>
              </w:rPr>
            </w:pPr>
            <w:r>
              <w:rPr>
                <w:rFonts w:ascii="Calibri" w:hAnsi="Calibri" w:cs="Calibri"/>
                <w:sz w:val="21"/>
                <w:szCs w:val="21"/>
                <w:lang w:eastAsia="zh-CN"/>
              </w:rPr>
              <w:t>结合采购人要求及物业服务实际情况，制定年度管理目标，明确责任分工，并制定配套实施方案。</w:t>
            </w:r>
          </w:p>
        </w:tc>
      </w:tr>
      <w:tr>
        <w:tblPrEx>
          <w:tblW w:w="5000" w:type="pct"/>
          <w:tblInd w:w="0" w:type="dxa"/>
          <w:tblLayout w:type="fixed"/>
          <w:tblCellMar>
            <w:top w:w="0" w:type="dxa"/>
            <w:left w:w="108" w:type="dxa"/>
            <w:bottom w:w="0" w:type="dxa"/>
            <w:right w:w="108" w:type="dxa"/>
          </w:tblCellMar>
        </w:tblPrEx>
        <w:trPr>
          <w:trHeight w:val="1793"/>
        </w:trPr>
        <w:tc>
          <w:tcPr>
            <w:tcW w:w="829"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firstLine="0" w:leftChars="0" w:firstLineChars="0"/>
              <w:jc w:val="center"/>
              <w:textAlignment w:val="auto"/>
              <w:rPr>
                <w:rFonts w:ascii="Calibri" w:hAnsi="Calibri" w:cs="Calibri"/>
                <w:kern w:val="2"/>
                <w:sz w:val="21"/>
                <w:lang w:eastAsia="zh-CN"/>
              </w:rPr>
            </w:pPr>
            <w:r>
              <w:rPr>
                <w:rFonts w:ascii="Calibri" w:hAnsi="Calibri" w:cs="Calibri"/>
                <w:kern w:val="2"/>
                <w:sz w:val="21"/>
                <w:lang w:eastAsia="zh-CN"/>
              </w:rPr>
              <w:t>2</w:t>
            </w:r>
          </w:p>
        </w:tc>
        <w:tc>
          <w:tcPr>
            <w:tcW w:w="1879"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firstLine="0" w:leftChars="0" w:firstLineChars="0"/>
              <w:textAlignment w:val="auto"/>
              <w:rPr>
                <w:rFonts w:ascii="Calibri" w:hAnsi="Calibri" w:cs="Calibri"/>
                <w:kern w:val="2"/>
                <w:sz w:val="21"/>
                <w:lang w:eastAsia="zh-CN"/>
              </w:rPr>
            </w:pPr>
            <w:r>
              <w:rPr>
                <w:rFonts w:hint="eastAsia"/>
                <w:kern w:val="2"/>
                <w:sz w:val="21"/>
                <w:lang w:eastAsia="zh-CN"/>
              </w:rPr>
              <w:t>负责大厦的安保、消防工作</w:t>
            </w:r>
          </w:p>
        </w:tc>
        <w:tc>
          <w:tcPr>
            <w:tcW w:w="5748"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cs="Calibri" w:hint="eastAsia"/>
                <w:sz w:val="21"/>
                <w:szCs w:val="21"/>
                <w:lang w:eastAsia="zh-CN"/>
              </w:rPr>
            </w:pPr>
            <w:r>
              <w:rPr>
                <w:rFonts w:cs="Calibri" w:hint="eastAsia"/>
                <w:sz w:val="21"/>
                <w:szCs w:val="21"/>
                <w:lang w:eastAsia="zh-CN"/>
              </w:rPr>
              <w:t>1.维护采购单位正常的工作秩序，保障财产和人员的安全，防止发生火灾、偷盗事故制止违法乱纪行为。</w:t>
            </w:r>
          </w:p>
          <w:p>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cs="Calibri" w:hint="eastAsia"/>
                <w:sz w:val="21"/>
                <w:szCs w:val="21"/>
                <w:lang w:eastAsia="zh-CN"/>
              </w:rPr>
            </w:pPr>
            <w:r>
              <w:rPr>
                <w:rFonts w:cs="Calibri" w:hint="eastAsia"/>
                <w:sz w:val="21"/>
                <w:szCs w:val="21"/>
                <w:lang w:eastAsia="zh-CN"/>
              </w:rPr>
              <w:t>2.消防设备的报警监控，发现异常及时报告。做好公共消防安全设备的日常检查及标示管理。</w:t>
            </w:r>
          </w:p>
          <w:p>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cs="Calibri" w:hint="eastAsia"/>
                <w:sz w:val="21"/>
                <w:szCs w:val="21"/>
                <w:lang w:eastAsia="zh-CN"/>
              </w:rPr>
            </w:pPr>
            <w:r>
              <w:rPr>
                <w:rFonts w:cs="Calibri" w:hint="eastAsia"/>
                <w:sz w:val="21"/>
                <w:szCs w:val="21"/>
                <w:lang w:eastAsia="zh-CN"/>
              </w:rPr>
              <w:t>3.严格控制未经采购单位允许的外来人员在办公区域内录音、录像，对一切泄密行为立即制止并送有关部门处理。</w:t>
            </w:r>
          </w:p>
          <w:p>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cs="Calibri" w:hint="eastAsia"/>
                <w:sz w:val="21"/>
                <w:szCs w:val="21"/>
                <w:lang w:eastAsia="zh-CN"/>
              </w:rPr>
            </w:pPr>
            <w:r>
              <w:rPr>
                <w:rFonts w:cs="Calibri" w:hint="eastAsia"/>
                <w:sz w:val="21"/>
                <w:szCs w:val="21"/>
                <w:lang w:eastAsia="zh-CN"/>
              </w:rPr>
              <w:t>4.定期组织消防安全的宣传教育。</w:t>
            </w:r>
          </w:p>
          <w:p>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cs="Calibri"/>
                <w:sz w:val="21"/>
                <w:szCs w:val="21"/>
                <w:lang w:eastAsia="zh-CN"/>
              </w:rPr>
            </w:pPr>
            <w:r>
              <w:rPr>
                <w:rFonts w:cs="Calibri" w:hint="eastAsia"/>
                <w:sz w:val="21"/>
                <w:szCs w:val="21"/>
                <w:lang w:eastAsia="zh-CN"/>
              </w:rPr>
              <w:t>注：消防工作需符合相关规定或要求。</w:t>
            </w:r>
          </w:p>
        </w:tc>
      </w:tr>
      <w:tr>
        <w:tblPrEx>
          <w:tblW w:w="5000" w:type="pct"/>
          <w:tblInd w:w="0" w:type="dxa"/>
          <w:tblLayout w:type="fixed"/>
          <w:tblCellMar>
            <w:top w:w="0" w:type="dxa"/>
            <w:left w:w="108" w:type="dxa"/>
            <w:bottom w:w="0" w:type="dxa"/>
            <w:right w:w="108" w:type="dxa"/>
          </w:tblCellMar>
        </w:tblPrEx>
        <w:trPr>
          <w:trHeight w:val="454"/>
        </w:trPr>
        <w:tc>
          <w:tcPr>
            <w:tcW w:w="829"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firstLine="0" w:leftChars="0" w:firstLineChars="0"/>
              <w:jc w:val="center"/>
              <w:textAlignment w:val="auto"/>
              <w:rPr>
                <w:rFonts w:ascii="Calibri" w:hAnsi="Calibri" w:cs="Calibri"/>
                <w:kern w:val="2"/>
                <w:sz w:val="21"/>
                <w:lang w:eastAsia="zh-CN"/>
              </w:rPr>
            </w:pPr>
            <w:r>
              <w:rPr>
                <w:rFonts w:ascii="Calibri" w:hAnsi="Calibri" w:cs="Calibri" w:hint="eastAsia"/>
                <w:kern w:val="2"/>
                <w:sz w:val="21"/>
                <w:lang w:eastAsia="zh-CN"/>
              </w:rPr>
              <w:t>3</w:t>
            </w:r>
          </w:p>
        </w:tc>
        <w:tc>
          <w:tcPr>
            <w:tcW w:w="1879"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firstLine="0" w:leftChars="0" w:firstLineChars="0"/>
              <w:textAlignment w:val="auto"/>
              <w:rPr>
                <w:rFonts w:ascii="Calibri" w:hAnsi="Calibri" w:cs="Calibri"/>
                <w:kern w:val="2"/>
                <w:sz w:val="21"/>
                <w:lang w:eastAsia="zh-CN"/>
              </w:rPr>
            </w:pPr>
            <w:r>
              <w:rPr>
                <w:rFonts w:hint="eastAsia"/>
                <w:kern w:val="2"/>
                <w:sz w:val="21"/>
                <w:lang w:eastAsia="zh-CN"/>
              </w:rPr>
              <w:t>负责大厦公共设备设施（电梯、中央空调、供水、供电设备、大厦外墙、宣传栏等）的维护、保养工作。</w:t>
            </w:r>
          </w:p>
        </w:tc>
        <w:tc>
          <w:tcPr>
            <w:tcW w:w="5748"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cs="Calibri" w:hint="eastAsia"/>
                <w:sz w:val="21"/>
                <w:szCs w:val="21"/>
                <w:lang w:eastAsia="zh-CN"/>
              </w:rPr>
            </w:pPr>
            <w:r>
              <w:rPr>
                <w:rFonts w:hint="eastAsia"/>
                <w:kern w:val="2"/>
                <w:sz w:val="21"/>
                <w:lang w:eastAsia="zh-CN"/>
              </w:rPr>
              <w:t>所有仪器设备由专人负责，制定标准的操作程序并定期对有关人员进行培训。</w:t>
            </w:r>
          </w:p>
        </w:tc>
      </w:tr>
      <w:tr>
        <w:tblPrEx>
          <w:tblW w:w="5000" w:type="pct"/>
          <w:tblInd w:w="0" w:type="dxa"/>
          <w:tblLayout w:type="fixed"/>
          <w:tblCellMar>
            <w:top w:w="0" w:type="dxa"/>
            <w:left w:w="108" w:type="dxa"/>
            <w:bottom w:w="0" w:type="dxa"/>
            <w:right w:w="108" w:type="dxa"/>
          </w:tblCellMar>
        </w:tblPrEx>
        <w:trPr>
          <w:trHeight w:val="454"/>
        </w:trPr>
        <w:tc>
          <w:tcPr>
            <w:tcW w:w="829"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firstLine="0" w:leftChars="0" w:firstLineChars="0"/>
              <w:jc w:val="center"/>
              <w:textAlignment w:val="auto"/>
              <w:rPr>
                <w:rFonts w:ascii="Calibri" w:hAnsi="Calibri" w:cs="Calibri"/>
                <w:kern w:val="2"/>
                <w:sz w:val="21"/>
                <w:lang w:eastAsia="zh-CN"/>
              </w:rPr>
            </w:pPr>
            <w:r>
              <w:rPr>
                <w:rFonts w:ascii="Calibri" w:hAnsi="Calibri" w:cs="Calibri" w:hint="eastAsia"/>
                <w:kern w:val="2"/>
                <w:sz w:val="21"/>
                <w:lang w:eastAsia="zh-CN"/>
              </w:rPr>
              <w:t>4</w:t>
            </w:r>
          </w:p>
        </w:tc>
        <w:tc>
          <w:tcPr>
            <w:tcW w:w="1879"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firstLine="0" w:leftChars="0" w:firstLineChars="0"/>
              <w:textAlignment w:val="auto"/>
              <w:rPr>
                <w:rFonts w:ascii="Calibri" w:hAnsi="Calibri" w:cs="Calibri" w:hint="eastAsia"/>
                <w:kern w:val="2"/>
                <w:sz w:val="21"/>
                <w:lang w:eastAsia="zh-CN"/>
              </w:rPr>
            </w:pPr>
            <w:r>
              <w:rPr>
                <w:rFonts w:hint="eastAsia"/>
                <w:kern w:val="2"/>
                <w:sz w:val="21"/>
                <w:lang w:eastAsia="zh-CN"/>
              </w:rPr>
              <w:t>车辆</w:t>
            </w:r>
            <w:r>
              <w:rPr>
                <w:rFonts w:hint="eastAsia"/>
                <w:kern w:val="2"/>
                <w:sz w:val="21"/>
                <w:lang w:eastAsia="zh-CN"/>
              </w:rPr>
              <w:t>管理</w:t>
            </w:r>
          </w:p>
        </w:tc>
        <w:tc>
          <w:tcPr>
            <w:tcW w:w="5748"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cs="Calibri" w:hint="eastAsia"/>
                <w:sz w:val="21"/>
                <w:szCs w:val="21"/>
                <w:lang w:eastAsia="zh-CN"/>
              </w:rPr>
            </w:pPr>
            <w:r>
              <w:rPr>
                <w:rFonts w:hint="eastAsia"/>
                <w:kern w:val="2"/>
                <w:sz w:val="21"/>
                <w:lang w:eastAsia="zh-CN"/>
              </w:rPr>
              <w:t>及时引导车辆有序进出停车场，引导车辆正确停车，禁止随意停车、占用消防通道、妨碍消防设施使用、影响行人及车辆通行维护良好的停车秩序。</w:t>
            </w:r>
          </w:p>
        </w:tc>
      </w:tr>
      <w:tr>
        <w:tblPrEx>
          <w:tblW w:w="5000" w:type="pct"/>
          <w:tblInd w:w="0" w:type="dxa"/>
          <w:tblLayout w:type="fixed"/>
          <w:tblCellMar>
            <w:top w:w="0" w:type="dxa"/>
            <w:left w:w="108" w:type="dxa"/>
            <w:bottom w:w="0" w:type="dxa"/>
            <w:right w:w="108" w:type="dxa"/>
          </w:tblCellMar>
        </w:tblPrEx>
        <w:trPr>
          <w:trHeight w:val="454"/>
        </w:trPr>
        <w:tc>
          <w:tcPr>
            <w:tcW w:w="829"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firstLine="0" w:leftChars="0" w:firstLineChars="0"/>
              <w:jc w:val="center"/>
              <w:textAlignment w:val="auto"/>
              <w:rPr>
                <w:rFonts w:ascii="Calibri" w:hAnsi="Calibri" w:cs="Calibri"/>
                <w:kern w:val="2"/>
                <w:sz w:val="21"/>
                <w:lang w:eastAsia="zh-CN"/>
              </w:rPr>
            </w:pPr>
            <w:r>
              <w:rPr>
                <w:rFonts w:ascii="Calibri" w:hAnsi="Calibri" w:cs="Calibri" w:hint="eastAsia"/>
                <w:kern w:val="2"/>
                <w:sz w:val="21"/>
                <w:lang w:eastAsia="zh-CN"/>
              </w:rPr>
              <w:t>5</w:t>
            </w:r>
          </w:p>
        </w:tc>
        <w:tc>
          <w:tcPr>
            <w:tcW w:w="1879"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firstLine="0" w:leftChars="0" w:firstLineChars="0"/>
              <w:textAlignment w:val="auto"/>
              <w:rPr>
                <w:rFonts w:ascii="Calibri" w:hAnsi="Calibri" w:cs="Calibri"/>
                <w:kern w:val="2"/>
                <w:sz w:val="21"/>
                <w:lang w:eastAsia="zh-CN"/>
              </w:rPr>
            </w:pPr>
            <w:r>
              <w:rPr>
                <w:rFonts w:hint="eastAsia"/>
                <w:kern w:val="2"/>
                <w:sz w:val="21"/>
                <w:lang w:eastAsia="zh-CN"/>
              </w:rPr>
              <w:t>负责大厦外围周边绿化管养，及大堂内部的绿化摆设等优化环境工作。</w:t>
            </w:r>
          </w:p>
        </w:tc>
        <w:tc>
          <w:tcPr>
            <w:tcW w:w="5748"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cs="Calibri" w:hint="eastAsia"/>
                <w:sz w:val="21"/>
                <w:szCs w:val="21"/>
                <w:lang w:eastAsia="zh-CN"/>
              </w:rPr>
            </w:pPr>
            <w:r>
              <w:rPr>
                <w:rFonts w:hint="eastAsia"/>
                <w:kern w:val="2"/>
                <w:sz w:val="21"/>
                <w:lang w:eastAsia="zh-CN"/>
              </w:rPr>
              <w:t>落实植物、花草养护措施，修剪、更换及时，无破坏、践踏、无虫害、枯死等现象。</w:t>
            </w:r>
          </w:p>
        </w:tc>
      </w:tr>
      <w:tr>
        <w:tblPrEx>
          <w:tblW w:w="5000" w:type="pct"/>
          <w:tblInd w:w="0" w:type="dxa"/>
          <w:tblLayout w:type="fixed"/>
          <w:tblCellMar>
            <w:top w:w="0" w:type="dxa"/>
            <w:left w:w="108" w:type="dxa"/>
            <w:bottom w:w="0" w:type="dxa"/>
            <w:right w:w="108" w:type="dxa"/>
          </w:tblCellMar>
        </w:tblPrEx>
        <w:trPr>
          <w:trHeight w:val="454"/>
        </w:trPr>
        <w:tc>
          <w:tcPr>
            <w:tcW w:w="829"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firstLine="0" w:leftChars="0" w:firstLineChars="0"/>
              <w:jc w:val="center"/>
              <w:textAlignment w:val="auto"/>
              <w:rPr>
                <w:rFonts w:ascii="Calibri" w:hAnsi="Calibri" w:cs="Calibri"/>
                <w:kern w:val="2"/>
                <w:sz w:val="21"/>
                <w:lang w:eastAsia="zh-CN"/>
              </w:rPr>
            </w:pPr>
            <w:r>
              <w:rPr>
                <w:rFonts w:ascii="Calibri" w:hAnsi="Calibri" w:cs="Calibri" w:hint="eastAsia"/>
                <w:kern w:val="2"/>
                <w:sz w:val="21"/>
                <w:lang w:eastAsia="zh-CN"/>
              </w:rPr>
              <w:t>6</w:t>
            </w:r>
          </w:p>
        </w:tc>
        <w:tc>
          <w:tcPr>
            <w:tcW w:w="1879"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firstLine="0" w:leftChars="0" w:firstLineChars="0"/>
              <w:textAlignment w:val="auto"/>
              <w:rPr>
                <w:rFonts w:ascii="Calibri" w:hAnsi="Calibri" w:cs="Calibri"/>
                <w:kern w:val="2"/>
                <w:sz w:val="21"/>
                <w:lang w:eastAsia="zh-CN"/>
              </w:rPr>
            </w:pPr>
            <w:r>
              <w:rPr>
                <w:rFonts w:hint="eastAsia"/>
                <w:kern w:val="2"/>
                <w:sz w:val="21"/>
                <w:lang w:eastAsia="zh-CN"/>
              </w:rPr>
              <w:t>负责处理业主（租户）的建议或投诉，及时解决管理责任问题。</w:t>
            </w:r>
          </w:p>
        </w:tc>
        <w:tc>
          <w:tcPr>
            <w:tcW w:w="5748"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cs="Calibri" w:hint="eastAsia"/>
                <w:sz w:val="21"/>
                <w:szCs w:val="21"/>
                <w:lang w:eastAsia="zh-CN"/>
              </w:rPr>
            </w:pPr>
            <w:r>
              <w:rPr>
                <w:rFonts w:hint="eastAsia"/>
                <w:kern w:val="2"/>
                <w:sz w:val="21"/>
                <w:lang w:eastAsia="zh-CN"/>
              </w:rPr>
              <w:t>及时响应，及时跟进，及时反馈。</w:t>
            </w:r>
          </w:p>
        </w:tc>
      </w:tr>
      <w:tr>
        <w:tblPrEx>
          <w:tblW w:w="5000" w:type="pct"/>
          <w:tblInd w:w="0" w:type="dxa"/>
          <w:tblLayout w:type="fixed"/>
          <w:tblCellMar>
            <w:top w:w="0" w:type="dxa"/>
            <w:left w:w="108" w:type="dxa"/>
            <w:bottom w:w="0" w:type="dxa"/>
            <w:right w:w="108" w:type="dxa"/>
          </w:tblCellMar>
        </w:tblPrEx>
        <w:trPr>
          <w:trHeight w:val="454"/>
        </w:trPr>
        <w:tc>
          <w:tcPr>
            <w:tcW w:w="829" w:type="dxa"/>
            <w:vMerge w:val="restart"/>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firstLine="0" w:leftChars="0" w:firstLineChars="0"/>
              <w:jc w:val="center"/>
              <w:textAlignment w:val="auto"/>
              <w:rPr>
                <w:rFonts w:ascii="Calibri" w:hAnsi="Calibri" w:cs="Calibri"/>
                <w:kern w:val="2"/>
                <w:sz w:val="21"/>
                <w:lang w:eastAsia="zh-CN"/>
              </w:rPr>
            </w:pPr>
            <w:r>
              <w:rPr>
                <w:rFonts w:ascii="Calibri" w:hAnsi="Calibri" w:cs="Calibri" w:hint="eastAsia"/>
                <w:kern w:val="2"/>
                <w:sz w:val="21"/>
                <w:lang w:eastAsia="zh-CN"/>
              </w:rPr>
              <w:t>7</w:t>
            </w:r>
          </w:p>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firstLine="0" w:leftChars="0" w:firstLineChars="0"/>
              <w:jc w:val="center"/>
              <w:textAlignment w:val="auto"/>
              <w:rPr>
                <w:rFonts w:ascii="Calibri" w:hAnsi="Calibri" w:cs="Calibri"/>
                <w:kern w:val="2"/>
                <w:sz w:val="21"/>
                <w:lang w:eastAsia="zh-CN"/>
              </w:rPr>
            </w:pPr>
          </w:p>
        </w:tc>
        <w:tc>
          <w:tcPr>
            <w:tcW w:w="1879" w:type="dxa"/>
            <w:vMerge w:val="restart"/>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firstLine="0" w:leftChars="0" w:firstLineChars="0"/>
              <w:textAlignment w:val="auto"/>
              <w:rPr>
                <w:rFonts w:ascii="Calibri" w:hAnsi="Calibri" w:cs="Calibri"/>
                <w:kern w:val="2"/>
                <w:sz w:val="21"/>
                <w:lang w:eastAsia="zh-CN"/>
              </w:rPr>
            </w:pPr>
            <w:r>
              <w:rPr>
                <w:rFonts w:ascii="Calibri" w:hAnsi="Calibri" w:cs="Calibri"/>
                <w:kern w:val="2"/>
                <w:sz w:val="21"/>
                <w:lang w:eastAsia="zh-CN"/>
              </w:rPr>
              <w:t>服务改进</w:t>
            </w:r>
          </w:p>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firstLine="0" w:leftChars="0" w:firstLineChars="0"/>
              <w:textAlignment w:val="auto"/>
              <w:rPr>
                <w:rFonts w:ascii="Calibri" w:hAnsi="Calibri" w:cs="Calibri"/>
                <w:kern w:val="2"/>
                <w:sz w:val="21"/>
                <w:lang w:eastAsia="zh-CN"/>
              </w:rPr>
            </w:pPr>
          </w:p>
        </w:tc>
        <w:tc>
          <w:tcPr>
            <w:tcW w:w="5748"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ascii="Calibri" w:hAnsi="Calibri" w:cs="Calibri"/>
                <w:sz w:val="21"/>
                <w:szCs w:val="21"/>
                <w:lang w:eastAsia="zh-CN"/>
              </w:rPr>
            </w:pPr>
            <w:r>
              <w:rPr>
                <w:rFonts w:cs="Calibri" w:hint="eastAsia"/>
                <w:sz w:val="21"/>
                <w:szCs w:val="21"/>
                <w:lang w:eastAsia="zh-CN"/>
              </w:rPr>
              <w:t>（1）</w:t>
            </w:r>
            <w:r>
              <w:rPr>
                <w:rFonts w:ascii="Calibri" w:hAnsi="Calibri" w:cs="Calibri"/>
                <w:sz w:val="21"/>
                <w:szCs w:val="21"/>
                <w:lang w:eastAsia="zh-CN"/>
              </w:rPr>
              <w:t>明确负责人，定期对物业服务过程进行自查，结合反馈意见与评价结果采取改进措施，持续提升管理与服务水平。</w:t>
            </w:r>
          </w:p>
        </w:tc>
      </w:tr>
      <w:tr>
        <w:tblPrEx>
          <w:tblW w:w="5000" w:type="pct"/>
          <w:tblInd w:w="0" w:type="dxa"/>
          <w:tblLayout w:type="fixed"/>
          <w:tblCellMar>
            <w:top w:w="0" w:type="dxa"/>
            <w:left w:w="108" w:type="dxa"/>
            <w:bottom w:w="0" w:type="dxa"/>
            <w:right w:w="108" w:type="dxa"/>
          </w:tblCellMar>
        </w:tblPrEx>
        <w:trPr>
          <w:trHeight w:val="454"/>
        </w:trPr>
        <w:tc>
          <w:tcPr>
            <w:tcW w:w="829" w:type="dxa"/>
            <w:vMerg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firstLine="0" w:leftChars="0"/>
              <w:jc w:val="center"/>
              <w:textAlignment w:val="auto"/>
              <w:rPr>
                <w:rFonts w:ascii="Calibri" w:hAnsi="Calibri" w:cs="Calibri"/>
                <w:kern w:val="2"/>
                <w:sz w:val="21"/>
                <w:lang w:eastAsia="zh-CN"/>
              </w:rPr>
            </w:pPr>
          </w:p>
        </w:tc>
        <w:tc>
          <w:tcPr>
            <w:tcW w:w="1879" w:type="dxa"/>
            <w:vMerg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firstLine="0" w:leftChars="0"/>
              <w:textAlignment w:val="auto"/>
              <w:rPr>
                <w:rFonts w:ascii="Calibri" w:hAnsi="Calibri" w:cs="Calibri"/>
                <w:kern w:val="2"/>
                <w:sz w:val="21"/>
                <w:lang w:eastAsia="zh-CN"/>
              </w:rPr>
            </w:pPr>
          </w:p>
        </w:tc>
        <w:tc>
          <w:tcPr>
            <w:tcW w:w="5748"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ascii="Calibri" w:hAnsi="Calibri" w:cs="Calibri"/>
                <w:sz w:val="21"/>
                <w:szCs w:val="21"/>
                <w:lang w:eastAsia="zh-CN"/>
              </w:rPr>
            </w:pPr>
            <w:r>
              <w:rPr>
                <w:rFonts w:cs="Calibri" w:hint="eastAsia"/>
                <w:sz w:val="21"/>
                <w:szCs w:val="21"/>
                <w:lang w:eastAsia="zh-CN"/>
              </w:rPr>
              <w:t>（2）</w:t>
            </w:r>
            <w:r>
              <w:rPr>
                <w:rFonts w:ascii="Calibri" w:hAnsi="Calibri" w:cs="Calibri"/>
                <w:sz w:val="21"/>
                <w:szCs w:val="21"/>
                <w:lang w:eastAsia="zh-CN"/>
              </w:rPr>
              <w:t>对不合格服务进行控制，对不合格服务的原因进行识别和分析，及时采取纠正措施，消除不合格的原因，防止不合格再发生。</w:t>
            </w:r>
          </w:p>
        </w:tc>
      </w:tr>
      <w:tr>
        <w:tblPrEx>
          <w:tblW w:w="5000" w:type="pct"/>
          <w:tblInd w:w="0" w:type="dxa"/>
          <w:tblLayout w:type="fixed"/>
          <w:tblCellMar>
            <w:top w:w="0" w:type="dxa"/>
            <w:left w:w="108" w:type="dxa"/>
            <w:bottom w:w="0" w:type="dxa"/>
            <w:right w:w="108" w:type="dxa"/>
          </w:tblCellMar>
        </w:tblPrEx>
        <w:trPr>
          <w:trHeight w:val="454"/>
        </w:trPr>
        <w:tc>
          <w:tcPr>
            <w:tcW w:w="829" w:type="dxa"/>
            <w:vMerg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firstLine="0" w:leftChars="0" w:firstLineChars="0"/>
              <w:jc w:val="center"/>
              <w:textAlignment w:val="auto"/>
              <w:rPr>
                <w:rFonts w:ascii="Calibri" w:hAnsi="Calibri" w:cs="Calibri"/>
                <w:kern w:val="2"/>
                <w:sz w:val="21"/>
                <w:lang w:eastAsia="zh-CN"/>
              </w:rPr>
            </w:pPr>
          </w:p>
        </w:tc>
        <w:tc>
          <w:tcPr>
            <w:tcW w:w="1879" w:type="dxa"/>
            <w:vMerg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firstLine="0" w:leftChars="0" w:firstLineChars="0"/>
              <w:textAlignment w:val="auto"/>
              <w:rPr>
                <w:rFonts w:ascii="Calibri" w:hAnsi="Calibri" w:cs="Calibri"/>
                <w:kern w:val="2"/>
                <w:sz w:val="21"/>
                <w:lang w:eastAsia="zh-CN"/>
              </w:rPr>
            </w:pPr>
          </w:p>
        </w:tc>
        <w:tc>
          <w:tcPr>
            <w:tcW w:w="5748"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ascii="Calibri" w:hAnsi="Calibri" w:cs="Calibri"/>
                <w:sz w:val="21"/>
                <w:szCs w:val="21"/>
                <w:lang w:eastAsia="zh-CN"/>
              </w:rPr>
            </w:pPr>
            <w:r>
              <w:rPr>
                <w:rFonts w:cs="Calibri" w:hint="eastAsia"/>
                <w:sz w:val="21"/>
                <w:szCs w:val="21"/>
                <w:lang w:eastAsia="zh-CN"/>
              </w:rPr>
              <w:t>（3）</w:t>
            </w:r>
            <w:r>
              <w:rPr>
                <w:rFonts w:ascii="Calibri" w:hAnsi="Calibri" w:cs="Calibri"/>
                <w:sz w:val="21"/>
                <w:szCs w:val="21"/>
                <w:lang w:eastAsia="zh-CN"/>
              </w:rPr>
              <w:t>需整改问题</w:t>
            </w:r>
            <w:r>
              <w:rPr>
                <w:rFonts w:cs="Calibri" w:hint="eastAsia"/>
                <w:sz w:val="21"/>
                <w:szCs w:val="21"/>
                <w:lang w:eastAsia="zh-CN"/>
              </w:rPr>
              <w:t>及时</w:t>
            </w:r>
            <w:r>
              <w:rPr>
                <w:rFonts w:ascii="Calibri" w:hAnsi="Calibri" w:cs="Calibri"/>
                <w:sz w:val="21"/>
                <w:szCs w:val="21"/>
                <w:lang w:eastAsia="zh-CN"/>
              </w:rPr>
              <w:t>整改完成。</w:t>
            </w:r>
          </w:p>
        </w:tc>
      </w:tr>
      <w:tr>
        <w:tblPrEx>
          <w:tblW w:w="5000" w:type="pct"/>
          <w:tblInd w:w="0" w:type="dxa"/>
          <w:tblLayout w:type="fixed"/>
          <w:tblCellMar>
            <w:top w:w="0" w:type="dxa"/>
            <w:left w:w="108" w:type="dxa"/>
            <w:bottom w:w="0" w:type="dxa"/>
            <w:right w:w="108" w:type="dxa"/>
          </w:tblCellMar>
        </w:tblPrEx>
        <w:trPr>
          <w:trHeight w:val="454"/>
        </w:trPr>
        <w:tc>
          <w:tcPr>
            <w:tcW w:w="829" w:type="dxa"/>
            <w:vMerge w:val="restart"/>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firstLine="0" w:leftChars="0" w:firstLineChars="0"/>
              <w:jc w:val="center"/>
              <w:textAlignment w:val="auto"/>
              <w:rPr>
                <w:rFonts w:ascii="Calibri" w:hAnsi="Calibri" w:cs="Calibri"/>
                <w:kern w:val="2"/>
                <w:sz w:val="21"/>
                <w:lang w:eastAsia="zh-CN"/>
              </w:rPr>
            </w:pPr>
            <w:r>
              <w:rPr>
                <w:rFonts w:ascii="Calibri" w:hAnsi="Calibri" w:cs="Calibri" w:hint="eastAsia"/>
                <w:kern w:val="2"/>
                <w:sz w:val="21"/>
                <w:lang w:eastAsia="zh-CN"/>
              </w:rPr>
              <w:t>8</w:t>
            </w:r>
          </w:p>
        </w:tc>
        <w:tc>
          <w:tcPr>
            <w:tcW w:w="1879" w:type="dxa"/>
            <w:vMerge w:val="restart"/>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firstLine="0" w:leftChars="0" w:firstLineChars="0"/>
              <w:textAlignment w:val="auto"/>
              <w:rPr>
                <w:rFonts w:ascii="Calibri" w:hAnsi="Calibri" w:cs="Calibri"/>
                <w:kern w:val="2"/>
                <w:sz w:val="21"/>
                <w:lang w:eastAsia="zh-CN"/>
              </w:rPr>
            </w:pPr>
            <w:r>
              <w:rPr>
                <w:rFonts w:ascii="Calibri" w:hAnsi="Calibri" w:cs="Calibri"/>
                <w:kern w:val="2"/>
                <w:sz w:val="21"/>
                <w:lang w:eastAsia="zh-CN"/>
              </w:rPr>
              <w:t>重大活动后勤保障</w:t>
            </w:r>
          </w:p>
        </w:tc>
        <w:tc>
          <w:tcPr>
            <w:tcW w:w="5748"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ascii="Calibri" w:hAnsi="Calibri" w:cs="Calibri"/>
                <w:sz w:val="21"/>
                <w:szCs w:val="21"/>
                <w:lang w:eastAsia="zh-CN"/>
              </w:rPr>
            </w:pPr>
            <w:r>
              <w:rPr>
                <w:rFonts w:cs="Calibri" w:hint="eastAsia"/>
                <w:sz w:val="21"/>
                <w:szCs w:val="21"/>
                <w:lang w:eastAsia="zh-CN"/>
              </w:rPr>
              <w:t>（1）</w:t>
            </w:r>
            <w:r>
              <w:rPr>
                <w:rFonts w:ascii="Calibri" w:hAnsi="Calibri" w:cs="Calibri"/>
                <w:sz w:val="21"/>
                <w:szCs w:val="21"/>
                <w:lang w:eastAsia="zh-CN"/>
              </w:rPr>
              <w:t>制订流程。配合采购人制订重大活动后勤保障工作流程，需对任务进行详细了解，并根据工作安排制定详细的后勤保障计划。</w:t>
            </w:r>
          </w:p>
        </w:tc>
      </w:tr>
      <w:tr>
        <w:tblPrEx>
          <w:tblW w:w="5000" w:type="pct"/>
          <w:tblInd w:w="0" w:type="dxa"/>
          <w:tblLayout w:type="fixed"/>
          <w:tblCellMar>
            <w:top w:w="0" w:type="dxa"/>
            <w:left w:w="108" w:type="dxa"/>
            <w:bottom w:w="0" w:type="dxa"/>
            <w:right w:w="108" w:type="dxa"/>
          </w:tblCellMar>
        </w:tblPrEx>
        <w:trPr>
          <w:trHeight w:val="454"/>
        </w:trPr>
        <w:tc>
          <w:tcPr>
            <w:tcW w:w="829" w:type="dxa"/>
            <w:vMerge/>
            <w:noWrap w:val="0"/>
            <w:vAlign w:val="center"/>
          </w:tcPr>
          <w:p>
            <w:pPr>
              <w:keepNext w:val="0"/>
              <w:keepLines w:val="0"/>
              <w:pageBreakBefore w:val="0"/>
              <w:widowControl/>
              <w:kinsoku/>
              <w:wordWrap/>
              <w:overflowPunct/>
              <w:topLinePunct w:val="0"/>
              <w:autoSpaceDE/>
              <w:autoSpaceDN/>
              <w:bidi w:val="0"/>
              <w:adjustRightInd/>
              <w:snapToGrid w:val="0"/>
              <w:spacing w:line="300" w:lineRule="auto"/>
              <w:ind w:left="0" w:firstLine="0" w:leftChars="0" w:firstLineChars="0"/>
              <w:jc w:val="center"/>
              <w:textAlignment w:val="auto"/>
              <w:rPr>
                <w:rFonts w:ascii="Calibri" w:hAnsi="Calibri" w:cs="Calibri"/>
                <w:kern w:val="2"/>
                <w:sz w:val="21"/>
                <w:lang w:eastAsia="zh-CN"/>
              </w:rPr>
            </w:pPr>
          </w:p>
        </w:tc>
        <w:tc>
          <w:tcPr>
            <w:tcW w:w="1879" w:type="dxa"/>
            <w:vMerge/>
            <w:noWrap w:val="0"/>
            <w:vAlign w:val="center"/>
          </w:tcPr>
          <w:p>
            <w:pPr>
              <w:keepNext w:val="0"/>
              <w:keepLines w:val="0"/>
              <w:pageBreakBefore w:val="0"/>
              <w:widowControl/>
              <w:kinsoku/>
              <w:wordWrap/>
              <w:overflowPunct/>
              <w:topLinePunct w:val="0"/>
              <w:autoSpaceDE/>
              <w:autoSpaceDN/>
              <w:bidi w:val="0"/>
              <w:adjustRightInd/>
              <w:snapToGrid w:val="0"/>
              <w:spacing w:line="300" w:lineRule="auto"/>
              <w:ind w:left="0" w:firstLine="0" w:leftChars="0" w:firstLineChars="0"/>
              <w:textAlignment w:val="auto"/>
              <w:rPr>
                <w:rFonts w:ascii="Calibri" w:hAnsi="Calibri" w:cs="Calibri"/>
                <w:kern w:val="2"/>
                <w:sz w:val="21"/>
                <w:lang w:eastAsia="zh-CN"/>
              </w:rPr>
            </w:pPr>
          </w:p>
        </w:tc>
        <w:tc>
          <w:tcPr>
            <w:tcW w:w="5748"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ascii="Calibri" w:hAnsi="Calibri" w:cs="Calibri"/>
                <w:sz w:val="21"/>
                <w:szCs w:val="21"/>
                <w:lang w:eastAsia="zh-CN"/>
              </w:rPr>
            </w:pPr>
            <w:r>
              <w:rPr>
                <w:rFonts w:cs="Calibri" w:hint="eastAsia"/>
                <w:sz w:val="21"/>
                <w:szCs w:val="21"/>
                <w:lang w:eastAsia="zh-CN"/>
              </w:rPr>
              <w:t>（2）</w:t>
            </w:r>
            <w:r>
              <w:rPr>
                <w:rFonts w:ascii="Calibri" w:hAnsi="Calibri" w:cs="Calibri"/>
                <w:sz w:val="21"/>
                <w:szCs w:val="21"/>
                <w:lang w:eastAsia="zh-CN"/>
              </w:rPr>
              <w:t>实施保障。按计划在关键区域和重点部位进行部署，确保任务顺利进行，对活动区域进行全面安全检查，发现并排除安全隐患，对车辆进行有序引导和管理，确保交通安全畅通，以礼貌、专业的态度对待来宾，展现良好形象。</w:t>
            </w:r>
          </w:p>
        </w:tc>
      </w:tr>
      <w:tr>
        <w:tblPrEx>
          <w:tblW w:w="5000" w:type="pct"/>
          <w:tblInd w:w="0" w:type="dxa"/>
          <w:tblLayout w:type="fixed"/>
          <w:tblCellMar>
            <w:top w:w="0" w:type="dxa"/>
            <w:left w:w="108" w:type="dxa"/>
            <w:bottom w:w="0" w:type="dxa"/>
            <w:right w:w="108" w:type="dxa"/>
          </w:tblCellMar>
        </w:tblPrEx>
        <w:trPr>
          <w:trHeight w:val="454"/>
        </w:trPr>
        <w:tc>
          <w:tcPr>
            <w:tcW w:w="829" w:type="dxa"/>
            <w:vMerge/>
            <w:noWrap w:val="0"/>
            <w:vAlign w:val="center"/>
          </w:tcPr>
          <w:p>
            <w:pPr>
              <w:keepNext w:val="0"/>
              <w:keepLines w:val="0"/>
              <w:pageBreakBefore w:val="0"/>
              <w:widowControl/>
              <w:kinsoku/>
              <w:wordWrap/>
              <w:overflowPunct/>
              <w:topLinePunct w:val="0"/>
              <w:autoSpaceDE/>
              <w:autoSpaceDN/>
              <w:bidi w:val="0"/>
              <w:adjustRightInd/>
              <w:snapToGrid w:val="0"/>
              <w:spacing w:line="300" w:lineRule="auto"/>
              <w:ind w:left="0" w:firstLine="0" w:leftChars="0" w:firstLineChars="0"/>
              <w:jc w:val="center"/>
              <w:textAlignment w:val="auto"/>
              <w:rPr>
                <w:rFonts w:ascii="Calibri" w:hAnsi="Calibri" w:cs="Calibri"/>
                <w:kern w:val="2"/>
                <w:sz w:val="21"/>
                <w:lang w:eastAsia="zh-CN"/>
              </w:rPr>
            </w:pPr>
          </w:p>
        </w:tc>
        <w:tc>
          <w:tcPr>
            <w:tcW w:w="1879" w:type="dxa"/>
            <w:vMerge/>
            <w:noWrap w:val="0"/>
            <w:vAlign w:val="center"/>
          </w:tcPr>
          <w:p>
            <w:pPr>
              <w:keepNext w:val="0"/>
              <w:keepLines w:val="0"/>
              <w:pageBreakBefore w:val="0"/>
              <w:widowControl/>
              <w:kinsoku/>
              <w:wordWrap/>
              <w:overflowPunct/>
              <w:topLinePunct w:val="0"/>
              <w:autoSpaceDE/>
              <w:autoSpaceDN/>
              <w:bidi w:val="0"/>
              <w:adjustRightInd/>
              <w:snapToGrid w:val="0"/>
              <w:spacing w:line="300" w:lineRule="auto"/>
              <w:ind w:left="0" w:firstLine="0" w:leftChars="0" w:firstLineChars="0"/>
              <w:textAlignment w:val="auto"/>
              <w:rPr>
                <w:rFonts w:ascii="Calibri" w:hAnsi="Calibri" w:cs="Calibri"/>
                <w:kern w:val="2"/>
                <w:sz w:val="21"/>
                <w:lang w:eastAsia="zh-CN"/>
              </w:rPr>
            </w:pPr>
          </w:p>
        </w:tc>
        <w:tc>
          <w:tcPr>
            <w:tcW w:w="5748"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ascii="Calibri" w:hAnsi="Calibri" w:cs="Calibri"/>
                <w:sz w:val="21"/>
                <w:szCs w:val="21"/>
                <w:lang w:eastAsia="zh-CN"/>
              </w:rPr>
            </w:pPr>
            <w:r>
              <w:rPr>
                <w:rFonts w:cs="Calibri" w:hint="eastAsia"/>
                <w:sz w:val="21"/>
                <w:szCs w:val="21"/>
                <w:lang w:eastAsia="zh-CN"/>
              </w:rPr>
              <w:t>（3）</w:t>
            </w:r>
            <w:r>
              <w:rPr>
                <w:rFonts w:ascii="Calibri" w:hAnsi="Calibri" w:cs="Calibri"/>
                <w:sz w:val="21"/>
                <w:szCs w:val="21"/>
                <w:lang w:eastAsia="zh-CN"/>
              </w:rPr>
              <w:t>收尾工作。对现场进行检查，做好清理工作。</w:t>
            </w:r>
          </w:p>
        </w:tc>
      </w:tr>
      <w:tr>
        <w:tblPrEx>
          <w:tblW w:w="5000" w:type="pct"/>
          <w:tblInd w:w="0" w:type="dxa"/>
          <w:tblLayout w:type="fixed"/>
          <w:tblCellMar>
            <w:top w:w="0" w:type="dxa"/>
            <w:left w:w="108" w:type="dxa"/>
            <w:bottom w:w="0" w:type="dxa"/>
            <w:right w:w="108" w:type="dxa"/>
          </w:tblCellMar>
        </w:tblPrEx>
        <w:trPr>
          <w:trHeight w:val="454"/>
        </w:trPr>
        <w:tc>
          <w:tcPr>
            <w:tcW w:w="829" w:type="dxa"/>
            <w:vMerge w:val="restart"/>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firstLine="0" w:leftChars="0" w:firstLineChars="0"/>
              <w:jc w:val="center"/>
              <w:textAlignment w:val="auto"/>
              <w:rPr>
                <w:rFonts w:ascii="Calibri" w:hAnsi="Calibri" w:cs="Calibri"/>
                <w:sz w:val="21"/>
                <w:szCs w:val="21"/>
                <w:lang w:eastAsia="zh-CN"/>
              </w:rPr>
            </w:pPr>
            <w:r>
              <w:rPr>
                <w:rFonts w:ascii="Calibri" w:hAnsi="Calibri" w:cs="Calibri" w:hint="eastAsia"/>
                <w:sz w:val="21"/>
                <w:szCs w:val="21"/>
                <w:lang w:eastAsia="zh-CN"/>
              </w:rPr>
              <w:t>9</w:t>
            </w:r>
          </w:p>
        </w:tc>
        <w:tc>
          <w:tcPr>
            <w:tcW w:w="1879" w:type="dxa"/>
            <w:vMerge w:val="restart"/>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firstLine="0" w:leftChars="0" w:firstLineChars="0"/>
              <w:textAlignment w:val="auto"/>
              <w:rPr>
                <w:rFonts w:ascii="Calibri" w:hAnsi="Calibri" w:cs="Calibri"/>
                <w:kern w:val="2"/>
                <w:sz w:val="21"/>
                <w:lang w:eastAsia="zh-CN"/>
              </w:rPr>
            </w:pPr>
            <w:r>
              <w:rPr>
                <w:rFonts w:ascii="Calibri" w:hAnsi="Calibri" w:cs="Calibri"/>
                <w:sz w:val="21"/>
                <w:szCs w:val="21"/>
                <w:lang w:eastAsia="zh-CN"/>
              </w:rPr>
              <w:t>应急保障预案</w:t>
            </w:r>
          </w:p>
        </w:tc>
        <w:tc>
          <w:tcPr>
            <w:tcW w:w="574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firstLine="0"/>
              <w:jc w:val="left"/>
              <w:textAlignment w:val="auto"/>
              <w:rPr>
                <w:rFonts w:ascii="Calibri" w:hAnsi="Calibri" w:cs="Calibri"/>
                <w:kern w:val="2"/>
                <w:sz w:val="21"/>
                <w:szCs w:val="21"/>
                <w:lang w:eastAsia="zh-CN"/>
              </w:rPr>
            </w:pPr>
            <w:r>
              <w:rPr>
                <w:rFonts w:cs="Calibri" w:hint="eastAsia"/>
                <w:sz w:val="21"/>
                <w:szCs w:val="21"/>
                <w:lang w:eastAsia="zh-CN"/>
              </w:rPr>
              <w:t>（1）</w:t>
            </w:r>
            <w:r>
              <w:rPr>
                <w:rFonts w:ascii="Calibri" w:hAnsi="Calibri" w:cs="Calibri"/>
                <w:kern w:val="2"/>
                <w:sz w:val="21"/>
                <w:szCs w:val="21"/>
                <w:lang w:eastAsia="zh-CN"/>
              </w:rPr>
              <w:t>重点区域及安全隐患排查。结合项目的实际情况，对重点部位及危险隐患进行排查，并建立清单/台账；应</w:t>
            </w:r>
            <w:r>
              <w:rPr>
                <w:rFonts w:cs="Calibri" w:hint="eastAsia"/>
                <w:kern w:val="2"/>
                <w:sz w:val="21"/>
                <w:szCs w:val="21"/>
                <w:lang w:eastAsia="zh-CN"/>
              </w:rPr>
              <w:t>当</w:t>
            </w:r>
            <w:r>
              <w:rPr>
                <w:rFonts w:ascii="Calibri" w:hAnsi="Calibri" w:cs="Calibri"/>
                <w:kern w:val="2"/>
                <w:sz w:val="21"/>
                <w:szCs w:val="21"/>
                <w:lang w:eastAsia="zh-CN"/>
              </w:rPr>
              <w:t>对危险隐患进行风险分析，制定相应措施进行控制或整改并定期监控；随着设施设备、服务内容的变化，及时更新清单/台账，使风险隐患始终处于受控状态</w:t>
            </w:r>
            <w:r>
              <w:rPr>
                <w:rFonts w:cs="Calibri" w:hint="eastAsia"/>
                <w:kern w:val="2"/>
                <w:sz w:val="21"/>
                <w:szCs w:val="21"/>
                <w:lang w:eastAsia="zh-CN"/>
              </w:rPr>
              <w:t>。</w:t>
            </w:r>
          </w:p>
        </w:tc>
      </w:tr>
      <w:tr>
        <w:tblPrEx>
          <w:tblW w:w="5000" w:type="pct"/>
          <w:tblInd w:w="0" w:type="dxa"/>
          <w:tblLayout w:type="fixed"/>
          <w:tblCellMar>
            <w:top w:w="0" w:type="dxa"/>
            <w:left w:w="108" w:type="dxa"/>
            <w:bottom w:w="0" w:type="dxa"/>
            <w:right w:w="108" w:type="dxa"/>
          </w:tblCellMar>
        </w:tblPrEx>
        <w:trPr>
          <w:trHeight w:val="454"/>
        </w:trPr>
        <w:tc>
          <w:tcPr>
            <w:tcW w:w="829" w:type="dxa"/>
            <w:vMerg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firstLine="0" w:leftChars="0" w:firstLineChars="0"/>
              <w:jc w:val="center"/>
              <w:textAlignment w:val="auto"/>
              <w:rPr>
                <w:rFonts w:ascii="Calibri" w:hAnsi="Calibri" w:cs="Calibri"/>
                <w:sz w:val="21"/>
                <w:szCs w:val="21"/>
                <w:lang w:eastAsia="zh-CN"/>
              </w:rPr>
            </w:pPr>
          </w:p>
        </w:tc>
        <w:tc>
          <w:tcPr>
            <w:tcW w:w="1879" w:type="dxa"/>
            <w:vMerg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firstLine="0" w:leftChars="0" w:firstLineChars="0"/>
              <w:textAlignment w:val="auto"/>
              <w:rPr>
                <w:rFonts w:ascii="Calibri" w:hAnsi="Calibri" w:cs="Calibri"/>
                <w:sz w:val="21"/>
                <w:szCs w:val="21"/>
                <w:lang w:eastAsia="zh-CN"/>
              </w:rPr>
            </w:pPr>
          </w:p>
        </w:tc>
        <w:tc>
          <w:tcPr>
            <w:tcW w:w="574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firstLine="0"/>
              <w:jc w:val="left"/>
              <w:textAlignment w:val="auto"/>
              <w:rPr>
                <w:rFonts w:ascii="Calibri" w:hAnsi="Calibri" w:cs="Calibri"/>
                <w:kern w:val="2"/>
                <w:sz w:val="21"/>
                <w:szCs w:val="21"/>
                <w:lang w:eastAsia="zh-CN"/>
              </w:rPr>
            </w:pPr>
            <w:r>
              <w:rPr>
                <w:rFonts w:cs="Calibri" w:hint="eastAsia"/>
                <w:sz w:val="21"/>
                <w:szCs w:val="21"/>
                <w:lang w:eastAsia="zh-CN"/>
              </w:rPr>
              <w:t>（2）</w:t>
            </w:r>
            <w:r>
              <w:rPr>
                <w:rFonts w:ascii="Calibri" w:hAnsi="Calibri" w:cs="Calibri"/>
                <w:kern w:val="2"/>
                <w:sz w:val="21"/>
                <w:szCs w:val="21"/>
                <w:lang w:eastAsia="zh-CN"/>
              </w:rPr>
              <w:t>应急预案的建立。根据办公楼隐患排查的结果和实际情况，制定专项预案，包括但不限于：火情火警紧急处理应急预案、紧急疏散应急预案、</w:t>
            </w:r>
            <w:r>
              <w:rPr>
                <w:rFonts w:cs="Calibri" w:hint="eastAsia"/>
                <w:kern w:val="2"/>
                <w:sz w:val="21"/>
                <w:szCs w:val="21"/>
                <w:lang w:eastAsia="zh-CN"/>
              </w:rPr>
              <w:t>停水</w:t>
            </w:r>
            <w:r>
              <w:rPr>
                <w:rFonts w:ascii="Calibri" w:hAnsi="Calibri" w:cs="Calibri"/>
                <w:kern w:val="2"/>
                <w:sz w:val="21"/>
                <w:szCs w:val="21"/>
                <w:lang w:eastAsia="zh-CN"/>
              </w:rPr>
              <w:t>停电应急预案、有限空间救援应急预案、高空作业救援应急预案、恶劣天气应对应急预案等</w:t>
            </w:r>
            <w:r>
              <w:rPr>
                <w:rFonts w:cs="Calibri" w:hint="eastAsia"/>
                <w:kern w:val="2"/>
                <w:sz w:val="21"/>
                <w:szCs w:val="21"/>
                <w:lang w:eastAsia="zh-CN"/>
              </w:rPr>
              <w:t>。</w:t>
            </w:r>
          </w:p>
        </w:tc>
      </w:tr>
      <w:tr>
        <w:tblPrEx>
          <w:tblW w:w="5000" w:type="pct"/>
          <w:tblInd w:w="0" w:type="dxa"/>
          <w:tblLayout w:type="fixed"/>
          <w:tblCellMar>
            <w:top w:w="0" w:type="dxa"/>
            <w:left w:w="108" w:type="dxa"/>
            <w:bottom w:w="0" w:type="dxa"/>
            <w:right w:w="108" w:type="dxa"/>
          </w:tblCellMar>
        </w:tblPrEx>
        <w:trPr>
          <w:trHeight w:val="454"/>
        </w:trPr>
        <w:tc>
          <w:tcPr>
            <w:tcW w:w="829" w:type="dxa"/>
            <w:vMerg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firstLine="0" w:leftChars="0" w:firstLineChars="0"/>
              <w:jc w:val="center"/>
              <w:textAlignment w:val="auto"/>
              <w:rPr>
                <w:rFonts w:ascii="Calibri" w:hAnsi="Calibri" w:cs="Calibri"/>
                <w:sz w:val="21"/>
                <w:szCs w:val="21"/>
                <w:lang w:eastAsia="zh-CN"/>
              </w:rPr>
            </w:pPr>
          </w:p>
        </w:tc>
        <w:tc>
          <w:tcPr>
            <w:tcW w:w="1879" w:type="dxa"/>
            <w:vMerg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firstLine="0" w:leftChars="0" w:firstLineChars="0"/>
              <w:textAlignment w:val="auto"/>
              <w:rPr>
                <w:rFonts w:ascii="Calibri" w:hAnsi="Calibri" w:cs="Calibri"/>
                <w:sz w:val="21"/>
                <w:szCs w:val="21"/>
                <w:lang w:eastAsia="zh-CN"/>
              </w:rPr>
            </w:pPr>
          </w:p>
        </w:tc>
        <w:tc>
          <w:tcPr>
            <w:tcW w:w="574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firstLine="0"/>
              <w:jc w:val="left"/>
              <w:textAlignment w:val="auto"/>
              <w:rPr>
                <w:rFonts w:ascii="Calibri" w:hAnsi="Calibri" w:cs="Calibri"/>
                <w:kern w:val="2"/>
                <w:sz w:val="21"/>
                <w:szCs w:val="21"/>
                <w:lang w:eastAsia="zh-CN"/>
              </w:rPr>
            </w:pPr>
            <w:r>
              <w:rPr>
                <w:rFonts w:cs="Calibri" w:hint="eastAsia"/>
                <w:sz w:val="21"/>
                <w:szCs w:val="21"/>
                <w:lang w:eastAsia="zh-CN"/>
              </w:rPr>
              <w:t>（3）</w:t>
            </w:r>
            <w:r>
              <w:rPr>
                <w:rFonts w:ascii="Calibri" w:hAnsi="Calibri" w:cs="Calibri"/>
                <w:kern w:val="2"/>
                <w:sz w:val="21"/>
                <w:szCs w:val="21"/>
                <w:lang w:eastAsia="zh-CN"/>
              </w:rPr>
              <w:t>应急预案的培训和演练。应急预案定期培训和演练，组织相关岗位每半年至少开展一次专项应急预案演练；留存培训及演练记录和影像资料，并对预案进行评价，确保与实际情况相结合</w:t>
            </w:r>
            <w:r>
              <w:rPr>
                <w:rFonts w:cs="Calibri" w:hint="eastAsia"/>
                <w:kern w:val="2"/>
                <w:sz w:val="21"/>
                <w:szCs w:val="21"/>
                <w:lang w:eastAsia="zh-CN"/>
              </w:rPr>
              <w:t>。</w:t>
            </w:r>
          </w:p>
        </w:tc>
      </w:tr>
      <w:tr>
        <w:tblPrEx>
          <w:tblW w:w="5000" w:type="pct"/>
          <w:tblInd w:w="0" w:type="dxa"/>
          <w:tblLayout w:type="fixed"/>
          <w:tblCellMar>
            <w:top w:w="0" w:type="dxa"/>
            <w:left w:w="108" w:type="dxa"/>
            <w:bottom w:w="0" w:type="dxa"/>
            <w:right w:w="108" w:type="dxa"/>
          </w:tblCellMar>
        </w:tblPrEx>
        <w:trPr>
          <w:trHeight w:val="454"/>
        </w:trPr>
        <w:tc>
          <w:tcPr>
            <w:tcW w:w="829" w:type="dxa"/>
            <w:vMerg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firstLine="0" w:leftChars="0" w:firstLineChars="0"/>
              <w:jc w:val="center"/>
              <w:textAlignment w:val="auto"/>
              <w:rPr>
                <w:rFonts w:ascii="Calibri" w:hAnsi="Calibri" w:cs="Calibri"/>
                <w:sz w:val="21"/>
                <w:szCs w:val="21"/>
                <w:lang w:eastAsia="zh-CN"/>
              </w:rPr>
            </w:pPr>
          </w:p>
        </w:tc>
        <w:tc>
          <w:tcPr>
            <w:tcW w:w="1879" w:type="dxa"/>
            <w:vMerg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firstLine="0" w:leftChars="0" w:firstLineChars="0"/>
              <w:textAlignment w:val="auto"/>
              <w:rPr>
                <w:rFonts w:ascii="Calibri" w:hAnsi="Calibri" w:cs="Calibri"/>
                <w:kern w:val="2"/>
                <w:sz w:val="21"/>
                <w:lang w:eastAsia="zh-CN"/>
              </w:rPr>
            </w:pPr>
          </w:p>
        </w:tc>
        <w:tc>
          <w:tcPr>
            <w:tcW w:w="5748"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ascii="Calibri" w:hAnsi="Calibri" w:cs="Calibri"/>
                <w:sz w:val="21"/>
                <w:szCs w:val="21"/>
                <w:lang w:eastAsia="zh-CN"/>
              </w:rPr>
            </w:pPr>
            <w:r>
              <w:rPr>
                <w:rFonts w:cs="Calibri" w:hint="eastAsia"/>
                <w:sz w:val="21"/>
                <w:szCs w:val="21"/>
                <w:lang w:eastAsia="zh-CN"/>
              </w:rPr>
              <w:t>（4）</w:t>
            </w:r>
            <w:r>
              <w:rPr>
                <w:rFonts w:ascii="Calibri" w:hAnsi="Calibri" w:cs="Calibri"/>
                <w:kern w:val="2"/>
                <w:sz w:val="21"/>
                <w:szCs w:val="21"/>
                <w:lang w:eastAsia="zh-CN"/>
              </w:rPr>
              <w:t>应急物资的管理。根据专项预案中的应对需要</w:t>
            </w:r>
            <w:r>
              <w:rPr>
                <w:rFonts w:cs="Calibri" w:hint="eastAsia"/>
                <w:kern w:val="2"/>
                <w:sz w:val="21"/>
                <w:szCs w:val="21"/>
                <w:lang w:eastAsia="zh-CN"/>
              </w:rPr>
              <w:t>、</w:t>
            </w:r>
            <w:r>
              <w:rPr>
                <w:rFonts w:ascii="Calibri" w:hAnsi="Calibri" w:cs="Calibri"/>
                <w:kern w:val="2"/>
                <w:sz w:val="21"/>
                <w:szCs w:val="21"/>
                <w:lang w:eastAsia="zh-CN"/>
              </w:rPr>
              <w:t>必要的应急物资，建立清单或台账，并由专人定期对应急物资进行检查，</w:t>
            </w:r>
            <w:r>
              <w:rPr>
                <w:rFonts w:cs="Calibri" w:hint="eastAsia"/>
                <w:kern w:val="2"/>
                <w:sz w:val="21"/>
                <w:szCs w:val="21"/>
                <w:lang w:eastAsia="zh-CN"/>
              </w:rPr>
              <w:t>如有应急物资不足，及时通知采购人购置齐全，</w:t>
            </w:r>
            <w:r>
              <w:rPr>
                <w:rFonts w:ascii="Calibri" w:hAnsi="Calibri" w:cs="Calibri"/>
                <w:kern w:val="2"/>
                <w:sz w:val="21"/>
                <w:szCs w:val="21"/>
                <w:lang w:eastAsia="zh-CN"/>
              </w:rPr>
              <w:t>确保能够随时正常使用。</w:t>
            </w:r>
          </w:p>
        </w:tc>
      </w:tr>
      <w:tr>
        <w:tblPrEx>
          <w:tblW w:w="5000" w:type="pct"/>
          <w:tblInd w:w="0" w:type="dxa"/>
          <w:tblLayout w:type="fixed"/>
          <w:tblCellMar>
            <w:top w:w="0" w:type="dxa"/>
            <w:left w:w="108" w:type="dxa"/>
            <w:bottom w:w="0" w:type="dxa"/>
            <w:right w:w="108" w:type="dxa"/>
          </w:tblCellMar>
        </w:tblPrEx>
        <w:trPr>
          <w:trHeight w:val="454"/>
        </w:trPr>
        <w:tc>
          <w:tcPr>
            <w:tcW w:w="829" w:type="dxa"/>
            <w:vMerge w:val="restart"/>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firstLine="0" w:leftChars="0" w:firstLineChars="0"/>
              <w:jc w:val="center"/>
              <w:textAlignment w:val="auto"/>
              <w:rPr>
                <w:rFonts w:ascii="Calibri" w:hAnsi="Calibri" w:cs="Calibri"/>
                <w:kern w:val="2"/>
                <w:sz w:val="21"/>
                <w:lang w:eastAsia="zh-CN"/>
              </w:rPr>
            </w:pPr>
            <w:r>
              <w:rPr>
                <w:rFonts w:ascii="Calibri" w:hAnsi="Calibri" w:cs="Calibri" w:hint="eastAsia"/>
                <w:kern w:val="2"/>
                <w:sz w:val="21"/>
                <w:lang w:eastAsia="zh-CN"/>
              </w:rPr>
              <w:t>10</w:t>
            </w:r>
          </w:p>
        </w:tc>
        <w:tc>
          <w:tcPr>
            <w:tcW w:w="1879" w:type="dxa"/>
            <w:vMerge w:val="restart"/>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firstLine="0" w:leftChars="0" w:firstLineChars="0"/>
              <w:textAlignment w:val="auto"/>
              <w:rPr>
                <w:rFonts w:ascii="Calibri" w:hAnsi="Calibri" w:cs="Calibri"/>
                <w:kern w:val="2"/>
                <w:sz w:val="21"/>
                <w:lang w:eastAsia="zh-CN"/>
              </w:rPr>
            </w:pPr>
            <w:r>
              <w:rPr>
                <w:rFonts w:ascii="Calibri" w:hAnsi="Calibri" w:cs="Calibri"/>
                <w:kern w:val="2"/>
                <w:sz w:val="21"/>
                <w:lang w:eastAsia="zh-CN"/>
              </w:rPr>
              <w:t>服务方案</w:t>
            </w:r>
            <w:r>
              <w:rPr>
                <w:rFonts w:cs="Calibri" w:hint="eastAsia"/>
                <w:kern w:val="2"/>
                <w:sz w:val="21"/>
                <w:lang w:eastAsia="zh-CN"/>
              </w:rPr>
              <w:t>及工作制度</w:t>
            </w:r>
          </w:p>
        </w:tc>
        <w:tc>
          <w:tcPr>
            <w:tcW w:w="5748"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ascii="Calibri" w:hAnsi="Calibri" w:cs="Calibri"/>
                <w:bCs/>
                <w:kern w:val="2"/>
                <w:sz w:val="21"/>
                <w:szCs w:val="21"/>
                <w:lang w:eastAsia="zh-CN"/>
              </w:rPr>
            </w:pPr>
            <w:r>
              <w:rPr>
                <w:rFonts w:cs="Calibri" w:hint="eastAsia"/>
                <w:sz w:val="21"/>
                <w:szCs w:val="21"/>
                <w:lang w:eastAsia="zh-CN"/>
              </w:rPr>
              <w:t>（1）制定工作制度，</w:t>
            </w:r>
            <w:r>
              <w:rPr>
                <w:rFonts w:cs="Calibri" w:hint="eastAsia"/>
                <w:bCs/>
                <w:kern w:val="2"/>
                <w:sz w:val="21"/>
                <w:szCs w:val="21"/>
                <w:lang w:eastAsia="zh-CN"/>
              </w:rPr>
              <w:t>主要</w:t>
            </w:r>
            <w:r>
              <w:rPr>
                <w:rFonts w:ascii="Calibri" w:hAnsi="Calibri" w:cs="Calibri"/>
                <w:bCs/>
                <w:kern w:val="2"/>
                <w:sz w:val="21"/>
                <w:szCs w:val="21"/>
                <w:lang w:eastAsia="zh-CN"/>
              </w:rPr>
              <w:t>包括：</w:t>
            </w:r>
            <w:r>
              <w:rPr>
                <w:rFonts w:cs="Calibri" w:hint="eastAsia"/>
                <w:bCs/>
                <w:kern w:val="2"/>
                <w:sz w:val="21"/>
                <w:szCs w:val="21"/>
                <w:lang w:eastAsia="zh-CN"/>
              </w:rPr>
              <w:t>人员录用制度、</w:t>
            </w:r>
            <w:r>
              <w:rPr>
                <w:rFonts w:ascii="Calibri" w:hAnsi="Calibri" w:cs="Calibri"/>
                <w:sz w:val="21"/>
                <w:szCs w:val="21"/>
                <w:lang w:eastAsia="zh-CN"/>
              </w:rPr>
              <w:t>档案管理制度</w:t>
            </w:r>
            <w:r>
              <w:rPr>
                <w:rFonts w:cs="Calibri" w:hint="eastAsia"/>
                <w:sz w:val="21"/>
                <w:szCs w:val="21"/>
                <w:lang w:eastAsia="zh-CN"/>
              </w:rPr>
              <w:t>、</w:t>
            </w:r>
            <w:r>
              <w:rPr>
                <w:rFonts w:ascii="Calibri" w:hAnsi="Calibri" w:cs="Calibri"/>
                <w:bCs/>
                <w:kern w:val="2"/>
                <w:sz w:val="21"/>
                <w:szCs w:val="21"/>
                <w:lang w:eastAsia="zh-CN"/>
              </w:rPr>
              <w:t>物业服务管理制度</w:t>
            </w:r>
            <w:r>
              <w:rPr>
                <w:rFonts w:cs="Calibri" w:hint="eastAsia"/>
                <w:bCs/>
                <w:kern w:val="2"/>
                <w:sz w:val="21"/>
                <w:szCs w:val="21"/>
                <w:lang w:eastAsia="zh-CN"/>
              </w:rPr>
              <w:t>、</w:t>
            </w:r>
            <w:r>
              <w:rPr>
                <w:rFonts w:cs="Calibri" w:hint="eastAsia"/>
                <w:sz w:val="21"/>
                <w:szCs w:val="21"/>
                <w:lang w:eastAsia="zh-CN"/>
              </w:rPr>
              <w:t>公用设施设备</w:t>
            </w:r>
            <w:r>
              <w:rPr>
                <w:rFonts w:ascii="Calibri" w:hAnsi="Calibri" w:cs="Calibri" w:hint="eastAsia"/>
                <w:sz w:val="21"/>
                <w:szCs w:val="21"/>
                <w:lang w:eastAsia="zh-CN"/>
              </w:rPr>
              <w:t>相关管理制度</w:t>
            </w:r>
            <w:r>
              <w:rPr>
                <w:rFonts w:cs="Calibri" w:hint="eastAsia"/>
                <w:sz w:val="21"/>
                <w:szCs w:val="21"/>
                <w:lang w:eastAsia="zh-CN"/>
              </w:rPr>
              <w:t>等</w:t>
            </w:r>
            <w:r>
              <w:rPr>
                <w:rFonts w:cs="Calibri" w:hint="eastAsia"/>
                <w:bCs/>
                <w:kern w:val="2"/>
                <w:sz w:val="21"/>
                <w:szCs w:val="21"/>
                <w:lang w:eastAsia="zh-CN"/>
              </w:rPr>
              <w:t>。</w:t>
            </w:r>
          </w:p>
        </w:tc>
      </w:tr>
      <w:tr>
        <w:tblPrEx>
          <w:tblW w:w="5000" w:type="pct"/>
          <w:tblInd w:w="0" w:type="dxa"/>
          <w:tblLayout w:type="fixed"/>
          <w:tblCellMar>
            <w:top w:w="0" w:type="dxa"/>
            <w:left w:w="108" w:type="dxa"/>
            <w:bottom w:w="0" w:type="dxa"/>
            <w:right w:w="108" w:type="dxa"/>
          </w:tblCellMar>
        </w:tblPrEx>
        <w:trPr>
          <w:trHeight w:val="454"/>
        </w:trPr>
        <w:tc>
          <w:tcPr>
            <w:tcW w:w="829" w:type="dxa"/>
            <w:vMerg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firstLine="0" w:leftChars="0" w:firstLineChars="0"/>
              <w:jc w:val="center"/>
              <w:textAlignment w:val="auto"/>
              <w:rPr>
                <w:rFonts w:ascii="Calibri" w:hAnsi="Calibri" w:cs="Calibri"/>
                <w:kern w:val="2"/>
                <w:sz w:val="21"/>
                <w:lang w:eastAsia="zh-CN"/>
              </w:rPr>
            </w:pPr>
          </w:p>
        </w:tc>
        <w:tc>
          <w:tcPr>
            <w:tcW w:w="1879" w:type="dxa"/>
            <w:vMerg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firstLine="0" w:leftChars="0" w:firstLineChars="0"/>
              <w:textAlignment w:val="auto"/>
              <w:rPr>
                <w:rFonts w:ascii="Calibri" w:hAnsi="Calibri" w:cs="Calibri"/>
                <w:kern w:val="2"/>
                <w:sz w:val="21"/>
                <w:lang w:eastAsia="zh-CN"/>
              </w:rPr>
            </w:pPr>
          </w:p>
        </w:tc>
        <w:tc>
          <w:tcPr>
            <w:tcW w:w="5748"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ascii="Calibri" w:hAnsi="Calibri" w:cs="Calibri"/>
                <w:sz w:val="21"/>
                <w:szCs w:val="21"/>
                <w:lang w:eastAsia="zh-CN"/>
              </w:rPr>
            </w:pPr>
            <w:r>
              <w:rPr>
                <w:rFonts w:cs="Calibri" w:hint="eastAsia"/>
                <w:sz w:val="21"/>
                <w:szCs w:val="21"/>
                <w:lang w:eastAsia="zh-CN"/>
              </w:rPr>
              <w:t>（2）制定</w:t>
            </w:r>
            <w:r>
              <w:rPr>
                <w:rFonts w:ascii="Calibri" w:hAnsi="Calibri" w:cs="Calibri"/>
                <w:bCs/>
                <w:kern w:val="2"/>
                <w:sz w:val="21"/>
                <w:szCs w:val="21"/>
                <w:lang w:eastAsia="zh-CN"/>
              </w:rPr>
              <w:t>项目实施方案</w:t>
            </w:r>
            <w:r>
              <w:rPr>
                <w:rFonts w:cs="Calibri" w:hint="eastAsia"/>
                <w:bCs/>
                <w:kern w:val="2"/>
                <w:sz w:val="21"/>
                <w:szCs w:val="21"/>
                <w:lang w:eastAsia="zh-CN"/>
              </w:rPr>
              <w:t>，主要</w:t>
            </w:r>
            <w:r>
              <w:rPr>
                <w:rFonts w:ascii="Calibri" w:hAnsi="Calibri" w:cs="Calibri"/>
                <w:bCs/>
                <w:kern w:val="2"/>
                <w:sz w:val="21"/>
                <w:szCs w:val="21"/>
                <w:lang w:eastAsia="zh-CN"/>
              </w:rPr>
              <w:t>包括：</w:t>
            </w:r>
            <w:r>
              <w:rPr>
                <w:rFonts w:cs="Calibri" w:hint="eastAsia"/>
                <w:bCs/>
                <w:kern w:val="2"/>
                <w:sz w:val="21"/>
                <w:szCs w:val="21"/>
                <w:lang w:eastAsia="zh-CN"/>
              </w:rPr>
              <w:t>交接</w:t>
            </w:r>
            <w:r>
              <w:rPr>
                <w:rFonts w:ascii="Calibri" w:hAnsi="Calibri" w:cs="Calibri"/>
                <w:bCs/>
                <w:kern w:val="2"/>
                <w:sz w:val="21"/>
                <w:szCs w:val="21"/>
                <w:lang w:eastAsia="zh-CN"/>
              </w:rPr>
              <w:t>方案、人员培训方案、人员稳定性方案、保密方案</w:t>
            </w:r>
            <w:r>
              <w:rPr>
                <w:rFonts w:cs="Calibri" w:hint="eastAsia"/>
                <w:bCs/>
                <w:kern w:val="2"/>
                <w:sz w:val="21"/>
                <w:szCs w:val="21"/>
                <w:lang w:eastAsia="zh-CN"/>
              </w:rPr>
              <w:t>等</w:t>
            </w:r>
            <w:r>
              <w:rPr>
                <w:rFonts w:ascii="Calibri" w:hAnsi="Calibri" w:cs="Calibri"/>
                <w:bCs/>
                <w:kern w:val="2"/>
                <w:sz w:val="21"/>
                <w:szCs w:val="21"/>
                <w:lang w:eastAsia="zh-CN"/>
              </w:rPr>
              <w:t>。</w:t>
            </w:r>
          </w:p>
        </w:tc>
      </w:tr>
      <w:tr>
        <w:tblPrEx>
          <w:tblW w:w="5000" w:type="pct"/>
          <w:tblInd w:w="0" w:type="dxa"/>
          <w:tblLayout w:type="fixed"/>
          <w:tblCellMar>
            <w:top w:w="0" w:type="dxa"/>
            <w:left w:w="108" w:type="dxa"/>
            <w:bottom w:w="0" w:type="dxa"/>
            <w:right w:w="108" w:type="dxa"/>
          </w:tblCellMar>
        </w:tblPrEx>
        <w:trPr>
          <w:trHeight w:val="454"/>
        </w:trPr>
        <w:tc>
          <w:tcPr>
            <w:tcW w:w="829" w:type="dxa"/>
            <w:vMerg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firstLine="0" w:leftChars="0" w:firstLineChars="0"/>
              <w:jc w:val="center"/>
              <w:textAlignment w:val="auto"/>
              <w:rPr>
                <w:rFonts w:ascii="Calibri" w:hAnsi="Calibri" w:cs="Calibri"/>
                <w:kern w:val="2"/>
                <w:sz w:val="21"/>
                <w:lang w:eastAsia="zh-CN"/>
              </w:rPr>
            </w:pPr>
          </w:p>
        </w:tc>
        <w:tc>
          <w:tcPr>
            <w:tcW w:w="1879" w:type="dxa"/>
            <w:vMerg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firstLine="0" w:leftChars="0" w:firstLineChars="0"/>
              <w:textAlignment w:val="auto"/>
              <w:rPr>
                <w:rFonts w:ascii="Calibri" w:hAnsi="Calibri" w:cs="Calibri"/>
                <w:kern w:val="2"/>
                <w:sz w:val="21"/>
                <w:lang w:eastAsia="zh-CN"/>
              </w:rPr>
            </w:pPr>
          </w:p>
        </w:tc>
        <w:tc>
          <w:tcPr>
            <w:tcW w:w="5748"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ascii="Calibri" w:hAnsi="Calibri" w:cs="Calibri"/>
                <w:sz w:val="21"/>
                <w:szCs w:val="21"/>
                <w:lang w:eastAsia="zh-CN"/>
              </w:rPr>
            </w:pPr>
            <w:r>
              <w:rPr>
                <w:rFonts w:cs="Calibri" w:hint="eastAsia"/>
                <w:sz w:val="21"/>
                <w:szCs w:val="21"/>
                <w:lang w:eastAsia="zh-CN"/>
              </w:rPr>
              <w:t>（3）制定</w:t>
            </w:r>
            <w:r>
              <w:rPr>
                <w:rFonts w:ascii="Calibri" w:hAnsi="Calibri" w:cs="Calibri"/>
                <w:bCs/>
                <w:kern w:val="2"/>
                <w:sz w:val="21"/>
                <w:szCs w:val="21"/>
                <w:lang w:eastAsia="zh-CN"/>
              </w:rPr>
              <w:t>物业服务方案</w:t>
            </w:r>
            <w:r>
              <w:rPr>
                <w:rFonts w:cs="Calibri" w:hint="eastAsia"/>
                <w:bCs/>
                <w:kern w:val="2"/>
                <w:sz w:val="21"/>
                <w:szCs w:val="21"/>
                <w:lang w:eastAsia="zh-CN"/>
              </w:rPr>
              <w:t>，主要</w:t>
            </w:r>
            <w:r>
              <w:rPr>
                <w:rFonts w:ascii="Calibri" w:hAnsi="Calibri" w:cs="Calibri"/>
                <w:bCs/>
                <w:kern w:val="2"/>
                <w:sz w:val="21"/>
                <w:szCs w:val="21"/>
                <w:lang w:eastAsia="zh-CN"/>
              </w:rPr>
              <w:t>包括：</w:t>
            </w:r>
            <w:r>
              <w:rPr>
                <w:rFonts w:cs="Calibri" w:hint="eastAsia"/>
                <w:bCs/>
                <w:kern w:val="2"/>
                <w:sz w:val="21"/>
                <w:szCs w:val="21"/>
                <w:lang w:eastAsia="zh-CN"/>
              </w:rPr>
              <w:t>房屋维护服务方案、公用设施设备维护服务方案、</w:t>
            </w:r>
            <w:r>
              <w:rPr>
                <w:rFonts w:ascii="Calibri" w:hAnsi="Calibri" w:cs="Calibri"/>
                <w:bCs/>
                <w:kern w:val="2"/>
                <w:sz w:val="21"/>
                <w:szCs w:val="21"/>
                <w:lang w:eastAsia="zh-CN"/>
              </w:rPr>
              <w:t>绿化</w:t>
            </w:r>
            <w:r>
              <w:rPr>
                <w:rFonts w:ascii="Calibri" w:hAnsi="Calibri" w:cs="Calibri"/>
                <w:bCs/>
                <w:kern w:val="2"/>
                <w:sz w:val="21"/>
                <w:szCs w:val="21"/>
                <w:lang w:eastAsia="zh-CN"/>
              </w:rPr>
              <w:t>服务</w:t>
            </w:r>
            <w:r>
              <w:rPr>
                <w:rFonts w:ascii="Calibri" w:hAnsi="Calibri" w:cs="Calibri"/>
                <w:bCs/>
                <w:kern w:val="2"/>
                <w:sz w:val="21"/>
                <w:szCs w:val="21"/>
                <w:lang w:eastAsia="zh-CN"/>
              </w:rPr>
              <w:t>方案</w:t>
            </w:r>
            <w:r>
              <w:rPr>
                <w:rFonts w:cs="Calibri" w:hint="eastAsia"/>
                <w:bCs/>
                <w:kern w:val="2"/>
                <w:sz w:val="21"/>
                <w:szCs w:val="21"/>
                <w:lang w:eastAsia="zh-CN"/>
              </w:rPr>
              <w:t>、</w:t>
            </w:r>
            <w:r>
              <w:rPr>
                <w:rFonts w:ascii="Calibri" w:hAnsi="Calibri" w:cs="Calibri"/>
                <w:bCs/>
                <w:kern w:val="2"/>
                <w:sz w:val="21"/>
                <w:szCs w:val="21"/>
                <w:lang w:eastAsia="zh-CN"/>
              </w:rPr>
              <w:t>保洁服务方案、</w:t>
            </w:r>
            <w:r>
              <w:rPr>
                <w:rFonts w:cs="Calibri" w:hint="eastAsia"/>
                <w:bCs/>
                <w:kern w:val="2"/>
                <w:sz w:val="21"/>
                <w:szCs w:val="21"/>
                <w:lang w:eastAsia="zh-CN"/>
              </w:rPr>
              <w:t>保安</w:t>
            </w:r>
            <w:r>
              <w:rPr>
                <w:rFonts w:ascii="Calibri" w:hAnsi="Calibri" w:cs="Calibri"/>
                <w:bCs/>
                <w:kern w:val="2"/>
                <w:sz w:val="21"/>
                <w:szCs w:val="21"/>
                <w:lang w:eastAsia="zh-CN"/>
              </w:rPr>
              <w:t>服务方案</w:t>
            </w:r>
            <w:r>
              <w:rPr>
                <w:rFonts w:cs="Calibri" w:hint="eastAsia"/>
                <w:bCs/>
                <w:kern w:val="2"/>
                <w:sz w:val="21"/>
                <w:szCs w:val="21"/>
                <w:lang w:eastAsia="zh-CN"/>
              </w:rPr>
              <w:t>等</w:t>
            </w:r>
            <w:r>
              <w:rPr>
                <w:rFonts w:ascii="Calibri" w:hAnsi="Calibri" w:cs="Calibri"/>
                <w:bCs/>
                <w:kern w:val="2"/>
                <w:sz w:val="21"/>
                <w:szCs w:val="21"/>
                <w:lang w:eastAsia="zh-CN"/>
              </w:rPr>
              <w:t>。</w:t>
            </w:r>
          </w:p>
        </w:tc>
      </w:tr>
      <w:tr>
        <w:tblPrEx>
          <w:tblW w:w="5000" w:type="pct"/>
          <w:tblInd w:w="0" w:type="dxa"/>
          <w:tblLayout w:type="fixed"/>
          <w:tblCellMar>
            <w:top w:w="0" w:type="dxa"/>
            <w:left w:w="108" w:type="dxa"/>
            <w:bottom w:w="0" w:type="dxa"/>
            <w:right w:w="108" w:type="dxa"/>
          </w:tblCellMar>
        </w:tblPrEx>
        <w:trPr>
          <w:trHeight w:val="454"/>
        </w:trPr>
        <w:tc>
          <w:tcPr>
            <w:tcW w:w="829" w:type="dxa"/>
            <w:vMerge w:val="restart"/>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firstLine="0" w:leftChars="0" w:firstLineChars="0"/>
              <w:jc w:val="center"/>
              <w:textAlignment w:val="auto"/>
              <w:rPr>
                <w:rFonts w:cs="Calibri"/>
                <w:kern w:val="2"/>
                <w:sz w:val="21"/>
                <w:lang w:eastAsia="zh-CN"/>
              </w:rPr>
            </w:pPr>
            <w:r>
              <w:rPr>
                <w:rFonts w:cs="Calibri" w:hint="eastAsia"/>
                <w:kern w:val="2"/>
                <w:sz w:val="21"/>
                <w:lang w:eastAsia="zh-CN"/>
              </w:rPr>
              <w:t>11</w:t>
            </w:r>
          </w:p>
        </w:tc>
        <w:tc>
          <w:tcPr>
            <w:tcW w:w="1879" w:type="dxa"/>
            <w:vMerge w:val="restart"/>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firstLine="0" w:leftChars="0" w:firstLineChars="0"/>
              <w:textAlignment w:val="auto"/>
              <w:rPr>
                <w:kern w:val="2"/>
                <w:sz w:val="21"/>
                <w:lang w:eastAsia="zh-CN"/>
              </w:rPr>
            </w:pPr>
            <w:r>
              <w:rPr>
                <w:kern w:val="2"/>
                <w:sz w:val="21"/>
                <w:lang w:eastAsia="zh-CN"/>
              </w:rPr>
              <w:t>服务</w:t>
            </w:r>
            <w:r>
              <w:rPr>
                <w:rFonts w:hint="eastAsia"/>
                <w:kern w:val="2"/>
                <w:sz w:val="21"/>
                <w:lang w:eastAsia="zh-CN"/>
              </w:rPr>
              <w:t>热线及紧急维修</w:t>
            </w:r>
          </w:p>
        </w:tc>
        <w:tc>
          <w:tcPr>
            <w:tcW w:w="5748"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ascii="Calibri" w:hAnsi="Calibri" w:cs="Calibri"/>
                <w:sz w:val="21"/>
                <w:szCs w:val="21"/>
                <w:lang w:eastAsia="zh-CN"/>
              </w:rPr>
            </w:pPr>
            <w:r>
              <w:rPr>
                <w:rFonts w:cs="Calibri" w:hint="eastAsia"/>
                <w:sz w:val="21"/>
                <w:szCs w:val="21"/>
                <w:lang w:eastAsia="zh-CN"/>
              </w:rPr>
              <w:t>（1）</w:t>
            </w:r>
            <w:r>
              <w:rPr>
                <w:rFonts w:ascii="Calibri" w:hAnsi="Calibri" w:cs="Calibri" w:hint="eastAsia"/>
                <w:sz w:val="21"/>
                <w:szCs w:val="21"/>
                <w:lang w:eastAsia="zh-CN"/>
              </w:rPr>
              <w:t>设置</w:t>
            </w:r>
            <w:r>
              <w:rPr>
                <w:rFonts w:cs="Calibri" w:hint="eastAsia"/>
                <w:sz w:val="21"/>
                <w:szCs w:val="21"/>
                <w:lang w:eastAsia="zh-CN"/>
              </w:rPr>
              <w:t>24小时</w:t>
            </w:r>
            <w:r>
              <w:rPr>
                <w:rFonts w:ascii="Calibri" w:hAnsi="Calibri" w:cs="Calibri" w:hint="eastAsia"/>
                <w:sz w:val="21"/>
                <w:szCs w:val="21"/>
                <w:lang w:eastAsia="zh-CN"/>
              </w:rPr>
              <w:t>报修服务热线</w:t>
            </w:r>
            <w:r>
              <w:rPr>
                <w:rFonts w:cs="Calibri" w:hint="eastAsia"/>
                <w:sz w:val="21"/>
                <w:szCs w:val="21"/>
                <w:lang w:eastAsia="zh-CN"/>
              </w:rPr>
              <w:t>。</w:t>
            </w:r>
          </w:p>
        </w:tc>
      </w:tr>
      <w:tr>
        <w:tblPrEx>
          <w:tblW w:w="5000" w:type="pct"/>
          <w:tblInd w:w="0" w:type="dxa"/>
          <w:tblLayout w:type="fixed"/>
          <w:tblCellMar>
            <w:top w:w="0" w:type="dxa"/>
            <w:left w:w="108" w:type="dxa"/>
            <w:bottom w:w="0" w:type="dxa"/>
            <w:right w:w="108" w:type="dxa"/>
          </w:tblCellMar>
        </w:tblPrEx>
        <w:trPr>
          <w:trHeight w:val="454"/>
        </w:trPr>
        <w:tc>
          <w:tcPr>
            <w:tcW w:w="829" w:type="dxa"/>
            <w:vMerg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firstLine="0" w:leftChars="0" w:firstLineChars="0"/>
              <w:jc w:val="center"/>
              <w:textAlignment w:val="auto"/>
              <w:rPr>
                <w:rFonts w:cs="Calibri" w:hint="eastAsia"/>
                <w:kern w:val="2"/>
                <w:sz w:val="21"/>
                <w:lang w:eastAsia="zh-CN"/>
              </w:rPr>
            </w:pPr>
          </w:p>
        </w:tc>
        <w:tc>
          <w:tcPr>
            <w:tcW w:w="1879" w:type="dxa"/>
            <w:vMerg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firstLine="0" w:leftChars="0" w:firstLineChars="0"/>
              <w:textAlignment w:val="auto"/>
              <w:rPr>
                <w:kern w:val="2"/>
                <w:sz w:val="21"/>
                <w:lang w:eastAsia="zh-CN"/>
              </w:rPr>
            </w:pPr>
          </w:p>
        </w:tc>
        <w:tc>
          <w:tcPr>
            <w:tcW w:w="5748"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ascii="Calibri" w:hAnsi="Calibri" w:cs="Calibri"/>
                <w:sz w:val="21"/>
                <w:szCs w:val="21"/>
                <w:lang w:eastAsia="zh-CN"/>
              </w:rPr>
            </w:pPr>
            <w:r>
              <w:rPr>
                <w:rFonts w:cs="Calibri" w:hint="eastAsia"/>
                <w:sz w:val="21"/>
                <w:szCs w:val="21"/>
                <w:lang w:eastAsia="zh-CN"/>
              </w:rPr>
              <w:t>（2）</w:t>
            </w:r>
            <w:r>
              <w:rPr>
                <w:rFonts w:ascii="Calibri" w:hAnsi="Calibri" w:cs="Calibri"/>
                <w:kern w:val="2"/>
                <w:sz w:val="21"/>
                <w:szCs w:val="21"/>
                <w:lang w:eastAsia="zh-CN"/>
              </w:rPr>
              <w:t>紧急维修</w:t>
            </w:r>
            <w:r>
              <w:rPr>
                <w:rFonts w:cs="Calibri" w:hint="eastAsia"/>
                <w:kern w:val="2"/>
                <w:sz w:val="21"/>
                <w:szCs w:val="21"/>
                <w:lang w:eastAsia="zh-CN"/>
              </w:rPr>
              <w:t>应当</w:t>
            </w:r>
            <w:r>
              <w:rPr>
                <w:rFonts w:ascii="Calibri" w:hAnsi="Calibri" w:cs="Calibri"/>
                <w:kern w:val="2"/>
                <w:sz w:val="21"/>
                <w:szCs w:val="21"/>
                <w:lang w:eastAsia="zh-CN"/>
              </w:rPr>
              <w:t>15分钟内到达现场</w:t>
            </w:r>
            <w:r>
              <w:rPr>
                <w:rFonts w:cs="Calibri" w:hint="eastAsia"/>
                <w:kern w:val="2"/>
                <w:sz w:val="21"/>
                <w:szCs w:val="21"/>
                <w:lang w:eastAsia="zh-CN"/>
              </w:rPr>
              <w:t>，不间断维修直至修复。</w:t>
            </w:r>
          </w:p>
        </w:tc>
      </w:tr>
      <w:tr>
        <w:tblPrEx>
          <w:tblW w:w="5000" w:type="pct"/>
          <w:tblInd w:w="0" w:type="dxa"/>
          <w:tblLayout w:type="fixed"/>
          <w:tblCellMar>
            <w:top w:w="0" w:type="dxa"/>
            <w:left w:w="108" w:type="dxa"/>
            <w:bottom w:w="0" w:type="dxa"/>
            <w:right w:w="108" w:type="dxa"/>
          </w:tblCellMar>
        </w:tblPrEx>
        <w:trPr>
          <w:trHeight w:val="454"/>
        </w:trPr>
        <w:tc>
          <w:tcPr>
            <w:tcW w:w="829"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firstLine="0" w:leftChars="0" w:firstLineChars="0"/>
              <w:jc w:val="center"/>
              <w:textAlignment w:val="auto"/>
              <w:rPr>
                <w:rFonts w:cs="Calibri"/>
                <w:kern w:val="2"/>
                <w:sz w:val="21"/>
                <w:lang w:eastAsia="zh-CN"/>
              </w:rPr>
            </w:pPr>
            <w:r>
              <w:rPr>
                <w:rFonts w:cs="Calibri" w:hint="eastAsia"/>
                <w:kern w:val="2"/>
                <w:sz w:val="21"/>
                <w:lang w:eastAsia="zh-CN"/>
              </w:rPr>
              <w:t>12</w:t>
            </w:r>
          </w:p>
        </w:tc>
        <w:tc>
          <w:tcPr>
            <w:tcW w:w="1879"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firstLine="0" w:leftChars="0" w:firstLineChars="0"/>
              <w:textAlignment w:val="auto"/>
              <w:rPr>
                <w:kern w:val="2"/>
                <w:sz w:val="21"/>
                <w:lang w:eastAsia="zh-CN"/>
              </w:rPr>
            </w:pPr>
            <w:r>
              <w:rPr>
                <w:rFonts w:cs="Calibri" w:hint="eastAsia"/>
                <w:kern w:val="2"/>
                <w:sz w:val="21"/>
                <w:szCs w:val="21"/>
                <w:lang w:eastAsia="zh-CN"/>
              </w:rPr>
              <w:t>保安服务</w:t>
            </w:r>
            <w:r>
              <w:rPr>
                <w:kern w:val="2"/>
                <w:sz w:val="21"/>
                <w:lang w:eastAsia="zh-CN"/>
              </w:rPr>
              <w:t>基本要求</w:t>
            </w:r>
          </w:p>
        </w:tc>
        <w:tc>
          <w:tcPr>
            <w:tcW w:w="5748"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ascii="Calibri" w:hAnsi="Calibri" w:cs="Calibri"/>
                <w:sz w:val="21"/>
                <w:szCs w:val="21"/>
                <w:lang w:eastAsia="zh-CN"/>
              </w:rPr>
            </w:pPr>
            <w:r>
              <w:rPr>
                <w:rFonts w:cs="Calibri" w:hint="eastAsia"/>
                <w:sz w:val="21"/>
                <w:szCs w:val="21"/>
                <w:lang w:eastAsia="zh-CN"/>
              </w:rPr>
              <w:t>（1）</w:t>
            </w:r>
            <w:r>
              <w:rPr>
                <w:rFonts w:ascii="Calibri" w:hAnsi="Calibri" w:cs="Calibri" w:hint="eastAsia"/>
                <w:sz w:val="21"/>
                <w:szCs w:val="21"/>
                <w:lang w:eastAsia="zh-CN"/>
              </w:rPr>
              <w:t>建立</w:t>
            </w:r>
            <w:r>
              <w:rPr>
                <w:rFonts w:cs="Calibri" w:hint="eastAsia"/>
                <w:sz w:val="21"/>
                <w:szCs w:val="21"/>
                <w:lang w:eastAsia="zh-CN"/>
              </w:rPr>
              <w:t>保安</w:t>
            </w:r>
            <w:r>
              <w:rPr>
                <w:rFonts w:ascii="Calibri" w:hAnsi="Calibri" w:cs="Calibri" w:hint="eastAsia"/>
                <w:sz w:val="21"/>
                <w:szCs w:val="21"/>
                <w:lang w:eastAsia="zh-CN"/>
              </w:rPr>
              <w:t>服务相关制度，并按照执行</w:t>
            </w:r>
            <w:r>
              <w:rPr>
                <w:rFonts w:cs="Calibri" w:hint="eastAsia"/>
                <w:sz w:val="21"/>
                <w:szCs w:val="21"/>
                <w:lang w:eastAsia="zh-CN"/>
              </w:rPr>
              <w:t>。</w:t>
            </w:r>
          </w:p>
          <w:p>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ascii="Calibri" w:hAnsi="Calibri" w:cs="Calibri" w:hint="eastAsia"/>
                <w:sz w:val="21"/>
                <w:szCs w:val="21"/>
                <w:lang w:eastAsia="zh-CN"/>
              </w:rPr>
            </w:pPr>
            <w:r>
              <w:rPr>
                <w:rFonts w:cs="Calibri" w:hint="eastAsia"/>
                <w:sz w:val="21"/>
                <w:szCs w:val="21"/>
                <w:lang w:eastAsia="zh-CN"/>
              </w:rPr>
              <w:t>（2）</w:t>
            </w:r>
            <w:r>
              <w:rPr>
                <w:rFonts w:ascii="Calibri" w:hAnsi="Calibri" w:cs="Calibri" w:hint="eastAsia"/>
                <w:sz w:val="21"/>
                <w:szCs w:val="21"/>
                <w:lang w:eastAsia="zh-CN"/>
              </w:rPr>
              <w:t>对巡查、值守及异常情况等做好相关记录，填写规范，保存完好</w:t>
            </w:r>
            <w:r>
              <w:rPr>
                <w:rFonts w:cs="Calibri" w:hint="eastAsia"/>
                <w:sz w:val="21"/>
                <w:szCs w:val="21"/>
                <w:lang w:eastAsia="zh-CN"/>
              </w:rPr>
              <w:t>。</w:t>
            </w:r>
          </w:p>
          <w:p>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cs="Calibri" w:hint="eastAsia"/>
                <w:sz w:val="21"/>
                <w:szCs w:val="21"/>
                <w:lang w:eastAsia="zh-CN"/>
              </w:rPr>
            </w:pPr>
            <w:r>
              <w:rPr>
                <w:rFonts w:cs="Calibri" w:hint="eastAsia"/>
                <w:sz w:val="21"/>
                <w:szCs w:val="21"/>
                <w:lang w:eastAsia="zh-CN"/>
              </w:rPr>
              <w:t>（3）</w:t>
            </w:r>
            <w:r>
              <w:rPr>
                <w:rFonts w:ascii="Calibri" w:hAnsi="Calibri" w:cs="Calibri" w:hint="eastAsia"/>
                <w:sz w:val="21"/>
                <w:szCs w:val="21"/>
                <w:lang w:eastAsia="zh-CN"/>
              </w:rPr>
              <w:t>配备</w:t>
            </w:r>
            <w:r>
              <w:rPr>
                <w:rFonts w:cs="Calibri" w:hint="eastAsia"/>
                <w:sz w:val="21"/>
                <w:szCs w:val="21"/>
                <w:lang w:eastAsia="zh-CN"/>
              </w:rPr>
              <w:t>保安</w:t>
            </w:r>
            <w:r>
              <w:rPr>
                <w:rFonts w:ascii="Calibri" w:hAnsi="Calibri" w:cs="Calibri" w:hint="eastAsia"/>
                <w:sz w:val="21"/>
                <w:szCs w:val="21"/>
                <w:lang w:eastAsia="zh-CN"/>
              </w:rPr>
              <w:t>服务必要的器材</w:t>
            </w:r>
            <w:r>
              <w:rPr>
                <w:rFonts w:cs="Calibri" w:hint="eastAsia"/>
                <w:sz w:val="21"/>
                <w:szCs w:val="21"/>
                <w:lang w:eastAsia="zh-CN"/>
              </w:rPr>
              <w:t>。</w:t>
            </w:r>
          </w:p>
          <w:p>
            <w:pPr>
              <w:jc w:val="left"/>
              <w:rPr>
                <w:rFonts w:hint="eastAsia"/>
                <w:kern w:val="2"/>
                <w:sz w:val="21"/>
                <w:lang w:eastAsia="zh-CN"/>
              </w:rPr>
            </w:pPr>
            <w:r>
              <w:rPr>
                <w:rFonts w:ascii="Calibri" w:hAnsi="Calibri"/>
                <w:color w:val="FF0000"/>
                <w:kern w:val="2"/>
                <w:sz w:val="21"/>
                <w:szCs w:val="22"/>
                <w:lang w:eastAsia="zh-CN"/>
              </w:rPr>
              <w:t>★投标人满足《保安服务管理条例》《公安机关实施保安服务管理条例办法》等有关规定要求的从业许可和备案要求。</w:t>
            </w:r>
          </w:p>
        </w:tc>
      </w:tr>
      <w:tr>
        <w:tblPrEx>
          <w:tblW w:w="5000" w:type="pct"/>
          <w:tblInd w:w="0" w:type="dxa"/>
          <w:tblLayout w:type="fixed"/>
          <w:tblCellMar>
            <w:top w:w="0" w:type="dxa"/>
            <w:left w:w="108" w:type="dxa"/>
            <w:bottom w:w="0" w:type="dxa"/>
            <w:right w:w="108" w:type="dxa"/>
          </w:tblCellMar>
        </w:tblPrEx>
        <w:trPr>
          <w:trHeight w:val="454"/>
        </w:trPr>
        <w:tc>
          <w:tcPr>
            <w:tcW w:w="829"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firstLine="0" w:leftChars="0" w:firstLineChars="0"/>
              <w:jc w:val="center"/>
              <w:textAlignment w:val="auto"/>
              <w:rPr>
                <w:rFonts w:cs="Calibri"/>
                <w:kern w:val="2"/>
                <w:sz w:val="21"/>
                <w:lang w:eastAsia="zh-CN"/>
              </w:rPr>
            </w:pPr>
            <w:r>
              <w:rPr>
                <w:rFonts w:cs="Calibri" w:hint="eastAsia"/>
                <w:kern w:val="2"/>
                <w:sz w:val="21"/>
                <w:lang w:eastAsia="zh-CN"/>
              </w:rPr>
              <w:t>13</w:t>
            </w:r>
          </w:p>
        </w:tc>
        <w:tc>
          <w:tcPr>
            <w:tcW w:w="1879"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firstLine="0" w:leftChars="0" w:firstLineChars="0"/>
              <w:textAlignment w:val="auto"/>
              <w:rPr>
                <w:kern w:val="2"/>
                <w:sz w:val="21"/>
                <w:lang w:eastAsia="zh-CN"/>
              </w:rPr>
            </w:pPr>
            <w:r>
              <w:rPr>
                <w:kern w:val="2"/>
                <w:sz w:val="21"/>
                <w:lang w:eastAsia="zh-CN"/>
              </w:rPr>
              <w:t>出入管理</w:t>
            </w:r>
          </w:p>
        </w:tc>
        <w:tc>
          <w:tcPr>
            <w:tcW w:w="5748"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ascii="Calibri" w:hAnsi="Calibri" w:cs="Calibri"/>
                <w:sz w:val="21"/>
                <w:szCs w:val="21"/>
                <w:lang w:eastAsia="zh-CN"/>
              </w:rPr>
            </w:pPr>
            <w:r>
              <w:rPr>
                <w:rFonts w:cs="Calibri" w:hint="eastAsia"/>
                <w:sz w:val="21"/>
                <w:szCs w:val="21"/>
                <w:lang w:eastAsia="zh-CN"/>
              </w:rPr>
              <w:t>（1）</w:t>
            </w:r>
            <w:r>
              <w:rPr>
                <w:rFonts w:ascii="Calibri" w:hAnsi="Calibri" w:cs="Calibri" w:hint="eastAsia"/>
                <w:sz w:val="21"/>
                <w:szCs w:val="21"/>
                <w:lang w:eastAsia="zh-CN"/>
              </w:rPr>
              <w:t>办公楼</w:t>
            </w:r>
            <w:r>
              <w:rPr>
                <w:rFonts w:cs="Calibri" w:hint="eastAsia"/>
                <w:sz w:val="21"/>
                <w:szCs w:val="21"/>
                <w:lang w:eastAsia="zh-CN"/>
              </w:rPr>
              <w:t>（</w:t>
            </w:r>
            <w:r>
              <w:rPr>
                <w:rFonts w:ascii="Calibri" w:hAnsi="Calibri" w:cs="Calibri" w:hint="eastAsia"/>
                <w:sz w:val="21"/>
                <w:szCs w:val="21"/>
                <w:lang w:eastAsia="zh-CN"/>
              </w:rPr>
              <w:t>区</w:t>
            </w:r>
            <w:r>
              <w:rPr>
                <w:rFonts w:cs="Calibri" w:hint="eastAsia"/>
                <w:sz w:val="21"/>
                <w:szCs w:val="21"/>
                <w:lang w:eastAsia="zh-CN"/>
              </w:rPr>
              <w:t>）</w:t>
            </w:r>
            <w:r>
              <w:rPr>
                <w:rFonts w:ascii="Calibri" w:hAnsi="Calibri" w:cs="Calibri" w:hint="eastAsia"/>
                <w:sz w:val="21"/>
                <w:szCs w:val="21"/>
                <w:lang w:eastAsia="zh-CN"/>
              </w:rPr>
              <w:t>主出入口应</w:t>
            </w:r>
            <w:r>
              <w:rPr>
                <w:rFonts w:cs="Calibri" w:hint="eastAsia"/>
                <w:sz w:val="21"/>
                <w:szCs w:val="21"/>
                <w:lang w:eastAsia="zh-CN"/>
              </w:rPr>
              <w:t>当</w:t>
            </w:r>
            <w:r>
              <w:rPr>
                <w:rFonts w:ascii="Calibri" w:hAnsi="Calibri" w:cs="Calibri" w:hint="eastAsia"/>
                <w:sz w:val="21"/>
                <w:szCs w:val="21"/>
                <w:lang w:eastAsia="zh-CN"/>
              </w:rPr>
              <w:t xml:space="preserve">实行 </w:t>
            </w:r>
            <w:r>
              <w:rPr>
                <w:rFonts w:cs="Calibri" w:hint="eastAsia"/>
                <w:sz w:val="21"/>
                <w:szCs w:val="21"/>
                <w:lang w:eastAsia="zh-CN"/>
              </w:rPr>
              <w:t>24小时</w:t>
            </w:r>
            <w:r>
              <w:rPr>
                <w:rFonts w:ascii="Calibri" w:hAnsi="Calibri" w:cs="Calibri" w:hint="eastAsia"/>
                <w:sz w:val="21"/>
                <w:szCs w:val="21"/>
                <w:lang w:eastAsia="zh-CN"/>
              </w:rPr>
              <w:t>值班制</w:t>
            </w:r>
            <w:r>
              <w:rPr>
                <w:rFonts w:cs="Calibri" w:hint="eastAsia"/>
                <w:sz w:val="21"/>
                <w:szCs w:val="21"/>
                <w:lang w:eastAsia="zh-CN"/>
              </w:rPr>
              <w:t>。</w:t>
            </w:r>
          </w:p>
          <w:p>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ascii="Calibri" w:hAnsi="Calibri" w:cs="Calibri"/>
                <w:sz w:val="21"/>
                <w:szCs w:val="21"/>
                <w:lang w:eastAsia="zh-CN"/>
              </w:rPr>
            </w:pPr>
            <w:r>
              <w:rPr>
                <w:rFonts w:cs="Calibri" w:hint="eastAsia"/>
                <w:sz w:val="21"/>
                <w:szCs w:val="21"/>
                <w:lang w:eastAsia="zh-CN"/>
              </w:rPr>
              <w:t>（2）设置门岗。</w:t>
            </w:r>
          </w:p>
          <w:p>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ascii="Calibri" w:hAnsi="Calibri" w:cs="Calibri" w:hint="eastAsia"/>
                <w:sz w:val="21"/>
                <w:szCs w:val="21"/>
                <w:lang w:eastAsia="zh-CN"/>
              </w:rPr>
            </w:pPr>
            <w:r>
              <w:rPr>
                <w:rFonts w:cs="Calibri" w:hint="eastAsia"/>
                <w:sz w:val="21"/>
                <w:szCs w:val="21"/>
                <w:lang w:eastAsia="zh-CN"/>
              </w:rPr>
              <w:t>（3）</w:t>
            </w:r>
            <w:r>
              <w:rPr>
                <w:rFonts w:ascii="Calibri" w:hAnsi="Calibri" w:cs="Calibri" w:hint="eastAsia"/>
                <w:sz w:val="21"/>
                <w:szCs w:val="21"/>
                <w:lang w:eastAsia="zh-CN"/>
              </w:rPr>
              <w:t>在出入口对外来人员及其携带大件物品、外来车辆进行询问和记录，并与相关部门取得联系，同意后方可进入</w:t>
            </w:r>
            <w:r>
              <w:rPr>
                <w:rFonts w:cs="Calibri" w:hint="eastAsia"/>
                <w:sz w:val="21"/>
                <w:szCs w:val="21"/>
                <w:lang w:eastAsia="zh-CN"/>
              </w:rPr>
              <w:t>。</w:t>
            </w:r>
          </w:p>
          <w:p>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ascii="Calibri" w:hAnsi="Calibri" w:cs="Calibri" w:hint="eastAsia"/>
                <w:sz w:val="21"/>
                <w:szCs w:val="21"/>
                <w:lang w:eastAsia="zh-CN"/>
              </w:rPr>
            </w:pPr>
            <w:r>
              <w:rPr>
                <w:rFonts w:cs="Calibri" w:hint="eastAsia"/>
                <w:sz w:val="21"/>
                <w:szCs w:val="21"/>
                <w:lang w:eastAsia="zh-CN"/>
              </w:rPr>
              <w:t>（4）</w:t>
            </w:r>
            <w:r>
              <w:rPr>
                <w:rFonts w:ascii="Calibri" w:hAnsi="Calibri" w:cs="Calibri" w:hint="eastAsia"/>
                <w:sz w:val="21"/>
                <w:szCs w:val="21"/>
                <w:lang w:eastAsia="zh-CN"/>
              </w:rPr>
              <w:t>大件物品搬出有相关部门开具的证明和清单，经核实后放行</w:t>
            </w:r>
            <w:r>
              <w:rPr>
                <w:rFonts w:cs="Calibri" w:hint="eastAsia"/>
                <w:sz w:val="21"/>
                <w:szCs w:val="21"/>
                <w:lang w:eastAsia="zh-CN"/>
              </w:rPr>
              <w:t>。</w:t>
            </w:r>
          </w:p>
          <w:p>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ascii="Calibri" w:hAnsi="Calibri" w:cs="Calibri" w:hint="eastAsia"/>
                <w:sz w:val="21"/>
                <w:szCs w:val="21"/>
                <w:lang w:eastAsia="zh-CN"/>
              </w:rPr>
            </w:pPr>
            <w:r>
              <w:rPr>
                <w:rFonts w:cs="Calibri" w:hint="eastAsia"/>
                <w:sz w:val="21"/>
                <w:szCs w:val="21"/>
                <w:lang w:eastAsia="zh-CN"/>
              </w:rPr>
              <w:t>（5）</w:t>
            </w:r>
            <w:r>
              <w:rPr>
                <w:rFonts w:ascii="Calibri" w:hAnsi="Calibri" w:cs="Calibri" w:hint="eastAsia"/>
                <w:sz w:val="21"/>
                <w:szCs w:val="21"/>
                <w:lang w:eastAsia="zh-CN"/>
              </w:rPr>
              <w:t>排查可疑人员，对于不出示证件、不按规定登记、不听劝阻而强行闯入者，及时劝离，必要时通知公安机关进行处理</w:t>
            </w:r>
            <w:r>
              <w:rPr>
                <w:rFonts w:cs="Calibri" w:hint="eastAsia"/>
                <w:sz w:val="21"/>
                <w:szCs w:val="21"/>
                <w:lang w:eastAsia="zh-CN"/>
              </w:rPr>
              <w:t>。</w:t>
            </w:r>
          </w:p>
          <w:p>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ascii="Calibri" w:hAnsi="Calibri" w:cs="Calibri" w:hint="eastAsia"/>
                <w:sz w:val="21"/>
                <w:szCs w:val="21"/>
                <w:lang w:eastAsia="zh-CN"/>
              </w:rPr>
            </w:pPr>
            <w:r>
              <w:rPr>
                <w:rFonts w:cs="Calibri" w:hint="eastAsia"/>
                <w:sz w:val="21"/>
                <w:szCs w:val="21"/>
                <w:lang w:eastAsia="zh-CN"/>
              </w:rPr>
              <w:t>（6）</w:t>
            </w:r>
            <w:r>
              <w:rPr>
                <w:rFonts w:ascii="Calibri" w:hAnsi="Calibri" w:cs="Calibri" w:hint="eastAsia"/>
                <w:sz w:val="21"/>
                <w:szCs w:val="21"/>
                <w:lang w:eastAsia="zh-CN"/>
              </w:rPr>
              <w:t>配合相关部门积极疏导上访人员，有效疏导如出入口人群集聚、车辆拥堵、货物堵塞道路等情况</w:t>
            </w:r>
            <w:r>
              <w:rPr>
                <w:rFonts w:cs="Calibri" w:hint="eastAsia"/>
                <w:sz w:val="21"/>
                <w:szCs w:val="21"/>
                <w:lang w:eastAsia="zh-CN"/>
              </w:rPr>
              <w:t>。</w:t>
            </w:r>
          </w:p>
          <w:p>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ascii="Calibri" w:hAnsi="Calibri" w:cs="Calibri" w:hint="eastAsia"/>
                <w:sz w:val="21"/>
                <w:szCs w:val="21"/>
                <w:lang w:eastAsia="zh-CN"/>
              </w:rPr>
            </w:pPr>
            <w:r>
              <w:rPr>
                <w:rFonts w:cs="Calibri" w:hint="eastAsia"/>
                <w:sz w:val="21"/>
                <w:szCs w:val="21"/>
                <w:lang w:eastAsia="zh-CN"/>
              </w:rPr>
              <w:t>（7）</w:t>
            </w:r>
            <w:r>
              <w:rPr>
                <w:rFonts w:ascii="Calibri" w:hAnsi="Calibri" w:cs="Calibri" w:hint="eastAsia"/>
                <w:sz w:val="21"/>
                <w:szCs w:val="21"/>
                <w:lang w:eastAsia="zh-CN"/>
              </w:rPr>
              <w:t>根据物业服务合同约定，对物品进出实行安检、登记、电话确认等分类管理措施。大宗物品进出会同接收单位收件人审检，严防违禁品</w:t>
            </w:r>
            <w:r>
              <w:rPr>
                <w:rFonts w:cs="Calibri" w:hint="eastAsia"/>
                <w:sz w:val="21"/>
                <w:szCs w:val="21"/>
                <w:lang w:eastAsia="zh-CN"/>
              </w:rPr>
              <w:t>（</w:t>
            </w:r>
            <w:r>
              <w:rPr>
                <w:rFonts w:ascii="Calibri" w:hAnsi="Calibri" w:cs="Calibri" w:hint="eastAsia"/>
                <w:sz w:val="21"/>
                <w:szCs w:val="21"/>
                <w:lang w:eastAsia="zh-CN"/>
              </w:rPr>
              <w:t>包括毒品、军火弹药、管制刀具、易燃易爆品等</w:t>
            </w:r>
            <w:r>
              <w:rPr>
                <w:rFonts w:cs="Calibri" w:hint="eastAsia"/>
                <w:sz w:val="21"/>
                <w:szCs w:val="21"/>
                <w:lang w:eastAsia="zh-CN"/>
              </w:rPr>
              <w:t>）</w:t>
            </w:r>
            <w:r>
              <w:rPr>
                <w:rFonts w:ascii="Calibri" w:hAnsi="Calibri" w:cs="Calibri" w:hint="eastAsia"/>
                <w:sz w:val="21"/>
                <w:szCs w:val="21"/>
                <w:lang w:eastAsia="zh-CN"/>
              </w:rPr>
              <w:t>、限带品</w:t>
            </w:r>
            <w:r>
              <w:rPr>
                <w:rFonts w:cs="Calibri" w:hint="eastAsia"/>
                <w:sz w:val="21"/>
                <w:szCs w:val="21"/>
                <w:lang w:eastAsia="zh-CN"/>
              </w:rPr>
              <w:t>（</w:t>
            </w:r>
            <w:r>
              <w:rPr>
                <w:rFonts w:ascii="Calibri" w:hAnsi="Calibri" w:cs="Calibri" w:hint="eastAsia"/>
                <w:sz w:val="21"/>
                <w:szCs w:val="21"/>
                <w:lang w:eastAsia="zh-CN"/>
              </w:rPr>
              <w:t>包括动物、任何未经授权的专业摄影设备、无人机等</w:t>
            </w:r>
            <w:r>
              <w:rPr>
                <w:rFonts w:cs="Calibri" w:hint="eastAsia"/>
                <w:sz w:val="21"/>
                <w:szCs w:val="21"/>
                <w:lang w:eastAsia="zh-CN"/>
              </w:rPr>
              <w:t>）</w:t>
            </w:r>
            <w:r>
              <w:rPr>
                <w:rFonts w:ascii="Calibri" w:hAnsi="Calibri" w:cs="Calibri" w:hint="eastAsia"/>
                <w:sz w:val="21"/>
                <w:szCs w:val="21"/>
                <w:lang w:eastAsia="zh-CN"/>
              </w:rPr>
              <w:t>进入</w:t>
            </w:r>
            <w:r>
              <w:rPr>
                <w:rFonts w:cs="Calibri" w:hint="eastAsia"/>
                <w:sz w:val="21"/>
                <w:szCs w:val="21"/>
                <w:lang w:eastAsia="zh-CN"/>
              </w:rPr>
              <w:t>。</w:t>
            </w:r>
          </w:p>
          <w:p>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ascii="Calibri" w:hAnsi="Calibri" w:cs="Calibri"/>
                <w:sz w:val="21"/>
                <w:szCs w:val="21"/>
                <w:lang w:eastAsia="zh-CN"/>
              </w:rPr>
            </w:pPr>
            <w:r>
              <w:rPr>
                <w:rFonts w:cs="Calibri" w:hint="eastAsia"/>
                <w:sz w:val="21"/>
                <w:szCs w:val="21"/>
                <w:lang w:eastAsia="zh-CN"/>
              </w:rPr>
              <w:t>（8）</w:t>
            </w:r>
            <w:r>
              <w:rPr>
                <w:rFonts w:ascii="Calibri" w:hAnsi="Calibri" w:cs="Calibri"/>
                <w:sz w:val="21"/>
                <w:szCs w:val="21"/>
                <w:lang w:eastAsia="zh-CN"/>
              </w:rPr>
              <w:t>提供现场接待服务。</w:t>
            </w:r>
          </w:p>
          <w:p>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kern w:val="2"/>
                <w:sz w:val="21"/>
                <w:lang w:eastAsia="zh-CN"/>
              </w:rPr>
            </w:pPr>
            <w:r>
              <w:rPr>
                <w:kern w:val="2"/>
                <w:sz w:val="21"/>
                <w:lang w:eastAsia="zh-CN"/>
              </w:rPr>
              <w:t>①</w:t>
            </w:r>
            <w:r>
              <w:rPr>
                <w:kern w:val="2"/>
                <w:sz w:val="21"/>
                <w:lang w:eastAsia="zh-CN"/>
              </w:rPr>
              <w:t>做好来访人员、车辆进出证件登记，及时通报</w:t>
            </w:r>
            <w:r>
              <w:rPr>
                <w:rFonts w:hint="eastAsia"/>
                <w:kern w:val="2"/>
                <w:sz w:val="21"/>
                <w:lang w:eastAsia="zh-CN"/>
              </w:rPr>
              <w:t>。</w:t>
            </w:r>
          </w:p>
          <w:p>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ascii="Calibri" w:hAnsi="Calibri" w:cs="Calibri"/>
                <w:kern w:val="2"/>
                <w:sz w:val="21"/>
                <w:szCs w:val="21"/>
                <w:lang w:eastAsia="zh-CN"/>
              </w:rPr>
            </w:pPr>
            <w:r>
              <w:rPr>
                <w:kern w:val="2"/>
                <w:sz w:val="21"/>
                <w:lang w:eastAsia="zh-CN"/>
              </w:rPr>
              <w:t>②</w:t>
            </w:r>
            <w:r>
              <w:rPr>
                <w:rFonts w:ascii="Calibri" w:hAnsi="Calibri" w:cs="Calibri"/>
                <w:kern w:val="2"/>
                <w:sz w:val="21"/>
                <w:szCs w:val="21"/>
                <w:lang w:eastAsia="zh-CN"/>
              </w:rPr>
              <w:t>严禁无关人员、可疑人员和危险物品进入办公楼（区）内。</w:t>
            </w:r>
          </w:p>
          <w:p>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kern w:val="2"/>
                <w:sz w:val="21"/>
                <w:lang w:eastAsia="zh-CN"/>
              </w:rPr>
            </w:pPr>
            <w:r>
              <w:rPr>
                <w:kern w:val="2"/>
                <w:sz w:val="21"/>
                <w:lang w:eastAsia="zh-CN"/>
              </w:rPr>
              <w:t>③物品摆放整齐有序、分类放置。</w:t>
            </w:r>
          </w:p>
          <w:p>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kern w:val="2"/>
                <w:sz w:val="21"/>
                <w:lang w:eastAsia="zh-CN"/>
              </w:rPr>
            </w:pPr>
            <w:r>
              <w:rPr>
                <w:kern w:val="2"/>
                <w:sz w:val="21"/>
                <w:lang w:eastAsia="zh-CN"/>
              </w:rPr>
              <w:t>④现场办理等待时间不超过5分钟，等待较长时间应</w:t>
            </w:r>
            <w:r>
              <w:rPr>
                <w:rFonts w:hint="eastAsia"/>
                <w:kern w:val="2"/>
                <w:sz w:val="21"/>
                <w:lang w:eastAsia="zh-CN"/>
              </w:rPr>
              <w:t>当</w:t>
            </w:r>
            <w:r>
              <w:rPr>
                <w:kern w:val="2"/>
                <w:sz w:val="21"/>
                <w:lang w:eastAsia="zh-CN"/>
              </w:rPr>
              <w:t>及时沟通。</w:t>
            </w:r>
          </w:p>
          <w:p>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kern w:val="2"/>
                <w:sz w:val="21"/>
                <w:lang w:eastAsia="zh-CN"/>
              </w:rPr>
            </w:pPr>
            <w:r>
              <w:rPr>
                <w:kern w:val="2"/>
                <w:sz w:val="21"/>
                <w:lang w:eastAsia="zh-CN"/>
              </w:rPr>
              <w:t>⑤对来访人员咨询、建议、求助等事项，及时处理或答复，处理和答复率100%。</w:t>
            </w:r>
          </w:p>
          <w:p>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kern w:val="2"/>
                <w:sz w:val="21"/>
                <w:lang w:eastAsia="zh-CN"/>
              </w:rPr>
            </w:pPr>
            <w:r>
              <w:rPr>
                <w:kern w:val="2"/>
                <w:sz w:val="21"/>
                <w:lang w:eastAsia="zh-CN"/>
              </w:rPr>
              <w:t>⑥接待服务工作时间应</w:t>
            </w:r>
            <w:r>
              <w:rPr>
                <w:rFonts w:hint="eastAsia"/>
                <w:kern w:val="2"/>
                <w:sz w:val="21"/>
                <w:lang w:eastAsia="zh-CN"/>
              </w:rPr>
              <w:t>当</w:t>
            </w:r>
            <w:r>
              <w:rPr>
                <w:kern w:val="2"/>
                <w:sz w:val="21"/>
                <w:lang w:eastAsia="zh-CN"/>
              </w:rPr>
              <w:t>覆盖采购人工作时间（上班时间为</w:t>
            </w:r>
            <w:r>
              <w:rPr>
                <w:rFonts w:hint="eastAsia"/>
                <w:kern w:val="2"/>
                <w:sz w:val="21"/>
                <w:lang w:eastAsia="zh-CN"/>
              </w:rPr>
              <w:t>9:00</w:t>
            </w:r>
            <w:r>
              <w:rPr>
                <w:kern w:val="2"/>
                <w:sz w:val="21"/>
                <w:lang w:eastAsia="zh-CN"/>
              </w:rPr>
              <w:t>-</w:t>
            </w:r>
            <w:r>
              <w:rPr>
                <w:rFonts w:hint="eastAsia"/>
                <w:kern w:val="2"/>
                <w:sz w:val="21"/>
                <w:lang w:eastAsia="zh-CN"/>
              </w:rPr>
              <w:t>17:00</w:t>
            </w:r>
            <w:r>
              <w:rPr>
                <w:kern w:val="2"/>
                <w:sz w:val="21"/>
                <w:lang w:eastAsia="zh-CN"/>
              </w:rPr>
              <w:t>）。</w:t>
            </w:r>
          </w:p>
          <w:p>
            <w:pPr>
              <w:keepNext w:val="0"/>
              <w:keepLines w:val="0"/>
              <w:pageBreakBefore w:val="0"/>
              <w:widowControl/>
              <w:kinsoku/>
              <w:wordWrap/>
              <w:overflowPunct/>
              <w:topLinePunct w:val="0"/>
              <w:autoSpaceDE/>
              <w:autoSpaceDN/>
              <w:bidi w:val="0"/>
              <w:adjustRightInd/>
              <w:snapToGrid w:val="0"/>
              <w:spacing w:line="300" w:lineRule="auto"/>
              <w:ind w:firstLine="210" w:firstLineChars="100"/>
              <w:jc w:val="left"/>
              <w:textAlignment w:val="auto"/>
              <w:rPr>
                <w:rFonts w:cs="Calibri" w:hint="eastAsia"/>
                <w:sz w:val="21"/>
                <w:szCs w:val="21"/>
                <w:lang w:eastAsia="zh-CN"/>
              </w:rPr>
            </w:pPr>
            <w:r>
              <w:rPr>
                <w:kern w:val="2"/>
                <w:sz w:val="21"/>
                <w:lang w:eastAsia="zh-CN"/>
              </w:rPr>
              <w:t>⑦与被访人进行核实确认；告知被访人的办公室门牌号；告知访客注意事项（</w:t>
            </w:r>
            <w:r>
              <w:rPr>
                <w:rFonts w:hint="eastAsia"/>
                <w:kern w:val="2"/>
                <w:sz w:val="21"/>
                <w:lang w:eastAsia="zh-CN"/>
              </w:rPr>
              <w:t>根据实际需要</w:t>
            </w:r>
            <w:r>
              <w:rPr>
                <w:kern w:val="2"/>
                <w:sz w:val="21"/>
                <w:lang w:eastAsia="zh-CN"/>
              </w:rPr>
              <w:t>填写</w:t>
            </w:r>
            <w:r>
              <w:rPr>
                <w:rFonts w:hint="eastAsia"/>
                <w:kern w:val="2"/>
                <w:sz w:val="21"/>
                <w:lang w:eastAsia="zh-CN"/>
              </w:rPr>
              <w:t>注意事项</w:t>
            </w:r>
            <w:r>
              <w:rPr>
                <w:kern w:val="2"/>
                <w:sz w:val="21"/>
                <w:lang w:eastAsia="zh-CN"/>
              </w:rPr>
              <w:t>）。</w:t>
            </w:r>
          </w:p>
        </w:tc>
      </w:tr>
      <w:tr>
        <w:tblPrEx>
          <w:tblW w:w="5000" w:type="pct"/>
          <w:tblInd w:w="0" w:type="dxa"/>
          <w:tblLayout w:type="fixed"/>
          <w:tblCellMar>
            <w:top w:w="0" w:type="dxa"/>
            <w:left w:w="108" w:type="dxa"/>
            <w:bottom w:w="0" w:type="dxa"/>
            <w:right w:w="108" w:type="dxa"/>
          </w:tblCellMar>
        </w:tblPrEx>
        <w:trPr>
          <w:trHeight w:val="454"/>
        </w:trPr>
        <w:tc>
          <w:tcPr>
            <w:tcW w:w="829"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firstLine="0" w:leftChars="0" w:firstLineChars="0"/>
              <w:jc w:val="center"/>
              <w:textAlignment w:val="auto"/>
              <w:rPr>
                <w:rFonts w:cs="Calibri"/>
                <w:kern w:val="2"/>
                <w:sz w:val="21"/>
                <w:lang w:eastAsia="zh-CN"/>
              </w:rPr>
            </w:pPr>
            <w:r>
              <w:rPr>
                <w:rFonts w:cs="Calibri" w:hint="eastAsia"/>
                <w:kern w:val="2"/>
                <w:sz w:val="21"/>
                <w:lang w:eastAsia="zh-CN"/>
              </w:rPr>
              <w:t>14</w:t>
            </w:r>
          </w:p>
        </w:tc>
        <w:tc>
          <w:tcPr>
            <w:tcW w:w="1879"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firstLine="0" w:leftChars="0" w:firstLineChars="0"/>
              <w:textAlignment w:val="auto"/>
              <w:rPr>
                <w:kern w:val="2"/>
                <w:sz w:val="21"/>
                <w:lang w:eastAsia="zh-CN"/>
              </w:rPr>
            </w:pPr>
            <w:r>
              <w:rPr>
                <w:kern w:val="2"/>
                <w:sz w:val="21"/>
                <w:lang w:eastAsia="zh-CN"/>
              </w:rPr>
              <w:t>值班</w:t>
            </w:r>
            <w:r>
              <w:rPr>
                <w:kern w:val="2"/>
                <w:sz w:val="21"/>
                <w:lang w:eastAsia="zh-CN"/>
              </w:rPr>
              <w:t>巡查</w:t>
            </w:r>
          </w:p>
        </w:tc>
        <w:tc>
          <w:tcPr>
            <w:tcW w:w="5748"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ascii="Calibri" w:hAnsi="Calibri" w:cs="Calibri"/>
                <w:sz w:val="21"/>
                <w:szCs w:val="21"/>
                <w:lang w:eastAsia="zh-CN"/>
              </w:rPr>
            </w:pPr>
            <w:r>
              <w:rPr>
                <w:rFonts w:cs="Calibri" w:hint="eastAsia"/>
                <w:sz w:val="21"/>
                <w:szCs w:val="21"/>
                <w:lang w:eastAsia="zh-CN"/>
              </w:rPr>
              <w:t>（1）</w:t>
            </w:r>
            <w:r>
              <w:rPr>
                <w:rFonts w:ascii="Calibri" w:hAnsi="Calibri" w:cs="Calibri" w:hint="eastAsia"/>
                <w:sz w:val="21"/>
                <w:szCs w:val="21"/>
                <w:lang w:eastAsia="zh-CN"/>
              </w:rPr>
              <w:t>建立</w:t>
            </w:r>
            <w:r>
              <w:rPr>
                <w:rFonts w:cs="Calibri" w:hint="eastAsia"/>
                <w:sz w:val="21"/>
                <w:szCs w:val="21"/>
                <w:lang w:eastAsia="zh-CN"/>
              </w:rPr>
              <w:t>24小时</w:t>
            </w:r>
            <w:r>
              <w:rPr>
                <w:rFonts w:ascii="Calibri" w:hAnsi="Calibri" w:cs="Calibri" w:hint="eastAsia"/>
                <w:sz w:val="21"/>
                <w:szCs w:val="21"/>
                <w:lang w:eastAsia="zh-CN"/>
              </w:rPr>
              <w:t>值班巡查制度</w:t>
            </w:r>
            <w:r>
              <w:rPr>
                <w:rFonts w:cs="Calibri" w:hint="eastAsia"/>
                <w:sz w:val="21"/>
                <w:szCs w:val="21"/>
                <w:lang w:eastAsia="zh-CN"/>
              </w:rPr>
              <w:t>。</w:t>
            </w:r>
          </w:p>
          <w:p>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ascii="Calibri" w:hAnsi="Calibri" w:cs="Calibri" w:hint="eastAsia"/>
                <w:sz w:val="21"/>
                <w:szCs w:val="21"/>
                <w:lang w:eastAsia="zh-CN"/>
              </w:rPr>
            </w:pPr>
            <w:r>
              <w:rPr>
                <w:rFonts w:cs="Calibri" w:hint="eastAsia"/>
                <w:sz w:val="21"/>
                <w:szCs w:val="21"/>
                <w:lang w:eastAsia="zh-CN"/>
              </w:rPr>
              <w:t>（2）</w:t>
            </w:r>
            <w:r>
              <w:rPr>
                <w:rFonts w:ascii="Calibri" w:hAnsi="Calibri" w:cs="Calibri" w:hint="eastAsia"/>
                <w:sz w:val="21"/>
                <w:szCs w:val="21"/>
                <w:lang w:eastAsia="zh-CN"/>
              </w:rPr>
              <w:t>制定巡查路线，按照指定时间和路线执行，加强重点区域、重点部位及装修区域的巡查</w:t>
            </w:r>
            <w:r>
              <w:rPr>
                <w:rFonts w:cs="Calibri" w:hint="eastAsia"/>
                <w:sz w:val="21"/>
                <w:szCs w:val="21"/>
                <w:lang w:eastAsia="zh-CN"/>
              </w:rPr>
              <w:t>。</w:t>
            </w:r>
          </w:p>
          <w:p>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cs="Calibri" w:hint="eastAsia"/>
                <w:sz w:val="21"/>
                <w:szCs w:val="21"/>
                <w:lang w:eastAsia="zh-CN"/>
              </w:rPr>
            </w:pPr>
            <w:r>
              <w:rPr>
                <w:rFonts w:cs="Calibri" w:hint="eastAsia"/>
                <w:sz w:val="21"/>
                <w:szCs w:val="21"/>
                <w:lang w:eastAsia="zh-CN"/>
              </w:rPr>
              <w:t>（3）</w:t>
            </w:r>
            <w:r>
              <w:rPr>
                <w:rFonts w:ascii="Calibri" w:hAnsi="Calibri" w:cs="Calibri" w:hint="eastAsia"/>
                <w:sz w:val="21"/>
                <w:szCs w:val="21"/>
                <w:lang w:eastAsia="zh-CN"/>
              </w:rPr>
              <w:t>巡查期间保持通信设施设备畅通，遇到异常情况立即上报并在现场采取相应措施</w:t>
            </w:r>
            <w:r>
              <w:rPr>
                <w:rFonts w:cs="Calibri" w:hint="eastAsia"/>
                <w:sz w:val="21"/>
                <w:szCs w:val="21"/>
                <w:lang w:eastAsia="zh-CN"/>
              </w:rPr>
              <w:t>。</w:t>
            </w:r>
          </w:p>
          <w:p>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cs="Calibri" w:hint="eastAsia"/>
                <w:sz w:val="21"/>
                <w:szCs w:val="21"/>
                <w:lang w:eastAsia="zh-CN"/>
              </w:rPr>
            </w:pPr>
            <w:r>
              <w:rPr>
                <w:rFonts w:cs="Calibri" w:hint="eastAsia"/>
                <w:sz w:val="21"/>
                <w:szCs w:val="21"/>
                <w:lang w:eastAsia="zh-CN"/>
              </w:rPr>
              <w:t>（4）</w:t>
            </w:r>
            <w:r>
              <w:rPr>
                <w:rFonts w:ascii="Calibri" w:hAnsi="Calibri" w:cs="Calibri" w:hint="eastAsia"/>
                <w:sz w:val="21"/>
                <w:szCs w:val="21"/>
                <w:lang w:eastAsia="zh-CN"/>
              </w:rPr>
              <w:t>收到监控室指令后，巡查人员及时到达指定地点并迅速采取相应措施</w:t>
            </w:r>
            <w:r>
              <w:rPr>
                <w:rFonts w:cs="Calibri" w:hint="eastAsia"/>
                <w:sz w:val="21"/>
                <w:szCs w:val="21"/>
                <w:lang w:eastAsia="zh-CN"/>
              </w:rPr>
              <w:t>。</w:t>
            </w:r>
          </w:p>
        </w:tc>
      </w:tr>
      <w:tr>
        <w:tblPrEx>
          <w:tblW w:w="5000" w:type="pct"/>
          <w:tblInd w:w="0" w:type="dxa"/>
          <w:tblLayout w:type="fixed"/>
          <w:tblCellMar>
            <w:top w:w="0" w:type="dxa"/>
            <w:left w:w="108" w:type="dxa"/>
            <w:bottom w:w="0" w:type="dxa"/>
            <w:right w:w="108" w:type="dxa"/>
          </w:tblCellMar>
        </w:tblPrEx>
        <w:trPr>
          <w:trHeight w:val="454"/>
        </w:trPr>
        <w:tc>
          <w:tcPr>
            <w:tcW w:w="829"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firstLine="0" w:leftChars="0" w:firstLineChars="0"/>
              <w:jc w:val="center"/>
              <w:textAlignment w:val="auto"/>
              <w:rPr>
                <w:rFonts w:cs="Calibri"/>
                <w:kern w:val="2"/>
                <w:sz w:val="21"/>
                <w:lang w:eastAsia="zh-CN"/>
              </w:rPr>
            </w:pPr>
            <w:r>
              <w:rPr>
                <w:rFonts w:cs="Calibri" w:hint="eastAsia"/>
                <w:kern w:val="2"/>
                <w:sz w:val="21"/>
                <w:lang w:eastAsia="zh-CN"/>
              </w:rPr>
              <w:t>15</w:t>
            </w:r>
          </w:p>
        </w:tc>
        <w:tc>
          <w:tcPr>
            <w:tcW w:w="1879"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firstLine="0" w:leftChars="0" w:firstLineChars="0"/>
              <w:textAlignment w:val="auto"/>
              <w:rPr>
                <w:kern w:val="2"/>
                <w:sz w:val="21"/>
                <w:lang w:eastAsia="zh-CN"/>
              </w:rPr>
            </w:pPr>
            <w:r>
              <w:rPr>
                <w:kern w:val="2"/>
                <w:sz w:val="21"/>
                <w:lang w:eastAsia="zh-CN"/>
              </w:rPr>
              <w:t>监控</w:t>
            </w:r>
            <w:r>
              <w:rPr>
                <w:kern w:val="2"/>
                <w:sz w:val="21"/>
                <w:lang w:eastAsia="zh-CN"/>
              </w:rPr>
              <w:t>值守</w:t>
            </w:r>
          </w:p>
        </w:tc>
        <w:tc>
          <w:tcPr>
            <w:tcW w:w="5748"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ascii="Calibri" w:hAnsi="Calibri" w:cs="Calibri"/>
                <w:sz w:val="21"/>
                <w:szCs w:val="21"/>
                <w:lang w:eastAsia="zh-CN"/>
              </w:rPr>
            </w:pPr>
            <w:r>
              <w:rPr>
                <w:rFonts w:cs="Calibri" w:hint="eastAsia"/>
                <w:sz w:val="21"/>
                <w:szCs w:val="21"/>
                <w:lang w:eastAsia="zh-CN"/>
              </w:rPr>
              <w:t>（1）</w:t>
            </w:r>
            <w:r>
              <w:rPr>
                <w:rFonts w:ascii="Calibri" w:hAnsi="Calibri" w:cs="Calibri" w:hint="eastAsia"/>
                <w:sz w:val="21"/>
                <w:szCs w:val="21"/>
                <w:lang w:eastAsia="zh-CN"/>
              </w:rPr>
              <w:t>监控室环境符合系统设备运行要求，定期进行检查和检测，确保系统功能正常</w:t>
            </w:r>
            <w:r>
              <w:rPr>
                <w:rFonts w:cs="Calibri" w:hint="eastAsia"/>
                <w:sz w:val="21"/>
                <w:szCs w:val="21"/>
                <w:lang w:eastAsia="zh-CN"/>
              </w:rPr>
              <w:t>。</w:t>
            </w:r>
          </w:p>
          <w:p>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ascii="Calibri" w:hAnsi="Calibri" w:cs="Calibri" w:hint="eastAsia"/>
                <w:sz w:val="21"/>
                <w:szCs w:val="21"/>
                <w:lang w:eastAsia="zh-CN"/>
              </w:rPr>
            </w:pPr>
            <w:r>
              <w:rPr>
                <w:rFonts w:cs="Calibri" w:hint="eastAsia"/>
                <w:sz w:val="21"/>
                <w:szCs w:val="21"/>
                <w:lang w:eastAsia="zh-CN"/>
              </w:rPr>
              <w:t>（2）</w:t>
            </w:r>
            <w:r>
              <w:rPr>
                <w:rFonts w:ascii="Calibri" w:hAnsi="Calibri" w:cs="Calibri" w:hint="eastAsia"/>
                <w:sz w:val="21"/>
                <w:szCs w:val="21"/>
                <w:lang w:eastAsia="zh-CN"/>
              </w:rPr>
              <w:t>监控设备</w:t>
            </w:r>
            <w:r>
              <w:rPr>
                <w:rFonts w:cs="Calibri" w:hint="eastAsia"/>
                <w:sz w:val="21"/>
                <w:szCs w:val="21"/>
                <w:lang w:eastAsia="zh-CN"/>
              </w:rPr>
              <w:t>24小时</w:t>
            </w:r>
            <w:r>
              <w:rPr>
                <w:rFonts w:ascii="Calibri" w:hAnsi="Calibri" w:cs="Calibri" w:hint="eastAsia"/>
                <w:sz w:val="21"/>
                <w:szCs w:val="21"/>
                <w:lang w:eastAsia="zh-CN"/>
              </w:rPr>
              <w:t>正常运行，监控室实行专人</w:t>
            </w:r>
            <w:r>
              <w:rPr>
                <w:rFonts w:cs="Calibri" w:hint="eastAsia"/>
                <w:sz w:val="21"/>
                <w:szCs w:val="21"/>
                <w:lang w:eastAsia="zh-CN"/>
              </w:rPr>
              <w:t>24小时</w:t>
            </w:r>
            <w:r>
              <w:rPr>
                <w:rFonts w:ascii="Calibri" w:hAnsi="Calibri" w:cs="Calibri" w:hint="eastAsia"/>
                <w:sz w:val="21"/>
                <w:szCs w:val="21"/>
                <w:lang w:eastAsia="zh-CN"/>
              </w:rPr>
              <w:t>值班制度</w:t>
            </w:r>
            <w:r>
              <w:rPr>
                <w:rFonts w:cs="Calibri" w:hint="eastAsia"/>
                <w:sz w:val="21"/>
                <w:szCs w:val="21"/>
                <w:lang w:eastAsia="zh-CN"/>
              </w:rPr>
              <w:t>。</w:t>
            </w:r>
          </w:p>
          <w:p>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ascii="Calibri" w:hAnsi="Calibri" w:cs="Calibri" w:hint="eastAsia"/>
                <w:sz w:val="21"/>
                <w:szCs w:val="21"/>
                <w:lang w:eastAsia="zh-CN"/>
              </w:rPr>
            </w:pPr>
            <w:r>
              <w:rPr>
                <w:rFonts w:cs="Calibri" w:hint="eastAsia"/>
                <w:sz w:val="21"/>
                <w:szCs w:val="21"/>
                <w:lang w:eastAsia="zh-CN"/>
              </w:rPr>
              <w:t>（3）</w:t>
            </w:r>
            <w:r>
              <w:rPr>
                <w:rFonts w:ascii="Calibri" w:hAnsi="Calibri" w:cs="Calibri" w:hint="eastAsia"/>
                <w:sz w:val="21"/>
                <w:szCs w:val="21"/>
                <w:lang w:eastAsia="zh-CN"/>
              </w:rPr>
              <w:t>监控记录画面清晰，视频监控无死角、无盲区</w:t>
            </w:r>
            <w:r>
              <w:rPr>
                <w:rFonts w:cs="Calibri" w:hint="eastAsia"/>
                <w:sz w:val="21"/>
                <w:szCs w:val="21"/>
                <w:lang w:eastAsia="zh-CN"/>
              </w:rPr>
              <w:t>。</w:t>
            </w:r>
          </w:p>
          <w:p>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ascii="Calibri" w:hAnsi="Calibri" w:cs="Calibri" w:hint="eastAsia"/>
                <w:sz w:val="21"/>
                <w:szCs w:val="21"/>
                <w:lang w:eastAsia="zh-CN"/>
              </w:rPr>
            </w:pPr>
            <w:r>
              <w:rPr>
                <w:rFonts w:cs="Calibri" w:hint="eastAsia"/>
                <w:sz w:val="21"/>
                <w:szCs w:val="21"/>
                <w:lang w:eastAsia="zh-CN"/>
              </w:rPr>
              <w:t>（4）</w:t>
            </w:r>
            <w:r>
              <w:rPr>
                <w:rFonts w:ascii="Calibri" w:hAnsi="Calibri" w:cs="Calibri" w:hint="eastAsia"/>
                <w:sz w:val="21"/>
                <w:szCs w:val="21"/>
                <w:lang w:eastAsia="zh-CN"/>
              </w:rPr>
              <w:t>值班期间遵守操作规程和保密制度，做好监控记录的保存工作</w:t>
            </w:r>
            <w:r>
              <w:rPr>
                <w:rFonts w:cs="Calibri" w:hint="eastAsia"/>
                <w:sz w:val="21"/>
                <w:szCs w:val="21"/>
                <w:lang w:eastAsia="zh-CN"/>
              </w:rPr>
              <w:t>。</w:t>
            </w:r>
          </w:p>
          <w:p>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ascii="Calibri" w:hAnsi="Calibri" w:cs="Calibri" w:hint="eastAsia"/>
                <w:sz w:val="21"/>
                <w:szCs w:val="21"/>
                <w:lang w:eastAsia="zh-CN"/>
              </w:rPr>
            </w:pPr>
            <w:r>
              <w:rPr>
                <w:rFonts w:cs="Calibri" w:hint="eastAsia"/>
                <w:sz w:val="21"/>
                <w:szCs w:val="21"/>
                <w:lang w:eastAsia="zh-CN"/>
              </w:rPr>
              <w:t>（5）</w:t>
            </w:r>
            <w:r>
              <w:rPr>
                <w:rFonts w:ascii="Calibri" w:hAnsi="Calibri" w:cs="Calibri" w:hint="eastAsia"/>
                <w:sz w:val="21"/>
                <w:szCs w:val="21"/>
                <w:lang w:eastAsia="zh-CN"/>
              </w:rPr>
              <w:t>监控记录保持完整，保存时间不应少于90</w:t>
            </w:r>
            <w:r>
              <w:rPr>
                <w:rFonts w:cs="Calibri" w:hint="eastAsia"/>
                <w:sz w:val="21"/>
                <w:szCs w:val="21"/>
                <w:lang w:eastAsia="zh-CN"/>
              </w:rPr>
              <w:t>天。</w:t>
            </w:r>
          </w:p>
          <w:p>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cs="Calibri" w:hint="eastAsia"/>
                <w:sz w:val="21"/>
                <w:szCs w:val="21"/>
                <w:lang w:eastAsia="zh-CN"/>
              </w:rPr>
            </w:pPr>
            <w:r>
              <w:rPr>
                <w:rFonts w:cs="Calibri" w:hint="eastAsia"/>
                <w:sz w:val="21"/>
                <w:szCs w:val="21"/>
                <w:lang w:eastAsia="zh-CN"/>
              </w:rPr>
              <w:t>（6）</w:t>
            </w:r>
            <w:r>
              <w:rPr>
                <w:rFonts w:ascii="Calibri" w:hAnsi="Calibri" w:cs="Calibri" w:hint="eastAsia"/>
                <w:sz w:val="21"/>
                <w:szCs w:val="21"/>
                <w:lang w:eastAsia="zh-CN"/>
              </w:rPr>
              <w:t>无关人员进入监控室或查阅监控记录，经授权人批准并做好相关记录</w:t>
            </w:r>
            <w:r>
              <w:rPr>
                <w:rFonts w:cs="Calibri" w:hint="eastAsia"/>
                <w:sz w:val="21"/>
                <w:szCs w:val="21"/>
                <w:lang w:eastAsia="zh-CN"/>
              </w:rPr>
              <w:t>。</w:t>
            </w:r>
          </w:p>
          <w:p>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cs="Calibri" w:hint="eastAsia"/>
                <w:sz w:val="21"/>
                <w:szCs w:val="21"/>
                <w:lang w:eastAsia="zh-CN"/>
              </w:rPr>
            </w:pPr>
            <w:r>
              <w:rPr>
                <w:rFonts w:cs="Calibri" w:hint="eastAsia"/>
                <w:sz w:val="21"/>
                <w:szCs w:val="21"/>
                <w:lang w:eastAsia="zh-CN"/>
              </w:rPr>
              <w:t>（7）</w:t>
            </w:r>
            <w:r>
              <w:rPr>
                <w:rFonts w:ascii="Calibri" w:hAnsi="Calibri" w:cs="Calibri" w:hint="eastAsia"/>
                <w:sz w:val="21"/>
                <w:szCs w:val="21"/>
                <w:lang w:eastAsia="zh-CN"/>
              </w:rPr>
              <w:t>监控室收到火情等报警信号、其他异常情况信号后，及时报警并安排其他安保人员前往现场进行处理</w:t>
            </w:r>
            <w:r>
              <w:rPr>
                <w:rFonts w:cs="Calibri" w:hint="eastAsia"/>
                <w:sz w:val="21"/>
                <w:szCs w:val="21"/>
                <w:lang w:eastAsia="zh-CN"/>
              </w:rPr>
              <w:t>。</w:t>
            </w:r>
          </w:p>
        </w:tc>
      </w:tr>
      <w:tr>
        <w:tblPrEx>
          <w:tblW w:w="5000" w:type="pct"/>
          <w:tblInd w:w="0" w:type="dxa"/>
          <w:tblLayout w:type="fixed"/>
          <w:tblCellMar>
            <w:top w:w="0" w:type="dxa"/>
            <w:left w:w="108" w:type="dxa"/>
            <w:bottom w:w="0" w:type="dxa"/>
            <w:right w:w="108" w:type="dxa"/>
          </w:tblCellMar>
        </w:tblPrEx>
        <w:trPr>
          <w:trHeight w:val="454"/>
        </w:trPr>
        <w:tc>
          <w:tcPr>
            <w:tcW w:w="829"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firstLine="0" w:leftChars="0" w:firstLineChars="0"/>
              <w:jc w:val="center"/>
              <w:textAlignment w:val="auto"/>
              <w:rPr>
                <w:rFonts w:cs="Calibri"/>
                <w:kern w:val="2"/>
                <w:sz w:val="21"/>
                <w:lang w:eastAsia="zh-CN"/>
              </w:rPr>
            </w:pPr>
            <w:r>
              <w:rPr>
                <w:rFonts w:cs="Calibri" w:hint="eastAsia"/>
                <w:kern w:val="2"/>
                <w:sz w:val="21"/>
                <w:lang w:eastAsia="zh-CN"/>
              </w:rPr>
              <w:t>16</w:t>
            </w:r>
          </w:p>
        </w:tc>
        <w:tc>
          <w:tcPr>
            <w:tcW w:w="1879"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firstLine="0" w:leftChars="0" w:firstLineChars="0"/>
              <w:textAlignment w:val="auto"/>
              <w:rPr>
                <w:kern w:val="2"/>
                <w:sz w:val="21"/>
                <w:lang w:eastAsia="zh-CN"/>
              </w:rPr>
            </w:pPr>
            <w:r>
              <w:rPr>
                <w:kern w:val="2"/>
                <w:sz w:val="21"/>
                <w:lang w:eastAsia="zh-CN"/>
              </w:rPr>
              <w:t>车辆停放</w:t>
            </w:r>
          </w:p>
        </w:tc>
        <w:tc>
          <w:tcPr>
            <w:tcW w:w="5748"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ascii="Calibri" w:hAnsi="Calibri" w:cs="Calibri"/>
                <w:sz w:val="21"/>
                <w:szCs w:val="21"/>
                <w:lang w:eastAsia="zh-CN"/>
              </w:rPr>
            </w:pPr>
            <w:r>
              <w:rPr>
                <w:rFonts w:cs="Calibri" w:hint="eastAsia"/>
                <w:sz w:val="21"/>
                <w:szCs w:val="21"/>
                <w:lang w:eastAsia="zh-CN"/>
              </w:rPr>
              <w:t>（1）</w:t>
            </w:r>
            <w:r>
              <w:rPr>
                <w:rFonts w:ascii="Calibri" w:hAnsi="Calibri" w:cs="Calibri" w:hint="eastAsia"/>
                <w:sz w:val="21"/>
                <w:szCs w:val="21"/>
                <w:lang w:eastAsia="zh-CN"/>
              </w:rPr>
              <w:t>车辆行驶路线设置合理、规范，导向标志完整、清晰</w:t>
            </w:r>
            <w:r>
              <w:rPr>
                <w:rFonts w:cs="Calibri" w:hint="eastAsia"/>
                <w:sz w:val="21"/>
                <w:szCs w:val="21"/>
                <w:lang w:eastAsia="zh-CN"/>
              </w:rPr>
              <w:t>。</w:t>
            </w:r>
          </w:p>
          <w:p>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ascii="Calibri" w:hAnsi="Calibri" w:cs="Calibri" w:hint="eastAsia"/>
                <w:sz w:val="21"/>
                <w:szCs w:val="21"/>
                <w:lang w:eastAsia="zh-CN"/>
              </w:rPr>
            </w:pPr>
            <w:r>
              <w:rPr>
                <w:rFonts w:cs="Calibri" w:hint="eastAsia"/>
                <w:sz w:val="21"/>
                <w:szCs w:val="21"/>
                <w:lang w:eastAsia="zh-CN"/>
              </w:rPr>
              <w:t>（2）</w:t>
            </w:r>
            <w:r>
              <w:rPr>
                <w:rFonts w:ascii="Calibri" w:hAnsi="Calibri" w:cs="Calibri" w:hint="eastAsia"/>
                <w:sz w:val="21"/>
                <w:szCs w:val="21"/>
                <w:lang w:eastAsia="zh-CN"/>
              </w:rPr>
              <w:t>合理规划车辆停放区域，张贴车辆引导标识，对车辆及停放区域实行规范管理</w:t>
            </w:r>
            <w:r>
              <w:rPr>
                <w:rFonts w:cs="Calibri" w:hint="eastAsia"/>
                <w:sz w:val="21"/>
                <w:szCs w:val="21"/>
                <w:lang w:eastAsia="zh-CN"/>
              </w:rPr>
              <w:t>。</w:t>
            </w:r>
          </w:p>
          <w:p>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ascii="Calibri" w:hAnsi="Calibri" w:cs="Calibri" w:hint="eastAsia"/>
                <w:sz w:val="21"/>
                <w:szCs w:val="21"/>
                <w:lang w:eastAsia="zh-CN"/>
              </w:rPr>
            </w:pPr>
            <w:r>
              <w:rPr>
                <w:rFonts w:cs="Calibri" w:hint="eastAsia"/>
                <w:sz w:val="21"/>
                <w:szCs w:val="21"/>
                <w:lang w:eastAsia="zh-CN"/>
              </w:rPr>
              <w:t>（3）</w:t>
            </w:r>
            <w:r>
              <w:rPr>
                <w:rFonts w:ascii="Calibri" w:hAnsi="Calibri" w:cs="Calibri" w:hint="eastAsia"/>
                <w:sz w:val="21"/>
                <w:szCs w:val="21"/>
                <w:lang w:eastAsia="zh-CN"/>
              </w:rPr>
              <w:t>严禁在办公楼的公用走道、楼梯间、安全出口处等公共区域停放车辆或充电</w:t>
            </w:r>
            <w:r>
              <w:rPr>
                <w:rFonts w:cs="Calibri" w:hint="eastAsia"/>
                <w:sz w:val="21"/>
                <w:szCs w:val="21"/>
                <w:lang w:eastAsia="zh-CN"/>
              </w:rPr>
              <w:t>。</w:t>
            </w:r>
          </w:p>
          <w:p>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cs="Calibri" w:hint="eastAsia"/>
                <w:sz w:val="21"/>
                <w:szCs w:val="21"/>
                <w:lang w:eastAsia="zh-CN"/>
              </w:rPr>
            </w:pPr>
            <w:r>
              <w:rPr>
                <w:rFonts w:cs="Calibri" w:hint="eastAsia"/>
                <w:sz w:val="21"/>
                <w:szCs w:val="21"/>
                <w:lang w:eastAsia="zh-CN"/>
              </w:rPr>
              <w:t>（4）</w:t>
            </w:r>
            <w:r>
              <w:rPr>
                <w:rFonts w:ascii="Calibri" w:hAnsi="Calibri" w:cs="Calibri" w:hint="eastAsia"/>
                <w:sz w:val="21"/>
                <w:szCs w:val="21"/>
                <w:lang w:eastAsia="zh-CN"/>
              </w:rPr>
              <w:t>非机动车定点有序停放</w:t>
            </w:r>
            <w:r>
              <w:rPr>
                <w:rFonts w:cs="Calibri" w:hint="eastAsia"/>
                <w:sz w:val="21"/>
                <w:szCs w:val="21"/>
                <w:lang w:eastAsia="zh-CN"/>
              </w:rPr>
              <w:t>。</w:t>
            </w:r>
          </w:p>
          <w:p>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cs="Calibri" w:hint="eastAsia"/>
                <w:sz w:val="21"/>
                <w:szCs w:val="21"/>
                <w:lang w:eastAsia="zh-CN"/>
              </w:rPr>
            </w:pPr>
            <w:r>
              <w:rPr>
                <w:rFonts w:cs="Calibri" w:hint="eastAsia"/>
                <w:sz w:val="21"/>
                <w:szCs w:val="21"/>
                <w:lang w:eastAsia="zh-CN"/>
              </w:rPr>
              <w:t>（5）</w:t>
            </w:r>
            <w:r>
              <w:rPr>
                <w:rFonts w:ascii="Calibri" w:hAnsi="Calibri" w:cs="Calibri" w:hint="eastAsia"/>
                <w:sz w:val="21"/>
                <w:szCs w:val="21"/>
                <w:lang w:eastAsia="zh-CN"/>
              </w:rPr>
              <w:t>发现车辆异常情况及时通知车主，并做好登记</w:t>
            </w:r>
            <w:r>
              <w:rPr>
                <w:rFonts w:cs="Calibri" w:hint="eastAsia"/>
                <w:sz w:val="21"/>
                <w:szCs w:val="21"/>
                <w:lang w:eastAsia="zh-CN"/>
              </w:rPr>
              <w:t>；</w:t>
            </w:r>
            <w:r>
              <w:rPr>
                <w:rFonts w:ascii="Calibri" w:hAnsi="Calibri" w:cs="Calibri" w:hint="eastAsia"/>
                <w:sz w:val="21"/>
                <w:szCs w:val="21"/>
                <w:lang w:eastAsia="zh-CN"/>
              </w:rPr>
              <w:t>发生交通事故、自然灾害等意外事故时及时赶赴现场疏导和协助处理，响应时间不超过3</w:t>
            </w:r>
            <w:r>
              <w:rPr>
                <w:rFonts w:cs="Calibri" w:hint="eastAsia"/>
                <w:sz w:val="21"/>
                <w:szCs w:val="21"/>
                <w:lang w:eastAsia="zh-CN"/>
              </w:rPr>
              <w:t>分钟</w:t>
            </w:r>
            <w:r>
              <w:rPr>
                <w:rFonts w:cs="Calibri" w:hint="eastAsia"/>
                <w:sz w:val="21"/>
                <w:szCs w:val="21"/>
                <w:lang w:eastAsia="zh-CN"/>
              </w:rPr>
              <w:t>。</w:t>
            </w:r>
          </w:p>
        </w:tc>
      </w:tr>
      <w:tr>
        <w:tblPrEx>
          <w:tblW w:w="5000" w:type="pct"/>
          <w:tblInd w:w="0" w:type="dxa"/>
          <w:tblLayout w:type="fixed"/>
          <w:tblCellMar>
            <w:top w:w="0" w:type="dxa"/>
            <w:left w:w="108" w:type="dxa"/>
            <w:bottom w:w="0" w:type="dxa"/>
            <w:right w:w="108" w:type="dxa"/>
          </w:tblCellMar>
        </w:tblPrEx>
        <w:trPr>
          <w:trHeight w:val="454"/>
        </w:trPr>
        <w:tc>
          <w:tcPr>
            <w:tcW w:w="829"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firstLine="0" w:leftChars="0" w:firstLineChars="0"/>
              <w:jc w:val="center"/>
              <w:textAlignment w:val="auto"/>
              <w:rPr>
                <w:rFonts w:cs="Calibri"/>
                <w:kern w:val="2"/>
                <w:sz w:val="21"/>
                <w:lang w:eastAsia="zh-CN"/>
              </w:rPr>
            </w:pPr>
            <w:r>
              <w:rPr>
                <w:rFonts w:cs="Calibri" w:hint="eastAsia"/>
                <w:kern w:val="2"/>
                <w:sz w:val="21"/>
                <w:lang w:eastAsia="zh-CN"/>
              </w:rPr>
              <w:t>17</w:t>
            </w:r>
          </w:p>
        </w:tc>
        <w:tc>
          <w:tcPr>
            <w:tcW w:w="1879"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firstLine="0" w:leftChars="0" w:firstLineChars="0"/>
              <w:textAlignment w:val="auto"/>
              <w:rPr>
                <w:kern w:val="2"/>
                <w:sz w:val="21"/>
                <w:lang w:eastAsia="zh-CN"/>
              </w:rPr>
            </w:pPr>
            <w:r>
              <w:rPr>
                <w:rFonts w:hint="eastAsia"/>
                <w:kern w:val="2"/>
                <w:sz w:val="21"/>
                <w:lang w:eastAsia="zh-CN"/>
              </w:rPr>
              <w:t>公共</w:t>
            </w:r>
            <w:r>
              <w:rPr>
                <w:kern w:val="2"/>
                <w:sz w:val="21"/>
                <w:lang w:eastAsia="zh-CN"/>
              </w:rPr>
              <w:t>消防安全管理</w:t>
            </w:r>
          </w:p>
        </w:tc>
        <w:tc>
          <w:tcPr>
            <w:tcW w:w="5748"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ascii="Calibri" w:hAnsi="Calibri" w:cs="Calibri"/>
                <w:sz w:val="21"/>
                <w:szCs w:val="21"/>
                <w:lang w:eastAsia="zh-CN"/>
              </w:rPr>
            </w:pPr>
            <w:r>
              <w:rPr>
                <w:rFonts w:cs="Calibri" w:hint="eastAsia"/>
                <w:sz w:val="21"/>
                <w:szCs w:val="21"/>
                <w:lang w:eastAsia="zh-CN"/>
              </w:rPr>
              <w:t>（1）</w:t>
            </w:r>
            <w:r>
              <w:rPr>
                <w:rFonts w:ascii="Calibri" w:hAnsi="Calibri" w:cs="Calibri" w:hint="eastAsia"/>
                <w:sz w:val="21"/>
                <w:szCs w:val="21"/>
                <w:lang w:eastAsia="zh-CN"/>
              </w:rPr>
              <w:t>建立消防安全责任制，确定各级消防安全责任人及其职责</w:t>
            </w:r>
            <w:r>
              <w:rPr>
                <w:rFonts w:cs="Calibri" w:hint="eastAsia"/>
                <w:sz w:val="21"/>
                <w:szCs w:val="21"/>
                <w:lang w:eastAsia="zh-CN"/>
              </w:rPr>
              <w:t>。</w:t>
            </w:r>
          </w:p>
          <w:p>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ascii="Calibri" w:hAnsi="Calibri" w:cs="Calibri" w:hint="eastAsia"/>
                <w:sz w:val="21"/>
                <w:szCs w:val="21"/>
                <w:lang w:eastAsia="zh-CN"/>
              </w:rPr>
            </w:pPr>
            <w:r>
              <w:rPr>
                <w:rFonts w:cs="Calibri" w:hint="eastAsia"/>
                <w:sz w:val="21"/>
                <w:szCs w:val="21"/>
                <w:lang w:eastAsia="zh-CN"/>
              </w:rPr>
              <w:t>（2）</w:t>
            </w:r>
            <w:r>
              <w:rPr>
                <w:rFonts w:ascii="Calibri" w:hAnsi="Calibri" w:cs="Calibri" w:hint="eastAsia"/>
                <w:sz w:val="21"/>
                <w:szCs w:val="21"/>
                <w:lang w:eastAsia="zh-CN"/>
              </w:rPr>
              <w:t>消防控制室实行</w:t>
            </w:r>
            <w:r>
              <w:rPr>
                <w:rFonts w:cs="Calibri" w:hint="eastAsia"/>
                <w:sz w:val="21"/>
                <w:szCs w:val="21"/>
                <w:lang w:eastAsia="zh-CN"/>
              </w:rPr>
              <w:t>24小时</w:t>
            </w:r>
            <w:r>
              <w:rPr>
                <w:rFonts w:ascii="Calibri" w:hAnsi="Calibri" w:cs="Calibri" w:hint="eastAsia"/>
                <w:sz w:val="21"/>
                <w:szCs w:val="21"/>
                <w:lang w:eastAsia="zh-CN"/>
              </w:rPr>
              <w:t>值班制度，每班不少于2人</w:t>
            </w:r>
            <w:r>
              <w:rPr>
                <w:rFonts w:cs="Calibri" w:hint="eastAsia"/>
                <w:sz w:val="21"/>
                <w:szCs w:val="21"/>
                <w:lang w:eastAsia="zh-CN"/>
              </w:rPr>
              <w:t>。</w:t>
            </w:r>
          </w:p>
          <w:p>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ascii="Calibri" w:hAnsi="Calibri" w:cs="Calibri" w:hint="eastAsia"/>
                <w:sz w:val="21"/>
                <w:szCs w:val="21"/>
                <w:lang w:eastAsia="zh-CN"/>
              </w:rPr>
            </w:pPr>
            <w:r>
              <w:rPr>
                <w:rFonts w:cs="Calibri" w:hint="eastAsia"/>
                <w:sz w:val="21"/>
                <w:szCs w:val="21"/>
                <w:lang w:eastAsia="zh-CN"/>
              </w:rPr>
              <w:t>（3）</w:t>
            </w:r>
            <w:r>
              <w:rPr>
                <w:rFonts w:ascii="Calibri" w:hAnsi="Calibri" w:cs="Calibri" w:hint="eastAsia"/>
                <w:sz w:val="21"/>
                <w:szCs w:val="21"/>
                <w:lang w:eastAsia="zh-CN"/>
              </w:rPr>
              <w:t>消火栓、应急照明、应急物资、消防及人员逃生通道、消防车通道可随时正常使用</w:t>
            </w:r>
            <w:r>
              <w:rPr>
                <w:rFonts w:cs="Calibri" w:hint="eastAsia"/>
                <w:sz w:val="21"/>
                <w:szCs w:val="21"/>
                <w:lang w:eastAsia="zh-CN"/>
              </w:rPr>
              <w:t>。</w:t>
            </w:r>
          </w:p>
          <w:p>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cs="Calibri" w:hint="eastAsia"/>
                <w:sz w:val="21"/>
                <w:szCs w:val="21"/>
                <w:lang w:eastAsia="zh-CN"/>
              </w:rPr>
            </w:pPr>
            <w:r>
              <w:rPr>
                <w:rFonts w:cs="Calibri" w:hint="eastAsia"/>
                <w:sz w:val="21"/>
                <w:szCs w:val="21"/>
                <w:lang w:eastAsia="zh-CN"/>
              </w:rPr>
              <w:t>（4）</w:t>
            </w:r>
            <w:r>
              <w:rPr>
                <w:rFonts w:ascii="Calibri" w:hAnsi="Calibri" w:cs="Calibri" w:hint="eastAsia"/>
                <w:sz w:val="21"/>
                <w:szCs w:val="21"/>
                <w:lang w:eastAsia="zh-CN"/>
              </w:rPr>
              <w:t>易燃易爆品设专区专人管理，做好相关记录</w:t>
            </w:r>
            <w:r>
              <w:rPr>
                <w:rFonts w:cs="Calibri" w:hint="eastAsia"/>
                <w:sz w:val="21"/>
                <w:szCs w:val="21"/>
                <w:lang w:eastAsia="zh-CN"/>
              </w:rPr>
              <w:t>。</w:t>
            </w:r>
          </w:p>
          <w:p>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cs="Calibri" w:hint="eastAsia"/>
                <w:sz w:val="21"/>
                <w:szCs w:val="21"/>
                <w:lang w:eastAsia="zh-CN"/>
              </w:rPr>
            </w:pPr>
            <w:r>
              <w:rPr>
                <w:rFonts w:cs="Calibri" w:hint="eastAsia"/>
                <w:sz w:val="21"/>
                <w:szCs w:val="21"/>
                <w:lang w:eastAsia="zh-CN"/>
              </w:rPr>
              <w:t>（5）</w:t>
            </w:r>
            <w:r>
              <w:rPr>
                <w:rFonts w:ascii="Calibri" w:hAnsi="Calibri" w:cs="Calibri" w:hint="eastAsia"/>
                <w:sz w:val="21"/>
                <w:szCs w:val="21"/>
                <w:lang w:eastAsia="zh-CN"/>
              </w:rPr>
              <w:t>定期组织消防安全宣传，每半年</w:t>
            </w:r>
            <w:r>
              <w:rPr>
                <w:rFonts w:cs="Calibri" w:hint="eastAsia"/>
                <w:sz w:val="21"/>
                <w:szCs w:val="21"/>
                <w:lang w:eastAsia="zh-CN"/>
              </w:rPr>
              <w:t>至少开展</w:t>
            </w:r>
            <w:r>
              <w:rPr>
                <w:rFonts w:ascii="Calibri" w:hAnsi="Calibri" w:cs="Calibri" w:hint="eastAsia"/>
                <w:sz w:val="21"/>
                <w:szCs w:val="21"/>
                <w:lang w:eastAsia="zh-CN"/>
              </w:rPr>
              <w:t>1次消防演练</w:t>
            </w:r>
            <w:r>
              <w:rPr>
                <w:rFonts w:cs="Calibri" w:hint="eastAsia"/>
                <w:sz w:val="21"/>
                <w:szCs w:val="21"/>
                <w:lang w:eastAsia="zh-CN"/>
              </w:rPr>
              <w:t>。</w:t>
            </w:r>
          </w:p>
        </w:tc>
      </w:tr>
      <w:tr>
        <w:tblPrEx>
          <w:tblW w:w="5000" w:type="pct"/>
          <w:tblInd w:w="0" w:type="dxa"/>
          <w:tblLayout w:type="fixed"/>
          <w:tblCellMar>
            <w:top w:w="0" w:type="dxa"/>
            <w:left w:w="108" w:type="dxa"/>
            <w:bottom w:w="0" w:type="dxa"/>
            <w:right w:w="108" w:type="dxa"/>
          </w:tblCellMar>
        </w:tblPrEx>
        <w:trPr>
          <w:trHeight w:val="454"/>
        </w:trPr>
        <w:tc>
          <w:tcPr>
            <w:tcW w:w="829"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firstLine="0" w:leftChars="0" w:firstLineChars="0"/>
              <w:jc w:val="center"/>
              <w:textAlignment w:val="auto"/>
              <w:rPr>
                <w:rFonts w:cs="Calibri"/>
                <w:kern w:val="2"/>
                <w:sz w:val="21"/>
                <w:lang w:eastAsia="zh-CN"/>
              </w:rPr>
            </w:pPr>
            <w:r>
              <w:rPr>
                <w:rFonts w:cs="Calibri" w:hint="eastAsia"/>
                <w:kern w:val="2"/>
                <w:sz w:val="21"/>
                <w:lang w:eastAsia="zh-CN"/>
              </w:rPr>
              <w:t>18</w:t>
            </w:r>
          </w:p>
        </w:tc>
        <w:tc>
          <w:tcPr>
            <w:tcW w:w="1879"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firstLine="0" w:leftChars="0" w:firstLineChars="0"/>
              <w:textAlignment w:val="auto"/>
              <w:rPr>
                <w:kern w:val="2"/>
                <w:sz w:val="21"/>
                <w:lang w:eastAsia="zh-CN"/>
              </w:rPr>
            </w:pPr>
            <w:r>
              <w:rPr>
                <w:kern w:val="2"/>
                <w:sz w:val="21"/>
                <w:lang w:eastAsia="zh-CN"/>
              </w:rPr>
              <w:t>突发事件处理</w:t>
            </w:r>
          </w:p>
        </w:tc>
        <w:tc>
          <w:tcPr>
            <w:tcW w:w="5748"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ascii="Calibri" w:hAnsi="Calibri" w:cs="Calibri"/>
                <w:sz w:val="21"/>
                <w:szCs w:val="21"/>
                <w:lang w:eastAsia="zh-CN"/>
              </w:rPr>
            </w:pPr>
            <w:r>
              <w:rPr>
                <w:rFonts w:cs="Calibri" w:hint="eastAsia"/>
                <w:sz w:val="21"/>
                <w:szCs w:val="21"/>
                <w:lang w:eastAsia="zh-CN"/>
              </w:rPr>
              <w:t>（1）</w:t>
            </w:r>
            <w:r>
              <w:rPr>
                <w:rFonts w:ascii="Calibri" w:hAnsi="Calibri" w:cs="Calibri" w:hint="eastAsia"/>
                <w:sz w:val="21"/>
                <w:szCs w:val="21"/>
                <w:lang w:eastAsia="zh-CN"/>
              </w:rPr>
              <w:t>制定突发事件安全责任书，明确突发事件责任人及应承担的安全责任</w:t>
            </w:r>
            <w:r>
              <w:rPr>
                <w:rFonts w:cs="Calibri" w:hint="eastAsia"/>
                <w:sz w:val="21"/>
                <w:szCs w:val="21"/>
                <w:lang w:eastAsia="zh-CN"/>
              </w:rPr>
              <w:t>。</w:t>
            </w:r>
          </w:p>
          <w:p>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ascii="Calibri" w:hAnsi="Calibri" w:cs="Calibri" w:hint="eastAsia"/>
                <w:sz w:val="21"/>
                <w:szCs w:val="21"/>
                <w:lang w:eastAsia="zh-CN"/>
              </w:rPr>
            </w:pPr>
            <w:r>
              <w:rPr>
                <w:rFonts w:cs="Calibri" w:hint="eastAsia"/>
                <w:sz w:val="21"/>
                <w:szCs w:val="21"/>
                <w:lang w:eastAsia="zh-CN"/>
              </w:rPr>
              <w:t>（2）</w:t>
            </w:r>
            <w:r>
              <w:rPr>
                <w:rFonts w:ascii="Calibri" w:hAnsi="Calibri" w:cs="Calibri" w:hint="eastAsia"/>
                <w:sz w:val="21"/>
                <w:szCs w:val="21"/>
                <w:lang w:eastAsia="zh-CN"/>
              </w:rPr>
              <w:t>建立应急突发事件处置队伍，明确各自的职责</w:t>
            </w:r>
            <w:r>
              <w:rPr>
                <w:rFonts w:cs="Calibri" w:hint="eastAsia"/>
                <w:sz w:val="21"/>
                <w:szCs w:val="21"/>
                <w:lang w:eastAsia="zh-CN"/>
              </w:rPr>
              <w:t>。</w:t>
            </w:r>
          </w:p>
          <w:p>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ascii="Calibri" w:hAnsi="Calibri" w:cs="Calibri" w:hint="eastAsia"/>
                <w:sz w:val="21"/>
                <w:szCs w:val="21"/>
                <w:lang w:eastAsia="zh-CN"/>
              </w:rPr>
            </w:pPr>
            <w:r>
              <w:rPr>
                <w:rFonts w:cs="Calibri" w:hint="eastAsia"/>
                <w:sz w:val="21"/>
                <w:szCs w:val="21"/>
                <w:lang w:eastAsia="zh-CN"/>
              </w:rPr>
              <w:t>（3）</w:t>
            </w:r>
            <w:r>
              <w:rPr>
                <w:rFonts w:ascii="Calibri" w:hAnsi="Calibri" w:cs="Calibri" w:hint="eastAsia"/>
                <w:sz w:val="21"/>
                <w:szCs w:val="21"/>
                <w:lang w:eastAsia="zh-CN"/>
              </w:rPr>
              <w:t>识别、分析各种潜在风险，针对不同风险类型制定相应解决方案，并配备应急物资</w:t>
            </w:r>
            <w:r>
              <w:rPr>
                <w:rFonts w:cs="Calibri" w:hint="eastAsia"/>
                <w:sz w:val="21"/>
                <w:szCs w:val="21"/>
                <w:lang w:eastAsia="zh-CN"/>
              </w:rPr>
              <w:t>。</w:t>
            </w:r>
          </w:p>
          <w:p>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ascii="Calibri" w:hAnsi="Calibri" w:cs="Calibri" w:hint="eastAsia"/>
                <w:sz w:val="21"/>
                <w:szCs w:val="21"/>
                <w:lang w:eastAsia="zh-CN"/>
              </w:rPr>
            </w:pPr>
            <w:r>
              <w:rPr>
                <w:rFonts w:cs="Calibri" w:hint="eastAsia"/>
                <w:sz w:val="21"/>
                <w:szCs w:val="21"/>
                <w:lang w:eastAsia="zh-CN"/>
              </w:rPr>
              <w:t>（4）</w:t>
            </w:r>
            <w:r>
              <w:rPr>
                <w:rFonts w:ascii="Calibri" w:hAnsi="Calibri" w:cs="Calibri" w:hint="eastAsia"/>
                <w:sz w:val="21"/>
                <w:szCs w:val="21"/>
                <w:lang w:eastAsia="zh-CN"/>
              </w:rPr>
              <w:t>每半年</w:t>
            </w:r>
            <w:r>
              <w:rPr>
                <w:rFonts w:cs="Calibri" w:hint="eastAsia"/>
                <w:sz w:val="21"/>
                <w:szCs w:val="21"/>
                <w:lang w:eastAsia="zh-CN"/>
              </w:rPr>
              <w:t>至少开展</w:t>
            </w:r>
            <w:r>
              <w:rPr>
                <w:rFonts w:ascii="Calibri" w:hAnsi="Calibri" w:cs="Calibri" w:hint="eastAsia"/>
                <w:sz w:val="21"/>
                <w:szCs w:val="21"/>
                <w:lang w:eastAsia="zh-CN"/>
              </w:rPr>
              <w:t>1次突发事件应急演练，并有相应记录</w:t>
            </w:r>
            <w:r>
              <w:rPr>
                <w:rFonts w:cs="Calibri" w:hint="eastAsia"/>
                <w:sz w:val="21"/>
                <w:szCs w:val="21"/>
                <w:lang w:eastAsia="zh-CN"/>
              </w:rPr>
              <w:t>。</w:t>
            </w:r>
          </w:p>
          <w:p>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ascii="Calibri" w:hAnsi="Calibri" w:cs="Calibri" w:hint="eastAsia"/>
                <w:sz w:val="21"/>
                <w:szCs w:val="21"/>
                <w:lang w:eastAsia="zh-CN"/>
              </w:rPr>
            </w:pPr>
            <w:r>
              <w:rPr>
                <w:rFonts w:cs="Calibri" w:hint="eastAsia"/>
                <w:sz w:val="21"/>
                <w:szCs w:val="21"/>
                <w:lang w:eastAsia="zh-CN"/>
              </w:rPr>
              <w:t>（5）</w:t>
            </w:r>
            <w:r>
              <w:rPr>
                <w:rFonts w:ascii="Calibri" w:hAnsi="Calibri" w:cs="Calibri" w:hint="eastAsia"/>
                <w:sz w:val="21"/>
                <w:szCs w:val="21"/>
                <w:lang w:eastAsia="zh-CN"/>
              </w:rPr>
              <w:t>发生意外事件时，及时采取应急措施，维护办公区域物业服务正常进行，保护人身财产安全</w:t>
            </w:r>
            <w:r>
              <w:rPr>
                <w:rFonts w:cs="Calibri" w:hint="eastAsia"/>
                <w:sz w:val="21"/>
                <w:szCs w:val="21"/>
                <w:lang w:eastAsia="zh-CN"/>
              </w:rPr>
              <w:t>。</w:t>
            </w:r>
          </w:p>
          <w:p>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cs="Calibri" w:hint="eastAsia"/>
                <w:sz w:val="21"/>
                <w:szCs w:val="21"/>
                <w:lang w:eastAsia="zh-CN"/>
              </w:rPr>
            </w:pPr>
            <w:r>
              <w:rPr>
                <w:rFonts w:cs="Calibri" w:hint="eastAsia"/>
                <w:sz w:val="21"/>
                <w:szCs w:val="21"/>
                <w:lang w:eastAsia="zh-CN"/>
              </w:rPr>
              <w:t>（6）</w:t>
            </w:r>
            <w:r>
              <w:rPr>
                <w:rFonts w:ascii="Calibri" w:hAnsi="Calibri" w:cs="Calibri" w:hint="eastAsia"/>
                <w:sz w:val="21"/>
                <w:szCs w:val="21"/>
                <w:lang w:eastAsia="zh-CN"/>
              </w:rPr>
              <w:t>办公区域物业服务应急预案终止实施后，积极采取措施，在尽可能短的时间内，消除事故带来的不良影响，妥善安置和慰问受害及受影响的人员和部门</w:t>
            </w:r>
            <w:r>
              <w:rPr>
                <w:rFonts w:cs="Calibri" w:hint="eastAsia"/>
                <w:sz w:val="21"/>
                <w:szCs w:val="21"/>
                <w:lang w:eastAsia="zh-CN"/>
              </w:rPr>
              <w:t>。</w:t>
            </w:r>
          </w:p>
          <w:p>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cs="Calibri" w:hint="eastAsia"/>
                <w:sz w:val="21"/>
                <w:szCs w:val="21"/>
                <w:lang w:eastAsia="zh-CN"/>
              </w:rPr>
            </w:pPr>
            <w:r>
              <w:rPr>
                <w:rFonts w:cs="Calibri" w:hint="eastAsia"/>
                <w:sz w:val="21"/>
                <w:szCs w:val="21"/>
                <w:lang w:eastAsia="zh-CN"/>
              </w:rPr>
              <w:t>（7）</w:t>
            </w:r>
            <w:r>
              <w:rPr>
                <w:rFonts w:ascii="Calibri" w:hAnsi="Calibri" w:cs="Calibri" w:hint="eastAsia"/>
                <w:sz w:val="21"/>
                <w:szCs w:val="21"/>
                <w:lang w:eastAsia="zh-CN"/>
              </w:rPr>
              <w:t>事故处理后，及时形成事故应急总结报告，完善应急救援工作方案</w:t>
            </w:r>
            <w:r>
              <w:rPr>
                <w:rFonts w:cs="Calibri" w:hint="eastAsia"/>
                <w:sz w:val="21"/>
                <w:szCs w:val="21"/>
                <w:lang w:eastAsia="zh-CN"/>
              </w:rPr>
              <w:t>。</w:t>
            </w:r>
          </w:p>
        </w:tc>
      </w:tr>
      <w:tr>
        <w:tblPrEx>
          <w:tblW w:w="5000" w:type="pct"/>
          <w:tblInd w:w="0" w:type="dxa"/>
          <w:tblLayout w:type="fixed"/>
          <w:tblCellMar>
            <w:top w:w="0" w:type="dxa"/>
            <w:left w:w="108" w:type="dxa"/>
            <w:bottom w:w="0" w:type="dxa"/>
            <w:right w:w="108" w:type="dxa"/>
          </w:tblCellMar>
        </w:tblPrEx>
        <w:trPr>
          <w:trHeight w:val="454"/>
        </w:trPr>
        <w:tc>
          <w:tcPr>
            <w:tcW w:w="829"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firstLine="0" w:leftChars="0" w:firstLineChars="0"/>
              <w:jc w:val="center"/>
              <w:textAlignment w:val="auto"/>
              <w:rPr>
                <w:rFonts w:cs="Calibri"/>
                <w:kern w:val="2"/>
                <w:sz w:val="21"/>
                <w:lang w:eastAsia="zh-CN"/>
              </w:rPr>
            </w:pPr>
            <w:r>
              <w:rPr>
                <w:rFonts w:cs="Calibri" w:hint="eastAsia"/>
                <w:kern w:val="2"/>
                <w:sz w:val="21"/>
                <w:lang w:eastAsia="zh-CN"/>
              </w:rPr>
              <w:t>19</w:t>
            </w:r>
          </w:p>
        </w:tc>
        <w:tc>
          <w:tcPr>
            <w:tcW w:w="1879"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firstLine="0" w:leftChars="0" w:firstLineChars="0"/>
              <w:textAlignment w:val="auto"/>
              <w:rPr>
                <w:kern w:val="2"/>
                <w:sz w:val="21"/>
                <w:lang w:eastAsia="zh-CN"/>
              </w:rPr>
            </w:pPr>
            <w:r>
              <w:rPr>
                <w:kern w:val="2"/>
                <w:sz w:val="21"/>
                <w:lang w:eastAsia="zh-CN"/>
              </w:rPr>
              <w:t>大型活动秩序</w:t>
            </w:r>
          </w:p>
        </w:tc>
        <w:tc>
          <w:tcPr>
            <w:tcW w:w="5748"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ascii="Calibri" w:hAnsi="Calibri" w:cs="Calibri"/>
                <w:sz w:val="21"/>
                <w:szCs w:val="21"/>
                <w:lang w:eastAsia="zh-CN"/>
              </w:rPr>
            </w:pPr>
            <w:r>
              <w:rPr>
                <w:rFonts w:cs="Calibri" w:hint="eastAsia"/>
                <w:sz w:val="21"/>
                <w:szCs w:val="21"/>
                <w:lang w:eastAsia="zh-CN"/>
              </w:rPr>
              <w:t>（1）</w:t>
            </w:r>
            <w:r>
              <w:rPr>
                <w:rFonts w:ascii="Calibri" w:hAnsi="Calibri" w:cs="Calibri" w:hint="eastAsia"/>
                <w:sz w:val="21"/>
                <w:szCs w:val="21"/>
                <w:lang w:eastAsia="zh-CN"/>
              </w:rPr>
              <w:t>制定相应的活动秩序维护方案，合理安排人员，并对场所的安全隐患进行排查</w:t>
            </w:r>
            <w:r>
              <w:rPr>
                <w:rFonts w:cs="Calibri" w:hint="eastAsia"/>
                <w:sz w:val="21"/>
                <w:szCs w:val="21"/>
                <w:lang w:eastAsia="zh-CN"/>
              </w:rPr>
              <w:t>。</w:t>
            </w:r>
          </w:p>
          <w:p>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ascii="Calibri" w:hAnsi="Calibri" w:cs="Calibri" w:hint="eastAsia"/>
                <w:sz w:val="21"/>
                <w:szCs w:val="21"/>
                <w:lang w:eastAsia="zh-CN"/>
              </w:rPr>
            </w:pPr>
            <w:r>
              <w:rPr>
                <w:rFonts w:cs="Calibri" w:hint="eastAsia"/>
                <w:sz w:val="21"/>
                <w:szCs w:val="21"/>
                <w:lang w:eastAsia="zh-CN"/>
              </w:rPr>
              <w:t>（2）</w:t>
            </w:r>
            <w:r>
              <w:rPr>
                <w:rFonts w:ascii="Calibri" w:hAnsi="Calibri" w:cs="Calibri" w:hint="eastAsia"/>
                <w:sz w:val="21"/>
                <w:szCs w:val="21"/>
                <w:lang w:eastAsia="zh-CN"/>
              </w:rPr>
              <w:t>应</w:t>
            </w:r>
            <w:r>
              <w:rPr>
                <w:rFonts w:cs="Calibri" w:hint="eastAsia"/>
                <w:sz w:val="21"/>
                <w:szCs w:val="21"/>
                <w:lang w:eastAsia="zh-CN"/>
              </w:rPr>
              <w:t>当</w:t>
            </w:r>
            <w:r>
              <w:rPr>
                <w:rFonts w:ascii="Calibri" w:hAnsi="Calibri" w:cs="Calibri" w:hint="eastAsia"/>
                <w:sz w:val="21"/>
                <w:szCs w:val="21"/>
                <w:lang w:eastAsia="zh-CN"/>
              </w:rPr>
              <w:t>保障通道、出入口、停车场等区域畅通</w:t>
            </w:r>
            <w:r>
              <w:rPr>
                <w:rFonts w:cs="Calibri" w:hint="eastAsia"/>
                <w:sz w:val="21"/>
                <w:szCs w:val="21"/>
                <w:lang w:eastAsia="zh-CN"/>
              </w:rPr>
              <w:t>。</w:t>
            </w:r>
          </w:p>
          <w:p>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cs="Calibri" w:hint="eastAsia"/>
                <w:sz w:val="21"/>
                <w:szCs w:val="21"/>
                <w:lang w:eastAsia="zh-CN"/>
              </w:rPr>
            </w:pPr>
            <w:r>
              <w:rPr>
                <w:rFonts w:cs="Calibri" w:hint="eastAsia"/>
                <w:sz w:val="21"/>
                <w:szCs w:val="21"/>
                <w:lang w:eastAsia="zh-CN"/>
              </w:rPr>
              <w:t>（3）</w:t>
            </w:r>
            <w:r>
              <w:rPr>
                <w:rFonts w:ascii="Calibri" w:hAnsi="Calibri" w:cs="Calibri" w:hint="eastAsia"/>
                <w:sz w:val="21"/>
                <w:szCs w:val="21"/>
                <w:lang w:eastAsia="zh-CN"/>
              </w:rPr>
              <w:t>活动举办过程中，做好现场秩序的维护和突发事故的处置工作，确保活动正常进行</w:t>
            </w:r>
            <w:r>
              <w:rPr>
                <w:rFonts w:cs="Calibri" w:hint="eastAsia"/>
                <w:sz w:val="21"/>
                <w:szCs w:val="21"/>
                <w:lang w:eastAsia="zh-CN"/>
              </w:rPr>
              <w:t>。</w:t>
            </w:r>
          </w:p>
        </w:tc>
      </w:tr>
    </w:tbl>
    <w:p>
      <w:pPr>
        <w:widowControl w:val="0"/>
        <w:jc w:val="both"/>
        <w:rPr>
          <w:rFonts w:eastAsia="宋体"/>
          <w:b/>
          <w:kern w:val="2"/>
          <w:lang w:eastAsia="zh-CN"/>
        </w:rPr>
      </w:pPr>
    </w:p>
    <w:p>
      <w:pPr>
        <w:widowControl w:val="0"/>
        <w:jc w:val="both"/>
        <w:rPr>
          <w:rFonts w:eastAsia="宋体"/>
          <w:b/>
          <w:kern w:val="2"/>
          <w:lang w:eastAsia="zh-CN"/>
        </w:rPr>
      </w:pPr>
    </w:p>
    <w:p>
      <w:pPr>
        <w:widowControl w:val="0"/>
        <w:jc w:val="both"/>
        <w:rPr>
          <w:rFonts w:eastAsia="宋体"/>
          <w:b/>
          <w:kern w:val="2"/>
          <w:lang w:eastAsia="zh-CN"/>
        </w:rPr>
      </w:pPr>
    </w:p>
    <w:p>
      <w:pPr>
        <w:keepNext/>
        <w:keepLines/>
        <w:widowControl w:val="0"/>
        <w:adjustRightInd w:val="0"/>
        <w:spacing w:before="120" w:beforeLines="50" w:after="120" w:afterLines="50" w:line="240" w:lineRule="auto"/>
        <w:jc w:val="center"/>
        <w:textAlignment w:val="baseline"/>
        <w:outlineLvl w:val="1"/>
        <w:rPr>
          <w:rFonts w:ascii="宋体" w:eastAsia="宋体" w:hAnsi="宋体" w:hint="eastAsia"/>
          <w:b/>
          <w:bCs/>
          <w:lang w:eastAsia="zh-CN"/>
        </w:rPr>
      </w:pPr>
      <w:r>
        <w:rPr>
          <w:rFonts w:ascii="宋体" w:eastAsia="宋体" w:hAnsi="宋体" w:hint="eastAsia"/>
          <w:b/>
          <w:bCs/>
          <w:lang w:eastAsia="zh-CN"/>
        </w:rPr>
        <w:t>六、商务要求</w:t>
      </w:r>
    </w:p>
    <w:p>
      <w:pPr>
        <w:widowControl w:val="0"/>
        <w:numPr>
          <w:ilvl w:val="0"/>
          <w:numId w:val="0"/>
        </w:numPr>
        <w:spacing w:line="360" w:lineRule="auto"/>
        <w:ind w:left="0" w:firstLine="0"/>
        <w:jc w:val="both"/>
        <w:rPr>
          <w:rFonts w:eastAsia="宋体" w:hint="eastAsia"/>
          <w:kern w:val="2"/>
          <w:sz w:val="21"/>
          <w:lang w:eastAsia="zh-CN"/>
        </w:rPr>
      </w:pPr>
      <w:r>
        <w:rPr>
          <w:rFonts w:eastAsia="宋体" w:hint="eastAsia"/>
          <w:kern w:val="2"/>
          <w:sz w:val="21"/>
          <w:lang w:eastAsia="zh-CN"/>
        </w:rPr>
        <w:t>（一）服务期限：</w:t>
      </w:r>
      <w:r>
        <w:rPr>
          <w:rFonts w:ascii="宋体" w:eastAsia="宋体" w:hAnsi="宋体" w:hint="eastAsia"/>
          <w:kern w:val="2"/>
          <w:sz w:val="21"/>
          <w:lang w:eastAsia="zh-CN"/>
        </w:rPr>
        <w:t>合同签订之日起1年</w:t>
      </w:r>
      <w:r>
        <w:rPr>
          <w:rFonts w:ascii="宋体" w:eastAsia="宋体" w:hAnsi="宋体" w:hint="eastAsia"/>
          <w:kern w:val="2"/>
          <w:sz w:val="21"/>
          <w:lang w:eastAsia="zh-CN"/>
        </w:rPr>
        <w:t>。本项目为长期</w:t>
      </w:r>
      <w:r>
        <w:rPr>
          <w:rFonts w:ascii="宋体" w:eastAsia="宋体" w:hAnsi="宋体" w:hint="eastAsia"/>
          <w:kern w:val="2"/>
          <w:sz w:val="21"/>
          <w:lang w:eastAsia="zh-CN"/>
        </w:rPr>
        <w:t>服务</w:t>
      </w:r>
      <w:r>
        <w:rPr>
          <w:rFonts w:ascii="宋体" w:eastAsia="宋体" w:hAnsi="宋体" w:hint="eastAsia"/>
          <w:kern w:val="2"/>
          <w:sz w:val="21"/>
          <w:lang w:eastAsia="zh-CN"/>
        </w:rPr>
        <w:t>类项目，一、合同期满可以续签，但合同履行期限最长不得超过三十六个月。如采购人对履约情况不满意，采购人可不再续约。合同每年签订一次，乙方履约情况经考核符合合同续期标准的，第二年和第三年可逐年签订续期合同。</w:t>
      </w:r>
    </w:p>
    <w:p>
      <w:pPr>
        <w:widowControl w:val="0"/>
        <w:numPr>
          <w:ilvl w:val="0"/>
          <w:numId w:val="0"/>
        </w:numPr>
        <w:spacing w:line="360" w:lineRule="auto"/>
        <w:ind w:left="0" w:firstLine="0"/>
        <w:jc w:val="both"/>
        <w:rPr>
          <w:rFonts w:eastAsia="宋体" w:hint="eastAsia"/>
          <w:kern w:val="2"/>
          <w:sz w:val="21"/>
          <w:lang w:eastAsia="zh-CN"/>
        </w:rPr>
      </w:pPr>
      <w:r>
        <w:rPr>
          <w:rFonts w:eastAsia="宋体" w:hint="eastAsia"/>
          <w:kern w:val="2"/>
          <w:sz w:val="21"/>
          <w:lang w:eastAsia="zh-CN"/>
        </w:rPr>
        <w:t>（二）</w:t>
      </w:r>
      <w:r>
        <w:rPr>
          <w:rFonts w:eastAsia="宋体" w:hint="eastAsia"/>
          <w:kern w:val="2"/>
          <w:sz w:val="21"/>
          <w:lang w:eastAsia="zh-CN"/>
        </w:rPr>
        <w:t>服务地点：深圳市盐田区盐田科技大厦</w:t>
      </w:r>
    </w:p>
    <w:p>
      <w:pPr>
        <w:widowControl w:val="0"/>
        <w:spacing w:line="360" w:lineRule="auto"/>
        <w:jc w:val="both"/>
        <w:rPr>
          <w:rFonts w:eastAsia="宋体"/>
          <w:kern w:val="2"/>
          <w:sz w:val="21"/>
          <w:lang w:eastAsia="zh-CN"/>
        </w:rPr>
      </w:pPr>
      <w:r>
        <w:rPr>
          <w:rFonts w:eastAsia="宋体" w:hint="eastAsia"/>
          <w:kern w:val="2"/>
          <w:sz w:val="21"/>
          <w:lang w:eastAsia="zh-CN"/>
        </w:rPr>
        <w:t>（三</w:t>
      </w:r>
      <w:r>
        <w:rPr>
          <w:rFonts w:eastAsia="宋体" w:hint="eastAsia"/>
          <w:kern w:val="2"/>
          <w:sz w:val="21"/>
          <w:lang w:eastAsia="zh-CN"/>
        </w:rPr>
        <w:t>）报价要求：</w:t>
      </w:r>
    </w:p>
    <w:p>
      <w:pPr>
        <w:widowControl w:val="0"/>
        <w:spacing w:line="360" w:lineRule="auto"/>
        <w:jc w:val="both"/>
        <w:rPr>
          <w:rFonts w:eastAsia="宋体" w:hint="eastAsia"/>
          <w:kern w:val="2"/>
          <w:sz w:val="21"/>
          <w:lang w:eastAsia="zh-CN"/>
        </w:rPr>
      </w:pPr>
      <w:r>
        <w:rPr>
          <w:rFonts w:eastAsia="宋体" w:hint="eastAsia"/>
          <w:kern w:val="2"/>
          <w:sz w:val="21"/>
          <w:lang w:eastAsia="zh-CN"/>
        </w:rPr>
        <w:t>1.本项目服务费</w:t>
      </w:r>
      <w:r>
        <w:rPr>
          <w:rFonts w:eastAsia="宋体" w:hint="eastAsia"/>
          <w:kern w:val="2"/>
          <w:sz w:val="21"/>
          <w:lang w:eastAsia="zh-CN"/>
        </w:rPr>
        <w:t>采用包干制，</w:t>
      </w:r>
      <w:r>
        <w:rPr>
          <w:rFonts w:eastAsia="宋体" w:hint="eastAsia"/>
          <w:kern w:val="2"/>
          <w:sz w:val="21"/>
          <w:lang w:eastAsia="zh-CN"/>
        </w:rPr>
        <w:t>包括：</w:t>
      </w:r>
      <w:r>
        <w:rPr>
          <w:rFonts w:eastAsia="宋体" w:hint="eastAsia"/>
          <w:kern w:val="2"/>
          <w:sz w:val="21"/>
          <w:lang w:eastAsia="zh-CN"/>
        </w:rPr>
        <w:t>综合服务</w:t>
      </w:r>
      <w:r>
        <w:rPr>
          <w:rFonts w:eastAsia="宋体" w:hint="eastAsia"/>
          <w:kern w:val="2"/>
          <w:sz w:val="21"/>
          <w:lang w:eastAsia="zh-CN"/>
        </w:rPr>
        <w:t>、公共区域</w:t>
      </w:r>
      <w:r>
        <w:rPr>
          <w:rFonts w:eastAsia="宋体" w:hint="eastAsia"/>
          <w:kern w:val="2"/>
          <w:sz w:val="21"/>
          <w:lang w:eastAsia="zh-CN"/>
        </w:rPr>
        <w:t>清洁卫生服务</w:t>
      </w:r>
      <w:r>
        <w:rPr>
          <w:rFonts w:eastAsia="宋体" w:hint="eastAsia"/>
          <w:kern w:val="2"/>
          <w:sz w:val="21"/>
          <w:lang w:eastAsia="zh-CN"/>
        </w:rPr>
        <w:t>、户外及大厦大堂</w:t>
      </w:r>
      <w:r>
        <w:rPr>
          <w:rFonts w:eastAsia="宋体" w:hint="eastAsia"/>
          <w:kern w:val="2"/>
          <w:sz w:val="21"/>
          <w:lang w:eastAsia="zh-CN"/>
        </w:rPr>
        <w:t>绿化养护</w:t>
      </w:r>
      <w:r>
        <w:rPr>
          <w:rFonts w:eastAsia="宋体" w:hint="eastAsia"/>
          <w:kern w:val="2"/>
          <w:sz w:val="21"/>
          <w:lang w:eastAsia="zh-CN"/>
        </w:rPr>
        <w:t>（含绿植摆放）</w:t>
      </w:r>
      <w:r>
        <w:rPr>
          <w:rFonts w:eastAsia="宋体" w:hint="eastAsia"/>
          <w:kern w:val="2"/>
          <w:sz w:val="21"/>
          <w:lang w:eastAsia="zh-CN"/>
        </w:rPr>
        <w:t>服务</w:t>
      </w:r>
      <w:r>
        <w:rPr>
          <w:rFonts w:eastAsia="宋体" w:hint="eastAsia"/>
          <w:kern w:val="2"/>
          <w:sz w:val="21"/>
          <w:lang w:eastAsia="zh-CN"/>
        </w:rPr>
        <w:t>、</w:t>
      </w:r>
      <w:r>
        <w:rPr>
          <w:rFonts w:eastAsia="宋体" w:hint="eastAsia"/>
          <w:kern w:val="2"/>
          <w:sz w:val="21"/>
          <w:lang w:eastAsia="zh-CN"/>
        </w:rPr>
        <w:t>秩序维护服务</w:t>
      </w:r>
      <w:r>
        <w:rPr>
          <w:rFonts w:eastAsia="宋体" w:hint="eastAsia"/>
          <w:kern w:val="2"/>
          <w:sz w:val="21"/>
          <w:lang w:eastAsia="zh-CN"/>
        </w:rPr>
        <w:t>、</w:t>
      </w:r>
      <w:r>
        <w:rPr>
          <w:rFonts w:eastAsia="宋体" w:hint="eastAsia"/>
          <w:kern w:val="2"/>
          <w:sz w:val="21"/>
          <w:lang w:eastAsia="zh-CN"/>
        </w:rPr>
        <w:t>公共</w:t>
      </w:r>
      <w:r>
        <w:rPr>
          <w:rFonts w:eastAsia="宋体" w:hint="eastAsia"/>
          <w:kern w:val="2"/>
          <w:sz w:val="21"/>
          <w:lang w:eastAsia="zh-CN"/>
        </w:rPr>
        <w:t>设施设备管理</w:t>
      </w:r>
      <w:r>
        <w:rPr>
          <w:rFonts w:eastAsia="宋体" w:hint="eastAsia"/>
          <w:kern w:val="2"/>
          <w:sz w:val="21"/>
          <w:lang w:eastAsia="zh-CN"/>
        </w:rPr>
        <w:t>服务</w:t>
      </w:r>
      <w:r>
        <w:rPr>
          <w:rFonts w:eastAsia="宋体" w:hint="eastAsia"/>
          <w:kern w:val="2"/>
          <w:sz w:val="21"/>
          <w:lang w:eastAsia="zh-CN"/>
        </w:rPr>
        <w:t>、</w:t>
      </w:r>
      <w:r>
        <w:rPr>
          <w:rFonts w:eastAsia="宋体" w:hint="eastAsia"/>
          <w:kern w:val="2"/>
          <w:sz w:val="21"/>
          <w:lang w:eastAsia="zh-CN"/>
        </w:rPr>
        <w:t>办公坐席区域清洁服务（含对外服务窗口、会议室等）等费用</w:t>
      </w:r>
      <w:r>
        <w:rPr>
          <w:rFonts w:eastAsia="宋体" w:hint="eastAsia"/>
          <w:kern w:val="2"/>
          <w:sz w:val="21"/>
          <w:lang w:eastAsia="zh-CN"/>
        </w:rPr>
        <w:t>。由</w:t>
      </w:r>
      <w:r>
        <w:rPr>
          <w:rFonts w:eastAsia="宋体" w:hint="eastAsia"/>
          <w:kern w:val="2"/>
          <w:sz w:val="21"/>
          <w:lang w:eastAsia="zh-CN"/>
        </w:rPr>
        <w:t>企业根据谈判文件所提供的资料自行测算投标报价，报价格式详见谈判应答文件格式/价格部分；</w:t>
      </w:r>
    </w:p>
    <w:p>
      <w:pPr>
        <w:widowControl w:val="0"/>
        <w:spacing w:line="360" w:lineRule="auto"/>
        <w:jc w:val="both"/>
        <w:rPr>
          <w:rFonts w:eastAsia="宋体" w:hint="eastAsia"/>
          <w:kern w:val="2"/>
          <w:sz w:val="21"/>
          <w:lang w:eastAsia="zh-CN"/>
        </w:rPr>
      </w:pPr>
      <w:r>
        <w:rPr>
          <w:rFonts w:eastAsia="宋体" w:hint="eastAsia"/>
          <w:kern w:val="2"/>
          <w:sz w:val="21"/>
          <w:lang w:eastAsia="zh-CN"/>
        </w:rPr>
        <w:t xml:space="preserve">2.投标人应根据本企业的成本自行决定报价，但不得以低于其企业成本的报价投标； </w:t>
      </w:r>
    </w:p>
    <w:p>
      <w:pPr>
        <w:widowControl w:val="0"/>
        <w:spacing w:line="360" w:lineRule="auto"/>
        <w:jc w:val="both"/>
        <w:rPr>
          <w:rFonts w:eastAsia="宋体" w:hint="eastAsia"/>
          <w:kern w:val="2"/>
          <w:sz w:val="21"/>
          <w:lang w:eastAsia="zh-CN"/>
        </w:rPr>
      </w:pPr>
      <w:r>
        <w:rPr>
          <w:rFonts w:eastAsia="宋体" w:hint="eastAsia"/>
          <w:kern w:val="2"/>
          <w:sz w:val="21"/>
          <w:lang w:eastAsia="zh-CN"/>
        </w:rPr>
        <w:t>3.本项目的预算控制金额为人民币</w:t>
      </w:r>
      <w:r>
        <w:rPr>
          <w:rFonts w:eastAsia="宋体" w:hint="eastAsia"/>
          <w:kern w:val="2"/>
          <w:sz w:val="21"/>
          <w:lang w:eastAsia="zh-CN"/>
        </w:rPr>
        <w:t>71.36</w:t>
      </w:r>
      <w:r>
        <w:rPr>
          <w:rFonts w:eastAsia="宋体" w:hint="eastAsia"/>
          <w:kern w:val="2"/>
          <w:sz w:val="21"/>
          <w:lang w:eastAsia="zh-CN"/>
        </w:rPr>
        <w:t>万</w:t>
      </w:r>
      <w:r>
        <w:rPr>
          <w:rFonts w:eastAsia="宋体" w:hint="eastAsia"/>
          <w:kern w:val="2"/>
          <w:sz w:val="21"/>
          <w:lang w:eastAsia="zh-CN"/>
        </w:rPr>
        <w:t>，</w:t>
      </w:r>
      <w:r>
        <w:rPr>
          <w:rFonts w:eastAsia="宋体" w:hint="eastAsia"/>
          <w:kern w:val="2"/>
          <w:sz w:val="21"/>
          <w:lang w:eastAsia="zh-CN"/>
        </w:rPr>
        <w:t>供应商的投标报价按照单价进行报价，供应商的投标报价不可超过预算控制金额，1、2项根据中标单价按照面积计算服务费用，第</w:t>
      </w:r>
      <w:r>
        <w:rPr>
          <w:rFonts w:eastAsia="宋体" w:hint="eastAsia"/>
          <w:kern w:val="2"/>
          <w:sz w:val="21"/>
          <w:lang w:eastAsia="zh-CN"/>
        </w:rPr>
        <w:t>3</w:t>
      </w:r>
      <w:r>
        <w:rPr>
          <w:rFonts w:eastAsia="宋体" w:hint="eastAsia"/>
          <w:kern w:val="2"/>
          <w:sz w:val="21"/>
          <w:lang w:eastAsia="zh-CN"/>
        </w:rPr>
        <w:t>项根据单价按照实际使用情况计算，年度总支付预算不得超过</w:t>
      </w:r>
      <w:r>
        <w:rPr>
          <w:rFonts w:eastAsia="宋体" w:hint="eastAsia"/>
          <w:kern w:val="2"/>
          <w:sz w:val="21"/>
          <w:lang w:eastAsia="zh-CN"/>
        </w:rPr>
        <w:t>71.36</w:t>
      </w:r>
      <w:r>
        <w:rPr>
          <w:rFonts w:eastAsia="宋体" w:hint="eastAsia"/>
          <w:kern w:val="2"/>
          <w:sz w:val="21"/>
          <w:lang w:eastAsia="zh-CN"/>
        </w:rPr>
        <w:t>万。否则投标作废标处理；</w:t>
      </w:r>
    </w:p>
    <w:p>
      <w:pPr>
        <w:widowControl w:val="0"/>
        <w:spacing w:line="360" w:lineRule="auto"/>
        <w:jc w:val="both"/>
        <w:rPr>
          <w:rFonts w:eastAsia="宋体" w:hint="eastAsia"/>
          <w:kern w:val="2"/>
          <w:sz w:val="21"/>
          <w:lang w:eastAsia="zh-CN"/>
        </w:rPr>
      </w:pPr>
      <w:r>
        <w:rPr>
          <w:rFonts w:eastAsia="宋体" w:hint="eastAsia"/>
          <w:kern w:val="2"/>
          <w:sz w:val="21"/>
          <w:lang w:eastAsia="zh-CN"/>
        </w:rPr>
        <w:t>4.投标人的投标报价，应是本项目招标范围和谈判文件及合同条款上所列的各项内容中所述的全部，不得以任何理由予以重复，并以投标人提出的综合单价或总价为依据；</w:t>
      </w:r>
    </w:p>
    <w:p>
      <w:pPr>
        <w:widowControl w:val="0"/>
        <w:spacing w:line="360" w:lineRule="auto"/>
        <w:jc w:val="both"/>
        <w:rPr>
          <w:rFonts w:eastAsia="宋体" w:hint="eastAsia"/>
          <w:kern w:val="2"/>
          <w:sz w:val="21"/>
          <w:lang w:eastAsia="zh-CN"/>
        </w:rPr>
      </w:pPr>
      <w:r>
        <w:rPr>
          <w:rFonts w:eastAsia="宋体" w:hint="eastAsia"/>
          <w:kern w:val="2"/>
          <w:sz w:val="21"/>
          <w:lang w:eastAsia="zh-CN"/>
        </w:rPr>
        <w:t>5.除非招标代理机构通过修改谈判文件予以更正，否则，投标人应毫无例外地按谈判文件所列的清单中项目和数量填报综合单价和合价。投标人未填综合单价或合价的项目，在实施后，将不得以支付，并视作该项费用已包括在其它有价款的综合单价或合价内；</w:t>
      </w:r>
    </w:p>
    <w:p>
      <w:pPr>
        <w:widowControl w:val="0"/>
        <w:spacing w:line="360" w:lineRule="auto"/>
        <w:jc w:val="both"/>
        <w:rPr>
          <w:rFonts w:eastAsia="宋体" w:hint="eastAsia"/>
          <w:kern w:val="2"/>
          <w:sz w:val="21"/>
          <w:lang w:eastAsia="zh-CN"/>
        </w:rPr>
      </w:pPr>
      <w:r>
        <w:rPr>
          <w:rFonts w:eastAsia="宋体" w:hint="eastAsia"/>
          <w:kern w:val="2"/>
          <w:sz w:val="21"/>
          <w:lang w:eastAsia="zh-CN"/>
        </w:rPr>
        <w:t>6</w:t>
      </w:r>
      <w:r>
        <w:rPr>
          <w:rFonts w:eastAsia="宋体" w:hint="eastAsia"/>
          <w:kern w:val="2"/>
          <w:sz w:val="21"/>
          <w:lang w:eastAsia="zh-CN"/>
        </w:rPr>
        <w:t>.投标人不得期望通过索赔等方式获取补偿，否则，除可能遭到拒绝外，还可能将被作为不良行为记录在案，并可能影响其以后参加政府采购的项目投标。各投标人在投标报价时，应充分考虑投标报价的风险。</w:t>
      </w:r>
    </w:p>
    <w:p>
      <w:pPr>
        <w:widowControl w:val="0"/>
        <w:spacing w:line="360" w:lineRule="auto"/>
        <w:jc w:val="both"/>
        <w:rPr>
          <w:rFonts w:eastAsia="宋体"/>
          <w:kern w:val="2"/>
          <w:sz w:val="21"/>
          <w:lang w:eastAsia="zh-CN"/>
        </w:rPr>
      </w:pPr>
      <w:r>
        <w:rPr>
          <w:rFonts w:eastAsia="宋体" w:hint="eastAsia"/>
          <w:kern w:val="2"/>
          <w:sz w:val="21"/>
          <w:lang w:eastAsia="zh-CN"/>
        </w:rPr>
        <w:t>7.其他：鉴于</w:t>
      </w:r>
      <w:r>
        <w:rPr>
          <w:rFonts w:eastAsia="宋体" w:hint="eastAsia"/>
          <w:kern w:val="2"/>
          <w:sz w:val="21"/>
          <w:lang w:eastAsia="zh-CN"/>
        </w:rPr>
        <w:t>盐田科技大厦</w:t>
      </w:r>
      <w:r>
        <w:rPr>
          <w:rFonts w:eastAsia="宋体" w:hint="eastAsia"/>
          <w:kern w:val="2"/>
          <w:sz w:val="21"/>
          <w:lang w:eastAsia="zh-CN"/>
        </w:rPr>
        <w:t>采用中央空调，采购人使用该中央空调过程中产生的费用将参照有关规定的“设备运行燃料动力费”执行，投标人应在报价中以备注的形式列明“中央空调冷气费”收费标准。</w:t>
      </w:r>
    </w:p>
    <w:p>
      <w:pPr>
        <w:widowControl w:val="0"/>
        <w:spacing w:line="360" w:lineRule="auto"/>
        <w:jc w:val="both"/>
        <w:rPr>
          <w:rFonts w:eastAsia="宋体"/>
          <w:kern w:val="2"/>
          <w:sz w:val="21"/>
          <w:lang w:eastAsia="zh-CN"/>
        </w:rPr>
      </w:pPr>
      <w:r>
        <w:rPr>
          <w:rFonts w:eastAsia="宋体" w:hint="eastAsia"/>
          <w:kern w:val="2"/>
          <w:sz w:val="21"/>
          <w:lang w:eastAsia="zh-CN"/>
        </w:rPr>
        <w:t>（</w:t>
      </w:r>
      <w:r>
        <w:rPr>
          <w:rFonts w:eastAsia="宋体" w:hint="eastAsia"/>
          <w:kern w:val="2"/>
          <w:sz w:val="21"/>
          <w:lang w:eastAsia="zh-CN"/>
        </w:rPr>
        <w:t>四</w:t>
      </w:r>
      <w:r>
        <w:rPr>
          <w:rFonts w:eastAsia="宋体" w:hint="eastAsia"/>
          <w:kern w:val="2"/>
          <w:sz w:val="21"/>
          <w:lang w:eastAsia="zh-CN"/>
        </w:rPr>
        <w:t>）</w:t>
      </w:r>
      <w:r>
        <w:rPr>
          <w:rFonts w:eastAsia="宋体" w:hint="eastAsia"/>
          <w:kern w:val="2"/>
          <w:sz w:val="21"/>
          <w:lang w:eastAsia="zh-CN"/>
        </w:rPr>
        <w:t>★</w:t>
      </w:r>
      <w:r>
        <w:rPr>
          <w:rFonts w:eastAsia="宋体" w:hint="eastAsia"/>
          <w:kern w:val="2"/>
          <w:sz w:val="21"/>
          <w:lang w:eastAsia="zh-CN"/>
        </w:rPr>
        <w:t>付款方式：</w:t>
      </w:r>
    </w:p>
    <w:p>
      <w:pPr>
        <w:widowControl w:val="0"/>
        <w:ind w:left="0" w:firstLine="0" w:leftChars="0" w:firstLineChars="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1.按照中标单价每月结算一次，</w:t>
      </w:r>
      <w:r>
        <w:rPr>
          <w:rFonts w:ascii="宋体" w:eastAsia="宋体" w:hAnsi="宋体" w:hint="eastAsia"/>
          <w:kern w:val="2"/>
          <w:sz w:val="21"/>
          <w:szCs w:val="21"/>
          <w:lang w:eastAsia="zh-CN"/>
        </w:rPr>
        <w:t>每月5日为上月管理服务费结算日，凭中标单位完税发票，由采购单位签署付款凭证,办理付款手续。</w:t>
      </w:r>
    </w:p>
    <w:p>
      <w:pPr>
        <w:widowControl w:val="0"/>
        <w:spacing w:line="360" w:lineRule="auto"/>
        <w:jc w:val="both"/>
        <w:rPr>
          <w:rFonts w:eastAsia="宋体" w:hint="eastAsia"/>
          <w:kern w:val="2"/>
          <w:sz w:val="21"/>
          <w:lang w:eastAsia="zh-CN"/>
        </w:rPr>
      </w:pPr>
      <w:r>
        <w:rPr>
          <w:rFonts w:ascii="宋体" w:eastAsia="宋体" w:hAnsi="宋体" w:hint="eastAsia"/>
          <w:kern w:val="2"/>
          <w:sz w:val="21"/>
          <w:szCs w:val="21"/>
          <w:lang w:eastAsia="zh-CN"/>
        </w:rPr>
        <w:t>2.</w:t>
      </w:r>
      <w:r>
        <w:rPr>
          <w:rFonts w:ascii="宋体" w:eastAsia="宋体" w:hAnsi="宋体" w:hint="eastAsia"/>
          <w:kern w:val="2"/>
          <w:sz w:val="21"/>
          <w:szCs w:val="21"/>
          <w:lang w:eastAsia="zh-CN"/>
        </w:rPr>
        <w:t>按照深圳市财政局有关要求办理付款手续。中标人应在每次申请采购人付款前，向采购人开具并交付真实合法有效的增值税普通发票。因采购人不能控制的第三方原因，以及中标人延迟开具、交付发票所</w:t>
      </w:r>
      <w:r>
        <w:rPr>
          <w:rFonts w:eastAsia="宋体" w:hint="eastAsia"/>
          <w:kern w:val="2"/>
          <w:sz w:val="21"/>
          <w:lang w:eastAsia="zh-CN"/>
        </w:rPr>
        <w:t>造成的逾期付款，不应视为采购人违约，采购人不承担此类逾期付款的违约责任。</w:t>
      </w:r>
    </w:p>
    <w:p>
      <w:pPr>
        <w:widowControl w:val="0"/>
        <w:spacing w:line="360" w:lineRule="auto"/>
        <w:jc w:val="both"/>
        <w:rPr>
          <w:rFonts w:eastAsia="宋体"/>
          <w:kern w:val="2"/>
          <w:sz w:val="21"/>
          <w:lang w:eastAsia="zh-CN"/>
        </w:rPr>
      </w:pPr>
      <w:r>
        <w:rPr>
          <w:rFonts w:eastAsia="宋体" w:hint="eastAsia"/>
          <w:kern w:val="2"/>
          <w:sz w:val="21"/>
          <w:lang w:eastAsia="zh-CN"/>
        </w:rPr>
        <w:t>（五）履约保证金：无</w:t>
      </w:r>
    </w:p>
    <w:p>
      <w:pPr>
        <w:widowControl w:val="0"/>
        <w:spacing w:line="360" w:lineRule="auto"/>
        <w:jc w:val="both"/>
        <w:rPr>
          <w:rFonts w:eastAsia="宋体" w:hint="eastAsia"/>
          <w:kern w:val="2"/>
          <w:sz w:val="21"/>
          <w:lang w:eastAsia="zh-CN"/>
        </w:rPr>
      </w:pPr>
      <w:r>
        <w:rPr>
          <w:rFonts w:eastAsia="宋体" w:hint="eastAsia"/>
          <w:kern w:val="2"/>
          <w:sz w:val="21"/>
          <w:lang w:eastAsia="zh-CN"/>
        </w:rPr>
        <w:t>（六）验收要求：</w:t>
      </w:r>
    </w:p>
    <w:p>
      <w:pPr>
        <w:widowControl w:val="0"/>
        <w:spacing w:line="240" w:lineRule="auto"/>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中标人按合同约定的服务内容和相关要求完成本项目后，中标人向采购人发起验收申请并报告本项目履约情况总结，采购人根据本项目服务内容和服务标准，对服务项目清单明细中的服务逐项验收，出具验收报告。</w:t>
      </w:r>
    </w:p>
    <w:p>
      <w:pPr>
        <w:widowControl w:val="0"/>
        <w:spacing w:line="360" w:lineRule="auto"/>
        <w:jc w:val="both"/>
        <w:rPr>
          <w:rFonts w:eastAsia="宋体" w:hint="eastAsia"/>
          <w:kern w:val="2"/>
          <w:sz w:val="21"/>
          <w:lang w:eastAsia="zh-CN"/>
        </w:rPr>
      </w:pPr>
      <w:r>
        <w:rPr>
          <w:rFonts w:eastAsia="宋体" w:hint="eastAsia"/>
          <w:kern w:val="2"/>
          <w:sz w:val="21"/>
          <w:lang w:eastAsia="zh-CN"/>
        </w:rPr>
        <w:t>（</w:t>
      </w:r>
      <w:r>
        <w:rPr>
          <w:rFonts w:eastAsia="宋体" w:hint="eastAsia"/>
          <w:kern w:val="2"/>
          <w:sz w:val="21"/>
          <w:lang w:eastAsia="zh-CN"/>
        </w:rPr>
        <w:t>七</w:t>
      </w:r>
      <w:r>
        <w:rPr>
          <w:rFonts w:eastAsia="宋体" w:hint="eastAsia"/>
          <w:kern w:val="2"/>
          <w:sz w:val="21"/>
          <w:lang w:eastAsia="zh-CN"/>
        </w:rPr>
        <w:t>）考核与处罚</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投标人中标签订合同后应按照本项目招标文件和合同约定的要求提供各项项目，因中标人不具备履行项目能力或者不服从采购人管理规定或中标人违约等情况，采购人有权利单方解除合同、终止与中标人的项目合作，中标人应无条件退还已支付的全部合同款项，采购人有权不支付余下的款项。因中标人原因造成采购人经济损失及不良社会影响的，中标人按照造成直接和间接经济损失进行全部赔偿，由此造成违法犯罪的，中标人承担相应的民事责任或刑事责任。</w:t>
      </w:r>
    </w:p>
    <w:p>
      <w:pPr>
        <w:widowControl w:val="0"/>
        <w:numPr>
          <w:ilvl w:val="0"/>
          <w:numId w:val="2"/>
        </w:numPr>
        <w:spacing w:line="360" w:lineRule="auto"/>
        <w:jc w:val="both"/>
        <w:rPr>
          <w:rFonts w:eastAsia="宋体" w:hint="eastAsia"/>
          <w:kern w:val="2"/>
          <w:sz w:val="21"/>
          <w:lang w:eastAsia="zh-CN"/>
        </w:rPr>
      </w:pPr>
      <w:r>
        <w:rPr>
          <w:rFonts w:eastAsia="宋体" w:hint="eastAsia"/>
          <w:kern w:val="2"/>
          <w:sz w:val="21"/>
          <w:lang w:eastAsia="zh-CN"/>
        </w:rPr>
        <w:t>其他</w:t>
      </w:r>
    </w:p>
    <w:p>
      <w:pPr>
        <w:widowControl w:val="0"/>
        <w:ind w:firstLine="420" w:firstLineChars="200"/>
        <w:jc w:val="both"/>
        <w:rPr>
          <w:rFonts w:ascii="宋体" w:eastAsia="宋体" w:hAnsi="宋体" w:hint="eastAsia"/>
          <w:b/>
          <w:bCs/>
          <w:lang w:eastAsia="zh-CN"/>
        </w:rPr>
      </w:pPr>
      <w:r>
        <w:rPr>
          <w:rFonts w:eastAsia="宋体" w:hint="eastAsia"/>
          <w:kern w:val="2"/>
          <w:sz w:val="21"/>
          <w:lang w:eastAsia="zh-CN"/>
        </w:rPr>
        <w:t>投标人应按照相关规定协助采购人代收代缴用水用电等有关费用。</w:t>
      </w:r>
    </w:p>
    <w:p>
      <w:pPr>
        <w:widowControl w:val="0"/>
        <w:jc w:val="both"/>
        <w:rPr>
          <w:rFonts w:ascii="宋体" w:eastAsia="宋体" w:hAnsi="宋体" w:hint="eastAsia"/>
          <w:bCs/>
          <w:color w:val="000000"/>
          <w:kern w:val="2"/>
          <w:sz w:val="21"/>
          <w:szCs w:val="21"/>
          <w:lang w:eastAsia="zh-CN"/>
        </w:rPr>
      </w:pPr>
    </w:p>
    <w:p>
      <w:pPr>
        <w:keepNext/>
        <w:keepLines/>
        <w:widowControl w:val="0"/>
        <w:adjustRightInd w:val="0"/>
        <w:spacing w:before="120" w:beforeLines="50" w:after="120" w:afterLines="50" w:line="240" w:lineRule="auto"/>
        <w:jc w:val="center"/>
        <w:textAlignment w:val="baseline"/>
        <w:outlineLvl w:val="1"/>
        <w:rPr>
          <w:rFonts w:ascii="宋体" w:eastAsia="宋体" w:hAnsi="宋体" w:hint="eastAsia"/>
          <w:b/>
          <w:bCs/>
          <w:lang w:eastAsia="zh-CN"/>
        </w:rPr>
      </w:pPr>
      <w:r>
        <w:rPr>
          <w:rFonts w:ascii="宋体" w:eastAsia="宋体" w:hAnsi="宋体" w:hint="eastAsia"/>
          <w:b/>
          <w:bCs/>
          <w:sz w:val="28"/>
          <w:szCs w:val="28"/>
          <w:lang w:eastAsia="zh-CN"/>
        </w:rPr>
        <w:t>七、</w:t>
      </w:r>
      <w:r>
        <w:rPr>
          <w:rFonts w:ascii="宋体" w:eastAsia="宋体" w:hAnsi="宋体" w:hint="eastAsia"/>
          <w:b/>
          <w:bCs/>
          <w:lang w:eastAsia="zh-CN"/>
        </w:rPr>
        <w:t>其他重要条款</w:t>
      </w:r>
    </w:p>
    <w:p>
      <w:pPr>
        <w:widowControl w:val="0"/>
        <w:ind w:firstLine="420" w:firstLineChars="200"/>
        <w:jc w:val="both"/>
        <w:rPr>
          <w:rFonts w:eastAsia="宋体"/>
          <w:bCs/>
          <w:kern w:val="2"/>
          <w:sz w:val="21"/>
          <w:szCs w:val="21"/>
          <w:lang w:eastAsia="zh-CN"/>
        </w:rPr>
      </w:pPr>
      <w:bookmarkStart w:id="46" w:name="_Hlk72257111"/>
      <w:r>
        <w:rPr>
          <w:rFonts w:eastAsia="宋体" w:hint="eastAsia"/>
          <w:bCs/>
          <w:kern w:val="2"/>
          <w:sz w:val="21"/>
          <w:szCs w:val="21"/>
          <w:lang w:eastAsia="zh-CN"/>
        </w:rPr>
        <w:t>1、本项目应答报价采用包干制，应包括成本、法定税费和相应的利润，应涵盖本项目采购范围和采购文件所列的各项内容中所述的全部。由应答人根据采购需求自行测算应答报价；一经成交，应答报价即作为成交单位与采购人签订的合同金额。</w:t>
      </w:r>
    </w:p>
    <w:p>
      <w:pPr>
        <w:widowControl w:val="0"/>
        <w:spacing w:before="60" w:beforeLines="25" w:after="60" w:afterLines="25"/>
        <w:ind w:firstLine="393" w:firstLineChars="187"/>
        <w:jc w:val="both"/>
        <w:rPr>
          <w:rFonts w:ascii="宋体" w:eastAsia="宋体" w:hAnsi="宋体" w:hint="eastAsia"/>
          <w:kern w:val="2"/>
          <w:sz w:val="21"/>
          <w:szCs w:val="21"/>
          <w:lang w:eastAsia="zh-CN"/>
        </w:rPr>
      </w:pPr>
      <w:r>
        <w:rPr>
          <w:rFonts w:eastAsia="宋体"/>
          <w:bCs/>
          <w:kern w:val="2"/>
          <w:sz w:val="21"/>
          <w:szCs w:val="21"/>
          <w:lang w:eastAsia="zh-CN"/>
        </w:rPr>
        <w:t>2</w:t>
      </w:r>
      <w:r>
        <w:rPr>
          <w:rFonts w:eastAsia="宋体" w:hint="eastAsia"/>
          <w:bCs/>
          <w:kern w:val="2"/>
          <w:sz w:val="21"/>
          <w:szCs w:val="21"/>
          <w:lang w:eastAsia="zh-CN"/>
        </w:rPr>
        <w:t>、应答人应充分了解项目的位置、情况、道路及任何其他足以影响应答报价的情况，任何因忽视或误解项目情况而导致的索赔或服务期限延长申请将不获批准。</w:t>
      </w:r>
    </w:p>
    <w:p>
      <w:pPr>
        <w:widowControl w:val="0"/>
        <w:ind w:firstLine="420" w:firstLineChars="200"/>
        <w:jc w:val="both"/>
        <w:rPr>
          <w:rFonts w:eastAsia="宋体"/>
          <w:bCs/>
          <w:kern w:val="2"/>
          <w:sz w:val="21"/>
          <w:szCs w:val="21"/>
          <w:lang w:eastAsia="zh-CN"/>
        </w:rPr>
      </w:pPr>
      <w:r>
        <w:rPr>
          <w:rFonts w:eastAsia="宋体"/>
          <w:bCs/>
          <w:kern w:val="2"/>
          <w:sz w:val="21"/>
          <w:szCs w:val="21"/>
          <w:lang w:eastAsia="zh-CN"/>
        </w:rPr>
        <w:t>3</w:t>
      </w:r>
      <w:r>
        <w:rPr>
          <w:rFonts w:eastAsia="宋体" w:hint="eastAsia"/>
          <w:bCs/>
          <w:kern w:val="2"/>
          <w:sz w:val="21"/>
          <w:szCs w:val="21"/>
          <w:lang w:eastAsia="zh-CN"/>
        </w:rPr>
        <w:t>、应答人不得期望通过索赔等方式获取补偿，否则，除可能遭到拒绝外，还可能将被作为不良行为记录在案，并可能影响其以后参加政府采购的项目应答。各应答人在应答报价时，应充分考虑应答报价的风险。</w:t>
      </w:r>
    </w:p>
    <w:p>
      <w:pPr>
        <w:widowControl w:val="0"/>
        <w:ind w:firstLine="420" w:firstLineChars="200"/>
        <w:jc w:val="both"/>
        <w:rPr>
          <w:rFonts w:eastAsia="宋体"/>
          <w:bCs/>
          <w:kern w:val="2"/>
          <w:sz w:val="21"/>
          <w:szCs w:val="21"/>
          <w:lang w:eastAsia="zh-CN"/>
        </w:rPr>
      </w:pPr>
      <w:r>
        <w:rPr>
          <w:rFonts w:eastAsia="宋体"/>
          <w:bCs/>
          <w:kern w:val="2"/>
          <w:sz w:val="21"/>
          <w:szCs w:val="21"/>
          <w:lang w:eastAsia="zh-CN"/>
        </w:rPr>
        <w:t>4</w:t>
      </w:r>
      <w:r>
        <w:rPr>
          <w:rFonts w:eastAsia="宋体" w:hint="eastAsia"/>
          <w:bCs/>
          <w:kern w:val="2"/>
          <w:sz w:val="21"/>
          <w:szCs w:val="21"/>
          <w:lang w:eastAsia="zh-CN"/>
        </w:rPr>
        <w:t>、鼓励采购人积极运用公共信用信息，明确对信用记录良好的供应商（特别是中小微企业）免收履约保证金，确需收取履约保证金的，列明通过保函等非现金方式收取。在采购合同中明确对上述企业加大首付款或预付款比例，具体由采购人根据项目实际情况确定。</w:t>
      </w:r>
    </w:p>
    <w:p>
      <w:pPr>
        <w:widowControl w:val="0"/>
        <w:ind w:firstLine="420" w:firstLineChars="200"/>
        <w:jc w:val="both"/>
        <w:rPr>
          <w:rFonts w:eastAsia="宋体"/>
          <w:bCs/>
          <w:kern w:val="2"/>
          <w:sz w:val="21"/>
          <w:szCs w:val="21"/>
          <w:lang w:eastAsia="zh-CN"/>
        </w:rPr>
        <w:sectPr>
          <w:pgSz w:w="11907" w:h="16840"/>
          <w:pgMar w:top="1440" w:right="1797" w:bottom="1440" w:left="1797" w:header="851" w:footer="992" w:gutter="0"/>
          <w:cols w:num="1" w:space="425"/>
          <w:titlePg/>
          <w:docGrid w:linePitch="462" w:charSpace="0"/>
        </w:sectPr>
      </w:pPr>
      <w:r>
        <w:rPr>
          <w:rFonts w:eastAsia="宋体"/>
          <w:bCs/>
          <w:kern w:val="2"/>
          <w:sz w:val="21"/>
          <w:szCs w:val="21"/>
          <w:lang w:eastAsia="zh-CN"/>
        </w:rPr>
        <w:t>5</w:t>
      </w:r>
      <w:r>
        <w:rPr>
          <w:rFonts w:eastAsia="宋体" w:hint="eastAsia"/>
          <w:bCs/>
          <w:kern w:val="2"/>
          <w:sz w:val="21"/>
          <w:szCs w:val="21"/>
          <w:lang w:eastAsia="zh-CN"/>
        </w:rPr>
        <w:t>、除采购合同继续履行将损害国家利益和社会公共利益外，双方当事人不得擅自变更、中止或者终止合同。</w:t>
      </w:r>
      <w:bookmarkEnd w:id="46"/>
    </w:p>
    <w:p>
      <w:pPr>
        <w:keepNext/>
        <w:keepLines/>
        <w:widowControl w:val="0"/>
        <w:adjustRightInd w:val="0"/>
        <w:spacing w:before="260" w:after="260" w:line="240" w:lineRule="auto"/>
        <w:jc w:val="center"/>
        <w:textAlignment w:val="baseline"/>
        <w:outlineLvl w:val="1"/>
        <w:rPr>
          <w:rFonts w:ascii="宋体" w:eastAsia="宋体" w:hAnsi="宋体" w:hint="eastAsia"/>
          <w:b/>
          <w:bCs/>
          <w:kern w:val="2"/>
          <w:szCs w:val="20"/>
          <w:lang w:eastAsia="zh-CN"/>
        </w:rPr>
      </w:pPr>
      <w:r>
        <w:rPr>
          <w:rFonts w:ascii="宋体" w:eastAsia="宋体" w:hAnsi="宋体" w:hint="eastAsia"/>
          <w:b/>
          <w:bCs/>
          <w:kern w:val="2"/>
          <w:szCs w:val="20"/>
          <w:lang w:eastAsia="zh-CN"/>
        </w:rPr>
        <w:t>第四章</w:t>
      </w:r>
      <w:r>
        <w:rPr>
          <w:rFonts w:ascii="宋体" w:eastAsia="宋体" w:hAnsi="宋体"/>
          <w:b/>
          <w:bCs/>
          <w:kern w:val="2"/>
          <w:szCs w:val="20"/>
          <w:lang w:eastAsia="zh-CN"/>
        </w:rPr>
        <w:t xml:space="preserve"> </w:t>
      </w:r>
      <w:r>
        <w:rPr>
          <w:rFonts w:ascii="宋体" w:eastAsia="宋体" w:hAnsi="宋体" w:hint="eastAsia"/>
          <w:b/>
          <w:bCs/>
          <w:kern w:val="2"/>
          <w:szCs w:val="20"/>
          <w:lang w:eastAsia="zh-CN"/>
        </w:rPr>
        <w:t xml:space="preserve"> 应答文件组成要求及格式</w:t>
      </w:r>
    </w:p>
    <w:p>
      <w:pPr>
        <w:widowControl w:val="0"/>
        <w:jc w:val="both"/>
        <w:outlineLvl w:val="0"/>
        <w:rPr>
          <w:rFonts w:ascii="黑体" w:eastAsia="黑体"/>
          <w:bCs/>
          <w:kern w:val="2"/>
          <w:sz w:val="28"/>
          <w:szCs w:val="28"/>
          <w:lang w:eastAsia="zh-CN"/>
        </w:rPr>
      </w:pPr>
      <w:r>
        <w:rPr>
          <w:rFonts w:ascii="黑体" w:eastAsia="黑体" w:hint="eastAsia"/>
          <w:bCs/>
          <w:kern w:val="2"/>
          <w:sz w:val="28"/>
          <w:szCs w:val="28"/>
          <w:lang w:eastAsia="zh-CN"/>
        </w:rPr>
        <w:t>应答文件组成，主要包括以下内容：</w:t>
      </w:r>
    </w:p>
    <w:p>
      <w:pPr>
        <w:widowControl w:val="0"/>
        <w:ind w:left="821" w:firstLine="1418" w:leftChars="342" w:firstLineChars="675"/>
        <w:jc w:val="both"/>
        <w:rPr>
          <w:rFonts w:eastAsia="宋体"/>
          <w:kern w:val="2"/>
          <w:sz w:val="21"/>
          <w:szCs w:val="21"/>
          <w:lang w:eastAsia="zh-CN"/>
        </w:rPr>
      </w:pPr>
    </w:p>
    <w:p>
      <w:pPr>
        <w:widowControl w:val="0"/>
        <w:ind w:firstLine="420" w:firstLineChars="200"/>
        <w:jc w:val="both"/>
        <w:rPr>
          <w:rFonts w:eastAsia="宋体"/>
          <w:kern w:val="2"/>
          <w:sz w:val="21"/>
          <w:szCs w:val="21"/>
          <w:lang w:eastAsia="zh-CN"/>
        </w:rPr>
      </w:pPr>
      <w:r>
        <w:rPr>
          <w:rFonts w:eastAsia="宋体" w:hint="eastAsia"/>
          <w:kern w:val="2"/>
          <w:sz w:val="21"/>
          <w:szCs w:val="21"/>
          <w:lang w:eastAsia="zh-CN"/>
        </w:rPr>
        <w:t>（1）</w:t>
      </w:r>
      <w:bookmarkStart w:id="47" w:name="OLE_LINK7"/>
      <w:r>
        <w:rPr>
          <w:rFonts w:eastAsia="宋体" w:hint="eastAsia"/>
          <w:kern w:val="2"/>
          <w:sz w:val="21"/>
          <w:szCs w:val="21"/>
          <w:lang w:eastAsia="zh-CN"/>
        </w:rPr>
        <w:t>应答书</w:t>
      </w:r>
      <w:bookmarkEnd w:id="47"/>
    </w:p>
    <w:p>
      <w:pPr>
        <w:widowControl w:val="0"/>
        <w:ind w:firstLine="420" w:firstLineChars="200"/>
        <w:jc w:val="both"/>
        <w:rPr>
          <w:rFonts w:eastAsia="宋体"/>
          <w:kern w:val="2"/>
          <w:sz w:val="21"/>
          <w:szCs w:val="21"/>
          <w:lang w:eastAsia="zh-CN"/>
        </w:rPr>
      </w:pPr>
      <w:r>
        <w:rPr>
          <w:rFonts w:eastAsia="宋体" w:hint="eastAsia"/>
          <w:kern w:val="2"/>
          <w:sz w:val="21"/>
          <w:szCs w:val="21"/>
          <w:lang w:eastAsia="zh-CN"/>
        </w:rPr>
        <w:t>（2）</w:t>
      </w:r>
      <w:bookmarkStart w:id="48" w:name="OLE_LINK8"/>
      <w:r>
        <w:rPr>
          <w:rFonts w:eastAsia="宋体" w:hint="eastAsia"/>
          <w:kern w:val="2"/>
          <w:sz w:val="21"/>
          <w:szCs w:val="21"/>
          <w:lang w:eastAsia="zh-CN"/>
        </w:rPr>
        <w:t>采购应答及履约承诺函</w:t>
      </w:r>
      <w:bookmarkEnd w:id="48"/>
    </w:p>
    <w:p>
      <w:pPr>
        <w:widowControl w:val="0"/>
        <w:ind w:firstLine="420" w:firstLineChars="200"/>
        <w:jc w:val="both"/>
        <w:rPr>
          <w:rFonts w:eastAsia="宋体"/>
          <w:kern w:val="2"/>
          <w:sz w:val="21"/>
          <w:szCs w:val="21"/>
          <w:lang w:eastAsia="zh-CN"/>
        </w:rPr>
      </w:pPr>
      <w:r>
        <w:rPr>
          <w:rFonts w:eastAsia="宋体" w:hint="eastAsia"/>
          <w:kern w:val="2"/>
          <w:sz w:val="21"/>
          <w:szCs w:val="21"/>
          <w:lang w:eastAsia="zh-CN"/>
        </w:rPr>
        <w:t>（</w:t>
      </w:r>
      <w:r>
        <w:rPr>
          <w:rFonts w:eastAsia="宋体"/>
          <w:kern w:val="2"/>
          <w:sz w:val="21"/>
          <w:szCs w:val="21"/>
          <w:lang w:eastAsia="zh-CN"/>
        </w:rPr>
        <w:t>3</w:t>
      </w:r>
      <w:r>
        <w:rPr>
          <w:rFonts w:eastAsia="宋体" w:hint="eastAsia"/>
          <w:kern w:val="2"/>
          <w:sz w:val="21"/>
          <w:szCs w:val="21"/>
          <w:lang w:eastAsia="zh-CN"/>
        </w:rPr>
        <w:t>）供应商情况及资格证明文件</w:t>
      </w:r>
    </w:p>
    <w:p>
      <w:pPr>
        <w:widowControl w:val="0"/>
        <w:ind w:firstLine="420" w:firstLineChars="200"/>
        <w:jc w:val="both"/>
        <w:rPr>
          <w:rFonts w:eastAsia="宋体"/>
          <w:kern w:val="2"/>
          <w:sz w:val="21"/>
          <w:szCs w:val="21"/>
          <w:lang w:eastAsia="zh-CN"/>
        </w:rPr>
      </w:pPr>
      <w:bookmarkStart w:id="49" w:name="_Hlk72257201"/>
      <w:r>
        <w:rPr>
          <w:rFonts w:eastAsia="宋体" w:hint="eastAsia"/>
          <w:kern w:val="2"/>
          <w:sz w:val="21"/>
          <w:szCs w:val="21"/>
          <w:lang w:eastAsia="zh-CN"/>
        </w:rPr>
        <w:t>（</w:t>
      </w:r>
      <w:r>
        <w:rPr>
          <w:rFonts w:eastAsia="宋体"/>
          <w:kern w:val="2"/>
          <w:sz w:val="21"/>
          <w:szCs w:val="21"/>
          <w:lang w:eastAsia="zh-CN"/>
        </w:rPr>
        <w:t>4</w:t>
      </w:r>
      <w:r>
        <w:rPr>
          <w:rFonts w:eastAsia="宋体" w:hint="eastAsia"/>
          <w:kern w:val="2"/>
          <w:sz w:val="21"/>
          <w:szCs w:val="21"/>
          <w:lang w:eastAsia="zh-CN"/>
        </w:rPr>
        <w:t>）项目详细报价</w:t>
      </w:r>
    </w:p>
    <w:bookmarkEnd w:id="49"/>
    <w:p>
      <w:pPr>
        <w:widowControl w:val="0"/>
        <w:ind w:firstLine="420" w:firstLineChars="200"/>
        <w:jc w:val="both"/>
        <w:rPr>
          <w:rFonts w:eastAsia="宋体"/>
          <w:kern w:val="2"/>
          <w:sz w:val="21"/>
          <w:szCs w:val="21"/>
          <w:lang w:eastAsia="zh-CN"/>
        </w:rPr>
      </w:pPr>
      <w:r>
        <w:rPr>
          <w:rFonts w:eastAsia="宋体" w:hint="eastAsia"/>
          <w:kern w:val="2"/>
          <w:sz w:val="21"/>
          <w:szCs w:val="21"/>
          <w:lang w:eastAsia="zh-CN"/>
        </w:rPr>
        <w:t>（5）法定代表人（负责人）证明书</w:t>
      </w:r>
    </w:p>
    <w:p>
      <w:pPr>
        <w:widowControl w:val="0"/>
        <w:ind w:firstLine="420" w:firstLineChars="200"/>
        <w:jc w:val="both"/>
        <w:rPr>
          <w:rFonts w:eastAsia="宋体"/>
          <w:kern w:val="2"/>
          <w:sz w:val="21"/>
          <w:szCs w:val="21"/>
          <w:lang w:eastAsia="zh-CN"/>
        </w:rPr>
      </w:pPr>
      <w:r>
        <w:rPr>
          <w:rFonts w:eastAsia="宋体" w:hint="eastAsia"/>
          <w:kern w:val="2"/>
          <w:sz w:val="21"/>
          <w:szCs w:val="21"/>
          <w:lang w:eastAsia="zh-CN"/>
        </w:rPr>
        <w:t>（6）谈判应答文件签署授权委托书</w:t>
      </w:r>
    </w:p>
    <w:p>
      <w:pPr>
        <w:widowControl w:val="0"/>
        <w:ind w:firstLine="420" w:firstLineChars="200"/>
        <w:jc w:val="both"/>
        <w:rPr>
          <w:rFonts w:eastAsia="宋体"/>
          <w:kern w:val="2"/>
          <w:sz w:val="21"/>
          <w:szCs w:val="21"/>
          <w:lang w:eastAsia="zh-CN"/>
        </w:rPr>
      </w:pPr>
      <w:bookmarkStart w:id="50" w:name="OLE_LINK164"/>
      <w:r>
        <w:rPr>
          <w:rFonts w:eastAsia="宋体" w:hint="eastAsia"/>
          <w:kern w:val="2"/>
          <w:sz w:val="21"/>
          <w:szCs w:val="21"/>
          <w:lang w:eastAsia="zh-CN"/>
        </w:rPr>
        <w:t>（7）</w:t>
      </w:r>
      <w:bookmarkEnd w:id="50"/>
      <w:r>
        <w:rPr>
          <w:rFonts w:eastAsia="宋体"/>
          <w:kern w:val="2"/>
          <w:sz w:val="21"/>
          <w:szCs w:val="21"/>
          <w:lang w:eastAsia="zh-CN"/>
        </w:rPr>
        <w:t>实质性条款响应情况表</w:t>
      </w:r>
    </w:p>
    <w:p>
      <w:pPr>
        <w:widowControl w:val="0"/>
        <w:ind w:firstLine="420" w:firstLineChars="200"/>
        <w:jc w:val="both"/>
        <w:rPr>
          <w:rFonts w:eastAsia="宋体"/>
          <w:kern w:val="2"/>
          <w:sz w:val="21"/>
          <w:szCs w:val="21"/>
          <w:lang w:eastAsia="zh-CN"/>
        </w:rPr>
      </w:pPr>
      <w:r>
        <w:rPr>
          <w:rFonts w:eastAsia="宋体" w:hint="eastAsia"/>
          <w:kern w:val="2"/>
          <w:sz w:val="21"/>
          <w:szCs w:val="21"/>
          <w:lang w:eastAsia="zh-CN"/>
        </w:rPr>
        <w:t>（</w:t>
      </w:r>
      <w:r>
        <w:rPr>
          <w:rFonts w:eastAsia="宋体" w:hint="eastAsia"/>
          <w:kern w:val="2"/>
          <w:sz w:val="21"/>
          <w:szCs w:val="21"/>
          <w:lang w:eastAsia="zh-CN"/>
        </w:rPr>
        <w:t>8</w:t>
      </w:r>
      <w:r>
        <w:rPr>
          <w:rFonts w:eastAsia="宋体" w:hint="eastAsia"/>
          <w:kern w:val="2"/>
          <w:sz w:val="21"/>
          <w:szCs w:val="21"/>
          <w:lang w:eastAsia="zh-CN"/>
        </w:rPr>
        <w:t>）</w:t>
      </w:r>
      <w:bookmarkStart w:id="51" w:name="OLE_LINK9"/>
      <w:r>
        <w:rPr>
          <w:rFonts w:eastAsia="宋体" w:hint="eastAsia"/>
          <w:kern w:val="2"/>
          <w:sz w:val="21"/>
          <w:szCs w:val="21"/>
          <w:lang w:eastAsia="zh-CN"/>
        </w:rPr>
        <w:t>投标人认为需要加以说明的其他内容（格式自定）</w:t>
      </w:r>
    </w:p>
    <w:bookmarkEnd w:id="51"/>
    <w:p>
      <w:pPr>
        <w:widowControl w:val="0"/>
        <w:jc w:val="both"/>
        <w:rPr>
          <w:rFonts w:eastAsia="宋体"/>
          <w:kern w:val="2"/>
          <w:sz w:val="21"/>
          <w:szCs w:val="21"/>
          <w:lang w:eastAsia="zh-CN"/>
        </w:rPr>
      </w:pPr>
    </w:p>
    <w:p>
      <w:pPr>
        <w:widowControl w:val="0"/>
        <w:ind w:firstLine="424" w:firstLineChars="202"/>
        <w:jc w:val="both"/>
        <w:rPr>
          <w:rFonts w:ascii="宋体" w:eastAsia="宋体" w:hAnsi="宋体" w:hint="eastAsia"/>
          <w:b/>
          <w:kern w:val="2"/>
          <w:sz w:val="21"/>
          <w:szCs w:val="21"/>
          <w:lang w:eastAsia="zh-CN"/>
        </w:rPr>
      </w:pPr>
      <w:r>
        <w:rPr>
          <w:rFonts w:ascii="宋体" w:eastAsia="宋体" w:hAnsi="宋体" w:hint="eastAsia"/>
          <w:b/>
          <w:kern w:val="2"/>
          <w:sz w:val="21"/>
          <w:szCs w:val="21"/>
          <w:lang w:eastAsia="zh-CN"/>
        </w:rPr>
        <w:t>备注：</w:t>
      </w:r>
    </w:p>
    <w:p>
      <w:pPr>
        <w:widowControl w:val="0"/>
        <w:ind w:firstLine="424" w:firstLineChars="202"/>
        <w:jc w:val="both"/>
        <w:rPr>
          <w:rFonts w:ascii="宋体" w:eastAsia="宋体" w:hAnsi="宋体" w:hint="eastAsia"/>
          <w:b/>
          <w:kern w:val="2"/>
          <w:sz w:val="21"/>
          <w:szCs w:val="21"/>
          <w:lang w:eastAsia="zh-CN"/>
        </w:rPr>
      </w:pPr>
      <w:r>
        <w:rPr>
          <w:rFonts w:ascii="宋体" w:eastAsia="宋体" w:hAnsi="宋体" w:hint="eastAsia"/>
          <w:b/>
          <w:kern w:val="2"/>
          <w:sz w:val="21"/>
          <w:szCs w:val="21"/>
          <w:lang w:eastAsia="zh-CN"/>
        </w:rPr>
        <w:t>1.本项目为网上电子应答项目，应答文件不需法人或授权委托人另行签字，无需加盖单位公章，采购文件另有规定的除外。</w:t>
      </w:r>
    </w:p>
    <w:p>
      <w:pPr>
        <w:widowControl w:val="0"/>
        <w:spacing w:line="360" w:lineRule="auto"/>
        <w:jc w:val="both"/>
        <w:rPr>
          <w:rFonts w:eastAsia="宋体"/>
          <w:b/>
          <w:bCs/>
          <w:kern w:val="2"/>
          <w:lang w:eastAsia="zh-CN"/>
        </w:rPr>
        <w:sectPr>
          <w:pgSz w:w="11907" w:h="16840"/>
          <w:pgMar w:top="1440" w:right="1797" w:bottom="1440" w:left="1797" w:header="851" w:footer="992" w:gutter="0"/>
          <w:cols w:num="1" w:space="425"/>
          <w:titlePg/>
          <w:docGrid w:linePitch="462" w:charSpace="0"/>
        </w:sectPr>
      </w:pPr>
    </w:p>
    <w:p>
      <w:pPr>
        <w:keepNext/>
        <w:keepLines/>
        <w:widowControl w:val="0"/>
        <w:spacing w:before="120" w:after="120" w:line="240" w:lineRule="auto"/>
        <w:jc w:val="center"/>
        <w:outlineLvl w:val="2"/>
        <w:rPr>
          <w:rFonts w:ascii="黑体" w:eastAsia="黑体" w:hAnsi="宋体" w:hint="eastAsia"/>
          <w:bCs/>
          <w:kern w:val="2"/>
          <w:szCs w:val="32"/>
          <w:lang w:eastAsia="zh-CN"/>
        </w:rPr>
      </w:pPr>
      <w:r>
        <w:rPr>
          <w:rFonts w:ascii="黑体" w:eastAsia="黑体" w:hAnsi="宋体" w:hint="eastAsia"/>
          <w:bCs/>
          <w:kern w:val="2"/>
          <w:szCs w:val="32"/>
          <w:lang w:eastAsia="zh-CN"/>
        </w:rPr>
        <w:t>一、应答书</w:t>
      </w:r>
    </w:p>
    <w:p>
      <w:pPr>
        <w:widowControl w:val="0"/>
        <w:jc w:val="both"/>
        <w:rPr>
          <w:rFonts w:ascii="宋体" w:eastAsia="宋体" w:hAnsi="宋体" w:hint="eastAsia"/>
          <w:color w:val="FF0000"/>
          <w:kern w:val="2"/>
          <w:lang w:eastAsia="zh-CN"/>
        </w:rPr>
      </w:pPr>
    </w:p>
    <w:p>
      <w:pPr>
        <w:widowControl w:val="0"/>
        <w:spacing w:line="360" w:lineRule="auto"/>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致：深圳公共资源交易中心</w:t>
      </w:r>
    </w:p>
    <w:p>
      <w:pPr>
        <w:widowControl w:val="0"/>
        <w:ind w:firstLine="420" w:firstLineChars="200"/>
        <w:jc w:val="both"/>
        <w:rPr>
          <w:rFonts w:ascii="宋体" w:eastAsia="宋体" w:hAnsi="宋体" w:hint="eastAsia"/>
          <w:kern w:val="2"/>
          <w:sz w:val="21"/>
          <w:szCs w:val="21"/>
          <w:lang w:eastAsia="zh-CN"/>
        </w:rPr>
      </w:pPr>
      <w:r>
        <w:rPr>
          <w:rFonts w:eastAsia="宋体" w:hint="eastAsia"/>
          <w:kern w:val="2"/>
          <w:sz w:val="21"/>
          <w:szCs w:val="21"/>
          <w:lang w:eastAsia="zh-CN"/>
        </w:rPr>
        <w:t>1、根据已收到贵单位的项目编号为</w:t>
      </w:r>
      <w:r>
        <w:rPr>
          <w:rFonts w:eastAsia="宋体" w:hint="eastAsia"/>
          <w:kern w:val="2"/>
          <w:sz w:val="21"/>
          <w:szCs w:val="21"/>
          <w:u w:val="single"/>
          <w:lang w:eastAsia="zh-CN"/>
        </w:rPr>
        <w:t xml:space="preserve">        </w:t>
      </w:r>
      <w:r>
        <w:rPr>
          <w:rFonts w:eastAsia="宋体" w:hint="eastAsia"/>
          <w:kern w:val="2"/>
          <w:sz w:val="21"/>
          <w:szCs w:val="21"/>
          <w:lang w:eastAsia="zh-CN"/>
        </w:rPr>
        <w:t>的</w:t>
      </w:r>
      <w:r>
        <w:rPr>
          <w:rFonts w:eastAsia="宋体" w:hint="eastAsia"/>
          <w:kern w:val="2"/>
          <w:sz w:val="21"/>
          <w:szCs w:val="21"/>
          <w:u w:val="single"/>
          <w:lang w:eastAsia="zh-CN"/>
        </w:rPr>
        <w:t xml:space="preserve">               </w:t>
      </w:r>
      <w:r>
        <w:rPr>
          <w:rFonts w:eastAsia="宋体" w:hint="eastAsia"/>
          <w:kern w:val="2"/>
          <w:sz w:val="21"/>
          <w:szCs w:val="21"/>
          <w:lang w:eastAsia="zh-CN"/>
        </w:rPr>
        <w:t>项目的谈判公告，遵照《深圳经济特区政府采购条例》和《深圳网上政府采购管理暂行办法》等有关规定，我单位经研究谈判文件后，</w:t>
      </w:r>
      <w:r>
        <w:rPr>
          <w:rFonts w:ascii="宋体" w:eastAsia="宋体" w:hAnsi="宋体" w:hint="eastAsia"/>
          <w:kern w:val="2"/>
          <w:sz w:val="21"/>
          <w:szCs w:val="21"/>
          <w:lang w:eastAsia="zh-CN"/>
        </w:rPr>
        <w:t>代表</w:t>
      </w:r>
      <w:r>
        <w:rPr>
          <w:rFonts w:ascii="宋体" w:eastAsia="宋体" w:hAnsi="宋体" w:hint="eastAsia"/>
          <w:kern w:val="2"/>
          <w:sz w:val="21"/>
          <w:szCs w:val="21"/>
          <w:u w:val="single"/>
          <w:lang w:eastAsia="zh-CN"/>
        </w:rPr>
        <w:t xml:space="preserve">    </w:t>
      </w:r>
      <w:r>
        <w:rPr>
          <w:rFonts w:ascii="宋体" w:eastAsia="宋体" w:hAnsi="宋体" w:hint="eastAsia"/>
          <w:kern w:val="2"/>
          <w:sz w:val="21"/>
          <w:szCs w:val="21"/>
          <w:lang w:eastAsia="zh-CN"/>
        </w:rPr>
        <w:t>（姓名、职务）经正式授权并代表</w:t>
      </w:r>
      <w:r>
        <w:rPr>
          <w:rFonts w:ascii="宋体" w:eastAsia="宋体" w:hAnsi="宋体" w:hint="eastAsia"/>
          <w:kern w:val="2"/>
          <w:sz w:val="21"/>
          <w:szCs w:val="21"/>
          <w:u w:val="single"/>
          <w:lang w:eastAsia="zh-CN"/>
        </w:rPr>
        <w:t xml:space="preserve">    </w:t>
      </w:r>
      <w:r>
        <w:rPr>
          <w:rFonts w:ascii="宋体" w:eastAsia="宋体" w:hAnsi="宋体" w:hint="eastAsia"/>
          <w:kern w:val="2"/>
          <w:sz w:val="21"/>
          <w:szCs w:val="21"/>
          <w:lang w:eastAsia="zh-CN"/>
        </w:rPr>
        <w:t>（供应商名称、地址）提交电子谈判应答文件一份。</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kern w:val="2"/>
          <w:sz w:val="21"/>
          <w:szCs w:val="21"/>
          <w:lang w:eastAsia="zh-CN"/>
        </w:rPr>
        <w:t>2</w:t>
      </w:r>
      <w:r>
        <w:rPr>
          <w:rFonts w:ascii="宋体" w:eastAsia="宋体" w:hAnsi="宋体" w:hint="eastAsia"/>
          <w:kern w:val="2"/>
          <w:sz w:val="21"/>
          <w:szCs w:val="21"/>
          <w:lang w:eastAsia="zh-CN"/>
        </w:rPr>
        <w:t>、谈判价格具体见“项目详细报价”，具体以谈判最终报价为准。</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kern w:val="2"/>
          <w:sz w:val="21"/>
          <w:szCs w:val="21"/>
          <w:lang w:eastAsia="zh-CN"/>
        </w:rPr>
        <w:t>3</w:t>
      </w:r>
      <w:r>
        <w:rPr>
          <w:rFonts w:ascii="宋体" w:eastAsia="宋体" w:hAnsi="宋体" w:hint="eastAsia"/>
          <w:kern w:val="2"/>
          <w:sz w:val="21"/>
          <w:szCs w:val="21"/>
          <w:lang w:eastAsia="zh-CN"/>
        </w:rPr>
        <w:t>、如果我单位获得成交资格，我单位将按照谈判文件的要求足额提交履约担保。</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kern w:val="2"/>
          <w:sz w:val="21"/>
          <w:szCs w:val="21"/>
          <w:lang w:eastAsia="zh-CN"/>
        </w:rPr>
        <w:t>4</w:t>
      </w:r>
      <w:r>
        <w:rPr>
          <w:rFonts w:ascii="宋体" w:eastAsia="宋体" w:hAnsi="宋体" w:hint="eastAsia"/>
          <w:kern w:val="2"/>
          <w:sz w:val="21"/>
          <w:szCs w:val="21"/>
          <w:lang w:eastAsia="zh-CN"/>
        </w:rPr>
        <w:t>、我单位同意所递交的应答文件在“对谈判须知条款的补充内容”中明确的谈判应答有效期内有效，在此期间内我单位有可能获得成交资格，我单位将受此约束，履行合同责任和义务。</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kern w:val="2"/>
          <w:sz w:val="21"/>
          <w:szCs w:val="21"/>
          <w:lang w:eastAsia="zh-CN"/>
        </w:rPr>
        <w:t>5</w:t>
      </w:r>
      <w:r>
        <w:rPr>
          <w:rFonts w:ascii="宋体" w:eastAsia="宋体" w:hAnsi="宋体" w:hint="eastAsia"/>
          <w:kern w:val="2"/>
          <w:sz w:val="21"/>
          <w:szCs w:val="21"/>
          <w:lang w:eastAsia="zh-CN"/>
        </w:rPr>
        <w:t>、除非另外达成协议并生效，贵单位的成交通知书和本应答文件（含谈判过程中的其他承诺）将构成合同的重要内容。</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kern w:val="2"/>
          <w:sz w:val="21"/>
          <w:szCs w:val="21"/>
          <w:lang w:eastAsia="zh-CN"/>
        </w:rPr>
        <w:t>6</w:t>
      </w:r>
      <w:r>
        <w:rPr>
          <w:rFonts w:ascii="宋体" w:eastAsia="宋体" w:hAnsi="宋体" w:hint="eastAsia"/>
          <w:kern w:val="2"/>
          <w:sz w:val="21"/>
          <w:szCs w:val="21"/>
          <w:lang w:eastAsia="zh-CN"/>
        </w:rPr>
        <w:t>、我单位理解贵单位将不受必须接受所收到的最低报价或其它任何应答文件的约束。</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7、如我单位提交样品，且未在规定时间内取回样品的，视同放弃取回，同意深圳公共资源交易中心对我单位提交的样品进行清理。</w:t>
      </w:r>
    </w:p>
    <w:p>
      <w:pPr>
        <w:widowControl w:val="0"/>
        <w:spacing w:line="360" w:lineRule="auto"/>
        <w:jc w:val="both"/>
        <w:rPr>
          <w:rFonts w:ascii="宋体" w:eastAsia="宋体" w:hAnsi="宋体" w:hint="eastAsia"/>
          <w:kern w:val="2"/>
          <w:sz w:val="21"/>
          <w:szCs w:val="21"/>
          <w:lang w:eastAsia="zh-CN"/>
        </w:rPr>
      </w:pPr>
    </w:p>
    <w:p>
      <w:pPr>
        <w:widowControl w:val="0"/>
        <w:ind w:left="617" w:leftChars="257"/>
        <w:jc w:val="both"/>
        <w:rPr>
          <w:rFonts w:eastAsia="宋体"/>
          <w:kern w:val="2"/>
          <w:sz w:val="21"/>
          <w:szCs w:val="21"/>
          <w:u w:val="single"/>
          <w:lang w:eastAsia="zh-CN"/>
        </w:rPr>
      </w:pPr>
      <w:r>
        <w:rPr>
          <w:rFonts w:eastAsia="宋体" w:hint="eastAsia"/>
          <w:kern w:val="2"/>
          <w:sz w:val="21"/>
          <w:szCs w:val="21"/>
          <w:lang w:eastAsia="zh-CN"/>
        </w:rPr>
        <w:t>供应商名称：</w:t>
      </w:r>
      <w:r>
        <w:rPr>
          <w:rFonts w:eastAsia="宋体" w:hint="eastAsia"/>
          <w:kern w:val="2"/>
          <w:sz w:val="21"/>
          <w:szCs w:val="21"/>
          <w:u w:val="single"/>
          <w:lang w:eastAsia="zh-CN"/>
        </w:rPr>
        <w:t xml:space="preserve">                   </w:t>
      </w:r>
      <w:r>
        <w:rPr>
          <w:rFonts w:eastAsia="宋体" w:hint="eastAsia"/>
          <w:kern w:val="2"/>
          <w:sz w:val="21"/>
          <w:szCs w:val="21"/>
          <w:lang w:eastAsia="zh-CN"/>
        </w:rPr>
        <w:t xml:space="preserve">    单位地址：</w:t>
      </w:r>
      <w:r>
        <w:rPr>
          <w:rFonts w:eastAsia="宋体" w:hint="eastAsia"/>
          <w:kern w:val="2"/>
          <w:sz w:val="21"/>
          <w:szCs w:val="21"/>
          <w:u w:val="single"/>
          <w:lang w:eastAsia="zh-CN"/>
        </w:rPr>
        <w:t xml:space="preserve">                                </w:t>
      </w:r>
      <w:r>
        <w:rPr>
          <w:rFonts w:eastAsia="宋体" w:hint="eastAsia"/>
          <w:kern w:val="2"/>
          <w:sz w:val="21"/>
          <w:szCs w:val="21"/>
          <w:lang w:eastAsia="zh-CN"/>
        </w:rPr>
        <w:t>；</w:t>
      </w:r>
    </w:p>
    <w:p>
      <w:pPr>
        <w:widowControl w:val="0"/>
        <w:ind w:left="617" w:leftChars="257"/>
        <w:jc w:val="both"/>
        <w:rPr>
          <w:rFonts w:eastAsia="宋体"/>
          <w:kern w:val="2"/>
          <w:sz w:val="21"/>
          <w:szCs w:val="21"/>
          <w:u w:val="single"/>
          <w:lang w:eastAsia="zh-CN"/>
        </w:rPr>
      </w:pPr>
      <w:r>
        <w:rPr>
          <w:rFonts w:eastAsia="宋体" w:hint="eastAsia"/>
          <w:kern w:val="2"/>
          <w:sz w:val="21"/>
          <w:szCs w:val="21"/>
          <w:lang w:eastAsia="zh-CN"/>
        </w:rPr>
        <w:t>法定代表人（负责人）或其授权委托代理人：</w:t>
      </w:r>
      <w:r>
        <w:rPr>
          <w:rFonts w:eastAsia="宋体" w:hint="eastAsia"/>
          <w:kern w:val="2"/>
          <w:sz w:val="21"/>
          <w:szCs w:val="21"/>
          <w:u w:val="single"/>
          <w:lang w:eastAsia="zh-CN"/>
        </w:rPr>
        <w:t xml:space="preserve">                   </w:t>
      </w:r>
      <w:r>
        <w:rPr>
          <w:rFonts w:eastAsia="宋体" w:hint="eastAsia"/>
          <w:kern w:val="2"/>
          <w:sz w:val="21"/>
          <w:szCs w:val="21"/>
          <w:lang w:eastAsia="zh-CN"/>
        </w:rPr>
        <w:t>；</w:t>
      </w:r>
    </w:p>
    <w:p>
      <w:pPr>
        <w:widowControl w:val="0"/>
        <w:ind w:left="617" w:leftChars="257"/>
        <w:jc w:val="both"/>
        <w:rPr>
          <w:rFonts w:eastAsia="宋体"/>
          <w:kern w:val="2"/>
          <w:sz w:val="21"/>
          <w:szCs w:val="21"/>
          <w:u w:val="single"/>
          <w:lang w:eastAsia="zh-CN"/>
        </w:rPr>
      </w:pPr>
      <w:r>
        <w:rPr>
          <w:rFonts w:eastAsia="宋体" w:hint="eastAsia"/>
          <w:kern w:val="2"/>
          <w:sz w:val="21"/>
          <w:szCs w:val="21"/>
          <w:lang w:eastAsia="zh-CN"/>
        </w:rPr>
        <w:t>开户银行名称：</w:t>
      </w:r>
      <w:r>
        <w:rPr>
          <w:rFonts w:eastAsia="宋体" w:hint="eastAsia"/>
          <w:kern w:val="2"/>
          <w:sz w:val="21"/>
          <w:szCs w:val="21"/>
          <w:u w:val="single"/>
          <w:lang w:eastAsia="zh-CN"/>
        </w:rPr>
        <w:t xml:space="preserve">                    </w:t>
      </w:r>
      <w:r>
        <w:rPr>
          <w:rFonts w:eastAsia="宋体" w:hint="eastAsia"/>
          <w:kern w:val="2"/>
          <w:sz w:val="21"/>
          <w:szCs w:val="21"/>
          <w:lang w:eastAsia="zh-CN"/>
        </w:rPr>
        <w:t>；</w:t>
      </w:r>
    </w:p>
    <w:p>
      <w:pPr>
        <w:widowControl w:val="0"/>
        <w:ind w:left="617" w:leftChars="257"/>
        <w:jc w:val="both"/>
        <w:rPr>
          <w:rFonts w:eastAsia="宋体"/>
          <w:kern w:val="2"/>
          <w:sz w:val="21"/>
          <w:szCs w:val="21"/>
          <w:u w:val="single"/>
          <w:lang w:eastAsia="zh-CN"/>
        </w:rPr>
      </w:pPr>
      <w:r>
        <w:rPr>
          <w:rFonts w:eastAsia="宋体" w:hint="eastAsia"/>
          <w:kern w:val="2"/>
          <w:sz w:val="21"/>
          <w:szCs w:val="21"/>
          <w:lang w:eastAsia="zh-CN"/>
        </w:rPr>
        <w:t>开户银行账号 ：</w:t>
      </w:r>
      <w:r>
        <w:rPr>
          <w:rFonts w:eastAsia="宋体" w:hint="eastAsia"/>
          <w:kern w:val="2"/>
          <w:sz w:val="21"/>
          <w:szCs w:val="21"/>
          <w:u w:val="single"/>
          <w:lang w:eastAsia="zh-CN"/>
        </w:rPr>
        <w:t xml:space="preserve">                  </w:t>
      </w:r>
      <w:r>
        <w:rPr>
          <w:rFonts w:eastAsia="宋体" w:hint="eastAsia"/>
          <w:kern w:val="2"/>
          <w:sz w:val="21"/>
          <w:szCs w:val="21"/>
          <w:lang w:eastAsia="zh-CN"/>
        </w:rPr>
        <w:t>；</w:t>
      </w:r>
    </w:p>
    <w:p>
      <w:pPr>
        <w:widowControl w:val="0"/>
        <w:ind w:left="617" w:leftChars="257"/>
        <w:jc w:val="both"/>
        <w:rPr>
          <w:rFonts w:eastAsia="宋体"/>
          <w:kern w:val="2"/>
          <w:sz w:val="21"/>
          <w:szCs w:val="21"/>
          <w:lang w:eastAsia="zh-CN"/>
        </w:rPr>
      </w:pPr>
      <w:r>
        <w:rPr>
          <w:rFonts w:eastAsia="宋体" w:hint="eastAsia"/>
          <w:kern w:val="2"/>
          <w:sz w:val="21"/>
          <w:szCs w:val="21"/>
          <w:lang w:eastAsia="zh-CN"/>
        </w:rPr>
        <w:t>邮政编码：</w:t>
      </w:r>
      <w:r>
        <w:rPr>
          <w:rFonts w:eastAsia="宋体" w:hint="eastAsia"/>
          <w:kern w:val="2"/>
          <w:sz w:val="21"/>
          <w:szCs w:val="21"/>
          <w:u w:val="single"/>
          <w:lang w:eastAsia="zh-CN"/>
        </w:rPr>
        <w:t xml:space="preserve">          </w:t>
      </w:r>
      <w:r>
        <w:rPr>
          <w:rFonts w:eastAsia="宋体" w:hint="eastAsia"/>
          <w:kern w:val="2"/>
          <w:sz w:val="21"/>
          <w:szCs w:val="21"/>
          <w:lang w:eastAsia="zh-CN"/>
        </w:rPr>
        <w:t xml:space="preserve">  电话：</w:t>
      </w:r>
      <w:r>
        <w:rPr>
          <w:rFonts w:eastAsia="宋体" w:hint="eastAsia"/>
          <w:kern w:val="2"/>
          <w:sz w:val="21"/>
          <w:szCs w:val="21"/>
          <w:u w:val="single"/>
          <w:lang w:eastAsia="zh-CN"/>
        </w:rPr>
        <w:t xml:space="preserve">          </w:t>
      </w:r>
      <w:r>
        <w:rPr>
          <w:rFonts w:eastAsia="宋体" w:hint="eastAsia"/>
          <w:kern w:val="2"/>
          <w:sz w:val="21"/>
          <w:szCs w:val="21"/>
          <w:lang w:eastAsia="zh-CN"/>
        </w:rPr>
        <w:t xml:space="preserve">  传真：</w:t>
      </w:r>
      <w:r>
        <w:rPr>
          <w:rFonts w:eastAsia="宋体" w:hint="eastAsia"/>
          <w:kern w:val="2"/>
          <w:sz w:val="21"/>
          <w:szCs w:val="21"/>
          <w:u w:val="single"/>
          <w:lang w:eastAsia="zh-CN"/>
        </w:rPr>
        <w:t xml:space="preserve">            </w:t>
      </w:r>
      <w:r>
        <w:rPr>
          <w:rFonts w:eastAsia="宋体" w:hint="eastAsia"/>
          <w:kern w:val="2"/>
          <w:sz w:val="21"/>
          <w:szCs w:val="21"/>
          <w:lang w:eastAsia="zh-CN"/>
        </w:rPr>
        <w:t>；</w:t>
      </w:r>
    </w:p>
    <w:p>
      <w:pPr>
        <w:widowControl w:val="0"/>
        <w:spacing w:line="360" w:lineRule="auto"/>
        <w:ind w:firstLine="560"/>
        <w:jc w:val="both"/>
        <w:rPr>
          <w:rFonts w:ascii="宋体" w:eastAsia="宋体" w:hAnsi="宋体" w:hint="eastAsia"/>
          <w:kern w:val="2"/>
          <w:sz w:val="21"/>
          <w:szCs w:val="21"/>
          <w:lang w:eastAsia="zh-CN"/>
        </w:rPr>
      </w:pPr>
    </w:p>
    <w:p>
      <w:pPr>
        <w:widowControl w:val="0"/>
        <w:spacing w:line="360" w:lineRule="auto"/>
        <w:ind w:firstLine="560"/>
        <w:jc w:val="both"/>
        <w:rPr>
          <w:rFonts w:eastAsia="宋体"/>
          <w:kern w:val="2"/>
          <w:lang w:eastAsia="zh-CN"/>
        </w:rPr>
      </w:pPr>
      <w:r>
        <w:rPr>
          <w:rFonts w:ascii="宋体" w:eastAsia="宋体" w:hAnsi="宋体" w:hint="eastAsia"/>
          <w:kern w:val="2"/>
          <w:sz w:val="21"/>
          <w:szCs w:val="21"/>
          <w:lang w:eastAsia="zh-CN"/>
        </w:rPr>
        <w:t>日期：</w:t>
      </w:r>
      <w:r>
        <w:rPr>
          <w:rFonts w:ascii="宋体" w:eastAsia="宋体" w:hAnsi="宋体" w:hint="eastAsia"/>
          <w:kern w:val="2"/>
          <w:sz w:val="21"/>
          <w:szCs w:val="21"/>
          <w:u w:val="single"/>
          <w:lang w:eastAsia="zh-CN"/>
        </w:rPr>
        <w:t xml:space="preserve">       </w:t>
      </w:r>
      <w:r>
        <w:rPr>
          <w:rFonts w:ascii="宋体" w:eastAsia="宋体" w:hAnsi="宋体" w:hint="eastAsia"/>
          <w:kern w:val="2"/>
          <w:sz w:val="21"/>
          <w:szCs w:val="21"/>
          <w:lang w:eastAsia="zh-CN"/>
        </w:rPr>
        <w:t>年</w:t>
      </w:r>
      <w:r>
        <w:rPr>
          <w:rFonts w:ascii="宋体" w:eastAsia="宋体" w:hAnsi="宋体" w:hint="eastAsia"/>
          <w:kern w:val="2"/>
          <w:sz w:val="21"/>
          <w:szCs w:val="21"/>
          <w:u w:val="single"/>
          <w:lang w:eastAsia="zh-CN"/>
        </w:rPr>
        <w:t xml:space="preserve">     </w:t>
      </w:r>
      <w:r>
        <w:rPr>
          <w:rFonts w:ascii="宋体" w:eastAsia="宋体" w:hAnsi="宋体" w:hint="eastAsia"/>
          <w:kern w:val="2"/>
          <w:sz w:val="21"/>
          <w:szCs w:val="21"/>
          <w:lang w:eastAsia="zh-CN"/>
        </w:rPr>
        <w:t>月</w:t>
      </w:r>
      <w:r>
        <w:rPr>
          <w:rFonts w:ascii="宋体" w:eastAsia="宋体" w:hAnsi="宋体" w:hint="eastAsia"/>
          <w:kern w:val="2"/>
          <w:sz w:val="21"/>
          <w:szCs w:val="21"/>
          <w:u w:val="single"/>
          <w:lang w:eastAsia="zh-CN"/>
        </w:rPr>
        <w:t xml:space="preserve">    </w:t>
      </w:r>
      <w:r>
        <w:rPr>
          <w:rFonts w:ascii="宋体" w:eastAsia="宋体" w:hAnsi="宋体" w:hint="eastAsia"/>
          <w:kern w:val="2"/>
          <w:sz w:val="21"/>
          <w:szCs w:val="21"/>
          <w:lang w:eastAsia="zh-CN"/>
        </w:rPr>
        <w:t>日</w:t>
      </w:r>
    </w:p>
    <w:p>
      <w:pPr>
        <w:widowControl w:val="0"/>
        <w:spacing w:line="360" w:lineRule="auto"/>
        <w:ind w:firstLine="560"/>
        <w:jc w:val="both"/>
        <w:rPr>
          <w:rFonts w:eastAsia="宋体"/>
          <w:kern w:val="2"/>
          <w:sz w:val="21"/>
          <w:szCs w:val="21"/>
          <w:lang w:eastAsia="zh-CN"/>
        </w:rPr>
      </w:pPr>
    </w:p>
    <w:p>
      <w:pPr>
        <w:keepNext/>
        <w:keepLines/>
        <w:widowControl w:val="0"/>
        <w:spacing w:before="260" w:after="260" w:line="240" w:lineRule="auto"/>
        <w:jc w:val="center"/>
        <w:outlineLvl w:val="2"/>
        <w:rPr>
          <w:rFonts w:ascii="黑体" w:eastAsia="黑体" w:hAnsi="宋体" w:hint="eastAsia"/>
          <w:bCs/>
          <w:kern w:val="2"/>
          <w:szCs w:val="32"/>
          <w:lang w:eastAsia="zh-CN"/>
        </w:rPr>
      </w:pPr>
      <w:r>
        <w:rPr>
          <w:rFonts w:ascii="黑体" w:eastAsia="黑体" w:hAnsi="宋体" w:hint="eastAsia"/>
          <w:bCs/>
          <w:kern w:val="2"/>
          <w:szCs w:val="32"/>
          <w:lang w:eastAsia="zh-CN"/>
        </w:rPr>
        <w:t>二、采购应答及履约承诺函</w:t>
      </w:r>
    </w:p>
    <w:p>
      <w:pPr>
        <w:widowControl w:val="0"/>
        <w:jc w:val="both"/>
        <w:rPr>
          <w:rFonts w:ascii="宋体" w:eastAsia="宋体" w:hAnsi="宋体" w:hint="eastAsia"/>
          <w:color w:val="FF0000"/>
          <w:kern w:val="2"/>
          <w:sz w:val="21"/>
          <w:szCs w:val="21"/>
          <w:lang w:eastAsia="zh-CN"/>
        </w:rPr>
      </w:pPr>
      <w:r>
        <w:rPr>
          <w:rFonts w:ascii="宋体" w:eastAsia="宋体" w:hAnsi="宋体" w:hint="eastAsia"/>
          <w:color w:val="FF0000"/>
          <w:kern w:val="2"/>
          <w:sz w:val="21"/>
          <w:szCs w:val="21"/>
          <w:lang w:eastAsia="zh-CN"/>
        </w:rPr>
        <w:t>致：</w:t>
      </w:r>
      <w:r>
        <w:rPr>
          <w:rFonts w:ascii="宋体" w:eastAsia="宋体" w:hAnsi="宋体" w:hint="eastAsia"/>
          <w:color w:val="FF0000"/>
          <w:kern w:val="2"/>
          <w:sz w:val="21"/>
          <w:szCs w:val="21"/>
          <w:u w:val="single"/>
          <w:lang w:eastAsia="zh-CN"/>
        </w:rPr>
        <w:t>深圳公共资源交易中心</w:t>
      </w:r>
    </w:p>
    <w:p>
      <w:pPr>
        <w:widowControl w:val="0"/>
        <w:ind w:right="-815"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我单位承诺：</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1.</w:t>
      </w:r>
      <w:r>
        <w:rPr>
          <w:rFonts w:ascii="宋体" w:eastAsia="宋体" w:hAnsi="宋体" w:hint="eastAsia"/>
          <w:bCs/>
          <w:kern w:val="2"/>
          <w:sz w:val="21"/>
          <w:szCs w:val="21"/>
          <w:lang w:eastAsia="zh-CN"/>
        </w:rPr>
        <w:t>我单位参与本项目所投标（响应）的货物、工程或服务，不存在侵犯知识产权的情况。</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2.我单位参与本项目</w:t>
      </w:r>
      <w:r>
        <w:rPr>
          <w:rFonts w:eastAsia="宋体" w:hint="eastAsia"/>
          <w:kern w:val="2"/>
          <w:sz w:val="21"/>
          <w:lang w:eastAsia="zh-CN"/>
        </w:rPr>
        <w:t>采购活动时不存在被有关部门禁止参与政府采购活动且在有效期内的情况。符合采购文件关于联合体及进口产品的相关资格要求。</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3.我单位具备《中华人民共和国政府采购法》第二十二条第一款的条件。</w:t>
      </w:r>
    </w:p>
    <w:p>
      <w:pPr>
        <w:widowControl w:val="0"/>
        <w:ind w:firstLine="420" w:firstLineChars="200"/>
        <w:jc w:val="both"/>
        <w:rPr>
          <w:rFonts w:eastAsia="宋体"/>
          <w:kern w:val="2"/>
          <w:sz w:val="21"/>
          <w:lang w:eastAsia="zh-CN"/>
        </w:rPr>
      </w:pPr>
      <w:r>
        <w:rPr>
          <w:rFonts w:ascii="宋体" w:eastAsia="宋体" w:hAnsi="宋体" w:hint="eastAsia"/>
          <w:kern w:val="2"/>
          <w:sz w:val="21"/>
          <w:szCs w:val="21"/>
          <w:lang w:eastAsia="zh-CN"/>
        </w:rPr>
        <w:t>4.我单位</w:t>
      </w:r>
      <w:r>
        <w:rPr>
          <w:rFonts w:eastAsia="宋体" w:hint="eastAsia"/>
          <w:kern w:val="2"/>
          <w:sz w:val="21"/>
          <w:lang w:eastAsia="zh-CN"/>
        </w:rPr>
        <w:t>未被列入失信被执行人、重大税收违法案件当事人名单、政府采购严重违法失信行为记录名单。</w:t>
      </w:r>
    </w:p>
    <w:p>
      <w:pPr>
        <w:widowControl w:val="0"/>
        <w:ind w:firstLine="420" w:firstLineChars="200"/>
        <w:jc w:val="both"/>
        <w:rPr>
          <w:rFonts w:eastAsia="宋体"/>
          <w:kern w:val="2"/>
          <w:sz w:val="21"/>
          <w:lang w:eastAsia="zh-CN"/>
        </w:rPr>
      </w:pPr>
      <w:r>
        <w:rPr>
          <w:rFonts w:eastAsia="宋体" w:hint="eastAsia"/>
          <w:color w:val="FF0000"/>
          <w:kern w:val="2"/>
          <w:sz w:val="21"/>
          <w:lang w:eastAsia="zh-CN"/>
        </w:rPr>
        <w:t>5.我单位不存在《深圳市财政局政府采购供应商信用信息管理办法》（深财规〔2023〕3号）列明的严重违法失信行为。</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6.我单位参与该项目谈判，严格遵守政府采购相关法律，不造假，不围标、串标、陪标。我单位已清楚，如违反上述要求，应答将作无效处理，被列入不良记录名单并在网上曝光，同时将被提请政府采购主管部门给予一定年限内禁止参与政府采购活动或其他处罚。</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7.我单位如果获得成交资格，将做到守信，不偷工减料，依照本项目谈判文件需求内容、签署的采购合同及本单位在谈判中所作的一切承诺履约。我单位对本项目的报价负责，成交后将严格按照本项目谈判文件需求、签署的采购合同及我单位在谈判中所作的全部承诺履行。</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我单位清楚，若以“报价太低而无法履约”为理由放弃本项目成交资格时，愿意接受主管部门的处理处罚。若我单位成交本项目，我单位的报价明显低于其他供应商的报价时，我单位清楚，本项目将成为重点监管、重点验收项目，我单位将按时保质保量完成，并全力配合有关监管、验收工作；若我单位未按上述要求履约，我单位愿意接受主管部门的处理处罚。</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8.我单位已认真核实了应答文件的全部内容，所有资料均为真实资料。我单位对应答文件中全部应答资料的真实性负责，如被证实我单位的应答文件中存在虚假资料的，则视为我单位隐瞒真实情况、提供虚假资料，我单位愿意接受主管部门作出的行政处罚。</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9.我单位承诺成交后项目不转包，未经采购人同意不进行分包。</w:t>
      </w:r>
    </w:p>
    <w:p>
      <w:pPr>
        <w:widowControl w:val="0"/>
        <w:ind w:firstLine="420" w:firstLineChars="200"/>
        <w:jc w:val="both"/>
        <w:rPr>
          <w:rFonts w:ascii="宋体" w:eastAsia="宋体" w:hAnsi="宋体" w:hint="eastAsia"/>
          <w:kern w:val="2"/>
          <w:sz w:val="21"/>
          <w:lang w:eastAsia="zh-CN"/>
        </w:rPr>
      </w:pPr>
      <w:r>
        <w:rPr>
          <w:rFonts w:ascii="宋体" w:eastAsia="宋体" w:hAnsi="宋体" w:hint="eastAsia"/>
          <w:kern w:val="2"/>
          <w:sz w:val="21"/>
          <w:szCs w:val="21"/>
          <w:lang w:eastAsia="zh-CN"/>
        </w:rPr>
        <w:t>10</w:t>
      </w:r>
      <w:r>
        <w:rPr>
          <w:rFonts w:ascii="宋体" w:eastAsia="宋体" w:hAnsi="宋体"/>
          <w:kern w:val="2"/>
          <w:sz w:val="21"/>
          <w:szCs w:val="21"/>
          <w:lang w:eastAsia="zh-CN"/>
        </w:rPr>
        <w:t>.</w:t>
      </w:r>
      <w:r>
        <w:rPr>
          <w:rFonts w:ascii="宋体" w:eastAsia="宋体" w:hAnsi="宋体" w:hint="eastAsia"/>
          <w:kern w:val="2"/>
          <w:sz w:val="21"/>
          <w:lang w:eastAsia="zh-CN"/>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pPr>
        <w:widowControl w:val="0"/>
        <w:ind w:firstLine="420" w:firstLineChars="200"/>
        <w:jc w:val="both"/>
        <w:rPr>
          <w:rFonts w:ascii="宋体" w:eastAsia="宋体" w:hAnsi="宋体" w:hint="eastAsia"/>
          <w:kern w:val="2"/>
          <w:sz w:val="21"/>
          <w:lang w:eastAsia="zh-CN"/>
        </w:rPr>
      </w:pPr>
      <w:r>
        <w:rPr>
          <w:rFonts w:ascii="宋体" w:eastAsia="宋体" w:hAnsi="宋体" w:hint="eastAsia"/>
          <w:kern w:val="2"/>
          <w:sz w:val="21"/>
          <w:lang w:eastAsia="zh-CN"/>
        </w:rPr>
        <w:t>11</w:t>
      </w:r>
      <w:r>
        <w:rPr>
          <w:rFonts w:ascii="宋体" w:eastAsia="宋体" w:hAnsi="宋体"/>
          <w:kern w:val="2"/>
          <w:sz w:val="21"/>
          <w:lang w:eastAsia="zh-CN"/>
        </w:rPr>
        <w:t>.</w:t>
      </w:r>
      <w:r>
        <w:rPr>
          <w:rFonts w:ascii="宋体" w:eastAsia="宋体" w:hAnsi="宋体" w:hint="eastAsia"/>
          <w:kern w:val="2"/>
          <w:sz w:val="21"/>
          <w:lang w:eastAsia="zh-CN"/>
        </w:rPr>
        <w:t>我单位保证，若所响应货物涉及</w:t>
      </w:r>
      <w:r>
        <w:rPr>
          <w:rFonts w:ascii="宋体" w:eastAsia="宋体" w:hAnsi="宋体"/>
          <w:kern w:val="2"/>
          <w:sz w:val="21"/>
          <w:lang w:eastAsia="zh-CN"/>
        </w:rPr>
        <w:t>《</w:t>
      </w:r>
      <w:r>
        <w:rPr>
          <w:rFonts w:ascii="宋体" w:eastAsia="宋体" w:hAnsi="宋体" w:hint="eastAsia"/>
          <w:kern w:val="2"/>
          <w:sz w:val="21"/>
          <w:lang w:eastAsia="zh-CN"/>
        </w:rPr>
        <w:t>财政部生态环境部关于印发节能产品政府采购品目清单的通知》（财库〔20</w:t>
      </w:r>
      <w:r>
        <w:rPr>
          <w:rFonts w:ascii="宋体" w:eastAsia="宋体" w:hAnsi="宋体"/>
          <w:kern w:val="2"/>
          <w:sz w:val="21"/>
          <w:lang w:eastAsia="zh-CN"/>
        </w:rPr>
        <w:t>19</w:t>
      </w:r>
      <w:r>
        <w:rPr>
          <w:rFonts w:ascii="宋体" w:eastAsia="宋体" w:hAnsi="宋体" w:hint="eastAsia"/>
          <w:kern w:val="2"/>
          <w:sz w:val="21"/>
          <w:lang w:eastAsia="zh-CN"/>
        </w:rPr>
        <w:t>〕</w:t>
      </w:r>
      <w:r>
        <w:rPr>
          <w:rFonts w:ascii="宋体" w:eastAsia="宋体" w:hAnsi="宋体"/>
          <w:kern w:val="2"/>
          <w:sz w:val="21"/>
          <w:lang w:eastAsia="zh-CN"/>
        </w:rPr>
        <w:t>19</w:t>
      </w:r>
      <w:r>
        <w:rPr>
          <w:rFonts w:ascii="宋体" w:eastAsia="宋体" w:hAnsi="宋体" w:hint="eastAsia"/>
          <w:kern w:val="2"/>
          <w:sz w:val="21"/>
          <w:lang w:eastAsia="zh-CN"/>
        </w:rPr>
        <w:t>号）列明的政府采购强制产品，则所响应产品符合节能产品的认证要求。若所投产品包括数据中心相关设备的，应满足</w:t>
      </w:r>
      <w:r>
        <w:rPr>
          <w:rFonts w:eastAsia="宋体" w:hint="eastAsia"/>
          <w:kern w:val="2"/>
          <w:sz w:val="21"/>
          <w:lang w:eastAsia="zh-CN"/>
        </w:rPr>
        <w:t>《财政部 生态环境部 工业和信息化部关于印发&lt;绿色数据中心政府采购需求标准（试行）&gt;的通知》（财库〔2023〕7号）要求。若所投产品涉及国家强制性标准的，所投产品应符合国家强制性标准相关要求。</w:t>
      </w:r>
    </w:p>
    <w:p>
      <w:pPr>
        <w:widowControl w:val="0"/>
        <w:ind w:firstLine="420" w:firstLineChars="200"/>
        <w:jc w:val="both"/>
        <w:rPr>
          <w:rFonts w:ascii="宋体" w:eastAsia="宋体" w:hAnsi="宋体" w:hint="eastAsia"/>
          <w:bCs/>
          <w:kern w:val="2"/>
          <w:sz w:val="21"/>
          <w:lang w:eastAsia="zh-CN"/>
        </w:rPr>
      </w:pPr>
      <w:r>
        <w:rPr>
          <w:rFonts w:ascii="宋体" w:eastAsia="宋体" w:hAnsi="宋体" w:hint="eastAsia"/>
          <w:bCs/>
          <w:kern w:val="2"/>
          <w:sz w:val="21"/>
          <w:lang w:eastAsia="zh-CN"/>
        </w:rPr>
        <w:t>12.我单位已知悉并同意中标（成交）结果信息公示的内容。</w:t>
      </w:r>
    </w:p>
    <w:p>
      <w:pPr>
        <w:widowControl w:val="0"/>
        <w:ind w:firstLine="420" w:firstLineChars="200"/>
        <w:jc w:val="both"/>
        <w:rPr>
          <w:rFonts w:ascii="宋体" w:eastAsia="宋体" w:hAnsi="宋体" w:cs="宋体" w:hint="eastAsia"/>
          <w:b/>
          <w:color w:val="FF0000"/>
          <w:sz w:val="21"/>
          <w:szCs w:val="21"/>
          <w:lang w:eastAsia="zh-CN"/>
        </w:rPr>
      </w:pPr>
      <w:r>
        <w:rPr>
          <w:rFonts w:ascii="宋体" w:eastAsia="宋体" w:hAnsi="宋体" w:cs="宋体" w:hint="eastAsia"/>
          <w:bCs/>
          <w:sz w:val="21"/>
          <w:szCs w:val="21"/>
          <w:lang w:eastAsia="zh-CN"/>
        </w:rPr>
        <w:t>13.</w:t>
      </w:r>
      <w:r>
        <w:rPr>
          <w:rFonts w:ascii="宋体" w:eastAsia="宋体" w:hAnsi="宋体"/>
          <w:bCs/>
          <w:kern w:val="2"/>
          <w:sz w:val="21"/>
          <w:lang w:eastAsia="zh-CN"/>
        </w:rPr>
        <w:t>我单位保证，符合《中华人民共和国政府采购法实施条例》第十八条规定，与其他</w:t>
      </w:r>
      <w:r>
        <w:rPr>
          <w:rFonts w:ascii="宋体" w:eastAsia="宋体" w:hAnsi="宋体" w:hint="eastAsia"/>
          <w:bCs/>
          <w:kern w:val="2"/>
          <w:sz w:val="21"/>
          <w:lang w:eastAsia="zh-CN"/>
        </w:rPr>
        <w:t>应答</w:t>
      </w:r>
      <w:r>
        <w:rPr>
          <w:rFonts w:ascii="宋体" w:eastAsia="宋体" w:hAnsi="宋体"/>
          <w:bCs/>
          <w:kern w:val="2"/>
          <w:sz w:val="21"/>
          <w:lang w:eastAsia="zh-CN"/>
        </w:rPr>
        <w:t>供应商不存在单位负责人为同一人或者存在直接控股、管理关系；未对本次采购项目提供整体设计、规范编制或者项目管理、监理、检测等服务的情形。</w:t>
      </w:r>
      <w:r>
        <w:rPr>
          <w:rFonts w:ascii="宋体" w:eastAsia="宋体" w:hAnsi="宋体" w:hint="eastAsia"/>
          <w:bCs/>
          <w:color w:val="FF0000"/>
          <w:kern w:val="2"/>
          <w:sz w:val="21"/>
          <w:lang w:eastAsia="zh-CN"/>
        </w:rPr>
        <w:t>若存在“不同供应商的董事、股东或其他高级管理人员为同一人的”情形的，我单位保证不存在串通投标、恶意串通或者视为串通投标的情形。</w:t>
      </w:r>
    </w:p>
    <w:p>
      <w:pPr>
        <w:widowControl w:val="0"/>
        <w:ind w:firstLine="420" w:firstLineChars="200"/>
        <w:jc w:val="both"/>
        <w:rPr>
          <w:rFonts w:ascii="宋体" w:eastAsia="宋体" w:hAnsi="宋体" w:hint="eastAsia"/>
          <w:b/>
          <w:kern w:val="2"/>
          <w:sz w:val="21"/>
          <w:szCs w:val="21"/>
          <w:lang w:eastAsia="zh-CN"/>
        </w:rPr>
      </w:pPr>
      <w:r>
        <w:rPr>
          <w:rFonts w:ascii="宋体" w:eastAsia="宋体" w:hAnsi="宋体" w:hint="eastAsia"/>
          <w:b/>
          <w:kern w:val="2"/>
          <w:sz w:val="21"/>
          <w:lang w:eastAsia="zh-CN"/>
        </w:rPr>
        <w:t>14.我单位清楚，如存在违反应答承诺行为情节严重的，将根据《深圳市财政局关于印发&lt;深圳市财政局政府采购供应商信用信息管理办法&gt;的通知》，依法被列入失信信息。</w:t>
      </w:r>
    </w:p>
    <w:p>
      <w:pPr>
        <w:widowControl w:val="0"/>
        <w:ind w:firstLine="420" w:firstLineChars="200"/>
        <w:jc w:val="both"/>
        <w:rPr>
          <w:rFonts w:ascii="宋体" w:eastAsia="宋体" w:hAnsi="宋体" w:hint="eastAsia"/>
          <w:kern w:val="2"/>
          <w:sz w:val="21"/>
          <w:lang w:eastAsia="zh-CN"/>
        </w:rPr>
      </w:pPr>
      <w:r>
        <w:rPr>
          <w:rFonts w:ascii="宋体" w:eastAsia="宋体" w:hAnsi="宋体"/>
          <w:bCs/>
          <w:kern w:val="2"/>
          <w:sz w:val="21"/>
          <w:lang w:eastAsia="zh-CN"/>
        </w:rPr>
        <w:t>15.我单位保证，若所投产品列入强制性产品认证目录的，则所投该产品须获得强制性产品认证证书（即CCC认证）；其中适用自我声明评价方式的产品，则所投该产品须具有“强制性认证产品符合性自我声明”；若所投产品列入工业产品生产许可证管理的产品目录的，则所投该产品生产者（制造商）须获得《全国工业产品生产许可证》。</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以上承诺，如有违反，愿依照国家相关法律法规处理，并承担由此给采购人带来的损失。</w:t>
      </w:r>
    </w:p>
    <w:p>
      <w:pPr>
        <w:widowControl w:val="0"/>
        <w:spacing w:before="60" w:beforeLines="25" w:after="60" w:afterLines="25"/>
        <w:ind w:firstLine="5460" w:firstLineChars="26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 xml:space="preserve">                                    </w:t>
      </w:r>
    </w:p>
    <w:p>
      <w:pPr>
        <w:widowControl w:val="0"/>
        <w:spacing w:line="360" w:lineRule="auto"/>
        <w:ind w:firstLine="5460" w:firstLineChars="2600"/>
        <w:jc w:val="both"/>
        <w:rPr>
          <w:rFonts w:eastAsia="宋体"/>
          <w:color w:val="FF0000"/>
          <w:kern w:val="2"/>
          <w:sz w:val="21"/>
          <w:szCs w:val="21"/>
          <w:lang w:eastAsia="zh-CN"/>
        </w:rPr>
      </w:pPr>
    </w:p>
    <w:p>
      <w:pPr>
        <w:widowControl w:val="0"/>
        <w:spacing w:line="360" w:lineRule="auto"/>
        <w:ind w:firstLine="5460" w:firstLineChars="2600"/>
        <w:jc w:val="both"/>
        <w:rPr>
          <w:rFonts w:ascii="宋体" w:eastAsia="宋体" w:hAnsi="宋体" w:hint="eastAsia"/>
          <w:kern w:val="2"/>
          <w:sz w:val="21"/>
          <w:szCs w:val="21"/>
          <w:lang w:eastAsia="zh-CN"/>
        </w:rPr>
      </w:pPr>
      <w:r>
        <w:rPr>
          <w:rFonts w:eastAsia="宋体" w:hint="eastAsia"/>
          <w:kern w:val="2"/>
          <w:sz w:val="21"/>
          <w:szCs w:val="21"/>
          <w:lang w:eastAsia="zh-CN"/>
        </w:rPr>
        <w:t>供应商：</w:t>
      </w:r>
      <w:r>
        <w:rPr>
          <w:rFonts w:eastAsia="宋体" w:hint="eastAsia"/>
          <w:kern w:val="2"/>
          <w:sz w:val="21"/>
          <w:szCs w:val="21"/>
          <w:u w:val="single"/>
          <w:lang w:eastAsia="zh-CN"/>
        </w:rPr>
        <w:tab/>
      </w:r>
      <w:r>
        <w:rPr>
          <w:rFonts w:eastAsia="宋体" w:hint="eastAsia"/>
          <w:kern w:val="2"/>
          <w:sz w:val="21"/>
          <w:szCs w:val="21"/>
          <w:u w:val="single"/>
          <w:lang w:eastAsia="zh-CN"/>
        </w:rPr>
        <w:tab/>
      </w:r>
      <w:r>
        <w:rPr>
          <w:rFonts w:eastAsia="宋体" w:hint="eastAsia"/>
          <w:kern w:val="2"/>
          <w:sz w:val="21"/>
          <w:szCs w:val="21"/>
          <w:u w:val="single"/>
          <w:lang w:eastAsia="zh-CN"/>
        </w:rPr>
        <w:tab/>
      </w:r>
      <w:r>
        <w:rPr>
          <w:rFonts w:eastAsia="宋体" w:hint="eastAsia"/>
          <w:kern w:val="2"/>
          <w:sz w:val="21"/>
          <w:szCs w:val="21"/>
          <w:u w:val="single"/>
          <w:lang w:eastAsia="zh-CN"/>
        </w:rPr>
        <w:tab/>
      </w:r>
    </w:p>
    <w:p>
      <w:pPr>
        <w:widowControl w:val="0"/>
        <w:ind w:firstLine="645"/>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 xml:space="preserve">                                              日  期：</w:t>
      </w:r>
      <w:r>
        <w:rPr>
          <w:rFonts w:ascii="宋体" w:eastAsia="宋体" w:hAnsi="宋体" w:hint="eastAsia"/>
          <w:kern w:val="2"/>
          <w:sz w:val="21"/>
          <w:szCs w:val="21"/>
          <w:u w:val="single"/>
          <w:lang w:eastAsia="zh-CN"/>
        </w:rPr>
        <w:t xml:space="preserve">    </w:t>
      </w:r>
      <w:r>
        <w:rPr>
          <w:rFonts w:ascii="宋体" w:eastAsia="宋体" w:hAnsi="宋体" w:hint="eastAsia"/>
          <w:kern w:val="2"/>
          <w:sz w:val="21"/>
          <w:szCs w:val="21"/>
          <w:lang w:eastAsia="zh-CN"/>
        </w:rPr>
        <w:t>年</w:t>
      </w:r>
      <w:r>
        <w:rPr>
          <w:rFonts w:ascii="宋体" w:eastAsia="宋体" w:hAnsi="宋体" w:hint="eastAsia"/>
          <w:kern w:val="2"/>
          <w:sz w:val="21"/>
          <w:szCs w:val="21"/>
          <w:u w:val="single"/>
          <w:lang w:eastAsia="zh-CN"/>
        </w:rPr>
        <w:t xml:space="preserve">   </w:t>
      </w:r>
      <w:r>
        <w:rPr>
          <w:rFonts w:ascii="宋体" w:eastAsia="宋体" w:hAnsi="宋体" w:hint="eastAsia"/>
          <w:kern w:val="2"/>
          <w:sz w:val="21"/>
          <w:szCs w:val="21"/>
          <w:lang w:eastAsia="zh-CN"/>
        </w:rPr>
        <w:t>月</w:t>
      </w:r>
      <w:r>
        <w:rPr>
          <w:rFonts w:ascii="宋体" w:eastAsia="宋体" w:hAnsi="宋体" w:hint="eastAsia"/>
          <w:kern w:val="2"/>
          <w:sz w:val="21"/>
          <w:szCs w:val="21"/>
          <w:u w:val="single"/>
          <w:lang w:eastAsia="zh-CN"/>
        </w:rPr>
        <w:t xml:space="preserve">   </w:t>
      </w:r>
      <w:r>
        <w:rPr>
          <w:rFonts w:ascii="宋体" w:eastAsia="宋体" w:hAnsi="宋体" w:hint="eastAsia"/>
          <w:kern w:val="2"/>
          <w:sz w:val="21"/>
          <w:szCs w:val="21"/>
          <w:lang w:eastAsia="zh-CN"/>
        </w:rPr>
        <w:t>日</w:t>
      </w:r>
    </w:p>
    <w:p>
      <w:pPr>
        <w:widowControl w:val="0"/>
        <w:spacing w:line="360" w:lineRule="auto"/>
        <w:ind w:firstLine="560"/>
        <w:jc w:val="both"/>
        <w:rPr>
          <w:rFonts w:eastAsia="宋体"/>
          <w:kern w:val="2"/>
          <w:lang w:eastAsia="zh-CN"/>
        </w:rPr>
      </w:pPr>
    </w:p>
    <w:p>
      <w:pPr>
        <w:widowControl w:val="0"/>
        <w:spacing w:line="360" w:lineRule="auto"/>
        <w:ind w:firstLine="560"/>
        <w:jc w:val="both"/>
        <w:rPr>
          <w:rFonts w:eastAsia="宋体"/>
          <w:kern w:val="2"/>
          <w:lang w:eastAsia="zh-CN"/>
        </w:rPr>
      </w:pPr>
    </w:p>
    <w:p>
      <w:pPr>
        <w:keepNext/>
        <w:keepLines/>
        <w:widowControl w:val="0"/>
        <w:spacing w:before="260" w:after="260" w:line="240" w:lineRule="auto"/>
        <w:jc w:val="center"/>
        <w:outlineLvl w:val="2"/>
        <w:rPr>
          <w:rFonts w:ascii="黑体" w:eastAsia="黑体" w:hAnsi="宋体" w:hint="eastAsia"/>
          <w:bCs/>
          <w:kern w:val="2"/>
          <w:lang w:eastAsia="zh-CN"/>
        </w:rPr>
      </w:pPr>
      <w:r>
        <w:rPr>
          <w:rFonts w:ascii="黑体" w:eastAsia="黑体" w:hAnsi="宋体" w:hint="eastAsia"/>
          <w:bCs/>
          <w:kern w:val="2"/>
          <w:lang w:eastAsia="zh-CN"/>
        </w:rPr>
        <w:t>三、供应商情况及资格证明文件</w:t>
      </w:r>
    </w:p>
    <w:p>
      <w:pPr>
        <w:widowControl w:val="0"/>
        <w:ind w:firstLine="2640" w:firstLineChars="1100"/>
        <w:jc w:val="both"/>
        <w:outlineLvl w:val="3"/>
        <w:rPr>
          <w:rFonts w:ascii="黑体" w:eastAsia="黑体" w:hAnsi="宋体" w:hint="eastAsia"/>
          <w:bCs/>
          <w:szCs w:val="32"/>
          <w:lang w:eastAsia="zh-CN"/>
        </w:rPr>
      </w:pPr>
      <w:r>
        <w:rPr>
          <w:rFonts w:ascii="黑体" w:eastAsia="黑体" w:hAnsi="宋体" w:hint="eastAsia"/>
          <w:bCs/>
          <w:szCs w:val="32"/>
          <w:lang w:eastAsia="zh-CN"/>
        </w:rPr>
        <w:t>（一）供应商资格证明文件</w:t>
      </w:r>
    </w:p>
    <w:p>
      <w:pPr>
        <w:widowControl w:val="0"/>
        <w:spacing w:before="120" w:beforeLines="50"/>
        <w:ind w:firstLine="420" w:firstLineChars="200"/>
        <w:jc w:val="both"/>
        <w:rPr>
          <w:rFonts w:eastAsia="宋体"/>
          <w:b/>
          <w:bCs/>
          <w:color w:val="FF0000"/>
          <w:kern w:val="2"/>
          <w:sz w:val="21"/>
          <w:lang w:eastAsia="zh-CN"/>
        </w:rPr>
      </w:pPr>
      <w:r>
        <w:rPr>
          <w:rFonts w:eastAsia="宋体" w:hint="eastAsia"/>
          <w:b/>
          <w:bCs/>
          <w:color w:val="FF0000"/>
          <w:kern w:val="2"/>
          <w:sz w:val="21"/>
          <w:lang w:eastAsia="zh-CN"/>
        </w:rPr>
        <w:t>【特别提示：供应商须按本谈判文件第一章谈判公告 “申请人的资格要求”（即供应商资格要求）提供相关的资格证明资料，未提供或提供不完整、不符合要求的，将作应答无效处理，其中要求提供《采购应答及履约承诺函》且已在“二、采购应答及履约承诺函”章节中提供了，此处可不重复提供。】</w:t>
      </w:r>
    </w:p>
    <w:p>
      <w:pPr>
        <w:widowControl w:val="0"/>
        <w:spacing w:before="120" w:beforeLines="50"/>
        <w:ind w:firstLine="420" w:firstLineChars="200"/>
        <w:jc w:val="both"/>
        <w:rPr>
          <w:rFonts w:eastAsia="宋体"/>
          <w:b/>
          <w:bCs/>
          <w:color w:val="FF0000"/>
          <w:kern w:val="2"/>
          <w:sz w:val="21"/>
          <w:lang w:eastAsia="zh-CN"/>
        </w:rPr>
      </w:pPr>
    </w:p>
    <w:p>
      <w:pPr>
        <w:widowControl w:val="0"/>
        <w:jc w:val="both"/>
        <w:rPr>
          <w:rFonts w:eastAsia="宋体"/>
          <w:b/>
          <w:bCs/>
          <w:kern w:val="2"/>
          <w:lang w:eastAsia="zh-CN"/>
        </w:rPr>
      </w:pPr>
    </w:p>
    <w:p>
      <w:pPr>
        <w:widowControl w:val="0"/>
        <w:ind w:firstLine="480" w:firstLineChars="200"/>
        <w:jc w:val="both"/>
        <w:outlineLvl w:val="3"/>
        <w:rPr>
          <w:rFonts w:ascii="黑体" w:eastAsia="黑体" w:hAnsi="宋体" w:hint="eastAsia"/>
          <w:bCs/>
          <w:szCs w:val="32"/>
          <w:lang w:eastAsia="zh-CN"/>
        </w:rPr>
      </w:pPr>
      <w:r>
        <w:rPr>
          <w:rFonts w:ascii="黑体" w:eastAsia="黑体" w:hAnsi="宋体" w:hint="eastAsia"/>
          <w:bCs/>
          <w:szCs w:val="32"/>
          <w:lang w:eastAsia="zh-CN"/>
        </w:rPr>
        <w:t>（二）中小企业声明函、残疾人福利性单位声明函及监狱企业声明函</w:t>
      </w:r>
    </w:p>
    <w:p>
      <w:pPr>
        <w:widowControl w:val="0"/>
        <w:jc w:val="left"/>
        <w:outlineLvl w:val="3"/>
        <w:rPr>
          <w:rFonts w:ascii="黑体" w:eastAsia="黑体" w:hAnsi="宋体" w:hint="eastAsia"/>
          <w:bCs/>
          <w:szCs w:val="32"/>
          <w:lang w:eastAsia="zh-CN"/>
        </w:rPr>
      </w:pPr>
    </w:p>
    <w:p>
      <w:pPr>
        <w:widowControl w:val="0"/>
        <w:ind w:firstLine="420" w:firstLineChars="200"/>
        <w:jc w:val="both"/>
        <w:outlineLvl w:val="3"/>
        <w:rPr>
          <w:rFonts w:ascii="黑体" w:eastAsia="黑体" w:hAnsi="宋体" w:hint="eastAsia"/>
          <w:bCs/>
          <w:color w:val="FF0000"/>
          <w:sz w:val="21"/>
          <w:szCs w:val="21"/>
          <w:lang w:eastAsia="zh-CN"/>
        </w:rPr>
      </w:pPr>
      <w:r>
        <w:rPr>
          <w:rFonts w:ascii="黑体" w:eastAsia="黑体" w:hAnsi="宋体" w:hint="eastAsia"/>
          <w:bCs/>
          <w:color w:val="FF0000"/>
          <w:sz w:val="21"/>
          <w:szCs w:val="21"/>
          <w:lang w:eastAsia="zh-CN"/>
        </w:rPr>
        <w:t>填写指引：</w:t>
      </w:r>
    </w:p>
    <w:p>
      <w:pPr>
        <w:widowControl w:val="0"/>
        <w:ind w:firstLine="420" w:firstLineChars="200"/>
        <w:jc w:val="both"/>
        <w:outlineLvl w:val="3"/>
        <w:rPr>
          <w:rFonts w:ascii="黑体" w:eastAsia="黑体" w:hAnsi="黑体" w:hint="eastAsia"/>
          <w:color w:val="FF0000"/>
          <w:kern w:val="2"/>
          <w:sz w:val="21"/>
          <w:szCs w:val="21"/>
          <w:lang w:eastAsia="zh-CN"/>
        </w:rPr>
      </w:pPr>
      <w:r>
        <w:rPr>
          <w:rFonts w:ascii="黑体" w:eastAsia="黑体" w:hAnsi="宋体" w:hint="eastAsia"/>
          <w:bCs/>
          <w:color w:val="FF0000"/>
          <w:sz w:val="21"/>
          <w:szCs w:val="21"/>
          <w:lang w:eastAsia="zh-CN"/>
        </w:rPr>
        <w:t>1、该部分内容由供应商根据自身实际情况填写，不符合要求的供应商可以不填写或直接删除相应的声明函。</w:t>
      </w:r>
      <w:r>
        <w:rPr>
          <w:rFonts w:ascii="黑体" w:eastAsia="黑体" w:hAnsi="黑体" w:hint="eastAsia"/>
          <w:color w:val="FF0000"/>
          <w:kern w:val="2"/>
          <w:sz w:val="21"/>
          <w:szCs w:val="21"/>
          <w:lang w:eastAsia="zh-CN"/>
        </w:rPr>
        <w:t>供应商提供的声明函不属实的，属于提供虚假资料谋取成交，依照《中华人民共和国政府采购法》等国家有关规定追究相应责任。</w:t>
      </w:r>
    </w:p>
    <w:p>
      <w:pPr>
        <w:widowControl w:val="0"/>
        <w:ind w:firstLine="420" w:firstLineChars="200"/>
        <w:jc w:val="both"/>
        <w:outlineLvl w:val="3"/>
        <w:rPr>
          <w:rFonts w:ascii="黑体" w:eastAsia="黑体" w:hAnsi="黑体" w:hint="eastAsia"/>
          <w:color w:val="FF0000"/>
          <w:kern w:val="2"/>
          <w:sz w:val="21"/>
          <w:szCs w:val="21"/>
          <w:lang w:eastAsia="zh-CN"/>
        </w:rPr>
      </w:pPr>
      <w:r>
        <w:rPr>
          <w:rFonts w:ascii="黑体" w:eastAsia="黑体" w:hAnsi="黑体" w:hint="eastAsia"/>
          <w:color w:val="FF0000"/>
          <w:kern w:val="2"/>
          <w:sz w:val="21"/>
          <w:szCs w:val="21"/>
          <w:lang w:eastAsia="zh-CN"/>
        </w:rPr>
        <w:t>2、该部分内容填写需要参考的相关文件：</w:t>
      </w:r>
    </w:p>
    <w:p>
      <w:pPr>
        <w:widowControl w:val="0"/>
        <w:ind w:firstLine="420" w:firstLineChars="200"/>
        <w:jc w:val="both"/>
        <w:outlineLvl w:val="3"/>
        <w:rPr>
          <w:rFonts w:ascii="黑体" w:eastAsia="黑体" w:hAnsi="黑体" w:hint="eastAsia"/>
          <w:color w:val="FF0000"/>
          <w:kern w:val="2"/>
          <w:sz w:val="21"/>
          <w:szCs w:val="21"/>
          <w:lang w:eastAsia="zh-CN"/>
        </w:rPr>
      </w:pPr>
      <w:r>
        <w:rPr>
          <w:rFonts w:ascii="黑体" w:eastAsia="黑体" w:hAnsi="黑体" w:hint="eastAsia"/>
          <w:color w:val="FF0000"/>
          <w:kern w:val="2"/>
          <w:sz w:val="21"/>
          <w:szCs w:val="21"/>
          <w:lang w:eastAsia="zh-CN"/>
        </w:rPr>
        <w:t>(</w:t>
      </w:r>
      <w:r>
        <w:rPr>
          <w:rFonts w:ascii="黑体" w:eastAsia="黑体" w:hAnsi="黑体"/>
          <w:color w:val="FF0000"/>
          <w:kern w:val="2"/>
          <w:sz w:val="21"/>
          <w:szCs w:val="21"/>
          <w:lang w:eastAsia="zh-CN"/>
        </w:rPr>
        <w:t>1</w:t>
      </w:r>
      <w:r>
        <w:rPr>
          <w:rFonts w:ascii="黑体" w:eastAsia="黑体" w:hAnsi="黑体" w:hint="eastAsia"/>
          <w:color w:val="FF0000"/>
          <w:kern w:val="2"/>
          <w:sz w:val="21"/>
          <w:szCs w:val="21"/>
          <w:lang w:eastAsia="zh-CN"/>
        </w:rPr>
        <w:t>)财政部《政府采购促进中小企业发展管理办法》（财库〔2020〕46号）；</w:t>
      </w:r>
    </w:p>
    <w:p>
      <w:pPr>
        <w:widowControl w:val="0"/>
        <w:ind w:firstLine="420" w:firstLineChars="200"/>
        <w:jc w:val="both"/>
        <w:outlineLvl w:val="3"/>
        <w:rPr>
          <w:rFonts w:ascii="黑体" w:eastAsia="黑体" w:hAnsi="黑体" w:hint="eastAsia"/>
          <w:color w:val="FF0000"/>
          <w:kern w:val="2"/>
          <w:sz w:val="21"/>
          <w:szCs w:val="21"/>
          <w:lang w:eastAsia="zh-CN"/>
        </w:rPr>
      </w:pPr>
      <w:r>
        <w:rPr>
          <w:rFonts w:ascii="黑体" w:eastAsia="黑体" w:hAnsi="黑体" w:hint="eastAsia"/>
          <w:color w:val="FF0000"/>
          <w:kern w:val="2"/>
          <w:sz w:val="21"/>
          <w:szCs w:val="21"/>
          <w:lang w:eastAsia="zh-CN"/>
        </w:rPr>
        <w:t>(</w:t>
      </w:r>
      <w:r>
        <w:rPr>
          <w:rFonts w:ascii="黑体" w:eastAsia="黑体" w:hAnsi="黑体"/>
          <w:color w:val="FF0000"/>
          <w:kern w:val="2"/>
          <w:sz w:val="21"/>
          <w:szCs w:val="21"/>
          <w:lang w:eastAsia="zh-CN"/>
        </w:rPr>
        <w:t>2</w:t>
      </w:r>
      <w:r>
        <w:rPr>
          <w:rFonts w:ascii="黑体" w:eastAsia="黑体" w:hAnsi="黑体" w:hint="eastAsia"/>
          <w:color w:val="FF0000"/>
          <w:kern w:val="2"/>
          <w:sz w:val="21"/>
          <w:szCs w:val="21"/>
          <w:lang w:eastAsia="zh-CN"/>
        </w:rPr>
        <w:t>)《工业和信息化部、国家统计局、国家发展和改革委员会、财政部关于印发中小企业划型标准规定的通知》（工信部联企业〔2011〕300 号，以下简称3</w:t>
      </w:r>
      <w:r>
        <w:rPr>
          <w:rFonts w:ascii="黑体" w:eastAsia="黑体" w:hAnsi="黑体"/>
          <w:color w:val="FF0000"/>
          <w:kern w:val="2"/>
          <w:sz w:val="21"/>
          <w:szCs w:val="21"/>
          <w:lang w:eastAsia="zh-CN"/>
        </w:rPr>
        <w:t>00</w:t>
      </w:r>
      <w:r>
        <w:rPr>
          <w:rFonts w:ascii="黑体" w:eastAsia="黑体" w:hAnsi="黑体" w:hint="eastAsia"/>
          <w:color w:val="FF0000"/>
          <w:kern w:val="2"/>
          <w:sz w:val="21"/>
          <w:szCs w:val="21"/>
          <w:lang w:eastAsia="zh-CN"/>
        </w:rPr>
        <w:t>号文）；</w:t>
      </w:r>
    </w:p>
    <w:p>
      <w:pPr>
        <w:widowControl w:val="0"/>
        <w:ind w:firstLine="420" w:firstLineChars="200"/>
        <w:jc w:val="both"/>
        <w:outlineLvl w:val="3"/>
        <w:rPr>
          <w:rFonts w:ascii="黑体" w:eastAsia="黑体" w:hAnsi="黑体" w:hint="eastAsia"/>
          <w:color w:val="FF0000"/>
          <w:kern w:val="2"/>
          <w:sz w:val="21"/>
          <w:szCs w:val="21"/>
          <w:lang w:eastAsia="zh-CN"/>
        </w:rPr>
      </w:pPr>
      <w:r>
        <w:rPr>
          <w:rFonts w:ascii="黑体" w:eastAsia="黑体" w:hAnsi="黑体" w:hint="eastAsia"/>
          <w:color w:val="FF0000"/>
          <w:kern w:val="2"/>
          <w:sz w:val="21"/>
          <w:szCs w:val="21"/>
          <w:lang w:eastAsia="zh-CN"/>
        </w:rPr>
        <w:t>(3)《统计上大中小微型企业划分办法(2017)》（国统字〔2017〕213 号）；</w:t>
      </w:r>
    </w:p>
    <w:p>
      <w:pPr>
        <w:widowControl w:val="0"/>
        <w:ind w:firstLine="420" w:firstLineChars="200"/>
        <w:jc w:val="both"/>
        <w:outlineLvl w:val="3"/>
        <w:rPr>
          <w:rFonts w:ascii="黑体" w:eastAsia="黑体" w:hAnsi="黑体" w:hint="eastAsia"/>
          <w:color w:val="FF0000"/>
          <w:kern w:val="2"/>
          <w:sz w:val="21"/>
          <w:szCs w:val="21"/>
          <w:lang w:eastAsia="zh-CN"/>
        </w:rPr>
      </w:pPr>
      <w:r>
        <w:rPr>
          <w:rFonts w:ascii="黑体" w:eastAsia="黑体" w:hAnsi="黑体" w:hint="eastAsia"/>
          <w:color w:val="FF0000"/>
          <w:kern w:val="2"/>
          <w:sz w:val="21"/>
          <w:szCs w:val="21"/>
          <w:lang w:eastAsia="zh-CN"/>
        </w:rPr>
        <w:t>(4)《关于促进残疾人就业政府采购政策的通知》（财库〔2017〕141号）；</w:t>
      </w:r>
    </w:p>
    <w:p>
      <w:pPr>
        <w:widowControl w:val="0"/>
        <w:ind w:firstLine="420" w:firstLineChars="200"/>
        <w:jc w:val="both"/>
        <w:outlineLvl w:val="3"/>
        <w:rPr>
          <w:rFonts w:ascii="黑体" w:eastAsia="黑体" w:hAnsi="宋体" w:hint="eastAsia"/>
          <w:bCs/>
          <w:color w:val="FF0000"/>
          <w:sz w:val="21"/>
          <w:szCs w:val="21"/>
          <w:lang w:eastAsia="zh-CN"/>
        </w:rPr>
      </w:pPr>
      <w:r>
        <w:rPr>
          <w:rFonts w:ascii="黑体" w:eastAsia="黑体" w:hAnsi="黑体" w:hint="eastAsia"/>
          <w:color w:val="FF0000"/>
          <w:kern w:val="2"/>
          <w:sz w:val="21"/>
          <w:szCs w:val="21"/>
          <w:lang w:eastAsia="zh-CN"/>
        </w:rPr>
        <w:t>(5)《关于政府采购支持监狱企业发展有关问题的通知》（财库〔2014〕68号）。</w:t>
      </w:r>
      <w:r>
        <w:rPr>
          <w:rFonts w:ascii="黑体" w:eastAsia="黑体" w:hAnsi="宋体" w:hint="eastAsia"/>
          <w:bCs/>
          <w:color w:val="FF0000"/>
          <w:sz w:val="21"/>
          <w:szCs w:val="21"/>
          <w:lang w:eastAsia="zh-CN"/>
        </w:rPr>
        <w:t>3、请依照提供的格式和内容填写声明函，不要随意变更格式；声明函不需要盖章或签字；</w:t>
      </w:r>
      <w:r>
        <w:rPr>
          <w:rFonts w:ascii="黑体" w:eastAsia="黑体" w:hAnsi="黑体" w:hint="eastAsia"/>
          <w:color w:val="FF0000"/>
          <w:kern w:val="2"/>
          <w:sz w:val="21"/>
          <w:szCs w:val="21"/>
          <w:lang w:eastAsia="zh-CN"/>
        </w:rPr>
        <w:t>满足多项优惠政策的供应商，不重复享受多项价格扣除政策。</w:t>
      </w:r>
    </w:p>
    <w:p>
      <w:pPr>
        <w:widowControl w:val="0"/>
        <w:ind w:firstLine="420" w:firstLineChars="200"/>
        <w:jc w:val="both"/>
        <w:outlineLvl w:val="3"/>
        <w:rPr>
          <w:rFonts w:ascii="黑体" w:eastAsia="黑体" w:hAnsi="宋体" w:hint="eastAsia"/>
          <w:bCs/>
          <w:color w:val="FF0000"/>
          <w:sz w:val="21"/>
          <w:szCs w:val="21"/>
          <w:lang w:eastAsia="zh-CN"/>
        </w:rPr>
      </w:pPr>
      <w:r>
        <w:rPr>
          <w:rFonts w:ascii="黑体" w:eastAsia="黑体" w:hAnsi="宋体" w:hint="eastAsia"/>
          <w:bCs/>
          <w:color w:val="FF0000"/>
          <w:sz w:val="21"/>
          <w:szCs w:val="21"/>
          <w:lang w:eastAsia="zh-CN"/>
        </w:rPr>
        <w:t>4、声明函具体填写要求：</w:t>
      </w:r>
    </w:p>
    <w:p>
      <w:pPr>
        <w:widowControl w:val="0"/>
        <w:ind w:firstLine="420" w:firstLineChars="200"/>
        <w:jc w:val="both"/>
        <w:outlineLvl w:val="3"/>
        <w:rPr>
          <w:rFonts w:ascii="黑体" w:eastAsia="黑体" w:hAnsi="宋体" w:hint="eastAsia"/>
          <w:bCs/>
          <w:color w:val="FF0000"/>
          <w:sz w:val="21"/>
          <w:szCs w:val="21"/>
          <w:lang w:eastAsia="zh-CN"/>
        </w:rPr>
      </w:pPr>
      <w:r>
        <w:rPr>
          <w:rFonts w:ascii="黑体" w:eastAsia="黑体" w:hAnsi="宋体" w:hint="eastAsia"/>
          <w:bCs/>
          <w:color w:val="FF0000"/>
          <w:sz w:val="21"/>
          <w:szCs w:val="21"/>
          <w:lang w:eastAsia="zh-CN"/>
        </w:rPr>
        <w:t>（1）声明是中小企业须填写《中小企业声明函》的以下内容：</w:t>
      </w:r>
    </w:p>
    <w:p>
      <w:pPr>
        <w:widowControl w:val="0"/>
        <w:ind w:firstLine="420" w:firstLineChars="200"/>
        <w:jc w:val="both"/>
        <w:outlineLvl w:val="3"/>
        <w:rPr>
          <w:rFonts w:ascii="黑体" w:eastAsia="黑体" w:hAnsi="宋体" w:hint="eastAsia"/>
          <w:bCs/>
          <w:color w:val="FF0000"/>
          <w:sz w:val="21"/>
          <w:szCs w:val="21"/>
          <w:lang w:eastAsia="zh-CN"/>
        </w:rPr>
      </w:pPr>
      <w:r>
        <w:rPr>
          <w:rFonts w:ascii="黑体" w:eastAsia="黑体" w:hAnsi="宋体" w:hint="eastAsia"/>
          <w:bCs/>
          <w:color w:val="FF0000"/>
          <w:sz w:val="21"/>
          <w:szCs w:val="21"/>
          <w:lang w:eastAsia="zh-CN"/>
        </w:rPr>
        <w:t>第一处，在“单位名称”下划线处如实填写采购人名称（深圳公共资源交易中心不是本项目的采购人，而是组织实施机构）；</w:t>
      </w:r>
    </w:p>
    <w:p>
      <w:pPr>
        <w:widowControl w:val="0"/>
        <w:ind w:firstLine="420" w:firstLineChars="200"/>
        <w:jc w:val="both"/>
        <w:outlineLvl w:val="3"/>
        <w:rPr>
          <w:rFonts w:ascii="黑体" w:eastAsia="黑体" w:hAnsi="宋体" w:hint="eastAsia"/>
          <w:bCs/>
          <w:color w:val="FF0000"/>
          <w:sz w:val="21"/>
          <w:szCs w:val="21"/>
          <w:lang w:eastAsia="zh-CN"/>
        </w:rPr>
      </w:pPr>
      <w:r>
        <w:rPr>
          <w:rFonts w:ascii="黑体" w:eastAsia="黑体" w:hAnsi="宋体" w:hint="eastAsia"/>
          <w:bCs/>
          <w:color w:val="FF0000"/>
          <w:sz w:val="21"/>
          <w:szCs w:val="21"/>
          <w:lang w:eastAsia="zh-CN"/>
        </w:rPr>
        <w:t>第二处，在“项目名称”下划线处如实填写采购项目名称；</w:t>
      </w:r>
    </w:p>
    <w:p>
      <w:pPr>
        <w:widowControl w:val="0"/>
        <w:ind w:firstLine="420" w:firstLineChars="200"/>
        <w:jc w:val="both"/>
        <w:outlineLvl w:val="3"/>
        <w:rPr>
          <w:rFonts w:ascii="黑体" w:eastAsia="黑体" w:hAnsi="宋体" w:hint="eastAsia"/>
          <w:bCs/>
          <w:color w:val="FF0000"/>
          <w:sz w:val="21"/>
          <w:szCs w:val="21"/>
          <w:lang w:eastAsia="zh-CN"/>
        </w:rPr>
      </w:pPr>
      <w:r>
        <w:rPr>
          <w:rFonts w:ascii="黑体" w:eastAsia="黑体" w:hAnsi="宋体" w:hint="eastAsia"/>
          <w:bCs/>
          <w:color w:val="FF0000"/>
          <w:sz w:val="21"/>
          <w:szCs w:val="21"/>
          <w:lang w:eastAsia="zh-CN"/>
        </w:rPr>
        <w:t>第三处，在“标的名称”下划线处填写所采购货物（标的）的具体名称（以谈判文件</w:t>
      </w:r>
      <w:r>
        <w:rPr>
          <w:rFonts w:ascii="黑体" w:eastAsia="黑体" w:hAnsi="黑体" w:cs="黑体" w:hint="eastAsia"/>
          <w:color w:val="FF0000"/>
          <w:kern w:val="2"/>
          <w:sz w:val="21"/>
          <w:lang w:eastAsia="zh-CN"/>
        </w:rPr>
        <w:t>第三章用户需求书“服务需求明细”的“服务需求名称”一栏为准</w:t>
      </w:r>
      <w:r>
        <w:rPr>
          <w:rFonts w:ascii="黑体" w:eastAsia="黑体" w:hAnsi="宋体" w:hint="eastAsia"/>
          <w:bCs/>
          <w:color w:val="FF0000"/>
          <w:sz w:val="21"/>
          <w:szCs w:val="21"/>
          <w:lang w:eastAsia="zh-CN"/>
        </w:rPr>
        <w:t>）；如果涉及多项服务（标的）为同一企业制造，“标的名称”下划线处可以如实填写多项服务；</w:t>
      </w:r>
    </w:p>
    <w:p>
      <w:pPr>
        <w:widowControl w:val="0"/>
        <w:ind w:firstLine="420" w:firstLineChars="200"/>
        <w:jc w:val="both"/>
        <w:outlineLvl w:val="3"/>
        <w:rPr>
          <w:rFonts w:ascii="黑体" w:eastAsia="黑体" w:hAnsi="宋体" w:hint="eastAsia"/>
          <w:bCs/>
          <w:color w:val="FF0000"/>
          <w:sz w:val="21"/>
          <w:szCs w:val="21"/>
          <w:lang w:eastAsia="zh-CN"/>
        </w:rPr>
      </w:pPr>
      <w:r>
        <w:rPr>
          <w:rFonts w:ascii="黑体" w:eastAsia="黑体" w:hAnsi="宋体" w:hint="eastAsia"/>
          <w:bCs/>
          <w:color w:val="FF0000"/>
          <w:sz w:val="21"/>
          <w:szCs w:val="21"/>
          <w:lang w:eastAsia="zh-CN"/>
        </w:rPr>
        <w:t>第四处，在“谈判文件中明确的所属行业”下划线处填写采购标的对应的中小企业划分标准所属行业（所属行业可在谈判文件第二章“对谈判须知条款的补充内容及其他关键信息”章节查看）；</w:t>
      </w:r>
    </w:p>
    <w:p>
      <w:pPr>
        <w:widowControl w:val="0"/>
        <w:ind w:firstLine="420" w:firstLineChars="200"/>
        <w:jc w:val="both"/>
        <w:outlineLvl w:val="3"/>
        <w:rPr>
          <w:rFonts w:ascii="黑体" w:eastAsia="黑体" w:hAnsi="宋体" w:hint="eastAsia"/>
          <w:bCs/>
          <w:color w:val="FF0000"/>
          <w:sz w:val="21"/>
          <w:szCs w:val="21"/>
          <w:lang w:eastAsia="zh-CN"/>
        </w:rPr>
      </w:pPr>
      <w:r>
        <w:rPr>
          <w:rFonts w:ascii="黑体" w:eastAsia="黑体" w:hAnsi="宋体" w:hint="eastAsia"/>
          <w:bCs/>
          <w:color w:val="FF0000"/>
          <w:sz w:val="21"/>
          <w:szCs w:val="21"/>
          <w:lang w:eastAsia="zh-CN"/>
        </w:rPr>
        <w:t>第五处，在“企业名称”下划线处如实填写制造商名称；在“从业人员”、“营业收入”、“资产总额”下划线处如实填写从业人员、营业收入、资产总额；在“中型企业、小型企业、微型企业”下划线处如实依照300号文填写相应的企业类型；从业人员、营业收入、资产总额填报上一年度数据，无上一年度数据的新成立企业可以不填报。《中小企业声明函》中供应商所属行业应当与采购文件要求的行业相一致，供应商如有疑问，可根据《国民经济行业分类》（GB/T 4754-2017），结合《关于印发中小企业划型标准规定的通知》（工信部联企业〔2011〕300号）进行判断。事业单位、社会组织等非企业主体不享受中小企业扶持政策。</w:t>
      </w:r>
    </w:p>
    <w:p>
      <w:pPr>
        <w:widowControl w:val="0"/>
        <w:ind w:firstLine="420" w:firstLineChars="200"/>
        <w:jc w:val="both"/>
        <w:outlineLvl w:val="3"/>
        <w:rPr>
          <w:rFonts w:ascii="黑体" w:eastAsia="黑体" w:hAnsi="宋体" w:hint="eastAsia"/>
          <w:bCs/>
          <w:color w:val="FF0000"/>
          <w:sz w:val="21"/>
          <w:szCs w:val="21"/>
          <w:lang w:eastAsia="zh-CN"/>
        </w:rPr>
      </w:pPr>
      <w:r>
        <w:rPr>
          <w:rFonts w:ascii="黑体" w:eastAsia="黑体" w:hAnsi="宋体" w:hint="eastAsia"/>
          <w:bCs/>
          <w:color w:val="FF0000"/>
          <w:sz w:val="21"/>
          <w:szCs w:val="21"/>
          <w:lang w:eastAsia="zh-CN"/>
        </w:rPr>
        <w:t>（2）声明是残疾人福利性单位须填写《残疾人福利性单位声明函》的相关内容，具体参照以上《中小企业声明函》填写要求执行。</w:t>
      </w:r>
    </w:p>
    <w:p>
      <w:pPr>
        <w:widowControl w:val="0"/>
        <w:ind w:firstLine="420" w:firstLineChars="200"/>
        <w:jc w:val="both"/>
        <w:outlineLvl w:val="3"/>
        <w:rPr>
          <w:rFonts w:ascii="黑体" w:eastAsia="黑体" w:hAnsi="宋体" w:hint="eastAsia"/>
          <w:bCs/>
          <w:color w:val="FF0000"/>
          <w:sz w:val="21"/>
          <w:szCs w:val="21"/>
          <w:lang w:eastAsia="zh-CN"/>
        </w:rPr>
      </w:pPr>
      <w:r>
        <w:rPr>
          <w:rFonts w:ascii="黑体" w:eastAsia="黑体" w:hAnsi="宋体" w:hint="eastAsia"/>
          <w:bCs/>
          <w:color w:val="FF0000"/>
          <w:sz w:val="21"/>
          <w:szCs w:val="21"/>
          <w:lang w:eastAsia="zh-CN"/>
        </w:rPr>
        <w:t>（3）声明是监狱企业须填写《监狱企业声明函》的三项内容（填写位置的字体已加粗），具体参照以上《中小企业声明函》填写要求执行。</w:t>
      </w:r>
    </w:p>
    <w:p>
      <w:pPr>
        <w:widowControl w:val="0"/>
        <w:ind w:firstLine="420" w:firstLineChars="200"/>
        <w:jc w:val="both"/>
        <w:rPr>
          <w:rFonts w:eastAsia="宋体"/>
          <w:kern w:val="2"/>
          <w:sz w:val="21"/>
          <w:lang w:eastAsia="zh-CN"/>
        </w:rPr>
      </w:pPr>
      <w:r>
        <w:rPr>
          <w:rFonts w:ascii="黑体" w:eastAsia="黑体" w:hAnsi="宋体" w:hint="eastAsia"/>
          <w:bCs/>
          <w:color w:val="FF0000"/>
          <w:sz w:val="21"/>
          <w:szCs w:val="21"/>
          <w:lang w:eastAsia="zh-CN"/>
        </w:rPr>
        <w:t>5、若本项目属于专门面向中小企业、残疾人福利性单位或监狱企业，如评审委员会（谈判小组）判定声明函无效的，相关供应商将作资格审查不通过处理；若本项目非专门面向中小企业、残疾人福利性单位或监狱企业，如评审委员会（谈判小组）判定声明函无效，相关供应商不享受价格扣除（但不作应答无效处理）。</w:t>
      </w:r>
    </w:p>
    <w:p>
      <w:pPr>
        <w:widowControl w:val="0"/>
        <w:ind w:firstLine="420" w:firstLineChars="200"/>
        <w:jc w:val="both"/>
        <w:rPr>
          <w:rFonts w:eastAsia="宋体"/>
          <w:kern w:val="2"/>
          <w:sz w:val="21"/>
          <w:lang w:eastAsia="zh-CN"/>
        </w:rPr>
      </w:pPr>
    </w:p>
    <w:p>
      <w:pPr>
        <w:widowControl w:val="0"/>
        <w:jc w:val="center"/>
        <w:outlineLvl w:val="3"/>
        <w:rPr>
          <w:rFonts w:eastAsia="宋体"/>
          <w:b/>
          <w:kern w:val="2"/>
          <w:lang w:eastAsia="zh-CN"/>
        </w:rPr>
      </w:pPr>
      <w:r>
        <w:rPr>
          <w:rFonts w:eastAsia="宋体" w:hint="eastAsia"/>
          <w:b/>
          <w:kern w:val="2"/>
          <w:lang w:eastAsia="zh-CN"/>
        </w:rPr>
        <w:t>1、</w:t>
      </w:r>
      <w:r>
        <w:rPr>
          <w:rFonts w:eastAsia="宋体"/>
          <w:b/>
          <w:kern w:val="2"/>
          <w:lang w:eastAsia="zh-CN"/>
        </w:rPr>
        <w:t>中小企业声明函（</w:t>
      </w:r>
      <w:r>
        <w:rPr>
          <w:rFonts w:eastAsia="宋体" w:hint="eastAsia"/>
          <w:b/>
          <w:kern w:val="2"/>
          <w:lang w:eastAsia="zh-CN"/>
        </w:rPr>
        <w:t>服务</w:t>
      </w:r>
      <w:r>
        <w:rPr>
          <w:rFonts w:eastAsia="宋体"/>
          <w:b/>
          <w:kern w:val="2"/>
          <w:lang w:eastAsia="zh-CN"/>
        </w:rPr>
        <w:t xml:space="preserve">） </w:t>
      </w:r>
    </w:p>
    <w:p>
      <w:pPr>
        <w:widowControl w:val="0"/>
        <w:ind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本公司（联合体）郑重声明，根据《政府采购促进中小企业发展管理办法》（财库﹝2020﹞46号）的规定，本公司（联合体）参加</w:t>
      </w:r>
      <w:r>
        <w:rPr>
          <w:rFonts w:ascii="宋体" w:eastAsia="宋体" w:hAnsi="宋体" w:cs="宋体" w:hint="eastAsia"/>
          <w:b/>
          <w:bCs/>
          <w:i/>
          <w:iCs/>
          <w:kern w:val="2"/>
          <w:sz w:val="21"/>
          <w:szCs w:val="21"/>
          <w:u w:val="single"/>
          <w:lang w:eastAsia="zh-CN"/>
        </w:rPr>
        <w:t xml:space="preserve">    （单位名称）    </w:t>
      </w:r>
      <w:r>
        <w:rPr>
          <w:rFonts w:ascii="宋体" w:eastAsia="宋体" w:hAnsi="宋体" w:cs="宋体" w:hint="eastAsia"/>
          <w:kern w:val="2"/>
          <w:sz w:val="21"/>
          <w:szCs w:val="21"/>
          <w:lang w:eastAsia="zh-CN"/>
        </w:rPr>
        <w:t>的</w:t>
      </w:r>
      <w:r>
        <w:rPr>
          <w:rFonts w:ascii="宋体" w:eastAsia="宋体" w:hAnsi="宋体" w:cs="宋体" w:hint="eastAsia"/>
          <w:b/>
          <w:bCs/>
          <w:i/>
          <w:iCs/>
          <w:kern w:val="2"/>
          <w:sz w:val="21"/>
          <w:szCs w:val="21"/>
          <w:u w:val="single"/>
          <w:lang w:eastAsia="zh-CN"/>
        </w:rPr>
        <w:t xml:space="preserve">    （项目名称）    </w:t>
      </w:r>
      <w:r>
        <w:rPr>
          <w:rFonts w:ascii="宋体" w:eastAsia="宋体" w:hAnsi="宋体" w:cs="宋体" w:hint="eastAsia"/>
          <w:kern w:val="2"/>
          <w:sz w:val="21"/>
          <w:szCs w:val="21"/>
          <w:lang w:eastAsia="zh-CN"/>
        </w:rPr>
        <w:t>采购活动，服务全部由符合政策要求的中小企业承接。相关企业（含联合体中的中小企业、签订分包意向协议的中小企业）的具体情况如下：</w:t>
      </w:r>
    </w:p>
    <w:p>
      <w:pPr>
        <w:widowControl w:val="0"/>
        <w:ind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1.</w:t>
      </w:r>
      <w:r>
        <w:rPr>
          <w:rFonts w:ascii="宋体" w:eastAsia="宋体" w:hAnsi="宋体" w:cs="宋体" w:hint="eastAsia"/>
          <w:b/>
          <w:bCs/>
          <w:i/>
          <w:iCs/>
          <w:kern w:val="2"/>
          <w:sz w:val="21"/>
          <w:szCs w:val="21"/>
          <w:u w:val="single"/>
          <w:lang w:eastAsia="zh-CN"/>
        </w:rPr>
        <w:t xml:space="preserve">    （标的名称）     </w:t>
      </w:r>
      <w:r>
        <w:rPr>
          <w:rFonts w:ascii="宋体" w:eastAsia="宋体" w:hAnsi="宋体" w:cs="宋体" w:hint="eastAsia"/>
          <w:kern w:val="2"/>
          <w:sz w:val="21"/>
          <w:szCs w:val="21"/>
          <w:lang w:eastAsia="zh-CN"/>
        </w:rPr>
        <w:t>，属于</w:t>
      </w:r>
      <w:r>
        <w:rPr>
          <w:rFonts w:ascii="宋体" w:eastAsia="宋体" w:hAnsi="宋体" w:cs="宋体" w:hint="eastAsia"/>
          <w:b/>
          <w:bCs/>
          <w:i/>
          <w:iCs/>
          <w:kern w:val="2"/>
          <w:sz w:val="21"/>
          <w:szCs w:val="21"/>
          <w:u w:val="single"/>
          <w:lang w:eastAsia="zh-CN"/>
        </w:rPr>
        <w:t xml:space="preserve">    （采购文件中明确的所属行业）    </w:t>
      </w:r>
      <w:r>
        <w:rPr>
          <w:rFonts w:ascii="宋体" w:eastAsia="宋体" w:hAnsi="宋体" w:cs="宋体" w:hint="eastAsia"/>
          <w:kern w:val="2"/>
          <w:sz w:val="21"/>
          <w:szCs w:val="21"/>
          <w:lang w:eastAsia="zh-CN"/>
        </w:rPr>
        <w:t>行业；承接企业为</w:t>
      </w:r>
      <w:r>
        <w:rPr>
          <w:rFonts w:ascii="宋体" w:eastAsia="宋体" w:hAnsi="宋体" w:cs="宋体" w:hint="eastAsia"/>
          <w:b/>
          <w:bCs/>
          <w:i/>
          <w:iCs/>
          <w:kern w:val="2"/>
          <w:sz w:val="21"/>
          <w:szCs w:val="21"/>
          <w:u w:val="single"/>
          <w:lang w:eastAsia="zh-CN"/>
        </w:rPr>
        <w:t xml:space="preserve">    （企业名称，要求承接企业本身所属行业应当与采购文件要求的行业相一致）    </w:t>
      </w:r>
      <w:r>
        <w:rPr>
          <w:rFonts w:ascii="宋体" w:eastAsia="宋体" w:hAnsi="宋体" w:cs="宋体" w:hint="eastAsia"/>
          <w:kern w:val="2"/>
          <w:sz w:val="21"/>
          <w:szCs w:val="21"/>
          <w:lang w:eastAsia="zh-CN"/>
        </w:rPr>
        <w:t>，从业人员</w:t>
      </w:r>
      <w:r>
        <w:rPr>
          <w:rFonts w:ascii="宋体" w:eastAsia="宋体" w:hAnsi="宋体" w:cs="宋体" w:hint="eastAsia"/>
          <w:b/>
          <w:bCs/>
          <w:i/>
          <w:iCs/>
          <w:kern w:val="2"/>
          <w:sz w:val="21"/>
          <w:szCs w:val="21"/>
          <w:u w:val="single"/>
          <w:lang w:eastAsia="zh-CN"/>
        </w:rPr>
        <w:t xml:space="preserve">        </w:t>
      </w:r>
      <w:r>
        <w:rPr>
          <w:rFonts w:ascii="宋体" w:eastAsia="宋体" w:hAnsi="宋体" w:cs="宋体" w:hint="eastAsia"/>
          <w:kern w:val="2"/>
          <w:sz w:val="21"/>
          <w:szCs w:val="21"/>
          <w:lang w:eastAsia="zh-CN"/>
        </w:rPr>
        <w:t>人，营业收入为</w:t>
      </w:r>
      <w:r>
        <w:rPr>
          <w:rFonts w:ascii="宋体" w:eastAsia="宋体" w:hAnsi="宋体" w:cs="宋体" w:hint="eastAsia"/>
          <w:b/>
          <w:bCs/>
          <w:i/>
          <w:iCs/>
          <w:kern w:val="2"/>
          <w:sz w:val="21"/>
          <w:szCs w:val="21"/>
          <w:u w:val="single"/>
          <w:lang w:eastAsia="zh-CN"/>
        </w:rPr>
        <w:t xml:space="preserve">        </w:t>
      </w:r>
      <w:r>
        <w:rPr>
          <w:rFonts w:ascii="宋体" w:eastAsia="宋体" w:hAnsi="宋体" w:cs="宋体" w:hint="eastAsia"/>
          <w:kern w:val="2"/>
          <w:sz w:val="21"/>
          <w:szCs w:val="21"/>
          <w:lang w:eastAsia="zh-CN"/>
        </w:rPr>
        <w:t>万元，资产总额为</w:t>
      </w:r>
      <w:r>
        <w:rPr>
          <w:rFonts w:ascii="宋体" w:eastAsia="宋体" w:hAnsi="宋体" w:cs="宋体" w:hint="eastAsia"/>
          <w:b/>
          <w:bCs/>
          <w:i/>
          <w:iCs/>
          <w:kern w:val="2"/>
          <w:sz w:val="21"/>
          <w:szCs w:val="21"/>
          <w:u w:val="single"/>
          <w:lang w:eastAsia="zh-CN"/>
        </w:rPr>
        <w:t xml:space="preserve">        </w:t>
      </w:r>
      <w:r>
        <w:rPr>
          <w:rFonts w:ascii="宋体" w:eastAsia="宋体" w:hAnsi="宋体" w:cs="宋体" w:hint="eastAsia"/>
          <w:kern w:val="2"/>
          <w:sz w:val="21"/>
          <w:szCs w:val="21"/>
          <w:lang w:eastAsia="zh-CN"/>
        </w:rPr>
        <w:t>万元，属于</w:t>
      </w:r>
      <w:r>
        <w:rPr>
          <w:rFonts w:ascii="宋体" w:eastAsia="宋体" w:hAnsi="宋体" w:cs="宋体" w:hint="eastAsia"/>
          <w:b/>
          <w:bCs/>
          <w:i/>
          <w:iCs/>
          <w:kern w:val="2"/>
          <w:sz w:val="21"/>
          <w:szCs w:val="21"/>
          <w:u w:val="single"/>
          <w:lang w:eastAsia="zh-CN"/>
        </w:rPr>
        <w:t xml:space="preserve">    （中型企业、小型企业、微型企业）    </w:t>
      </w:r>
      <w:r>
        <w:rPr>
          <w:rFonts w:ascii="宋体" w:eastAsia="宋体" w:hAnsi="宋体" w:cs="宋体" w:hint="eastAsia"/>
          <w:kern w:val="2"/>
          <w:sz w:val="21"/>
          <w:szCs w:val="21"/>
          <w:lang w:eastAsia="zh-CN"/>
        </w:rPr>
        <w:t>；</w:t>
      </w:r>
    </w:p>
    <w:p>
      <w:pPr>
        <w:widowControl w:val="0"/>
        <w:ind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2.</w:t>
      </w:r>
      <w:r>
        <w:rPr>
          <w:rFonts w:ascii="宋体" w:eastAsia="宋体" w:hAnsi="宋体" w:cs="宋体" w:hint="eastAsia"/>
          <w:b/>
          <w:bCs/>
          <w:i/>
          <w:iCs/>
          <w:kern w:val="2"/>
          <w:sz w:val="21"/>
          <w:szCs w:val="21"/>
          <w:u w:val="single"/>
          <w:lang w:eastAsia="zh-CN"/>
        </w:rPr>
        <w:t xml:space="preserve">    （标的名称）     </w:t>
      </w:r>
      <w:r>
        <w:rPr>
          <w:rFonts w:ascii="宋体" w:eastAsia="宋体" w:hAnsi="宋体" w:cs="宋体" w:hint="eastAsia"/>
          <w:kern w:val="2"/>
          <w:sz w:val="21"/>
          <w:szCs w:val="21"/>
          <w:lang w:eastAsia="zh-CN"/>
        </w:rPr>
        <w:t>，属于</w:t>
      </w:r>
      <w:r>
        <w:rPr>
          <w:rFonts w:ascii="宋体" w:eastAsia="宋体" w:hAnsi="宋体" w:cs="宋体" w:hint="eastAsia"/>
          <w:b/>
          <w:bCs/>
          <w:i/>
          <w:iCs/>
          <w:kern w:val="2"/>
          <w:sz w:val="21"/>
          <w:szCs w:val="21"/>
          <w:u w:val="single"/>
          <w:lang w:eastAsia="zh-CN"/>
        </w:rPr>
        <w:t xml:space="preserve">    （采购文件中明确的所属行业）    </w:t>
      </w:r>
      <w:r>
        <w:rPr>
          <w:rFonts w:ascii="宋体" w:eastAsia="宋体" w:hAnsi="宋体" w:cs="宋体" w:hint="eastAsia"/>
          <w:kern w:val="2"/>
          <w:sz w:val="21"/>
          <w:szCs w:val="21"/>
          <w:lang w:eastAsia="zh-CN"/>
        </w:rPr>
        <w:t>行业；承接企业为</w:t>
      </w:r>
      <w:r>
        <w:rPr>
          <w:rFonts w:ascii="宋体" w:eastAsia="宋体" w:hAnsi="宋体" w:cs="宋体" w:hint="eastAsia"/>
          <w:b/>
          <w:bCs/>
          <w:i/>
          <w:iCs/>
          <w:kern w:val="2"/>
          <w:sz w:val="21"/>
          <w:szCs w:val="21"/>
          <w:u w:val="single"/>
          <w:lang w:eastAsia="zh-CN"/>
        </w:rPr>
        <w:t xml:space="preserve">    （企业名称，要求承接企业本身所属行业应当与采购文件要求的行业相一致）    </w:t>
      </w:r>
      <w:r>
        <w:rPr>
          <w:rFonts w:ascii="宋体" w:eastAsia="宋体" w:hAnsi="宋体" w:cs="宋体" w:hint="eastAsia"/>
          <w:kern w:val="2"/>
          <w:sz w:val="21"/>
          <w:szCs w:val="21"/>
          <w:lang w:eastAsia="zh-CN"/>
        </w:rPr>
        <w:t>，从业人员</w:t>
      </w:r>
      <w:r>
        <w:rPr>
          <w:rFonts w:ascii="宋体" w:eastAsia="宋体" w:hAnsi="宋体" w:cs="宋体" w:hint="eastAsia"/>
          <w:b/>
          <w:bCs/>
          <w:i/>
          <w:iCs/>
          <w:kern w:val="2"/>
          <w:sz w:val="21"/>
          <w:szCs w:val="21"/>
          <w:u w:val="single"/>
          <w:lang w:eastAsia="zh-CN"/>
        </w:rPr>
        <w:t xml:space="preserve">        </w:t>
      </w:r>
      <w:r>
        <w:rPr>
          <w:rFonts w:ascii="宋体" w:eastAsia="宋体" w:hAnsi="宋体" w:cs="宋体" w:hint="eastAsia"/>
          <w:kern w:val="2"/>
          <w:sz w:val="21"/>
          <w:szCs w:val="21"/>
          <w:lang w:eastAsia="zh-CN"/>
        </w:rPr>
        <w:t>人，营业收入为</w:t>
      </w:r>
      <w:r>
        <w:rPr>
          <w:rFonts w:ascii="宋体" w:eastAsia="宋体" w:hAnsi="宋体" w:cs="宋体" w:hint="eastAsia"/>
          <w:b/>
          <w:bCs/>
          <w:i/>
          <w:iCs/>
          <w:kern w:val="2"/>
          <w:sz w:val="21"/>
          <w:szCs w:val="21"/>
          <w:u w:val="single"/>
          <w:lang w:eastAsia="zh-CN"/>
        </w:rPr>
        <w:t xml:space="preserve">        </w:t>
      </w:r>
      <w:r>
        <w:rPr>
          <w:rFonts w:ascii="宋体" w:eastAsia="宋体" w:hAnsi="宋体" w:cs="宋体" w:hint="eastAsia"/>
          <w:kern w:val="2"/>
          <w:sz w:val="21"/>
          <w:szCs w:val="21"/>
          <w:lang w:eastAsia="zh-CN"/>
        </w:rPr>
        <w:t>万元，资产总额为</w:t>
      </w:r>
      <w:r>
        <w:rPr>
          <w:rFonts w:ascii="宋体" w:eastAsia="宋体" w:hAnsi="宋体" w:cs="宋体" w:hint="eastAsia"/>
          <w:b/>
          <w:bCs/>
          <w:i/>
          <w:iCs/>
          <w:kern w:val="2"/>
          <w:sz w:val="21"/>
          <w:szCs w:val="21"/>
          <w:u w:val="single"/>
          <w:lang w:eastAsia="zh-CN"/>
        </w:rPr>
        <w:t xml:space="preserve">        </w:t>
      </w:r>
      <w:r>
        <w:rPr>
          <w:rFonts w:ascii="宋体" w:eastAsia="宋体" w:hAnsi="宋体" w:cs="宋体" w:hint="eastAsia"/>
          <w:kern w:val="2"/>
          <w:sz w:val="21"/>
          <w:szCs w:val="21"/>
          <w:lang w:eastAsia="zh-CN"/>
        </w:rPr>
        <w:t>万元，属于</w:t>
      </w:r>
      <w:r>
        <w:rPr>
          <w:rFonts w:ascii="宋体" w:eastAsia="宋体" w:hAnsi="宋体" w:cs="宋体" w:hint="eastAsia"/>
          <w:b/>
          <w:bCs/>
          <w:i/>
          <w:iCs/>
          <w:kern w:val="2"/>
          <w:sz w:val="21"/>
          <w:szCs w:val="21"/>
          <w:u w:val="single"/>
          <w:lang w:eastAsia="zh-CN"/>
        </w:rPr>
        <w:t xml:space="preserve">    （中型企业、小型企业、微型企业）    </w:t>
      </w:r>
      <w:r>
        <w:rPr>
          <w:rFonts w:ascii="宋体" w:eastAsia="宋体" w:hAnsi="宋体" w:cs="宋体" w:hint="eastAsia"/>
          <w:kern w:val="2"/>
          <w:sz w:val="21"/>
          <w:szCs w:val="21"/>
          <w:lang w:eastAsia="zh-CN"/>
        </w:rPr>
        <w:t>；</w:t>
      </w:r>
    </w:p>
    <w:p>
      <w:pPr>
        <w:widowControl w:val="0"/>
        <w:ind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w:t>
      </w:r>
    </w:p>
    <w:p>
      <w:pPr>
        <w:widowControl w:val="0"/>
        <w:ind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以上企业，不属于大企业的分支机构，不存在控股股东为大企业的情形，也不存在与大企业的负责人为同一人的情形。</w:t>
      </w:r>
    </w:p>
    <w:p>
      <w:pPr>
        <w:widowControl w:val="0"/>
        <w:ind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本企业对上述声明内容的真实性负责。如有虚假，将依法承担相应责任。</w:t>
      </w:r>
    </w:p>
    <w:p>
      <w:pPr>
        <w:widowControl w:val="0"/>
        <w:ind w:firstLine="420" w:firstLineChars="200"/>
        <w:jc w:val="both"/>
        <w:rPr>
          <w:rFonts w:ascii="宋体" w:eastAsia="宋体" w:hAnsi="宋体" w:hint="eastAsia"/>
          <w:kern w:val="2"/>
          <w:sz w:val="21"/>
          <w:szCs w:val="21"/>
          <w:lang w:eastAsia="zh-CN"/>
        </w:rPr>
      </w:pPr>
      <w:bookmarkStart w:id="52" w:name="_Hlk73562275"/>
      <w:r>
        <w:rPr>
          <w:rFonts w:ascii="宋体" w:eastAsia="宋体" w:hAnsi="宋体" w:cs="宋体" w:hint="eastAsia"/>
          <w:kern w:val="2"/>
          <w:sz w:val="21"/>
          <w:szCs w:val="21"/>
          <w:lang w:eastAsia="zh-CN"/>
        </w:rPr>
        <w:t>本供应商已知悉《政府采购促进中小企业发展管理办法》（财库〔2020〕 46 号）、《中小企业划型标准规定》（工信部联企〔2011〕 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bookmarkEnd w:id="52"/>
    </w:p>
    <w:p>
      <w:pPr>
        <w:widowControl w:val="0"/>
        <w:jc w:val="both"/>
        <w:rPr>
          <w:rFonts w:eastAsia="宋体"/>
          <w:kern w:val="2"/>
          <w:sz w:val="21"/>
          <w:lang w:eastAsia="zh-CN"/>
        </w:rPr>
      </w:pPr>
    </w:p>
    <w:p>
      <w:pPr>
        <w:widowControl w:val="0"/>
        <w:ind w:firstLine="420" w:firstLineChars="200"/>
        <w:jc w:val="both"/>
        <w:rPr>
          <w:rFonts w:eastAsia="宋体"/>
          <w:kern w:val="2"/>
          <w:sz w:val="21"/>
          <w:lang w:eastAsia="zh-CN"/>
        </w:rPr>
      </w:pPr>
    </w:p>
    <w:p>
      <w:pPr>
        <w:widowControl w:val="0"/>
        <w:jc w:val="center"/>
        <w:outlineLvl w:val="3"/>
        <w:rPr>
          <w:rFonts w:eastAsia="宋体"/>
          <w:b/>
          <w:kern w:val="2"/>
          <w:lang w:eastAsia="zh-CN"/>
        </w:rPr>
      </w:pPr>
      <w:r>
        <w:rPr>
          <w:rFonts w:eastAsia="宋体" w:hint="eastAsia"/>
          <w:b/>
          <w:kern w:val="2"/>
          <w:lang w:eastAsia="zh-CN"/>
        </w:rPr>
        <w:t>2、残疾人福利性单位声明函（服务）</w:t>
      </w:r>
    </w:p>
    <w:p>
      <w:pPr>
        <w:widowControl w:val="0"/>
        <w:jc w:val="both"/>
        <w:rPr>
          <w:rFonts w:eastAsia="宋体"/>
          <w:b/>
          <w:bCs/>
          <w:kern w:val="2"/>
          <w:sz w:val="21"/>
          <w:lang w:eastAsia="zh-CN"/>
        </w:rPr>
      </w:pPr>
    </w:p>
    <w:p>
      <w:pPr>
        <w:widowControl w:val="0"/>
        <w:ind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本单位郑重声明，根据《财政部 民政部 中国残疾人联合会关于促进残疾人就业政府采购政策的通知》（财库〔2017〕141号）的规定，本单位为符合条件的残疾人福利性单位，且本单位参加</w:t>
      </w:r>
      <w:r>
        <w:rPr>
          <w:rFonts w:ascii="宋体" w:eastAsia="宋体" w:hAnsi="宋体" w:cs="宋体" w:hint="eastAsia"/>
          <w:b/>
          <w:bCs/>
          <w:i/>
          <w:iCs/>
          <w:kern w:val="2"/>
          <w:sz w:val="21"/>
          <w:szCs w:val="21"/>
          <w:u w:val="single"/>
          <w:lang w:eastAsia="zh-CN"/>
        </w:rPr>
        <w:t xml:space="preserve">    （单位名称）    </w:t>
      </w:r>
      <w:r>
        <w:rPr>
          <w:rFonts w:ascii="宋体" w:eastAsia="宋体" w:hAnsi="宋体" w:cs="宋体" w:hint="eastAsia"/>
          <w:kern w:val="2"/>
          <w:sz w:val="21"/>
          <w:szCs w:val="21"/>
          <w:lang w:eastAsia="zh-CN"/>
        </w:rPr>
        <w:t>单位的</w:t>
      </w:r>
      <w:r>
        <w:rPr>
          <w:rFonts w:ascii="宋体" w:eastAsia="宋体" w:hAnsi="宋体" w:cs="宋体" w:hint="eastAsia"/>
          <w:b/>
          <w:bCs/>
          <w:i/>
          <w:iCs/>
          <w:kern w:val="2"/>
          <w:sz w:val="21"/>
          <w:szCs w:val="21"/>
          <w:u w:val="single"/>
          <w:lang w:eastAsia="zh-CN"/>
        </w:rPr>
        <w:t xml:space="preserve">    （项目名称）    </w:t>
      </w:r>
      <w:r>
        <w:rPr>
          <w:rFonts w:ascii="宋体" w:eastAsia="宋体" w:hAnsi="宋体" w:cs="宋体" w:hint="eastAsia"/>
          <w:kern w:val="2"/>
          <w:sz w:val="21"/>
          <w:szCs w:val="21"/>
          <w:lang w:eastAsia="zh-CN"/>
        </w:rPr>
        <w:t>项目采购活动由本单位提供服务。</w:t>
      </w:r>
    </w:p>
    <w:p>
      <w:pPr>
        <w:widowControl w:val="0"/>
        <w:ind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本单位对上述声明的真实性负责。如有虚假，将依法承担相应责任。</w:t>
      </w:r>
    </w:p>
    <w:p>
      <w:pPr>
        <w:widowControl w:val="0"/>
        <w:spacing w:line="360" w:lineRule="auto"/>
        <w:ind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本供应商已知悉《财政部民政部中国残疾人联合会关于促进残疾人就业政府采购政策的通知》（财库〔2017〕141号）的规定，承诺提供的声明函内容是真实的，如提供声明函内容不实，则依法追究相关法律责任。</w:t>
      </w:r>
    </w:p>
    <w:p>
      <w:pPr>
        <w:widowControl w:val="0"/>
        <w:ind w:firstLine="420" w:firstLineChars="200"/>
        <w:jc w:val="both"/>
        <w:rPr>
          <w:rFonts w:ascii="宋体" w:eastAsia="宋体" w:hAnsi="宋体" w:hint="eastAsia"/>
          <w:kern w:val="2"/>
          <w:sz w:val="21"/>
          <w:szCs w:val="21"/>
          <w:lang w:eastAsia="zh-CN"/>
        </w:rPr>
      </w:pPr>
    </w:p>
    <w:p>
      <w:pPr>
        <w:widowControl w:val="0"/>
        <w:ind w:firstLine="420" w:firstLineChars="200"/>
        <w:jc w:val="both"/>
        <w:rPr>
          <w:rFonts w:ascii="宋体" w:eastAsia="宋体" w:hAnsi="宋体" w:hint="eastAsia"/>
          <w:kern w:val="2"/>
          <w:sz w:val="21"/>
          <w:szCs w:val="21"/>
          <w:lang w:eastAsia="zh-CN"/>
        </w:rPr>
      </w:pPr>
    </w:p>
    <w:p>
      <w:pPr>
        <w:widowControl w:val="0"/>
        <w:jc w:val="center"/>
        <w:outlineLvl w:val="3"/>
        <w:rPr>
          <w:rFonts w:eastAsia="宋体"/>
          <w:b/>
          <w:kern w:val="2"/>
          <w:lang w:eastAsia="zh-CN"/>
        </w:rPr>
      </w:pPr>
      <w:r>
        <w:rPr>
          <w:rFonts w:eastAsia="宋体" w:hint="eastAsia"/>
          <w:b/>
          <w:kern w:val="2"/>
          <w:lang w:eastAsia="zh-CN"/>
        </w:rPr>
        <w:t>3、监狱企业声明函【服务类，监狱企业如需享受优惠政策，还须另行提供省级以上监狱管理局、戒毒管理局（含新疆生产建设兵团）出具的监狱企业证明文件】</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本供应商郑重声明，根据《财政部司法部关于政府采购支持监狱企业发展有关问题的通知》（财库〔</w:t>
      </w:r>
      <w:r>
        <w:rPr>
          <w:rFonts w:ascii="宋体" w:eastAsia="宋体" w:hAnsi="宋体"/>
          <w:kern w:val="2"/>
          <w:sz w:val="21"/>
          <w:szCs w:val="21"/>
          <w:lang w:eastAsia="zh-CN"/>
        </w:rPr>
        <w:t>2014</w:t>
      </w:r>
      <w:r>
        <w:rPr>
          <w:rFonts w:ascii="宋体" w:eastAsia="宋体" w:hAnsi="宋体" w:hint="eastAsia"/>
          <w:kern w:val="2"/>
          <w:sz w:val="21"/>
          <w:szCs w:val="21"/>
          <w:lang w:eastAsia="zh-CN"/>
        </w:rPr>
        <w:t>〕</w:t>
      </w:r>
      <w:r>
        <w:rPr>
          <w:rFonts w:ascii="宋体" w:eastAsia="宋体" w:hAnsi="宋体"/>
          <w:kern w:val="2"/>
          <w:sz w:val="21"/>
          <w:szCs w:val="21"/>
          <w:lang w:eastAsia="zh-CN"/>
        </w:rPr>
        <w:t>68</w:t>
      </w:r>
      <w:r>
        <w:rPr>
          <w:rFonts w:ascii="宋体" w:eastAsia="宋体" w:hAnsi="宋体" w:hint="eastAsia"/>
          <w:kern w:val="2"/>
          <w:sz w:val="21"/>
          <w:szCs w:val="21"/>
          <w:lang w:eastAsia="zh-CN"/>
        </w:rPr>
        <w:t>号）的规定，本供应商</w:t>
      </w:r>
      <w:r>
        <w:rPr>
          <w:rFonts w:ascii="宋体" w:eastAsia="宋体" w:hAnsi="宋体" w:cstheme="minorBidi"/>
          <w:kern w:val="2"/>
          <w:sz w:val="21"/>
          <w:szCs w:val="21"/>
          <w:lang w:eastAsia="zh-CN"/>
        </w:rPr>
        <w:t>参加</w:t>
      </w:r>
      <w:r>
        <w:rPr>
          <w:rFonts w:ascii="宋体" w:eastAsia="宋体" w:hAnsi="宋体"/>
          <w:b/>
          <w:bCs/>
          <w:kern w:val="2"/>
          <w:sz w:val="21"/>
          <w:szCs w:val="21"/>
          <w:u w:val="single"/>
          <w:lang w:eastAsia="zh-CN"/>
        </w:rPr>
        <w:t>（</w:t>
      </w:r>
      <w:r>
        <w:rPr>
          <w:rFonts w:ascii="宋体" w:eastAsia="宋体" w:hAnsi="宋体" w:hint="eastAsia"/>
          <w:b/>
          <w:bCs/>
          <w:kern w:val="2"/>
          <w:sz w:val="21"/>
          <w:szCs w:val="21"/>
          <w:u w:val="single"/>
          <w:lang w:eastAsia="zh-CN"/>
        </w:rPr>
        <w:t>采购人</w:t>
      </w:r>
      <w:r>
        <w:rPr>
          <w:rFonts w:ascii="宋体" w:eastAsia="宋体" w:hAnsi="宋体"/>
          <w:b/>
          <w:bCs/>
          <w:kern w:val="2"/>
          <w:sz w:val="21"/>
          <w:szCs w:val="21"/>
          <w:u w:val="single"/>
          <w:lang w:eastAsia="zh-CN"/>
        </w:rPr>
        <w:t>名称）</w:t>
      </w:r>
      <w:r>
        <w:rPr>
          <w:rFonts w:ascii="宋体" w:eastAsia="宋体" w:hAnsi="宋体"/>
          <w:kern w:val="2"/>
          <w:sz w:val="21"/>
          <w:szCs w:val="21"/>
          <w:lang w:eastAsia="zh-CN"/>
        </w:rPr>
        <w:t>的</w:t>
      </w:r>
      <w:r>
        <w:rPr>
          <w:rFonts w:ascii="宋体" w:eastAsia="宋体" w:hAnsi="宋体"/>
          <w:b/>
          <w:bCs/>
          <w:kern w:val="2"/>
          <w:sz w:val="21"/>
          <w:szCs w:val="21"/>
          <w:u w:val="single"/>
          <w:lang w:eastAsia="zh-CN"/>
        </w:rPr>
        <w:t>（项目名称）</w:t>
      </w:r>
      <w:r>
        <w:rPr>
          <w:rFonts w:ascii="宋体" w:eastAsia="宋体" w:hAnsi="宋体"/>
          <w:kern w:val="2"/>
          <w:sz w:val="21"/>
          <w:szCs w:val="21"/>
          <w:lang w:eastAsia="zh-CN"/>
        </w:rPr>
        <w:t>采购活动，</w:t>
      </w:r>
      <w:r>
        <w:rPr>
          <w:rFonts w:ascii="宋体" w:eastAsia="宋体" w:hAnsi="宋体" w:hint="eastAsia"/>
          <w:kern w:val="2"/>
          <w:sz w:val="21"/>
          <w:szCs w:val="21"/>
          <w:lang w:eastAsia="zh-CN"/>
        </w:rPr>
        <w:t>服务</w:t>
      </w:r>
      <w:r>
        <w:rPr>
          <w:rFonts w:ascii="宋体" w:eastAsia="宋体" w:hAnsi="宋体"/>
          <w:kern w:val="2"/>
          <w:sz w:val="21"/>
          <w:szCs w:val="21"/>
          <w:lang w:eastAsia="zh-CN"/>
        </w:rPr>
        <w:t>全部由符合政策要求的</w:t>
      </w:r>
      <w:r>
        <w:rPr>
          <w:rFonts w:ascii="宋体" w:eastAsia="宋体" w:hAnsi="宋体" w:hint="eastAsia"/>
          <w:kern w:val="2"/>
          <w:sz w:val="21"/>
          <w:szCs w:val="21"/>
          <w:lang w:eastAsia="zh-CN"/>
        </w:rPr>
        <w:t>监狱企业承接</w:t>
      </w:r>
      <w:r>
        <w:rPr>
          <w:rFonts w:ascii="宋体" w:eastAsia="宋体" w:hAnsi="宋体"/>
          <w:kern w:val="2"/>
          <w:sz w:val="21"/>
          <w:szCs w:val="21"/>
          <w:lang w:eastAsia="zh-CN"/>
        </w:rPr>
        <w:t>。相关</w:t>
      </w:r>
      <w:r>
        <w:rPr>
          <w:rFonts w:ascii="宋体" w:eastAsia="宋体" w:hAnsi="宋体" w:hint="eastAsia"/>
          <w:kern w:val="2"/>
          <w:sz w:val="21"/>
          <w:szCs w:val="21"/>
          <w:lang w:eastAsia="zh-CN"/>
        </w:rPr>
        <w:t>监狱企业</w:t>
      </w:r>
      <w:r>
        <w:rPr>
          <w:rFonts w:ascii="宋体" w:eastAsia="宋体" w:hAnsi="宋体"/>
          <w:kern w:val="2"/>
          <w:sz w:val="21"/>
          <w:szCs w:val="21"/>
          <w:lang w:eastAsia="zh-CN"/>
        </w:rPr>
        <w:t>的具体情况如下：</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kern w:val="2"/>
          <w:sz w:val="21"/>
          <w:szCs w:val="21"/>
          <w:lang w:eastAsia="zh-CN"/>
        </w:rPr>
        <w:t>1.</w:t>
      </w:r>
      <w:r>
        <w:rPr>
          <w:rFonts w:ascii="宋体" w:eastAsia="宋体" w:hAnsi="宋体"/>
          <w:b/>
          <w:bCs/>
          <w:kern w:val="2"/>
          <w:sz w:val="21"/>
          <w:szCs w:val="21"/>
          <w:u w:val="single"/>
          <w:lang w:eastAsia="zh-CN"/>
        </w:rPr>
        <w:t xml:space="preserve"> </w:t>
      </w:r>
      <w:r>
        <w:rPr>
          <w:rFonts w:ascii="宋体" w:eastAsia="宋体" w:hAnsi="宋体"/>
          <w:b/>
          <w:bCs/>
          <w:i/>
          <w:iCs/>
          <w:kern w:val="2"/>
          <w:sz w:val="21"/>
          <w:szCs w:val="21"/>
          <w:u w:val="single"/>
          <w:lang w:eastAsia="zh-CN"/>
        </w:rPr>
        <w:t>（标的名称</w:t>
      </w:r>
      <w:r>
        <w:rPr>
          <w:rFonts w:ascii="宋体" w:eastAsia="宋体" w:hAnsi="宋体"/>
          <w:b/>
          <w:bCs/>
          <w:kern w:val="2"/>
          <w:sz w:val="21"/>
          <w:szCs w:val="21"/>
          <w:u w:val="single"/>
          <w:lang w:eastAsia="zh-CN"/>
        </w:rPr>
        <w:t>）</w:t>
      </w:r>
      <w:r>
        <w:rPr>
          <w:rFonts w:ascii="宋体" w:eastAsia="宋体" w:hAnsi="宋体"/>
          <w:kern w:val="2"/>
          <w:sz w:val="21"/>
          <w:szCs w:val="21"/>
          <w:lang w:eastAsia="zh-CN"/>
        </w:rPr>
        <w:t xml:space="preserve"> </w:t>
      </w:r>
      <w:r>
        <w:rPr>
          <w:rFonts w:ascii="宋体" w:eastAsia="宋体" w:hAnsi="宋体" w:hint="eastAsia"/>
          <w:kern w:val="2"/>
          <w:sz w:val="21"/>
          <w:szCs w:val="21"/>
          <w:lang w:eastAsia="zh-CN"/>
        </w:rPr>
        <w:t>，承接单位</w:t>
      </w:r>
      <w:r>
        <w:rPr>
          <w:rFonts w:ascii="宋体" w:eastAsia="宋体" w:hAnsi="宋体"/>
          <w:kern w:val="2"/>
          <w:sz w:val="21"/>
          <w:szCs w:val="21"/>
          <w:lang w:eastAsia="zh-CN"/>
        </w:rPr>
        <w:t>为</w:t>
      </w:r>
      <w:r>
        <w:rPr>
          <w:rFonts w:ascii="宋体" w:eastAsia="宋体" w:hAnsi="宋体"/>
          <w:b/>
          <w:bCs/>
          <w:i/>
          <w:iCs/>
          <w:kern w:val="2"/>
          <w:sz w:val="21"/>
          <w:szCs w:val="21"/>
          <w:u w:val="single"/>
          <w:lang w:eastAsia="zh-CN"/>
        </w:rPr>
        <w:t>（</w:t>
      </w:r>
      <w:r>
        <w:rPr>
          <w:rFonts w:ascii="宋体" w:eastAsia="宋体" w:hAnsi="宋体" w:hint="eastAsia"/>
          <w:b/>
          <w:bCs/>
          <w:i/>
          <w:iCs/>
          <w:kern w:val="2"/>
          <w:sz w:val="21"/>
          <w:szCs w:val="21"/>
          <w:u w:val="single"/>
          <w:lang w:eastAsia="zh-CN"/>
        </w:rPr>
        <w:t>企业</w:t>
      </w:r>
      <w:r>
        <w:rPr>
          <w:rFonts w:ascii="宋体" w:eastAsia="宋体" w:hAnsi="宋体"/>
          <w:b/>
          <w:bCs/>
          <w:i/>
          <w:iCs/>
          <w:kern w:val="2"/>
          <w:sz w:val="21"/>
          <w:szCs w:val="21"/>
          <w:u w:val="single"/>
          <w:lang w:eastAsia="zh-CN"/>
        </w:rPr>
        <w:t>名称）</w:t>
      </w:r>
      <w:r>
        <w:rPr>
          <w:rFonts w:ascii="宋体" w:eastAsia="宋体" w:hAnsi="宋体"/>
          <w:kern w:val="2"/>
          <w:sz w:val="21"/>
          <w:szCs w:val="21"/>
          <w:lang w:eastAsia="zh-CN"/>
        </w:rPr>
        <w:t>，属于</w:t>
      </w:r>
      <w:r>
        <w:rPr>
          <w:rFonts w:ascii="宋体" w:eastAsia="宋体" w:hAnsi="宋体" w:hint="eastAsia"/>
          <w:b/>
          <w:bCs/>
          <w:i/>
          <w:iCs/>
          <w:kern w:val="2"/>
          <w:sz w:val="21"/>
          <w:szCs w:val="21"/>
          <w:u w:val="single"/>
          <w:lang w:eastAsia="zh-CN"/>
        </w:rPr>
        <w:t>监狱企业</w:t>
      </w:r>
      <w:r>
        <w:rPr>
          <w:rFonts w:ascii="宋体" w:eastAsia="宋体" w:hAnsi="宋体"/>
          <w:kern w:val="2"/>
          <w:sz w:val="21"/>
          <w:szCs w:val="21"/>
          <w:lang w:eastAsia="zh-CN"/>
        </w:rPr>
        <w:t>；</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kern w:val="2"/>
          <w:sz w:val="21"/>
          <w:szCs w:val="21"/>
          <w:lang w:eastAsia="zh-CN"/>
        </w:rPr>
        <w:t>2.</w:t>
      </w:r>
      <w:r>
        <w:rPr>
          <w:rFonts w:ascii="宋体" w:eastAsia="宋体" w:hAnsi="宋体"/>
          <w:b/>
          <w:bCs/>
          <w:kern w:val="2"/>
          <w:sz w:val="21"/>
          <w:szCs w:val="21"/>
          <w:u w:val="single"/>
          <w:lang w:eastAsia="zh-CN"/>
        </w:rPr>
        <w:t xml:space="preserve"> </w:t>
      </w:r>
      <w:r>
        <w:rPr>
          <w:rFonts w:ascii="宋体" w:eastAsia="宋体" w:hAnsi="宋体"/>
          <w:b/>
          <w:bCs/>
          <w:i/>
          <w:iCs/>
          <w:kern w:val="2"/>
          <w:sz w:val="21"/>
          <w:szCs w:val="21"/>
          <w:u w:val="single"/>
          <w:lang w:eastAsia="zh-CN"/>
        </w:rPr>
        <w:t>（标的名称）</w:t>
      </w:r>
      <w:r>
        <w:rPr>
          <w:rFonts w:ascii="宋体" w:eastAsia="宋体" w:hAnsi="宋体"/>
          <w:i/>
          <w:iCs/>
          <w:kern w:val="2"/>
          <w:sz w:val="21"/>
          <w:szCs w:val="21"/>
          <w:lang w:eastAsia="zh-CN"/>
        </w:rPr>
        <w:t xml:space="preserve"> </w:t>
      </w:r>
      <w:r>
        <w:rPr>
          <w:rFonts w:ascii="宋体" w:eastAsia="宋体" w:hAnsi="宋体" w:hint="eastAsia"/>
          <w:kern w:val="2"/>
          <w:sz w:val="21"/>
          <w:szCs w:val="21"/>
          <w:lang w:eastAsia="zh-CN"/>
        </w:rPr>
        <w:t>，承接单位</w:t>
      </w:r>
      <w:r>
        <w:rPr>
          <w:rFonts w:ascii="宋体" w:eastAsia="宋体" w:hAnsi="宋体"/>
          <w:kern w:val="2"/>
          <w:sz w:val="21"/>
          <w:szCs w:val="21"/>
          <w:lang w:eastAsia="zh-CN"/>
        </w:rPr>
        <w:t>为</w:t>
      </w:r>
      <w:r>
        <w:rPr>
          <w:rFonts w:ascii="宋体" w:eastAsia="宋体" w:hAnsi="宋体"/>
          <w:b/>
          <w:bCs/>
          <w:i/>
          <w:iCs/>
          <w:kern w:val="2"/>
          <w:sz w:val="21"/>
          <w:szCs w:val="21"/>
          <w:u w:val="single"/>
          <w:lang w:eastAsia="zh-CN"/>
        </w:rPr>
        <w:t>（</w:t>
      </w:r>
      <w:r>
        <w:rPr>
          <w:rFonts w:ascii="宋体" w:eastAsia="宋体" w:hAnsi="宋体" w:hint="eastAsia"/>
          <w:b/>
          <w:bCs/>
          <w:i/>
          <w:iCs/>
          <w:kern w:val="2"/>
          <w:sz w:val="21"/>
          <w:szCs w:val="21"/>
          <w:u w:val="single"/>
          <w:lang w:eastAsia="zh-CN"/>
        </w:rPr>
        <w:t>企业</w:t>
      </w:r>
      <w:r>
        <w:rPr>
          <w:rFonts w:ascii="宋体" w:eastAsia="宋体" w:hAnsi="宋体"/>
          <w:b/>
          <w:bCs/>
          <w:i/>
          <w:iCs/>
          <w:kern w:val="2"/>
          <w:sz w:val="21"/>
          <w:szCs w:val="21"/>
          <w:u w:val="single"/>
          <w:lang w:eastAsia="zh-CN"/>
        </w:rPr>
        <w:t>名称）</w:t>
      </w:r>
      <w:r>
        <w:rPr>
          <w:rFonts w:ascii="宋体" w:eastAsia="宋体" w:hAnsi="宋体"/>
          <w:kern w:val="2"/>
          <w:sz w:val="21"/>
          <w:szCs w:val="21"/>
          <w:lang w:eastAsia="zh-CN"/>
        </w:rPr>
        <w:t>，属于</w:t>
      </w:r>
      <w:r>
        <w:rPr>
          <w:rFonts w:ascii="宋体" w:eastAsia="宋体" w:hAnsi="宋体" w:hint="eastAsia"/>
          <w:b/>
          <w:bCs/>
          <w:i/>
          <w:iCs/>
          <w:kern w:val="2"/>
          <w:sz w:val="21"/>
          <w:szCs w:val="21"/>
          <w:u w:val="single"/>
          <w:lang w:eastAsia="zh-CN"/>
        </w:rPr>
        <w:t>监狱企业</w:t>
      </w:r>
      <w:r>
        <w:rPr>
          <w:rFonts w:ascii="宋体" w:eastAsia="宋体" w:hAnsi="宋体" w:hint="eastAsia"/>
          <w:kern w:val="2"/>
          <w:sz w:val="21"/>
          <w:szCs w:val="21"/>
          <w:lang w:eastAsia="zh-CN"/>
        </w:rPr>
        <w:t>。</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kern w:val="2"/>
          <w:sz w:val="21"/>
          <w:szCs w:val="21"/>
          <w:lang w:eastAsia="zh-CN"/>
        </w:rPr>
        <w:t xml:space="preserve">…… </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cstheme="minorBidi"/>
          <w:kern w:val="2"/>
          <w:sz w:val="21"/>
          <w:szCs w:val="21"/>
          <w:lang w:eastAsia="zh-CN"/>
        </w:rPr>
        <w:t>本</w:t>
      </w:r>
      <w:r>
        <w:rPr>
          <w:rFonts w:ascii="宋体" w:eastAsia="宋体" w:hAnsi="宋体" w:cstheme="minorBidi" w:hint="eastAsia"/>
          <w:kern w:val="2"/>
          <w:sz w:val="21"/>
          <w:szCs w:val="21"/>
          <w:lang w:eastAsia="zh-CN"/>
        </w:rPr>
        <w:t>供应商</w:t>
      </w:r>
      <w:r>
        <w:rPr>
          <w:rFonts w:ascii="宋体" w:eastAsia="宋体" w:hAnsi="宋体"/>
          <w:kern w:val="2"/>
          <w:sz w:val="21"/>
          <w:szCs w:val="21"/>
          <w:lang w:eastAsia="zh-CN"/>
        </w:rPr>
        <w:t>对上述声明内容的真实性负责。如有虚假，将依法承担相应责任。</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附：省级以上监狱管理局、戒毒管理局（含新疆生产建设兵团）出具的监狱企业证明文件。</w:t>
      </w:r>
    </w:p>
    <w:p>
      <w:pPr>
        <w:widowControl w:val="0"/>
        <w:jc w:val="both"/>
        <w:rPr>
          <w:rFonts w:ascii="宋体" w:eastAsia="宋体" w:hAnsi="宋体" w:hint="eastAsia"/>
          <w:kern w:val="2"/>
          <w:sz w:val="21"/>
          <w:szCs w:val="21"/>
          <w:lang w:eastAsia="zh-CN"/>
        </w:rPr>
      </w:pPr>
    </w:p>
    <w:p>
      <w:pPr>
        <w:widowControl w:val="0"/>
        <w:jc w:val="both"/>
        <w:rPr>
          <w:rFonts w:eastAsia="宋体"/>
          <w:b/>
          <w:bCs/>
          <w:kern w:val="2"/>
          <w:lang w:eastAsia="zh-CN"/>
        </w:rPr>
      </w:pPr>
    </w:p>
    <w:p>
      <w:pPr>
        <w:keepNext/>
        <w:keepLines/>
        <w:widowControl w:val="0"/>
        <w:spacing w:before="260" w:after="260" w:line="240" w:lineRule="auto"/>
        <w:jc w:val="center"/>
        <w:outlineLvl w:val="2"/>
        <w:rPr>
          <w:rFonts w:ascii="黑体" w:eastAsia="黑体" w:hAnsi="宋体" w:hint="eastAsia"/>
          <w:bCs/>
          <w:kern w:val="2"/>
          <w:lang w:eastAsia="zh-CN"/>
        </w:rPr>
      </w:pPr>
      <w:r>
        <w:rPr>
          <w:rFonts w:ascii="黑体" w:eastAsia="黑体" w:hAnsi="宋体" w:hint="eastAsia"/>
          <w:bCs/>
          <w:kern w:val="2"/>
          <w:lang w:eastAsia="zh-CN"/>
        </w:rPr>
        <w:t>四、项目详细报价</w:t>
      </w:r>
    </w:p>
    <w:p>
      <w:pPr>
        <w:widowControl w:val="0"/>
        <w:tabs>
          <w:tab w:val="left" w:pos="720"/>
        </w:tabs>
        <w:ind w:firstLine="3120" w:firstLineChars="1300"/>
        <w:jc w:val="both"/>
        <w:rPr>
          <w:rFonts w:eastAsia="宋体"/>
          <w:kern w:val="2"/>
          <w:sz w:val="21"/>
          <w:lang w:eastAsia="zh-CN"/>
        </w:rPr>
      </w:pPr>
      <w:r>
        <w:rPr>
          <w:rFonts w:eastAsia="宋体" w:hint="eastAsia"/>
          <w:b/>
          <w:kern w:val="2"/>
          <w:lang w:eastAsia="zh-CN"/>
        </w:rPr>
        <w:t>（一）分项报价表</w:t>
      </w:r>
    </w:p>
    <w:p>
      <w:pPr>
        <w:widowControl w:val="0"/>
        <w:spacing w:line="360" w:lineRule="auto"/>
        <w:jc w:val="both"/>
        <w:rPr>
          <w:rFonts w:eastAsia="宋体"/>
          <w:kern w:val="2"/>
          <w:lang w:eastAsia="zh-CN"/>
        </w:rPr>
      </w:pPr>
    </w:p>
    <w:p>
      <w:pPr>
        <w:widowControl w:val="0"/>
        <w:numPr>
          <w:ilvl w:val="0"/>
          <w:numId w:val="3"/>
        </w:numPr>
        <w:spacing w:line="360" w:lineRule="auto"/>
        <w:jc w:val="center"/>
        <w:rPr>
          <w:rFonts w:eastAsia="宋体" w:hint="eastAsia"/>
          <w:b/>
          <w:kern w:val="2"/>
          <w:lang w:eastAsia="zh-CN"/>
        </w:rPr>
      </w:pPr>
      <w:r>
        <w:rPr>
          <w:rFonts w:eastAsia="宋体" w:hint="eastAsia"/>
          <w:b/>
          <w:kern w:val="2"/>
          <w:lang w:eastAsia="zh-CN"/>
        </w:rPr>
        <w:t>分项报价表</w:t>
      </w:r>
    </w:p>
    <w:tbl>
      <w:tblPr>
        <w:tblStyle w:val="TableGrid"/>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449"/>
        <w:gridCol w:w="1581"/>
        <w:gridCol w:w="795"/>
        <w:gridCol w:w="508"/>
        <w:gridCol w:w="841"/>
        <w:gridCol w:w="1100"/>
        <w:gridCol w:w="1368"/>
        <w:gridCol w:w="1887"/>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586"/>
        </w:trPr>
        <w:tc>
          <w:tcPr>
            <w:tcW w:w="466" w:type="dxa"/>
            <w:noWrap w:val="0"/>
            <w:vAlign w:val="center"/>
          </w:tcPr>
          <w:p>
            <w:pPr>
              <w:pageBreakBefore w:val="0"/>
              <w:kinsoku/>
              <w:wordWrap/>
              <w:overflowPunct/>
              <w:topLinePunct w:val="0"/>
              <w:bidi w:val="0"/>
              <w:snapToGrid w:val="0"/>
              <w:spacing w:line="300" w:lineRule="auto"/>
              <w:jc w:val="center"/>
              <w:rPr>
                <w:rFonts w:hint="eastAsia"/>
                <w:kern w:val="2"/>
                <w:sz w:val="21"/>
                <w:lang w:eastAsia="zh-CN"/>
              </w:rPr>
            </w:pPr>
            <w:r>
              <w:rPr>
                <w:rFonts w:hint="eastAsia"/>
                <w:kern w:val="2"/>
                <w:sz w:val="21"/>
                <w:lang w:eastAsia="zh-CN"/>
              </w:rPr>
              <w:t>序号</w:t>
            </w:r>
          </w:p>
        </w:tc>
        <w:tc>
          <w:tcPr>
            <w:tcW w:w="1690" w:type="dxa"/>
            <w:noWrap w:val="0"/>
            <w:vAlign w:val="center"/>
          </w:tcPr>
          <w:p>
            <w:pPr>
              <w:pageBreakBefore w:val="0"/>
              <w:kinsoku/>
              <w:wordWrap/>
              <w:overflowPunct/>
              <w:topLinePunct w:val="0"/>
              <w:bidi w:val="0"/>
              <w:snapToGrid w:val="0"/>
              <w:spacing w:line="300" w:lineRule="auto"/>
              <w:jc w:val="center"/>
              <w:rPr>
                <w:rFonts w:hint="eastAsia"/>
                <w:kern w:val="2"/>
                <w:sz w:val="21"/>
                <w:lang w:eastAsia="zh-CN"/>
              </w:rPr>
            </w:pPr>
            <w:r>
              <w:rPr>
                <w:rFonts w:hint="eastAsia"/>
                <w:kern w:val="2"/>
                <w:sz w:val="21"/>
                <w:lang w:eastAsia="zh-CN"/>
              </w:rPr>
              <w:t>项目名称</w:t>
            </w:r>
          </w:p>
        </w:tc>
        <w:tc>
          <w:tcPr>
            <w:tcW w:w="840" w:type="dxa"/>
            <w:noWrap w:val="0"/>
            <w:vAlign w:val="center"/>
          </w:tcPr>
          <w:p>
            <w:pPr>
              <w:pageBreakBefore w:val="0"/>
              <w:kinsoku/>
              <w:wordWrap/>
              <w:overflowPunct/>
              <w:topLinePunct w:val="0"/>
              <w:bidi w:val="0"/>
              <w:snapToGrid w:val="0"/>
              <w:spacing w:line="300" w:lineRule="auto"/>
              <w:jc w:val="center"/>
              <w:rPr>
                <w:rFonts w:hint="eastAsia"/>
                <w:kern w:val="2"/>
                <w:sz w:val="21"/>
                <w:lang w:eastAsia="zh-CN"/>
              </w:rPr>
            </w:pPr>
            <w:r>
              <w:rPr>
                <w:rFonts w:hint="eastAsia"/>
                <w:kern w:val="2"/>
                <w:sz w:val="21"/>
                <w:lang w:eastAsia="zh-CN"/>
              </w:rPr>
              <w:t>数量</w:t>
            </w:r>
          </w:p>
        </w:tc>
        <w:tc>
          <w:tcPr>
            <w:tcW w:w="530" w:type="dxa"/>
            <w:noWrap w:val="0"/>
            <w:vAlign w:val="center"/>
          </w:tcPr>
          <w:p>
            <w:pPr>
              <w:pageBreakBefore w:val="0"/>
              <w:kinsoku/>
              <w:wordWrap/>
              <w:overflowPunct/>
              <w:topLinePunct w:val="0"/>
              <w:bidi w:val="0"/>
              <w:snapToGrid w:val="0"/>
              <w:spacing w:line="300" w:lineRule="auto"/>
              <w:jc w:val="center"/>
              <w:rPr>
                <w:rFonts w:hint="eastAsia"/>
                <w:kern w:val="2"/>
                <w:sz w:val="21"/>
                <w:lang w:eastAsia="zh-CN"/>
              </w:rPr>
            </w:pPr>
            <w:r>
              <w:rPr>
                <w:rFonts w:hint="eastAsia"/>
                <w:kern w:val="2"/>
                <w:sz w:val="21"/>
                <w:lang w:eastAsia="zh-CN"/>
              </w:rPr>
              <w:t>单位</w:t>
            </w:r>
          </w:p>
        </w:tc>
        <w:tc>
          <w:tcPr>
            <w:tcW w:w="890" w:type="dxa"/>
            <w:noWrap w:val="0"/>
            <w:vAlign w:val="center"/>
          </w:tcPr>
          <w:p>
            <w:pPr>
              <w:pageBreakBefore w:val="0"/>
              <w:kinsoku/>
              <w:wordWrap/>
              <w:overflowPunct/>
              <w:topLinePunct w:val="0"/>
              <w:bidi w:val="0"/>
              <w:snapToGrid w:val="0"/>
              <w:spacing w:line="300" w:lineRule="auto"/>
              <w:jc w:val="center"/>
              <w:rPr>
                <w:rFonts w:hint="eastAsia"/>
                <w:kern w:val="2"/>
                <w:sz w:val="21"/>
                <w:lang w:eastAsia="zh-CN"/>
              </w:rPr>
            </w:pPr>
            <w:r>
              <w:rPr>
                <w:rFonts w:hint="eastAsia"/>
                <w:kern w:val="2"/>
                <w:sz w:val="21"/>
                <w:lang w:eastAsia="zh-CN"/>
              </w:rPr>
              <w:t>单价</w:t>
            </w:r>
          </w:p>
        </w:tc>
        <w:tc>
          <w:tcPr>
            <w:tcW w:w="1170" w:type="dxa"/>
            <w:noWrap w:val="0"/>
            <w:vAlign w:val="center"/>
          </w:tcPr>
          <w:p>
            <w:pPr>
              <w:pageBreakBefore w:val="0"/>
              <w:kinsoku/>
              <w:wordWrap/>
              <w:overflowPunct/>
              <w:topLinePunct w:val="0"/>
              <w:bidi w:val="0"/>
              <w:snapToGrid w:val="0"/>
              <w:spacing w:line="300" w:lineRule="auto"/>
              <w:jc w:val="center"/>
              <w:rPr>
                <w:rFonts w:hint="eastAsia"/>
                <w:kern w:val="2"/>
                <w:sz w:val="21"/>
                <w:lang w:eastAsia="zh-CN"/>
              </w:rPr>
            </w:pPr>
            <w:r>
              <w:rPr>
                <w:rFonts w:hint="eastAsia"/>
                <w:kern w:val="2"/>
                <w:sz w:val="21"/>
                <w:lang w:eastAsia="zh-CN"/>
              </w:rPr>
              <w:t>月</w:t>
            </w:r>
            <w:r>
              <w:rPr>
                <w:rFonts w:hint="eastAsia"/>
                <w:kern w:val="2"/>
                <w:sz w:val="21"/>
                <w:lang w:eastAsia="zh-CN"/>
              </w:rPr>
              <w:t>度报</w:t>
            </w:r>
            <w:r>
              <w:rPr>
                <w:rFonts w:hint="eastAsia"/>
                <w:kern w:val="2"/>
                <w:sz w:val="21"/>
                <w:lang w:eastAsia="zh-CN"/>
              </w:rPr>
              <w:t>价</w:t>
            </w:r>
            <w:r>
              <w:rPr>
                <w:rFonts w:hint="eastAsia"/>
                <w:kern w:val="2"/>
                <w:sz w:val="21"/>
                <w:lang w:eastAsia="zh-CN"/>
              </w:rPr>
              <w:t>（</w:t>
            </w:r>
            <w:r>
              <w:rPr>
                <w:rFonts w:hint="eastAsia"/>
                <w:kern w:val="2"/>
                <w:sz w:val="21"/>
                <w:lang w:eastAsia="zh-CN"/>
              </w:rPr>
              <w:t>元</w:t>
            </w:r>
            <w:r>
              <w:rPr>
                <w:rFonts w:hint="eastAsia"/>
                <w:kern w:val="2"/>
                <w:sz w:val="21"/>
                <w:lang w:eastAsia="zh-CN"/>
              </w:rPr>
              <w:t>）</w:t>
            </w:r>
          </w:p>
        </w:tc>
        <w:tc>
          <w:tcPr>
            <w:tcW w:w="1460" w:type="dxa"/>
            <w:noWrap w:val="0"/>
            <w:vAlign w:val="center"/>
          </w:tcPr>
          <w:p>
            <w:pPr>
              <w:pageBreakBefore w:val="0"/>
              <w:kinsoku/>
              <w:wordWrap/>
              <w:overflowPunct/>
              <w:topLinePunct w:val="0"/>
              <w:bidi w:val="0"/>
              <w:snapToGrid w:val="0"/>
              <w:spacing w:line="300" w:lineRule="auto"/>
              <w:jc w:val="center"/>
              <w:rPr>
                <w:kern w:val="2"/>
                <w:sz w:val="21"/>
                <w:lang w:eastAsia="zh-CN"/>
              </w:rPr>
            </w:pPr>
            <w:r>
              <w:rPr>
                <w:rFonts w:hint="eastAsia"/>
                <w:kern w:val="2"/>
                <w:sz w:val="21"/>
                <w:lang w:eastAsia="zh-CN"/>
              </w:rPr>
              <w:t>年度报价(元）</w:t>
            </w:r>
          </w:p>
        </w:tc>
        <w:tc>
          <w:tcPr>
            <w:tcW w:w="2020" w:type="dxa"/>
            <w:noWrap w:val="0"/>
            <w:vAlign w:val="center"/>
          </w:tcPr>
          <w:p>
            <w:pPr>
              <w:pageBreakBefore w:val="0"/>
              <w:kinsoku/>
              <w:wordWrap/>
              <w:overflowPunct/>
              <w:topLinePunct w:val="0"/>
              <w:bidi w:val="0"/>
              <w:snapToGrid w:val="0"/>
              <w:spacing w:line="300" w:lineRule="auto"/>
              <w:jc w:val="center"/>
              <w:rPr>
                <w:kern w:val="2"/>
                <w:sz w:val="21"/>
                <w:lang w:eastAsia="zh-CN"/>
              </w:rPr>
            </w:pPr>
            <w:r>
              <w:rPr>
                <w:rFonts w:hint="eastAsia"/>
                <w:kern w:val="2"/>
                <w:sz w:val="21"/>
                <w:lang w:eastAsia="zh-CN"/>
              </w:rPr>
              <w:t>备注</w:t>
            </w:r>
          </w:p>
        </w:tc>
      </w:tr>
      <w:tr>
        <w:tblPrEx>
          <w:tblW w:w="5000" w:type="pct"/>
          <w:tblInd w:w="0" w:type="dxa"/>
          <w:tblLayout w:type="fixed"/>
          <w:tblCellMar>
            <w:top w:w="0" w:type="dxa"/>
            <w:left w:w="108" w:type="dxa"/>
            <w:bottom w:w="0" w:type="dxa"/>
            <w:right w:w="108" w:type="dxa"/>
          </w:tblCellMar>
        </w:tblPrEx>
        <w:trPr>
          <w:trHeight w:val="586"/>
        </w:trPr>
        <w:tc>
          <w:tcPr>
            <w:tcW w:w="466" w:type="dxa"/>
            <w:noWrap w:val="0"/>
            <w:vAlign w:val="center"/>
          </w:tcPr>
          <w:p>
            <w:pPr>
              <w:pageBreakBefore w:val="0"/>
              <w:kinsoku/>
              <w:wordWrap/>
              <w:overflowPunct/>
              <w:topLinePunct w:val="0"/>
              <w:bidi w:val="0"/>
              <w:snapToGrid w:val="0"/>
              <w:spacing w:line="300" w:lineRule="auto"/>
              <w:jc w:val="center"/>
              <w:rPr>
                <w:rFonts w:hint="eastAsia"/>
                <w:kern w:val="2"/>
                <w:sz w:val="21"/>
                <w:lang w:eastAsia="zh-CN"/>
              </w:rPr>
            </w:pPr>
            <w:r>
              <w:rPr>
                <w:rFonts w:hint="eastAsia"/>
                <w:kern w:val="2"/>
                <w:sz w:val="21"/>
                <w:lang w:eastAsia="zh-CN"/>
              </w:rPr>
              <w:t>1</w:t>
            </w:r>
          </w:p>
        </w:tc>
        <w:tc>
          <w:tcPr>
            <w:tcW w:w="1690" w:type="dxa"/>
            <w:noWrap w:val="0"/>
            <w:vAlign w:val="center"/>
          </w:tcPr>
          <w:p>
            <w:pPr>
              <w:pageBreakBefore w:val="0"/>
              <w:kinsoku/>
              <w:wordWrap/>
              <w:overflowPunct/>
              <w:topLinePunct w:val="0"/>
              <w:bidi w:val="0"/>
              <w:snapToGrid w:val="0"/>
              <w:spacing w:line="300" w:lineRule="auto"/>
              <w:jc w:val="left"/>
              <w:rPr>
                <w:rFonts w:hint="eastAsia"/>
                <w:kern w:val="2"/>
                <w:sz w:val="21"/>
                <w:lang w:eastAsia="zh-CN"/>
              </w:rPr>
            </w:pPr>
            <w:r>
              <w:rPr>
                <w:rFonts w:hint="eastAsia"/>
                <w:kern w:val="2"/>
                <w:sz w:val="21"/>
                <w:lang w:eastAsia="zh-CN"/>
              </w:rPr>
              <w:t>综合服务</w:t>
            </w:r>
            <w:r>
              <w:rPr>
                <w:rFonts w:hint="eastAsia"/>
                <w:kern w:val="2"/>
                <w:sz w:val="21"/>
                <w:lang w:eastAsia="zh-CN"/>
              </w:rPr>
              <w:t>、</w:t>
            </w:r>
            <w:r>
              <w:rPr>
                <w:rFonts w:hint="eastAsia"/>
                <w:kern w:val="2"/>
                <w:sz w:val="21"/>
                <w:lang w:eastAsia="zh-CN"/>
              </w:rPr>
              <w:t>大厦</w:t>
            </w:r>
            <w:r>
              <w:rPr>
                <w:rFonts w:hint="eastAsia"/>
                <w:kern w:val="2"/>
                <w:sz w:val="21"/>
                <w:lang w:eastAsia="zh-CN"/>
              </w:rPr>
              <w:t>公共区域</w:t>
            </w:r>
            <w:r>
              <w:rPr>
                <w:rFonts w:hint="eastAsia"/>
                <w:kern w:val="2"/>
                <w:sz w:val="21"/>
                <w:lang w:eastAsia="zh-CN"/>
              </w:rPr>
              <w:t>清洁卫生服务</w:t>
            </w:r>
            <w:r>
              <w:rPr>
                <w:rFonts w:hint="eastAsia"/>
                <w:kern w:val="2"/>
                <w:sz w:val="21"/>
                <w:lang w:eastAsia="zh-CN"/>
              </w:rPr>
              <w:t>、户外及大厦大堂</w:t>
            </w:r>
            <w:r>
              <w:rPr>
                <w:rFonts w:hint="eastAsia"/>
                <w:kern w:val="2"/>
                <w:sz w:val="21"/>
                <w:lang w:eastAsia="zh-CN"/>
              </w:rPr>
              <w:t>绿化养护</w:t>
            </w:r>
            <w:r>
              <w:rPr>
                <w:rFonts w:hint="eastAsia"/>
                <w:kern w:val="2"/>
                <w:sz w:val="21"/>
                <w:lang w:eastAsia="zh-CN"/>
              </w:rPr>
              <w:t>（含绿植摆放）</w:t>
            </w:r>
            <w:r>
              <w:rPr>
                <w:rFonts w:hint="eastAsia"/>
                <w:kern w:val="2"/>
                <w:sz w:val="21"/>
                <w:lang w:eastAsia="zh-CN"/>
              </w:rPr>
              <w:t>服务</w:t>
            </w:r>
            <w:r>
              <w:rPr>
                <w:rFonts w:hint="eastAsia"/>
                <w:kern w:val="2"/>
                <w:sz w:val="21"/>
                <w:lang w:eastAsia="zh-CN"/>
              </w:rPr>
              <w:t>、</w:t>
            </w:r>
            <w:r>
              <w:rPr>
                <w:rFonts w:hint="eastAsia"/>
                <w:kern w:val="2"/>
                <w:sz w:val="21"/>
                <w:lang w:eastAsia="zh-CN"/>
              </w:rPr>
              <w:t>秩序维护服务</w:t>
            </w:r>
          </w:p>
        </w:tc>
        <w:tc>
          <w:tcPr>
            <w:tcW w:w="840" w:type="dxa"/>
            <w:noWrap w:val="0"/>
            <w:vAlign w:val="center"/>
          </w:tcPr>
          <w:p>
            <w:pPr>
              <w:pageBreakBefore w:val="0"/>
              <w:kinsoku/>
              <w:wordWrap/>
              <w:overflowPunct/>
              <w:topLinePunct w:val="0"/>
              <w:bidi w:val="0"/>
              <w:snapToGrid w:val="0"/>
              <w:spacing w:line="300" w:lineRule="auto"/>
              <w:jc w:val="center"/>
              <w:rPr>
                <w:rFonts w:hint="eastAsia"/>
                <w:kern w:val="2"/>
                <w:sz w:val="21"/>
                <w:lang w:eastAsia="zh-CN"/>
              </w:rPr>
            </w:pPr>
            <w:r>
              <w:rPr>
                <w:rFonts w:hint="eastAsia"/>
                <w:kern w:val="2"/>
                <w:sz w:val="21"/>
                <w:lang w:eastAsia="zh-CN"/>
              </w:rPr>
              <w:t>2897.8</w:t>
            </w:r>
          </w:p>
        </w:tc>
        <w:tc>
          <w:tcPr>
            <w:tcW w:w="530" w:type="dxa"/>
            <w:noWrap w:val="0"/>
            <w:vAlign w:val="center"/>
          </w:tcPr>
          <w:p>
            <w:pPr>
              <w:pageBreakBefore w:val="0"/>
              <w:kinsoku/>
              <w:wordWrap/>
              <w:overflowPunct/>
              <w:topLinePunct w:val="0"/>
              <w:bidi w:val="0"/>
              <w:snapToGrid w:val="0"/>
              <w:spacing w:line="300" w:lineRule="auto"/>
              <w:jc w:val="center"/>
              <w:rPr>
                <w:rFonts w:hint="eastAsia"/>
                <w:kern w:val="2"/>
                <w:sz w:val="21"/>
                <w:lang w:eastAsia="zh-CN"/>
              </w:rPr>
            </w:pPr>
            <w:r>
              <w:rPr>
                <w:rFonts w:hint="eastAsia"/>
                <w:kern w:val="2"/>
                <w:sz w:val="21"/>
                <w:lang w:eastAsia="zh-CN"/>
              </w:rPr>
              <w:t>㎡</w:t>
            </w:r>
          </w:p>
        </w:tc>
        <w:tc>
          <w:tcPr>
            <w:tcW w:w="890" w:type="dxa"/>
            <w:noWrap w:val="0"/>
            <w:vAlign w:val="center"/>
          </w:tcPr>
          <w:p>
            <w:pPr>
              <w:pageBreakBefore w:val="0"/>
              <w:kinsoku/>
              <w:wordWrap/>
              <w:overflowPunct/>
              <w:topLinePunct w:val="0"/>
              <w:bidi w:val="0"/>
              <w:snapToGrid w:val="0"/>
              <w:spacing w:line="300" w:lineRule="auto"/>
              <w:jc w:val="center"/>
              <w:rPr>
                <w:kern w:val="2"/>
                <w:sz w:val="21"/>
                <w:lang w:eastAsia="zh-CN"/>
              </w:rPr>
            </w:pPr>
            <w:r>
              <w:rPr>
                <w:rFonts w:hint="eastAsia"/>
                <w:kern w:val="2"/>
                <w:sz w:val="21"/>
                <w:u w:val="single"/>
                <w:lang w:eastAsia="zh-CN"/>
              </w:rPr>
              <w:t xml:space="preserve">       </w:t>
            </w:r>
            <w:r>
              <w:rPr>
                <w:rFonts w:hint="eastAsia"/>
                <w:kern w:val="2"/>
                <w:sz w:val="21"/>
                <w:lang w:eastAsia="zh-CN"/>
              </w:rPr>
              <w:t>元/㎡/月</w:t>
            </w:r>
          </w:p>
        </w:tc>
        <w:tc>
          <w:tcPr>
            <w:tcW w:w="1170" w:type="dxa"/>
            <w:noWrap w:val="0"/>
            <w:vAlign w:val="center"/>
          </w:tcPr>
          <w:p>
            <w:pPr>
              <w:pageBreakBefore w:val="0"/>
              <w:kinsoku/>
              <w:wordWrap/>
              <w:overflowPunct/>
              <w:topLinePunct w:val="0"/>
              <w:bidi w:val="0"/>
              <w:snapToGrid w:val="0"/>
              <w:spacing w:line="300" w:lineRule="auto"/>
              <w:jc w:val="center"/>
              <w:rPr>
                <w:rFonts w:hint="eastAsia"/>
                <w:kern w:val="2"/>
                <w:sz w:val="21"/>
                <w:lang w:eastAsia="zh-CN"/>
              </w:rPr>
            </w:pPr>
          </w:p>
        </w:tc>
        <w:tc>
          <w:tcPr>
            <w:tcW w:w="1460" w:type="dxa"/>
            <w:noWrap w:val="0"/>
            <w:vAlign w:val="center"/>
          </w:tcPr>
          <w:p>
            <w:pPr>
              <w:pageBreakBefore w:val="0"/>
              <w:kinsoku/>
              <w:wordWrap/>
              <w:overflowPunct/>
              <w:topLinePunct w:val="0"/>
              <w:bidi w:val="0"/>
              <w:snapToGrid w:val="0"/>
              <w:spacing w:line="300" w:lineRule="auto"/>
              <w:jc w:val="center"/>
              <w:rPr>
                <w:rFonts w:hint="eastAsia"/>
                <w:kern w:val="2"/>
                <w:sz w:val="21"/>
                <w:lang w:eastAsia="zh-CN"/>
              </w:rPr>
            </w:pPr>
          </w:p>
        </w:tc>
        <w:tc>
          <w:tcPr>
            <w:tcW w:w="2020" w:type="dxa"/>
            <w:vMerge w:val="restart"/>
            <w:noWrap w:val="0"/>
            <w:vAlign w:val="center"/>
          </w:tcPr>
          <w:p>
            <w:pPr>
              <w:pageBreakBefore w:val="0"/>
              <w:numPr>
                <w:ilvl w:val="0"/>
                <w:numId w:val="0"/>
              </w:numPr>
              <w:kinsoku/>
              <w:wordWrap/>
              <w:overflowPunct/>
              <w:topLinePunct w:val="0"/>
              <w:bidi w:val="0"/>
              <w:snapToGrid w:val="0"/>
              <w:spacing w:line="300" w:lineRule="auto"/>
              <w:ind w:left="0" w:firstLine="0"/>
              <w:jc w:val="left"/>
              <w:rPr>
                <w:rFonts w:hint="eastAsia"/>
                <w:kern w:val="2"/>
                <w:sz w:val="21"/>
                <w:u w:val="single"/>
                <w:lang w:eastAsia="zh-CN"/>
              </w:rPr>
            </w:pPr>
            <w:r>
              <w:rPr>
                <w:rFonts w:hint="eastAsia"/>
                <w:kern w:val="2"/>
                <w:sz w:val="21"/>
                <w:lang w:eastAsia="zh-CN"/>
              </w:rPr>
              <w:t>1.水费按</w:t>
            </w:r>
            <w:r>
              <w:rPr>
                <w:rFonts w:hint="eastAsia"/>
                <w:kern w:val="2"/>
                <w:sz w:val="21"/>
                <w:u w:val="single"/>
                <w:lang w:eastAsia="zh-CN"/>
              </w:rPr>
              <w:t xml:space="preserve">       </w:t>
            </w:r>
            <w:r>
              <w:rPr>
                <w:rFonts w:hint="eastAsia"/>
                <w:kern w:val="2"/>
                <w:sz w:val="21"/>
                <w:lang w:eastAsia="zh-CN"/>
              </w:rPr>
              <w:t>元 /</w:t>
            </w:r>
            <w:r>
              <w:rPr>
                <w:rFonts w:ascii="宋体" w:hAnsi="宋体" w:hint="eastAsia"/>
                <w:kern w:val="2"/>
                <w:lang w:eastAsia="zh-CN"/>
              </w:rPr>
              <w:t>m³</w:t>
            </w:r>
            <w:r>
              <w:rPr>
                <w:rFonts w:hint="eastAsia"/>
                <w:kern w:val="2"/>
                <w:sz w:val="21"/>
                <w:lang w:eastAsia="zh-CN"/>
              </w:rPr>
              <w:t>（根据电网公司实时定价调整）据实结算、电费按</w:t>
            </w:r>
            <w:r>
              <w:rPr>
                <w:rFonts w:hint="eastAsia"/>
                <w:kern w:val="2"/>
                <w:sz w:val="21"/>
                <w:u w:val="single"/>
                <w:lang w:eastAsia="zh-CN"/>
              </w:rPr>
              <w:t xml:space="preserve">     </w:t>
            </w:r>
            <w:r>
              <w:rPr>
                <w:rFonts w:hint="eastAsia"/>
                <w:kern w:val="2"/>
                <w:sz w:val="21"/>
                <w:lang w:eastAsia="zh-CN"/>
              </w:rPr>
              <w:t>元 /度（根据水务集团实时定价调整）据实结算，并且两者均由供应商代收代缴。</w:t>
            </w:r>
            <w:r>
              <w:rPr>
                <w:rFonts w:hint="eastAsia"/>
                <w:kern w:val="2"/>
                <w:sz w:val="21"/>
                <w:u w:val="single"/>
                <w:lang w:eastAsia="zh-CN"/>
              </w:rPr>
              <w:t xml:space="preserve"> </w:t>
            </w:r>
          </w:p>
          <w:p>
            <w:pPr>
              <w:pageBreakBefore w:val="0"/>
              <w:numPr>
                <w:ilvl w:val="0"/>
                <w:numId w:val="0"/>
              </w:numPr>
              <w:kinsoku/>
              <w:wordWrap/>
              <w:overflowPunct/>
              <w:topLinePunct w:val="0"/>
              <w:bidi w:val="0"/>
              <w:snapToGrid w:val="0"/>
              <w:spacing w:line="300" w:lineRule="auto"/>
              <w:ind w:left="0" w:firstLine="0"/>
              <w:jc w:val="left"/>
              <w:rPr>
                <w:kern w:val="2"/>
                <w:sz w:val="21"/>
                <w:u w:val="single"/>
                <w:lang w:eastAsia="zh-CN"/>
              </w:rPr>
            </w:pPr>
            <w:r>
              <w:rPr>
                <w:rFonts w:hint="eastAsia"/>
                <w:kern w:val="2"/>
                <w:sz w:val="21"/>
                <w:lang w:eastAsia="zh-CN"/>
              </w:rPr>
              <w:t>2.中央空调冷气费按</w:t>
            </w:r>
            <w:r>
              <w:rPr>
                <w:rFonts w:hint="eastAsia"/>
                <w:kern w:val="2"/>
                <w:sz w:val="21"/>
                <w:u w:val="single"/>
                <w:lang w:eastAsia="zh-CN"/>
              </w:rPr>
              <w:t xml:space="preserve">      </w:t>
            </w:r>
            <w:r>
              <w:rPr>
                <w:rFonts w:hint="eastAsia"/>
                <w:kern w:val="2"/>
                <w:sz w:val="21"/>
                <w:lang w:eastAsia="zh-CN"/>
              </w:rPr>
              <w:t>元 /度据实结算，并且由供应商收取。</w:t>
            </w:r>
          </w:p>
        </w:tc>
      </w:tr>
      <w:tr>
        <w:tblPrEx>
          <w:tblW w:w="5000" w:type="pct"/>
          <w:tblInd w:w="0" w:type="dxa"/>
          <w:tblLayout w:type="fixed"/>
          <w:tblCellMar>
            <w:top w:w="0" w:type="dxa"/>
            <w:left w:w="108" w:type="dxa"/>
            <w:bottom w:w="0" w:type="dxa"/>
            <w:right w:w="108" w:type="dxa"/>
          </w:tblCellMar>
        </w:tblPrEx>
        <w:trPr>
          <w:trHeight w:val="586"/>
        </w:trPr>
        <w:tc>
          <w:tcPr>
            <w:tcW w:w="466" w:type="dxa"/>
            <w:noWrap w:val="0"/>
            <w:vAlign w:val="center"/>
          </w:tcPr>
          <w:p>
            <w:pPr>
              <w:pageBreakBefore w:val="0"/>
              <w:kinsoku/>
              <w:wordWrap/>
              <w:overflowPunct/>
              <w:topLinePunct w:val="0"/>
              <w:bidi w:val="0"/>
              <w:snapToGrid w:val="0"/>
              <w:spacing w:line="300" w:lineRule="auto"/>
              <w:jc w:val="center"/>
              <w:rPr>
                <w:rFonts w:hint="eastAsia"/>
                <w:kern w:val="2"/>
                <w:sz w:val="21"/>
                <w:lang w:eastAsia="zh-CN"/>
              </w:rPr>
            </w:pPr>
            <w:r>
              <w:rPr>
                <w:rFonts w:hint="eastAsia"/>
                <w:kern w:val="2"/>
                <w:sz w:val="21"/>
                <w:lang w:eastAsia="zh-CN"/>
              </w:rPr>
              <w:t>2</w:t>
            </w:r>
          </w:p>
        </w:tc>
        <w:tc>
          <w:tcPr>
            <w:tcW w:w="1690" w:type="dxa"/>
            <w:noWrap w:val="0"/>
            <w:vAlign w:val="center"/>
          </w:tcPr>
          <w:p>
            <w:pPr>
              <w:pageBreakBefore w:val="0"/>
              <w:kinsoku/>
              <w:wordWrap/>
              <w:overflowPunct/>
              <w:topLinePunct w:val="0"/>
              <w:bidi w:val="0"/>
              <w:snapToGrid w:val="0"/>
              <w:spacing w:line="300" w:lineRule="auto"/>
              <w:jc w:val="left"/>
              <w:rPr>
                <w:rFonts w:hint="eastAsia"/>
                <w:kern w:val="2"/>
                <w:sz w:val="21"/>
                <w:lang w:eastAsia="zh-CN"/>
              </w:rPr>
            </w:pPr>
            <w:r>
              <w:rPr>
                <w:rFonts w:hint="eastAsia"/>
                <w:kern w:val="2"/>
                <w:sz w:val="21"/>
                <w:lang w:eastAsia="zh-CN"/>
              </w:rPr>
              <w:t>公共</w:t>
            </w:r>
            <w:r>
              <w:rPr>
                <w:rFonts w:hint="eastAsia"/>
                <w:kern w:val="2"/>
                <w:sz w:val="21"/>
                <w:lang w:eastAsia="zh-CN"/>
              </w:rPr>
              <w:t>设施设备管理</w:t>
            </w:r>
            <w:r>
              <w:rPr>
                <w:rFonts w:hint="eastAsia"/>
                <w:kern w:val="2"/>
                <w:sz w:val="21"/>
                <w:lang w:eastAsia="zh-CN"/>
              </w:rPr>
              <w:t>服务</w:t>
            </w:r>
          </w:p>
        </w:tc>
        <w:tc>
          <w:tcPr>
            <w:tcW w:w="840" w:type="dxa"/>
            <w:noWrap w:val="0"/>
            <w:vAlign w:val="center"/>
          </w:tcPr>
          <w:p>
            <w:pPr>
              <w:pageBreakBefore w:val="0"/>
              <w:kinsoku/>
              <w:wordWrap/>
              <w:overflowPunct/>
              <w:topLinePunct w:val="0"/>
              <w:bidi w:val="0"/>
              <w:snapToGrid w:val="0"/>
              <w:spacing w:line="300" w:lineRule="auto"/>
              <w:jc w:val="center"/>
              <w:rPr>
                <w:rFonts w:hint="eastAsia"/>
                <w:kern w:val="2"/>
                <w:sz w:val="21"/>
                <w:lang w:eastAsia="zh-CN"/>
              </w:rPr>
            </w:pPr>
            <w:r>
              <w:rPr>
                <w:rFonts w:hint="eastAsia"/>
                <w:kern w:val="2"/>
                <w:sz w:val="21"/>
                <w:lang w:eastAsia="zh-CN"/>
              </w:rPr>
              <w:t>2897.8</w:t>
            </w:r>
          </w:p>
        </w:tc>
        <w:tc>
          <w:tcPr>
            <w:tcW w:w="530" w:type="dxa"/>
            <w:noWrap w:val="0"/>
            <w:vAlign w:val="center"/>
          </w:tcPr>
          <w:p>
            <w:pPr>
              <w:pageBreakBefore w:val="0"/>
              <w:kinsoku/>
              <w:wordWrap/>
              <w:overflowPunct/>
              <w:topLinePunct w:val="0"/>
              <w:bidi w:val="0"/>
              <w:snapToGrid w:val="0"/>
              <w:spacing w:line="300" w:lineRule="auto"/>
              <w:jc w:val="center"/>
              <w:rPr>
                <w:rFonts w:hint="eastAsia"/>
                <w:kern w:val="2"/>
                <w:sz w:val="21"/>
                <w:lang w:eastAsia="zh-CN"/>
              </w:rPr>
            </w:pPr>
            <w:r>
              <w:rPr>
                <w:rFonts w:hint="eastAsia"/>
                <w:kern w:val="2"/>
                <w:sz w:val="21"/>
                <w:lang w:eastAsia="zh-CN"/>
              </w:rPr>
              <w:t>㎡</w:t>
            </w:r>
          </w:p>
        </w:tc>
        <w:tc>
          <w:tcPr>
            <w:tcW w:w="890" w:type="dxa"/>
            <w:noWrap w:val="0"/>
            <w:vAlign w:val="center"/>
          </w:tcPr>
          <w:p>
            <w:pPr>
              <w:pageBreakBefore w:val="0"/>
              <w:kinsoku/>
              <w:wordWrap/>
              <w:overflowPunct/>
              <w:topLinePunct w:val="0"/>
              <w:bidi w:val="0"/>
              <w:snapToGrid w:val="0"/>
              <w:spacing w:line="300" w:lineRule="auto"/>
              <w:jc w:val="center"/>
              <w:rPr>
                <w:rFonts w:hint="eastAsia"/>
                <w:kern w:val="2"/>
                <w:sz w:val="21"/>
                <w:lang w:eastAsia="zh-CN"/>
              </w:rPr>
            </w:pPr>
            <w:r>
              <w:rPr>
                <w:rFonts w:hint="eastAsia"/>
                <w:kern w:val="2"/>
                <w:sz w:val="21"/>
                <w:u w:val="single"/>
                <w:lang w:eastAsia="zh-CN"/>
              </w:rPr>
              <w:t xml:space="preserve">       </w:t>
            </w:r>
            <w:r>
              <w:rPr>
                <w:rFonts w:hint="eastAsia"/>
                <w:kern w:val="2"/>
                <w:sz w:val="21"/>
                <w:lang w:eastAsia="zh-CN"/>
              </w:rPr>
              <w:t>元/㎡/月</w:t>
            </w:r>
          </w:p>
        </w:tc>
        <w:tc>
          <w:tcPr>
            <w:tcW w:w="1170" w:type="dxa"/>
            <w:noWrap w:val="0"/>
            <w:vAlign w:val="center"/>
          </w:tcPr>
          <w:p>
            <w:pPr>
              <w:pageBreakBefore w:val="0"/>
              <w:kinsoku/>
              <w:wordWrap/>
              <w:overflowPunct/>
              <w:topLinePunct w:val="0"/>
              <w:bidi w:val="0"/>
              <w:snapToGrid w:val="0"/>
              <w:spacing w:line="300" w:lineRule="auto"/>
              <w:jc w:val="center"/>
              <w:rPr>
                <w:rFonts w:hint="eastAsia"/>
                <w:kern w:val="2"/>
                <w:sz w:val="21"/>
                <w:lang w:eastAsia="zh-CN"/>
              </w:rPr>
            </w:pPr>
          </w:p>
        </w:tc>
        <w:tc>
          <w:tcPr>
            <w:tcW w:w="1460" w:type="dxa"/>
            <w:noWrap w:val="0"/>
            <w:vAlign w:val="center"/>
          </w:tcPr>
          <w:p>
            <w:pPr>
              <w:pageBreakBefore w:val="0"/>
              <w:kinsoku/>
              <w:wordWrap/>
              <w:overflowPunct/>
              <w:topLinePunct w:val="0"/>
              <w:bidi w:val="0"/>
              <w:snapToGrid w:val="0"/>
              <w:spacing w:line="300" w:lineRule="auto"/>
              <w:jc w:val="center"/>
              <w:rPr>
                <w:rFonts w:hint="eastAsia"/>
                <w:kern w:val="2"/>
                <w:sz w:val="21"/>
                <w:lang w:eastAsia="zh-CN"/>
              </w:rPr>
            </w:pPr>
          </w:p>
        </w:tc>
        <w:tc>
          <w:tcPr>
            <w:tcW w:w="2020" w:type="dxa"/>
            <w:vMerge/>
            <w:noWrap w:val="0"/>
            <w:vAlign w:val="center"/>
          </w:tcPr>
          <w:p>
            <w:pPr>
              <w:pageBreakBefore w:val="0"/>
              <w:kinsoku/>
              <w:wordWrap/>
              <w:overflowPunct/>
              <w:topLinePunct w:val="0"/>
              <w:bidi w:val="0"/>
              <w:snapToGrid w:val="0"/>
              <w:spacing w:line="300" w:lineRule="auto"/>
              <w:jc w:val="center"/>
              <w:rPr>
                <w:rFonts w:hint="eastAsia"/>
                <w:kern w:val="2"/>
                <w:sz w:val="21"/>
                <w:lang w:eastAsia="zh-CN"/>
              </w:rPr>
            </w:pPr>
          </w:p>
        </w:tc>
      </w:tr>
      <w:tr>
        <w:tblPrEx>
          <w:tblW w:w="5000" w:type="pct"/>
          <w:tblInd w:w="0" w:type="dxa"/>
          <w:tblLayout w:type="fixed"/>
          <w:tblCellMar>
            <w:top w:w="0" w:type="dxa"/>
            <w:left w:w="108" w:type="dxa"/>
            <w:bottom w:w="0" w:type="dxa"/>
            <w:right w:w="108" w:type="dxa"/>
          </w:tblCellMar>
        </w:tblPrEx>
        <w:trPr>
          <w:trHeight w:val="586"/>
        </w:trPr>
        <w:tc>
          <w:tcPr>
            <w:tcW w:w="466" w:type="dxa"/>
            <w:noWrap w:val="0"/>
            <w:vAlign w:val="center"/>
          </w:tcPr>
          <w:p>
            <w:pPr>
              <w:pageBreakBefore w:val="0"/>
              <w:kinsoku/>
              <w:wordWrap/>
              <w:overflowPunct/>
              <w:topLinePunct w:val="0"/>
              <w:bidi w:val="0"/>
              <w:snapToGrid w:val="0"/>
              <w:spacing w:line="300" w:lineRule="auto"/>
              <w:jc w:val="center"/>
              <w:rPr>
                <w:rFonts w:hint="eastAsia"/>
                <w:kern w:val="2"/>
                <w:sz w:val="21"/>
                <w:lang w:eastAsia="zh-CN"/>
              </w:rPr>
            </w:pPr>
            <w:r>
              <w:rPr>
                <w:rFonts w:hint="eastAsia"/>
                <w:kern w:val="2"/>
                <w:sz w:val="21"/>
                <w:lang w:eastAsia="zh-CN"/>
              </w:rPr>
              <w:t>3</w:t>
            </w:r>
          </w:p>
        </w:tc>
        <w:tc>
          <w:tcPr>
            <w:tcW w:w="1690" w:type="dxa"/>
            <w:noWrap w:val="0"/>
            <w:vAlign w:val="center"/>
          </w:tcPr>
          <w:p>
            <w:pPr>
              <w:pageBreakBefore w:val="0"/>
              <w:kinsoku/>
              <w:wordWrap/>
              <w:overflowPunct/>
              <w:topLinePunct w:val="0"/>
              <w:bidi w:val="0"/>
              <w:snapToGrid w:val="0"/>
              <w:spacing w:line="300" w:lineRule="auto"/>
              <w:jc w:val="left"/>
              <w:rPr>
                <w:rFonts w:hint="eastAsia"/>
                <w:kern w:val="2"/>
                <w:sz w:val="21"/>
                <w:lang w:eastAsia="zh-CN"/>
              </w:rPr>
            </w:pPr>
            <w:r>
              <w:rPr>
                <w:rFonts w:hint="eastAsia"/>
                <w:kern w:val="2"/>
                <w:sz w:val="21"/>
                <w:lang w:eastAsia="zh-CN"/>
              </w:rPr>
              <w:t>办公坐席区域清洁服务（含对外服务窗口、会议室等）</w:t>
            </w:r>
          </w:p>
        </w:tc>
        <w:tc>
          <w:tcPr>
            <w:tcW w:w="840" w:type="dxa"/>
            <w:noWrap w:val="0"/>
            <w:vAlign w:val="center"/>
          </w:tcPr>
          <w:p>
            <w:pPr>
              <w:pageBreakBefore w:val="0"/>
              <w:kinsoku/>
              <w:wordWrap/>
              <w:overflowPunct/>
              <w:topLinePunct w:val="0"/>
              <w:bidi w:val="0"/>
              <w:snapToGrid w:val="0"/>
              <w:spacing w:line="300" w:lineRule="auto"/>
              <w:jc w:val="center"/>
              <w:rPr>
                <w:rFonts w:hint="eastAsia"/>
                <w:kern w:val="2"/>
                <w:sz w:val="21"/>
                <w:lang w:eastAsia="zh-CN"/>
              </w:rPr>
            </w:pPr>
            <w:r>
              <w:rPr>
                <w:rFonts w:hint="eastAsia"/>
                <w:kern w:val="2"/>
                <w:sz w:val="21"/>
                <w:lang w:eastAsia="zh-CN"/>
              </w:rPr>
              <w:t>270</w:t>
            </w:r>
          </w:p>
        </w:tc>
        <w:tc>
          <w:tcPr>
            <w:tcW w:w="530" w:type="dxa"/>
            <w:noWrap w:val="0"/>
            <w:vAlign w:val="center"/>
          </w:tcPr>
          <w:p>
            <w:pPr>
              <w:pageBreakBefore w:val="0"/>
              <w:kinsoku/>
              <w:wordWrap/>
              <w:overflowPunct/>
              <w:topLinePunct w:val="0"/>
              <w:bidi w:val="0"/>
              <w:snapToGrid w:val="0"/>
              <w:spacing w:line="300" w:lineRule="auto"/>
              <w:jc w:val="center"/>
              <w:rPr>
                <w:rFonts w:hint="eastAsia"/>
                <w:kern w:val="2"/>
                <w:sz w:val="21"/>
                <w:lang w:eastAsia="zh-CN"/>
              </w:rPr>
            </w:pPr>
            <w:r>
              <w:rPr>
                <w:rFonts w:hint="eastAsia"/>
                <w:kern w:val="2"/>
                <w:sz w:val="21"/>
                <w:lang w:eastAsia="zh-CN"/>
              </w:rPr>
              <w:t>个</w:t>
            </w:r>
          </w:p>
        </w:tc>
        <w:tc>
          <w:tcPr>
            <w:tcW w:w="890" w:type="dxa"/>
            <w:noWrap w:val="0"/>
            <w:vAlign w:val="center"/>
          </w:tcPr>
          <w:p>
            <w:pPr>
              <w:pageBreakBefore w:val="0"/>
              <w:kinsoku/>
              <w:wordWrap/>
              <w:overflowPunct/>
              <w:topLinePunct w:val="0"/>
              <w:bidi w:val="0"/>
              <w:snapToGrid w:val="0"/>
              <w:spacing w:line="300" w:lineRule="auto"/>
              <w:jc w:val="center"/>
              <w:rPr>
                <w:rFonts w:hint="eastAsia"/>
                <w:kern w:val="2"/>
                <w:sz w:val="21"/>
                <w:lang w:eastAsia="zh-CN"/>
              </w:rPr>
            </w:pPr>
            <w:r>
              <w:rPr>
                <w:rFonts w:hint="eastAsia"/>
                <w:kern w:val="2"/>
                <w:sz w:val="21"/>
                <w:u w:val="single"/>
                <w:lang w:eastAsia="zh-CN"/>
              </w:rPr>
              <w:t xml:space="preserve">       </w:t>
            </w:r>
            <w:r>
              <w:rPr>
                <w:rFonts w:hint="eastAsia"/>
                <w:kern w:val="2"/>
                <w:sz w:val="21"/>
                <w:lang w:eastAsia="zh-CN"/>
              </w:rPr>
              <w:t>元/个/月</w:t>
            </w:r>
          </w:p>
        </w:tc>
        <w:tc>
          <w:tcPr>
            <w:tcW w:w="1170" w:type="dxa"/>
            <w:noWrap w:val="0"/>
            <w:vAlign w:val="center"/>
          </w:tcPr>
          <w:p>
            <w:pPr>
              <w:pageBreakBefore w:val="0"/>
              <w:kinsoku/>
              <w:wordWrap/>
              <w:overflowPunct/>
              <w:topLinePunct w:val="0"/>
              <w:bidi w:val="0"/>
              <w:snapToGrid w:val="0"/>
              <w:spacing w:line="300" w:lineRule="auto"/>
              <w:jc w:val="center"/>
              <w:rPr>
                <w:rFonts w:hint="eastAsia"/>
                <w:kern w:val="2"/>
                <w:sz w:val="21"/>
                <w:lang w:eastAsia="zh-CN"/>
              </w:rPr>
            </w:pPr>
          </w:p>
        </w:tc>
        <w:tc>
          <w:tcPr>
            <w:tcW w:w="1460" w:type="dxa"/>
            <w:noWrap w:val="0"/>
            <w:vAlign w:val="center"/>
          </w:tcPr>
          <w:p>
            <w:pPr>
              <w:pageBreakBefore w:val="0"/>
              <w:kinsoku/>
              <w:wordWrap/>
              <w:overflowPunct/>
              <w:topLinePunct w:val="0"/>
              <w:bidi w:val="0"/>
              <w:snapToGrid w:val="0"/>
              <w:spacing w:line="300" w:lineRule="auto"/>
              <w:jc w:val="center"/>
              <w:rPr>
                <w:rFonts w:hint="eastAsia"/>
                <w:kern w:val="2"/>
                <w:sz w:val="21"/>
                <w:lang w:eastAsia="zh-CN"/>
              </w:rPr>
            </w:pPr>
          </w:p>
        </w:tc>
        <w:tc>
          <w:tcPr>
            <w:tcW w:w="2020" w:type="dxa"/>
            <w:vMerge/>
            <w:noWrap w:val="0"/>
            <w:vAlign w:val="center"/>
          </w:tcPr>
          <w:p>
            <w:pPr>
              <w:pageBreakBefore w:val="0"/>
              <w:kinsoku/>
              <w:wordWrap/>
              <w:overflowPunct/>
              <w:topLinePunct w:val="0"/>
              <w:bidi w:val="0"/>
              <w:snapToGrid w:val="0"/>
              <w:spacing w:line="300" w:lineRule="auto"/>
              <w:jc w:val="center"/>
              <w:rPr>
                <w:rFonts w:hint="eastAsia"/>
                <w:kern w:val="2"/>
                <w:sz w:val="21"/>
                <w:lang w:eastAsia="zh-CN"/>
              </w:rPr>
            </w:pPr>
          </w:p>
        </w:tc>
      </w:tr>
      <w:tr>
        <w:tblPrEx>
          <w:tblW w:w="5000" w:type="pct"/>
          <w:tblInd w:w="0" w:type="dxa"/>
          <w:tblLayout w:type="fixed"/>
          <w:tblCellMar>
            <w:top w:w="0" w:type="dxa"/>
            <w:left w:w="108" w:type="dxa"/>
            <w:bottom w:w="0" w:type="dxa"/>
            <w:right w:w="108" w:type="dxa"/>
          </w:tblCellMar>
        </w:tblPrEx>
        <w:trPr>
          <w:trHeight w:val="586"/>
        </w:trPr>
        <w:tc>
          <w:tcPr>
            <w:tcW w:w="5586" w:type="dxa"/>
            <w:gridSpan w:val="6"/>
            <w:noWrap w:val="0"/>
            <w:vAlign w:val="center"/>
          </w:tcPr>
          <w:p>
            <w:pPr>
              <w:pageBreakBefore w:val="0"/>
              <w:kinsoku/>
              <w:wordWrap/>
              <w:overflowPunct/>
              <w:topLinePunct w:val="0"/>
              <w:bidi w:val="0"/>
              <w:snapToGrid w:val="0"/>
              <w:spacing w:line="300" w:lineRule="auto"/>
              <w:jc w:val="right"/>
              <w:rPr>
                <w:rFonts w:ascii="宋体" w:hAnsi="宋体"/>
                <w:kern w:val="2"/>
                <w:lang w:eastAsia="zh-CN"/>
              </w:rPr>
            </w:pPr>
            <w:r>
              <w:rPr>
                <w:rFonts w:ascii="宋体" w:hAnsi="宋体" w:hint="eastAsia"/>
                <w:kern w:val="2"/>
                <w:lang w:eastAsia="zh-CN"/>
              </w:rPr>
              <w:t>合计</w:t>
            </w:r>
          </w:p>
        </w:tc>
        <w:tc>
          <w:tcPr>
            <w:tcW w:w="1460" w:type="dxa"/>
            <w:noWrap w:val="0"/>
            <w:vAlign w:val="center"/>
          </w:tcPr>
          <w:p>
            <w:pPr>
              <w:pageBreakBefore w:val="0"/>
              <w:kinsoku/>
              <w:wordWrap/>
              <w:overflowPunct/>
              <w:topLinePunct w:val="0"/>
              <w:bidi w:val="0"/>
              <w:snapToGrid w:val="0"/>
              <w:spacing w:line="300" w:lineRule="auto"/>
              <w:jc w:val="center"/>
              <w:rPr>
                <w:rFonts w:ascii="宋体" w:hAnsi="宋体" w:hint="eastAsia"/>
                <w:kern w:val="2"/>
                <w:lang w:eastAsia="zh-CN"/>
              </w:rPr>
            </w:pPr>
          </w:p>
        </w:tc>
        <w:tc>
          <w:tcPr>
            <w:tcW w:w="2020" w:type="dxa"/>
            <w:noWrap w:val="0"/>
            <w:vAlign w:val="center"/>
          </w:tcPr>
          <w:p>
            <w:pPr>
              <w:pageBreakBefore w:val="0"/>
              <w:kinsoku/>
              <w:wordWrap/>
              <w:overflowPunct/>
              <w:topLinePunct w:val="0"/>
              <w:bidi w:val="0"/>
              <w:snapToGrid w:val="0"/>
              <w:spacing w:line="300" w:lineRule="auto"/>
              <w:jc w:val="center"/>
              <w:rPr>
                <w:rFonts w:ascii="宋体" w:hAnsi="宋体" w:hint="eastAsia"/>
                <w:kern w:val="2"/>
                <w:lang w:eastAsia="zh-CN"/>
              </w:rPr>
            </w:pPr>
          </w:p>
        </w:tc>
      </w:tr>
    </w:tbl>
    <w:p>
      <w:pPr>
        <w:widowControl w:val="0"/>
        <w:ind w:left="0" w:firstLine="0" w:firstLineChars="0"/>
        <w:jc w:val="both"/>
        <w:rPr>
          <w:rFonts w:eastAsia="宋体"/>
          <w:b/>
          <w:color w:val="0000FF"/>
          <w:kern w:val="2"/>
          <w:sz w:val="21"/>
          <w:szCs w:val="21"/>
          <w:lang w:eastAsia="zh-CN"/>
        </w:rPr>
      </w:pPr>
      <w:r>
        <w:rPr>
          <w:rFonts w:eastAsia="宋体" w:hint="eastAsia"/>
          <w:b/>
          <w:color w:val="0000FF"/>
          <w:kern w:val="2"/>
          <w:sz w:val="21"/>
          <w:szCs w:val="21"/>
          <w:lang w:eastAsia="zh-CN"/>
        </w:rPr>
        <w:t>注：</w:t>
      </w:r>
    </w:p>
    <w:p>
      <w:pPr>
        <w:widowControl/>
        <w:snapToGrid w:val="0"/>
        <w:ind w:firstLine="420" w:firstLineChars="200"/>
        <w:jc w:val="left"/>
        <w:rPr>
          <w:rFonts w:ascii="宋体" w:eastAsia="宋体" w:hAnsi="宋体" w:hint="eastAsia"/>
          <w:color w:val="0000FF"/>
          <w:sz w:val="21"/>
          <w:szCs w:val="21"/>
          <w:lang w:eastAsia="zh-CN"/>
        </w:rPr>
      </w:pPr>
      <w:r>
        <w:rPr>
          <w:rFonts w:ascii="宋体" w:eastAsia="宋体" w:hAnsi="宋体" w:hint="eastAsia"/>
          <w:color w:val="0000FF"/>
          <w:sz w:val="21"/>
          <w:szCs w:val="21"/>
          <w:lang w:eastAsia="zh-CN"/>
        </w:rPr>
        <w:t>1、供应商的应答报价</w:t>
      </w:r>
      <w:r>
        <w:rPr>
          <w:rFonts w:ascii="宋体" w:eastAsia="宋体" w:hAnsi="宋体" w:hint="eastAsia"/>
          <w:color w:val="0000FF"/>
          <w:sz w:val="21"/>
          <w:szCs w:val="21"/>
          <w:lang w:eastAsia="zh-CN"/>
        </w:rPr>
        <w:t>（</w:t>
      </w:r>
      <w:r>
        <w:rPr>
          <w:rFonts w:ascii="宋体" w:eastAsia="宋体" w:hAnsi="宋体" w:hint="eastAsia"/>
          <w:color w:val="0000FF"/>
          <w:sz w:val="21"/>
          <w:szCs w:val="21"/>
          <w:lang w:eastAsia="zh-CN"/>
        </w:rPr>
        <w:t>即分项报价表</w:t>
      </w:r>
      <w:r>
        <w:rPr>
          <w:rFonts w:eastAsia="宋体" w:hint="eastAsia"/>
          <w:kern w:val="2"/>
          <w:sz w:val="21"/>
          <w:lang w:eastAsia="zh-CN"/>
        </w:rPr>
        <w:t>年度报价</w:t>
      </w:r>
      <w:r>
        <w:rPr>
          <w:rFonts w:ascii="宋体" w:eastAsia="宋体" w:hAnsi="宋体" w:hint="eastAsia"/>
          <w:color w:val="0000FF"/>
          <w:sz w:val="21"/>
          <w:szCs w:val="21"/>
          <w:lang w:eastAsia="zh-CN"/>
        </w:rPr>
        <w:t>合计数额）</w:t>
      </w:r>
      <w:r>
        <w:rPr>
          <w:rFonts w:ascii="宋体" w:eastAsia="宋体" w:hAnsi="宋体" w:hint="eastAsia"/>
          <w:color w:val="0000FF"/>
          <w:sz w:val="21"/>
          <w:szCs w:val="21"/>
          <w:lang w:eastAsia="zh-CN"/>
        </w:rPr>
        <w:t>不得超过</w:t>
      </w:r>
      <w:r>
        <w:rPr>
          <w:rFonts w:ascii="宋体" w:eastAsia="宋体" w:hAnsi="宋体" w:hint="eastAsia"/>
          <w:color w:val="0000FF"/>
          <w:sz w:val="21"/>
          <w:szCs w:val="21"/>
          <w:lang w:eastAsia="zh-CN"/>
        </w:rPr>
        <w:t>本项目</w:t>
      </w:r>
      <w:r>
        <w:rPr>
          <w:rFonts w:ascii="宋体" w:eastAsia="宋体" w:hAnsi="宋体" w:hint="eastAsia"/>
          <w:color w:val="0000FF"/>
          <w:sz w:val="21"/>
          <w:szCs w:val="21"/>
          <w:lang w:eastAsia="zh-CN"/>
        </w:rPr>
        <w:t>预算金额</w:t>
      </w:r>
      <w:r>
        <w:rPr>
          <w:rFonts w:eastAsia="宋体" w:hint="eastAsia"/>
          <w:kern w:val="2"/>
          <w:sz w:val="21"/>
          <w:lang w:eastAsia="zh-CN"/>
        </w:rPr>
        <w:t>713600元</w:t>
      </w:r>
      <w:r>
        <w:rPr>
          <w:rFonts w:ascii="宋体" w:eastAsia="宋体" w:hAnsi="宋体" w:hint="eastAsia"/>
          <w:color w:val="0000FF"/>
          <w:sz w:val="21"/>
          <w:szCs w:val="21"/>
          <w:lang w:eastAsia="zh-CN"/>
        </w:rPr>
        <w:t>，否则将导致应答无效。</w:t>
      </w:r>
    </w:p>
    <w:p>
      <w:pPr>
        <w:widowControl/>
        <w:snapToGrid w:val="0"/>
        <w:ind w:firstLine="420" w:firstLineChars="200"/>
        <w:jc w:val="left"/>
        <w:rPr>
          <w:rFonts w:ascii="宋体" w:eastAsia="宋体" w:hAnsi="宋体"/>
          <w:color w:val="0000FF"/>
          <w:sz w:val="21"/>
          <w:szCs w:val="21"/>
          <w:lang w:eastAsia="zh-CN"/>
        </w:rPr>
      </w:pPr>
      <w:r>
        <w:rPr>
          <w:rFonts w:ascii="宋体" w:eastAsia="宋体" w:hAnsi="宋体" w:hint="eastAsia"/>
          <w:color w:val="0000FF"/>
          <w:sz w:val="21"/>
          <w:szCs w:val="21"/>
          <w:lang w:eastAsia="zh-CN"/>
        </w:rPr>
        <w:t>2、</w:t>
      </w:r>
      <w:r>
        <w:rPr>
          <w:rFonts w:ascii="宋体" w:eastAsia="宋体" w:hAnsi="宋体" w:hint="eastAsia"/>
          <w:color w:val="0000FF"/>
          <w:sz w:val="21"/>
          <w:szCs w:val="21"/>
          <w:lang w:eastAsia="zh-CN"/>
        </w:rPr>
        <w:t>供应商</w:t>
      </w:r>
      <w:r>
        <w:rPr>
          <w:rFonts w:ascii="宋体" w:eastAsia="宋体" w:hAnsi="宋体" w:hint="eastAsia"/>
          <w:color w:val="0000FF"/>
          <w:sz w:val="21"/>
          <w:szCs w:val="21"/>
          <w:lang w:eastAsia="zh-CN"/>
        </w:rPr>
        <w:t>应按照分项报价表规则填入该表相应的子项目单价、子项目月度报价、子项目年度报价、分项报价表合计，以及该表备注项的水费、电费、中央空调冷气费据实结算的单价，</w:t>
      </w:r>
      <w:r>
        <w:rPr>
          <w:rFonts w:ascii="宋体" w:eastAsia="宋体" w:hAnsi="宋体" w:hint="eastAsia"/>
          <w:color w:val="0000FF"/>
          <w:sz w:val="21"/>
          <w:szCs w:val="21"/>
          <w:lang w:eastAsia="zh-CN"/>
        </w:rPr>
        <w:t>，否则将导致应答无效。</w:t>
      </w:r>
    </w:p>
    <w:p>
      <w:pPr>
        <w:keepNext/>
        <w:keepLines/>
        <w:widowControl w:val="0"/>
        <w:adjustRightInd w:val="0"/>
        <w:spacing w:before="260" w:after="260" w:line="240" w:lineRule="auto"/>
        <w:jc w:val="center"/>
        <w:textAlignment w:val="baseline"/>
        <w:outlineLvl w:val="1"/>
        <w:rPr>
          <w:rFonts w:ascii="宋体" w:eastAsia="宋体" w:hAnsi="宋体"/>
          <w:b/>
          <w:bCs/>
          <w:szCs w:val="20"/>
          <w:lang w:eastAsia="zh-CN"/>
        </w:rPr>
      </w:pPr>
    </w:p>
    <w:p>
      <w:pPr>
        <w:widowControl w:val="0"/>
        <w:tabs>
          <w:tab w:val="left" w:pos="720"/>
        </w:tabs>
        <w:jc w:val="center"/>
        <w:rPr>
          <w:rFonts w:eastAsia="宋体"/>
          <w:b/>
          <w:kern w:val="2"/>
          <w:lang w:eastAsia="zh-CN"/>
        </w:rPr>
      </w:pPr>
      <w:r>
        <w:rPr>
          <w:rFonts w:eastAsia="宋体" w:hint="eastAsia"/>
          <w:b/>
          <w:kern w:val="2"/>
          <w:lang w:eastAsia="zh-CN"/>
        </w:rPr>
        <w:t>（二）供应商认为需要涉及的其他内容报价清单</w:t>
      </w:r>
    </w:p>
    <w:p>
      <w:pPr>
        <w:widowControl w:val="0"/>
        <w:jc w:val="both"/>
        <w:rPr>
          <w:rFonts w:eastAsia="宋体"/>
          <w:kern w:val="2"/>
          <w:sz w:val="21"/>
          <w:szCs w:val="21"/>
          <w:lang w:eastAsia="zh-CN"/>
        </w:rPr>
      </w:pPr>
    </w:p>
    <w:p>
      <w:pPr>
        <w:keepNext/>
        <w:keepLines/>
        <w:widowControl w:val="0"/>
        <w:spacing w:before="260" w:after="260" w:line="240" w:lineRule="auto"/>
        <w:jc w:val="center"/>
        <w:outlineLvl w:val="2"/>
        <w:rPr>
          <w:rFonts w:ascii="黑体" w:eastAsia="黑体" w:hAnsi="宋体" w:hint="eastAsia"/>
          <w:bCs/>
          <w:kern w:val="2"/>
          <w:szCs w:val="32"/>
          <w:lang w:eastAsia="zh-CN"/>
        </w:rPr>
      </w:pPr>
      <w:r>
        <w:rPr>
          <w:rFonts w:ascii="黑体" w:eastAsia="黑体" w:hAnsi="宋体" w:hint="eastAsia"/>
          <w:bCs/>
          <w:kern w:val="2"/>
          <w:szCs w:val="32"/>
          <w:lang w:eastAsia="zh-CN"/>
        </w:rPr>
        <w:t>五、</w:t>
      </w:r>
      <w:bookmarkStart w:id="53" w:name="_Hlk72092499"/>
      <w:r>
        <w:rPr>
          <w:rFonts w:ascii="黑体" w:eastAsia="黑体" w:hAnsi="宋体" w:hint="eastAsia"/>
          <w:bCs/>
          <w:kern w:val="2"/>
          <w:szCs w:val="32"/>
          <w:lang w:eastAsia="zh-CN"/>
        </w:rPr>
        <w:t>法定代表人（负责人）证明书</w:t>
      </w:r>
      <w:bookmarkEnd w:id="53"/>
    </w:p>
    <w:p>
      <w:pPr>
        <w:widowControl w:val="0"/>
        <w:spacing w:line="360" w:lineRule="auto"/>
        <w:ind w:firstLine="420" w:firstLineChars="200"/>
        <w:jc w:val="both"/>
        <w:rPr>
          <w:rFonts w:eastAsia="宋体"/>
          <w:kern w:val="2"/>
          <w:sz w:val="21"/>
          <w:szCs w:val="21"/>
          <w:lang w:eastAsia="zh-CN"/>
        </w:rPr>
      </w:pPr>
      <w:r>
        <w:rPr>
          <w:rFonts w:eastAsia="宋体" w:hint="eastAsia"/>
          <w:kern w:val="2"/>
          <w:sz w:val="21"/>
          <w:szCs w:val="21"/>
          <w:u w:val="single"/>
          <w:lang w:eastAsia="zh-CN"/>
        </w:rPr>
        <w:t xml:space="preserve">                 </w:t>
      </w:r>
      <w:r>
        <w:rPr>
          <w:rFonts w:eastAsia="宋体" w:hint="eastAsia"/>
          <w:kern w:val="2"/>
          <w:sz w:val="21"/>
          <w:szCs w:val="21"/>
          <w:lang w:eastAsia="zh-CN"/>
        </w:rPr>
        <w:t>（姓名），现任我单位</w:t>
      </w:r>
      <w:r>
        <w:rPr>
          <w:rFonts w:eastAsia="宋体" w:hint="eastAsia"/>
          <w:kern w:val="2"/>
          <w:sz w:val="21"/>
          <w:szCs w:val="21"/>
          <w:u w:val="single"/>
          <w:lang w:eastAsia="zh-CN"/>
        </w:rPr>
        <w:t xml:space="preserve">             </w:t>
      </w:r>
      <w:r>
        <w:rPr>
          <w:rFonts w:eastAsia="宋体" w:hint="eastAsia"/>
          <w:kern w:val="2"/>
          <w:sz w:val="21"/>
          <w:szCs w:val="21"/>
          <w:lang w:eastAsia="zh-CN"/>
        </w:rPr>
        <w:t>职务，为法定代表人（负责人），身份证件号为：</w:t>
      </w:r>
      <w:r>
        <w:rPr>
          <w:rFonts w:eastAsia="宋体" w:hint="eastAsia"/>
          <w:kern w:val="2"/>
          <w:sz w:val="21"/>
          <w:szCs w:val="21"/>
          <w:u w:val="single"/>
          <w:lang w:eastAsia="zh-CN"/>
        </w:rPr>
        <w:t xml:space="preserve">                                     </w:t>
      </w:r>
      <w:r>
        <w:rPr>
          <w:rFonts w:eastAsia="宋体" w:hint="eastAsia"/>
          <w:kern w:val="2"/>
          <w:sz w:val="21"/>
          <w:szCs w:val="21"/>
          <w:lang w:eastAsia="zh-CN"/>
        </w:rPr>
        <w:t>，联系电话：</w:t>
      </w:r>
      <w:r>
        <w:rPr>
          <w:rFonts w:eastAsia="宋体" w:hint="eastAsia"/>
          <w:kern w:val="2"/>
          <w:sz w:val="21"/>
          <w:szCs w:val="21"/>
          <w:u w:val="single"/>
          <w:lang w:eastAsia="zh-CN"/>
        </w:rPr>
        <w:t xml:space="preserve">                </w:t>
      </w:r>
      <w:r>
        <w:rPr>
          <w:rFonts w:eastAsia="宋体" w:hint="eastAsia"/>
          <w:kern w:val="2"/>
          <w:sz w:val="21"/>
          <w:szCs w:val="21"/>
          <w:lang w:eastAsia="zh-CN"/>
        </w:rPr>
        <w:t>。</w:t>
      </w:r>
    </w:p>
    <w:p>
      <w:pPr>
        <w:widowControl w:val="0"/>
        <w:spacing w:line="360" w:lineRule="auto"/>
        <w:ind w:firstLine="420" w:firstLineChars="200"/>
        <w:jc w:val="both"/>
        <w:rPr>
          <w:rFonts w:eastAsia="宋体"/>
          <w:kern w:val="2"/>
          <w:sz w:val="21"/>
          <w:szCs w:val="21"/>
          <w:lang w:eastAsia="zh-CN"/>
        </w:rPr>
      </w:pPr>
      <w:r>
        <w:rPr>
          <w:rFonts w:eastAsia="宋体" w:hint="eastAsia"/>
          <w:kern w:val="2"/>
          <w:sz w:val="21"/>
          <w:szCs w:val="21"/>
          <w:lang w:eastAsia="zh-CN"/>
        </w:rPr>
        <w:t>特此证明。</w:t>
      </w:r>
    </w:p>
    <w:p>
      <w:pPr>
        <w:widowControl w:val="0"/>
        <w:spacing w:line="360" w:lineRule="auto"/>
        <w:ind w:firstLine="420" w:firstLineChars="200"/>
        <w:jc w:val="both"/>
        <w:rPr>
          <w:rFonts w:eastAsia="宋体"/>
          <w:kern w:val="2"/>
          <w:sz w:val="21"/>
          <w:szCs w:val="21"/>
          <w:lang w:eastAsia="zh-CN"/>
        </w:rPr>
      </w:pPr>
      <w:r>
        <w:rPr>
          <w:rFonts w:eastAsia="宋体" w:hint="eastAsia"/>
          <w:kern w:val="2"/>
          <w:sz w:val="21"/>
          <w:szCs w:val="21"/>
          <w:lang w:eastAsia="zh-CN"/>
        </w:rPr>
        <w:t>说明：1、法定代表人为供应商（企业事业单位、国家机关、社会团体）的主要行政负责人。</w:t>
      </w:r>
    </w:p>
    <w:p>
      <w:pPr>
        <w:widowControl w:val="0"/>
        <w:numPr>
          <w:ilvl w:val="0"/>
          <w:numId w:val="4"/>
        </w:numPr>
        <w:spacing w:line="360" w:lineRule="auto"/>
        <w:ind w:firstLine="420" w:firstLineChars="200"/>
        <w:jc w:val="both"/>
        <w:rPr>
          <w:rFonts w:eastAsia="宋体"/>
          <w:kern w:val="2"/>
          <w:sz w:val="21"/>
          <w:szCs w:val="21"/>
          <w:lang w:eastAsia="zh-CN"/>
        </w:rPr>
      </w:pPr>
      <w:r>
        <w:rPr>
          <w:rFonts w:eastAsia="宋体" w:hint="eastAsia"/>
          <w:kern w:val="2"/>
          <w:sz w:val="21"/>
          <w:szCs w:val="21"/>
          <w:lang w:eastAsia="zh-Hans"/>
        </w:rPr>
        <w:t>本证明书要供法定代表人（负责人）</w:t>
      </w:r>
      <w:r>
        <w:rPr>
          <w:rFonts w:eastAsia="宋体" w:hint="eastAsia"/>
          <w:kern w:val="2"/>
          <w:sz w:val="21"/>
          <w:szCs w:val="21"/>
          <w:lang w:eastAsia="zh-CN"/>
        </w:rPr>
        <w:t>相关身份证明文件：身份证扫描件（正反两面）；港澳台居民可提供来往通行证扫描件；非中国国籍管辖范围人员，可提供公安部门认可的身份证明材料扫描件。</w:t>
      </w:r>
    </w:p>
    <w:p>
      <w:pPr>
        <w:widowControl w:val="0"/>
        <w:numPr>
          <w:ilvl w:val="0"/>
          <w:numId w:val="4"/>
        </w:numPr>
        <w:spacing w:line="360" w:lineRule="auto"/>
        <w:ind w:firstLine="420" w:firstLineChars="200"/>
        <w:jc w:val="both"/>
        <w:rPr>
          <w:rFonts w:eastAsia="宋体"/>
          <w:kern w:val="2"/>
          <w:sz w:val="21"/>
          <w:szCs w:val="21"/>
          <w:lang w:eastAsia="zh-CN"/>
        </w:rPr>
      </w:pPr>
      <w:r>
        <w:rPr>
          <w:rFonts w:eastAsia="宋体" w:hint="eastAsia"/>
          <w:kern w:val="2"/>
          <w:sz w:val="21"/>
          <w:szCs w:val="21"/>
          <w:lang w:eastAsia="zh-Hans"/>
        </w:rPr>
        <w:t>本项目</w:t>
      </w:r>
      <w:r>
        <w:rPr>
          <w:rFonts w:eastAsia="宋体" w:hint="eastAsia"/>
          <w:kern w:val="2"/>
          <w:sz w:val="21"/>
          <w:szCs w:val="21"/>
          <w:lang w:eastAsia="zh-CN"/>
        </w:rPr>
        <w:t>应答</w:t>
      </w:r>
      <w:r>
        <w:rPr>
          <w:rFonts w:eastAsia="宋体" w:hint="eastAsia"/>
          <w:kern w:val="2"/>
          <w:sz w:val="21"/>
          <w:szCs w:val="21"/>
          <w:lang w:eastAsia="zh-Hans"/>
        </w:rPr>
        <w:t>授权代表为法定代表人（负责人）的，无需提供</w:t>
      </w:r>
      <w:r>
        <w:rPr>
          <w:rFonts w:eastAsia="宋体" w:hint="eastAsia"/>
          <w:kern w:val="2"/>
          <w:sz w:val="21"/>
          <w:szCs w:val="21"/>
          <w:lang w:eastAsia="zh-CN"/>
        </w:rPr>
        <w:t>《谈判应答文件签署授权委托书》</w:t>
      </w:r>
      <w:r>
        <w:rPr>
          <w:rFonts w:eastAsia="宋体" w:hint="eastAsia"/>
          <w:kern w:val="2"/>
          <w:sz w:val="21"/>
          <w:szCs w:val="21"/>
          <w:lang w:eastAsia="zh-Hans"/>
        </w:rPr>
        <w:t>。</w:t>
      </w:r>
    </w:p>
    <w:p>
      <w:pPr>
        <w:widowControl w:val="0"/>
        <w:numPr>
          <w:ilvl w:val="0"/>
          <w:numId w:val="4"/>
        </w:numPr>
        <w:spacing w:line="360" w:lineRule="auto"/>
        <w:ind w:firstLine="420" w:firstLineChars="200"/>
        <w:jc w:val="both"/>
        <w:rPr>
          <w:rFonts w:eastAsia="宋体"/>
          <w:kern w:val="2"/>
          <w:sz w:val="21"/>
          <w:szCs w:val="21"/>
          <w:lang w:eastAsia="zh-CN"/>
        </w:rPr>
      </w:pPr>
      <w:r>
        <w:rPr>
          <w:rFonts w:eastAsia="宋体" w:hint="eastAsia"/>
          <w:kern w:val="2"/>
          <w:sz w:val="21"/>
          <w:szCs w:val="21"/>
          <w:lang w:eastAsia="zh-CN"/>
        </w:rPr>
        <w:t>内容必须填写真实、清楚，涂改无效，不得转让、买卖。</w:t>
      </w:r>
    </w:p>
    <w:tbl>
      <w:tblPr>
        <w:tblStyle w:val="TableGrid"/>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4264"/>
        <w:gridCol w:w="4265"/>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4264" w:type="dxa"/>
          </w:tcPr>
          <w:p>
            <w:pPr>
              <w:jc w:val="center"/>
              <w:rPr>
                <w:kern w:val="2"/>
                <w:sz w:val="21"/>
                <w:lang w:eastAsia="zh-CN"/>
              </w:rPr>
            </w:pPr>
            <w:r>
              <w:rPr>
                <w:rFonts w:hint="eastAsia"/>
                <w:kern w:val="2"/>
                <w:sz w:val="21"/>
                <w:lang w:eastAsia="zh-CN"/>
              </w:rPr>
              <w:t>证件扫描件正面</w:t>
            </w:r>
          </w:p>
          <w:p>
            <w:pPr>
              <w:spacing w:line="360" w:lineRule="auto"/>
              <w:jc w:val="center"/>
              <w:rPr>
                <w:b/>
                <w:bCs/>
                <w:kern w:val="2"/>
                <w:lang w:eastAsia="zh-CN"/>
              </w:rPr>
            </w:pPr>
          </w:p>
          <w:p>
            <w:pPr>
              <w:spacing w:line="360" w:lineRule="auto"/>
              <w:jc w:val="center"/>
              <w:rPr>
                <w:kern w:val="2"/>
                <w:lang w:eastAsia="zh-CN"/>
              </w:rPr>
            </w:pPr>
          </w:p>
        </w:tc>
        <w:tc>
          <w:tcPr>
            <w:tcW w:w="4265" w:type="dxa"/>
          </w:tcPr>
          <w:p>
            <w:pPr>
              <w:jc w:val="center"/>
              <w:rPr>
                <w:kern w:val="2"/>
                <w:sz w:val="21"/>
                <w:lang w:eastAsia="zh-CN"/>
              </w:rPr>
            </w:pPr>
            <w:r>
              <w:rPr>
                <w:rFonts w:hint="eastAsia"/>
                <w:kern w:val="2"/>
                <w:sz w:val="21"/>
                <w:lang w:eastAsia="zh-CN"/>
              </w:rPr>
              <w:t>证件扫描件反面</w:t>
            </w:r>
          </w:p>
          <w:p>
            <w:pPr>
              <w:spacing w:line="360" w:lineRule="auto"/>
              <w:jc w:val="center"/>
              <w:rPr>
                <w:b/>
                <w:bCs/>
                <w:kern w:val="2"/>
                <w:lang w:eastAsia="zh-CN"/>
              </w:rPr>
            </w:pPr>
          </w:p>
          <w:p>
            <w:pPr>
              <w:spacing w:line="360" w:lineRule="auto"/>
              <w:jc w:val="center"/>
              <w:rPr>
                <w:kern w:val="2"/>
                <w:lang w:eastAsia="zh-CN"/>
              </w:rPr>
            </w:pPr>
          </w:p>
        </w:tc>
      </w:tr>
    </w:tbl>
    <w:p>
      <w:pPr>
        <w:widowControl w:val="0"/>
        <w:jc w:val="both"/>
        <w:rPr>
          <w:rFonts w:eastAsia="宋体"/>
          <w:kern w:val="2"/>
          <w:lang w:eastAsia="zh-CN"/>
        </w:rPr>
      </w:pPr>
    </w:p>
    <w:p>
      <w:pPr>
        <w:keepNext/>
        <w:keepLines/>
        <w:widowControl w:val="0"/>
        <w:spacing w:before="120" w:after="120" w:line="240" w:lineRule="auto"/>
        <w:jc w:val="center"/>
        <w:outlineLvl w:val="2"/>
        <w:rPr>
          <w:rFonts w:ascii="黑体" w:eastAsia="黑体" w:hAnsi="宋体" w:hint="eastAsia"/>
          <w:bCs/>
          <w:kern w:val="2"/>
          <w:szCs w:val="32"/>
          <w:lang w:eastAsia="zh-CN"/>
        </w:rPr>
      </w:pPr>
      <w:r>
        <w:rPr>
          <w:rFonts w:ascii="黑体" w:eastAsia="黑体" w:hAnsi="宋体" w:hint="eastAsia"/>
          <w:bCs/>
          <w:kern w:val="2"/>
          <w:szCs w:val="32"/>
          <w:lang w:eastAsia="zh-CN"/>
        </w:rPr>
        <w:t>六、谈判应答文件签署授权委托书</w:t>
      </w:r>
    </w:p>
    <w:p>
      <w:pPr>
        <w:widowControl w:val="0"/>
        <w:spacing w:line="360" w:lineRule="auto"/>
        <w:ind w:firstLine="420" w:firstLineChars="200"/>
        <w:jc w:val="both"/>
        <w:rPr>
          <w:rFonts w:eastAsia="宋体"/>
          <w:kern w:val="2"/>
          <w:sz w:val="21"/>
          <w:szCs w:val="21"/>
          <w:lang w:eastAsia="zh-CN"/>
        </w:rPr>
      </w:pPr>
      <w:r>
        <w:rPr>
          <w:rFonts w:eastAsia="宋体" w:hint="eastAsia"/>
          <w:kern w:val="2"/>
          <w:sz w:val="21"/>
          <w:szCs w:val="21"/>
          <w:lang w:eastAsia="zh-CN"/>
        </w:rPr>
        <w:t>本授权委托书声明：我</w:t>
      </w:r>
      <w:r>
        <w:rPr>
          <w:rFonts w:eastAsia="宋体" w:hint="eastAsia"/>
          <w:kern w:val="2"/>
          <w:sz w:val="21"/>
          <w:szCs w:val="21"/>
          <w:u w:val="single"/>
          <w:lang w:eastAsia="zh-CN"/>
        </w:rPr>
        <w:t xml:space="preserve">           </w:t>
      </w:r>
      <w:r>
        <w:rPr>
          <w:rFonts w:eastAsia="宋体" w:hint="eastAsia"/>
          <w:kern w:val="2"/>
          <w:sz w:val="21"/>
          <w:szCs w:val="21"/>
          <w:lang w:eastAsia="zh-CN"/>
        </w:rPr>
        <w:t>（姓名）系</w:t>
      </w:r>
      <w:r>
        <w:rPr>
          <w:rFonts w:eastAsia="宋体" w:hint="eastAsia"/>
          <w:kern w:val="2"/>
          <w:sz w:val="21"/>
          <w:szCs w:val="21"/>
          <w:u w:val="single"/>
          <w:lang w:eastAsia="zh-CN"/>
        </w:rPr>
        <w:t xml:space="preserve">             </w:t>
      </w:r>
      <w:r>
        <w:rPr>
          <w:rFonts w:eastAsia="宋体" w:hint="eastAsia"/>
          <w:kern w:val="2"/>
          <w:sz w:val="21"/>
          <w:szCs w:val="21"/>
          <w:lang w:eastAsia="zh-CN"/>
        </w:rPr>
        <w:t>（供应商名称）的法定代表人（负责人），现授权委托</w:t>
      </w:r>
      <w:r>
        <w:rPr>
          <w:rFonts w:eastAsia="宋体" w:hint="eastAsia"/>
          <w:kern w:val="2"/>
          <w:sz w:val="21"/>
          <w:szCs w:val="21"/>
          <w:u w:val="single"/>
          <w:lang w:eastAsia="zh-CN"/>
        </w:rPr>
        <w:t xml:space="preserve">            </w:t>
      </w:r>
      <w:r>
        <w:rPr>
          <w:rFonts w:eastAsia="宋体" w:hint="eastAsia"/>
          <w:kern w:val="2"/>
          <w:sz w:val="21"/>
          <w:szCs w:val="21"/>
          <w:lang w:eastAsia="zh-CN"/>
        </w:rPr>
        <w:t>（姓名）为我单位签署本项目已递交的谈判应答文件的法定代表人（负责人）的授权委托代理人，</w:t>
      </w:r>
      <w:r>
        <w:rPr>
          <w:rFonts w:ascii="宋体" w:eastAsia="宋体" w:hAnsi="宋体" w:hint="eastAsia"/>
          <w:kern w:val="2"/>
          <w:sz w:val="21"/>
          <w:szCs w:val="21"/>
          <w:lang w:eastAsia="zh-CN"/>
        </w:rPr>
        <w:t>代理人全权代表我所签署的本项目已递交的谈判应答文件内容，以及本项目谈判组织实施过程中对谈判应答文件的修改和补充内容我均承认。</w:t>
      </w:r>
    </w:p>
    <w:p>
      <w:pPr>
        <w:widowControl w:val="0"/>
        <w:spacing w:line="360" w:lineRule="auto"/>
        <w:ind w:firstLine="420"/>
        <w:jc w:val="both"/>
        <w:rPr>
          <w:rFonts w:eastAsia="宋体"/>
          <w:kern w:val="2"/>
          <w:sz w:val="21"/>
          <w:szCs w:val="21"/>
          <w:lang w:eastAsia="zh-CN"/>
        </w:rPr>
      </w:pPr>
      <w:r>
        <w:rPr>
          <w:rFonts w:eastAsia="宋体" w:hint="eastAsia"/>
          <w:kern w:val="2"/>
          <w:sz w:val="21"/>
          <w:szCs w:val="21"/>
          <w:lang w:eastAsia="zh-CN"/>
        </w:rPr>
        <w:t>代理人无转委托权，特此委托。</w:t>
      </w:r>
    </w:p>
    <w:p>
      <w:pPr>
        <w:widowControl w:val="0"/>
        <w:spacing w:line="360" w:lineRule="auto"/>
        <w:ind w:firstLine="420" w:firstLineChars="200"/>
        <w:jc w:val="both"/>
        <w:rPr>
          <w:rFonts w:eastAsia="宋体"/>
          <w:kern w:val="2"/>
          <w:sz w:val="21"/>
          <w:szCs w:val="21"/>
          <w:lang w:eastAsia="zh-CN"/>
        </w:rPr>
      </w:pPr>
      <w:r>
        <w:rPr>
          <w:rFonts w:eastAsia="宋体" w:hint="eastAsia"/>
          <w:kern w:val="2"/>
          <w:sz w:val="21"/>
          <w:szCs w:val="21"/>
          <w:lang w:eastAsia="zh-CN"/>
        </w:rPr>
        <w:t>代理人：</w:t>
      </w:r>
      <w:r>
        <w:rPr>
          <w:rFonts w:eastAsia="宋体" w:hint="eastAsia"/>
          <w:kern w:val="2"/>
          <w:sz w:val="21"/>
          <w:szCs w:val="21"/>
          <w:u w:val="single"/>
          <w:lang w:eastAsia="zh-CN"/>
        </w:rPr>
        <w:t xml:space="preserve">              </w:t>
      </w:r>
      <w:r>
        <w:rPr>
          <w:rFonts w:eastAsia="宋体" w:hint="eastAsia"/>
          <w:kern w:val="2"/>
          <w:sz w:val="21"/>
          <w:szCs w:val="21"/>
          <w:lang w:eastAsia="zh-CN"/>
        </w:rPr>
        <w:t>；</w:t>
      </w:r>
    </w:p>
    <w:p>
      <w:pPr>
        <w:widowControl w:val="0"/>
        <w:spacing w:line="360" w:lineRule="auto"/>
        <w:ind w:firstLine="420" w:firstLineChars="200"/>
        <w:jc w:val="both"/>
        <w:rPr>
          <w:rFonts w:eastAsia="宋体"/>
          <w:kern w:val="2"/>
          <w:sz w:val="21"/>
          <w:szCs w:val="21"/>
          <w:lang w:eastAsia="zh-CN"/>
        </w:rPr>
      </w:pPr>
      <w:r>
        <w:rPr>
          <w:rFonts w:eastAsia="宋体" w:hint="eastAsia"/>
          <w:kern w:val="2"/>
          <w:sz w:val="21"/>
          <w:szCs w:val="21"/>
          <w:lang w:eastAsia="zh-CN"/>
        </w:rPr>
        <w:t>身份证件号：</w:t>
      </w:r>
      <w:r>
        <w:rPr>
          <w:rFonts w:eastAsia="宋体" w:hint="eastAsia"/>
          <w:kern w:val="2"/>
          <w:sz w:val="21"/>
          <w:szCs w:val="21"/>
          <w:u w:val="single"/>
          <w:lang w:eastAsia="zh-CN"/>
        </w:rPr>
        <w:t xml:space="preserve">                        </w:t>
      </w:r>
      <w:r>
        <w:rPr>
          <w:rFonts w:eastAsia="宋体" w:hint="eastAsia"/>
          <w:kern w:val="2"/>
          <w:sz w:val="21"/>
          <w:szCs w:val="21"/>
          <w:lang w:eastAsia="zh-CN"/>
        </w:rPr>
        <w:t>，职务：</w:t>
      </w:r>
      <w:r>
        <w:rPr>
          <w:rFonts w:eastAsia="宋体" w:hint="eastAsia"/>
          <w:kern w:val="2"/>
          <w:sz w:val="21"/>
          <w:szCs w:val="21"/>
          <w:u w:val="single"/>
          <w:lang w:eastAsia="zh-CN"/>
        </w:rPr>
        <w:t xml:space="preserve">                </w:t>
      </w:r>
      <w:r>
        <w:rPr>
          <w:rFonts w:eastAsia="宋体" w:hint="eastAsia"/>
          <w:kern w:val="2"/>
          <w:sz w:val="21"/>
          <w:szCs w:val="21"/>
          <w:lang w:eastAsia="zh-CN"/>
        </w:rPr>
        <w:t>；</w:t>
      </w:r>
    </w:p>
    <w:p>
      <w:pPr>
        <w:widowControl w:val="0"/>
        <w:spacing w:line="360" w:lineRule="auto"/>
        <w:ind w:firstLine="420" w:firstLineChars="200"/>
        <w:jc w:val="both"/>
        <w:rPr>
          <w:rFonts w:eastAsia="宋体"/>
          <w:kern w:val="2"/>
          <w:sz w:val="21"/>
          <w:szCs w:val="21"/>
          <w:lang w:eastAsia="zh-CN"/>
        </w:rPr>
      </w:pPr>
      <w:r>
        <w:rPr>
          <w:rFonts w:eastAsia="宋体" w:hint="eastAsia"/>
          <w:kern w:val="2"/>
          <w:sz w:val="21"/>
          <w:szCs w:val="21"/>
          <w:lang w:eastAsia="zh-CN"/>
        </w:rPr>
        <w:t>联系电话：</w:t>
      </w:r>
      <w:r>
        <w:rPr>
          <w:rFonts w:eastAsia="宋体" w:hint="eastAsia"/>
          <w:kern w:val="2"/>
          <w:sz w:val="21"/>
          <w:szCs w:val="21"/>
          <w:u w:val="single"/>
          <w:lang w:eastAsia="zh-CN"/>
        </w:rPr>
        <w:t xml:space="preserve">            </w:t>
      </w:r>
      <w:r>
        <w:rPr>
          <w:rFonts w:eastAsia="宋体" w:hint="eastAsia"/>
          <w:kern w:val="2"/>
          <w:sz w:val="21"/>
          <w:szCs w:val="21"/>
          <w:lang w:eastAsia="zh-CN"/>
        </w:rPr>
        <w:t>，手机：</w:t>
      </w:r>
      <w:r>
        <w:rPr>
          <w:rFonts w:eastAsia="宋体" w:hint="eastAsia"/>
          <w:kern w:val="2"/>
          <w:sz w:val="21"/>
          <w:szCs w:val="21"/>
          <w:u w:val="single"/>
          <w:lang w:eastAsia="zh-CN"/>
        </w:rPr>
        <w:t xml:space="preserve">                   </w:t>
      </w:r>
      <w:r>
        <w:rPr>
          <w:rFonts w:eastAsia="宋体" w:hint="eastAsia"/>
          <w:kern w:val="2"/>
          <w:sz w:val="21"/>
          <w:szCs w:val="21"/>
          <w:lang w:eastAsia="zh-CN"/>
        </w:rPr>
        <w:t>，电子邮箱：</w:t>
      </w:r>
      <w:r>
        <w:rPr>
          <w:rFonts w:eastAsia="宋体" w:hint="eastAsia"/>
          <w:kern w:val="2"/>
          <w:sz w:val="21"/>
          <w:szCs w:val="21"/>
          <w:u w:val="single"/>
          <w:lang w:eastAsia="zh-CN"/>
        </w:rPr>
        <w:t xml:space="preserve">                        </w:t>
      </w:r>
      <w:r>
        <w:rPr>
          <w:rFonts w:eastAsia="宋体" w:hint="eastAsia"/>
          <w:kern w:val="2"/>
          <w:sz w:val="21"/>
          <w:szCs w:val="21"/>
          <w:lang w:eastAsia="zh-CN"/>
        </w:rPr>
        <w:t>；</w:t>
      </w:r>
    </w:p>
    <w:p>
      <w:pPr>
        <w:widowControl w:val="0"/>
        <w:spacing w:line="360" w:lineRule="auto"/>
        <w:ind w:firstLine="420" w:firstLineChars="200"/>
        <w:jc w:val="both"/>
        <w:rPr>
          <w:rFonts w:eastAsia="宋体"/>
          <w:kern w:val="2"/>
          <w:sz w:val="21"/>
          <w:szCs w:val="21"/>
          <w:lang w:eastAsia="zh-CN"/>
        </w:rPr>
      </w:pPr>
      <w:r>
        <w:rPr>
          <w:rFonts w:eastAsia="宋体" w:hint="eastAsia"/>
          <w:kern w:val="2"/>
          <w:sz w:val="21"/>
          <w:szCs w:val="21"/>
          <w:lang w:eastAsia="zh-CN"/>
        </w:rPr>
        <w:t>授权委托日期：</w:t>
      </w:r>
      <w:r>
        <w:rPr>
          <w:rFonts w:eastAsia="宋体" w:hint="eastAsia"/>
          <w:kern w:val="2"/>
          <w:sz w:val="21"/>
          <w:szCs w:val="21"/>
          <w:u w:val="single"/>
          <w:lang w:eastAsia="zh-CN"/>
        </w:rPr>
        <w:t xml:space="preserve">         </w:t>
      </w:r>
      <w:r>
        <w:rPr>
          <w:rFonts w:eastAsia="宋体" w:hint="eastAsia"/>
          <w:kern w:val="2"/>
          <w:sz w:val="21"/>
          <w:szCs w:val="21"/>
          <w:lang w:eastAsia="zh-CN"/>
        </w:rPr>
        <w:t>年</w:t>
      </w:r>
      <w:r>
        <w:rPr>
          <w:rFonts w:eastAsia="宋体" w:hint="eastAsia"/>
          <w:kern w:val="2"/>
          <w:sz w:val="21"/>
          <w:szCs w:val="21"/>
          <w:u w:val="single"/>
          <w:lang w:eastAsia="zh-CN"/>
        </w:rPr>
        <w:t xml:space="preserve">     </w:t>
      </w:r>
      <w:r>
        <w:rPr>
          <w:rFonts w:eastAsia="宋体" w:hint="eastAsia"/>
          <w:kern w:val="2"/>
          <w:sz w:val="21"/>
          <w:szCs w:val="21"/>
          <w:lang w:eastAsia="zh-CN"/>
        </w:rPr>
        <w:t xml:space="preserve">月 </w:t>
      </w:r>
      <w:r>
        <w:rPr>
          <w:rFonts w:eastAsia="宋体" w:hint="eastAsia"/>
          <w:kern w:val="2"/>
          <w:sz w:val="21"/>
          <w:szCs w:val="21"/>
          <w:u w:val="single"/>
          <w:lang w:eastAsia="zh-CN"/>
        </w:rPr>
        <w:t xml:space="preserve">      </w:t>
      </w:r>
      <w:r>
        <w:rPr>
          <w:rFonts w:eastAsia="宋体" w:hint="eastAsia"/>
          <w:kern w:val="2"/>
          <w:sz w:val="21"/>
          <w:szCs w:val="21"/>
          <w:lang w:eastAsia="zh-CN"/>
        </w:rPr>
        <w:t>日。</w:t>
      </w:r>
    </w:p>
    <w:p>
      <w:pPr>
        <w:widowControl w:val="0"/>
        <w:spacing w:line="360" w:lineRule="auto"/>
        <w:ind w:firstLine="420" w:firstLineChars="200"/>
        <w:jc w:val="both"/>
        <w:rPr>
          <w:rFonts w:eastAsia="宋体"/>
          <w:b/>
          <w:color w:val="FF0000"/>
          <w:kern w:val="2"/>
          <w:sz w:val="21"/>
          <w:szCs w:val="21"/>
          <w:lang w:eastAsia="zh-CN"/>
        </w:rPr>
      </w:pPr>
      <w:r>
        <w:rPr>
          <w:rFonts w:eastAsia="宋体" w:hint="eastAsia"/>
          <w:b/>
          <w:color w:val="FF0000"/>
          <w:kern w:val="2"/>
          <w:sz w:val="21"/>
          <w:szCs w:val="21"/>
          <w:lang w:eastAsia="zh-CN"/>
        </w:rPr>
        <w:t>附：请提供代理人身份证扫描件（正反两面）；港澳台居民可提供来往通行证扫描件；非中国国籍管辖范围人员，可提供公安部门认可的身份证明材料扫描件。</w:t>
      </w:r>
    </w:p>
    <w:tbl>
      <w:tblPr>
        <w:tblStyle w:val="TableGrid"/>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4264"/>
        <w:gridCol w:w="4265"/>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4264" w:type="dxa"/>
          </w:tcPr>
          <w:p>
            <w:pPr>
              <w:jc w:val="center"/>
              <w:rPr>
                <w:kern w:val="2"/>
                <w:sz w:val="21"/>
                <w:lang w:eastAsia="zh-CN"/>
              </w:rPr>
            </w:pPr>
            <w:r>
              <w:rPr>
                <w:rFonts w:hint="eastAsia"/>
                <w:kern w:val="2"/>
                <w:sz w:val="21"/>
                <w:lang w:eastAsia="zh-CN"/>
              </w:rPr>
              <w:t>证件扫描件正面</w:t>
            </w:r>
          </w:p>
          <w:p>
            <w:pPr>
              <w:spacing w:line="360" w:lineRule="auto"/>
              <w:jc w:val="center"/>
              <w:rPr>
                <w:b/>
                <w:bCs/>
                <w:kern w:val="2"/>
                <w:lang w:eastAsia="zh-CN"/>
              </w:rPr>
            </w:pPr>
          </w:p>
          <w:p>
            <w:pPr>
              <w:spacing w:line="360" w:lineRule="auto"/>
              <w:jc w:val="center"/>
              <w:rPr>
                <w:kern w:val="2"/>
                <w:lang w:eastAsia="zh-CN"/>
              </w:rPr>
            </w:pPr>
          </w:p>
        </w:tc>
        <w:tc>
          <w:tcPr>
            <w:tcW w:w="4265" w:type="dxa"/>
          </w:tcPr>
          <w:p>
            <w:pPr>
              <w:jc w:val="center"/>
              <w:rPr>
                <w:kern w:val="2"/>
                <w:sz w:val="21"/>
                <w:lang w:eastAsia="zh-CN"/>
              </w:rPr>
            </w:pPr>
            <w:r>
              <w:rPr>
                <w:rFonts w:hint="eastAsia"/>
                <w:kern w:val="2"/>
                <w:sz w:val="21"/>
                <w:lang w:eastAsia="zh-CN"/>
              </w:rPr>
              <w:t>证件扫描件反面</w:t>
            </w:r>
          </w:p>
          <w:p>
            <w:pPr>
              <w:spacing w:line="360" w:lineRule="auto"/>
              <w:jc w:val="center"/>
              <w:rPr>
                <w:b/>
                <w:bCs/>
                <w:kern w:val="2"/>
                <w:lang w:eastAsia="zh-CN"/>
              </w:rPr>
            </w:pPr>
          </w:p>
          <w:p>
            <w:pPr>
              <w:spacing w:line="360" w:lineRule="auto"/>
              <w:jc w:val="center"/>
              <w:rPr>
                <w:kern w:val="2"/>
                <w:lang w:eastAsia="zh-CN"/>
              </w:rPr>
            </w:pPr>
          </w:p>
        </w:tc>
      </w:tr>
    </w:tbl>
    <w:p>
      <w:pPr>
        <w:widowControl w:val="0"/>
        <w:spacing w:line="360" w:lineRule="auto"/>
        <w:ind w:firstLine="420" w:firstLineChars="200"/>
        <w:jc w:val="both"/>
        <w:rPr>
          <w:rFonts w:eastAsia="宋体"/>
          <w:b/>
          <w:color w:val="FF0000"/>
          <w:kern w:val="2"/>
          <w:sz w:val="21"/>
          <w:szCs w:val="21"/>
          <w:lang w:eastAsia="zh-CN"/>
        </w:rPr>
      </w:pPr>
    </w:p>
    <w:p>
      <w:pPr>
        <w:keepNext/>
        <w:keepLines/>
        <w:widowControl w:val="0"/>
        <w:spacing w:before="260" w:after="260" w:line="240" w:lineRule="auto"/>
        <w:jc w:val="center"/>
        <w:outlineLvl w:val="2"/>
        <w:rPr>
          <w:rFonts w:ascii="黑体" w:eastAsia="黑体" w:hAnsi="宋体" w:hint="eastAsia"/>
          <w:bCs/>
          <w:lang w:eastAsia="zh-CN"/>
        </w:rPr>
      </w:pPr>
      <w:r>
        <w:rPr>
          <w:rFonts w:ascii="黑体" w:eastAsia="黑体" w:hAnsi="宋体" w:hint="eastAsia"/>
          <w:bCs/>
          <w:lang w:eastAsia="zh-CN"/>
        </w:rPr>
        <w:t>七、实质性条款响应情况表</w:t>
      </w:r>
    </w:p>
    <w:tbl>
      <w:tblPr>
        <w:tblStyle w:val="TableNormal"/>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731"/>
        <w:gridCol w:w="3213"/>
        <w:gridCol w:w="2670"/>
        <w:gridCol w:w="1174"/>
        <w:gridCol w:w="741"/>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631"/>
        </w:trPr>
        <w:tc>
          <w:tcPr>
            <w:tcW w:w="705" w:type="dxa"/>
            <w:vAlign w:val="center"/>
          </w:tcPr>
          <w:p>
            <w:pPr>
              <w:widowControl w:val="0"/>
              <w:adjustRightInd w:val="0"/>
              <w:snapToGrid w:val="0"/>
              <w:spacing w:line="360" w:lineRule="auto"/>
              <w:jc w:val="center"/>
              <w:rPr>
                <w:rFonts w:ascii="宋体" w:eastAsia="宋体" w:hAnsi="宋体" w:hint="eastAsia"/>
                <w:sz w:val="21"/>
                <w:szCs w:val="21"/>
                <w:lang w:eastAsia="zh-CN"/>
              </w:rPr>
            </w:pPr>
            <w:r>
              <w:rPr>
                <w:rFonts w:ascii="宋体" w:eastAsia="宋体" w:hAnsi="宋体" w:hint="eastAsia"/>
                <w:sz w:val="21"/>
                <w:szCs w:val="21"/>
                <w:lang w:eastAsia="zh-CN"/>
              </w:rPr>
              <w:t>序号</w:t>
            </w:r>
          </w:p>
        </w:tc>
        <w:tc>
          <w:tcPr>
            <w:tcW w:w="3095" w:type="dxa"/>
            <w:vAlign w:val="center"/>
          </w:tcPr>
          <w:p>
            <w:pPr>
              <w:widowControl w:val="0"/>
              <w:adjustRightInd w:val="0"/>
              <w:snapToGrid w:val="0"/>
              <w:spacing w:line="360" w:lineRule="auto"/>
              <w:jc w:val="center"/>
              <w:rPr>
                <w:rFonts w:ascii="宋体" w:eastAsia="宋体" w:hAnsi="宋体" w:hint="eastAsia"/>
                <w:sz w:val="21"/>
                <w:szCs w:val="21"/>
                <w:lang w:eastAsia="zh-CN"/>
              </w:rPr>
            </w:pPr>
            <w:r>
              <w:rPr>
                <w:rFonts w:ascii="宋体" w:eastAsia="宋体" w:hAnsi="宋体" w:hint="eastAsia"/>
                <w:sz w:val="21"/>
                <w:szCs w:val="21"/>
                <w:lang w:eastAsia="zh-CN"/>
              </w:rPr>
              <w:t>实质性条款具体内容</w:t>
            </w:r>
          </w:p>
        </w:tc>
        <w:tc>
          <w:tcPr>
            <w:tcW w:w="2572" w:type="dxa"/>
            <w:vAlign w:val="center"/>
          </w:tcPr>
          <w:p>
            <w:pPr>
              <w:widowControl w:val="0"/>
              <w:adjustRightInd w:val="0"/>
              <w:snapToGrid w:val="0"/>
              <w:spacing w:line="360" w:lineRule="auto"/>
              <w:jc w:val="center"/>
              <w:rPr>
                <w:rFonts w:ascii="宋体" w:eastAsia="宋体" w:hAnsi="宋体" w:hint="eastAsia"/>
                <w:sz w:val="21"/>
                <w:szCs w:val="21"/>
                <w:lang w:eastAsia="zh-CN"/>
              </w:rPr>
            </w:pPr>
            <w:r>
              <w:rPr>
                <w:rFonts w:eastAsia="宋体" w:hint="eastAsia"/>
                <w:kern w:val="2"/>
                <w:sz w:val="21"/>
                <w:lang w:eastAsia="zh-CN"/>
              </w:rPr>
              <w:t>谈判响应</w:t>
            </w:r>
          </w:p>
        </w:tc>
        <w:tc>
          <w:tcPr>
            <w:tcW w:w="1131" w:type="dxa"/>
            <w:vAlign w:val="center"/>
          </w:tcPr>
          <w:p>
            <w:pPr>
              <w:widowControl w:val="0"/>
              <w:adjustRightInd w:val="0"/>
              <w:snapToGrid w:val="0"/>
              <w:spacing w:line="360" w:lineRule="auto"/>
              <w:jc w:val="center"/>
              <w:rPr>
                <w:rFonts w:ascii="宋体" w:eastAsia="宋体" w:hAnsi="宋体" w:hint="eastAsia"/>
                <w:sz w:val="21"/>
                <w:szCs w:val="21"/>
                <w:lang w:eastAsia="zh-CN"/>
              </w:rPr>
            </w:pPr>
            <w:r>
              <w:rPr>
                <w:rFonts w:eastAsia="宋体" w:hint="eastAsia"/>
                <w:kern w:val="2"/>
                <w:sz w:val="21"/>
                <w:lang w:eastAsia="zh-CN"/>
              </w:rPr>
              <w:t>偏离情况</w:t>
            </w:r>
          </w:p>
        </w:tc>
        <w:tc>
          <w:tcPr>
            <w:tcW w:w="714" w:type="dxa"/>
            <w:vAlign w:val="center"/>
          </w:tcPr>
          <w:p>
            <w:pPr>
              <w:widowControl w:val="0"/>
              <w:adjustRightInd w:val="0"/>
              <w:snapToGrid w:val="0"/>
              <w:spacing w:line="360" w:lineRule="auto"/>
              <w:jc w:val="center"/>
              <w:rPr>
                <w:rFonts w:ascii="宋体" w:eastAsia="宋体" w:hAnsi="宋体" w:hint="eastAsia"/>
                <w:sz w:val="21"/>
                <w:szCs w:val="21"/>
                <w:lang w:eastAsia="zh-CN"/>
              </w:rPr>
            </w:pPr>
            <w:r>
              <w:rPr>
                <w:rFonts w:eastAsia="宋体" w:hint="eastAsia"/>
                <w:kern w:val="2"/>
                <w:sz w:val="21"/>
                <w:lang w:eastAsia="zh-CN"/>
              </w:rPr>
              <w:t>说明</w:t>
            </w:r>
          </w:p>
        </w:tc>
      </w:tr>
      <w:tr>
        <w:tblPrEx>
          <w:tblW w:w="5000" w:type="pct"/>
          <w:tblInd w:w="0" w:type="dxa"/>
          <w:tblLayout w:type="fixed"/>
          <w:tblCellMar>
            <w:top w:w="0" w:type="dxa"/>
            <w:left w:w="108" w:type="dxa"/>
            <w:bottom w:w="0" w:type="dxa"/>
            <w:right w:w="108" w:type="dxa"/>
          </w:tblCellMar>
        </w:tblPrEx>
        <w:tc>
          <w:tcPr>
            <w:tcW w:w="705" w:type="dxa"/>
          </w:tcPr>
          <w:p>
            <w:pPr>
              <w:widowControl w:val="0"/>
              <w:adjustRightInd w:val="0"/>
              <w:snapToGrid w:val="0"/>
              <w:spacing w:line="360" w:lineRule="auto"/>
              <w:jc w:val="both"/>
              <w:rPr>
                <w:rFonts w:ascii="宋体" w:eastAsia="宋体" w:hAnsi="宋体" w:hint="eastAsia"/>
                <w:sz w:val="21"/>
                <w:szCs w:val="21"/>
                <w:lang w:eastAsia="zh-CN"/>
              </w:rPr>
            </w:pPr>
            <w:r>
              <w:rPr>
                <w:rFonts w:ascii="宋体" w:eastAsia="宋体" w:hAnsi="宋体" w:hint="eastAsia"/>
                <w:sz w:val="21"/>
                <w:szCs w:val="21"/>
                <w:lang w:eastAsia="zh-CN"/>
              </w:rPr>
              <w:t>1</w:t>
            </w:r>
          </w:p>
        </w:tc>
        <w:tc>
          <w:tcPr>
            <w:tcW w:w="3095" w:type="dxa"/>
            <w:vAlign w:val="center"/>
          </w:tcPr>
          <w:p>
            <w:pPr>
              <w:widowControl w:val="0"/>
              <w:adjustRightInd w:val="0"/>
              <w:snapToGrid w:val="0"/>
              <w:spacing w:line="360" w:lineRule="auto"/>
              <w:jc w:val="center"/>
              <w:rPr>
                <w:rFonts w:eastAsia="宋体" w:hAnsi="宋体" w:hint="eastAsia"/>
                <w:sz w:val="21"/>
                <w:szCs w:val="21"/>
                <w:lang w:eastAsia="zh-CN"/>
              </w:rPr>
            </w:pPr>
            <w:r>
              <w:rPr>
                <w:rFonts w:eastAsia="宋体" w:hint="eastAsia"/>
                <w:kern w:val="2"/>
                <w:sz w:val="21"/>
                <w:lang w:eastAsia="zh-CN"/>
              </w:rPr>
              <w:t>满足本项目标★的条款要求</w:t>
            </w:r>
          </w:p>
        </w:tc>
        <w:tc>
          <w:tcPr>
            <w:tcW w:w="2572" w:type="dxa"/>
          </w:tcPr>
          <w:p>
            <w:pPr>
              <w:widowControl w:val="0"/>
              <w:adjustRightInd w:val="0"/>
              <w:snapToGrid w:val="0"/>
              <w:spacing w:line="360" w:lineRule="auto"/>
              <w:jc w:val="both"/>
              <w:rPr>
                <w:rFonts w:ascii="宋体" w:eastAsia="宋体" w:hAnsi="宋体" w:hint="eastAsia"/>
                <w:sz w:val="21"/>
                <w:szCs w:val="21"/>
                <w:lang w:eastAsia="zh-CN"/>
              </w:rPr>
            </w:pPr>
          </w:p>
        </w:tc>
        <w:tc>
          <w:tcPr>
            <w:tcW w:w="1131" w:type="dxa"/>
          </w:tcPr>
          <w:p>
            <w:pPr>
              <w:widowControl w:val="0"/>
              <w:adjustRightInd w:val="0"/>
              <w:snapToGrid w:val="0"/>
              <w:spacing w:line="360" w:lineRule="auto"/>
              <w:jc w:val="both"/>
              <w:rPr>
                <w:rFonts w:ascii="宋体" w:eastAsia="宋体" w:hAnsi="宋体" w:hint="eastAsia"/>
                <w:sz w:val="21"/>
                <w:szCs w:val="21"/>
                <w:lang w:eastAsia="zh-CN"/>
              </w:rPr>
            </w:pPr>
          </w:p>
        </w:tc>
        <w:tc>
          <w:tcPr>
            <w:tcW w:w="714" w:type="dxa"/>
          </w:tcPr>
          <w:p>
            <w:pPr>
              <w:widowControl w:val="0"/>
              <w:adjustRightInd w:val="0"/>
              <w:snapToGrid w:val="0"/>
              <w:spacing w:line="360" w:lineRule="auto"/>
              <w:jc w:val="both"/>
              <w:rPr>
                <w:rFonts w:ascii="宋体" w:eastAsia="宋体" w:hAnsi="宋体" w:hint="eastAsia"/>
                <w:sz w:val="21"/>
                <w:szCs w:val="21"/>
                <w:lang w:eastAsia="zh-CN"/>
              </w:rPr>
            </w:pPr>
          </w:p>
        </w:tc>
      </w:tr>
    </w:tbl>
    <w:p>
      <w:pPr>
        <w:widowControl w:val="0"/>
        <w:ind w:firstLine="480" w:firstLineChars="200"/>
        <w:jc w:val="both"/>
        <w:rPr>
          <w:rFonts w:eastAsia="宋体"/>
          <w:b/>
          <w:kern w:val="2"/>
          <w:szCs w:val="22"/>
          <w:lang w:eastAsia="zh-CN"/>
        </w:rPr>
      </w:pPr>
    </w:p>
    <w:p>
      <w:pPr>
        <w:widowControl w:val="0"/>
        <w:ind w:firstLine="480" w:firstLineChars="200"/>
        <w:jc w:val="both"/>
        <w:rPr>
          <w:rFonts w:eastAsia="宋体"/>
          <w:b/>
          <w:kern w:val="2"/>
          <w:szCs w:val="22"/>
          <w:lang w:eastAsia="zh-CN"/>
        </w:rPr>
      </w:pPr>
      <w:r>
        <w:rPr>
          <w:rFonts w:eastAsia="宋体" w:hint="eastAsia"/>
          <w:b/>
          <w:kern w:val="2"/>
          <w:szCs w:val="22"/>
          <w:lang w:eastAsia="zh-CN"/>
        </w:rPr>
        <w:t>注：1.上表所列各项均为不可负偏离条款。</w:t>
      </w:r>
    </w:p>
    <w:p>
      <w:pPr>
        <w:widowControl w:val="0"/>
        <w:numPr>
          <w:ilvl w:val="12"/>
          <w:numId w:val="0"/>
        </w:numPr>
        <w:ind w:left="0" w:firstLine="480" w:firstLineChars="200"/>
        <w:jc w:val="both"/>
        <w:rPr>
          <w:rFonts w:eastAsia="宋体"/>
          <w:b/>
          <w:kern w:val="2"/>
          <w:szCs w:val="22"/>
          <w:lang w:eastAsia="zh-CN"/>
        </w:rPr>
      </w:pPr>
      <w:r>
        <w:rPr>
          <w:rFonts w:eastAsia="宋体" w:hint="eastAsia"/>
          <w:b/>
          <w:kern w:val="2"/>
          <w:szCs w:val="22"/>
          <w:lang w:eastAsia="zh-CN"/>
        </w:rPr>
        <w:t>2.“谈判响应”一栏应当详细填写供应商自身响应情况，而不能不合理照搬照抄谈判文件实质性条款具体内容。</w:t>
      </w:r>
    </w:p>
    <w:p>
      <w:pPr>
        <w:widowControl w:val="0"/>
        <w:ind w:firstLine="480" w:firstLineChars="200"/>
        <w:jc w:val="both"/>
        <w:rPr>
          <w:rFonts w:eastAsia="宋体"/>
          <w:b/>
          <w:kern w:val="2"/>
          <w:lang w:eastAsia="zh-CN"/>
        </w:rPr>
      </w:pPr>
      <w:r>
        <w:rPr>
          <w:rFonts w:eastAsia="宋体" w:hint="eastAsia"/>
          <w:b/>
          <w:kern w:val="2"/>
          <w:szCs w:val="22"/>
          <w:lang w:eastAsia="zh-CN"/>
        </w:rPr>
        <w:t>3</w:t>
      </w:r>
      <w:r>
        <w:rPr>
          <w:rFonts w:eastAsia="宋体"/>
          <w:b/>
          <w:kern w:val="2"/>
          <w:szCs w:val="22"/>
          <w:lang w:eastAsia="zh-CN"/>
        </w:rPr>
        <w:t>.</w:t>
      </w:r>
      <w:r>
        <w:rPr>
          <w:rFonts w:eastAsia="宋体" w:hint="eastAsia"/>
          <w:b/>
          <w:kern w:val="2"/>
          <w:szCs w:val="22"/>
          <w:lang w:eastAsia="zh-CN"/>
        </w:rPr>
        <w:t>“偏离情况”一栏应填写“正偏离”、“负偏离”或“无偏离”，</w:t>
      </w:r>
      <w:r>
        <w:rPr>
          <w:rFonts w:eastAsia="宋体" w:hint="eastAsia"/>
          <w:b/>
          <w:kern w:val="2"/>
          <w:lang w:eastAsia="zh-CN"/>
        </w:rPr>
        <w:t>“正偏离”表示“投标（应答）响应优于实质性条款具体内容要求”，“负偏离”表示“投标（应答）响应不满足实质性条款具体内容要求”，“无偏离”表示“投标（应答）响应与实质性条款具体内容要求一致”。</w:t>
      </w:r>
    </w:p>
    <w:p>
      <w:pPr>
        <w:widowControl w:val="0"/>
        <w:ind w:firstLine="480" w:firstLineChars="200"/>
        <w:jc w:val="both"/>
        <w:rPr>
          <w:rFonts w:eastAsia="宋体"/>
          <w:b/>
          <w:kern w:val="2"/>
          <w:lang w:eastAsia="zh-CN"/>
        </w:rPr>
      </w:pPr>
      <w:r>
        <w:rPr>
          <w:rFonts w:eastAsia="宋体"/>
          <w:b/>
          <w:kern w:val="2"/>
          <w:lang w:eastAsia="zh-CN"/>
        </w:rPr>
        <w:t>4.</w:t>
      </w:r>
      <w:r>
        <w:rPr>
          <w:rFonts w:eastAsia="宋体" w:hint="eastAsia"/>
          <w:b/>
          <w:kern w:val="2"/>
          <w:lang w:eastAsia="zh-CN"/>
        </w:rPr>
        <w:t>谈判小组有权对谈判响应情况作出判断（作出评审结论）。</w:t>
      </w:r>
    </w:p>
    <w:p>
      <w:pPr>
        <w:widowControl w:val="0"/>
        <w:ind w:firstLine="480" w:firstLineChars="200"/>
        <w:jc w:val="both"/>
        <w:rPr>
          <w:rFonts w:eastAsia="宋体"/>
          <w:b/>
          <w:kern w:val="2"/>
          <w:szCs w:val="22"/>
          <w:lang w:eastAsia="zh-CN"/>
        </w:rPr>
      </w:pPr>
      <w:r>
        <w:rPr>
          <w:rFonts w:eastAsia="宋体"/>
          <w:b/>
          <w:kern w:val="2"/>
          <w:szCs w:val="22"/>
          <w:lang w:eastAsia="zh-CN"/>
        </w:rPr>
        <w:t>5</w:t>
      </w:r>
      <w:r>
        <w:rPr>
          <w:rFonts w:eastAsia="宋体" w:hint="eastAsia"/>
          <w:b/>
          <w:kern w:val="2"/>
          <w:szCs w:val="22"/>
          <w:lang w:eastAsia="zh-CN"/>
        </w:rPr>
        <w:t>.实质性响应条款“谈判响应”情况与应答文件其它内容冲突的，以实质性响应条款“谈判响应”内容为准。</w:t>
      </w:r>
    </w:p>
    <w:p>
      <w:pPr>
        <w:widowControl w:val="0"/>
        <w:ind w:firstLine="480" w:firstLineChars="200"/>
        <w:jc w:val="both"/>
        <w:rPr>
          <w:rFonts w:eastAsia="宋体"/>
          <w:b/>
          <w:kern w:val="2"/>
          <w:szCs w:val="22"/>
          <w:lang w:eastAsia="zh-CN"/>
        </w:rPr>
      </w:pPr>
      <w:r>
        <w:rPr>
          <w:rFonts w:eastAsia="宋体" w:hint="eastAsia"/>
          <w:b/>
          <w:kern w:val="2"/>
          <w:szCs w:val="22"/>
          <w:lang w:eastAsia="zh-CN"/>
        </w:rPr>
        <w:t>6.要求提供证明资料，在“说明”一栏中列明证明资料的位置，以便谈判；未要求提供证明材料的，供应商可以不提供。</w:t>
      </w:r>
    </w:p>
    <w:p>
      <w:pPr>
        <w:widowControl w:val="0"/>
        <w:ind w:firstLine="480" w:firstLineChars="200"/>
        <w:jc w:val="both"/>
        <w:rPr>
          <w:rFonts w:eastAsia="宋体"/>
          <w:b/>
          <w:kern w:val="2"/>
          <w:szCs w:val="22"/>
          <w:lang w:eastAsia="zh-CN"/>
        </w:rPr>
      </w:pPr>
    </w:p>
    <w:p>
      <w:pPr>
        <w:widowControl w:val="0"/>
        <w:jc w:val="both"/>
        <w:rPr>
          <w:rFonts w:eastAsia="宋体"/>
          <w:kern w:val="2"/>
          <w:lang w:eastAsia="zh-CN"/>
        </w:rPr>
      </w:pPr>
    </w:p>
    <w:p>
      <w:pPr>
        <w:widowControl w:val="0"/>
        <w:jc w:val="both"/>
        <w:rPr>
          <w:rFonts w:ascii="宋体" w:eastAsia="宋体" w:hAnsi="宋体" w:hint="eastAsia"/>
          <w:color w:val="FF0000"/>
          <w:kern w:val="2"/>
          <w:lang w:eastAsia="zh-CN"/>
        </w:rPr>
      </w:pPr>
    </w:p>
    <w:p>
      <w:pPr>
        <w:keepNext/>
        <w:keepLines/>
        <w:widowControl w:val="0"/>
        <w:spacing w:before="260" w:after="260" w:line="240" w:lineRule="auto"/>
        <w:jc w:val="center"/>
        <w:outlineLvl w:val="2"/>
        <w:rPr>
          <w:rFonts w:ascii="黑体" w:eastAsia="黑体" w:hAnsi="宋体" w:hint="eastAsia"/>
          <w:bCs/>
          <w:lang w:eastAsia="zh-CN"/>
        </w:rPr>
      </w:pPr>
      <w:r>
        <w:rPr>
          <w:rFonts w:ascii="黑体" w:eastAsia="黑体" w:hAnsi="宋体" w:hint="eastAsia"/>
          <w:bCs/>
          <w:lang w:eastAsia="zh-CN"/>
        </w:rPr>
        <w:t>八</w:t>
      </w:r>
      <w:r>
        <w:rPr>
          <w:rFonts w:ascii="黑体" w:eastAsia="黑体" w:hAnsi="宋体" w:hint="eastAsia"/>
          <w:bCs/>
          <w:lang w:eastAsia="zh-CN"/>
        </w:rPr>
        <w:t>、</w:t>
      </w:r>
      <w:r>
        <w:rPr>
          <w:rFonts w:ascii="黑体" w:eastAsia="黑体" w:hAnsi="宋体" w:hint="eastAsia"/>
          <w:bCs/>
          <w:lang w:eastAsia="zh-CN"/>
        </w:rPr>
        <w:t>投标人认为需要加以说明的其他内容（格式自定）</w:t>
      </w:r>
    </w:p>
    <w:p>
      <w:pPr>
        <w:widowControl w:val="0"/>
        <w:jc w:val="both"/>
        <w:rPr>
          <w:rFonts w:eastAsia="宋体"/>
          <w:kern w:val="2"/>
          <w:lang w:eastAsia="zh-CN"/>
        </w:rPr>
      </w:pPr>
    </w:p>
    <w:p>
      <w:pPr>
        <w:widowControl/>
        <w:jc w:val="center"/>
        <w:rPr>
          <w:rFonts w:ascii="黑体" w:eastAsia="黑体" w:hAnsi="宋体" w:hint="eastAsia"/>
          <w:lang w:eastAsia="zh-CN"/>
        </w:rPr>
      </w:pPr>
      <w:r>
        <w:rPr>
          <w:rFonts w:ascii="黑体" w:eastAsia="黑体" w:hAnsi="黑体" w:hint="eastAsia"/>
          <w:lang w:eastAsia="zh-CN"/>
        </w:rPr>
        <w:t>（一）采购违法行为风险知悉确认书</w:t>
      </w:r>
    </w:p>
    <w:p>
      <w:pPr>
        <w:widowControl/>
        <w:jc w:val="center"/>
        <w:rPr>
          <w:rFonts w:ascii="黑体" w:eastAsia="黑体" w:hAnsi="宋体" w:hint="eastAsia"/>
          <w:lang w:eastAsia="zh-CN"/>
        </w:rPr>
      </w:pPr>
      <w:r>
        <w:rPr>
          <w:rFonts w:ascii="黑体" w:eastAsia="黑体" w:hAnsi="宋体" w:hint="eastAsia"/>
          <w:lang w:eastAsia="zh-CN"/>
        </w:rPr>
        <w:t xml:space="preserve"> </w:t>
      </w:r>
    </w:p>
    <w:p>
      <w:pPr>
        <w:widowControl w:val="0"/>
        <w:ind w:firstLine="420" w:firstLineChars="200"/>
        <w:jc w:val="both"/>
        <w:rPr>
          <w:rFonts w:eastAsia="宋体"/>
          <w:kern w:val="2"/>
          <w:sz w:val="21"/>
          <w:szCs w:val="21"/>
          <w:lang w:eastAsia="zh-CN"/>
        </w:rPr>
      </w:pPr>
      <w:r>
        <w:rPr>
          <w:rFonts w:ascii="宋体" w:eastAsia="宋体" w:hAnsi="宋体" w:hint="eastAsia"/>
          <w:kern w:val="2"/>
          <w:sz w:val="21"/>
          <w:lang w:eastAsia="zh-CN"/>
        </w:rPr>
        <w:t>本公司在应答前已充分知悉以下情形为参与采购活动时的重大风险事项，并承诺已对下述风险提示事项重点排查，做到严谨、诚信、依法依规参与采购活动。</w:t>
      </w:r>
    </w:p>
    <w:p>
      <w:pPr>
        <w:widowControl w:val="0"/>
        <w:ind w:firstLine="420" w:firstLineChars="200"/>
        <w:jc w:val="both"/>
        <w:rPr>
          <w:rFonts w:eastAsia="宋体"/>
          <w:b/>
          <w:bCs/>
          <w:kern w:val="2"/>
          <w:sz w:val="21"/>
          <w:lang w:eastAsia="zh-CN"/>
        </w:rPr>
      </w:pPr>
      <w:r>
        <w:rPr>
          <w:rFonts w:ascii="宋体" w:eastAsia="宋体" w:hAnsi="宋体" w:hint="eastAsia"/>
          <w:b/>
          <w:bCs/>
          <w:kern w:val="2"/>
          <w:sz w:val="21"/>
          <w:lang w:eastAsia="zh-CN"/>
        </w:rPr>
        <w:t>一、本公司已充分知悉</w:t>
      </w:r>
      <w:r>
        <w:rPr>
          <w:rFonts w:eastAsia="宋体" w:hint="eastAsia"/>
          <w:b/>
          <w:bCs/>
          <w:kern w:val="2"/>
          <w:sz w:val="21"/>
          <w:lang w:eastAsia="zh-CN"/>
        </w:rPr>
        <w:t>“隐瞒真实情况，提供虚假资料”的法定情形，相关情形包括但不限于：</w:t>
      </w:r>
    </w:p>
    <w:p>
      <w:pPr>
        <w:widowControl w:val="0"/>
        <w:ind w:firstLine="420" w:firstLineChars="200"/>
        <w:jc w:val="both"/>
        <w:rPr>
          <w:rFonts w:eastAsia="宋体"/>
          <w:kern w:val="2"/>
          <w:sz w:val="21"/>
          <w:lang w:eastAsia="zh-CN"/>
        </w:rPr>
      </w:pPr>
      <w:r>
        <w:rPr>
          <w:rFonts w:ascii="宋体" w:eastAsia="宋体" w:hAnsi="宋体" w:hint="eastAsia"/>
          <w:kern w:val="2"/>
          <w:sz w:val="21"/>
          <w:lang w:eastAsia="zh-CN"/>
        </w:rPr>
        <w:t>（一）通过转让或者租借等方式从其他单位获取资格或者资质证书投标（应答）的。</w:t>
      </w:r>
    </w:p>
    <w:p>
      <w:pPr>
        <w:widowControl w:val="0"/>
        <w:ind w:firstLine="420" w:firstLineChars="200"/>
        <w:jc w:val="both"/>
        <w:rPr>
          <w:rFonts w:eastAsia="宋体"/>
          <w:kern w:val="2"/>
          <w:sz w:val="21"/>
          <w:lang w:eastAsia="zh-CN"/>
        </w:rPr>
      </w:pPr>
      <w:r>
        <w:rPr>
          <w:rFonts w:ascii="宋体" w:eastAsia="宋体" w:hAnsi="宋体" w:hint="eastAsia"/>
          <w:kern w:val="2"/>
          <w:sz w:val="21"/>
          <w:lang w:eastAsia="zh-CN"/>
        </w:rPr>
        <w:t>（二）由其他单位或者其他单位负责人在投标（应答）供应商编制的投标（应答）文件上加盖印章或者签字的。</w:t>
      </w:r>
    </w:p>
    <w:p>
      <w:pPr>
        <w:widowControl w:val="0"/>
        <w:ind w:firstLine="420" w:firstLineChars="200"/>
        <w:jc w:val="both"/>
        <w:rPr>
          <w:rFonts w:eastAsia="宋体"/>
          <w:kern w:val="2"/>
          <w:sz w:val="21"/>
          <w:lang w:eastAsia="zh-CN"/>
        </w:rPr>
      </w:pPr>
      <w:r>
        <w:rPr>
          <w:rFonts w:ascii="宋体" w:eastAsia="宋体" w:hAnsi="宋体" w:hint="eastAsia"/>
          <w:kern w:val="2"/>
          <w:sz w:val="21"/>
          <w:lang w:eastAsia="zh-CN"/>
        </w:rPr>
        <w:t>（三）项目负责人或者主要技术人员不是本单位人员的。</w:t>
      </w:r>
    </w:p>
    <w:p>
      <w:pPr>
        <w:widowControl w:val="0"/>
        <w:ind w:firstLine="420" w:firstLineChars="200"/>
        <w:jc w:val="both"/>
        <w:rPr>
          <w:rFonts w:eastAsia="宋体"/>
          <w:kern w:val="2"/>
          <w:sz w:val="21"/>
          <w:lang w:eastAsia="zh-CN"/>
        </w:rPr>
      </w:pPr>
      <w:r>
        <w:rPr>
          <w:rFonts w:ascii="宋体" w:eastAsia="宋体" w:hAnsi="宋体" w:hint="eastAsia"/>
          <w:kern w:val="2"/>
          <w:sz w:val="21"/>
          <w:lang w:eastAsia="zh-CN"/>
        </w:rPr>
        <w:t>（四）投标（应答）保证金不是从投标（应答）供应商基本账户转出的。</w:t>
      </w:r>
    </w:p>
    <w:p>
      <w:pPr>
        <w:widowControl w:val="0"/>
        <w:ind w:firstLine="420" w:firstLineChars="200"/>
        <w:jc w:val="both"/>
        <w:rPr>
          <w:rFonts w:eastAsia="宋体"/>
          <w:kern w:val="2"/>
          <w:sz w:val="21"/>
          <w:lang w:eastAsia="zh-CN"/>
        </w:rPr>
      </w:pPr>
      <w:r>
        <w:rPr>
          <w:rFonts w:ascii="宋体" w:eastAsia="宋体" w:hAnsi="宋体" w:hint="eastAsia"/>
          <w:kern w:val="2"/>
          <w:sz w:val="21"/>
          <w:lang w:eastAsia="zh-CN"/>
        </w:rPr>
        <w:t>（五）其他隐瞒真实情况、提供虚假资料的行为。</w:t>
      </w:r>
    </w:p>
    <w:p>
      <w:pPr>
        <w:widowControl w:val="0"/>
        <w:ind w:firstLine="420" w:firstLineChars="200"/>
        <w:jc w:val="both"/>
        <w:rPr>
          <w:rFonts w:eastAsia="宋体"/>
          <w:b/>
          <w:bCs/>
          <w:kern w:val="2"/>
          <w:sz w:val="21"/>
          <w:lang w:eastAsia="zh-CN"/>
        </w:rPr>
      </w:pPr>
      <w:r>
        <w:rPr>
          <w:rFonts w:ascii="宋体" w:eastAsia="宋体" w:hAnsi="宋体" w:hint="eastAsia"/>
          <w:b/>
          <w:bCs/>
          <w:kern w:val="2"/>
          <w:sz w:val="21"/>
          <w:lang w:eastAsia="zh-CN"/>
        </w:rPr>
        <w:t>二、本公司已充分知悉</w:t>
      </w:r>
      <w:r>
        <w:rPr>
          <w:rFonts w:eastAsia="宋体" w:hint="eastAsia"/>
          <w:b/>
          <w:bCs/>
          <w:kern w:val="2"/>
          <w:sz w:val="21"/>
          <w:lang w:eastAsia="zh-CN"/>
        </w:rPr>
        <w:t>“与其他采购参加人串通投标”的法定情形，相关情形包括但不限于：</w:t>
      </w:r>
    </w:p>
    <w:p>
      <w:pPr>
        <w:widowControl w:val="0"/>
        <w:ind w:firstLine="420" w:firstLineChars="200"/>
        <w:jc w:val="both"/>
        <w:rPr>
          <w:rFonts w:eastAsia="宋体"/>
          <w:kern w:val="2"/>
          <w:sz w:val="21"/>
          <w:lang w:eastAsia="zh-CN"/>
        </w:rPr>
      </w:pPr>
      <w:r>
        <w:rPr>
          <w:rFonts w:ascii="宋体" w:eastAsia="宋体" w:hAnsi="宋体" w:hint="eastAsia"/>
          <w:kern w:val="2"/>
          <w:sz w:val="21"/>
          <w:lang w:eastAsia="zh-CN"/>
        </w:rPr>
        <w:t>（一）投标（应答）供应商之间相互约定给予未中标的供应商利益补偿。</w:t>
      </w:r>
    </w:p>
    <w:p>
      <w:pPr>
        <w:widowControl w:val="0"/>
        <w:ind w:firstLine="420" w:firstLineChars="200"/>
        <w:jc w:val="both"/>
        <w:rPr>
          <w:rFonts w:eastAsia="宋体"/>
          <w:kern w:val="2"/>
          <w:sz w:val="21"/>
          <w:lang w:eastAsia="zh-CN"/>
        </w:rPr>
      </w:pPr>
      <w:r>
        <w:rPr>
          <w:rFonts w:ascii="宋体" w:eastAsia="宋体" w:hAnsi="宋体" w:hint="eastAsia"/>
          <w:kern w:val="2"/>
          <w:sz w:val="21"/>
          <w:lang w:eastAsia="zh-CN"/>
        </w:rPr>
        <w:t>（二）不同投标（应答）供应商的法定代表人、主要经营负责人、项目投标授权代表人、项目负责人、主要技术人员为同一人、属同一单位或者在同一单位缴纳社会保险。</w:t>
      </w:r>
    </w:p>
    <w:p>
      <w:pPr>
        <w:widowControl w:val="0"/>
        <w:ind w:firstLine="420" w:firstLineChars="200"/>
        <w:jc w:val="both"/>
        <w:rPr>
          <w:rFonts w:eastAsia="宋体"/>
          <w:kern w:val="2"/>
          <w:sz w:val="21"/>
          <w:lang w:eastAsia="zh-CN"/>
        </w:rPr>
      </w:pPr>
      <w:r>
        <w:rPr>
          <w:rFonts w:ascii="宋体" w:eastAsia="宋体" w:hAnsi="宋体" w:hint="eastAsia"/>
          <w:kern w:val="2"/>
          <w:sz w:val="21"/>
          <w:lang w:eastAsia="zh-CN"/>
        </w:rPr>
        <w:t>（三）不同投标（应答）供应商的投标文件由同一单位或者同一人编制，或者由同一人分阶段参与编制的。</w:t>
      </w:r>
    </w:p>
    <w:p>
      <w:pPr>
        <w:widowControl w:val="0"/>
        <w:ind w:firstLine="420" w:firstLineChars="200"/>
        <w:jc w:val="both"/>
        <w:rPr>
          <w:rFonts w:eastAsia="宋体"/>
          <w:kern w:val="2"/>
          <w:sz w:val="21"/>
          <w:lang w:eastAsia="zh-CN"/>
        </w:rPr>
      </w:pPr>
      <w:r>
        <w:rPr>
          <w:rFonts w:ascii="宋体" w:eastAsia="宋体" w:hAnsi="宋体" w:hint="eastAsia"/>
          <w:kern w:val="2"/>
          <w:sz w:val="21"/>
          <w:lang w:eastAsia="zh-CN"/>
        </w:rPr>
        <w:t>（四）不同投标（应答）供应商的投标文件或部分投标文件相互混装。</w:t>
      </w:r>
    </w:p>
    <w:p>
      <w:pPr>
        <w:widowControl w:val="0"/>
        <w:ind w:firstLine="420" w:firstLineChars="200"/>
        <w:jc w:val="both"/>
        <w:rPr>
          <w:rFonts w:eastAsia="宋体"/>
          <w:kern w:val="2"/>
          <w:sz w:val="21"/>
          <w:lang w:eastAsia="zh-CN"/>
        </w:rPr>
      </w:pPr>
      <w:r>
        <w:rPr>
          <w:rFonts w:ascii="宋体" w:eastAsia="宋体" w:hAnsi="宋体" w:hint="eastAsia"/>
          <w:kern w:val="2"/>
          <w:sz w:val="21"/>
          <w:lang w:eastAsia="zh-CN"/>
        </w:rPr>
        <w:t>（五）不同投标（应答）供应商的投标文件内容存在非正常一致。</w:t>
      </w:r>
    </w:p>
    <w:p>
      <w:pPr>
        <w:widowControl w:val="0"/>
        <w:ind w:firstLine="420" w:firstLineChars="200"/>
        <w:jc w:val="both"/>
        <w:rPr>
          <w:rFonts w:eastAsia="宋体"/>
          <w:kern w:val="2"/>
          <w:sz w:val="21"/>
          <w:lang w:eastAsia="zh-CN"/>
        </w:rPr>
      </w:pPr>
      <w:r>
        <w:rPr>
          <w:rFonts w:ascii="宋体" w:eastAsia="宋体" w:hAnsi="宋体" w:hint="eastAsia"/>
          <w:kern w:val="2"/>
          <w:sz w:val="21"/>
          <w:lang w:eastAsia="zh-CN"/>
        </w:rPr>
        <w:t>（六）由同一单位工作人员为两家以上（含两家）供应商进行同一项投标活动的。</w:t>
      </w:r>
    </w:p>
    <w:p>
      <w:pPr>
        <w:widowControl w:val="0"/>
        <w:ind w:firstLine="420" w:firstLineChars="200"/>
        <w:jc w:val="both"/>
        <w:rPr>
          <w:rFonts w:eastAsia="宋体"/>
          <w:kern w:val="2"/>
          <w:sz w:val="21"/>
          <w:lang w:eastAsia="zh-CN"/>
        </w:rPr>
      </w:pPr>
      <w:r>
        <w:rPr>
          <w:rFonts w:ascii="宋体" w:eastAsia="宋体" w:hAnsi="宋体" w:hint="eastAsia"/>
          <w:kern w:val="2"/>
          <w:sz w:val="21"/>
          <w:lang w:eastAsia="zh-CN"/>
        </w:rPr>
        <w:t>（七）不同供应商的投标（应答）报价呈规律性差异。</w:t>
      </w:r>
    </w:p>
    <w:p>
      <w:pPr>
        <w:widowControl w:val="0"/>
        <w:ind w:firstLine="420" w:firstLineChars="200"/>
        <w:jc w:val="both"/>
        <w:rPr>
          <w:rFonts w:eastAsia="宋体"/>
          <w:kern w:val="2"/>
          <w:sz w:val="21"/>
          <w:lang w:eastAsia="zh-CN"/>
        </w:rPr>
      </w:pPr>
      <w:r>
        <w:rPr>
          <w:rFonts w:ascii="宋体" w:eastAsia="宋体" w:hAnsi="宋体" w:hint="eastAsia"/>
          <w:kern w:val="2"/>
          <w:sz w:val="21"/>
          <w:lang w:eastAsia="zh-CN"/>
        </w:rPr>
        <w:t>（八）不同供应商的投标（应答）保证金从同一单位或者个人的账户转出。</w:t>
      </w:r>
    </w:p>
    <w:p>
      <w:pPr>
        <w:widowControl w:val="0"/>
        <w:ind w:firstLine="420" w:firstLineChars="200"/>
        <w:jc w:val="both"/>
        <w:rPr>
          <w:rFonts w:eastAsia="宋体"/>
          <w:kern w:val="2"/>
          <w:sz w:val="21"/>
          <w:lang w:eastAsia="zh-CN"/>
        </w:rPr>
      </w:pPr>
      <w:r>
        <w:rPr>
          <w:rFonts w:ascii="宋体" w:eastAsia="宋体" w:hAnsi="宋体" w:hint="eastAsia"/>
          <w:kern w:val="2"/>
          <w:sz w:val="21"/>
          <w:lang w:eastAsia="zh-CN"/>
        </w:rPr>
        <w:t>（九）主管部门依照法律、法规认定的其他情形。</w:t>
      </w:r>
    </w:p>
    <w:p>
      <w:pPr>
        <w:widowControl w:val="0"/>
        <w:ind w:firstLine="420" w:firstLineChars="200"/>
        <w:jc w:val="both"/>
        <w:rPr>
          <w:rFonts w:eastAsia="宋体"/>
          <w:b/>
          <w:bCs/>
          <w:kern w:val="2"/>
          <w:sz w:val="21"/>
          <w:lang w:eastAsia="zh-CN"/>
        </w:rPr>
      </w:pPr>
      <w:r>
        <w:rPr>
          <w:rFonts w:ascii="宋体" w:eastAsia="宋体" w:hAnsi="宋体" w:hint="eastAsia"/>
          <w:b/>
          <w:bCs/>
          <w:kern w:val="2"/>
          <w:sz w:val="21"/>
          <w:lang w:eastAsia="zh-CN"/>
        </w:rPr>
        <w:t>三、本公司已充分知悉下列情形所对应的法律风险，并在应答前已对相关风险事项进行排查。</w:t>
      </w:r>
    </w:p>
    <w:p>
      <w:pPr>
        <w:widowControl w:val="0"/>
        <w:ind w:firstLine="420" w:firstLineChars="200"/>
        <w:jc w:val="both"/>
        <w:rPr>
          <w:rFonts w:eastAsia="宋体"/>
          <w:b/>
          <w:bCs/>
          <w:kern w:val="2"/>
          <w:sz w:val="21"/>
          <w:lang w:eastAsia="zh-CN"/>
        </w:rPr>
      </w:pPr>
      <w:r>
        <w:rPr>
          <w:rFonts w:ascii="宋体" w:eastAsia="宋体" w:hAnsi="宋体" w:hint="eastAsia"/>
          <w:kern w:val="2"/>
          <w:sz w:val="21"/>
          <w:lang w:eastAsia="zh-CN"/>
        </w:rPr>
        <w:t>（一）对于从其他主体获取的投标（应答）资料，供应商应审慎核查，确保投标（应答）资料的真实性。</w:t>
      </w:r>
      <w:r>
        <w:rPr>
          <w:rFonts w:ascii="宋体" w:eastAsia="宋体" w:hAnsi="宋体" w:hint="eastAsia"/>
          <w:b/>
          <w:bCs/>
          <w:kern w:val="2"/>
          <w:sz w:val="21"/>
          <w:lang w:eastAsia="zh-CN"/>
        </w:rPr>
        <w:t>如主管部门查实投标（应答）文件中存在虚假资料的，无论相关资料是否由第三方或本公司员工提供，均不影响主管部门对供应商存在</w:t>
      </w:r>
      <w:r>
        <w:rPr>
          <w:rFonts w:eastAsia="宋体" w:hint="eastAsia"/>
          <w:b/>
          <w:bCs/>
          <w:kern w:val="2"/>
          <w:sz w:val="21"/>
          <w:lang w:eastAsia="zh-CN"/>
        </w:rPr>
        <w:t>“隐瞒真实情况，提供虚假资料”违法行为的认定。</w:t>
      </w:r>
    </w:p>
    <w:p>
      <w:pPr>
        <w:widowControl w:val="0"/>
        <w:ind w:firstLine="420" w:firstLineChars="200"/>
        <w:jc w:val="both"/>
        <w:rPr>
          <w:rFonts w:eastAsia="宋体"/>
          <w:kern w:val="2"/>
          <w:sz w:val="21"/>
          <w:lang w:eastAsia="zh-CN"/>
        </w:rPr>
      </w:pPr>
      <w:r>
        <w:rPr>
          <w:rFonts w:ascii="宋体" w:eastAsia="宋体" w:hAnsi="宋体" w:hint="eastAsia"/>
          <w:kern w:val="2"/>
          <w:sz w:val="21"/>
          <w:lang w:eastAsia="zh-CN"/>
        </w:rPr>
        <w:t>（二）对于涉及国家机关出具的公文、证件、证明材料等文件，一旦涉嫌虚假，经查实，主管部门将依法从严处理，并移送有关部门追究法律责任；涉嫌犯罪的，主管部门将一并移送司法机关追究法律责任。</w:t>
      </w:r>
    </w:p>
    <w:p>
      <w:pPr>
        <w:widowControl w:val="0"/>
        <w:ind w:firstLine="420" w:firstLineChars="200"/>
        <w:jc w:val="both"/>
        <w:rPr>
          <w:rFonts w:eastAsia="宋体"/>
          <w:kern w:val="2"/>
          <w:sz w:val="21"/>
          <w:lang w:eastAsia="zh-CN"/>
        </w:rPr>
      </w:pPr>
      <w:r>
        <w:rPr>
          <w:rFonts w:ascii="宋体" w:eastAsia="宋体" w:hAnsi="宋体" w:hint="eastAsia"/>
          <w:kern w:val="2"/>
          <w:sz w:val="21"/>
          <w:lang w:eastAsia="zh-CN"/>
        </w:rPr>
        <w:t>（三）对于涉及安全生产、特种作业、抢险救灾、防疫等政府采购项目，供应商实施提供虚假资料、串通投标（应答）等违法行为的，主管部门将依法从严处理。</w:t>
      </w:r>
    </w:p>
    <w:p>
      <w:pPr>
        <w:widowControl w:val="0"/>
        <w:ind w:firstLine="420" w:firstLineChars="200"/>
        <w:jc w:val="both"/>
        <w:rPr>
          <w:rFonts w:eastAsia="宋体"/>
          <w:kern w:val="2"/>
          <w:sz w:val="21"/>
          <w:lang w:eastAsia="zh-CN"/>
        </w:rPr>
      </w:pPr>
      <w:r>
        <w:rPr>
          <w:rFonts w:ascii="宋体" w:eastAsia="宋体" w:hAnsi="宋体" w:hint="eastAsia"/>
          <w:kern w:val="2"/>
          <w:sz w:val="21"/>
          <w:lang w:eastAsia="zh-CN"/>
        </w:rPr>
        <w:t>（四）供应商应严格规范项目授权代表、员工参与采购活动的行为，加强对投标（应答）文件的审核。项目授权代表、员工编制、上传投标（应答）文件等行为违反政府采购法律法规或谈判文件要求的，供应商应当依法承担相应法律责任。</w:t>
      </w:r>
    </w:p>
    <w:p>
      <w:pPr>
        <w:widowControl w:val="0"/>
        <w:ind w:firstLine="420" w:firstLineChars="200"/>
        <w:jc w:val="both"/>
        <w:rPr>
          <w:rFonts w:eastAsia="宋体"/>
          <w:kern w:val="2"/>
          <w:sz w:val="21"/>
          <w:lang w:eastAsia="zh-CN"/>
        </w:rPr>
      </w:pPr>
      <w:r>
        <w:rPr>
          <w:rFonts w:ascii="宋体" w:eastAsia="宋体" w:hAnsi="宋体" w:hint="eastAsia"/>
          <w:kern w:val="2"/>
          <w:sz w:val="21"/>
          <w:lang w:eastAsia="zh-CN"/>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pPr>
        <w:widowControl w:val="0"/>
        <w:ind w:firstLine="420" w:firstLineChars="200"/>
        <w:jc w:val="both"/>
        <w:rPr>
          <w:rFonts w:eastAsia="宋体"/>
          <w:kern w:val="2"/>
          <w:sz w:val="21"/>
          <w:lang w:eastAsia="zh-CN"/>
        </w:rPr>
      </w:pPr>
      <w:r>
        <w:rPr>
          <w:rFonts w:ascii="宋体" w:eastAsia="宋体" w:hAnsi="宋体" w:hint="eastAsia"/>
          <w:kern w:val="2"/>
          <w:sz w:val="21"/>
          <w:lang w:eastAsia="zh-CN"/>
        </w:rPr>
        <w:t>（六）单位负责人为同一人或者存在直接控股、管理关系的不同供应商，不得参加同一合同项下的采购活动。相关情形如查实，依法作投标（应答）无效处理；涉嫌串通投标等违法行为的，主管部门将依法调查处理。</w:t>
      </w:r>
    </w:p>
    <w:p>
      <w:pPr>
        <w:widowControl w:val="0"/>
        <w:ind w:firstLine="420" w:firstLineChars="200"/>
        <w:jc w:val="both"/>
        <w:rPr>
          <w:rFonts w:eastAsia="宋体"/>
          <w:b/>
          <w:bCs/>
          <w:kern w:val="2"/>
          <w:sz w:val="21"/>
          <w:lang w:eastAsia="zh-CN"/>
        </w:rPr>
      </w:pPr>
      <w:r>
        <w:rPr>
          <w:rFonts w:ascii="宋体" w:eastAsia="宋体" w:hAnsi="宋体" w:hint="eastAsia"/>
          <w:b/>
          <w:bCs/>
          <w:kern w:val="2"/>
          <w:sz w:val="21"/>
          <w:lang w:eastAsia="zh-CN"/>
        </w:rPr>
        <w:t>四、本公司已充分知悉政府采购违法、违规行为的法律后果。</w:t>
      </w:r>
    </w:p>
    <w:p>
      <w:pPr>
        <w:widowControl w:val="0"/>
        <w:ind w:firstLine="420" w:firstLineChars="200"/>
        <w:jc w:val="both"/>
        <w:rPr>
          <w:rFonts w:eastAsia="宋体"/>
          <w:kern w:val="2"/>
          <w:sz w:val="21"/>
          <w:lang w:eastAsia="zh-CN"/>
        </w:rPr>
      </w:pPr>
      <w:r>
        <w:rPr>
          <w:rFonts w:ascii="宋体" w:eastAsia="宋体" w:hAnsi="宋体" w:hint="eastAsia"/>
          <w:kern w:val="2"/>
          <w:sz w:val="21"/>
          <w:lang w:eastAsia="zh-CN"/>
        </w:rPr>
        <w:t>经查实，若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以下文字请供应商抄写并确认：</w:t>
      </w:r>
      <w:r>
        <w:rPr>
          <w:rFonts w:eastAsia="宋体" w:hint="eastAsia"/>
          <w:kern w:val="2"/>
          <w:sz w:val="21"/>
          <w:lang w:eastAsia="zh-CN"/>
        </w:rPr>
        <w:t>“本公司已仔细阅读《政府采购违法行为风险知悉确认书》，充分知悉违法行为的法律后果，并承诺将严谨、诚信、依法依规参与采购活动”。</w:t>
      </w:r>
    </w:p>
    <w:tbl>
      <w:tblPr>
        <w:tblStyle w:val="10"/>
        <w:tblW w:w="5000" w:type="pct"/>
        <w:tblInd w:w="0" w:type="dxa"/>
        <w:tblBorders>
          <w:top w:val="none" w:sz="0" w:space="0" w:color="auto"/>
          <w:left w:val="none" w:sz="0" w:space="0" w:color="auto"/>
          <w:bottom w:val="single" w:sz="4" w:space="0" w:color="auto"/>
          <w:right w:val="none" w:sz="0" w:space="0" w:color="auto"/>
          <w:insideH w:val="single" w:sz="4" w:space="0" w:color="auto"/>
          <w:insideV w:val="single" w:sz="4" w:space="0" w:color="auto"/>
        </w:tblBorders>
        <w:tblLayout w:type="fixed"/>
        <w:tblCellMar>
          <w:top w:w="0" w:type="dxa"/>
          <w:left w:w="108" w:type="dxa"/>
          <w:bottom w:w="0" w:type="dxa"/>
          <w:right w:w="108" w:type="dxa"/>
        </w:tblCellMar>
      </w:tblPr>
      <w:tblGrid>
        <w:gridCol w:w="8529"/>
      </w:tblGrid>
      <w:tr>
        <w:tblPrEx>
          <w:tblW w:w="5000" w:type="pct"/>
          <w:tblInd w:w="0" w:type="dxa"/>
          <w:tblBorders>
            <w:top w:val="none" w:sz="0" w:space="0" w:color="auto"/>
            <w:left w:val="none" w:sz="0" w:space="0" w:color="auto"/>
            <w:bottom w:val="single" w:sz="4" w:space="0" w:color="auto"/>
            <w:right w:val="none" w:sz="0" w:space="0" w:color="auto"/>
            <w:insideH w:val="single" w:sz="4" w:space="0" w:color="auto"/>
            <w:insideV w:val="single" w:sz="4" w:space="0" w:color="auto"/>
          </w:tblBorders>
          <w:tblLayout w:type="fixed"/>
          <w:tblCellMar>
            <w:top w:w="0" w:type="dxa"/>
            <w:left w:w="108" w:type="dxa"/>
            <w:bottom w:w="0" w:type="dxa"/>
            <w:right w:w="108" w:type="dxa"/>
          </w:tblCellMar>
        </w:tblPrEx>
        <w:trPr>
          <w:trHeight w:val="304"/>
        </w:trPr>
        <w:tc>
          <w:tcPr>
            <w:tcW w:w="8529" w:type="dxa"/>
            <w:tcBorders>
              <w:top w:val="nil"/>
              <w:left w:val="nil"/>
              <w:bottom w:val="single" w:sz="8" w:space="0" w:color="000000"/>
              <w:right w:val="nil"/>
            </w:tcBorders>
          </w:tcPr>
          <w:p>
            <w:pPr>
              <w:autoSpaceDE w:val="0"/>
              <w:autoSpaceDN w:val="0"/>
              <w:spacing w:line="400" w:lineRule="exact"/>
              <w:ind w:firstLine="1866"/>
              <w:rPr>
                <w:rFonts w:ascii="宋体" w:hAnsi="宋体" w:hint="eastAsia"/>
                <w:spacing w:val="-4"/>
                <w:sz w:val="21"/>
                <w:szCs w:val="21"/>
                <w:lang w:eastAsia="zh-CN"/>
              </w:rPr>
            </w:pPr>
          </w:p>
        </w:tc>
      </w:tr>
      <w:tr>
        <w:tblPrEx>
          <w:tblW w:w="5000" w:type="pct"/>
          <w:tblInd w:w="0" w:type="dxa"/>
          <w:tblLayout w:type="fixed"/>
          <w:tblCellMar>
            <w:top w:w="0" w:type="dxa"/>
            <w:left w:w="108" w:type="dxa"/>
            <w:bottom w:w="0" w:type="dxa"/>
            <w:right w:w="108" w:type="dxa"/>
          </w:tblCellMar>
        </w:tblPrEx>
        <w:tc>
          <w:tcPr>
            <w:tcW w:w="8529" w:type="dxa"/>
            <w:tcBorders>
              <w:top w:val="single" w:sz="8" w:space="0" w:color="000000"/>
              <w:left w:val="nil"/>
              <w:bottom w:val="single" w:sz="8" w:space="0" w:color="000000"/>
              <w:right w:val="nil"/>
            </w:tcBorders>
          </w:tcPr>
          <w:p>
            <w:pPr>
              <w:autoSpaceDE w:val="0"/>
              <w:autoSpaceDN w:val="0"/>
              <w:spacing w:line="400" w:lineRule="exact"/>
              <w:ind w:firstLine="1866"/>
              <w:rPr>
                <w:rFonts w:ascii="宋体" w:hAnsi="宋体" w:hint="eastAsia"/>
                <w:spacing w:val="-4"/>
                <w:sz w:val="21"/>
                <w:szCs w:val="21"/>
                <w:lang w:eastAsia="zh-CN"/>
              </w:rPr>
            </w:pPr>
          </w:p>
        </w:tc>
      </w:tr>
      <w:tr>
        <w:tblPrEx>
          <w:tblW w:w="5000" w:type="pct"/>
          <w:tblInd w:w="0" w:type="dxa"/>
          <w:tblLayout w:type="fixed"/>
          <w:tblCellMar>
            <w:top w:w="0" w:type="dxa"/>
            <w:left w:w="108" w:type="dxa"/>
            <w:bottom w:w="0" w:type="dxa"/>
            <w:right w:w="108" w:type="dxa"/>
          </w:tblCellMar>
        </w:tblPrEx>
        <w:tc>
          <w:tcPr>
            <w:tcW w:w="8529" w:type="dxa"/>
            <w:tcBorders>
              <w:top w:val="single" w:sz="8" w:space="0" w:color="000000"/>
              <w:left w:val="nil"/>
              <w:bottom w:val="single" w:sz="8" w:space="0" w:color="000000"/>
              <w:right w:val="nil"/>
            </w:tcBorders>
          </w:tcPr>
          <w:p>
            <w:pPr>
              <w:autoSpaceDE w:val="0"/>
              <w:autoSpaceDN w:val="0"/>
              <w:spacing w:line="400" w:lineRule="exact"/>
              <w:ind w:firstLine="1866"/>
              <w:rPr>
                <w:rFonts w:ascii="宋体" w:hAnsi="宋体" w:hint="eastAsia"/>
                <w:spacing w:val="-4"/>
                <w:sz w:val="21"/>
                <w:szCs w:val="21"/>
                <w:lang w:eastAsia="zh-CN"/>
              </w:rPr>
            </w:pPr>
          </w:p>
        </w:tc>
      </w:tr>
      <w:tr>
        <w:tblPrEx>
          <w:tblW w:w="5000" w:type="pct"/>
          <w:tblInd w:w="0" w:type="dxa"/>
          <w:tblLayout w:type="fixed"/>
          <w:tblCellMar>
            <w:top w:w="0" w:type="dxa"/>
            <w:left w:w="108" w:type="dxa"/>
            <w:bottom w:w="0" w:type="dxa"/>
            <w:right w:w="108" w:type="dxa"/>
          </w:tblCellMar>
        </w:tblPrEx>
        <w:tc>
          <w:tcPr>
            <w:tcW w:w="8529" w:type="dxa"/>
            <w:tcBorders>
              <w:top w:val="single" w:sz="8" w:space="0" w:color="000000"/>
              <w:left w:val="nil"/>
              <w:bottom w:val="single" w:sz="8" w:space="0" w:color="auto"/>
              <w:right w:val="nil"/>
            </w:tcBorders>
          </w:tcPr>
          <w:p>
            <w:pPr>
              <w:autoSpaceDE w:val="0"/>
              <w:autoSpaceDN w:val="0"/>
              <w:spacing w:line="400" w:lineRule="exact"/>
              <w:ind w:firstLine="1866"/>
              <w:rPr>
                <w:rFonts w:ascii="宋体" w:hAnsi="宋体" w:hint="eastAsia"/>
                <w:spacing w:val="-4"/>
                <w:sz w:val="21"/>
                <w:szCs w:val="21"/>
                <w:lang w:eastAsia="zh-CN"/>
              </w:rPr>
            </w:pPr>
          </w:p>
        </w:tc>
      </w:tr>
    </w:tbl>
    <w:p>
      <w:pPr>
        <w:widowControl/>
        <w:wordWrap w:val="0"/>
        <w:autoSpaceDE w:val="0"/>
        <w:autoSpaceDN w:val="0"/>
        <w:spacing w:line="400" w:lineRule="exact"/>
        <w:ind w:right="808" w:firstLine="420" w:firstLineChars="200"/>
        <w:jc w:val="right"/>
        <w:rPr>
          <w:rFonts w:ascii="宋体" w:eastAsia="宋体" w:hAnsi="宋体" w:hint="eastAsia"/>
          <w:spacing w:val="-4"/>
          <w:sz w:val="21"/>
          <w:u w:val="single"/>
          <w:lang w:eastAsia="zh-CN"/>
        </w:rPr>
      </w:pPr>
      <w:r>
        <w:rPr>
          <w:rFonts w:ascii="宋体" w:eastAsia="宋体" w:hAnsi="宋体" w:hint="eastAsia"/>
          <w:spacing w:val="-4"/>
          <w:sz w:val="21"/>
          <w:lang w:eastAsia="zh-CN"/>
        </w:rPr>
        <w:t>负责人/谈判授权代表签名：</w:t>
      </w:r>
      <w:r>
        <w:rPr>
          <w:rFonts w:ascii="宋体" w:eastAsia="宋体" w:hAnsi="宋体" w:hint="eastAsia"/>
          <w:spacing w:val="-4"/>
          <w:sz w:val="21"/>
          <w:u w:val="single"/>
          <w:lang w:eastAsia="zh-CN"/>
        </w:rPr>
        <w:t xml:space="preserve">              </w:t>
      </w:r>
    </w:p>
    <w:p>
      <w:pPr>
        <w:widowControl/>
        <w:wordWrap w:val="0"/>
        <w:autoSpaceDE w:val="0"/>
        <w:autoSpaceDN w:val="0"/>
        <w:spacing w:line="400" w:lineRule="exact"/>
        <w:ind w:right="808" w:firstLine="420" w:firstLineChars="200"/>
        <w:jc w:val="right"/>
        <w:rPr>
          <w:rFonts w:ascii="宋体" w:eastAsia="宋体" w:hAnsi="宋体" w:hint="eastAsia"/>
          <w:spacing w:val="-4"/>
          <w:sz w:val="21"/>
          <w:u w:val="single"/>
          <w:lang w:eastAsia="zh-CN"/>
        </w:rPr>
      </w:pPr>
      <w:r>
        <w:rPr>
          <w:rFonts w:ascii="宋体" w:eastAsia="宋体" w:hAnsi="宋体" w:hint="eastAsia"/>
          <w:spacing w:val="-4"/>
          <w:sz w:val="21"/>
          <w:lang w:eastAsia="zh-CN"/>
        </w:rPr>
        <w:t>知悉人（公章）：</w:t>
      </w:r>
      <w:r>
        <w:rPr>
          <w:rFonts w:ascii="宋体" w:eastAsia="宋体" w:hAnsi="宋体" w:hint="eastAsia"/>
          <w:spacing w:val="-4"/>
          <w:sz w:val="21"/>
          <w:u w:val="single"/>
          <w:lang w:eastAsia="zh-CN"/>
        </w:rPr>
        <w:t xml:space="preserve">              </w:t>
      </w:r>
    </w:p>
    <w:p>
      <w:pPr>
        <w:widowControl/>
        <w:wordWrap w:val="0"/>
        <w:autoSpaceDE w:val="0"/>
        <w:autoSpaceDN w:val="0"/>
        <w:spacing w:line="400" w:lineRule="exact"/>
        <w:ind w:right="808" w:firstLine="420" w:firstLineChars="200"/>
        <w:jc w:val="right"/>
        <w:rPr>
          <w:rFonts w:ascii="宋体" w:eastAsia="宋体" w:hAnsi="宋体" w:hint="eastAsia"/>
          <w:spacing w:val="-4"/>
          <w:sz w:val="21"/>
          <w:u w:val="single"/>
          <w:lang w:eastAsia="zh-CN"/>
        </w:rPr>
      </w:pPr>
      <w:r>
        <w:rPr>
          <w:rFonts w:ascii="宋体" w:eastAsia="宋体" w:hAnsi="宋体" w:hint="eastAsia"/>
          <w:spacing w:val="-4"/>
          <w:sz w:val="21"/>
          <w:lang w:eastAsia="zh-CN"/>
        </w:rPr>
        <w:t xml:space="preserve">     日期：</w:t>
      </w:r>
      <w:r>
        <w:rPr>
          <w:rFonts w:ascii="宋体" w:eastAsia="宋体" w:hAnsi="宋体" w:hint="eastAsia"/>
          <w:spacing w:val="-4"/>
          <w:sz w:val="21"/>
          <w:u w:val="single"/>
          <w:lang w:eastAsia="zh-CN"/>
        </w:rPr>
        <w:t xml:space="preserve">              </w:t>
      </w:r>
    </w:p>
    <w:p>
      <w:pPr>
        <w:widowControl/>
        <w:autoSpaceDE w:val="0"/>
        <w:autoSpaceDN w:val="0"/>
        <w:spacing w:line="400" w:lineRule="exact"/>
        <w:ind w:firstLine="420" w:firstLineChars="200"/>
        <w:jc w:val="left"/>
        <w:rPr>
          <w:rFonts w:ascii="宋体" w:eastAsia="宋体" w:hAnsi="宋体" w:hint="eastAsia"/>
          <w:b/>
          <w:bCs/>
          <w:color w:val="FF0000"/>
          <w:spacing w:val="-4"/>
          <w:sz w:val="21"/>
          <w:lang w:eastAsia="zh-CN"/>
        </w:rPr>
      </w:pPr>
    </w:p>
    <w:p>
      <w:pPr>
        <w:widowControl/>
        <w:autoSpaceDE w:val="0"/>
        <w:autoSpaceDN w:val="0"/>
        <w:spacing w:line="400" w:lineRule="exact"/>
        <w:ind w:firstLine="420" w:firstLineChars="200"/>
        <w:jc w:val="left"/>
        <w:rPr>
          <w:rFonts w:ascii="宋体" w:eastAsia="宋体" w:hAnsi="宋体" w:hint="eastAsia"/>
          <w:b/>
          <w:bCs/>
          <w:color w:val="FF0000"/>
          <w:spacing w:val="-4"/>
          <w:sz w:val="21"/>
          <w:szCs w:val="21"/>
          <w:lang w:eastAsia="zh-CN"/>
        </w:rPr>
      </w:pPr>
      <w:r>
        <w:rPr>
          <w:rFonts w:ascii="宋体" w:eastAsia="宋体" w:hAnsi="宋体" w:hint="eastAsia"/>
          <w:b/>
          <w:bCs/>
          <w:color w:val="FF0000"/>
          <w:spacing w:val="-4"/>
          <w:sz w:val="21"/>
          <w:lang w:eastAsia="zh-CN"/>
        </w:rPr>
        <w:t>注：1.</w:t>
      </w:r>
      <w:r>
        <w:rPr>
          <w:rFonts w:ascii="宋体" w:eastAsia="宋体" w:hAnsi="宋体" w:hint="eastAsia"/>
          <w:b/>
          <w:bCs/>
          <w:color w:val="FF0000"/>
          <w:spacing w:val="-4"/>
          <w:sz w:val="21"/>
          <w:szCs w:val="21"/>
          <w:lang w:eastAsia="zh-CN"/>
        </w:rPr>
        <w:t>根据《深圳市财政局关于采购文件增加风险告知有关事项的通知》（深财购〔2022〕22号），该风险知悉确认书用于对供应商违法行为的警示，</w:t>
      </w:r>
      <w:r>
        <w:rPr>
          <w:rFonts w:ascii="宋体" w:eastAsia="宋体" w:hAnsi="宋体" w:hint="eastAsia"/>
          <w:b/>
          <w:bCs/>
          <w:color w:val="FF0000"/>
          <w:spacing w:val="-4"/>
          <w:sz w:val="21"/>
          <w:lang w:eastAsia="zh-CN"/>
        </w:rPr>
        <w:t>不作为供应商资格性审查及符合性审查条件。</w:t>
      </w:r>
    </w:p>
    <w:p>
      <w:pPr>
        <w:widowControl/>
        <w:autoSpaceDE w:val="0"/>
        <w:autoSpaceDN w:val="0"/>
        <w:spacing w:line="400" w:lineRule="exact"/>
        <w:ind w:firstLine="420" w:firstLineChars="200"/>
        <w:jc w:val="left"/>
        <w:rPr>
          <w:rFonts w:ascii="宋体" w:eastAsia="宋体" w:hAnsi="宋体" w:hint="eastAsia"/>
          <w:color w:val="FF0000"/>
          <w:spacing w:val="-4"/>
          <w:sz w:val="21"/>
          <w:lang w:eastAsia="zh-CN"/>
        </w:rPr>
      </w:pPr>
      <w:r>
        <w:rPr>
          <w:rFonts w:ascii="宋体" w:eastAsia="宋体" w:hAnsi="宋体" w:hint="eastAsia"/>
          <w:b/>
          <w:bCs/>
          <w:color w:val="FF0000"/>
          <w:spacing w:val="-4"/>
          <w:sz w:val="21"/>
          <w:lang w:eastAsia="zh-CN"/>
        </w:rPr>
        <w:t>2.供应商负责人或谈判授权代表签字并加盖单位公章后，扫描上传至应答文件一并提交。</w:t>
      </w:r>
    </w:p>
    <w:p>
      <w:pPr>
        <w:widowControl/>
        <w:autoSpaceDE w:val="0"/>
        <w:autoSpaceDN w:val="0"/>
        <w:spacing w:line="400" w:lineRule="exact"/>
        <w:ind w:right="808" w:firstLine="420" w:firstLineChars="200"/>
        <w:jc w:val="right"/>
        <w:rPr>
          <w:rFonts w:ascii="宋体" w:eastAsia="宋体" w:hAnsi="宋体" w:hint="eastAsia"/>
          <w:spacing w:val="-4"/>
          <w:sz w:val="21"/>
          <w:u w:val="single"/>
          <w:lang w:eastAsia="zh-CN"/>
        </w:rPr>
      </w:pPr>
    </w:p>
    <w:p>
      <w:pPr>
        <w:widowControl/>
        <w:autoSpaceDE w:val="0"/>
        <w:autoSpaceDN w:val="0"/>
        <w:spacing w:line="400" w:lineRule="exact"/>
        <w:ind w:right="808" w:firstLine="420" w:firstLineChars="200"/>
        <w:jc w:val="right"/>
        <w:rPr>
          <w:rFonts w:ascii="宋体" w:eastAsia="宋体" w:hAnsi="宋体" w:hint="eastAsia"/>
          <w:spacing w:val="-4"/>
          <w:sz w:val="21"/>
          <w:u w:val="single"/>
          <w:lang w:eastAsia="zh-CN"/>
        </w:rPr>
      </w:pPr>
    </w:p>
    <w:p>
      <w:pPr>
        <w:widowControl/>
        <w:autoSpaceDE w:val="0"/>
        <w:autoSpaceDN w:val="0"/>
        <w:spacing w:line="400" w:lineRule="exact"/>
        <w:ind w:right="808" w:firstLine="420" w:firstLineChars="200"/>
        <w:jc w:val="right"/>
        <w:rPr>
          <w:rFonts w:ascii="宋体" w:eastAsia="宋体" w:hAnsi="宋体" w:hint="eastAsia"/>
          <w:spacing w:val="-4"/>
          <w:sz w:val="21"/>
          <w:u w:val="single"/>
          <w:lang w:eastAsia="zh-CN"/>
        </w:rPr>
      </w:pPr>
    </w:p>
    <w:p>
      <w:pPr>
        <w:widowControl w:val="0"/>
        <w:jc w:val="both"/>
        <w:rPr>
          <w:rFonts w:eastAsia="宋体"/>
          <w:kern w:val="2"/>
          <w:sz w:val="21"/>
          <w:lang w:eastAsia="zh-CN"/>
        </w:rPr>
      </w:pPr>
    </w:p>
    <w:p>
      <w:pPr>
        <w:widowControl/>
        <w:jc w:val="center"/>
        <w:rPr>
          <w:rFonts w:ascii="黑体" w:eastAsia="黑体" w:hAnsi="宋体" w:hint="eastAsia"/>
          <w:szCs w:val="20"/>
          <w:lang w:eastAsia="zh-CN"/>
        </w:rPr>
      </w:pPr>
      <w:r>
        <w:rPr>
          <w:rFonts w:ascii="黑体" w:eastAsia="黑体" w:hAnsi="宋体" w:hint="eastAsia"/>
          <w:szCs w:val="20"/>
          <w:lang w:eastAsia="zh-CN"/>
        </w:rPr>
        <w:t>（二）供应商认为需要加以说明的其他内容（格式自定）</w:t>
      </w:r>
    </w:p>
    <w:p>
      <w:pPr>
        <w:widowControl w:val="0"/>
        <w:jc w:val="both"/>
        <w:rPr>
          <w:rFonts w:eastAsia="宋体"/>
          <w:kern w:val="2"/>
          <w:sz w:val="21"/>
          <w:lang w:eastAsia="zh-CN"/>
        </w:rPr>
      </w:pPr>
    </w:p>
    <w:p>
      <w:pPr>
        <w:widowControl w:val="0"/>
        <w:jc w:val="both"/>
        <w:rPr>
          <w:rFonts w:eastAsia="宋体"/>
          <w:kern w:val="2"/>
          <w:sz w:val="21"/>
          <w:lang w:eastAsia="zh-CN"/>
        </w:rPr>
      </w:pPr>
    </w:p>
    <w:p>
      <w:pPr>
        <w:widowControl w:val="0"/>
        <w:jc w:val="both"/>
        <w:rPr>
          <w:rFonts w:eastAsia="宋体"/>
          <w:kern w:val="2"/>
          <w:sz w:val="21"/>
          <w:lang w:eastAsia="zh-CN"/>
        </w:rPr>
      </w:pPr>
    </w:p>
    <w:p>
      <w:pPr>
        <w:widowControl w:val="0"/>
        <w:jc w:val="both"/>
        <w:rPr>
          <w:rFonts w:eastAsia="宋体"/>
          <w:kern w:val="2"/>
          <w:sz w:val="21"/>
          <w:lang w:eastAsia="zh-CN"/>
        </w:rPr>
      </w:pPr>
    </w:p>
    <w:p>
      <w:pPr>
        <w:widowControl w:val="0"/>
        <w:jc w:val="both"/>
        <w:rPr>
          <w:rFonts w:eastAsia="宋体"/>
          <w:kern w:val="2"/>
          <w:sz w:val="21"/>
          <w:lang w:eastAsia="zh-CN"/>
        </w:rPr>
        <w:sectPr>
          <w:pgSz w:w="11907" w:h="16840"/>
          <w:pgMar w:top="1440" w:right="1797" w:bottom="1440" w:left="1797" w:header="851" w:footer="992" w:gutter="0"/>
          <w:cols w:num="1" w:space="425"/>
          <w:titlePg/>
          <w:docGrid w:linePitch="462" w:charSpace="0"/>
        </w:sectPr>
      </w:pPr>
    </w:p>
    <w:p>
      <w:pPr>
        <w:keepNext/>
        <w:keepLines/>
        <w:widowControl w:val="0"/>
        <w:adjustRightInd w:val="0"/>
        <w:spacing w:before="260" w:after="260" w:line="240" w:lineRule="auto"/>
        <w:jc w:val="center"/>
        <w:textAlignment w:val="baseline"/>
        <w:outlineLvl w:val="1"/>
        <w:rPr>
          <w:rFonts w:ascii="宋体" w:eastAsia="宋体" w:hAnsi="宋体" w:hint="eastAsia"/>
          <w:b/>
          <w:bCs/>
          <w:szCs w:val="20"/>
          <w:lang w:eastAsia="zh-CN"/>
        </w:rPr>
      </w:pPr>
      <w:r>
        <w:rPr>
          <w:rFonts w:ascii="宋体" w:eastAsia="宋体" w:hAnsi="宋体" w:hint="eastAsia"/>
          <w:b/>
          <w:bCs/>
          <w:szCs w:val="20"/>
          <w:lang w:eastAsia="zh-CN"/>
        </w:rPr>
        <w:t>第五章  合同条款及格式</w:t>
      </w:r>
    </w:p>
    <w:p>
      <w:pPr>
        <w:widowControl w:val="0"/>
        <w:jc w:val="center"/>
        <w:outlineLvl w:val="0"/>
        <w:rPr>
          <w:rFonts w:eastAsia="宋体"/>
          <w:kern w:val="2"/>
          <w:sz w:val="21"/>
          <w:lang w:eastAsia="zh-CN"/>
        </w:rPr>
      </w:pPr>
      <w:bookmarkStart w:id="54" w:name="_Hlk72260917"/>
      <w:r>
        <w:rPr>
          <w:rFonts w:eastAsia="宋体" w:hint="eastAsia"/>
          <w:b/>
          <w:kern w:val="2"/>
          <w:lang w:eastAsia="zh-CN"/>
        </w:rPr>
        <w:t>（仅供参考，具体以项目需求及采购结果为准）</w:t>
      </w:r>
    </w:p>
    <w:bookmarkEnd w:id="54"/>
    <w:p>
      <w:pPr>
        <w:widowControl w:val="0"/>
        <w:jc w:val="both"/>
        <w:rPr>
          <w:rFonts w:eastAsia="宋体"/>
          <w:kern w:val="2"/>
          <w:sz w:val="21"/>
          <w:lang w:eastAsia="zh-CN"/>
        </w:rPr>
      </w:pPr>
    </w:p>
    <w:p>
      <w:pPr>
        <w:widowControl w:val="0"/>
        <w:ind w:firstLine="412" w:firstLineChars="196"/>
        <w:jc w:val="both"/>
        <w:rPr>
          <w:rFonts w:eastAsia="宋体"/>
          <w:kern w:val="2"/>
          <w:sz w:val="21"/>
          <w:lang w:eastAsia="zh-CN"/>
        </w:rPr>
      </w:pPr>
    </w:p>
    <w:p>
      <w:pPr>
        <w:widowControl w:val="0"/>
        <w:jc w:val="both"/>
        <w:rPr>
          <w:rFonts w:ascii="宋体" w:eastAsia="宋体" w:hAnsi="宋体" w:hint="eastAsia"/>
          <w:b/>
          <w:bCs/>
          <w:kern w:val="2"/>
          <w:sz w:val="21"/>
          <w:szCs w:val="21"/>
          <w:lang w:eastAsia="zh-CN"/>
        </w:rPr>
      </w:pPr>
      <w:r>
        <w:rPr>
          <w:rFonts w:ascii="宋体" w:eastAsia="宋体" w:hAnsi="宋体" w:hint="eastAsia"/>
          <w:b/>
          <w:bCs/>
          <w:kern w:val="2"/>
          <w:sz w:val="21"/>
          <w:szCs w:val="21"/>
          <w:lang w:eastAsia="zh-CN"/>
        </w:rPr>
        <w:t>甲方：</w:t>
      </w:r>
    </w:p>
    <w:p>
      <w:pPr>
        <w:widowControl w:val="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地址：</w:t>
      </w:r>
    </w:p>
    <w:p>
      <w:pPr>
        <w:widowControl w:val="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联系人：</w:t>
      </w:r>
      <w:r>
        <w:rPr>
          <w:rFonts w:ascii="宋体" w:eastAsia="宋体" w:hAnsi="宋体"/>
          <w:kern w:val="2"/>
          <w:sz w:val="21"/>
          <w:szCs w:val="21"/>
          <w:lang w:eastAsia="zh-CN"/>
        </w:rPr>
        <w:t xml:space="preserve">                          </w:t>
      </w:r>
    </w:p>
    <w:p>
      <w:pPr>
        <w:widowControl w:val="0"/>
        <w:jc w:val="both"/>
        <w:rPr>
          <w:rFonts w:ascii="宋体" w:eastAsia="宋体" w:hAnsi="宋体" w:hint="eastAsia"/>
          <w:b/>
          <w:bCs/>
          <w:kern w:val="2"/>
          <w:sz w:val="21"/>
          <w:szCs w:val="21"/>
          <w:lang w:eastAsia="zh-CN"/>
        </w:rPr>
      </w:pPr>
      <w:r>
        <w:rPr>
          <w:rFonts w:ascii="宋体" w:eastAsia="宋体" w:hAnsi="宋体" w:hint="eastAsia"/>
          <w:kern w:val="2"/>
          <w:sz w:val="21"/>
          <w:szCs w:val="21"/>
          <w:lang w:eastAsia="zh-CN"/>
        </w:rPr>
        <w:t>联系电话：</w:t>
      </w:r>
    </w:p>
    <w:p>
      <w:pPr>
        <w:widowControl w:val="0"/>
        <w:jc w:val="both"/>
        <w:rPr>
          <w:rFonts w:ascii="宋体" w:eastAsia="宋体" w:hAnsi="宋体" w:hint="eastAsia"/>
          <w:b/>
          <w:bCs/>
          <w:kern w:val="2"/>
          <w:sz w:val="21"/>
          <w:szCs w:val="21"/>
          <w:lang w:eastAsia="zh-CN"/>
        </w:rPr>
      </w:pPr>
      <w:r>
        <w:rPr>
          <w:rFonts w:ascii="宋体" w:eastAsia="宋体" w:hAnsi="宋体"/>
          <w:b/>
          <w:bCs/>
          <w:kern w:val="2"/>
          <w:sz w:val="21"/>
          <w:szCs w:val="21"/>
          <w:lang w:eastAsia="zh-CN"/>
        </w:rPr>
        <w:t xml:space="preserve"> </w:t>
      </w:r>
      <w:r>
        <w:rPr>
          <w:rFonts w:ascii="宋体" w:eastAsia="宋体" w:hAnsi="宋体" w:hint="eastAsia"/>
          <w:b/>
          <w:bCs/>
          <w:kern w:val="2"/>
          <w:sz w:val="21"/>
          <w:szCs w:val="21"/>
          <w:lang w:eastAsia="zh-CN"/>
        </w:rPr>
        <w:t xml:space="preserve"> </w:t>
      </w:r>
      <w:r>
        <w:rPr>
          <w:rFonts w:ascii="宋体" w:eastAsia="宋体" w:hAnsi="宋体"/>
          <w:b/>
          <w:bCs/>
          <w:kern w:val="2"/>
          <w:sz w:val="21"/>
          <w:szCs w:val="21"/>
          <w:lang w:eastAsia="zh-CN"/>
        </w:rPr>
        <w:t xml:space="preserve"> </w:t>
      </w:r>
    </w:p>
    <w:p>
      <w:pPr>
        <w:widowControl w:val="0"/>
        <w:jc w:val="both"/>
        <w:rPr>
          <w:rFonts w:ascii="宋体" w:eastAsia="宋体" w:hAnsi="宋体" w:hint="eastAsia"/>
          <w:b/>
          <w:bCs/>
          <w:kern w:val="2"/>
          <w:sz w:val="21"/>
          <w:szCs w:val="21"/>
          <w:lang w:eastAsia="zh-CN"/>
        </w:rPr>
      </w:pPr>
      <w:r>
        <w:rPr>
          <w:rFonts w:ascii="宋体" w:eastAsia="宋体" w:hAnsi="宋体" w:hint="eastAsia"/>
          <w:b/>
          <w:bCs/>
          <w:kern w:val="2"/>
          <w:sz w:val="21"/>
          <w:szCs w:val="21"/>
          <w:lang w:eastAsia="zh-CN"/>
        </w:rPr>
        <w:t>乙方：</w:t>
      </w:r>
    </w:p>
    <w:p>
      <w:pPr>
        <w:widowControl w:val="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地址：</w:t>
      </w:r>
    </w:p>
    <w:p>
      <w:pPr>
        <w:widowControl w:val="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联系人：</w:t>
      </w:r>
      <w:r>
        <w:rPr>
          <w:rFonts w:ascii="宋体" w:eastAsia="宋体" w:hAnsi="宋体"/>
          <w:kern w:val="2"/>
          <w:sz w:val="21"/>
          <w:szCs w:val="21"/>
          <w:lang w:eastAsia="zh-CN"/>
        </w:rPr>
        <w:t xml:space="preserve">                          </w:t>
      </w:r>
    </w:p>
    <w:p>
      <w:pPr>
        <w:widowControl w:val="0"/>
        <w:jc w:val="both"/>
        <w:rPr>
          <w:rFonts w:ascii="宋体" w:eastAsia="宋体" w:hAnsi="宋体" w:hint="eastAsia"/>
          <w:b/>
          <w:bCs/>
          <w:kern w:val="2"/>
          <w:sz w:val="21"/>
          <w:szCs w:val="21"/>
          <w:lang w:eastAsia="zh-CN"/>
        </w:rPr>
      </w:pPr>
      <w:r>
        <w:rPr>
          <w:rFonts w:ascii="宋体" w:eastAsia="宋体" w:hAnsi="宋体" w:hint="eastAsia"/>
          <w:kern w:val="2"/>
          <w:sz w:val="21"/>
          <w:szCs w:val="21"/>
          <w:lang w:eastAsia="zh-CN"/>
        </w:rPr>
        <w:t>联系电话：</w:t>
      </w:r>
    </w:p>
    <w:p>
      <w:pPr>
        <w:widowControl w:val="0"/>
        <w:jc w:val="both"/>
        <w:rPr>
          <w:rFonts w:ascii="宋体" w:eastAsia="宋体" w:hAnsi="宋体" w:hint="eastAsia"/>
          <w:kern w:val="2"/>
          <w:sz w:val="21"/>
          <w:szCs w:val="21"/>
          <w:lang w:eastAsia="zh-CN"/>
        </w:rPr>
      </w:pPr>
      <w:r>
        <w:rPr>
          <w:rFonts w:ascii="宋体" w:eastAsia="宋体" w:hAnsi="宋体"/>
          <w:b/>
          <w:bCs/>
          <w:kern w:val="2"/>
          <w:sz w:val="21"/>
          <w:szCs w:val="21"/>
          <w:lang w:eastAsia="zh-CN"/>
        </w:rPr>
        <w:t xml:space="preserve">            </w:t>
      </w:r>
      <w:r>
        <w:rPr>
          <w:rFonts w:ascii="宋体" w:eastAsia="宋体" w:hAnsi="宋体" w:hint="eastAsia"/>
          <w:b/>
          <w:bCs/>
          <w:kern w:val="2"/>
          <w:sz w:val="21"/>
          <w:szCs w:val="21"/>
          <w:lang w:eastAsia="zh-CN"/>
        </w:rPr>
        <w:t xml:space="preserve">          </w:t>
      </w:r>
    </w:p>
    <w:p>
      <w:pPr>
        <w:widowControl w:val="0"/>
        <w:jc w:val="both"/>
        <w:rPr>
          <w:rFonts w:ascii="宋体" w:eastAsia="宋体" w:hAnsi="宋体" w:hint="eastAsia"/>
          <w:kern w:val="2"/>
          <w:sz w:val="21"/>
          <w:szCs w:val="21"/>
          <w:lang w:eastAsia="zh-CN"/>
        </w:rPr>
      </w:pP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根据深圳公共资源交易中心（深圳交易集团有限公司政府采购业务分公司）*</w:t>
      </w:r>
      <w:r>
        <w:rPr>
          <w:rFonts w:ascii="宋体" w:eastAsia="宋体" w:hAnsi="宋体"/>
          <w:kern w:val="2"/>
          <w:sz w:val="21"/>
          <w:szCs w:val="21"/>
          <w:lang w:eastAsia="zh-CN"/>
        </w:rPr>
        <w:t>**</w:t>
      </w:r>
      <w:r>
        <w:rPr>
          <w:rFonts w:ascii="宋体" w:eastAsia="宋体" w:hAnsi="宋体" w:hint="eastAsia"/>
          <w:kern w:val="2"/>
          <w:sz w:val="21"/>
          <w:szCs w:val="21"/>
          <w:lang w:eastAsia="zh-CN"/>
        </w:rPr>
        <w:t>号项目结果，*</w:t>
      </w:r>
      <w:r>
        <w:rPr>
          <w:rFonts w:ascii="宋体" w:eastAsia="宋体" w:hAnsi="宋体"/>
          <w:kern w:val="2"/>
          <w:sz w:val="21"/>
          <w:szCs w:val="21"/>
          <w:lang w:eastAsia="zh-CN"/>
        </w:rPr>
        <w:t>**</w:t>
      </w:r>
      <w:r>
        <w:rPr>
          <w:rFonts w:ascii="宋体" w:eastAsia="宋体" w:hAnsi="宋体" w:hint="eastAsia"/>
          <w:kern w:val="2"/>
          <w:sz w:val="21"/>
          <w:szCs w:val="21"/>
          <w:lang w:eastAsia="zh-CN"/>
        </w:rPr>
        <w:t>单位为中标（成交）人。按照《中华人民共和国民法典》（第三编 合同）》和《深圳经济特区政府采购条例》，经深圳市（以下简称甲方）和单位（以下简称乙方）协商，就甲方委托乙方承担</w:t>
      </w:r>
      <w:r>
        <w:rPr>
          <w:rFonts w:ascii="宋体" w:eastAsia="宋体" w:hAnsi="宋体" w:hint="eastAsia"/>
          <w:b/>
          <w:bCs/>
          <w:snapToGrid w:val="0"/>
          <w:sz w:val="21"/>
          <w:szCs w:val="21"/>
          <w:u w:val="single"/>
          <w:lang w:val="zh-CN" w:eastAsia="zh-CN"/>
        </w:rPr>
        <w:t xml:space="preserve">                      服务项目</w:t>
      </w:r>
      <w:r>
        <w:rPr>
          <w:rFonts w:ascii="宋体" w:eastAsia="宋体" w:hAnsi="宋体" w:hint="eastAsia"/>
          <w:kern w:val="2"/>
          <w:sz w:val="21"/>
          <w:szCs w:val="21"/>
          <w:lang w:eastAsia="zh-CN"/>
        </w:rPr>
        <w:t>，达成以下合同条款：</w:t>
      </w:r>
    </w:p>
    <w:p>
      <w:pPr>
        <w:widowControl w:val="0"/>
        <w:ind w:firstLine="420" w:firstLineChars="200"/>
        <w:jc w:val="both"/>
        <w:rPr>
          <w:rFonts w:ascii="宋体" w:eastAsia="宋体" w:hAnsi="宋体" w:hint="eastAsia"/>
          <w:b/>
          <w:bCs/>
          <w:kern w:val="2"/>
          <w:sz w:val="21"/>
          <w:szCs w:val="21"/>
          <w:lang w:eastAsia="zh-CN"/>
        </w:rPr>
      </w:pPr>
      <w:r>
        <w:rPr>
          <w:rFonts w:ascii="宋体" w:eastAsia="宋体" w:hAnsi="宋体" w:hint="eastAsia"/>
          <w:b/>
          <w:bCs/>
          <w:kern w:val="2"/>
          <w:sz w:val="21"/>
          <w:szCs w:val="21"/>
          <w:lang w:eastAsia="zh-CN"/>
        </w:rPr>
        <w:t>第一条　项目概况</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 xml:space="preserve">项目名称： </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 xml:space="preserve">项目内容： </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 xml:space="preserve">服务时间： </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合同价款：合同总价为元，含一切税费。</w:t>
      </w:r>
      <w:r>
        <w:rPr>
          <w:rFonts w:eastAsia="宋体"/>
          <w:kern w:val="2"/>
          <w:sz w:val="21"/>
          <w:lang w:eastAsia="zh-CN"/>
        </w:rPr>
        <w:t>本合同总价包括</w:t>
      </w:r>
      <w:r>
        <w:rPr>
          <w:rFonts w:ascii="宋体" w:eastAsia="宋体" w:hAnsi="宋体" w:hint="eastAsia"/>
          <w:kern w:val="2"/>
          <w:sz w:val="21"/>
          <w:szCs w:val="21"/>
          <w:lang w:eastAsia="zh-CN"/>
        </w:rPr>
        <w:t>乙方为实施本项目*</w:t>
      </w:r>
      <w:r>
        <w:rPr>
          <w:rFonts w:ascii="宋体" w:eastAsia="宋体" w:hAnsi="宋体"/>
          <w:kern w:val="2"/>
          <w:sz w:val="21"/>
          <w:szCs w:val="21"/>
          <w:lang w:eastAsia="zh-CN"/>
        </w:rPr>
        <w:t>**</w:t>
      </w:r>
      <w:r>
        <w:rPr>
          <w:rFonts w:ascii="宋体" w:eastAsia="宋体" w:hAnsi="宋体" w:hint="eastAsia"/>
          <w:kern w:val="2"/>
          <w:sz w:val="21"/>
          <w:szCs w:val="21"/>
          <w:lang w:eastAsia="zh-CN"/>
        </w:rPr>
        <w:t>所需的设备仪器费、车辆租赁费、</w:t>
      </w:r>
      <w:r>
        <w:rPr>
          <w:rFonts w:eastAsia="宋体"/>
          <w:kern w:val="2"/>
          <w:sz w:val="21"/>
          <w:lang w:eastAsia="zh-CN"/>
        </w:rPr>
        <w:t>服务</w:t>
      </w:r>
      <w:r>
        <w:rPr>
          <w:rFonts w:eastAsia="宋体" w:hint="eastAsia"/>
          <w:kern w:val="2"/>
          <w:sz w:val="21"/>
          <w:lang w:eastAsia="zh-CN"/>
        </w:rPr>
        <w:t>和</w:t>
      </w:r>
      <w:r>
        <w:rPr>
          <w:rFonts w:eastAsia="宋体"/>
          <w:kern w:val="2"/>
          <w:sz w:val="21"/>
          <w:lang w:eastAsia="zh-CN"/>
        </w:rPr>
        <w:t>技术费用</w:t>
      </w:r>
      <w:r>
        <w:rPr>
          <w:rFonts w:eastAsia="宋体" w:hint="eastAsia"/>
          <w:kern w:val="2"/>
          <w:sz w:val="21"/>
          <w:lang w:eastAsia="zh-CN"/>
        </w:rPr>
        <w:t>等</w:t>
      </w:r>
      <w:r>
        <w:rPr>
          <w:rFonts w:eastAsia="宋体"/>
          <w:kern w:val="2"/>
          <w:sz w:val="21"/>
          <w:lang w:eastAsia="zh-CN"/>
        </w:rPr>
        <w:t>，为固定不变价格，且不随通货膨胀的影响而波动。合同总价包括</w:t>
      </w:r>
      <w:r>
        <w:rPr>
          <w:rFonts w:ascii="宋体" w:eastAsia="宋体" w:hAnsi="宋体" w:hint="eastAsia"/>
          <w:kern w:val="2"/>
          <w:sz w:val="21"/>
          <w:szCs w:val="21"/>
          <w:lang w:eastAsia="zh-CN"/>
        </w:rPr>
        <w:t>乙方</w:t>
      </w:r>
      <w:r>
        <w:rPr>
          <w:rFonts w:eastAsia="宋体"/>
          <w:kern w:val="2"/>
          <w:sz w:val="21"/>
          <w:lang w:eastAsia="zh-CN"/>
        </w:rPr>
        <w:t>履行本合同义务所发生的一切费用和支出和以各种方式寄送技术资料到</w:t>
      </w:r>
      <w:r>
        <w:rPr>
          <w:rFonts w:eastAsia="宋体" w:hint="eastAsia"/>
          <w:kern w:val="2"/>
          <w:sz w:val="21"/>
          <w:lang w:eastAsia="zh-CN"/>
        </w:rPr>
        <w:t>甲</w:t>
      </w:r>
      <w:r>
        <w:rPr>
          <w:rFonts w:eastAsia="宋体"/>
          <w:kern w:val="2"/>
          <w:sz w:val="21"/>
          <w:lang w:eastAsia="zh-CN"/>
        </w:rPr>
        <w:t>方办公室所发生的费用。</w:t>
      </w:r>
    </w:p>
    <w:p>
      <w:pPr>
        <w:widowControl w:val="0"/>
        <w:ind w:firstLine="42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支付方式：分期支付。</w:t>
      </w:r>
    </w:p>
    <w:p>
      <w:pPr>
        <w:widowControl w:val="0"/>
        <w:ind w:firstLine="420" w:firstLineChars="200"/>
        <w:jc w:val="both"/>
        <w:rPr>
          <w:rFonts w:ascii="宋体" w:eastAsia="宋体" w:hAnsi="宋体" w:hint="eastAsia"/>
          <w:b/>
          <w:bCs/>
          <w:kern w:val="2"/>
          <w:sz w:val="21"/>
          <w:szCs w:val="21"/>
          <w:lang w:eastAsia="zh-CN"/>
        </w:rPr>
      </w:pPr>
      <w:r>
        <w:rPr>
          <w:rFonts w:ascii="宋体" w:eastAsia="宋体" w:hAnsi="宋体" w:hint="eastAsia"/>
          <w:b/>
          <w:bCs/>
          <w:kern w:val="2"/>
          <w:sz w:val="21"/>
          <w:szCs w:val="21"/>
          <w:lang w:eastAsia="zh-CN"/>
        </w:rPr>
        <w:t>第二条  服务范围</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 xml:space="preserve">1、  </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 xml:space="preserve">2、  </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3、其他合同未明示的相关工作。</w:t>
      </w:r>
    </w:p>
    <w:p>
      <w:pPr>
        <w:widowControl w:val="0"/>
        <w:ind w:firstLine="420" w:firstLineChars="200"/>
        <w:jc w:val="both"/>
        <w:rPr>
          <w:rFonts w:ascii="宋体" w:eastAsia="宋体" w:hAnsi="宋体" w:hint="eastAsia"/>
          <w:b/>
          <w:bCs/>
          <w:kern w:val="2"/>
          <w:sz w:val="21"/>
          <w:szCs w:val="21"/>
          <w:lang w:eastAsia="zh-CN"/>
        </w:rPr>
      </w:pPr>
      <w:r>
        <w:rPr>
          <w:rFonts w:ascii="宋体" w:eastAsia="宋体" w:hAnsi="宋体" w:hint="eastAsia"/>
          <w:b/>
          <w:bCs/>
          <w:kern w:val="2"/>
          <w:sz w:val="21"/>
          <w:szCs w:val="21"/>
          <w:lang w:eastAsia="zh-CN"/>
        </w:rPr>
        <w:t>第三条  时间要求及阶段成果</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1、合同签订天内完成项目实施的准备工作，包括工作大纲和细则的编制；</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 xml:space="preserve">2、 </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w:t>
      </w:r>
    </w:p>
    <w:p>
      <w:pPr>
        <w:widowControl w:val="0"/>
        <w:ind w:firstLine="420" w:firstLineChars="200"/>
        <w:jc w:val="both"/>
        <w:rPr>
          <w:rFonts w:ascii="宋体" w:eastAsia="宋体" w:hAnsi="宋体" w:hint="eastAsia"/>
          <w:b/>
          <w:bCs/>
          <w:kern w:val="2"/>
          <w:sz w:val="21"/>
          <w:szCs w:val="21"/>
          <w:lang w:eastAsia="zh-CN"/>
        </w:rPr>
      </w:pPr>
      <w:r>
        <w:rPr>
          <w:rFonts w:ascii="宋体" w:eastAsia="宋体" w:hAnsi="宋体" w:hint="eastAsia"/>
          <w:b/>
          <w:bCs/>
          <w:kern w:val="2"/>
          <w:sz w:val="21"/>
          <w:szCs w:val="21"/>
          <w:lang w:eastAsia="zh-CN"/>
        </w:rPr>
        <w:t>第四条  咨询服务资料归属</w:t>
      </w:r>
    </w:p>
    <w:p>
      <w:pPr>
        <w:widowControl w:val="0"/>
        <w:ind w:firstLine="420" w:firstLineChars="200"/>
        <w:jc w:val="both"/>
        <w:rPr>
          <w:rFonts w:eastAsia="宋体"/>
          <w:kern w:val="2"/>
          <w:sz w:val="21"/>
          <w:lang w:eastAsia="zh-CN"/>
        </w:rPr>
      </w:pPr>
      <w:r>
        <w:rPr>
          <w:rFonts w:eastAsia="宋体"/>
          <w:kern w:val="2"/>
          <w:sz w:val="21"/>
          <w:lang w:eastAsia="zh-CN"/>
        </w:rPr>
        <w:t>1</w:t>
      </w:r>
      <w:r>
        <w:rPr>
          <w:rFonts w:eastAsia="宋体" w:hint="eastAsia"/>
          <w:kern w:val="2"/>
          <w:sz w:val="21"/>
          <w:lang w:eastAsia="zh-CN"/>
        </w:rPr>
        <w:t>、</w:t>
      </w:r>
      <w:r>
        <w:rPr>
          <w:rFonts w:eastAsia="宋体"/>
          <w:kern w:val="2"/>
          <w:sz w:val="21"/>
          <w:lang w:eastAsia="zh-CN"/>
        </w:rPr>
        <w:t>所有提交给</w:t>
      </w:r>
      <w:r>
        <w:rPr>
          <w:rFonts w:eastAsia="宋体" w:hint="eastAsia"/>
          <w:kern w:val="2"/>
          <w:sz w:val="21"/>
          <w:lang w:eastAsia="zh-CN"/>
        </w:rPr>
        <w:t>甲</w:t>
      </w:r>
      <w:r>
        <w:rPr>
          <w:rFonts w:eastAsia="宋体"/>
          <w:kern w:val="2"/>
          <w:sz w:val="21"/>
          <w:lang w:eastAsia="zh-CN"/>
        </w:rPr>
        <w:t>方的服务</w:t>
      </w:r>
      <w:r>
        <w:rPr>
          <w:rFonts w:eastAsia="宋体" w:hint="eastAsia"/>
          <w:kern w:val="2"/>
          <w:sz w:val="21"/>
          <w:lang w:eastAsia="zh-CN"/>
        </w:rPr>
        <w:t>文件</w:t>
      </w:r>
      <w:r>
        <w:rPr>
          <w:rFonts w:eastAsia="宋体"/>
          <w:kern w:val="2"/>
          <w:sz w:val="21"/>
          <w:lang w:eastAsia="zh-CN"/>
        </w:rPr>
        <w:t>及相关的资料的最后文本，包括为履行技术服务范围所编制的计划和证明资料等，都属于</w:t>
      </w:r>
      <w:r>
        <w:rPr>
          <w:rFonts w:eastAsia="宋体" w:hint="eastAsia"/>
          <w:kern w:val="2"/>
          <w:sz w:val="21"/>
          <w:lang w:eastAsia="zh-CN"/>
        </w:rPr>
        <w:t>甲</w:t>
      </w:r>
      <w:r>
        <w:rPr>
          <w:rFonts w:eastAsia="宋体"/>
          <w:kern w:val="2"/>
          <w:sz w:val="21"/>
          <w:lang w:eastAsia="zh-CN"/>
        </w:rPr>
        <w:t>方的财产，</w:t>
      </w:r>
      <w:r>
        <w:rPr>
          <w:rFonts w:ascii="宋体" w:eastAsia="宋体" w:hAnsi="宋体" w:hint="eastAsia"/>
          <w:kern w:val="2"/>
          <w:sz w:val="21"/>
          <w:szCs w:val="21"/>
          <w:lang w:eastAsia="zh-CN"/>
        </w:rPr>
        <w:t>乙</w:t>
      </w:r>
      <w:r>
        <w:rPr>
          <w:rFonts w:eastAsia="宋体"/>
          <w:kern w:val="2"/>
          <w:sz w:val="21"/>
          <w:lang w:eastAsia="zh-CN"/>
        </w:rPr>
        <w:t>方在提交给</w:t>
      </w:r>
      <w:r>
        <w:rPr>
          <w:rFonts w:eastAsia="宋体" w:hint="eastAsia"/>
          <w:kern w:val="2"/>
          <w:sz w:val="21"/>
          <w:lang w:eastAsia="zh-CN"/>
        </w:rPr>
        <w:t>甲</w:t>
      </w:r>
      <w:r>
        <w:rPr>
          <w:rFonts w:eastAsia="宋体"/>
          <w:kern w:val="2"/>
          <w:sz w:val="21"/>
          <w:lang w:eastAsia="zh-CN"/>
        </w:rPr>
        <w:t>方之前应将上述资料进行整理归类和编制索引</w:t>
      </w:r>
      <w:r>
        <w:rPr>
          <w:rFonts w:eastAsia="宋体" w:hint="eastAsia"/>
          <w:kern w:val="2"/>
          <w:sz w:val="21"/>
          <w:lang w:eastAsia="zh-CN"/>
        </w:rPr>
        <w:t>。</w:t>
      </w:r>
    </w:p>
    <w:p>
      <w:pPr>
        <w:widowControl w:val="0"/>
        <w:ind w:firstLine="420" w:firstLineChars="200"/>
        <w:jc w:val="both"/>
        <w:rPr>
          <w:rFonts w:eastAsia="宋体"/>
          <w:kern w:val="2"/>
          <w:sz w:val="21"/>
          <w:lang w:eastAsia="zh-CN"/>
        </w:rPr>
      </w:pPr>
      <w:r>
        <w:rPr>
          <w:rFonts w:eastAsia="宋体"/>
          <w:kern w:val="2"/>
          <w:sz w:val="21"/>
          <w:lang w:eastAsia="zh-CN"/>
        </w:rPr>
        <w:t>2</w:t>
      </w:r>
      <w:r>
        <w:rPr>
          <w:rFonts w:eastAsia="宋体" w:hint="eastAsia"/>
          <w:kern w:val="2"/>
          <w:sz w:val="21"/>
          <w:lang w:eastAsia="zh-CN"/>
        </w:rPr>
        <w:t>、</w:t>
      </w:r>
      <w:r>
        <w:rPr>
          <w:rFonts w:ascii="宋体" w:eastAsia="宋体" w:hAnsi="宋体" w:hint="eastAsia"/>
          <w:kern w:val="2"/>
          <w:sz w:val="21"/>
          <w:szCs w:val="21"/>
          <w:lang w:eastAsia="zh-CN"/>
        </w:rPr>
        <w:t>乙</w:t>
      </w:r>
      <w:r>
        <w:rPr>
          <w:rFonts w:eastAsia="宋体"/>
          <w:kern w:val="2"/>
          <w:sz w:val="21"/>
          <w:lang w:eastAsia="zh-CN"/>
        </w:rPr>
        <w:t>方未经</w:t>
      </w:r>
      <w:r>
        <w:rPr>
          <w:rFonts w:eastAsia="宋体" w:hint="eastAsia"/>
          <w:kern w:val="2"/>
          <w:sz w:val="21"/>
          <w:lang w:eastAsia="zh-CN"/>
        </w:rPr>
        <w:t>甲</w:t>
      </w:r>
      <w:r>
        <w:rPr>
          <w:rFonts w:eastAsia="宋体"/>
          <w:kern w:val="2"/>
          <w:sz w:val="21"/>
          <w:lang w:eastAsia="zh-CN"/>
        </w:rPr>
        <w:t>方的书面同意，不得将上述资料用于与本服务项目之外的任何项目</w:t>
      </w:r>
      <w:r>
        <w:rPr>
          <w:rFonts w:eastAsia="宋体" w:hint="eastAsia"/>
          <w:kern w:val="2"/>
          <w:sz w:val="21"/>
          <w:lang w:eastAsia="zh-CN"/>
        </w:rPr>
        <w:t>。</w:t>
      </w:r>
    </w:p>
    <w:p>
      <w:pPr>
        <w:widowControl w:val="0"/>
        <w:ind w:firstLine="420" w:firstLineChars="200"/>
        <w:jc w:val="both"/>
        <w:rPr>
          <w:rFonts w:eastAsia="宋体"/>
          <w:kern w:val="2"/>
          <w:sz w:val="21"/>
          <w:lang w:eastAsia="zh-CN"/>
        </w:rPr>
      </w:pPr>
      <w:r>
        <w:rPr>
          <w:rFonts w:eastAsia="宋体" w:hint="eastAsia"/>
          <w:kern w:val="2"/>
          <w:sz w:val="21"/>
          <w:lang w:eastAsia="zh-CN"/>
        </w:rPr>
        <w:t>3、</w:t>
      </w:r>
      <w:r>
        <w:rPr>
          <w:rFonts w:eastAsia="宋体"/>
          <w:kern w:val="2"/>
          <w:sz w:val="21"/>
          <w:lang w:eastAsia="zh-CN"/>
        </w:rPr>
        <w:t>合同履行</w:t>
      </w:r>
      <w:r>
        <w:rPr>
          <w:rFonts w:eastAsia="宋体" w:hint="eastAsia"/>
          <w:kern w:val="2"/>
          <w:sz w:val="21"/>
          <w:lang w:eastAsia="zh-CN"/>
        </w:rPr>
        <w:t>完毕，</w:t>
      </w:r>
      <w:r>
        <w:rPr>
          <w:rFonts w:eastAsia="宋体"/>
          <w:kern w:val="2"/>
          <w:sz w:val="21"/>
          <w:lang w:eastAsia="zh-CN"/>
        </w:rPr>
        <w:t>未经</w:t>
      </w:r>
      <w:r>
        <w:rPr>
          <w:rFonts w:eastAsia="宋体" w:hint="eastAsia"/>
          <w:kern w:val="2"/>
          <w:sz w:val="21"/>
          <w:lang w:eastAsia="zh-CN"/>
        </w:rPr>
        <w:t>甲</w:t>
      </w:r>
      <w:r>
        <w:rPr>
          <w:rFonts w:eastAsia="宋体"/>
          <w:kern w:val="2"/>
          <w:sz w:val="21"/>
          <w:lang w:eastAsia="zh-CN"/>
        </w:rPr>
        <w:t>方的书面同意</w:t>
      </w:r>
      <w:r>
        <w:rPr>
          <w:rFonts w:eastAsia="宋体" w:hint="eastAsia"/>
          <w:kern w:val="2"/>
          <w:sz w:val="21"/>
          <w:lang w:eastAsia="zh-CN"/>
        </w:rPr>
        <w:t>，</w:t>
      </w:r>
      <w:r>
        <w:rPr>
          <w:rFonts w:ascii="宋体" w:eastAsia="宋体" w:hAnsi="宋体" w:hint="eastAsia"/>
          <w:kern w:val="2"/>
          <w:sz w:val="21"/>
          <w:szCs w:val="21"/>
          <w:lang w:eastAsia="zh-CN"/>
        </w:rPr>
        <w:t>乙</w:t>
      </w:r>
      <w:r>
        <w:rPr>
          <w:rFonts w:eastAsia="宋体"/>
          <w:kern w:val="2"/>
          <w:sz w:val="21"/>
          <w:lang w:eastAsia="zh-CN"/>
        </w:rPr>
        <w:t>方</w:t>
      </w:r>
      <w:r>
        <w:rPr>
          <w:rFonts w:eastAsia="宋体" w:hint="eastAsia"/>
          <w:kern w:val="2"/>
          <w:sz w:val="21"/>
          <w:lang w:eastAsia="zh-CN"/>
        </w:rPr>
        <w:t>不得保存在</w:t>
      </w:r>
      <w:r>
        <w:rPr>
          <w:rFonts w:eastAsia="宋体"/>
          <w:kern w:val="2"/>
          <w:sz w:val="21"/>
          <w:lang w:eastAsia="zh-CN"/>
        </w:rPr>
        <w:t>履行合同过程中所获得或接触到的任何</w:t>
      </w:r>
      <w:r>
        <w:rPr>
          <w:rFonts w:ascii="宋体" w:eastAsia="宋体" w:hAnsi="宋体" w:hint="eastAsia"/>
          <w:kern w:val="2"/>
          <w:sz w:val="21"/>
          <w:szCs w:val="21"/>
          <w:lang w:eastAsia="zh-CN"/>
        </w:rPr>
        <w:t>内部数据资料。</w:t>
      </w:r>
    </w:p>
    <w:p>
      <w:pPr>
        <w:widowControl w:val="0"/>
        <w:ind w:firstLine="420" w:firstLineChars="200"/>
        <w:jc w:val="both"/>
        <w:rPr>
          <w:rFonts w:ascii="宋体" w:eastAsia="宋体" w:hAnsi="宋体" w:hint="eastAsia"/>
          <w:b/>
          <w:bCs/>
          <w:kern w:val="2"/>
          <w:sz w:val="21"/>
          <w:szCs w:val="21"/>
          <w:lang w:eastAsia="zh-CN"/>
        </w:rPr>
      </w:pPr>
      <w:r>
        <w:rPr>
          <w:rFonts w:ascii="宋体" w:eastAsia="宋体" w:hAnsi="宋体" w:hint="eastAsia"/>
          <w:b/>
          <w:bCs/>
          <w:kern w:val="2"/>
          <w:sz w:val="21"/>
          <w:szCs w:val="21"/>
          <w:lang w:eastAsia="zh-CN"/>
        </w:rPr>
        <w:t>第五条  甲方的义务</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1、负责与本服务项目有关的第三方的协调，提供开展服务工作的外部条件。</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2、向乙方提供与本项目服务工作有关的资料。</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3、负责组织有关专家对项目成果报告的评审。</w:t>
      </w:r>
    </w:p>
    <w:p>
      <w:pPr>
        <w:widowControl w:val="0"/>
        <w:ind w:firstLine="420" w:firstLineChars="200"/>
        <w:jc w:val="both"/>
        <w:rPr>
          <w:rFonts w:ascii="宋体" w:eastAsia="宋体" w:hAnsi="宋体" w:hint="eastAsia"/>
          <w:b/>
          <w:bCs/>
          <w:kern w:val="2"/>
          <w:sz w:val="21"/>
          <w:szCs w:val="21"/>
          <w:lang w:eastAsia="zh-CN"/>
        </w:rPr>
      </w:pPr>
      <w:r>
        <w:rPr>
          <w:rFonts w:ascii="宋体" w:eastAsia="宋体" w:hAnsi="宋体" w:hint="eastAsia"/>
          <w:b/>
          <w:bCs/>
          <w:kern w:val="2"/>
          <w:sz w:val="21"/>
          <w:szCs w:val="21"/>
          <w:lang w:eastAsia="zh-CN"/>
        </w:rPr>
        <w:t>第七条　乙方的义务</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１、应按照采购文件、投标（响应）文件要求按期完成本项目服务工作。</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2、负责组织项目的实施，保证进度和工作质量，并满足验收相关标准。</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3、</w:t>
      </w:r>
      <w:r>
        <w:rPr>
          <w:rFonts w:ascii="宋体" w:eastAsia="宋体" w:hAnsi="宋体" w:hint="eastAsia"/>
          <w:kern w:val="2"/>
          <w:sz w:val="21"/>
          <w:lang w:eastAsia="zh-CN"/>
        </w:rPr>
        <w:t>向甲方提交资料等各套，一套电子版文件。</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4、在履行合同期间或合同规定期限内，不得泄露与本合同规定业务活动有关的保密资料。</w:t>
      </w:r>
    </w:p>
    <w:p>
      <w:pPr>
        <w:widowControl w:val="0"/>
        <w:ind w:firstLine="420" w:firstLineChars="200"/>
        <w:jc w:val="both"/>
        <w:rPr>
          <w:rFonts w:ascii="宋体" w:eastAsia="宋体" w:hAnsi="宋体" w:hint="eastAsia"/>
          <w:b/>
          <w:bCs/>
          <w:kern w:val="2"/>
          <w:sz w:val="21"/>
          <w:szCs w:val="21"/>
          <w:lang w:eastAsia="zh-CN"/>
        </w:rPr>
      </w:pPr>
      <w:r>
        <w:rPr>
          <w:rFonts w:ascii="宋体" w:eastAsia="宋体" w:hAnsi="宋体" w:hint="eastAsia"/>
          <w:b/>
          <w:bCs/>
          <w:kern w:val="2"/>
          <w:sz w:val="21"/>
          <w:szCs w:val="21"/>
          <w:lang w:eastAsia="zh-CN"/>
        </w:rPr>
        <w:t>第八条  甲方的权利</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kern w:val="2"/>
          <w:sz w:val="21"/>
          <w:szCs w:val="21"/>
          <w:lang w:eastAsia="zh-CN"/>
        </w:rPr>
        <w:t>1</w:t>
      </w:r>
      <w:r>
        <w:rPr>
          <w:rFonts w:ascii="宋体" w:eastAsia="宋体" w:hAnsi="宋体" w:hint="eastAsia"/>
          <w:kern w:val="2"/>
          <w:sz w:val="21"/>
          <w:szCs w:val="21"/>
          <w:lang w:eastAsia="zh-CN"/>
        </w:rPr>
        <w:t>、有权向乙方询问工作进展情况及相关的内容。</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kern w:val="2"/>
          <w:sz w:val="21"/>
          <w:szCs w:val="21"/>
          <w:lang w:eastAsia="zh-CN"/>
        </w:rPr>
        <w:t>2</w:t>
      </w:r>
      <w:r>
        <w:rPr>
          <w:rFonts w:ascii="宋体" w:eastAsia="宋体" w:hAnsi="宋体" w:hint="eastAsia"/>
          <w:kern w:val="2"/>
          <w:sz w:val="21"/>
          <w:szCs w:val="21"/>
          <w:lang w:eastAsia="zh-CN"/>
        </w:rPr>
        <w:t>、有权阐述对具体问题的意见和建议。</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kern w:val="2"/>
          <w:sz w:val="21"/>
          <w:szCs w:val="21"/>
          <w:lang w:eastAsia="zh-CN"/>
        </w:rPr>
        <w:t>3</w:t>
      </w:r>
      <w:r>
        <w:rPr>
          <w:rFonts w:ascii="宋体" w:eastAsia="宋体" w:hAnsi="宋体" w:hint="eastAsia"/>
          <w:kern w:val="2"/>
          <w:sz w:val="21"/>
          <w:szCs w:val="21"/>
          <w:lang w:eastAsia="zh-CN"/>
        </w:rPr>
        <w:t>、当甲方认定乙方人员不按合同履行其职责，或与第三人串通给甲方造成经济损失的，甲方有权要求更换人员，直至终止合同并要求乙方承担相应的赔偿责任。</w:t>
      </w:r>
    </w:p>
    <w:p>
      <w:pPr>
        <w:widowControl w:val="0"/>
        <w:ind w:firstLine="420" w:firstLineChars="200"/>
        <w:jc w:val="both"/>
        <w:rPr>
          <w:rFonts w:ascii="宋体" w:eastAsia="宋体" w:hAnsi="宋体" w:hint="eastAsia"/>
          <w:b/>
          <w:bCs/>
          <w:kern w:val="2"/>
          <w:sz w:val="21"/>
          <w:szCs w:val="21"/>
          <w:lang w:eastAsia="zh-CN"/>
        </w:rPr>
      </w:pPr>
      <w:r>
        <w:rPr>
          <w:rFonts w:ascii="宋体" w:eastAsia="宋体" w:hAnsi="宋体" w:hint="eastAsia"/>
          <w:b/>
          <w:bCs/>
          <w:kern w:val="2"/>
          <w:sz w:val="21"/>
          <w:szCs w:val="21"/>
          <w:lang w:eastAsia="zh-CN"/>
        </w:rPr>
        <w:t>第九条  乙方的权利</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kern w:val="2"/>
          <w:sz w:val="21"/>
          <w:szCs w:val="21"/>
          <w:lang w:eastAsia="zh-CN"/>
        </w:rPr>
        <w:t>1</w:t>
      </w:r>
      <w:r>
        <w:rPr>
          <w:rFonts w:ascii="宋体" w:eastAsia="宋体" w:hAnsi="宋体" w:hint="eastAsia"/>
          <w:kern w:val="2"/>
          <w:sz w:val="21"/>
          <w:szCs w:val="21"/>
          <w:lang w:eastAsia="zh-CN"/>
        </w:rPr>
        <w:t>、乙方在本项目服务过程中，如甲方提供的资料不明确时可向甲方提出书面报告。</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kern w:val="2"/>
          <w:sz w:val="21"/>
          <w:szCs w:val="21"/>
          <w:lang w:eastAsia="zh-CN"/>
        </w:rPr>
        <w:t>2</w:t>
      </w:r>
      <w:r>
        <w:rPr>
          <w:rFonts w:ascii="宋体" w:eastAsia="宋体" w:hAnsi="宋体" w:hint="eastAsia"/>
          <w:kern w:val="2"/>
          <w:sz w:val="21"/>
          <w:szCs w:val="21"/>
          <w:lang w:eastAsia="zh-CN"/>
        </w:rPr>
        <w:t>、乙方在本项目服务过程中，有权对第三方提出与本咨询服务业务有关的问题进行核对或查问。</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kern w:val="2"/>
          <w:sz w:val="21"/>
          <w:szCs w:val="21"/>
          <w:lang w:eastAsia="zh-CN"/>
        </w:rPr>
        <w:t>3</w:t>
      </w:r>
      <w:r>
        <w:rPr>
          <w:rFonts w:ascii="宋体" w:eastAsia="宋体" w:hAnsi="宋体" w:hint="eastAsia"/>
          <w:kern w:val="2"/>
          <w:sz w:val="21"/>
          <w:szCs w:val="21"/>
          <w:lang w:eastAsia="zh-CN"/>
        </w:rPr>
        <w:t>、乙方在本项目服务过程中，有到现场勘察的权利。</w:t>
      </w:r>
    </w:p>
    <w:p>
      <w:pPr>
        <w:widowControl w:val="0"/>
        <w:ind w:firstLine="420" w:firstLineChars="200"/>
        <w:jc w:val="both"/>
        <w:rPr>
          <w:rFonts w:ascii="宋体" w:eastAsia="宋体" w:hAnsi="宋体" w:hint="eastAsia"/>
          <w:b/>
          <w:bCs/>
          <w:kern w:val="2"/>
          <w:sz w:val="21"/>
          <w:szCs w:val="21"/>
          <w:lang w:eastAsia="zh-CN"/>
        </w:rPr>
      </w:pPr>
      <w:r>
        <w:rPr>
          <w:rFonts w:ascii="宋体" w:eastAsia="宋体" w:hAnsi="宋体" w:hint="eastAsia"/>
          <w:b/>
          <w:bCs/>
          <w:kern w:val="2"/>
          <w:sz w:val="21"/>
          <w:szCs w:val="21"/>
          <w:lang w:eastAsia="zh-CN"/>
        </w:rPr>
        <w:t>第十条  甲方的责任</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1、应当履行本合同约定的义务，如有违反则应当承担违约责任，赔偿给乙方造成的损失。</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2、甲方向乙方提出赔偿要求不能成立时，则应补偿由于该赔偿或其他要求所导致乙方的各种费用的支出。</w:t>
      </w:r>
    </w:p>
    <w:p>
      <w:pPr>
        <w:widowControl w:val="0"/>
        <w:ind w:firstLine="420" w:firstLineChars="200"/>
        <w:jc w:val="both"/>
        <w:rPr>
          <w:rFonts w:ascii="宋体" w:eastAsia="宋体" w:hAnsi="宋体" w:hint="eastAsia"/>
          <w:b/>
          <w:bCs/>
          <w:kern w:val="2"/>
          <w:sz w:val="21"/>
          <w:szCs w:val="21"/>
          <w:lang w:eastAsia="zh-CN"/>
        </w:rPr>
      </w:pPr>
      <w:r>
        <w:rPr>
          <w:rFonts w:ascii="宋体" w:eastAsia="宋体" w:hAnsi="宋体" w:hint="eastAsia"/>
          <w:b/>
          <w:bCs/>
          <w:kern w:val="2"/>
          <w:sz w:val="21"/>
          <w:szCs w:val="21"/>
          <w:lang w:eastAsia="zh-CN"/>
        </w:rPr>
        <w:t>第十一条  乙方的责任</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1、乙方的责任期即本合同有效期。如因非乙方的责任造成进度的推迟或延误而超过约定的日期，双方应进一步约定相应延长合同有效期。</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2、乙方的责任期内，应当履行本合同中约定的义务，因乙方的单方过失造成的经济损失，应当向甲方进行赔偿。</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3、乙方对甲方或第三方所提出的问题不能及时核对或答复，导致合同不能全部或部分履行，乙方应承担责任。</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4、乙方向甲方提出赔偿要求不能成立时，则应补偿由于该赔偿或其他要求所导致甲方的各种费用的支出。</w:t>
      </w:r>
    </w:p>
    <w:p>
      <w:pPr>
        <w:widowControl w:val="0"/>
        <w:ind w:firstLine="420" w:firstLineChars="200"/>
        <w:jc w:val="both"/>
        <w:rPr>
          <w:rFonts w:ascii="宋体" w:eastAsia="宋体" w:hAnsi="宋体" w:hint="eastAsia"/>
          <w:b/>
          <w:bCs/>
          <w:kern w:val="2"/>
          <w:sz w:val="21"/>
          <w:szCs w:val="21"/>
          <w:lang w:eastAsia="zh-CN"/>
        </w:rPr>
      </w:pPr>
      <w:r>
        <w:rPr>
          <w:rFonts w:ascii="宋体" w:eastAsia="宋体" w:hAnsi="宋体" w:hint="eastAsia"/>
          <w:b/>
          <w:bCs/>
          <w:kern w:val="2"/>
          <w:sz w:val="21"/>
          <w:szCs w:val="21"/>
          <w:lang w:eastAsia="zh-CN"/>
        </w:rPr>
        <w:t>第十二条  人员要求</w:t>
      </w:r>
    </w:p>
    <w:p>
      <w:pPr>
        <w:widowControl w:val="0"/>
        <w:ind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1. 安排不少于2名人员执行本项目，具备项目所需的专业和技能条件，工作细致、认真、责任心强。成交后，提前15个工作日提供符合条件的人选直至选定人员为止，提供待选人员的证书等文件由甲方确定最终人选。服务期内，如档案整理员有变动，乙方应提前15天通知甲方，并按照原条件及时补充人选，补充人选须经过甲方认可后方可更换。</w:t>
      </w:r>
    </w:p>
    <w:p>
      <w:pPr>
        <w:widowControl w:val="0"/>
        <w:ind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2.执行项目的档案整理员具备良好的沟通能力，能熟练操作计算机、办公室软件、档案管理系统软件。</w:t>
      </w:r>
    </w:p>
    <w:p>
      <w:pPr>
        <w:widowControl w:val="0"/>
        <w:ind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3.执行项目的档案整理员政治历史和社会关系清楚，无犯罪记录。</w:t>
      </w:r>
    </w:p>
    <w:p>
      <w:pPr>
        <w:widowControl w:val="0"/>
        <w:ind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4.执行项目的档案整理员应当遵守甲方相关工作纪律，接受甲方的管理。</w:t>
      </w:r>
    </w:p>
    <w:p>
      <w:pPr>
        <w:widowControl w:val="0"/>
        <w:ind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5.如遇特殊情况需要加班或增加工作人员的，乙方需无条件进行保障。</w:t>
      </w:r>
    </w:p>
    <w:p>
      <w:pPr>
        <w:widowControl w:val="0"/>
        <w:ind w:firstLine="420" w:firstLineChars="200"/>
        <w:jc w:val="both"/>
        <w:rPr>
          <w:rFonts w:ascii="宋体" w:eastAsia="宋体" w:hAnsi="宋体" w:hint="eastAsia"/>
          <w:b/>
          <w:bCs/>
          <w:kern w:val="2"/>
          <w:sz w:val="21"/>
          <w:szCs w:val="21"/>
          <w:lang w:eastAsia="zh-CN"/>
        </w:rPr>
      </w:pPr>
      <w:r>
        <w:rPr>
          <w:rFonts w:ascii="宋体" w:eastAsia="宋体" w:hAnsi="宋体" w:hint="eastAsia"/>
          <w:b/>
          <w:bCs/>
          <w:kern w:val="2"/>
          <w:sz w:val="21"/>
          <w:szCs w:val="21"/>
          <w:lang w:eastAsia="zh-CN"/>
        </w:rPr>
        <w:t>第十三条  乙方服务工具要求</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1、乙方应配备成交项目所需的足够数量的仪器、仪表以及工具等设备。用户不需向乙方提供施工工具和仪器、仪表。</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2、乙方在提供服务过程中应自备车辆。</w:t>
      </w:r>
    </w:p>
    <w:p>
      <w:pPr>
        <w:widowControl w:val="0"/>
        <w:ind w:firstLine="420" w:firstLineChars="200"/>
        <w:jc w:val="both"/>
        <w:rPr>
          <w:rFonts w:ascii="宋体" w:eastAsia="宋体" w:hAnsi="宋体" w:hint="eastAsia"/>
          <w:b/>
          <w:bCs/>
          <w:kern w:val="2"/>
          <w:sz w:val="21"/>
          <w:szCs w:val="21"/>
          <w:lang w:eastAsia="zh-CN"/>
        </w:rPr>
      </w:pPr>
      <w:r>
        <w:rPr>
          <w:rFonts w:ascii="宋体" w:eastAsia="宋体" w:hAnsi="宋体" w:hint="eastAsia"/>
          <w:b/>
          <w:bCs/>
          <w:kern w:val="2"/>
          <w:sz w:val="21"/>
          <w:szCs w:val="21"/>
          <w:lang w:eastAsia="zh-CN"/>
        </w:rPr>
        <w:t>第十四条  保密要求</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1、</w:t>
      </w:r>
      <w:r>
        <w:rPr>
          <w:rFonts w:ascii="宋体" w:eastAsia="宋体" w:hAnsi="宋体"/>
          <w:kern w:val="2"/>
          <w:sz w:val="21"/>
          <w:szCs w:val="21"/>
          <w:lang w:eastAsia="zh-CN"/>
        </w:rPr>
        <w:t>由甲方收集的、开发的、整理的、复制的、研究的和准备的与本合同项下工作有关的所有资料在提供给乙方时，均被视为保密的，不得泄漏给除甲方或其指定的代表之外的任何人、企业或公司，不管本合同因何种原因终止，本条款一直约束乙方。</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2、</w:t>
      </w:r>
      <w:r>
        <w:rPr>
          <w:rFonts w:ascii="宋体" w:eastAsia="宋体" w:hAnsi="宋体"/>
          <w:kern w:val="2"/>
          <w:sz w:val="21"/>
          <w:szCs w:val="21"/>
          <w:lang w:eastAsia="zh-CN"/>
        </w:rPr>
        <w:t>乙方在履行合同过程中所获得或接触到的任何</w:t>
      </w:r>
      <w:r>
        <w:rPr>
          <w:rFonts w:ascii="宋体" w:eastAsia="宋体" w:hAnsi="宋体" w:hint="eastAsia"/>
          <w:kern w:val="2"/>
          <w:sz w:val="21"/>
          <w:szCs w:val="21"/>
          <w:lang w:eastAsia="zh-CN"/>
        </w:rPr>
        <w:t>内部数据资料，未经甲方同意，不得向第三方透露。</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3、</w:t>
      </w:r>
      <w:r>
        <w:rPr>
          <w:rFonts w:ascii="宋体" w:eastAsia="宋体" w:hAnsi="宋体"/>
          <w:kern w:val="2"/>
          <w:sz w:val="21"/>
          <w:szCs w:val="21"/>
          <w:lang w:eastAsia="zh-CN"/>
        </w:rPr>
        <w:t>乙方</w:t>
      </w:r>
      <w:r>
        <w:rPr>
          <w:rFonts w:ascii="宋体" w:eastAsia="宋体" w:hAnsi="宋体" w:hint="eastAsia"/>
          <w:kern w:val="2"/>
          <w:sz w:val="21"/>
          <w:szCs w:val="21"/>
          <w:lang w:eastAsia="zh-CN"/>
        </w:rPr>
        <w:t>实施项目的一切程序都应符合国家安全、保密的有关规定和标准。</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4、</w:t>
      </w:r>
      <w:r>
        <w:rPr>
          <w:rFonts w:ascii="宋体" w:eastAsia="宋体" w:hAnsi="宋体"/>
          <w:kern w:val="2"/>
          <w:sz w:val="21"/>
          <w:szCs w:val="21"/>
          <w:lang w:eastAsia="zh-CN"/>
        </w:rPr>
        <w:t>乙方</w:t>
      </w:r>
      <w:r>
        <w:rPr>
          <w:rFonts w:ascii="宋体" w:eastAsia="宋体" w:hAnsi="宋体" w:hint="eastAsia"/>
          <w:kern w:val="2"/>
          <w:sz w:val="21"/>
          <w:szCs w:val="21"/>
          <w:lang w:eastAsia="zh-CN"/>
        </w:rPr>
        <w:t>参加项目的有关人员均需同甲方签订保密协议。</w:t>
      </w:r>
    </w:p>
    <w:p>
      <w:pPr>
        <w:widowControl w:val="0"/>
        <w:ind w:firstLine="420" w:firstLineChars="200"/>
        <w:jc w:val="both"/>
        <w:rPr>
          <w:rFonts w:ascii="宋体" w:eastAsia="宋体" w:hAnsi="宋体" w:hint="eastAsia"/>
          <w:b/>
          <w:bCs/>
          <w:kern w:val="2"/>
          <w:sz w:val="21"/>
          <w:szCs w:val="21"/>
          <w:lang w:eastAsia="zh-CN"/>
        </w:rPr>
      </w:pPr>
      <w:r>
        <w:rPr>
          <w:rFonts w:ascii="宋体" w:eastAsia="宋体" w:hAnsi="宋体" w:hint="eastAsia"/>
          <w:b/>
          <w:bCs/>
          <w:kern w:val="2"/>
          <w:sz w:val="21"/>
          <w:szCs w:val="21"/>
          <w:lang w:eastAsia="zh-CN"/>
        </w:rPr>
        <w:t xml:space="preserve">第十五条  验收     </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1、下列文件的验收分为</w:t>
      </w:r>
      <w:r>
        <w:rPr>
          <w:rFonts w:ascii="宋体" w:eastAsia="宋体" w:hAnsi="宋体" w:hint="eastAsia"/>
          <w:kern w:val="2"/>
          <w:sz w:val="21"/>
          <w:szCs w:val="21"/>
          <w:u w:val="single"/>
          <w:lang w:eastAsia="zh-CN"/>
        </w:rPr>
        <w:t xml:space="preserve">          </w:t>
      </w:r>
      <w:r>
        <w:rPr>
          <w:rFonts w:ascii="宋体" w:eastAsia="宋体" w:hAnsi="宋体" w:hint="eastAsia"/>
          <w:kern w:val="2"/>
          <w:sz w:val="21"/>
          <w:szCs w:val="21"/>
          <w:lang w:eastAsia="zh-CN"/>
        </w:rPr>
        <w:t>个阶段:</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2、其余文件和工作由用户组织有关技术人员根据国家和行业有关规范、规程、标准和用户需求直接验收。</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3、验收依据为采购文件、投标（响应）文件，国家和行业有关规范、规程和标准。</w:t>
      </w:r>
    </w:p>
    <w:p>
      <w:pPr>
        <w:widowControl w:val="0"/>
        <w:ind w:firstLine="420" w:firstLineChars="200"/>
        <w:jc w:val="both"/>
        <w:rPr>
          <w:rFonts w:ascii="宋体" w:eastAsia="宋体" w:hAnsi="宋体" w:hint="eastAsia"/>
          <w:b/>
          <w:bCs/>
          <w:kern w:val="2"/>
          <w:sz w:val="21"/>
          <w:szCs w:val="21"/>
          <w:lang w:eastAsia="zh-CN"/>
        </w:rPr>
      </w:pPr>
      <w:r>
        <w:rPr>
          <w:rFonts w:ascii="宋体" w:eastAsia="宋体" w:hAnsi="宋体" w:hint="eastAsia"/>
          <w:b/>
          <w:bCs/>
          <w:kern w:val="2"/>
          <w:sz w:val="21"/>
          <w:szCs w:val="21"/>
          <w:lang w:eastAsia="zh-CN"/>
        </w:rPr>
        <w:t>第十六条  付款方式</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1.该项目以人民币结算，合同签定后，甲方收到乙方提供的等额税务发票后15日内，支付合同总价款50%的款项；</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2.在合同履行满5个月后，乙方依约履行合同义务并通过甲方中期验收，甲方收到发票后15日内向乙方支付合同金额的40%；</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3.在乙方依约完成全部项目内容，乙方向甲方申请终期验收，经甲方确认验收合格，甲方收到乙方提供的等额税务发票后15日内支付剩余10%项目尾款经费。</w:t>
      </w:r>
    </w:p>
    <w:p>
      <w:pPr>
        <w:widowControl w:val="0"/>
        <w:ind w:firstLine="420" w:firstLineChars="200"/>
        <w:jc w:val="both"/>
        <w:rPr>
          <w:rFonts w:ascii="宋体" w:eastAsia="宋体" w:hAnsi="宋体" w:hint="eastAsia"/>
          <w:b/>
          <w:bCs/>
          <w:kern w:val="2"/>
          <w:sz w:val="21"/>
          <w:szCs w:val="21"/>
          <w:lang w:eastAsia="zh-CN"/>
        </w:rPr>
      </w:pPr>
      <w:r>
        <w:rPr>
          <w:rFonts w:ascii="宋体" w:eastAsia="宋体" w:hAnsi="宋体" w:hint="eastAsia"/>
          <w:b/>
          <w:bCs/>
          <w:kern w:val="2"/>
          <w:sz w:val="21"/>
          <w:szCs w:val="21"/>
          <w:lang w:eastAsia="zh-CN"/>
        </w:rPr>
        <w:t>第十七条  争议解决办法</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执行本合同发生的争议，由甲乙双方协商解决，如协商不成的，应提交甲方所在地人民法院诉讼解决。</w:t>
      </w:r>
    </w:p>
    <w:p>
      <w:pPr>
        <w:widowControl w:val="0"/>
        <w:ind w:firstLine="420" w:firstLineChars="200"/>
        <w:jc w:val="both"/>
        <w:rPr>
          <w:rFonts w:ascii="宋体" w:eastAsia="宋体" w:hAnsi="宋体" w:hint="eastAsia"/>
          <w:b/>
          <w:bCs/>
          <w:kern w:val="2"/>
          <w:sz w:val="21"/>
          <w:szCs w:val="21"/>
          <w:lang w:eastAsia="zh-CN"/>
        </w:rPr>
      </w:pPr>
      <w:r>
        <w:rPr>
          <w:rFonts w:ascii="宋体" w:eastAsia="宋体" w:hAnsi="宋体" w:hint="eastAsia"/>
          <w:b/>
          <w:bCs/>
          <w:kern w:val="2"/>
          <w:sz w:val="21"/>
          <w:szCs w:val="21"/>
          <w:lang w:eastAsia="zh-CN"/>
        </w:rPr>
        <w:t>第十八条  风险责任</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１、乙方应完全地按照采购文件的要求和乙方投标（响应）文件的承诺完成本项目，出于自身财务、技术、人力等原因导致项目失败的，应承担全部责任。</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2、乙方在实施过程中应对自身的安全生产负责，若非因甲方原因发生的各种事故甲方不承担任何责任。</w:t>
      </w:r>
    </w:p>
    <w:p>
      <w:pPr>
        <w:widowControl w:val="0"/>
        <w:ind w:firstLine="420" w:firstLineChars="200"/>
        <w:jc w:val="both"/>
        <w:rPr>
          <w:rFonts w:ascii="宋体" w:eastAsia="宋体" w:hAnsi="宋体" w:hint="eastAsia"/>
          <w:b/>
          <w:bCs/>
          <w:kern w:val="2"/>
          <w:sz w:val="21"/>
          <w:szCs w:val="21"/>
          <w:lang w:eastAsia="zh-CN"/>
        </w:rPr>
      </w:pPr>
      <w:r>
        <w:rPr>
          <w:rFonts w:ascii="宋体" w:eastAsia="宋体" w:hAnsi="宋体" w:hint="eastAsia"/>
          <w:b/>
          <w:bCs/>
          <w:kern w:val="2"/>
          <w:sz w:val="21"/>
          <w:szCs w:val="21"/>
          <w:lang w:eastAsia="zh-CN"/>
        </w:rPr>
        <w:t>第十九条  违约责任</w:t>
      </w:r>
    </w:p>
    <w:p>
      <w:pPr>
        <w:widowControl w:val="0"/>
        <w:spacing w:line="240" w:lineRule="auto"/>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１、因乙方原因，未能按规定时间完成有关工作的，每延误一天，甲方可在支付合同余款中扣除合同价款千分之一。</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2、由于乙方原因造成成果质量低劣，不能满足要求时，应继续完善工作，其费用由乙方承担。</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3、乙方交付的成果经验收不合格，应于7日内无条件修改，费用由乙方自行承担，在甲方要求整改后再次验收不合格的，甲方有权解除合同、要求乙方返还甲方已支付的合同款项，并有权要求乙方按合同总额   %支付违约金。</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4、若甲方发现乙方派出的服务人员或提供的仪器设备不符合合同要求，乙方应在3天之内按要求派出人员或提供满足投标（响应）文件承诺的仪器设备，否则甲方有权终止合同，并保留追究乙方责任及要求赔偿损失的权利。</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5、乙方或其工作人员违反本合同约定的保密义务，甲方有权要求乙方按合同总额   %支付违约金；造成不良影响或对甲方造成损失的，甲方有权要求乙方消除影响，承担赔偿责任，并有权解除合同。</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6、因乙方提供的服务成果受到侵权指控或者引发法律纠纷，影响甲方使用服务成果或者导致合同目的不能实现的，甲方有权要求乙方按合同总额   %支付违约金，并有权解除合同。</w:t>
      </w:r>
    </w:p>
    <w:p>
      <w:pPr>
        <w:widowControl w:val="0"/>
        <w:ind w:firstLine="420" w:firstLineChars="200"/>
        <w:jc w:val="both"/>
        <w:rPr>
          <w:rFonts w:ascii="宋体" w:eastAsia="宋体" w:hAnsi="宋体" w:hint="eastAsia"/>
          <w:b/>
          <w:bCs/>
          <w:kern w:val="2"/>
          <w:sz w:val="21"/>
          <w:szCs w:val="21"/>
          <w:lang w:eastAsia="zh-CN"/>
        </w:rPr>
      </w:pPr>
      <w:r>
        <w:rPr>
          <w:rFonts w:ascii="宋体" w:eastAsia="宋体" w:hAnsi="宋体" w:hint="eastAsia"/>
          <w:b/>
          <w:bCs/>
          <w:kern w:val="2"/>
          <w:sz w:val="21"/>
          <w:szCs w:val="21"/>
          <w:lang w:eastAsia="zh-CN"/>
        </w:rPr>
        <w:t>第二十条  其他</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1、本合同与采购文件、乙方投标（响应）文件如有抵触之处，以本合同条款为准。</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2、下列文件均为本合同的组成部分：</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（1）号采购文件、答疑及补充通知；</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（2）投标（响应）文件；</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（3）本合同执行中共同签署的补充与修正文件。</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本合同一式份，甲、乙方双方各执份，具有同等法律效力。本合同自双方法人代表签字（盖章）认可之日起生效。</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本合同未尽事宜，双方友好协商，达成解决方案，经双方签字后，可作为本合同的有效附件。</w:t>
      </w:r>
    </w:p>
    <w:p>
      <w:pPr>
        <w:widowControl w:val="0"/>
        <w:ind w:firstLine="420" w:firstLineChars="200"/>
        <w:jc w:val="both"/>
        <w:rPr>
          <w:rFonts w:ascii="宋体" w:eastAsia="宋体" w:hAnsi="宋体" w:hint="eastAsia"/>
          <w:kern w:val="2"/>
          <w:sz w:val="21"/>
          <w:szCs w:val="21"/>
          <w:lang w:eastAsia="zh-CN"/>
        </w:rPr>
      </w:pPr>
    </w:p>
    <w:p>
      <w:pPr>
        <w:widowControl w:val="0"/>
        <w:spacing w:line="360" w:lineRule="auto"/>
        <w:ind w:firstLine="560"/>
        <w:jc w:val="left"/>
        <w:rPr>
          <w:rFonts w:ascii="宋体" w:eastAsia="宋体" w:hAnsi="宋体" w:hint="eastAsia"/>
          <w:kern w:val="2"/>
          <w:sz w:val="21"/>
          <w:szCs w:val="21"/>
          <w:lang w:eastAsia="zh-CN"/>
        </w:rPr>
      </w:pPr>
      <w:r>
        <w:rPr>
          <w:rFonts w:ascii="宋体" w:eastAsia="宋体" w:hAnsi="宋体" w:hint="eastAsia"/>
          <w:kern w:val="2"/>
          <w:sz w:val="21"/>
          <w:szCs w:val="21"/>
          <w:lang w:eastAsia="zh-CN"/>
        </w:rPr>
        <w:t>甲方（采购人）：   （盖章）       乙方（供应商）：    （盖章）</w:t>
      </w:r>
    </w:p>
    <w:p>
      <w:pPr>
        <w:widowControl w:val="0"/>
        <w:spacing w:line="360" w:lineRule="auto"/>
        <w:ind w:firstLine="560"/>
        <w:jc w:val="left"/>
        <w:rPr>
          <w:rFonts w:ascii="宋体" w:eastAsia="宋体" w:hAnsi="宋体" w:hint="eastAsia"/>
          <w:kern w:val="2"/>
          <w:sz w:val="21"/>
          <w:szCs w:val="21"/>
          <w:lang w:eastAsia="zh-CN"/>
        </w:rPr>
      </w:pPr>
      <w:r>
        <w:rPr>
          <w:rFonts w:ascii="宋体" w:eastAsia="宋体" w:hAnsi="宋体" w:hint="eastAsia"/>
          <w:kern w:val="2"/>
          <w:sz w:val="21"/>
          <w:szCs w:val="21"/>
          <w:lang w:eastAsia="zh-CN"/>
        </w:rPr>
        <w:t xml:space="preserve">法定代表人：                     法定代表人： </w:t>
      </w:r>
    </w:p>
    <w:p>
      <w:pPr>
        <w:widowControl w:val="0"/>
        <w:spacing w:line="360" w:lineRule="auto"/>
        <w:ind w:firstLine="560"/>
        <w:jc w:val="left"/>
        <w:rPr>
          <w:rFonts w:eastAsia="宋体"/>
          <w:kern w:val="2"/>
          <w:sz w:val="21"/>
          <w:lang w:eastAsia="zh-CN"/>
        </w:rPr>
      </w:pPr>
      <w:r>
        <w:rPr>
          <w:rFonts w:ascii="宋体" w:eastAsia="宋体" w:hAnsi="宋体" w:hint="eastAsia"/>
          <w:kern w:val="2"/>
          <w:sz w:val="21"/>
          <w:szCs w:val="21"/>
          <w:lang w:eastAsia="zh-CN"/>
        </w:rPr>
        <w:t>委托代理人：                     委托代理人：</w:t>
      </w:r>
    </w:p>
    <w:p>
      <w:pPr>
        <w:widowControl w:val="0"/>
        <w:jc w:val="both"/>
        <w:rPr>
          <w:rFonts w:eastAsia="宋体"/>
          <w:kern w:val="2"/>
          <w:sz w:val="21"/>
          <w:lang w:eastAsia="zh-CN"/>
        </w:rPr>
        <w:sectPr>
          <w:headerReference w:type="default" r:id="rId7"/>
          <w:footerReference w:type="default" r:id="rId8"/>
          <w:pgSz w:w="11907" w:h="16840"/>
          <w:pgMar w:top="1440" w:right="1797" w:bottom="1440" w:left="1797" w:header="851" w:footer="992" w:gutter="0"/>
          <w:cols w:num="1" w:space="425"/>
          <w:titlePg/>
          <w:docGrid w:linePitch="462" w:charSpace="0"/>
        </w:sectPr>
      </w:pPr>
    </w:p>
    <w:p>
      <w:pPr>
        <w:keepNext/>
        <w:keepLines/>
        <w:widowControl w:val="0"/>
        <w:adjustRightInd w:val="0"/>
        <w:spacing w:before="260" w:after="260" w:line="240" w:lineRule="auto"/>
        <w:jc w:val="center"/>
        <w:textAlignment w:val="baseline"/>
        <w:outlineLvl w:val="1"/>
        <w:rPr>
          <w:rFonts w:ascii="宋体" w:eastAsia="宋体" w:hAnsi="宋体" w:hint="eastAsia"/>
          <w:b/>
          <w:bCs/>
          <w:kern w:val="2"/>
          <w:szCs w:val="20"/>
          <w:lang w:eastAsia="zh-CN"/>
        </w:rPr>
      </w:pPr>
      <w:r>
        <w:rPr>
          <w:rFonts w:ascii="宋体" w:eastAsia="宋体" w:hAnsi="宋体" w:hint="eastAsia"/>
          <w:b/>
          <w:bCs/>
          <w:kern w:val="2"/>
          <w:szCs w:val="20"/>
          <w:lang w:eastAsia="zh-CN"/>
        </w:rPr>
        <w:t xml:space="preserve">第六章 </w:t>
      </w:r>
      <w:r>
        <w:rPr>
          <w:rFonts w:ascii="宋体" w:eastAsia="宋体" w:hAnsi="宋体"/>
          <w:b/>
          <w:bCs/>
          <w:kern w:val="2"/>
          <w:szCs w:val="20"/>
          <w:lang w:eastAsia="zh-CN"/>
        </w:rPr>
        <w:t xml:space="preserve"> </w:t>
      </w:r>
      <w:r>
        <w:rPr>
          <w:rFonts w:ascii="宋体" w:eastAsia="宋体" w:hAnsi="宋体" w:hint="eastAsia"/>
          <w:b/>
          <w:bCs/>
          <w:kern w:val="2"/>
          <w:szCs w:val="20"/>
          <w:lang w:eastAsia="zh-CN"/>
        </w:rPr>
        <w:t>谈判须知</w:t>
      </w:r>
    </w:p>
    <w:p>
      <w:pPr>
        <w:keepNext/>
        <w:keepLines/>
        <w:widowControl w:val="0"/>
        <w:adjustRightInd w:val="0"/>
        <w:spacing w:before="260" w:after="260" w:line="240" w:lineRule="auto"/>
        <w:jc w:val="center"/>
        <w:textAlignment w:val="baseline"/>
        <w:outlineLvl w:val="1"/>
        <w:rPr>
          <w:rFonts w:ascii="宋体" w:eastAsia="宋体" w:hAnsi="宋体" w:hint="eastAsia"/>
          <w:b/>
          <w:bCs/>
          <w:kern w:val="2"/>
          <w:szCs w:val="20"/>
          <w:lang w:eastAsia="zh-CN"/>
        </w:rPr>
      </w:pPr>
      <w:r>
        <w:rPr>
          <w:rFonts w:ascii="宋体" w:eastAsia="宋体" w:hAnsi="宋体" w:hint="eastAsia"/>
          <w:b/>
          <w:bCs/>
          <w:kern w:val="2"/>
          <w:szCs w:val="20"/>
          <w:lang w:eastAsia="zh-CN"/>
        </w:rPr>
        <w:t>一、总则</w:t>
      </w:r>
    </w:p>
    <w:p>
      <w:pPr>
        <w:widowControl w:val="0"/>
        <w:jc w:val="both"/>
        <w:rPr>
          <w:rFonts w:ascii="黑体" w:eastAsia="黑体" w:hAnsi="宋体" w:hint="eastAsia"/>
          <w:kern w:val="2"/>
          <w:lang w:eastAsia="zh-CN"/>
        </w:rPr>
      </w:pPr>
      <w:r>
        <w:rPr>
          <w:rFonts w:ascii="黑体" w:eastAsia="黑体" w:hAnsi="宋体" w:hint="eastAsia"/>
          <w:kern w:val="2"/>
          <w:lang w:eastAsia="zh-CN"/>
        </w:rPr>
        <w:t>1. 谈判须知说明</w:t>
      </w:r>
    </w:p>
    <w:p>
      <w:pPr>
        <w:widowControl w:val="0"/>
        <w:ind w:firstLine="412" w:firstLineChars="196"/>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1.1政府集中采购机构发出谈判文件谈判须知，列出深圳市政府采购项目进行竞争性谈判</w:t>
      </w:r>
      <w:r>
        <w:rPr>
          <w:rFonts w:ascii="宋体" w:eastAsia="宋体" w:hAnsi="宋体"/>
          <w:kern w:val="2"/>
          <w:sz w:val="21"/>
          <w:szCs w:val="21"/>
          <w:lang w:eastAsia="zh-CN"/>
        </w:rPr>
        <w:t>/</w:t>
      </w:r>
      <w:r>
        <w:rPr>
          <w:rFonts w:ascii="宋体" w:eastAsia="宋体" w:hAnsi="宋体" w:hint="eastAsia"/>
          <w:kern w:val="2"/>
          <w:sz w:val="21"/>
          <w:szCs w:val="21"/>
          <w:lang w:eastAsia="zh-CN"/>
        </w:rPr>
        <w:t>单一来源采购所适用的一般性须知内容。如有需要，政府集中采购机构可以对谈判须知的内容进行补充。</w:t>
      </w:r>
    </w:p>
    <w:p>
      <w:pPr>
        <w:widowControl w:val="0"/>
        <w:jc w:val="both"/>
        <w:rPr>
          <w:rFonts w:ascii="黑体" w:eastAsia="黑体" w:hAnsi="宋体" w:hint="eastAsia"/>
          <w:kern w:val="2"/>
          <w:lang w:eastAsia="zh-CN"/>
        </w:rPr>
      </w:pPr>
      <w:r>
        <w:rPr>
          <w:rFonts w:ascii="黑体" w:eastAsia="黑体" w:hAnsi="宋体"/>
          <w:kern w:val="2"/>
          <w:lang w:eastAsia="zh-CN"/>
        </w:rPr>
        <w:t>2．</w:t>
      </w:r>
      <w:r>
        <w:rPr>
          <w:rFonts w:ascii="黑体" w:eastAsia="黑体" w:hAnsi="宋体" w:hint="eastAsia"/>
          <w:kern w:val="2"/>
          <w:lang w:eastAsia="zh-CN"/>
        </w:rPr>
        <w:t>谈判说明</w:t>
      </w:r>
    </w:p>
    <w:p>
      <w:pPr>
        <w:widowControl w:val="0"/>
        <w:ind w:firstLine="412" w:firstLineChars="196"/>
        <w:jc w:val="both"/>
        <w:rPr>
          <w:rFonts w:ascii="宋体" w:eastAsia="宋体" w:hAnsi="宋体" w:hint="eastAsia"/>
          <w:kern w:val="2"/>
          <w:sz w:val="21"/>
          <w:szCs w:val="21"/>
          <w:lang w:eastAsia="zh-CN"/>
        </w:rPr>
      </w:pPr>
      <w:r>
        <w:rPr>
          <w:rFonts w:ascii="宋体" w:eastAsia="宋体" w:hAnsi="宋体" w:hint="eastAsia"/>
          <w:b/>
          <w:bCs/>
          <w:color w:val="FF0000"/>
          <w:kern w:val="2"/>
          <w:sz w:val="21"/>
          <w:szCs w:val="21"/>
          <w:lang w:eastAsia="zh-CN"/>
        </w:rPr>
        <w:t>本项目为自行采购项目，</w:t>
      </w:r>
      <w:r>
        <w:rPr>
          <w:rFonts w:ascii="宋体" w:eastAsia="宋体" w:hAnsi="宋体" w:hint="eastAsia"/>
          <w:kern w:val="2"/>
          <w:sz w:val="21"/>
          <w:szCs w:val="21"/>
          <w:lang w:eastAsia="zh-CN"/>
        </w:rPr>
        <w:t>参照《深圳经济特区政府采购条例》、《深圳经济特区政府采购条例实施细则》及政府采购其他法律法规，按照采购人内控制度要求，确定成交供应商。</w:t>
      </w:r>
    </w:p>
    <w:p>
      <w:pPr>
        <w:widowControl w:val="0"/>
        <w:jc w:val="both"/>
        <w:rPr>
          <w:rFonts w:ascii="黑体" w:eastAsia="黑体" w:hAnsi="宋体" w:hint="eastAsia"/>
          <w:kern w:val="2"/>
          <w:lang w:eastAsia="zh-CN"/>
        </w:rPr>
      </w:pPr>
      <w:r>
        <w:rPr>
          <w:rFonts w:ascii="黑体" w:eastAsia="黑体" w:hAnsi="宋体"/>
          <w:kern w:val="2"/>
          <w:lang w:eastAsia="zh-CN"/>
        </w:rPr>
        <w:t>3</w:t>
      </w:r>
      <w:r>
        <w:rPr>
          <w:rFonts w:ascii="黑体" w:eastAsia="黑体" w:hAnsi="宋体" w:hint="eastAsia"/>
          <w:kern w:val="2"/>
          <w:lang w:eastAsia="zh-CN"/>
        </w:rPr>
        <w:t>．定义</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谈判</w:t>
      </w:r>
      <w:r>
        <w:rPr>
          <w:rFonts w:ascii="宋体" w:eastAsia="宋体" w:hAnsi="宋体"/>
          <w:kern w:val="2"/>
          <w:sz w:val="21"/>
          <w:szCs w:val="21"/>
          <w:lang w:eastAsia="zh-CN"/>
        </w:rPr>
        <w:t>文件中下列术语应解释为：</w:t>
      </w:r>
    </w:p>
    <w:p>
      <w:pPr>
        <w:widowControl w:val="0"/>
        <w:ind w:firstLine="412" w:firstLineChars="196"/>
        <w:jc w:val="both"/>
        <w:rPr>
          <w:rFonts w:ascii="宋体" w:eastAsia="宋体" w:hAnsi="宋体" w:hint="eastAsia"/>
          <w:kern w:val="2"/>
          <w:sz w:val="21"/>
          <w:szCs w:val="21"/>
          <w:lang w:eastAsia="zh-CN"/>
        </w:rPr>
      </w:pPr>
      <w:r>
        <w:rPr>
          <w:rFonts w:ascii="宋体" w:eastAsia="宋体" w:hAnsi="宋体"/>
          <w:kern w:val="2"/>
          <w:sz w:val="21"/>
          <w:szCs w:val="21"/>
          <w:lang w:eastAsia="zh-CN"/>
        </w:rPr>
        <w:t>3</w:t>
      </w:r>
      <w:r>
        <w:rPr>
          <w:rFonts w:ascii="宋体" w:eastAsia="宋体" w:hAnsi="宋体" w:hint="eastAsia"/>
          <w:kern w:val="2"/>
          <w:sz w:val="21"/>
          <w:szCs w:val="21"/>
          <w:lang w:eastAsia="zh-CN"/>
        </w:rPr>
        <w:t>.</w:t>
      </w:r>
      <w:r>
        <w:rPr>
          <w:rFonts w:ascii="宋体" w:eastAsia="宋体" w:hAnsi="宋体"/>
          <w:kern w:val="2"/>
          <w:sz w:val="21"/>
          <w:szCs w:val="21"/>
          <w:lang w:eastAsia="zh-CN"/>
        </w:rPr>
        <w:t>1</w:t>
      </w:r>
      <w:r>
        <w:rPr>
          <w:rFonts w:ascii="宋体" w:eastAsia="宋体" w:hAnsi="宋体" w:hint="eastAsia"/>
          <w:kern w:val="2"/>
          <w:sz w:val="21"/>
          <w:szCs w:val="21"/>
          <w:lang w:eastAsia="zh-CN"/>
        </w:rPr>
        <w:t>“采购人”：指利用财政性资金依法进行自行采购的国家机关、事业单位、团体组织；</w:t>
      </w:r>
      <w:r>
        <w:rPr>
          <w:rFonts w:ascii="宋体" w:eastAsia="宋体" w:hAnsi="宋体"/>
          <w:kern w:val="2"/>
          <w:sz w:val="21"/>
          <w:szCs w:val="21"/>
          <w:lang w:eastAsia="zh-CN"/>
        </w:rPr>
        <w:t xml:space="preserve"> </w:t>
      </w:r>
    </w:p>
    <w:p>
      <w:pPr>
        <w:widowControl w:val="0"/>
        <w:ind w:firstLine="412" w:firstLineChars="196"/>
        <w:jc w:val="both"/>
        <w:rPr>
          <w:rFonts w:ascii="宋体" w:eastAsia="宋体" w:hAnsi="宋体" w:hint="eastAsia"/>
          <w:kern w:val="2"/>
          <w:sz w:val="21"/>
          <w:szCs w:val="21"/>
          <w:lang w:eastAsia="zh-CN"/>
        </w:rPr>
      </w:pPr>
      <w:r>
        <w:rPr>
          <w:rFonts w:ascii="宋体" w:eastAsia="宋体" w:hAnsi="宋体"/>
          <w:kern w:val="2"/>
          <w:sz w:val="21"/>
          <w:szCs w:val="21"/>
          <w:lang w:eastAsia="zh-CN"/>
        </w:rPr>
        <w:t>3</w:t>
      </w:r>
      <w:r>
        <w:rPr>
          <w:rFonts w:ascii="宋体" w:eastAsia="宋体" w:hAnsi="宋体" w:hint="eastAsia"/>
          <w:kern w:val="2"/>
          <w:sz w:val="21"/>
          <w:szCs w:val="21"/>
          <w:lang w:eastAsia="zh-CN"/>
        </w:rPr>
        <w:t>.2 “政府集中采购机构”</w:t>
      </w:r>
      <w:r>
        <w:rPr>
          <w:rFonts w:ascii="Arial" w:eastAsia="宋体" w:hAnsi="Arial" w:cs="Arial" w:hint="eastAsia"/>
          <w:kern w:val="2"/>
          <w:sz w:val="21"/>
          <w:szCs w:val="21"/>
          <w:shd w:val="clear" w:color="auto" w:fill="FFFFFF"/>
          <w:lang w:eastAsia="zh-CN"/>
        </w:rPr>
        <w:t>是指市政府设立的，组织实施政府采购项目，并对政府采购活动提供服务的专门机构；</w:t>
      </w:r>
      <w:r>
        <w:rPr>
          <w:rFonts w:ascii="宋体" w:eastAsia="宋体" w:hAnsi="宋体" w:hint="eastAsia"/>
          <w:kern w:val="2"/>
          <w:sz w:val="21"/>
          <w:szCs w:val="21"/>
          <w:lang w:eastAsia="zh-CN"/>
        </w:rPr>
        <w:t>本文件所述的“政府集中采购机构”</w:t>
      </w:r>
      <w:r>
        <w:rPr>
          <w:rFonts w:ascii="宋体" w:eastAsia="宋体" w:hAnsi="宋体"/>
          <w:kern w:val="2"/>
          <w:sz w:val="21"/>
          <w:szCs w:val="21"/>
          <w:lang w:eastAsia="zh-CN"/>
        </w:rPr>
        <w:t>指</w:t>
      </w:r>
      <w:r>
        <w:rPr>
          <w:rFonts w:ascii="宋体" w:eastAsia="宋体" w:hAnsi="宋体" w:hint="eastAsia"/>
          <w:b/>
          <w:bCs/>
          <w:kern w:val="2"/>
          <w:sz w:val="21"/>
          <w:szCs w:val="21"/>
          <w:lang w:eastAsia="zh-CN"/>
        </w:rPr>
        <w:t>深圳公共资源交易中心</w:t>
      </w:r>
      <w:r>
        <w:rPr>
          <w:rFonts w:ascii="宋体" w:eastAsia="宋体" w:hAnsi="宋体" w:hint="eastAsia"/>
          <w:kern w:val="2"/>
          <w:sz w:val="21"/>
          <w:szCs w:val="21"/>
          <w:lang w:eastAsia="zh-CN"/>
        </w:rPr>
        <w:t>；</w:t>
      </w:r>
    </w:p>
    <w:p>
      <w:pPr>
        <w:widowControl w:val="0"/>
        <w:ind w:firstLine="412" w:firstLineChars="196"/>
        <w:jc w:val="both"/>
        <w:rPr>
          <w:rFonts w:ascii="宋体" w:eastAsia="宋体" w:hAnsi="宋体" w:hint="eastAsia"/>
          <w:kern w:val="2"/>
          <w:sz w:val="21"/>
          <w:szCs w:val="21"/>
          <w:lang w:eastAsia="zh-CN"/>
        </w:rPr>
      </w:pPr>
      <w:r>
        <w:rPr>
          <w:rFonts w:ascii="宋体" w:eastAsia="宋体" w:hAnsi="宋体"/>
          <w:kern w:val="2"/>
          <w:sz w:val="21"/>
          <w:szCs w:val="21"/>
          <w:lang w:eastAsia="zh-CN"/>
        </w:rPr>
        <w:t>3</w:t>
      </w:r>
      <w:r>
        <w:rPr>
          <w:rFonts w:ascii="宋体" w:eastAsia="宋体" w:hAnsi="宋体" w:hint="eastAsia"/>
          <w:kern w:val="2"/>
          <w:sz w:val="21"/>
          <w:szCs w:val="21"/>
          <w:lang w:eastAsia="zh-CN"/>
        </w:rPr>
        <w:t>.3“供应商”，即谈判供应商，指参加谈判竞争并愿意按照谈判文件要求向采购人提供货物、工程或者服务的依法成立的法人、其他组织或者自然人；</w:t>
      </w:r>
    </w:p>
    <w:p>
      <w:pPr>
        <w:widowControl w:val="0"/>
        <w:ind w:firstLine="412" w:firstLineChars="196"/>
        <w:jc w:val="both"/>
        <w:rPr>
          <w:rFonts w:ascii="宋体" w:eastAsia="宋体" w:hAnsi="宋体" w:hint="eastAsia"/>
          <w:kern w:val="2"/>
          <w:sz w:val="21"/>
          <w:szCs w:val="21"/>
          <w:lang w:eastAsia="zh-CN"/>
        </w:rPr>
      </w:pPr>
      <w:r>
        <w:rPr>
          <w:rFonts w:ascii="宋体" w:eastAsia="宋体" w:hAnsi="宋体"/>
          <w:kern w:val="2"/>
          <w:sz w:val="21"/>
          <w:szCs w:val="21"/>
          <w:lang w:eastAsia="zh-CN"/>
        </w:rPr>
        <w:t>3</w:t>
      </w:r>
      <w:r>
        <w:rPr>
          <w:rFonts w:ascii="宋体" w:eastAsia="宋体" w:hAnsi="宋体" w:hint="eastAsia"/>
          <w:kern w:val="2"/>
          <w:sz w:val="21"/>
          <w:szCs w:val="21"/>
          <w:lang w:eastAsia="zh-CN"/>
        </w:rPr>
        <w:t>.4“谈判小组”是依据《深圳经济特区政府采购条例》、《深圳经济特区政府采购条例实施细则》等有关规定组建的专门负责本次谈判工作的临时性机构；</w:t>
      </w:r>
    </w:p>
    <w:p>
      <w:pPr>
        <w:widowControl w:val="0"/>
        <w:ind w:firstLine="412" w:firstLineChars="196"/>
        <w:jc w:val="both"/>
        <w:rPr>
          <w:rFonts w:ascii="宋体" w:eastAsia="宋体" w:hAnsi="宋体" w:hint="eastAsia"/>
          <w:kern w:val="2"/>
          <w:sz w:val="21"/>
          <w:szCs w:val="21"/>
          <w:lang w:eastAsia="zh-CN"/>
        </w:rPr>
      </w:pPr>
      <w:r>
        <w:rPr>
          <w:rFonts w:ascii="宋体" w:eastAsia="宋体" w:hAnsi="宋体"/>
          <w:kern w:val="2"/>
          <w:sz w:val="21"/>
          <w:szCs w:val="21"/>
          <w:lang w:eastAsia="zh-CN"/>
        </w:rPr>
        <w:t>3</w:t>
      </w:r>
      <w:r>
        <w:rPr>
          <w:rFonts w:ascii="宋体" w:eastAsia="宋体" w:hAnsi="宋体" w:hint="eastAsia"/>
          <w:kern w:val="2"/>
          <w:sz w:val="21"/>
          <w:szCs w:val="21"/>
          <w:lang w:eastAsia="zh-CN"/>
        </w:rPr>
        <w:t>.5“日期”</w:t>
      </w:r>
      <w:r>
        <w:rPr>
          <w:rFonts w:ascii="宋体" w:eastAsia="宋体" w:hAnsi="宋体"/>
          <w:kern w:val="2"/>
          <w:sz w:val="21"/>
          <w:szCs w:val="21"/>
          <w:lang w:eastAsia="zh-CN"/>
        </w:rPr>
        <w:t>指</w:t>
      </w:r>
      <w:r>
        <w:rPr>
          <w:rFonts w:ascii="宋体" w:eastAsia="宋体" w:hAnsi="宋体" w:hint="eastAsia"/>
          <w:kern w:val="2"/>
          <w:sz w:val="21"/>
          <w:szCs w:val="21"/>
          <w:lang w:eastAsia="zh-CN"/>
        </w:rPr>
        <w:t>公历日；</w:t>
      </w:r>
    </w:p>
    <w:p>
      <w:pPr>
        <w:widowControl w:val="0"/>
        <w:wordWrap w:val="0"/>
        <w:ind w:firstLine="412" w:firstLineChars="196"/>
        <w:jc w:val="both"/>
        <w:rPr>
          <w:rFonts w:ascii="宋体" w:eastAsia="宋体" w:hAnsi="宋体" w:hint="eastAsia"/>
          <w:kern w:val="2"/>
          <w:sz w:val="21"/>
          <w:szCs w:val="21"/>
          <w:lang w:eastAsia="zh-CN"/>
        </w:rPr>
      </w:pPr>
      <w:r>
        <w:rPr>
          <w:rFonts w:ascii="宋体" w:eastAsia="宋体" w:hAnsi="宋体"/>
          <w:kern w:val="2"/>
          <w:sz w:val="21"/>
          <w:szCs w:val="21"/>
          <w:lang w:eastAsia="zh-CN"/>
        </w:rPr>
        <w:t>3</w:t>
      </w:r>
      <w:r>
        <w:rPr>
          <w:rFonts w:ascii="宋体" w:eastAsia="宋体" w:hAnsi="宋体" w:hint="eastAsia"/>
          <w:kern w:val="2"/>
          <w:sz w:val="21"/>
          <w:szCs w:val="21"/>
          <w:lang w:eastAsia="zh-CN"/>
        </w:rPr>
        <w:t>.6“合同”指由本次所采购产生的合同或合约文件；</w:t>
      </w:r>
    </w:p>
    <w:p>
      <w:pPr>
        <w:widowControl w:val="0"/>
        <w:wordWrap w:val="0"/>
        <w:ind w:firstLine="412" w:firstLineChars="196"/>
        <w:jc w:val="both"/>
        <w:rPr>
          <w:rFonts w:ascii="宋体" w:eastAsia="宋体" w:hAnsi="宋体" w:hint="eastAsia"/>
          <w:kern w:val="2"/>
          <w:sz w:val="21"/>
          <w:szCs w:val="21"/>
          <w:lang w:eastAsia="zh-CN"/>
        </w:rPr>
      </w:pPr>
      <w:r>
        <w:rPr>
          <w:rFonts w:ascii="宋体" w:eastAsia="宋体" w:hAnsi="宋体"/>
          <w:kern w:val="2"/>
          <w:sz w:val="21"/>
          <w:szCs w:val="21"/>
          <w:lang w:eastAsia="zh-CN"/>
        </w:rPr>
        <w:t>3</w:t>
      </w:r>
      <w:r>
        <w:rPr>
          <w:rFonts w:ascii="宋体" w:eastAsia="宋体" w:hAnsi="宋体" w:hint="eastAsia"/>
          <w:kern w:val="2"/>
          <w:sz w:val="21"/>
          <w:szCs w:val="21"/>
          <w:lang w:eastAsia="zh-CN"/>
        </w:rPr>
        <w:t>.7“电子投标文件”即谈判应答文件，指利用</w:t>
      </w:r>
      <w:r>
        <w:rPr>
          <w:rFonts w:ascii="宋体" w:eastAsia="宋体" w:hAnsi="宋体" w:hint="eastAsia"/>
          <w:b/>
          <w:bCs/>
          <w:color w:val="FF0000"/>
          <w:kern w:val="2"/>
          <w:sz w:val="21"/>
          <w:szCs w:val="21"/>
          <w:lang w:eastAsia="zh-CN"/>
        </w:rPr>
        <w:t>深圳公共资源交易中心（深圳交易集团有限公司政府采购业务分公司）</w:t>
      </w:r>
      <w:r>
        <w:rPr>
          <w:rFonts w:ascii="宋体" w:eastAsia="宋体" w:hAnsi="宋体" w:hint="eastAsia"/>
          <w:kern w:val="2"/>
          <w:sz w:val="21"/>
          <w:szCs w:val="21"/>
          <w:lang w:eastAsia="zh-CN"/>
        </w:rPr>
        <w:t>网站提供的深圳市自行采购系统投标文件制作专用软件（以下简称：投标文件制作软件）制作并加密的投标（应答）文件,适用于网上投标（应答）；（投标文件制作软件可从“下载地址：https://www.szggzy.com/jyfw/details.html?contentId=2053275深圳市自行采购系统投标文件编制工具”下载）</w:t>
      </w:r>
    </w:p>
    <w:p>
      <w:pPr>
        <w:widowControl w:val="0"/>
        <w:wordWrap w:val="0"/>
        <w:ind w:firstLine="412" w:firstLineChars="196"/>
        <w:jc w:val="both"/>
        <w:rPr>
          <w:rFonts w:ascii="宋体" w:eastAsia="宋体" w:hAnsi="宋体" w:hint="eastAsia"/>
          <w:kern w:val="2"/>
          <w:sz w:val="21"/>
          <w:szCs w:val="21"/>
          <w:lang w:eastAsia="zh-CN"/>
        </w:rPr>
      </w:pPr>
      <w:r>
        <w:rPr>
          <w:rFonts w:ascii="宋体" w:eastAsia="宋体" w:hAnsi="宋体"/>
          <w:kern w:val="2"/>
          <w:sz w:val="21"/>
          <w:szCs w:val="21"/>
          <w:lang w:eastAsia="zh-CN"/>
        </w:rPr>
        <w:t>3</w:t>
      </w:r>
      <w:r>
        <w:rPr>
          <w:rFonts w:ascii="宋体" w:eastAsia="宋体" w:hAnsi="宋体" w:hint="eastAsia"/>
          <w:kern w:val="2"/>
          <w:sz w:val="21"/>
          <w:szCs w:val="21"/>
          <w:lang w:eastAsia="zh-CN"/>
        </w:rPr>
        <w:t>.8“网上投标”指通过</w:t>
      </w:r>
      <w:r>
        <w:rPr>
          <w:rFonts w:ascii="宋体" w:eastAsia="宋体" w:hAnsi="宋体" w:hint="eastAsia"/>
          <w:b/>
          <w:bCs/>
          <w:kern w:val="2"/>
          <w:sz w:val="21"/>
          <w:szCs w:val="21"/>
          <w:lang w:eastAsia="zh-CN"/>
        </w:rPr>
        <w:t>深圳公共资源交易中心（深圳交易集团有限公司政府采购业务分公司）</w:t>
      </w:r>
      <w:r>
        <w:rPr>
          <w:rFonts w:ascii="宋体" w:eastAsia="宋体" w:hAnsi="宋体" w:hint="eastAsia"/>
          <w:kern w:val="2"/>
          <w:sz w:val="21"/>
          <w:szCs w:val="21"/>
          <w:lang w:eastAsia="zh-CN"/>
        </w:rPr>
        <w:t>网站上传电子投标</w:t>
      </w:r>
      <w:r>
        <w:rPr>
          <w:rFonts w:ascii="宋体" w:eastAsia="宋体" w:hAnsi="宋体" w:hint="eastAsia"/>
          <w:kern w:val="2"/>
          <w:sz w:val="21"/>
          <w:lang w:eastAsia="zh-CN"/>
        </w:rPr>
        <w:t>（应答）</w:t>
      </w:r>
      <w:r>
        <w:rPr>
          <w:rFonts w:ascii="宋体" w:eastAsia="宋体" w:hAnsi="宋体" w:hint="eastAsia"/>
          <w:kern w:val="2"/>
          <w:sz w:val="21"/>
          <w:szCs w:val="21"/>
          <w:lang w:eastAsia="zh-CN"/>
        </w:rPr>
        <w:t>文件；</w:t>
      </w:r>
    </w:p>
    <w:p>
      <w:pPr>
        <w:widowControl w:val="0"/>
        <w:ind w:firstLine="412" w:firstLineChars="196"/>
        <w:jc w:val="both"/>
        <w:rPr>
          <w:rFonts w:ascii="宋体" w:eastAsia="宋体" w:hAnsi="宋体" w:hint="eastAsia"/>
          <w:kern w:val="2"/>
          <w:sz w:val="21"/>
          <w:szCs w:val="21"/>
          <w:lang w:eastAsia="zh-CN"/>
        </w:rPr>
      </w:pPr>
      <w:r>
        <w:rPr>
          <w:rFonts w:ascii="宋体" w:eastAsia="宋体" w:hAnsi="宋体"/>
          <w:kern w:val="2"/>
          <w:sz w:val="21"/>
          <w:szCs w:val="21"/>
          <w:lang w:eastAsia="zh-CN"/>
        </w:rPr>
        <w:t>3</w:t>
      </w:r>
      <w:r>
        <w:rPr>
          <w:rFonts w:ascii="宋体" w:eastAsia="宋体" w:hAnsi="宋体" w:hint="eastAsia"/>
          <w:kern w:val="2"/>
          <w:sz w:val="21"/>
          <w:szCs w:val="21"/>
          <w:lang w:eastAsia="zh-CN"/>
        </w:rPr>
        <w:t>.9谈判文件中的标题或题名仅起引导作用，而不应视为对谈判文件内容的理解和解释。</w:t>
      </w:r>
    </w:p>
    <w:p>
      <w:pPr>
        <w:widowControl w:val="0"/>
        <w:jc w:val="both"/>
        <w:rPr>
          <w:rFonts w:ascii="黑体" w:eastAsia="黑体" w:hAnsi="宋体" w:hint="eastAsia"/>
          <w:kern w:val="2"/>
          <w:lang w:eastAsia="zh-CN"/>
        </w:rPr>
      </w:pPr>
      <w:r>
        <w:rPr>
          <w:rFonts w:ascii="黑体" w:eastAsia="黑体" w:hAnsi="宋体" w:hint="eastAsia"/>
          <w:kern w:val="2"/>
          <w:lang w:eastAsia="zh-CN"/>
        </w:rPr>
        <w:t>4</w:t>
      </w:r>
      <w:r>
        <w:rPr>
          <w:rFonts w:ascii="黑体" w:eastAsia="黑体" w:hAnsi="宋体"/>
          <w:kern w:val="2"/>
          <w:lang w:eastAsia="zh-CN"/>
        </w:rPr>
        <w:t>.</w:t>
      </w:r>
      <w:r>
        <w:rPr>
          <w:rFonts w:ascii="黑体" w:eastAsia="黑体" w:hAnsi="宋体" w:hint="eastAsia"/>
          <w:kern w:val="2"/>
          <w:lang w:eastAsia="zh-CN"/>
        </w:rPr>
        <w:t>自行采购供应商责任</w:t>
      </w:r>
    </w:p>
    <w:p>
      <w:pPr>
        <w:widowControl w:val="0"/>
        <w:ind w:firstLine="412" w:firstLineChars="196"/>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4.1欢迎诚信、有实力和有社会责任心的供应商参与自行采购事业。</w:t>
      </w:r>
    </w:p>
    <w:p>
      <w:pPr>
        <w:widowControl w:val="0"/>
        <w:ind w:firstLine="412" w:firstLineChars="196"/>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4.2谈判供应商应当遵循公平竞争的原则，不得恶意串通，不得妨碍其他谈判供应商的竞争行为，不得损害采购人或者其他谈判供应商的合法权益。如违反上述要求，经核实后，供应商的谈判应答无效。</w:t>
      </w:r>
    </w:p>
    <w:p>
      <w:pPr>
        <w:widowControl w:val="0"/>
        <w:jc w:val="both"/>
        <w:rPr>
          <w:rFonts w:ascii="黑体" w:eastAsia="黑体" w:hAnsi="宋体" w:hint="eastAsia"/>
          <w:kern w:val="2"/>
          <w:lang w:eastAsia="zh-CN"/>
        </w:rPr>
      </w:pPr>
      <w:r>
        <w:rPr>
          <w:rFonts w:ascii="黑体" w:eastAsia="黑体" w:hAnsi="宋体" w:hint="eastAsia"/>
          <w:kern w:val="2"/>
          <w:lang w:eastAsia="zh-CN"/>
        </w:rPr>
        <w:t>5．供应商参加采购的条件</w:t>
      </w:r>
    </w:p>
    <w:p>
      <w:pPr>
        <w:widowControl w:val="0"/>
        <w:ind w:firstLine="412" w:firstLineChars="196"/>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5.1供应商应在参与谈判前到</w:t>
      </w:r>
      <w:r>
        <w:rPr>
          <w:rFonts w:ascii="宋体" w:eastAsia="宋体" w:hAnsi="宋体" w:hint="eastAsia"/>
          <w:b/>
          <w:bCs/>
          <w:kern w:val="2"/>
          <w:sz w:val="21"/>
          <w:szCs w:val="21"/>
          <w:lang w:eastAsia="zh-CN"/>
        </w:rPr>
        <w:t>深圳市自行采购系统（具体在深圳交易集团有限公司政府采购业务分公司进行办理）</w:t>
      </w:r>
      <w:r>
        <w:rPr>
          <w:rFonts w:ascii="宋体" w:eastAsia="宋体" w:hAnsi="宋体" w:hint="eastAsia"/>
          <w:kern w:val="2"/>
          <w:sz w:val="21"/>
          <w:szCs w:val="21"/>
          <w:lang w:eastAsia="zh-CN"/>
        </w:rPr>
        <w:t>进行注册并办理电子密钥。《深圳政府采购自行采购系统用户操作指引（供应商）》详见www.szggzy.com网站“交易服务指南-政府采购-资料下载”。</w:t>
      </w:r>
    </w:p>
    <w:p>
      <w:pPr>
        <w:widowControl w:val="0"/>
        <w:ind w:firstLine="412" w:firstLineChars="196"/>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5.2供应商资格要求</w:t>
      </w:r>
    </w:p>
    <w:p>
      <w:pPr>
        <w:widowControl w:val="0"/>
        <w:ind w:firstLine="412" w:firstLineChars="196"/>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参加本项目的供应商应具备的资格条件详见本项目谈判公告中“申请人的资格要求”（即供应商资格要求）的内容。</w:t>
      </w:r>
    </w:p>
    <w:p>
      <w:pPr>
        <w:widowControl w:val="0"/>
        <w:jc w:val="both"/>
        <w:rPr>
          <w:rFonts w:ascii="黑体" w:eastAsia="黑体" w:hAnsi="宋体" w:hint="eastAsia"/>
          <w:kern w:val="2"/>
          <w:lang w:eastAsia="zh-CN"/>
        </w:rPr>
      </w:pPr>
      <w:r>
        <w:rPr>
          <w:rFonts w:ascii="黑体" w:eastAsia="黑体" w:hAnsi="宋体" w:hint="eastAsia"/>
          <w:kern w:val="2"/>
          <w:lang w:eastAsia="zh-CN"/>
        </w:rPr>
        <w:t>6．政策导向</w:t>
      </w:r>
    </w:p>
    <w:p>
      <w:pPr>
        <w:widowControl w:val="0"/>
        <w:ind w:firstLine="412" w:firstLineChars="196"/>
        <w:jc w:val="both"/>
        <w:rPr>
          <w:rFonts w:ascii="宋体" w:eastAsia="宋体" w:hAnsi="宋体" w:hint="eastAsia"/>
          <w:kern w:val="2"/>
          <w:sz w:val="21"/>
          <w:lang w:eastAsia="zh-CN"/>
        </w:rPr>
      </w:pPr>
      <w:r>
        <w:rPr>
          <w:rFonts w:ascii="宋体" w:eastAsia="宋体" w:hAnsi="宋体" w:hint="eastAsia"/>
          <w:kern w:val="2"/>
          <w:sz w:val="21"/>
          <w:lang w:eastAsia="zh-CN"/>
        </w:rPr>
        <w:t>6.1</w:t>
      </w:r>
      <w:r>
        <w:rPr>
          <w:rFonts w:ascii="宋体" w:eastAsia="宋体" w:hAnsi="宋体"/>
          <w:kern w:val="2"/>
          <w:sz w:val="21"/>
          <w:lang w:eastAsia="zh-CN"/>
        </w:rPr>
        <w:t xml:space="preserve">  </w:t>
      </w:r>
      <w:r>
        <w:rPr>
          <w:rFonts w:ascii="宋体" w:eastAsia="宋体" w:hAnsi="宋体" w:hint="eastAsia"/>
          <w:kern w:val="2"/>
          <w:sz w:val="21"/>
          <w:lang w:eastAsia="zh-CN"/>
        </w:rPr>
        <w:t>自行采购</w:t>
      </w:r>
      <w:r>
        <w:rPr>
          <w:rFonts w:eastAsia="宋体" w:hint="eastAsia"/>
          <w:kern w:val="2"/>
          <w:sz w:val="21"/>
          <w:lang w:eastAsia="zh-CN"/>
        </w:rPr>
        <w:t>支持本国产品、支持中小企业、监狱企业和残疾人福利性单位发展，支持乡村产业振兴，支持创新、节能减排、绿色环保等。</w:t>
      </w:r>
    </w:p>
    <w:p>
      <w:pPr>
        <w:widowControl w:val="0"/>
        <w:ind w:firstLine="405"/>
        <w:jc w:val="both"/>
        <w:rPr>
          <w:rFonts w:ascii="宋体" w:eastAsia="宋体" w:hAnsi="宋体" w:hint="eastAsia"/>
          <w:kern w:val="2"/>
          <w:sz w:val="21"/>
          <w:lang w:eastAsia="zh-CN"/>
        </w:rPr>
      </w:pPr>
      <w:r>
        <w:rPr>
          <w:rFonts w:ascii="宋体" w:eastAsia="宋体" w:hAnsi="宋体" w:hint="eastAsia"/>
          <w:kern w:val="2"/>
          <w:sz w:val="21"/>
          <w:lang w:eastAsia="zh-CN"/>
        </w:rPr>
        <w:t>6.2</w:t>
      </w:r>
      <w:r>
        <w:rPr>
          <w:rFonts w:ascii="宋体" w:eastAsia="宋体" w:hAnsi="宋体"/>
          <w:kern w:val="2"/>
          <w:sz w:val="21"/>
          <w:lang w:eastAsia="zh-CN"/>
        </w:rPr>
        <w:t xml:space="preserve">  </w:t>
      </w:r>
      <w:r>
        <w:rPr>
          <w:rFonts w:ascii="宋体" w:eastAsia="宋体" w:hAnsi="宋体" w:hint="eastAsia"/>
          <w:kern w:val="2"/>
          <w:sz w:val="21"/>
          <w:lang w:eastAsia="zh-CN"/>
        </w:rPr>
        <w:t>本项目落实深圳市政府采购供应商诚信管理政策要求。</w:t>
      </w:r>
    </w:p>
    <w:p>
      <w:pPr>
        <w:widowControl w:val="0"/>
        <w:ind w:firstLine="405"/>
        <w:jc w:val="both"/>
        <w:rPr>
          <w:rFonts w:eastAsia="宋体"/>
          <w:kern w:val="2"/>
          <w:sz w:val="21"/>
          <w:shd w:val="clear" w:color="auto" w:fill="FFFFFF"/>
          <w:lang w:eastAsia="zh-CN"/>
        </w:rPr>
      </w:pPr>
      <w:r>
        <w:rPr>
          <w:rFonts w:ascii="宋体" w:eastAsia="宋体" w:hAnsi="宋体" w:hint="eastAsia"/>
          <w:kern w:val="2"/>
          <w:sz w:val="21"/>
          <w:lang w:eastAsia="zh-CN"/>
        </w:rPr>
        <w:t>6.3  本项目支持供应商性别平等的相关政策。</w:t>
      </w:r>
    </w:p>
    <w:p>
      <w:pPr>
        <w:widowControl w:val="0"/>
        <w:jc w:val="both"/>
        <w:rPr>
          <w:rFonts w:ascii="黑体" w:eastAsia="黑体" w:hAnsi="宋体" w:hint="eastAsia"/>
          <w:kern w:val="2"/>
          <w:lang w:eastAsia="zh-CN"/>
        </w:rPr>
      </w:pPr>
      <w:r>
        <w:rPr>
          <w:rFonts w:ascii="黑体" w:eastAsia="黑体" w:hAnsi="宋体" w:hint="eastAsia"/>
          <w:kern w:val="2"/>
          <w:lang w:eastAsia="zh-CN"/>
        </w:rPr>
        <w:t>7. 本项目若涉及采购货物，则合格的货物及相应服务应满足以下要求：</w:t>
      </w:r>
    </w:p>
    <w:p>
      <w:pPr>
        <w:widowControl w:val="0"/>
        <w:ind w:firstLine="412" w:firstLineChars="196"/>
        <w:jc w:val="both"/>
        <w:rPr>
          <w:rFonts w:ascii="宋体" w:eastAsia="宋体" w:hAnsi="宋体" w:hint="eastAsia"/>
          <w:kern w:val="2"/>
          <w:sz w:val="21"/>
          <w:lang w:eastAsia="zh-CN"/>
        </w:rPr>
      </w:pPr>
      <w:r>
        <w:rPr>
          <w:rFonts w:ascii="宋体" w:eastAsia="宋体" w:hAnsi="宋体" w:hint="eastAsia"/>
          <w:kern w:val="2"/>
          <w:sz w:val="21"/>
          <w:lang w:eastAsia="zh-CN"/>
        </w:rPr>
        <w:t>7</w:t>
      </w:r>
      <w:r>
        <w:rPr>
          <w:rFonts w:ascii="宋体" w:eastAsia="宋体" w:hAnsi="宋体"/>
          <w:kern w:val="2"/>
          <w:sz w:val="21"/>
          <w:lang w:eastAsia="zh-CN"/>
        </w:rPr>
        <w:t xml:space="preserve">.1 </w:t>
      </w:r>
      <w:r>
        <w:rPr>
          <w:rFonts w:ascii="宋体" w:eastAsia="宋体" w:hAnsi="宋体" w:hint="eastAsia"/>
          <w:kern w:val="2"/>
          <w:sz w:val="21"/>
          <w:lang w:eastAsia="zh-CN"/>
        </w:rPr>
        <w:t>必须是全新、未使用过的原装合格正品（包括零部件），如安装或配置了软件的，须为正版软件。</w:t>
      </w:r>
    </w:p>
    <w:p>
      <w:pPr>
        <w:widowControl w:val="0"/>
        <w:ind w:firstLine="412" w:firstLineChars="196"/>
        <w:jc w:val="both"/>
        <w:rPr>
          <w:rFonts w:ascii="宋体" w:eastAsia="宋体" w:hAnsi="宋体" w:hint="eastAsia"/>
          <w:kern w:val="2"/>
          <w:sz w:val="21"/>
          <w:lang w:eastAsia="zh-CN"/>
        </w:rPr>
      </w:pPr>
      <w:r>
        <w:rPr>
          <w:rFonts w:ascii="宋体" w:eastAsia="宋体" w:hAnsi="宋体" w:hint="eastAsia"/>
          <w:kern w:val="2"/>
          <w:sz w:val="21"/>
          <w:lang w:eastAsia="zh-CN"/>
        </w:rPr>
        <w:t>7.2 国产的货物及其有关服务必须符合中华人民共和国的设计、制造生产标准及行业标准。谈判公告有其他要求的，亦应符合其要求。</w:t>
      </w:r>
    </w:p>
    <w:p>
      <w:pPr>
        <w:widowControl w:val="0"/>
        <w:ind w:firstLine="412" w:firstLineChars="196"/>
        <w:jc w:val="both"/>
        <w:rPr>
          <w:rFonts w:ascii="宋体" w:eastAsia="宋体" w:hAnsi="宋体" w:hint="eastAsia"/>
          <w:kern w:val="2"/>
          <w:sz w:val="21"/>
          <w:lang w:eastAsia="zh-CN"/>
        </w:rPr>
      </w:pPr>
      <w:r>
        <w:rPr>
          <w:rFonts w:ascii="宋体" w:eastAsia="宋体" w:hAnsi="宋体" w:hint="eastAsia"/>
          <w:kern w:val="2"/>
          <w:sz w:val="21"/>
          <w:lang w:eastAsia="zh-CN"/>
        </w:rPr>
        <w:t>7</w:t>
      </w:r>
      <w:r>
        <w:rPr>
          <w:rFonts w:ascii="宋体" w:eastAsia="宋体" w:hAnsi="宋体"/>
          <w:kern w:val="2"/>
          <w:sz w:val="21"/>
          <w:lang w:eastAsia="zh-CN"/>
        </w:rPr>
        <w:t>.</w:t>
      </w:r>
      <w:r>
        <w:rPr>
          <w:rFonts w:ascii="宋体" w:eastAsia="宋体" w:hAnsi="宋体" w:hint="eastAsia"/>
          <w:kern w:val="2"/>
          <w:sz w:val="21"/>
          <w:lang w:eastAsia="zh-CN"/>
        </w:rPr>
        <w:t>3</w:t>
      </w:r>
      <w:r>
        <w:rPr>
          <w:rFonts w:ascii="宋体" w:eastAsia="宋体" w:hAnsi="宋体"/>
          <w:kern w:val="2"/>
          <w:sz w:val="21"/>
          <w:lang w:eastAsia="zh-CN"/>
        </w:rPr>
        <w:t xml:space="preserve"> </w:t>
      </w:r>
      <w:r>
        <w:rPr>
          <w:rFonts w:ascii="宋体" w:eastAsia="宋体" w:hAnsi="宋体" w:hint="eastAsia"/>
          <w:kern w:val="2"/>
          <w:sz w:val="21"/>
          <w:lang w:eastAsia="zh-CN"/>
        </w:rPr>
        <w:t>进口货物及其有关服务必须符合原产地和中华人民共和国的设计、制造生产标准及行业标准。进口的货物必须具有合法的进口手续和途径，并通过中华人民共和国商检部门检验。谈判公告有其他要求的，亦应符合其要求。</w:t>
      </w:r>
    </w:p>
    <w:p>
      <w:pPr>
        <w:widowControl w:val="0"/>
        <w:ind w:firstLine="412" w:firstLineChars="196"/>
        <w:jc w:val="both"/>
        <w:rPr>
          <w:rFonts w:ascii="宋体" w:eastAsia="宋体" w:hAnsi="宋体" w:hint="eastAsia"/>
          <w:kern w:val="2"/>
          <w:sz w:val="21"/>
          <w:lang w:eastAsia="zh-CN"/>
        </w:rPr>
      </w:pPr>
      <w:r>
        <w:rPr>
          <w:rFonts w:ascii="宋体" w:eastAsia="宋体" w:hAnsi="宋体" w:hint="eastAsia"/>
          <w:kern w:val="2"/>
          <w:sz w:val="21"/>
          <w:lang w:eastAsia="zh-CN"/>
        </w:rPr>
        <w:t>7</w:t>
      </w:r>
      <w:r>
        <w:rPr>
          <w:rFonts w:ascii="宋体" w:eastAsia="宋体" w:hAnsi="宋体"/>
          <w:kern w:val="2"/>
          <w:sz w:val="21"/>
          <w:lang w:eastAsia="zh-CN"/>
        </w:rPr>
        <w:t>.</w:t>
      </w:r>
      <w:r>
        <w:rPr>
          <w:rFonts w:ascii="宋体" w:eastAsia="宋体" w:hAnsi="宋体" w:hint="eastAsia"/>
          <w:kern w:val="2"/>
          <w:sz w:val="21"/>
          <w:lang w:eastAsia="zh-CN"/>
        </w:rPr>
        <w:t>4</w:t>
      </w:r>
      <w:r>
        <w:rPr>
          <w:rFonts w:ascii="宋体" w:eastAsia="宋体" w:hAnsi="宋体"/>
          <w:kern w:val="2"/>
          <w:sz w:val="21"/>
          <w:lang w:eastAsia="zh-CN"/>
        </w:rPr>
        <w:t xml:space="preserve"> </w:t>
      </w:r>
      <w:bookmarkStart w:id="55" w:name="_Hlk72152753"/>
      <w:r>
        <w:rPr>
          <w:rFonts w:ascii="宋体" w:eastAsia="宋体" w:hAnsi="宋体" w:hint="eastAsia"/>
          <w:kern w:val="2"/>
          <w:sz w:val="21"/>
          <w:lang w:eastAsia="zh-CN"/>
        </w:rPr>
        <w:t>供应商应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供应商应承担全部责任。</w:t>
      </w:r>
      <w:bookmarkEnd w:id="55"/>
    </w:p>
    <w:p>
      <w:pPr>
        <w:widowControl w:val="0"/>
        <w:ind w:firstLine="412" w:firstLineChars="196"/>
        <w:jc w:val="both"/>
        <w:rPr>
          <w:rFonts w:ascii="宋体" w:eastAsia="宋体" w:hAnsi="宋体" w:hint="eastAsia"/>
          <w:kern w:val="2"/>
          <w:sz w:val="21"/>
          <w:lang w:eastAsia="zh-CN"/>
        </w:rPr>
      </w:pPr>
      <w:r>
        <w:rPr>
          <w:rFonts w:ascii="宋体" w:eastAsia="宋体" w:hAnsi="宋体" w:hint="eastAsia"/>
          <w:kern w:val="2"/>
          <w:sz w:val="21"/>
          <w:lang w:eastAsia="zh-CN"/>
        </w:rPr>
        <w:t>7.5 供应商应保证，其所提供的货物符合国家强制性标准要求；符合相关行业标准（如具备行政主管部门颁发的资质证书或国家质量监督部门的产品《检验报告》等）。设备到货验收时，还必须提供设备的产品合格证、质量保证文件。若成交后，除非另有约定，成交供应商必须按合同规定完成设备的安装，并达到验收标准。</w:t>
      </w:r>
    </w:p>
    <w:p>
      <w:pPr>
        <w:widowControl w:val="0"/>
        <w:ind w:firstLine="412" w:firstLineChars="196"/>
        <w:jc w:val="both"/>
        <w:rPr>
          <w:rFonts w:ascii="宋体" w:eastAsia="宋体" w:hAnsi="宋体" w:hint="eastAsia"/>
          <w:kern w:val="2"/>
          <w:sz w:val="21"/>
          <w:lang w:eastAsia="zh-CN"/>
        </w:rPr>
      </w:pPr>
      <w:r>
        <w:rPr>
          <w:rFonts w:ascii="宋体" w:eastAsia="宋体" w:hAnsi="宋体" w:hint="eastAsia"/>
          <w:kern w:val="2"/>
          <w:sz w:val="21"/>
          <w:lang w:eastAsia="zh-CN"/>
        </w:rPr>
        <w:t xml:space="preserve">7.6 </w:t>
      </w:r>
      <w:bookmarkStart w:id="56" w:name="_Hlk72399342"/>
      <w:r>
        <w:rPr>
          <w:rFonts w:ascii="宋体" w:eastAsia="宋体" w:hAnsi="宋体" w:hint="eastAsia"/>
          <w:kern w:val="2"/>
          <w:sz w:val="21"/>
          <w:lang w:eastAsia="zh-CN"/>
        </w:rPr>
        <w:t>工期要求：供应商在谈判时对其所投项目应提交交货进度、交货计划等，在合同规定的时间内完成项目实施工作。</w:t>
      </w:r>
      <w:bookmarkEnd w:id="56"/>
    </w:p>
    <w:p>
      <w:pPr>
        <w:widowControl w:val="0"/>
        <w:ind w:firstLine="412" w:firstLineChars="196"/>
        <w:jc w:val="both"/>
        <w:rPr>
          <w:rFonts w:ascii="宋体" w:eastAsia="宋体" w:hAnsi="宋体" w:hint="eastAsia"/>
          <w:kern w:val="2"/>
          <w:sz w:val="21"/>
          <w:lang w:eastAsia="zh-CN"/>
        </w:rPr>
      </w:pPr>
      <w:r>
        <w:rPr>
          <w:rFonts w:ascii="宋体" w:eastAsia="宋体" w:hAnsi="宋体" w:hint="eastAsia"/>
          <w:kern w:val="2"/>
          <w:sz w:val="21"/>
          <w:lang w:eastAsia="zh-CN"/>
        </w:rPr>
        <w:t>7.7</w:t>
      </w:r>
      <w:bookmarkStart w:id="57" w:name="_Hlk72665183"/>
      <w:r>
        <w:rPr>
          <w:rFonts w:ascii="宋体" w:eastAsia="宋体" w:hAnsi="宋体" w:hint="eastAsia"/>
          <w:kern w:val="2"/>
          <w:sz w:val="21"/>
          <w:lang w:eastAsia="zh-CN"/>
        </w:rPr>
        <w:t>成交供应商必须承担货物运输、安装调试、验收检测和提供设备操作说明书、图纸等其他相关及类似的义务。</w:t>
      </w:r>
      <w:bookmarkEnd w:id="57"/>
    </w:p>
    <w:p>
      <w:pPr>
        <w:widowControl w:val="0"/>
        <w:jc w:val="both"/>
        <w:rPr>
          <w:rFonts w:ascii="黑体" w:eastAsia="黑体" w:hAnsi="宋体" w:hint="eastAsia"/>
          <w:kern w:val="2"/>
          <w:lang w:eastAsia="zh-CN"/>
        </w:rPr>
      </w:pPr>
      <w:r>
        <w:rPr>
          <w:rFonts w:ascii="黑体" w:eastAsia="黑体" w:hAnsi="宋体" w:hint="eastAsia"/>
          <w:kern w:val="2"/>
          <w:lang w:eastAsia="zh-CN"/>
        </w:rPr>
        <w:t>8．谈判费用</w:t>
      </w:r>
    </w:p>
    <w:p>
      <w:pPr>
        <w:widowControl w:val="0"/>
        <w:ind w:firstLine="412" w:firstLineChars="196"/>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不论谈判结果如何，供应商应承担其编制应答文件与递交应答文件所涉及的一切费用。</w:t>
      </w:r>
    </w:p>
    <w:p>
      <w:pPr>
        <w:keepNext/>
        <w:keepLines/>
        <w:widowControl w:val="0"/>
        <w:adjustRightInd w:val="0"/>
        <w:spacing w:before="260" w:after="260" w:line="240" w:lineRule="auto"/>
        <w:jc w:val="center"/>
        <w:textAlignment w:val="baseline"/>
        <w:outlineLvl w:val="1"/>
        <w:rPr>
          <w:rFonts w:ascii="宋体" w:eastAsia="宋体" w:hAnsi="宋体" w:hint="eastAsia"/>
          <w:b/>
          <w:bCs/>
          <w:szCs w:val="20"/>
          <w:lang w:eastAsia="zh-CN"/>
        </w:rPr>
      </w:pPr>
      <w:r>
        <w:rPr>
          <w:rFonts w:ascii="宋体" w:eastAsia="宋体" w:hAnsi="宋体" w:hint="eastAsia"/>
          <w:b/>
          <w:bCs/>
          <w:szCs w:val="20"/>
          <w:lang w:eastAsia="zh-CN"/>
        </w:rPr>
        <w:t>二、谈判文件</w:t>
      </w:r>
    </w:p>
    <w:p>
      <w:pPr>
        <w:widowControl w:val="0"/>
        <w:jc w:val="both"/>
        <w:rPr>
          <w:rFonts w:ascii="黑体" w:eastAsia="黑体" w:hAnsi="宋体" w:hint="eastAsia"/>
          <w:kern w:val="2"/>
          <w:lang w:eastAsia="zh-CN"/>
        </w:rPr>
      </w:pPr>
      <w:r>
        <w:rPr>
          <w:rFonts w:ascii="黑体" w:eastAsia="黑体" w:hAnsi="宋体" w:hint="eastAsia"/>
          <w:kern w:val="2"/>
          <w:lang w:eastAsia="zh-CN"/>
        </w:rPr>
        <w:t>9</w:t>
      </w:r>
      <w:r>
        <w:rPr>
          <w:rFonts w:ascii="黑体" w:eastAsia="黑体" w:hAnsi="宋体"/>
          <w:kern w:val="2"/>
          <w:lang w:eastAsia="zh-CN"/>
        </w:rPr>
        <w:t>.</w:t>
      </w:r>
      <w:r>
        <w:rPr>
          <w:rFonts w:ascii="黑体" w:eastAsia="黑体" w:hAnsi="宋体" w:hint="eastAsia"/>
          <w:kern w:val="2"/>
          <w:lang w:eastAsia="zh-CN"/>
        </w:rPr>
        <w:t>谈判文件的编制与组成</w:t>
      </w:r>
    </w:p>
    <w:p>
      <w:pPr>
        <w:widowControl w:val="0"/>
        <w:snapToGrid w:val="0"/>
        <w:ind w:firstLine="420" w:firstLineChars="200"/>
        <w:jc w:val="both"/>
        <w:rPr>
          <w:rFonts w:ascii="宋体" w:eastAsia="宋体" w:hAnsi="宋体" w:hint="eastAsia"/>
          <w:kern w:val="2"/>
          <w:sz w:val="21"/>
          <w:szCs w:val="21"/>
          <w:lang w:eastAsia="zh-CN"/>
        </w:rPr>
      </w:pPr>
      <w:r>
        <w:rPr>
          <w:rFonts w:ascii="宋体" w:eastAsia="宋体" w:hAnsi="宋体"/>
          <w:kern w:val="2"/>
          <w:sz w:val="21"/>
          <w:szCs w:val="21"/>
          <w:lang w:eastAsia="zh-CN"/>
        </w:rPr>
        <w:t>9</w:t>
      </w:r>
      <w:r>
        <w:rPr>
          <w:rFonts w:ascii="宋体" w:eastAsia="宋体" w:hAnsi="宋体" w:hint="eastAsia"/>
          <w:kern w:val="2"/>
          <w:sz w:val="21"/>
          <w:szCs w:val="21"/>
          <w:lang w:eastAsia="zh-CN"/>
        </w:rPr>
        <w:t>.1谈判文件除以下内容外，政府集中采购机构在谈判期间发出的澄清或修改等相关公告或通知内容，均是谈判文件的组成部分，对供应商起约束作用；</w:t>
      </w:r>
    </w:p>
    <w:p>
      <w:pPr>
        <w:widowControl w:val="0"/>
        <w:ind w:firstLine="412" w:firstLineChars="196"/>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谈判文件包括下列内容：</w:t>
      </w:r>
    </w:p>
    <w:p>
      <w:pPr>
        <w:widowControl w:val="0"/>
        <w:ind w:left="1234" w:leftChars="514"/>
        <w:jc w:val="both"/>
        <w:rPr>
          <w:rFonts w:ascii="宋体" w:eastAsia="宋体" w:hAnsi="宋体" w:hint="eastAsia"/>
          <w:b/>
          <w:kern w:val="2"/>
          <w:sz w:val="21"/>
          <w:szCs w:val="21"/>
          <w:lang w:eastAsia="zh-CN"/>
        </w:rPr>
      </w:pPr>
      <w:r>
        <w:rPr>
          <w:rFonts w:ascii="宋体" w:eastAsia="宋体" w:hAnsi="宋体" w:hint="eastAsia"/>
          <w:b/>
          <w:kern w:val="2"/>
          <w:sz w:val="21"/>
          <w:szCs w:val="21"/>
          <w:lang w:eastAsia="zh-CN"/>
        </w:rPr>
        <w:t>关键信息</w:t>
      </w:r>
    </w:p>
    <w:p>
      <w:pPr>
        <w:widowControl/>
        <w:wordWrap w:val="0"/>
        <w:ind w:firstLine="1260" w:firstLineChars="600"/>
        <w:jc w:val="left"/>
        <w:textAlignment w:val="top"/>
        <w:rPr>
          <w:rFonts w:eastAsia="宋体"/>
          <w:kern w:val="2"/>
          <w:sz w:val="21"/>
          <w:szCs w:val="21"/>
          <w:lang w:eastAsia="zh-CN"/>
        </w:rPr>
      </w:pPr>
      <w:r>
        <w:rPr>
          <w:rFonts w:eastAsia="宋体" w:hint="eastAsia"/>
          <w:kern w:val="2"/>
          <w:sz w:val="21"/>
          <w:szCs w:val="21"/>
          <w:lang w:eastAsia="zh-CN"/>
        </w:rPr>
        <w:t>第一章  谈判公告</w:t>
      </w:r>
    </w:p>
    <w:p>
      <w:pPr>
        <w:widowControl/>
        <w:wordWrap w:val="0"/>
        <w:ind w:firstLine="1260" w:firstLineChars="600"/>
        <w:jc w:val="left"/>
        <w:textAlignment w:val="top"/>
        <w:rPr>
          <w:rFonts w:eastAsia="宋体"/>
          <w:kern w:val="2"/>
          <w:sz w:val="21"/>
          <w:szCs w:val="21"/>
          <w:lang w:eastAsia="zh-CN"/>
        </w:rPr>
      </w:pPr>
      <w:r>
        <w:rPr>
          <w:rFonts w:eastAsia="宋体" w:hint="eastAsia"/>
          <w:kern w:val="2"/>
          <w:sz w:val="21"/>
          <w:szCs w:val="21"/>
          <w:lang w:eastAsia="zh-CN"/>
        </w:rPr>
        <w:t>第二章  对谈判须知条款的补充内容及其他关键信息</w:t>
      </w:r>
    </w:p>
    <w:p>
      <w:pPr>
        <w:widowControl/>
        <w:wordWrap w:val="0"/>
        <w:ind w:firstLine="1260" w:firstLineChars="600"/>
        <w:jc w:val="left"/>
        <w:textAlignment w:val="top"/>
        <w:rPr>
          <w:rFonts w:eastAsia="宋体"/>
          <w:kern w:val="2"/>
          <w:sz w:val="21"/>
          <w:szCs w:val="21"/>
          <w:lang w:eastAsia="zh-CN"/>
        </w:rPr>
      </w:pPr>
      <w:r>
        <w:rPr>
          <w:rFonts w:eastAsia="宋体" w:hint="eastAsia"/>
          <w:kern w:val="2"/>
          <w:sz w:val="21"/>
          <w:szCs w:val="21"/>
          <w:lang w:eastAsia="zh-CN"/>
        </w:rPr>
        <w:t xml:space="preserve">第三章 </w:t>
      </w:r>
      <w:r>
        <w:rPr>
          <w:rFonts w:eastAsia="宋体"/>
          <w:kern w:val="2"/>
          <w:sz w:val="21"/>
          <w:szCs w:val="21"/>
          <w:lang w:eastAsia="zh-CN"/>
        </w:rPr>
        <w:t xml:space="preserve"> </w:t>
      </w:r>
      <w:r>
        <w:rPr>
          <w:rFonts w:eastAsia="宋体" w:hint="eastAsia"/>
          <w:kern w:val="2"/>
          <w:sz w:val="21"/>
          <w:szCs w:val="21"/>
          <w:lang w:eastAsia="zh-CN"/>
        </w:rPr>
        <w:t>用户需求书</w:t>
      </w:r>
    </w:p>
    <w:p>
      <w:pPr>
        <w:widowControl/>
        <w:wordWrap w:val="0"/>
        <w:ind w:firstLine="1260" w:firstLineChars="600"/>
        <w:jc w:val="left"/>
        <w:textAlignment w:val="top"/>
        <w:rPr>
          <w:rFonts w:eastAsia="宋体"/>
          <w:kern w:val="2"/>
          <w:sz w:val="21"/>
          <w:szCs w:val="21"/>
          <w:lang w:eastAsia="zh-CN"/>
        </w:rPr>
      </w:pPr>
      <w:r>
        <w:rPr>
          <w:rFonts w:eastAsia="宋体" w:hint="eastAsia"/>
          <w:kern w:val="2"/>
          <w:sz w:val="21"/>
          <w:szCs w:val="21"/>
          <w:lang w:eastAsia="zh-CN"/>
        </w:rPr>
        <w:t xml:space="preserve">第四章 </w:t>
      </w:r>
      <w:r>
        <w:rPr>
          <w:rFonts w:eastAsia="宋体"/>
          <w:kern w:val="2"/>
          <w:sz w:val="21"/>
          <w:szCs w:val="21"/>
          <w:lang w:eastAsia="zh-CN"/>
        </w:rPr>
        <w:t xml:space="preserve"> </w:t>
      </w:r>
      <w:r>
        <w:rPr>
          <w:rFonts w:eastAsia="宋体" w:hint="eastAsia"/>
          <w:kern w:val="2"/>
          <w:sz w:val="21"/>
          <w:szCs w:val="21"/>
          <w:lang w:eastAsia="zh-CN"/>
        </w:rPr>
        <w:t>谈判应答文件组成要求及格式</w:t>
      </w:r>
    </w:p>
    <w:p>
      <w:pPr>
        <w:widowControl/>
        <w:wordWrap w:val="0"/>
        <w:ind w:firstLine="1260" w:firstLineChars="600"/>
        <w:jc w:val="left"/>
        <w:textAlignment w:val="top"/>
        <w:rPr>
          <w:rFonts w:eastAsia="宋体"/>
          <w:kern w:val="2"/>
          <w:sz w:val="21"/>
          <w:szCs w:val="21"/>
          <w:lang w:eastAsia="zh-CN"/>
        </w:rPr>
      </w:pPr>
      <w:r>
        <w:rPr>
          <w:rFonts w:eastAsia="宋体" w:hint="eastAsia"/>
          <w:kern w:val="2"/>
          <w:sz w:val="21"/>
          <w:szCs w:val="21"/>
          <w:lang w:eastAsia="zh-CN"/>
        </w:rPr>
        <w:t>第五章  合同条款及格式</w:t>
      </w:r>
    </w:p>
    <w:p>
      <w:pPr>
        <w:widowControl w:val="0"/>
        <w:ind w:left="720" w:firstLine="622" w:leftChars="300" w:firstLineChars="296"/>
        <w:jc w:val="both"/>
        <w:rPr>
          <w:rFonts w:ascii="宋体" w:eastAsia="宋体" w:hAnsi="宋体" w:hint="eastAsia"/>
          <w:kern w:val="2"/>
          <w:sz w:val="21"/>
          <w:szCs w:val="21"/>
          <w:lang w:eastAsia="zh-CN"/>
        </w:rPr>
      </w:pPr>
      <w:r>
        <w:rPr>
          <w:rFonts w:eastAsia="宋体" w:hint="eastAsia"/>
          <w:kern w:val="2"/>
          <w:sz w:val="21"/>
          <w:szCs w:val="21"/>
          <w:lang w:eastAsia="zh-CN"/>
        </w:rPr>
        <w:t xml:space="preserve">第六章 </w:t>
      </w:r>
      <w:r>
        <w:rPr>
          <w:rFonts w:eastAsia="宋体"/>
          <w:kern w:val="2"/>
          <w:sz w:val="21"/>
          <w:szCs w:val="21"/>
          <w:lang w:eastAsia="zh-CN"/>
        </w:rPr>
        <w:t xml:space="preserve"> </w:t>
      </w:r>
      <w:r>
        <w:rPr>
          <w:rFonts w:eastAsia="宋体" w:hint="eastAsia"/>
          <w:kern w:val="2"/>
          <w:sz w:val="21"/>
          <w:szCs w:val="21"/>
          <w:lang w:eastAsia="zh-CN"/>
        </w:rPr>
        <w:t>谈判须知</w:t>
      </w:r>
    </w:p>
    <w:p>
      <w:pPr>
        <w:widowControl w:val="0"/>
        <w:ind w:firstLine="412" w:firstLineChars="196"/>
        <w:jc w:val="both"/>
        <w:rPr>
          <w:rFonts w:ascii="宋体" w:eastAsia="宋体" w:hAnsi="宋体" w:hint="eastAsia"/>
          <w:kern w:val="2"/>
          <w:sz w:val="21"/>
          <w:szCs w:val="21"/>
          <w:lang w:eastAsia="zh-CN"/>
        </w:rPr>
      </w:pPr>
      <w:r>
        <w:rPr>
          <w:rFonts w:ascii="宋体" w:eastAsia="宋体" w:hAnsi="宋体"/>
          <w:kern w:val="2"/>
          <w:sz w:val="21"/>
          <w:szCs w:val="21"/>
          <w:lang w:eastAsia="zh-CN"/>
        </w:rPr>
        <w:t>9</w:t>
      </w:r>
      <w:r>
        <w:rPr>
          <w:rFonts w:ascii="宋体" w:eastAsia="宋体" w:hAnsi="宋体" w:hint="eastAsia"/>
          <w:kern w:val="2"/>
          <w:sz w:val="21"/>
          <w:szCs w:val="21"/>
          <w:lang w:eastAsia="zh-CN"/>
        </w:rPr>
        <w:t>.2 供应商下载谈判文件后，应仔细检查谈判文件的所有内容，如有疑问应在答疑截止时间之前向政府集中采购机构提出，否则，由此引起的损失自负；供应商同时应认真审阅谈判文件所有的事项、格式、条款和规范要求等，如果供应商的应答文件未按谈判文件要求提交全部资料或者应答文件未对谈判文件做出实质性响应，其风险由供应商自行承担。</w:t>
      </w:r>
    </w:p>
    <w:p>
      <w:pPr>
        <w:widowControl w:val="0"/>
        <w:ind w:firstLine="412" w:firstLineChars="196"/>
        <w:jc w:val="both"/>
        <w:rPr>
          <w:rFonts w:ascii="宋体" w:eastAsia="宋体" w:hAnsi="宋体" w:hint="eastAsia"/>
          <w:kern w:val="2"/>
          <w:sz w:val="21"/>
          <w:szCs w:val="21"/>
          <w:lang w:eastAsia="zh-CN"/>
        </w:rPr>
      </w:pPr>
      <w:r>
        <w:rPr>
          <w:rFonts w:ascii="宋体" w:eastAsia="宋体" w:hAnsi="宋体"/>
          <w:kern w:val="2"/>
          <w:sz w:val="21"/>
          <w:szCs w:val="21"/>
          <w:lang w:eastAsia="zh-CN"/>
        </w:rPr>
        <w:t>9</w:t>
      </w:r>
      <w:r>
        <w:rPr>
          <w:rFonts w:ascii="宋体" w:eastAsia="宋体" w:hAnsi="宋体" w:hint="eastAsia"/>
          <w:kern w:val="2"/>
          <w:sz w:val="21"/>
          <w:szCs w:val="21"/>
          <w:lang w:eastAsia="zh-CN"/>
        </w:rPr>
        <w:t>.3</w:t>
      </w:r>
      <w:r>
        <w:rPr>
          <w:rFonts w:ascii="宋体" w:eastAsia="宋体" w:hAnsi="宋体" w:hint="eastAsia"/>
          <w:kern w:val="2"/>
          <w:sz w:val="21"/>
          <w:lang w:eastAsia="zh-CN"/>
        </w:rPr>
        <w:t>任何人或任何组织向供应商提交的任何书面或口头资料，未经政府集中采购机构在网上发布或书面通知，均作无效处理，不得作为谈判文件的组成部分。政府集中采购机构对供应商由此而做出的推论、理解和结论概不负责。</w:t>
      </w:r>
    </w:p>
    <w:p>
      <w:pPr>
        <w:widowControl w:val="0"/>
        <w:jc w:val="both"/>
        <w:rPr>
          <w:rFonts w:ascii="黑体" w:eastAsia="黑体" w:hAnsi="宋体" w:hint="eastAsia"/>
          <w:kern w:val="2"/>
          <w:lang w:eastAsia="zh-CN"/>
        </w:rPr>
      </w:pPr>
      <w:r>
        <w:rPr>
          <w:rFonts w:ascii="黑体" w:eastAsia="黑体" w:hAnsi="宋体" w:hint="eastAsia"/>
          <w:kern w:val="2"/>
          <w:lang w:eastAsia="zh-CN"/>
        </w:rPr>
        <w:t>1</w:t>
      </w:r>
      <w:r>
        <w:rPr>
          <w:rFonts w:ascii="黑体" w:eastAsia="黑体" w:hAnsi="宋体"/>
          <w:kern w:val="2"/>
          <w:lang w:eastAsia="zh-CN"/>
        </w:rPr>
        <w:t>0</w:t>
      </w:r>
      <w:r>
        <w:rPr>
          <w:rFonts w:ascii="黑体" w:eastAsia="黑体" w:hAnsi="宋体" w:hint="eastAsia"/>
          <w:kern w:val="2"/>
          <w:lang w:eastAsia="zh-CN"/>
        </w:rPr>
        <w:t>．谈判文件的澄清</w:t>
      </w:r>
    </w:p>
    <w:p>
      <w:pPr>
        <w:widowControl w:val="0"/>
        <w:ind w:firstLine="412" w:firstLineChars="196"/>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1</w:t>
      </w:r>
      <w:r>
        <w:rPr>
          <w:rFonts w:ascii="宋体" w:eastAsia="宋体" w:hAnsi="宋体"/>
          <w:kern w:val="2"/>
          <w:sz w:val="21"/>
          <w:szCs w:val="21"/>
          <w:lang w:eastAsia="zh-CN"/>
        </w:rPr>
        <w:t>0</w:t>
      </w:r>
      <w:r>
        <w:rPr>
          <w:rFonts w:ascii="宋体" w:eastAsia="宋体" w:hAnsi="宋体" w:hint="eastAsia"/>
          <w:kern w:val="2"/>
          <w:sz w:val="21"/>
          <w:szCs w:val="21"/>
          <w:lang w:eastAsia="zh-CN"/>
        </w:rPr>
        <w:t>.1谈判文件澄清的目的是澄清、解答供应商在查阅谈判文件后可能提出的与谈判有关的疑问或询问。</w:t>
      </w:r>
    </w:p>
    <w:p>
      <w:pPr>
        <w:widowControl w:val="0"/>
        <w:ind w:firstLine="412" w:firstLineChars="196"/>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1</w:t>
      </w:r>
      <w:r>
        <w:rPr>
          <w:rFonts w:ascii="宋体" w:eastAsia="宋体" w:hAnsi="宋体"/>
          <w:kern w:val="2"/>
          <w:sz w:val="21"/>
          <w:szCs w:val="21"/>
          <w:lang w:eastAsia="zh-CN"/>
        </w:rPr>
        <w:t>0</w:t>
      </w:r>
      <w:r>
        <w:rPr>
          <w:rFonts w:ascii="宋体" w:eastAsia="宋体" w:hAnsi="宋体" w:hint="eastAsia"/>
          <w:kern w:val="2"/>
          <w:sz w:val="21"/>
          <w:szCs w:val="21"/>
          <w:lang w:eastAsia="zh-CN"/>
        </w:rPr>
        <w:t>.2供应商如对谈判文件内容有疑问，应当在谈判公告规定的澄清（提问）截止时间前</w:t>
      </w:r>
      <w:r>
        <w:rPr>
          <w:rFonts w:ascii="宋体" w:eastAsia="宋体" w:hAnsi="宋体" w:hint="eastAsia"/>
          <w:color w:val="FF0000"/>
          <w:kern w:val="2"/>
          <w:sz w:val="21"/>
          <w:szCs w:val="21"/>
          <w:lang w:eastAsia="zh-CN"/>
        </w:rPr>
        <w:t>将疑问内容加盖公章书面提交至政府集中采购机构。</w:t>
      </w:r>
    </w:p>
    <w:p>
      <w:pPr>
        <w:widowControl w:val="0"/>
        <w:ind w:firstLine="412" w:firstLineChars="196"/>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1</w:t>
      </w:r>
      <w:r>
        <w:rPr>
          <w:rFonts w:ascii="宋体" w:eastAsia="宋体" w:hAnsi="宋体"/>
          <w:kern w:val="2"/>
          <w:sz w:val="21"/>
          <w:szCs w:val="21"/>
          <w:lang w:eastAsia="zh-CN"/>
        </w:rPr>
        <w:t>0</w:t>
      </w:r>
      <w:r>
        <w:rPr>
          <w:rFonts w:ascii="宋体" w:eastAsia="宋体" w:hAnsi="宋体" w:hint="eastAsia"/>
          <w:kern w:val="2"/>
          <w:sz w:val="21"/>
          <w:szCs w:val="21"/>
          <w:lang w:eastAsia="zh-CN"/>
        </w:rPr>
        <w:t>.3不论是政府集中采购机构根据需要主动对谈判文件进行必要的澄清或是根据供应商的要求对谈判文件做出澄清，政府集中采购机构都将在谈判截止日期前以书面形式（包括政府集中采购机构网站发布方式）答复或发送给所有供应商。答复内容是谈判文件的组成部分，对供应商起约束作用，其有效性按照本谈判须知第1</w:t>
      </w:r>
      <w:r>
        <w:rPr>
          <w:rFonts w:ascii="宋体" w:eastAsia="宋体" w:hAnsi="宋体"/>
          <w:kern w:val="2"/>
          <w:sz w:val="21"/>
          <w:szCs w:val="21"/>
          <w:lang w:eastAsia="zh-CN"/>
        </w:rPr>
        <w:t>1.3</w:t>
      </w:r>
      <w:r>
        <w:rPr>
          <w:rFonts w:ascii="宋体" w:eastAsia="宋体" w:hAnsi="宋体" w:hint="eastAsia"/>
          <w:kern w:val="2"/>
          <w:sz w:val="21"/>
          <w:szCs w:val="21"/>
          <w:lang w:eastAsia="zh-CN"/>
        </w:rPr>
        <w:t>、1</w:t>
      </w:r>
      <w:r>
        <w:rPr>
          <w:rFonts w:ascii="宋体" w:eastAsia="宋体" w:hAnsi="宋体"/>
          <w:kern w:val="2"/>
          <w:sz w:val="21"/>
          <w:szCs w:val="21"/>
          <w:lang w:eastAsia="zh-CN"/>
        </w:rPr>
        <w:t>1.4</w:t>
      </w:r>
      <w:r>
        <w:rPr>
          <w:rFonts w:ascii="宋体" w:eastAsia="宋体" w:hAnsi="宋体" w:hint="eastAsia"/>
          <w:kern w:val="2"/>
          <w:sz w:val="21"/>
          <w:szCs w:val="21"/>
          <w:lang w:eastAsia="zh-CN"/>
        </w:rPr>
        <w:t>款规定执行。</w:t>
      </w:r>
    </w:p>
    <w:p>
      <w:pPr>
        <w:widowControl w:val="0"/>
        <w:jc w:val="both"/>
        <w:rPr>
          <w:rFonts w:ascii="黑体" w:eastAsia="黑体" w:hAnsi="宋体" w:hint="eastAsia"/>
          <w:kern w:val="2"/>
          <w:lang w:eastAsia="zh-CN"/>
        </w:rPr>
      </w:pPr>
      <w:r>
        <w:rPr>
          <w:rFonts w:ascii="黑体" w:eastAsia="黑体" w:hAnsi="宋体"/>
          <w:kern w:val="2"/>
          <w:lang w:eastAsia="zh-CN"/>
        </w:rPr>
        <w:t>11</w:t>
      </w:r>
      <w:r>
        <w:rPr>
          <w:rFonts w:ascii="黑体" w:eastAsia="黑体" w:hAnsi="宋体" w:hint="eastAsia"/>
          <w:kern w:val="2"/>
          <w:lang w:eastAsia="zh-CN"/>
        </w:rPr>
        <w:t>．谈判文件的修改</w:t>
      </w:r>
    </w:p>
    <w:p>
      <w:pPr>
        <w:widowControl w:val="0"/>
        <w:ind w:firstLine="412" w:firstLineChars="196"/>
        <w:jc w:val="both"/>
        <w:rPr>
          <w:rFonts w:ascii="宋体" w:eastAsia="宋体" w:hAnsi="宋体" w:hint="eastAsia"/>
          <w:kern w:val="2"/>
          <w:sz w:val="21"/>
          <w:szCs w:val="21"/>
          <w:lang w:eastAsia="zh-CN"/>
        </w:rPr>
      </w:pPr>
      <w:r>
        <w:rPr>
          <w:rFonts w:ascii="宋体" w:eastAsia="宋体" w:hAnsi="宋体"/>
          <w:kern w:val="2"/>
          <w:sz w:val="21"/>
          <w:szCs w:val="21"/>
          <w:lang w:eastAsia="zh-CN"/>
        </w:rPr>
        <w:t>11</w:t>
      </w:r>
      <w:r>
        <w:rPr>
          <w:rFonts w:ascii="宋体" w:eastAsia="宋体" w:hAnsi="宋体" w:hint="eastAsia"/>
          <w:kern w:val="2"/>
          <w:sz w:val="21"/>
          <w:szCs w:val="21"/>
          <w:lang w:eastAsia="zh-CN"/>
        </w:rPr>
        <w:t>.1谈判文件发出后，在谈判截止日期前任何时候，确需要变更谈判文件内容的，政府集中采购机构可主动或在解答供应商提出的澄清问题时对谈判文件进行修改。</w:t>
      </w:r>
    </w:p>
    <w:p>
      <w:pPr>
        <w:widowControl w:val="0"/>
        <w:ind w:firstLine="412" w:firstLineChars="196"/>
        <w:jc w:val="both"/>
        <w:rPr>
          <w:rFonts w:ascii="宋体" w:eastAsia="宋体" w:hAnsi="宋体" w:hint="eastAsia"/>
          <w:kern w:val="2"/>
          <w:sz w:val="21"/>
          <w:szCs w:val="21"/>
          <w:lang w:eastAsia="zh-CN"/>
        </w:rPr>
      </w:pPr>
      <w:r>
        <w:rPr>
          <w:rFonts w:ascii="宋体" w:eastAsia="宋体" w:hAnsi="宋体"/>
          <w:kern w:val="2"/>
          <w:sz w:val="21"/>
          <w:szCs w:val="21"/>
          <w:lang w:eastAsia="zh-CN"/>
        </w:rPr>
        <w:t>11</w:t>
      </w:r>
      <w:r>
        <w:rPr>
          <w:rFonts w:ascii="宋体" w:eastAsia="宋体" w:hAnsi="宋体" w:hint="eastAsia"/>
          <w:kern w:val="2"/>
          <w:sz w:val="21"/>
          <w:szCs w:val="21"/>
          <w:lang w:eastAsia="zh-CN"/>
        </w:rPr>
        <w:t>.2谈判文件的修改以书面形式（包括政府集中采购机构网站发布方式，如更正公告等）发送给所有供应商，谈判文件的修改内容作为谈判文件的组成部分，并具有约束力。</w:t>
      </w:r>
    </w:p>
    <w:p>
      <w:pPr>
        <w:widowControl w:val="0"/>
        <w:ind w:firstLine="412" w:firstLineChars="196"/>
        <w:jc w:val="both"/>
        <w:rPr>
          <w:rFonts w:ascii="宋体" w:eastAsia="宋体" w:hAnsi="宋体" w:hint="eastAsia"/>
          <w:kern w:val="2"/>
          <w:sz w:val="21"/>
          <w:szCs w:val="21"/>
          <w:lang w:eastAsia="zh-CN"/>
        </w:rPr>
      </w:pPr>
      <w:r>
        <w:rPr>
          <w:rFonts w:ascii="宋体" w:eastAsia="宋体" w:hAnsi="宋体"/>
          <w:kern w:val="2"/>
          <w:sz w:val="21"/>
          <w:szCs w:val="21"/>
          <w:lang w:eastAsia="zh-CN"/>
        </w:rPr>
        <w:t>11</w:t>
      </w:r>
      <w:r>
        <w:rPr>
          <w:rFonts w:ascii="宋体" w:eastAsia="宋体" w:hAnsi="宋体" w:hint="eastAsia"/>
          <w:kern w:val="2"/>
          <w:sz w:val="21"/>
          <w:szCs w:val="21"/>
          <w:lang w:eastAsia="zh-CN"/>
        </w:rPr>
        <w:t>.3谈判文件、谈判文件澄清答复内容、谈判文件修改补充内容均以书面形式（包括政府集中采购机构网站公开发布方式，如更正公告等）明确的内容为准。当谈判文件、修改补充通知、谈判文件澄清答复内容相互矛盾时，以最后发出的内容为准。</w:t>
      </w:r>
    </w:p>
    <w:p>
      <w:pPr>
        <w:widowControl w:val="0"/>
        <w:ind w:firstLine="412" w:firstLineChars="196"/>
        <w:jc w:val="both"/>
        <w:rPr>
          <w:rFonts w:ascii="宋体" w:eastAsia="宋体" w:hAnsi="宋体" w:hint="eastAsia"/>
          <w:kern w:val="2"/>
          <w:sz w:val="21"/>
          <w:szCs w:val="21"/>
          <w:lang w:eastAsia="zh-CN"/>
        </w:rPr>
      </w:pPr>
      <w:r>
        <w:rPr>
          <w:rFonts w:ascii="宋体" w:eastAsia="宋体" w:hAnsi="宋体"/>
          <w:kern w:val="2"/>
          <w:sz w:val="21"/>
          <w:szCs w:val="21"/>
          <w:lang w:eastAsia="zh-CN"/>
        </w:rPr>
        <w:t>11</w:t>
      </w:r>
      <w:r>
        <w:rPr>
          <w:rFonts w:ascii="宋体" w:eastAsia="宋体" w:hAnsi="宋体" w:hint="eastAsia"/>
          <w:kern w:val="2"/>
          <w:sz w:val="21"/>
          <w:szCs w:val="21"/>
          <w:lang w:eastAsia="zh-CN"/>
        </w:rPr>
        <w:t>.4政府集中采购机构保证谈判文件澄清答复内容和谈判文件修改补充内容在谈判截止时间前以书面形式（包括政府集中采购机构网站发布方式，如更正公告等）发送给所有供应商。为使供应商在编制谈判文件时有充分时间对谈判文件的修改部分进行研究，政府集中采购机构可以酌情延长递交应答文件的截止日期。</w:t>
      </w:r>
    </w:p>
    <w:p>
      <w:pPr>
        <w:keepNext/>
        <w:keepLines/>
        <w:widowControl w:val="0"/>
        <w:adjustRightInd w:val="0"/>
        <w:spacing w:before="260" w:after="260" w:line="240" w:lineRule="auto"/>
        <w:jc w:val="center"/>
        <w:textAlignment w:val="baseline"/>
        <w:outlineLvl w:val="1"/>
        <w:rPr>
          <w:rFonts w:ascii="宋体" w:eastAsia="宋体" w:hAnsi="宋体" w:hint="eastAsia"/>
          <w:b/>
          <w:bCs/>
          <w:szCs w:val="20"/>
          <w:lang w:eastAsia="zh-CN"/>
        </w:rPr>
      </w:pPr>
      <w:r>
        <w:rPr>
          <w:rFonts w:ascii="宋体" w:eastAsia="宋体" w:hAnsi="宋体" w:hint="eastAsia"/>
          <w:b/>
          <w:bCs/>
          <w:szCs w:val="20"/>
          <w:lang w:eastAsia="zh-CN"/>
        </w:rPr>
        <w:t>三、应答文件</w:t>
      </w:r>
    </w:p>
    <w:p>
      <w:pPr>
        <w:widowControl w:val="0"/>
        <w:jc w:val="both"/>
        <w:rPr>
          <w:rFonts w:ascii="黑体" w:eastAsia="黑体" w:hAnsi="宋体" w:hint="eastAsia"/>
          <w:kern w:val="2"/>
          <w:lang w:eastAsia="zh-CN"/>
        </w:rPr>
      </w:pPr>
      <w:r>
        <w:rPr>
          <w:rFonts w:ascii="黑体" w:eastAsia="黑体" w:hAnsi="宋体" w:hint="eastAsia"/>
          <w:kern w:val="2"/>
          <w:lang w:eastAsia="zh-CN"/>
        </w:rPr>
        <w:t>1</w:t>
      </w:r>
      <w:r>
        <w:rPr>
          <w:rFonts w:ascii="黑体" w:eastAsia="黑体" w:hAnsi="宋体"/>
          <w:kern w:val="2"/>
          <w:lang w:eastAsia="zh-CN"/>
        </w:rPr>
        <w:t>2.</w:t>
      </w:r>
      <w:r>
        <w:rPr>
          <w:rFonts w:ascii="黑体" w:eastAsia="黑体" w:hAnsi="宋体" w:hint="eastAsia"/>
          <w:kern w:val="2"/>
          <w:lang w:eastAsia="zh-CN"/>
        </w:rPr>
        <w:t>应答文件的语言及度量单位</w:t>
      </w:r>
    </w:p>
    <w:p>
      <w:pPr>
        <w:widowControl w:val="0"/>
        <w:ind w:firstLine="412" w:firstLineChars="196"/>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1</w:t>
      </w:r>
      <w:r>
        <w:rPr>
          <w:rFonts w:ascii="宋体" w:eastAsia="宋体" w:hAnsi="宋体"/>
          <w:kern w:val="2"/>
          <w:sz w:val="21"/>
          <w:szCs w:val="21"/>
          <w:lang w:eastAsia="zh-CN"/>
        </w:rPr>
        <w:t>2</w:t>
      </w:r>
      <w:r>
        <w:rPr>
          <w:rFonts w:ascii="宋体" w:eastAsia="宋体" w:hAnsi="宋体" w:hint="eastAsia"/>
          <w:kern w:val="2"/>
          <w:sz w:val="21"/>
          <w:szCs w:val="21"/>
          <w:lang w:eastAsia="zh-CN"/>
        </w:rPr>
        <w:t>.1 供应商与政府集中采购机构之间与谈判有关的所有往来通知、函件和应答文件均用中文表述。供应商随应答文件提供的证明文件和资料可以为其它语言，但必须附中文译文。翻译的中文资料与外文资料如果出现差异时，以中文为准。</w:t>
      </w:r>
    </w:p>
    <w:p>
      <w:pPr>
        <w:widowControl w:val="0"/>
        <w:ind w:firstLine="412" w:firstLineChars="196"/>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1</w:t>
      </w:r>
      <w:r>
        <w:rPr>
          <w:rFonts w:ascii="宋体" w:eastAsia="宋体" w:hAnsi="宋体"/>
          <w:kern w:val="2"/>
          <w:sz w:val="21"/>
          <w:szCs w:val="21"/>
          <w:lang w:eastAsia="zh-CN"/>
        </w:rPr>
        <w:t>2</w:t>
      </w:r>
      <w:r>
        <w:rPr>
          <w:rFonts w:ascii="宋体" w:eastAsia="宋体" w:hAnsi="宋体" w:hint="eastAsia"/>
          <w:kern w:val="2"/>
          <w:sz w:val="21"/>
          <w:szCs w:val="21"/>
          <w:lang w:eastAsia="zh-CN"/>
        </w:rPr>
        <w:t>.2 除技术规范另有规定外，应答文件使用的度量单位，均采用中华人民共和国法定计量单位。</w:t>
      </w:r>
    </w:p>
    <w:p>
      <w:pPr>
        <w:widowControl w:val="0"/>
        <w:jc w:val="both"/>
        <w:rPr>
          <w:rFonts w:ascii="黑体" w:eastAsia="黑体" w:hAnsi="宋体" w:hint="eastAsia"/>
          <w:kern w:val="2"/>
          <w:lang w:eastAsia="zh-CN"/>
        </w:rPr>
      </w:pPr>
      <w:r>
        <w:rPr>
          <w:rFonts w:ascii="黑体" w:eastAsia="黑体" w:hAnsi="宋体" w:hint="eastAsia"/>
          <w:kern w:val="2"/>
          <w:lang w:eastAsia="zh-CN"/>
        </w:rPr>
        <w:t>1</w:t>
      </w:r>
      <w:r>
        <w:rPr>
          <w:rFonts w:ascii="黑体" w:eastAsia="黑体" w:hAnsi="宋体"/>
          <w:kern w:val="2"/>
          <w:lang w:eastAsia="zh-CN"/>
        </w:rPr>
        <w:t>3.</w:t>
      </w:r>
      <w:r>
        <w:rPr>
          <w:rFonts w:ascii="黑体" w:eastAsia="黑体" w:hAnsi="宋体" w:hint="eastAsia"/>
          <w:kern w:val="2"/>
          <w:lang w:eastAsia="zh-CN"/>
        </w:rPr>
        <w:t>应答文件组成</w:t>
      </w:r>
    </w:p>
    <w:p>
      <w:pPr>
        <w:widowControl w:val="0"/>
        <w:ind w:firstLine="412" w:firstLineChars="196"/>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具体要求在第四章“</w:t>
      </w:r>
      <w:r>
        <w:rPr>
          <w:rFonts w:eastAsia="宋体" w:hint="eastAsia"/>
          <w:kern w:val="2"/>
          <w:sz w:val="21"/>
          <w:lang w:eastAsia="zh-CN"/>
        </w:rPr>
        <w:t>应答文件组成要求及格式”</w:t>
      </w:r>
      <w:r>
        <w:rPr>
          <w:rFonts w:ascii="宋体" w:eastAsia="宋体" w:hAnsi="宋体" w:hint="eastAsia"/>
          <w:kern w:val="2"/>
          <w:sz w:val="21"/>
          <w:szCs w:val="21"/>
          <w:lang w:eastAsia="zh-CN"/>
        </w:rPr>
        <w:t>进行规定。</w:t>
      </w:r>
    </w:p>
    <w:p>
      <w:pPr>
        <w:widowControl w:val="0"/>
        <w:jc w:val="both"/>
        <w:rPr>
          <w:rFonts w:ascii="黑体" w:eastAsia="黑体" w:hAnsi="宋体" w:hint="eastAsia"/>
          <w:kern w:val="2"/>
          <w:lang w:eastAsia="zh-CN"/>
        </w:rPr>
      </w:pPr>
      <w:r>
        <w:rPr>
          <w:rFonts w:ascii="黑体" w:eastAsia="黑体" w:hAnsi="宋体"/>
          <w:kern w:val="2"/>
          <w:lang w:eastAsia="zh-CN"/>
        </w:rPr>
        <w:t>14</w:t>
      </w:r>
      <w:r>
        <w:rPr>
          <w:rFonts w:ascii="黑体" w:eastAsia="黑体" w:hAnsi="宋体" w:hint="eastAsia"/>
          <w:kern w:val="2"/>
          <w:lang w:eastAsia="zh-CN"/>
        </w:rPr>
        <w:t>.应答</w:t>
      </w:r>
      <w:r>
        <w:rPr>
          <w:rFonts w:ascii="黑体" w:eastAsia="黑体" w:hAnsi="宋体"/>
          <w:kern w:val="2"/>
          <w:lang w:eastAsia="zh-CN"/>
        </w:rPr>
        <w:t>文件格式</w:t>
      </w:r>
    </w:p>
    <w:p>
      <w:pPr>
        <w:widowControl w:val="0"/>
        <w:ind w:firstLine="412" w:firstLineChars="196"/>
        <w:jc w:val="both"/>
        <w:rPr>
          <w:rFonts w:ascii="宋体" w:eastAsia="宋体" w:hAnsi="宋体" w:hint="eastAsia"/>
          <w:kern w:val="2"/>
          <w:sz w:val="21"/>
          <w:szCs w:val="21"/>
          <w:lang w:eastAsia="zh-CN"/>
        </w:rPr>
      </w:pPr>
      <w:r>
        <w:rPr>
          <w:rFonts w:ascii="宋体" w:eastAsia="宋体" w:hAnsi="宋体"/>
          <w:kern w:val="2"/>
          <w:sz w:val="21"/>
          <w:szCs w:val="21"/>
          <w:lang w:eastAsia="zh-CN"/>
        </w:rPr>
        <w:t>如</w:t>
      </w:r>
      <w:r>
        <w:rPr>
          <w:rFonts w:ascii="宋体" w:eastAsia="宋体" w:hAnsi="宋体" w:hint="eastAsia"/>
          <w:kern w:val="2"/>
          <w:sz w:val="21"/>
          <w:szCs w:val="21"/>
          <w:lang w:eastAsia="zh-CN"/>
        </w:rPr>
        <w:t>谈判</w:t>
      </w:r>
      <w:r>
        <w:rPr>
          <w:rFonts w:ascii="宋体" w:eastAsia="宋体" w:hAnsi="宋体"/>
          <w:kern w:val="2"/>
          <w:sz w:val="21"/>
          <w:szCs w:val="21"/>
          <w:lang w:eastAsia="zh-CN"/>
        </w:rPr>
        <w:t>文件提供了</w:t>
      </w:r>
      <w:r>
        <w:rPr>
          <w:rFonts w:ascii="宋体" w:eastAsia="宋体" w:hAnsi="宋体" w:hint="eastAsia"/>
          <w:kern w:val="2"/>
          <w:sz w:val="21"/>
          <w:szCs w:val="21"/>
          <w:lang w:eastAsia="zh-CN"/>
        </w:rPr>
        <w:t>应答</w:t>
      </w:r>
      <w:r>
        <w:rPr>
          <w:rFonts w:ascii="宋体" w:eastAsia="宋体" w:hAnsi="宋体"/>
          <w:kern w:val="2"/>
          <w:sz w:val="21"/>
          <w:szCs w:val="21"/>
          <w:lang w:eastAsia="zh-CN"/>
        </w:rPr>
        <w:t>文件格式，则</w:t>
      </w:r>
      <w:r>
        <w:rPr>
          <w:rFonts w:ascii="宋体" w:eastAsia="宋体" w:hAnsi="宋体" w:hint="eastAsia"/>
          <w:b/>
          <w:bCs/>
          <w:kern w:val="2"/>
          <w:sz w:val="21"/>
          <w:szCs w:val="21"/>
          <w:lang w:eastAsia="zh-CN"/>
        </w:rPr>
        <w:t>供应商提交的应答文件应毫无例外地使用谈判文件所提供的相应格式</w:t>
      </w:r>
      <w:r>
        <w:rPr>
          <w:rFonts w:ascii="宋体" w:eastAsia="宋体" w:hAnsi="宋体" w:hint="eastAsia"/>
          <w:kern w:val="2"/>
          <w:sz w:val="21"/>
          <w:szCs w:val="21"/>
          <w:lang w:eastAsia="zh-CN"/>
        </w:rPr>
        <w:t>（表格均可按同样格式扩展）。</w:t>
      </w:r>
    </w:p>
    <w:p>
      <w:pPr>
        <w:widowControl w:val="0"/>
        <w:jc w:val="both"/>
        <w:rPr>
          <w:rFonts w:ascii="黑体" w:eastAsia="黑体" w:hAnsi="宋体" w:hint="eastAsia"/>
          <w:kern w:val="2"/>
          <w:lang w:eastAsia="zh-CN"/>
        </w:rPr>
      </w:pPr>
      <w:r>
        <w:rPr>
          <w:rFonts w:ascii="黑体" w:eastAsia="黑体" w:hAnsi="宋体" w:hint="eastAsia"/>
          <w:kern w:val="2"/>
          <w:lang w:eastAsia="zh-CN"/>
        </w:rPr>
        <w:t>1</w:t>
      </w:r>
      <w:r>
        <w:rPr>
          <w:rFonts w:ascii="黑体" w:eastAsia="黑体" w:hAnsi="宋体"/>
          <w:kern w:val="2"/>
          <w:lang w:eastAsia="zh-CN"/>
        </w:rPr>
        <w:t>5.</w:t>
      </w:r>
      <w:r>
        <w:rPr>
          <w:rFonts w:ascii="黑体" w:eastAsia="黑体" w:hAnsi="宋体" w:hint="eastAsia"/>
          <w:kern w:val="2"/>
          <w:lang w:eastAsia="zh-CN"/>
        </w:rPr>
        <w:t>谈判报价货币</w:t>
      </w:r>
    </w:p>
    <w:p>
      <w:pPr>
        <w:widowControl w:val="0"/>
        <w:ind w:firstLine="412" w:firstLineChars="196"/>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本项目的谈判应答报价应以人民币计。</w:t>
      </w:r>
    </w:p>
    <w:p>
      <w:pPr>
        <w:widowControl w:val="0"/>
        <w:jc w:val="both"/>
        <w:rPr>
          <w:rFonts w:ascii="黑体" w:eastAsia="黑体" w:hAnsi="宋体" w:hint="eastAsia"/>
          <w:kern w:val="2"/>
          <w:lang w:eastAsia="zh-CN"/>
        </w:rPr>
      </w:pPr>
      <w:r>
        <w:rPr>
          <w:rFonts w:ascii="黑体" w:eastAsia="黑体" w:hAnsi="宋体" w:hint="eastAsia"/>
          <w:kern w:val="2"/>
          <w:lang w:eastAsia="zh-CN"/>
        </w:rPr>
        <w:t>1</w:t>
      </w:r>
      <w:r>
        <w:rPr>
          <w:rFonts w:ascii="黑体" w:eastAsia="黑体" w:hAnsi="宋体"/>
          <w:kern w:val="2"/>
          <w:lang w:eastAsia="zh-CN"/>
        </w:rPr>
        <w:t>6.</w:t>
      </w:r>
      <w:r>
        <w:rPr>
          <w:rFonts w:ascii="黑体" w:eastAsia="黑体" w:hAnsi="宋体" w:hint="eastAsia"/>
          <w:kern w:val="2"/>
          <w:lang w:eastAsia="zh-CN"/>
        </w:rPr>
        <w:t>证明应答文件技术方案的合格性和符合谈判文件规定的文件要求</w:t>
      </w:r>
    </w:p>
    <w:p>
      <w:pPr>
        <w:widowControl w:val="0"/>
        <w:ind w:firstLine="412" w:firstLineChars="196"/>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1</w:t>
      </w:r>
      <w:r>
        <w:rPr>
          <w:rFonts w:ascii="宋体" w:eastAsia="宋体" w:hAnsi="宋体"/>
          <w:kern w:val="2"/>
          <w:sz w:val="21"/>
          <w:szCs w:val="21"/>
          <w:lang w:eastAsia="zh-CN"/>
        </w:rPr>
        <w:t xml:space="preserve">6.1 </w:t>
      </w:r>
      <w:r>
        <w:rPr>
          <w:rFonts w:ascii="宋体" w:eastAsia="宋体" w:hAnsi="宋体" w:hint="eastAsia"/>
          <w:kern w:val="2"/>
          <w:sz w:val="21"/>
          <w:szCs w:val="21"/>
          <w:lang w:eastAsia="zh-CN"/>
        </w:rPr>
        <w:t>供应商应提交证明文件，证明其应答技术方案项下的货物和服务的合格性符合谈判文件规定。该应答技术方案及其证明文件均作为应答文件组成部分。</w:t>
      </w:r>
    </w:p>
    <w:p>
      <w:pPr>
        <w:widowControl w:val="0"/>
        <w:ind w:firstLine="412" w:firstLineChars="196"/>
        <w:jc w:val="both"/>
        <w:rPr>
          <w:rFonts w:ascii="宋体" w:eastAsia="宋体" w:hAnsi="宋体" w:hint="eastAsia"/>
          <w:kern w:val="2"/>
          <w:sz w:val="21"/>
          <w:szCs w:val="21"/>
          <w:lang w:eastAsia="zh-CN"/>
        </w:rPr>
      </w:pPr>
      <w:bookmarkStart w:id="58" w:name="_Hlk72665367"/>
      <w:r>
        <w:rPr>
          <w:rFonts w:ascii="宋体" w:eastAsia="宋体" w:hAnsi="宋体"/>
          <w:kern w:val="2"/>
          <w:sz w:val="21"/>
          <w:szCs w:val="21"/>
          <w:lang w:eastAsia="zh-CN"/>
        </w:rPr>
        <w:t xml:space="preserve">16.2 </w:t>
      </w:r>
      <w:r>
        <w:rPr>
          <w:rFonts w:ascii="宋体" w:eastAsia="宋体" w:hAnsi="宋体" w:hint="eastAsia"/>
          <w:kern w:val="2"/>
          <w:sz w:val="21"/>
          <w:szCs w:val="21"/>
          <w:lang w:eastAsia="zh-CN"/>
        </w:rPr>
        <w:t>供应商提供证明应答技术方案与谈判文件的要求相一致的文件，可以是文字资料、图纸、数据或数码照片、制造商公布的产品说明书、产品彩页和我国政府机构出具的产品检验和核准证件等，提供的文件应符合以下要求：</w:t>
      </w:r>
    </w:p>
    <w:p>
      <w:pPr>
        <w:widowControl w:val="0"/>
        <w:ind w:firstLine="412" w:firstLineChars="196"/>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1</w:t>
      </w:r>
      <w:r>
        <w:rPr>
          <w:rFonts w:ascii="宋体" w:eastAsia="宋体" w:hAnsi="宋体"/>
          <w:kern w:val="2"/>
          <w:sz w:val="21"/>
          <w:szCs w:val="21"/>
          <w:lang w:eastAsia="zh-CN"/>
        </w:rPr>
        <w:t>6</w:t>
      </w:r>
      <w:r>
        <w:rPr>
          <w:rFonts w:ascii="宋体" w:eastAsia="宋体" w:hAnsi="宋体" w:hint="eastAsia"/>
          <w:kern w:val="2"/>
          <w:sz w:val="21"/>
          <w:szCs w:val="21"/>
          <w:lang w:eastAsia="zh-CN"/>
        </w:rPr>
        <w:t>.2.1主要技术指标和性能的详细说明。</w:t>
      </w:r>
    </w:p>
    <w:p>
      <w:pPr>
        <w:widowControl w:val="0"/>
        <w:ind w:firstLine="412" w:firstLineChars="196"/>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1</w:t>
      </w:r>
      <w:r>
        <w:rPr>
          <w:rFonts w:ascii="宋体" w:eastAsia="宋体" w:hAnsi="宋体"/>
          <w:kern w:val="2"/>
          <w:sz w:val="21"/>
          <w:szCs w:val="21"/>
          <w:lang w:eastAsia="zh-CN"/>
        </w:rPr>
        <w:t>6</w:t>
      </w:r>
      <w:r>
        <w:rPr>
          <w:rFonts w:ascii="宋体" w:eastAsia="宋体" w:hAnsi="宋体" w:hint="eastAsia"/>
          <w:kern w:val="2"/>
          <w:sz w:val="21"/>
          <w:szCs w:val="21"/>
          <w:lang w:eastAsia="zh-CN"/>
        </w:rPr>
        <w:t>.2.</w:t>
      </w:r>
      <w:r>
        <w:rPr>
          <w:rFonts w:ascii="宋体" w:eastAsia="宋体" w:hAnsi="宋体"/>
          <w:kern w:val="2"/>
          <w:sz w:val="21"/>
          <w:szCs w:val="21"/>
          <w:lang w:eastAsia="zh-CN"/>
        </w:rPr>
        <w:t>2</w:t>
      </w:r>
      <w:r>
        <w:rPr>
          <w:rFonts w:ascii="宋体" w:eastAsia="宋体" w:hAnsi="宋体" w:hint="eastAsia"/>
          <w:kern w:val="2"/>
          <w:sz w:val="21"/>
          <w:szCs w:val="21"/>
          <w:lang w:eastAsia="zh-CN"/>
        </w:rPr>
        <w:t>相关产品从采购人开始使用至谈判文件中规定的周期内正常、连续地使用所必须的备件和专用工具清单，包括备件和专用工具的货源及现行价格。</w:t>
      </w:r>
    </w:p>
    <w:p>
      <w:pPr>
        <w:widowControl w:val="0"/>
        <w:ind w:firstLine="412" w:firstLineChars="196"/>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1</w:t>
      </w:r>
      <w:r>
        <w:rPr>
          <w:rFonts w:ascii="宋体" w:eastAsia="宋体" w:hAnsi="宋体"/>
          <w:kern w:val="2"/>
          <w:sz w:val="21"/>
          <w:szCs w:val="21"/>
          <w:lang w:eastAsia="zh-CN"/>
        </w:rPr>
        <w:t>6</w:t>
      </w:r>
      <w:r>
        <w:rPr>
          <w:rFonts w:ascii="宋体" w:eastAsia="宋体" w:hAnsi="宋体" w:hint="eastAsia"/>
          <w:kern w:val="2"/>
          <w:sz w:val="21"/>
          <w:szCs w:val="21"/>
          <w:lang w:eastAsia="zh-CN"/>
        </w:rPr>
        <w:t>.2.</w:t>
      </w:r>
      <w:r>
        <w:rPr>
          <w:rFonts w:ascii="宋体" w:eastAsia="宋体" w:hAnsi="宋体"/>
          <w:kern w:val="2"/>
          <w:sz w:val="21"/>
          <w:szCs w:val="21"/>
          <w:lang w:eastAsia="zh-CN"/>
        </w:rPr>
        <w:t>3</w:t>
      </w:r>
      <w:r>
        <w:rPr>
          <w:rFonts w:ascii="宋体" w:eastAsia="宋体" w:hAnsi="宋体" w:hint="eastAsia"/>
          <w:kern w:val="2"/>
          <w:sz w:val="21"/>
          <w:szCs w:val="21"/>
          <w:lang w:eastAsia="zh-CN"/>
        </w:rPr>
        <w:t>对照谈判文件技术规格，逐条说明应答技术方案已对采购人的技术规格做出了实质性的响应，或申明与技术规格条文的偏差和例外。供应商应详细说明应答文件技术方案中产品的具体参数，不得不合理照搬照抄谈判文件的技术要求。</w:t>
      </w:r>
    </w:p>
    <w:p>
      <w:pPr>
        <w:widowControl w:val="0"/>
        <w:ind w:firstLine="412" w:firstLineChars="196"/>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1</w:t>
      </w:r>
      <w:r>
        <w:rPr>
          <w:rFonts w:ascii="宋体" w:eastAsia="宋体" w:hAnsi="宋体"/>
          <w:kern w:val="2"/>
          <w:sz w:val="21"/>
          <w:szCs w:val="21"/>
          <w:lang w:eastAsia="zh-CN"/>
        </w:rPr>
        <w:t>6</w:t>
      </w:r>
      <w:r>
        <w:rPr>
          <w:rFonts w:ascii="宋体" w:eastAsia="宋体" w:hAnsi="宋体" w:hint="eastAsia"/>
          <w:kern w:val="2"/>
          <w:sz w:val="21"/>
          <w:szCs w:val="21"/>
          <w:lang w:eastAsia="zh-CN"/>
        </w:rPr>
        <w:t>.2.4产品说明书或彩页应为制造商公布或出具的中文产品说明书或彩页；提供外文说明书或彩页的，必须同时提供加盖制造商公章的对应中文翻译说明，评审依据以中文翻译内容为准，外文说明书或彩页仅供参考；产品说明书或彩页的尺寸和</w:t>
      </w:r>
      <w:r>
        <w:rPr>
          <w:rFonts w:eastAsia="宋体" w:hint="eastAsia"/>
          <w:kern w:val="2"/>
          <w:sz w:val="21"/>
          <w:lang w:eastAsia="zh-CN"/>
        </w:rPr>
        <w:t>清晰度要求能够使用电脑阅读、识别和判断</w:t>
      </w:r>
      <w:r>
        <w:rPr>
          <w:rFonts w:ascii="宋体" w:eastAsia="宋体" w:hAnsi="宋体" w:hint="eastAsia"/>
          <w:kern w:val="2"/>
          <w:sz w:val="21"/>
          <w:szCs w:val="21"/>
          <w:lang w:eastAsia="zh-CN"/>
        </w:rPr>
        <w:t>；</w:t>
      </w:r>
    </w:p>
    <w:p>
      <w:pPr>
        <w:widowControl w:val="0"/>
        <w:ind w:firstLine="412" w:firstLineChars="196"/>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1</w:t>
      </w:r>
      <w:r>
        <w:rPr>
          <w:rFonts w:ascii="宋体" w:eastAsia="宋体" w:hAnsi="宋体"/>
          <w:kern w:val="2"/>
          <w:sz w:val="21"/>
          <w:szCs w:val="21"/>
          <w:lang w:eastAsia="zh-CN"/>
        </w:rPr>
        <w:t>6</w:t>
      </w:r>
      <w:r>
        <w:rPr>
          <w:rFonts w:ascii="宋体" w:eastAsia="宋体" w:hAnsi="宋体" w:hint="eastAsia"/>
          <w:kern w:val="2"/>
          <w:sz w:val="21"/>
          <w:szCs w:val="21"/>
          <w:lang w:eastAsia="zh-CN"/>
        </w:rPr>
        <w:t>.2.5我国政府机构出具的产品检验和核准证件应为证件正面、背面和附件标注的全部具体内容；产品检验和核准证件的尺寸和清晰度应该能够在电脑上被阅读、识别和判断，提供原件扫描件。</w:t>
      </w:r>
    </w:p>
    <w:p>
      <w:pPr>
        <w:widowControl w:val="0"/>
        <w:ind w:firstLine="412" w:firstLineChars="196"/>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1</w:t>
      </w:r>
      <w:r>
        <w:rPr>
          <w:rFonts w:ascii="宋体" w:eastAsia="宋体" w:hAnsi="宋体"/>
          <w:kern w:val="2"/>
          <w:sz w:val="21"/>
          <w:szCs w:val="21"/>
          <w:lang w:eastAsia="zh-CN"/>
        </w:rPr>
        <w:t>6</w:t>
      </w:r>
      <w:r>
        <w:rPr>
          <w:rFonts w:ascii="宋体" w:eastAsia="宋体" w:hAnsi="宋体" w:hint="eastAsia"/>
          <w:kern w:val="2"/>
          <w:sz w:val="21"/>
          <w:szCs w:val="21"/>
          <w:lang w:eastAsia="zh-CN"/>
        </w:rPr>
        <w:t>.3相关资料不符合1</w:t>
      </w:r>
      <w:r>
        <w:rPr>
          <w:rFonts w:ascii="宋体" w:eastAsia="宋体" w:hAnsi="宋体"/>
          <w:kern w:val="2"/>
          <w:sz w:val="21"/>
          <w:szCs w:val="21"/>
          <w:lang w:eastAsia="zh-CN"/>
        </w:rPr>
        <w:t>6</w:t>
      </w:r>
      <w:r>
        <w:rPr>
          <w:rFonts w:ascii="宋体" w:eastAsia="宋体" w:hAnsi="宋体" w:hint="eastAsia"/>
          <w:kern w:val="2"/>
          <w:sz w:val="21"/>
          <w:szCs w:val="21"/>
          <w:lang w:eastAsia="zh-CN"/>
        </w:rPr>
        <w:t>.2款要求的，谈判小组有权认定为应答技术方案不合格响应，其相关分数予以扣减或作应答无效处理。</w:t>
      </w:r>
    </w:p>
    <w:p>
      <w:pPr>
        <w:widowControl w:val="0"/>
        <w:ind w:firstLine="412" w:firstLineChars="196"/>
        <w:jc w:val="both"/>
        <w:rPr>
          <w:rFonts w:ascii="宋体" w:eastAsia="宋体" w:hAnsi="宋体" w:hint="eastAsia"/>
          <w:kern w:val="2"/>
          <w:sz w:val="21"/>
          <w:szCs w:val="21"/>
          <w:lang w:eastAsia="zh-CN"/>
        </w:rPr>
      </w:pPr>
      <w:r>
        <w:rPr>
          <w:rFonts w:ascii="宋体" w:eastAsia="宋体" w:hAnsi="宋体"/>
          <w:kern w:val="2"/>
          <w:sz w:val="21"/>
          <w:szCs w:val="21"/>
          <w:lang w:eastAsia="zh-CN"/>
        </w:rPr>
        <w:t>16.</w:t>
      </w:r>
      <w:r>
        <w:rPr>
          <w:rFonts w:ascii="宋体" w:eastAsia="宋体" w:hAnsi="宋体" w:hint="eastAsia"/>
          <w:kern w:val="2"/>
          <w:sz w:val="21"/>
          <w:szCs w:val="21"/>
          <w:lang w:eastAsia="zh-CN"/>
        </w:rPr>
        <w:t>4供应商在阐述上述第1</w:t>
      </w:r>
      <w:r>
        <w:rPr>
          <w:rFonts w:ascii="宋体" w:eastAsia="宋体" w:hAnsi="宋体"/>
          <w:kern w:val="2"/>
          <w:sz w:val="21"/>
          <w:szCs w:val="21"/>
          <w:lang w:eastAsia="zh-CN"/>
        </w:rPr>
        <w:t>6</w:t>
      </w:r>
      <w:r>
        <w:rPr>
          <w:rFonts w:ascii="宋体" w:eastAsia="宋体" w:hAnsi="宋体" w:hint="eastAsia"/>
          <w:kern w:val="2"/>
          <w:sz w:val="21"/>
          <w:szCs w:val="21"/>
          <w:lang w:eastAsia="zh-CN"/>
        </w:rPr>
        <w:t>.2时应注意采购人在技术规格中指出的工艺、材料和设备的标准以及参照的牌号或分类号仅起说明作用，并没有任何限制性。供应商在应答中可以选用替代标准、牌号或分类号，但这些替代要实质上满足谈判文件中技术规格的要求，是否</w:t>
      </w:r>
      <w:r>
        <w:rPr>
          <w:rFonts w:eastAsia="宋体" w:hint="eastAsia"/>
          <w:kern w:val="2"/>
          <w:sz w:val="21"/>
          <w:lang w:eastAsia="zh-CN"/>
        </w:rPr>
        <w:t>满足要求</w:t>
      </w:r>
      <w:r>
        <w:rPr>
          <w:rFonts w:ascii="宋体" w:eastAsia="宋体" w:hAnsi="宋体" w:hint="eastAsia"/>
          <w:kern w:val="2"/>
          <w:sz w:val="21"/>
          <w:szCs w:val="21"/>
          <w:lang w:eastAsia="zh-CN"/>
        </w:rPr>
        <w:t>，由谈判小组来评判。</w:t>
      </w:r>
    </w:p>
    <w:p>
      <w:pPr>
        <w:widowControl w:val="0"/>
        <w:ind w:firstLine="412" w:firstLineChars="196"/>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1</w:t>
      </w:r>
      <w:r>
        <w:rPr>
          <w:rFonts w:ascii="宋体" w:eastAsia="宋体" w:hAnsi="宋体"/>
          <w:kern w:val="2"/>
          <w:sz w:val="21"/>
          <w:szCs w:val="21"/>
          <w:lang w:eastAsia="zh-CN"/>
        </w:rPr>
        <w:t>6</w:t>
      </w:r>
      <w:r>
        <w:rPr>
          <w:rFonts w:ascii="宋体" w:eastAsia="宋体" w:hAnsi="宋体" w:hint="eastAsia"/>
          <w:kern w:val="2"/>
          <w:sz w:val="21"/>
          <w:szCs w:val="21"/>
          <w:lang w:eastAsia="zh-CN"/>
        </w:rPr>
        <w:t>.5除非另有规定或说明，供应商对同一项目不得同时提供两套或两套以上的应答方案。</w:t>
      </w:r>
      <w:bookmarkEnd w:id="58"/>
    </w:p>
    <w:p>
      <w:pPr>
        <w:widowControl w:val="0"/>
        <w:jc w:val="both"/>
        <w:rPr>
          <w:rFonts w:ascii="黑体" w:eastAsia="黑体" w:hAnsi="宋体" w:hint="eastAsia"/>
          <w:kern w:val="2"/>
          <w:lang w:eastAsia="zh-CN"/>
        </w:rPr>
      </w:pPr>
      <w:r>
        <w:rPr>
          <w:rFonts w:ascii="黑体" w:eastAsia="黑体" w:hAnsi="宋体" w:hint="eastAsia"/>
          <w:kern w:val="2"/>
          <w:lang w:eastAsia="zh-CN"/>
        </w:rPr>
        <w:t>1</w:t>
      </w:r>
      <w:r>
        <w:rPr>
          <w:rFonts w:ascii="黑体" w:eastAsia="黑体" w:hAnsi="宋体"/>
          <w:kern w:val="2"/>
          <w:lang w:eastAsia="zh-CN"/>
        </w:rPr>
        <w:t>7.</w:t>
      </w:r>
      <w:r>
        <w:rPr>
          <w:rFonts w:ascii="黑体" w:eastAsia="黑体" w:hAnsi="宋体" w:hint="eastAsia"/>
          <w:kern w:val="2"/>
          <w:lang w:eastAsia="zh-CN"/>
        </w:rPr>
        <w:t>应答文件其他证明文件的要求</w:t>
      </w:r>
    </w:p>
    <w:p>
      <w:pPr>
        <w:widowControl w:val="0"/>
        <w:jc w:val="both"/>
        <w:rPr>
          <w:rFonts w:ascii="宋体" w:eastAsia="宋体" w:hAnsi="宋体" w:hint="eastAsia"/>
          <w:color w:val="FF0000"/>
          <w:kern w:val="2"/>
          <w:sz w:val="21"/>
          <w:szCs w:val="21"/>
          <w:lang w:eastAsia="zh-CN"/>
        </w:rPr>
      </w:pPr>
      <w:r>
        <w:rPr>
          <w:rFonts w:ascii="黑体" w:eastAsia="黑体" w:hAnsi="宋体" w:hint="eastAsia"/>
          <w:kern w:val="2"/>
          <w:lang w:eastAsia="zh-CN"/>
        </w:rPr>
        <w:t xml:space="preserve">    </w:t>
      </w:r>
      <w:r>
        <w:rPr>
          <w:rFonts w:ascii="宋体" w:eastAsia="宋体" w:hAnsi="宋体" w:hint="eastAsia"/>
          <w:kern w:val="2"/>
          <w:sz w:val="21"/>
          <w:szCs w:val="21"/>
          <w:lang w:eastAsia="zh-CN"/>
        </w:rPr>
        <w:t>1</w:t>
      </w:r>
      <w:r>
        <w:rPr>
          <w:rFonts w:ascii="宋体" w:eastAsia="宋体" w:hAnsi="宋体"/>
          <w:kern w:val="2"/>
          <w:sz w:val="21"/>
          <w:szCs w:val="21"/>
          <w:lang w:eastAsia="zh-CN"/>
        </w:rPr>
        <w:t>7</w:t>
      </w:r>
      <w:r>
        <w:rPr>
          <w:rFonts w:ascii="宋体" w:eastAsia="宋体" w:hAnsi="宋体" w:hint="eastAsia"/>
          <w:kern w:val="2"/>
          <w:sz w:val="21"/>
          <w:szCs w:val="21"/>
          <w:lang w:eastAsia="zh-CN"/>
        </w:rPr>
        <w:t>.1采用综合评分法的项目，对项目谈判文件《评审信息》评分项中涉及的相关业绩、社保情况等内容以及《资格性审查表》和《符合性审查表》中涉及的证明材料，供应商应提供相关部门出具的证明材料扫描件或照片。有关扫描件（或照片）的尺寸和清晰度要求能够使用电脑阅读、识别和判断。若供应商未按要求提供证明材料或提供的是部分证明材料或提供不清晰的扫描件（或照片）的，谈判小组有权认定其应答文件未对谈判文件有关需求进行响应，涉及资格性检查或符合性检查的予以应答无效处理，涉及《评审信息》打分项的则该项评分予以0分处理。谈判小组对供应商应答资料是否异常、是否有效问题进行核查和判定，如认为供应商应答资料有异常或无效的，若涉及资格性审查或符合性审查条款的，则应作应答无效处理；若涉及评分的，则作不得分处理。</w:t>
      </w:r>
      <w:bookmarkStart w:id="59" w:name="_Hlk71407299"/>
    </w:p>
    <w:bookmarkEnd w:id="59"/>
    <w:p>
      <w:pPr>
        <w:widowControl w:val="0"/>
        <w:ind w:firstLine="412" w:firstLineChars="196"/>
        <w:jc w:val="both"/>
        <w:rPr>
          <w:rFonts w:ascii="宋体" w:eastAsia="宋体" w:hAnsi="宋体" w:hint="eastAsia"/>
          <w:kern w:val="2"/>
          <w:sz w:val="21"/>
          <w:szCs w:val="21"/>
          <w:lang w:eastAsia="zh-CN"/>
        </w:rPr>
      </w:pPr>
      <w:bookmarkStart w:id="60" w:name="_Hlk72665714"/>
      <w:r>
        <w:rPr>
          <w:rFonts w:ascii="宋体" w:eastAsia="宋体" w:hAnsi="宋体" w:hint="eastAsia"/>
          <w:kern w:val="2"/>
          <w:sz w:val="21"/>
          <w:szCs w:val="21"/>
          <w:lang w:eastAsia="zh-CN"/>
        </w:rPr>
        <w:t>1</w:t>
      </w:r>
      <w:r>
        <w:rPr>
          <w:rFonts w:ascii="宋体" w:eastAsia="宋体" w:hAnsi="宋体"/>
          <w:kern w:val="2"/>
          <w:sz w:val="21"/>
          <w:szCs w:val="21"/>
          <w:lang w:eastAsia="zh-CN"/>
        </w:rPr>
        <w:t>7</w:t>
      </w:r>
      <w:r>
        <w:rPr>
          <w:rFonts w:ascii="宋体" w:eastAsia="宋体" w:hAnsi="宋体" w:hint="eastAsia"/>
          <w:kern w:val="2"/>
          <w:sz w:val="21"/>
          <w:szCs w:val="21"/>
          <w:lang w:eastAsia="zh-CN"/>
        </w:rPr>
        <w:t>.2本项目涉及提供的有关资质（资格）证书，若原有资质（资格）证书处于年审期间，须提供证书颁发部门提供的回执，并且回执须证明该证书依然有效（若在法规范围不需提供的，供应商应作书面说明并提供证明文件，否则该证书无效），则该供应商提供年审证明的可按原资质（资格）参与谈判；若供应商正在申报上一级别资质（资格），在未获批准之前，仍按原级别资质（资格）参与谈判。</w:t>
      </w:r>
      <w:bookmarkEnd w:id="60"/>
    </w:p>
    <w:p>
      <w:pPr>
        <w:widowControl w:val="0"/>
        <w:jc w:val="both"/>
        <w:rPr>
          <w:rFonts w:ascii="黑体" w:eastAsia="黑体" w:hAnsi="宋体" w:hint="eastAsia"/>
          <w:kern w:val="2"/>
          <w:lang w:eastAsia="zh-CN"/>
        </w:rPr>
      </w:pPr>
      <w:r>
        <w:rPr>
          <w:rFonts w:ascii="黑体" w:eastAsia="黑体" w:hAnsi="宋体"/>
          <w:kern w:val="2"/>
          <w:lang w:eastAsia="zh-CN"/>
        </w:rPr>
        <w:t>18</w:t>
      </w:r>
      <w:r>
        <w:rPr>
          <w:rFonts w:ascii="黑体" w:eastAsia="黑体" w:hAnsi="宋体" w:hint="eastAsia"/>
          <w:kern w:val="2"/>
          <w:lang w:eastAsia="zh-CN"/>
        </w:rPr>
        <w:t>．谈判应答有效期</w:t>
      </w:r>
    </w:p>
    <w:p>
      <w:pPr>
        <w:widowControl w:val="0"/>
        <w:ind w:firstLine="412" w:firstLineChars="196"/>
        <w:jc w:val="both"/>
        <w:rPr>
          <w:rFonts w:ascii="宋体" w:eastAsia="宋体" w:hAnsi="宋体" w:hint="eastAsia"/>
          <w:kern w:val="2"/>
          <w:sz w:val="21"/>
          <w:szCs w:val="21"/>
          <w:lang w:eastAsia="zh-CN"/>
        </w:rPr>
      </w:pPr>
      <w:bookmarkStart w:id="61" w:name="_Hlk72665501"/>
      <w:r>
        <w:rPr>
          <w:rFonts w:ascii="宋体" w:eastAsia="宋体" w:hAnsi="宋体"/>
          <w:kern w:val="2"/>
          <w:sz w:val="21"/>
          <w:szCs w:val="21"/>
          <w:lang w:eastAsia="zh-CN"/>
        </w:rPr>
        <w:t>18</w:t>
      </w:r>
      <w:r>
        <w:rPr>
          <w:rFonts w:ascii="宋体" w:eastAsia="宋体" w:hAnsi="宋体" w:hint="eastAsia"/>
          <w:kern w:val="2"/>
          <w:sz w:val="21"/>
          <w:szCs w:val="21"/>
          <w:lang w:eastAsia="zh-CN"/>
        </w:rPr>
        <w:t>.1 谈判应答有效期为</w:t>
      </w:r>
      <w:r>
        <w:rPr>
          <w:rFonts w:ascii="Arial" w:eastAsia="宋体" w:hAnsi="Arial" w:cs="Arial" w:hint="eastAsia"/>
          <w:kern w:val="2"/>
          <w:sz w:val="21"/>
          <w:szCs w:val="21"/>
          <w:lang w:eastAsia="zh-CN"/>
        </w:rPr>
        <w:t>从谈判截止之日算起的日历天数。</w:t>
      </w:r>
      <w:r>
        <w:rPr>
          <w:rFonts w:ascii="宋体" w:eastAsia="宋体" w:hAnsi="宋体" w:hint="eastAsia"/>
          <w:kern w:val="2"/>
          <w:sz w:val="21"/>
          <w:szCs w:val="21"/>
          <w:lang w:eastAsia="zh-CN"/>
        </w:rPr>
        <w:t>在此期限内，所有应答文件均保持有效。</w:t>
      </w:r>
    </w:p>
    <w:p>
      <w:pPr>
        <w:widowControl w:val="0"/>
        <w:ind w:firstLine="412" w:firstLineChars="196"/>
        <w:jc w:val="both"/>
        <w:rPr>
          <w:rFonts w:ascii="宋体" w:eastAsia="宋体" w:hAnsi="宋体" w:hint="eastAsia"/>
          <w:kern w:val="2"/>
          <w:sz w:val="21"/>
          <w:szCs w:val="21"/>
          <w:lang w:eastAsia="zh-CN"/>
        </w:rPr>
      </w:pPr>
      <w:bookmarkStart w:id="62" w:name="_Hlk72665771"/>
      <w:r>
        <w:rPr>
          <w:rFonts w:ascii="宋体" w:eastAsia="宋体" w:hAnsi="宋体"/>
          <w:kern w:val="2"/>
          <w:sz w:val="21"/>
          <w:szCs w:val="21"/>
          <w:lang w:eastAsia="zh-CN"/>
        </w:rPr>
        <w:t>18</w:t>
      </w:r>
      <w:r>
        <w:rPr>
          <w:rFonts w:ascii="宋体" w:eastAsia="宋体" w:hAnsi="宋体" w:hint="eastAsia"/>
          <w:kern w:val="2"/>
          <w:sz w:val="21"/>
          <w:szCs w:val="21"/>
          <w:lang w:eastAsia="zh-CN"/>
        </w:rPr>
        <w:t>.2 在特殊情况下，政府集中采购机构在原定的谈判应答有效期满之前，政府集中采购机构可以根据需要以书面形式（包括政府集中采购机构网站公开发布方式）向供应商提出延长谈判应答有效期的要求，对此要求供应商须以书面形式予以答复，供应商可以拒绝政府集中采购机构此项要求，其应答在原谈判应答有效期满后不再有效。同意延长谈判应答有效期的供应商不能要求也不允许修改其应答文件。</w:t>
      </w:r>
      <w:bookmarkEnd w:id="62"/>
    </w:p>
    <w:p>
      <w:pPr>
        <w:widowControl w:val="0"/>
        <w:ind w:firstLine="412" w:firstLineChars="196"/>
        <w:jc w:val="both"/>
        <w:rPr>
          <w:rFonts w:ascii="宋体" w:eastAsia="宋体" w:hAnsi="宋体" w:hint="eastAsia"/>
          <w:kern w:val="2"/>
          <w:sz w:val="21"/>
          <w:szCs w:val="21"/>
          <w:lang w:eastAsia="zh-CN"/>
        </w:rPr>
      </w:pPr>
      <w:r>
        <w:rPr>
          <w:rFonts w:ascii="宋体" w:eastAsia="宋体" w:hAnsi="宋体"/>
          <w:kern w:val="2"/>
          <w:sz w:val="21"/>
          <w:szCs w:val="21"/>
          <w:lang w:eastAsia="zh-CN"/>
        </w:rPr>
        <w:t>18.3</w:t>
      </w:r>
      <w:r>
        <w:rPr>
          <w:rFonts w:ascii="宋体" w:eastAsia="宋体" w:hAnsi="宋体" w:hint="eastAsia"/>
          <w:kern w:val="2"/>
          <w:sz w:val="21"/>
          <w:szCs w:val="21"/>
          <w:lang w:eastAsia="zh-CN"/>
        </w:rPr>
        <w:t xml:space="preserve"> 成交供应商的应答文件有效期，截止于完成本谈判文件规定的全部项目内容，并通过竣工验收及保修期结束。</w:t>
      </w:r>
      <w:bookmarkEnd w:id="61"/>
    </w:p>
    <w:p>
      <w:pPr>
        <w:widowControl w:val="0"/>
        <w:jc w:val="both"/>
        <w:rPr>
          <w:rFonts w:ascii="黑体" w:eastAsia="黑体" w:hAnsi="宋体" w:hint="eastAsia"/>
          <w:kern w:val="2"/>
          <w:lang w:eastAsia="zh-CN"/>
        </w:rPr>
      </w:pPr>
      <w:r>
        <w:rPr>
          <w:rFonts w:ascii="黑体" w:eastAsia="黑体" w:hAnsi="宋体" w:hint="eastAsia"/>
          <w:kern w:val="2"/>
          <w:lang w:eastAsia="zh-CN"/>
        </w:rPr>
        <w:t>1</w:t>
      </w:r>
      <w:r>
        <w:rPr>
          <w:rFonts w:ascii="黑体" w:eastAsia="黑体" w:hAnsi="宋体"/>
          <w:kern w:val="2"/>
          <w:lang w:eastAsia="zh-CN"/>
        </w:rPr>
        <w:t>9.</w:t>
      </w:r>
      <w:r>
        <w:rPr>
          <w:rFonts w:ascii="黑体" w:eastAsia="黑体" w:hAnsi="宋体" w:hint="eastAsia"/>
          <w:kern w:val="2"/>
          <w:lang w:eastAsia="zh-CN"/>
        </w:rPr>
        <w:t xml:space="preserve">关于谈判保证金 </w:t>
      </w:r>
    </w:p>
    <w:p>
      <w:pPr>
        <w:widowControl w:val="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 xml:space="preserve">    </w:t>
      </w:r>
      <w:r>
        <w:rPr>
          <w:rFonts w:ascii="宋体" w:eastAsia="宋体" w:hAnsi="宋体"/>
          <w:kern w:val="2"/>
          <w:sz w:val="21"/>
          <w:szCs w:val="21"/>
          <w:lang w:eastAsia="zh-CN"/>
        </w:rPr>
        <w:t>19</w:t>
      </w:r>
      <w:r>
        <w:rPr>
          <w:rFonts w:ascii="宋体" w:eastAsia="宋体" w:hAnsi="宋体" w:hint="eastAsia"/>
          <w:kern w:val="2"/>
          <w:sz w:val="21"/>
          <w:szCs w:val="21"/>
          <w:lang w:eastAsia="zh-CN"/>
        </w:rPr>
        <w:t xml:space="preserve">.1 </w:t>
      </w:r>
      <w:r>
        <w:rPr>
          <w:rFonts w:eastAsia="宋体" w:hint="eastAsia"/>
          <w:kern w:val="2"/>
          <w:sz w:val="21"/>
          <w:lang w:eastAsia="zh-CN"/>
        </w:rPr>
        <w:t>根据《深圳市财政局关于调整政府采购投标（响应）保证金管理政策的通知</w:t>
      </w:r>
      <w:r>
        <w:rPr>
          <w:rFonts w:eastAsia="宋体" w:hint="eastAsia"/>
          <w:kern w:val="2"/>
          <w:sz w:val="21"/>
          <w:lang w:eastAsia="zh-CN"/>
        </w:rPr>
        <w:tab/>
      </w:r>
      <w:r>
        <w:rPr>
          <w:rFonts w:eastAsia="宋体" w:hint="eastAsia"/>
          <w:kern w:val="2"/>
          <w:sz w:val="21"/>
          <w:lang w:eastAsia="zh-CN"/>
        </w:rPr>
        <w:t>》（深财购〔2021〕51号）文的规定，本项目不收取谈判保证金。</w:t>
      </w:r>
    </w:p>
    <w:p>
      <w:pPr>
        <w:widowControl w:val="0"/>
        <w:jc w:val="both"/>
        <w:rPr>
          <w:rFonts w:ascii="黑体" w:eastAsia="黑体" w:hAnsi="宋体" w:hint="eastAsia"/>
          <w:kern w:val="2"/>
          <w:lang w:eastAsia="zh-CN"/>
        </w:rPr>
      </w:pPr>
      <w:r>
        <w:rPr>
          <w:rFonts w:ascii="黑体" w:eastAsia="黑体" w:hAnsi="宋体"/>
          <w:kern w:val="2"/>
          <w:lang w:eastAsia="zh-CN"/>
        </w:rPr>
        <w:t>20.</w:t>
      </w:r>
      <w:r>
        <w:rPr>
          <w:rFonts w:ascii="黑体" w:eastAsia="黑体" w:hAnsi="宋体" w:hint="eastAsia"/>
          <w:kern w:val="2"/>
          <w:lang w:eastAsia="zh-CN"/>
        </w:rPr>
        <w:t>供应商的替代方案</w:t>
      </w:r>
    </w:p>
    <w:p>
      <w:pPr>
        <w:widowControl w:val="0"/>
        <w:ind w:firstLine="412" w:firstLineChars="196"/>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2</w:t>
      </w:r>
      <w:r>
        <w:rPr>
          <w:rFonts w:ascii="宋体" w:eastAsia="宋体" w:hAnsi="宋体"/>
          <w:kern w:val="2"/>
          <w:sz w:val="21"/>
          <w:szCs w:val="21"/>
          <w:lang w:eastAsia="zh-CN"/>
        </w:rPr>
        <w:t>0</w:t>
      </w:r>
      <w:r>
        <w:rPr>
          <w:rFonts w:ascii="宋体" w:eastAsia="宋体" w:hAnsi="宋体" w:hint="eastAsia"/>
          <w:kern w:val="2"/>
          <w:sz w:val="21"/>
          <w:szCs w:val="21"/>
          <w:lang w:eastAsia="zh-CN"/>
        </w:rPr>
        <w:t>.1供应商所提交的应答文件应完全满足谈判文件（包括图纸和技术规范所示的基本技术设计）的要求。除非项目明确允许供应商提交替代方案，否则供应商有关替代方案的条款将初审不通过，作应答无效处理。</w:t>
      </w:r>
    </w:p>
    <w:p>
      <w:pPr>
        <w:widowControl w:val="0"/>
        <w:ind w:firstLine="412" w:firstLineChars="196"/>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2</w:t>
      </w:r>
      <w:r>
        <w:rPr>
          <w:rFonts w:ascii="宋体" w:eastAsia="宋体" w:hAnsi="宋体"/>
          <w:kern w:val="2"/>
          <w:sz w:val="21"/>
          <w:szCs w:val="21"/>
          <w:lang w:eastAsia="zh-CN"/>
        </w:rPr>
        <w:t>0</w:t>
      </w:r>
      <w:r>
        <w:rPr>
          <w:rFonts w:ascii="宋体" w:eastAsia="宋体" w:hAnsi="宋体" w:hint="eastAsia"/>
          <w:kern w:val="2"/>
          <w:sz w:val="21"/>
          <w:szCs w:val="21"/>
          <w:lang w:eastAsia="zh-CN"/>
        </w:rPr>
        <w:t>.2 如果允许供应商提交替代方案，则准备提交替代方案的供应商除应提交一份满足谈判文件（包括图纸和技术规范所示的基本技术设计）要求的应答文件外，还应提交需评审其替代方案所需的全部资料，包括项目方案书、技术规范、替代方案报价书、所建议的项目方案及有关的其它详细资料。</w:t>
      </w:r>
    </w:p>
    <w:p>
      <w:pPr>
        <w:widowControl w:val="0"/>
        <w:jc w:val="both"/>
        <w:rPr>
          <w:rFonts w:ascii="黑体" w:eastAsia="黑体" w:hAnsi="宋体" w:hint="eastAsia"/>
          <w:kern w:val="2"/>
          <w:lang w:eastAsia="zh-CN"/>
        </w:rPr>
      </w:pPr>
      <w:r>
        <w:rPr>
          <w:rFonts w:ascii="黑体" w:eastAsia="黑体" w:hAnsi="宋体" w:hint="eastAsia"/>
          <w:kern w:val="2"/>
          <w:lang w:eastAsia="zh-CN"/>
        </w:rPr>
        <w:t>2</w:t>
      </w:r>
      <w:r>
        <w:rPr>
          <w:rFonts w:ascii="黑体" w:eastAsia="黑体" w:hAnsi="宋体"/>
          <w:kern w:val="2"/>
          <w:lang w:eastAsia="zh-CN"/>
        </w:rPr>
        <w:t>1.</w:t>
      </w:r>
      <w:r>
        <w:rPr>
          <w:rFonts w:ascii="黑体" w:eastAsia="黑体" w:hAnsi="宋体" w:hint="eastAsia"/>
          <w:kern w:val="2"/>
          <w:lang w:eastAsia="zh-CN"/>
        </w:rPr>
        <w:t>应答</w:t>
      </w:r>
      <w:r>
        <w:rPr>
          <w:rFonts w:ascii="黑体" w:eastAsia="黑体" w:hAnsi="宋体"/>
          <w:kern w:val="2"/>
          <w:lang w:eastAsia="zh-CN"/>
        </w:rPr>
        <w:t>文件的</w:t>
      </w:r>
      <w:r>
        <w:rPr>
          <w:rFonts w:ascii="黑体" w:eastAsia="黑体" w:hAnsi="宋体" w:hint="eastAsia"/>
          <w:kern w:val="2"/>
          <w:lang w:eastAsia="zh-CN"/>
        </w:rPr>
        <w:t>制作</w:t>
      </w:r>
      <w:r>
        <w:rPr>
          <w:rFonts w:ascii="黑体" w:eastAsia="黑体" w:hAnsi="宋体"/>
          <w:kern w:val="2"/>
          <w:lang w:eastAsia="zh-CN"/>
        </w:rPr>
        <w:t>要求</w:t>
      </w:r>
    </w:p>
    <w:p>
      <w:pPr>
        <w:widowControl w:val="0"/>
        <w:ind w:firstLine="412" w:firstLineChars="196"/>
        <w:jc w:val="both"/>
        <w:rPr>
          <w:rFonts w:ascii="宋体" w:eastAsia="宋体" w:hAnsi="宋体" w:hint="eastAsia"/>
          <w:color w:val="FF0000"/>
          <w:kern w:val="2"/>
          <w:sz w:val="21"/>
          <w:lang w:eastAsia="zh-CN"/>
        </w:rPr>
      </w:pPr>
      <w:r>
        <w:rPr>
          <w:rFonts w:ascii="宋体" w:eastAsia="宋体" w:hAnsi="宋体" w:hint="eastAsia"/>
          <w:color w:val="FF0000"/>
          <w:kern w:val="2"/>
          <w:sz w:val="21"/>
          <w:lang w:eastAsia="zh-CN"/>
        </w:rPr>
        <w:t>2</w:t>
      </w:r>
      <w:r>
        <w:rPr>
          <w:rFonts w:ascii="宋体" w:eastAsia="宋体" w:hAnsi="宋体"/>
          <w:color w:val="FF0000"/>
          <w:kern w:val="2"/>
          <w:sz w:val="21"/>
          <w:lang w:eastAsia="zh-CN"/>
        </w:rPr>
        <w:t>1</w:t>
      </w:r>
      <w:r>
        <w:rPr>
          <w:rFonts w:ascii="宋体" w:eastAsia="宋体" w:hAnsi="宋体" w:hint="eastAsia"/>
          <w:color w:val="FF0000"/>
          <w:kern w:val="2"/>
          <w:sz w:val="21"/>
          <w:lang w:eastAsia="zh-CN"/>
        </w:rPr>
        <w:t>.1供应商应准备所投项目的电子应答文件（即应答文件）一份。</w:t>
      </w:r>
    </w:p>
    <w:p>
      <w:pPr>
        <w:widowControl w:val="0"/>
        <w:ind w:firstLine="412" w:firstLineChars="196"/>
        <w:jc w:val="both"/>
        <w:rPr>
          <w:rFonts w:ascii="宋体" w:eastAsia="宋体" w:hAnsi="宋体" w:hint="eastAsia"/>
          <w:kern w:val="2"/>
          <w:sz w:val="21"/>
          <w:lang w:eastAsia="zh-CN"/>
        </w:rPr>
      </w:pPr>
      <w:r>
        <w:rPr>
          <w:rFonts w:ascii="宋体" w:eastAsia="宋体" w:hAnsi="宋体" w:hint="eastAsia"/>
          <w:kern w:val="2"/>
          <w:sz w:val="21"/>
          <w:lang w:eastAsia="zh-CN"/>
        </w:rPr>
        <w:t>2</w:t>
      </w:r>
      <w:r>
        <w:rPr>
          <w:rFonts w:ascii="宋体" w:eastAsia="宋体" w:hAnsi="宋体"/>
          <w:kern w:val="2"/>
          <w:sz w:val="21"/>
          <w:lang w:eastAsia="zh-CN"/>
        </w:rPr>
        <w:t>1</w:t>
      </w:r>
      <w:r>
        <w:rPr>
          <w:rFonts w:ascii="宋体" w:eastAsia="宋体" w:hAnsi="宋体" w:hint="eastAsia"/>
          <w:kern w:val="2"/>
          <w:sz w:val="21"/>
          <w:lang w:eastAsia="zh-CN"/>
        </w:rPr>
        <w:t>.2供应商在使用《投标书编制软件》编制应答文件时须注意：</w:t>
      </w:r>
    </w:p>
    <w:p>
      <w:pPr>
        <w:widowControl w:val="0"/>
        <w:ind w:firstLine="412" w:firstLineChars="196"/>
        <w:jc w:val="both"/>
        <w:rPr>
          <w:rFonts w:ascii="宋体" w:eastAsia="宋体" w:hAnsi="宋体" w:hint="eastAsia"/>
          <w:kern w:val="2"/>
          <w:sz w:val="21"/>
          <w:lang w:eastAsia="zh-CN"/>
        </w:rPr>
      </w:pPr>
      <w:r>
        <w:rPr>
          <w:rFonts w:ascii="宋体" w:eastAsia="宋体" w:hAnsi="宋体" w:hint="eastAsia"/>
          <w:kern w:val="2"/>
          <w:sz w:val="21"/>
          <w:lang w:eastAsia="zh-CN"/>
        </w:rPr>
        <w:t>2</w:t>
      </w:r>
      <w:r>
        <w:rPr>
          <w:rFonts w:ascii="宋体" w:eastAsia="宋体" w:hAnsi="宋体"/>
          <w:kern w:val="2"/>
          <w:sz w:val="21"/>
          <w:lang w:eastAsia="zh-CN"/>
        </w:rPr>
        <w:t>1</w:t>
      </w:r>
      <w:r>
        <w:rPr>
          <w:rFonts w:ascii="宋体" w:eastAsia="宋体" w:hAnsi="宋体" w:hint="eastAsia"/>
          <w:kern w:val="2"/>
          <w:sz w:val="21"/>
          <w:lang w:eastAsia="zh-CN"/>
        </w:rPr>
        <w:t>.2.1导入《投标书编制软件》的谈判文件项目编号、包号应与以此制作的应答文件项目编号、包号一致。例如，不能将甲项目A包的应答文件导入《投标书编制软件》，制作乙项目B包的应答文件。</w:t>
      </w:r>
    </w:p>
    <w:p>
      <w:pPr>
        <w:widowControl w:val="0"/>
        <w:ind w:firstLine="412" w:firstLineChars="196"/>
        <w:jc w:val="both"/>
        <w:rPr>
          <w:rFonts w:ascii="宋体" w:eastAsia="宋体" w:hAnsi="宋体" w:hint="eastAsia"/>
          <w:kern w:val="2"/>
          <w:sz w:val="21"/>
          <w:lang w:eastAsia="zh-CN"/>
        </w:rPr>
      </w:pPr>
      <w:r>
        <w:rPr>
          <w:rFonts w:ascii="宋体" w:eastAsia="宋体" w:hAnsi="宋体" w:hint="eastAsia"/>
          <w:kern w:val="2"/>
          <w:sz w:val="21"/>
          <w:lang w:eastAsia="zh-CN"/>
        </w:rPr>
        <w:t>2</w:t>
      </w:r>
      <w:r>
        <w:rPr>
          <w:rFonts w:ascii="宋体" w:eastAsia="宋体" w:hAnsi="宋体"/>
          <w:kern w:val="2"/>
          <w:sz w:val="21"/>
          <w:lang w:eastAsia="zh-CN"/>
        </w:rPr>
        <w:t>1</w:t>
      </w:r>
      <w:r>
        <w:rPr>
          <w:rFonts w:ascii="宋体" w:eastAsia="宋体" w:hAnsi="宋体" w:hint="eastAsia"/>
          <w:kern w:val="2"/>
          <w:sz w:val="21"/>
          <w:lang w:eastAsia="zh-CN"/>
        </w:rPr>
        <w:t>.2.2不能用非本公司的电子密钥加密本公司的应答文件，或者用其它公司的登录用户上传本公司的应答文件。</w:t>
      </w:r>
    </w:p>
    <w:p>
      <w:pPr>
        <w:widowControl w:val="0"/>
        <w:ind w:firstLine="412" w:firstLineChars="196"/>
        <w:jc w:val="both"/>
        <w:rPr>
          <w:rFonts w:ascii="宋体" w:eastAsia="宋体" w:hAnsi="宋体" w:hint="eastAsia"/>
          <w:kern w:val="2"/>
          <w:sz w:val="21"/>
          <w:lang w:eastAsia="zh-CN"/>
        </w:rPr>
      </w:pPr>
      <w:r>
        <w:rPr>
          <w:rFonts w:ascii="宋体" w:eastAsia="宋体" w:hAnsi="宋体" w:hint="eastAsia"/>
          <w:kern w:val="2"/>
          <w:sz w:val="21"/>
          <w:lang w:eastAsia="zh-CN"/>
        </w:rPr>
        <w:t>2</w:t>
      </w:r>
      <w:r>
        <w:rPr>
          <w:rFonts w:ascii="宋体" w:eastAsia="宋体" w:hAnsi="宋体"/>
          <w:kern w:val="2"/>
          <w:sz w:val="21"/>
          <w:lang w:eastAsia="zh-CN"/>
        </w:rPr>
        <w:t>1</w:t>
      </w:r>
      <w:r>
        <w:rPr>
          <w:rFonts w:ascii="宋体" w:eastAsia="宋体" w:hAnsi="宋体" w:hint="eastAsia"/>
          <w:kern w:val="2"/>
          <w:sz w:val="21"/>
          <w:lang w:eastAsia="zh-CN"/>
        </w:rPr>
        <w:t>.2.3要求用《投标书编制软件》编制应答文件的包，不能用其它方式编制应答文件。编制应答文件时，电脑须连通互联网。</w:t>
      </w:r>
    </w:p>
    <w:p>
      <w:pPr>
        <w:widowControl w:val="0"/>
        <w:ind w:firstLine="412" w:firstLineChars="196"/>
        <w:jc w:val="both"/>
        <w:rPr>
          <w:rFonts w:ascii="宋体" w:eastAsia="宋体" w:hAnsi="宋体" w:hint="eastAsia"/>
          <w:kern w:val="2"/>
          <w:sz w:val="21"/>
          <w:lang w:eastAsia="zh-CN"/>
        </w:rPr>
      </w:pPr>
      <w:r>
        <w:rPr>
          <w:rFonts w:ascii="宋体" w:eastAsia="宋体" w:hAnsi="宋体" w:hint="eastAsia"/>
          <w:kern w:val="2"/>
          <w:sz w:val="21"/>
          <w:lang w:eastAsia="zh-CN"/>
        </w:rPr>
        <w:t>2</w:t>
      </w:r>
      <w:r>
        <w:rPr>
          <w:rFonts w:ascii="宋体" w:eastAsia="宋体" w:hAnsi="宋体"/>
          <w:kern w:val="2"/>
          <w:sz w:val="21"/>
          <w:lang w:eastAsia="zh-CN"/>
        </w:rPr>
        <w:t>1</w:t>
      </w:r>
      <w:r>
        <w:rPr>
          <w:rFonts w:ascii="宋体" w:eastAsia="宋体" w:hAnsi="宋体" w:hint="eastAsia"/>
          <w:kern w:val="2"/>
          <w:sz w:val="21"/>
          <w:lang w:eastAsia="zh-CN"/>
        </w:rPr>
        <w:t>.2.4应答文件不能带病毒。政府集中采购机构将用专业杀毒软件对应答文件进行病毒检测，如果这两种软件均报告发现病毒，则政府集中采购机构认为该应答文件带病毒。</w:t>
      </w:r>
    </w:p>
    <w:p>
      <w:pPr>
        <w:widowControl w:val="0"/>
        <w:ind w:firstLine="412" w:firstLineChars="196"/>
        <w:jc w:val="both"/>
        <w:rPr>
          <w:rFonts w:ascii="宋体" w:eastAsia="宋体" w:hAnsi="宋体" w:hint="eastAsia"/>
          <w:kern w:val="2"/>
          <w:sz w:val="21"/>
          <w:lang w:eastAsia="zh-CN"/>
        </w:rPr>
      </w:pPr>
      <w:r>
        <w:rPr>
          <w:rFonts w:ascii="宋体" w:eastAsia="宋体" w:hAnsi="宋体" w:hint="eastAsia"/>
          <w:kern w:val="2"/>
          <w:sz w:val="21"/>
          <w:lang w:eastAsia="zh-CN"/>
        </w:rPr>
        <w:t>2</w:t>
      </w:r>
      <w:r>
        <w:rPr>
          <w:rFonts w:ascii="宋体" w:eastAsia="宋体" w:hAnsi="宋体"/>
          <w:kern w:val="2"/>
          <w:sz w:val="21"/>
          <w:lang w:eastAsia="zh-CN"/>
        </w:rPr>
        <w:t>1</w:t>
      </w:r>
      <w:r>
        <w:rPr>
          <w:rFonts w:ascii="宋体" w:eastAsia="宋体" w:hAnsi="宋体" w:hint="eastAsia"/>
          <w:kern w:val="2"/>
          <w:sz w:val="21"/>
          <w:lang w:eastAsia="zh-CN"/>
        </w:rPr>
        <w:t>.2.5供应商在编辑应答文件时，</w:t>
      </w:r>
      <w:r>
        <w:rPr>
          <w:rFonts w:ascii="宋体" w:eastAsia="宋体" w:hAnsi="宋体" w:hint="eastAsia"/>
          <w:b/>
          <w:kern w:val="2"/>
          <w:sz w:val="21"/>
          <w:lang w:eastAsia="zh-CN"/>
        </w:rPr>
        <w:t>在应答文件目录中属于本节点内容的必须在本节点中填写，填写到其他节点或附件，</w:t>
      </w:r>
      <w:r>
        <w:rPr>
          <w:rFonts w:ascii="宋体" w:eastAsia="宋体" w:hAnsi="宋体" w:hint="eastAsia"/>
          <w:kern w:val="2"/>
          <w:sz w:val="21"/>
          <w:lang w:eastAsia="zh-CN"/>
        </w:rPr>
        <w:t>一切后果由供应商自行承担。</w:t>
      </w:r>
    </w:p>
    <w:p>
      <w:pPr>
        <w:widowControl w:val="0"/>
        <w:ind w:firstLine="412" w:firstLineChars="196"/>
        <w:jc w:val="both"/>
        <w:rPr>
          <w:rFonts w:ascii="宋体" w:eastAsia="宋体" w:hAnsi="宋体" w:hint="eastAsia"/>
          <w:kern w:val="2"/>
          <w:sz w:val="21"/>
          <w:lang w:eastAsia="zh-CN"/>
        </w:rPr>
      </w:pPr>
      <w:r>
        <w:rPr>
          <w:rFonts w:ascii="宋体" w:eastAsia="宋体" w:hAnsi="宋体" w:hint="eastAsia"/>
          <w:kern w:val="2"/>
          <w:sz w:val="21"/>
          <w:lang w:eastAsia="zh-CN"/>
        </w:rPr>
        <w:t>23.2.6政府集中采购机构不接受谈判截止时间后递交的纸质、电子、传真等所有形式的应答文件。由于对网上政府采购系统操作不熟悉或自身电脑、网络等原因导致不能在谈判截止时间之前上传应答文件（应答文件），政府集中采购机构概不负责。建议于谈判前一个工作日完成应答文件的制作与上传，如上传确有困难，</w:t>
      </w:r>
      <w:r>
        <w:rPr>
          <w:rFonts w:ascii="宋体" w:eastAsia="宋体" w:hAnsi="宋体" w:hint="eastAsia"/>
          <w:kern w:val="2"/>
          <w:sz w:val="21"/>
          <w:szCs w:val="21"/>
          <w:lang w:eastAsia="zh-CN"/>
        </w:rPr>
        <w:t>请及时咨询。</w:t>
      </w:r>
    </w:p>
    <w:p>
      <w:pPr>
        <w:widowControl w:val="0"/>
        <w:ind w:firstLine="412" w:firstLineChars="196"/>
        <w:jc w:val="both"/>
        <w:rPr>
          <w:rFonts w:ascii="宋体" w:eastAsia="宋体" w:hAnsi="宋体" w:hint="eastAsia"/>
          <w:kern w:val="2"/>
          <w:sz w:val="21"/>
          <w:lang w:eastAsia="zh-CN"/>
        </w:rPr>
      </w:pPr>
      <w:r>
        <w:rPr>
          <w:rFonts w:ascii="宋体" w:eastAsia="宋体" w:hAnsi="宋体" w:hint="eastAsia"/>
          <w:kern w:val="2"/>
          <w:sz w:val="21"/>
          <w:lang w:eastAsia="zh-CN"/>
        </w:rPr>
        <w:t>23.2.7如果谈判时出现网络故障、技术故障，影响了谈判活动，政府集中采购机构有权采取措施如延期、接受无法从网上上传的应答文件等，以保障自行采购活动的公开、公平和公正。</w:t>
      </w:r>
    </w:p>
    <w:p>
      <w:pPr>
        <w:widowControl w:val="0"/>
        <w:ind w:firstLine="412" w:firstLineChars="196"/>
        <w:jc w:val="both"/>
        <w:rPr>
          <w:rFonts w:ascii="宋体" w:eastAsia="宋体" w:hAnsi="宋体" w:hint="eastAsia"/>
          <w:kern w:val="2"/>
          <w:sz w:val="21"/>
          <w:lang w:eastAsia="zh-CN"/>
        </w:rPr>
      </w:pPr>
      <w:r>
        <w:rPr>
          <w:rFonts w:ascii="宋体" w:eastAsia="宋体" w:hAnsi="宋体" w:hint="eastAsia"/>
          <w:kern w:val="2"/>
          <w:sz w:val="21"/>
          <w:lang w:eastAsia="zh-CN"/>
        </w:rPr>
        <w:t>23.3电报、电话、传真形式的应答概不接受。</w:t>
      </w:r>
    </w:p>
    <w:p>
      <w:pPr>
        <w:widowControl w:val="0"/>
        <w:ind w:firstLine="412" w:firstLineChars="196"/>
        <w:jc w:val="both"/>
        <w:rPr>
          <w:rFonts w:ascii="宋体" w:eastAsia="宋体" w:hAnsi="宋体" w:hint="eastAsia"/>
          <w:b/>
          <w:color w:val="FF0000"/>
          <w:kern w:val="2"/>
          <w:sz w:val="21"/>
          <w:lang w:eastAsia="zh-CN"/>
        </w:rPr>
      </w:pPr>
      <w:r>
        <w:rPr>
          <w:rFonts w:ascii="宋体" w:eastAsia="宋体" w:hAnsi="宋体" w:hint="eastAsia"/>
          <w:color w:val="FF0000"/>
          <w:kern w:val="2"/>
          <w:sz w:val="21"/>
          <w:lang w:eastAsia="zh-CN"/>
        </w:rPr>
        <w:t>23.4全流程线上投标的投标文件无须盖章或签字，专用条款另有要求的除外。</w:t>
      </w:r>
    </w:p>
    <w:p>
      <w:pPr>
        <w:widowControl w:val="0"/>
        <w:spacing w:line="360" w:lineRule="auto"/>
        <w:ind w:firstLine="420" w:firstLineChars="200"/>
        <w:jc w:val="left"/>
        <w:rPr>
          <w:rFonts w:eastAsia="宋体"/>
          <w:kern w:val="2"/>
          <w:sz w:val="21"/>
          <w:lang w:eastAsia="zh-CN"/>
        </w:rPr>
      </w:pPr>
      <w:r>
        <w:rPr>
          <w:rFonts w:ascii="宋体" w:eastAsia="宋体" w:hAnsi="宋体" w:hint="eastAsia"/>
          <w:bCs/>
          <w:kern w:val="2"/>
          <w:sz w:val="21"/>
          <w:lang w:eastAsia="zh-CN"/>
        </w:rPr>
        <w:t>23.5</w:t>
      </w:r>
      <w:r>
        <w:rPr>
          <w:rFonts w:ascii="宋体" w:eastAsia="宋体" w:hAnsi="宋体" w:hint="eastAsia"/>
          <w:kern w:val="2"/>
          <w:sz w:val="21"/>
          <w:lang w:eastAsia="zh-CN"/>
        </w:rPr>
        <w:t xml:space="preserve"> 各类资格（资质）文件提供扫描件，另有专门要求的除外。</w:t>
      </w:r>
    </w:p>
    <w:p>
      <w:pPr>
        <w:keepNext/>
        <w:keepLines/>
        <w:widowControl w:val="0"/>
        <w:adjustRightInd w:val="0"/>
        <w:spacing w:before="260" w:after="260" w:line="240" w:lineRule="auto"/>
        <w:jc w:val="center"/>
        <w:textAlignment w:val="baseline"/>
        <w:outlineLvl w:val="1"/>
        <w:rPr>
          <w:rFonts w:ascii="宋体" w:eastAsia="宋体" w:hAnsi="宋体" w:hint="eastAsia"/>
          <w:b/>
          <w:bCs/>
          <w:szCs w:val="20"/>
          <w:lang w:eastAsia="zh-CN"/>
        </w:rPr>
      </w:pPr>
      <w:r>
        <w:rPr>
          <w:rFonts w:ascii="宋体" w:eastAsia="宋体" w:hAnsi="宋体" w:hint="eastAsia"/>
          <w:b/>
          <w:bCs/>
          <w:szCs w:val="20"/>
          <w:lang w:eastAsia="zh-CN"/>
        </w:rPr>
        <w:t>四、应答文件的递交</w:t>
      </w:r>
    </w:p>
    <w:p>
      <w:pPr>
        <w:widowControl w:val="0"/>
        <w:jc w:val="both"/>
        <w:rPr>
          <w:rFonts w:ascii="黑体" w:eastAsia="黑体" w:hAnsi="宋体" w:hint="eastAsia"/>
          <w:kern w:val="2"/>
          <w:lang w:eastAsia="zh-CN"/>
        </w:rPr>
      </w:pPr>
      <w:r>
        <w:rPr>
          <w:rFonts w:ascii="黑体" w:eastAsia="黑体" w:hAnsi="宋体" w:hint="eastAsia"/>
          <w:kern w:val="2"/>
          <w:lang w:eastAsia="zh-CN"/>
        </w:rPr>
        <w:t>24．应答文件的保密</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color w:val="FF0000"/>
          <w:kern w:val="2"/>
          <w:sz w:val="21"/>
          <w:lang w:eastAsia="zh-CN"/>
        </w:rPr>
        <w:t>24.1</w:t>
      </w:r>
      <w:r>
        <w:rPr>
          <w:rFonts w:ascii="宋体" w:eastAsia="宋体" w:hAnsi="宋体" w:hint="eastAsia"/>
          <w:kern w:val="2"/>
          <w:sz w:val="21"/>
          <w:szCs w:val="21"/>
          <w:lang w:eastAsia="zh-CN"/>
        </w:rPr>
        <w:t>在应答文件制作完成后，生成后会选择是否加密投标（应答）文件，如不加密则直接点击生成文件即可，如需加密请插入CA锁，点击加密后生成文件，需输入CA锁密码即可加密成功。加密后会提示文件生成成功！(注意：加密的投标（应答）文件开标时须使用加密文件时使用的锁在项目规定时间内解密！)</w:t>
      </w:r>
    </w:p>
    <w:p>
      <w:pPr>
        <w:widowControl w:val="0"/>
        <w:ind w:firstLine="420" w:firstLineChars="200"/>
        <w:jc w:val="both"/>
        <w:rPr>
          <w:rFonts w:ascii="宋体" w:eastAsia="宋体" w:hAnsi="宋体" w:hint="eastAsia"/>
          <w:b/>
          <w:kern w:val="2"/>
          <w:sz w:val="21"/>
          <w:lang w:eastAsia="zh-CN"/>
        </w:rPr>
      </w:pPr>
      <w:r>
        <w:rPr>
          <w:rFonts w:ascii="宋体" w:eastAsia="宋体" w:hAnsi="宋体" w:hint="eastAsia"/>
          <w:b/>
          <w:kern w:val="2"/>
          <w:sz w:val="21"/>
          <w:lang w:eastAsia="zh-CN"/>
        </w:rPr>
        <w:t>24.2若采购项目出现延期情况：</w:t>
      </w:r>
    </w:p>
    <w:p>
      <w:pPr>
        <w:widowControl w:val="0"/>
        <w:ind w:firstLine="420" w:firstLineChars="200"/>
        <w:jc w:val="both"/>
        <w:rPr>
          <w:rFonts w:ascii="黑体" w:eastAsia="黑体" w:hAnsi="宋体" w:hint="eastAsia"/>
          <w:b/>
          <w:kern w:val="2"/>
          <w:lang w:eastAsia="zh-CN"/>
        </w:rPr>
      </w:pPr>
      <w:r>
        <w:rPr>
          <w:rFonts w:ascii="宋体" w:eastAsia="宋体" w:hAnsi="宋体" w:hint="eastAsia"/>
          <w:b/>
          <w:kern w:val="2"/>
          <w:sz w:val="21"/>
          <w:lang w:eastAsia="zh-CN"/>
        </w:rPr>
        <w:t>如果供下载的谈判文件有更新，供应商必须重新下载谈判文件、重新制作应答文件、重新加密应答文件、重新上传应答文件；</w:t>
      </w:r>
    </w:p>
    <w:p>
      <w:pPr>
        <w:widowControl w:val="0"/>
        <w:jc w:val="both"/>
        <w:rPr>
          <w:rFonts w:ascii="黑体" w:eastAsia="黑体" w:hAnsi="宋体" w:hint="eastAsia"/>
          <w:kern w:val="2"/>
          <w:lang w:eastAsia="zh-CN"/>
        </w:rPr>
      </w:pPr>
      <w:bookmarkStart w:id="63" w:name="_Hlk72665941"/>
      <w:r>
        <w:rPr>
          <w:rFonts w:ascii="黑体" w:eastAsia="黑体" w:hAnsi="宋体" w:hint="eastAsia"/>
          <w:kern w:val="2"/>
          <w:lang w:eastAsia="zh-CN"/>
        </w:rPr>
        <w:t>25．上传应答文件及谈判截止日期</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lang w:eastAsia="zh-CN"/>
        </w:rPr>
        <w:t>25</w:t>
      </w:r>
      <w:r>
        <w:rPr>
          <w:rFonts w:ascii="宋体" w:eastAsia="宋体" w:hAnsi="宋体"/>
          <w:kern w:val="2"/>
          <w:sz w:val="21"/>
          <w:lang w:eastAsia="zh-CN"/>
        </w:rPr>
        <w:t>.</w:t>
      </w:r>
      <w:r>
        <w:rPr>
          <w:rFonts w:ascii="宋体" w:eastAsia="宋体" w:hAnsi="宋体" w:hint="eastAsia"/>
          <w:kern w:val="2"/>
          <w:sz w:val="21"/>
          <w:lang w:eastAsia="zh-CN"/>
        </w:rPr>
        <w:t>1实行网上投标（应答），供应商</w:t>
      </w:r>
      <w:r>
        <w:rPr>
          <w:rFonts w:ascii="宋体" w:eastAsia="宋体" w:hAnsi="宋体"/>
          <w:kern w:val="2"/>
          <w:sz w:val="21"/>
          <w:lang w:eastAsia="zh-CN"/>
        </w:rPr>
        <w:t>必须</w:t>
      </w:r>
      <w:r>
        <w:rPr>
          <w:rFonts w:ascii="宋体" w:eastAsia="宋体" w:hAnsi="宋体" w:hint="eastAsia"/>
          <w:kern w:val="2"/>
          <w:sz w:val="21"/>
          <w:lang w:eastAsia="zh-CN"/>
        </w:rPr>
        <w:t>在谈判</w:t>
      </w:r>
      <w:r>
        <w:rPr>
          <w:rFonts w:ascii="宋体" w:eastAsia="宋体" w:hAnsi="宋体"/>
          <w:kern w:val="2"/>
          <w:sz w:val="21"/>
          <w:lang w:eastAsia="zh-CN"/>
        </w:rPr>
        <w:t>文件规定的</w:t>
      </w:r>
      <w:r>
        <w:rPr>
          <w:rFonts w:ascii="宋体" w:eastAsia="宋体" w:hAnsi="宋体" w:hint="eastAsia"/>
          <w:kern w:val="2"/>
          <w:sz w:val="21"/>
          <w:lang w:eastAsia="zh-CN"/>
        </w:rPr>
        <w:t>谈判</w:t>
      </w:r>
      <w:r>
        <w:rPr>
          <w:rFonts w:ascii="宋体" w:eastAsia="宋体" w:hAnsi="宋体"/>
          <w:kern w:val="2"/>
          <w:sz w:val="21"/>
          <w:lang w:eastAsia="zh-CN"/>
        </w:rPr>
        <w:t>截止时间前</w:t>
      </w:r>
      <w:r>
        <w:rPr>
          <w:rFonts w:ascii="宋体" w:eastAsia="宋体" w:hAnsi="宋体" w:hint="eastAsia"/>
          <w:kern w:val="2"/>
          <w:sz w:val="21"/>
          <w:lang w:eastAsia="zh-CN"/>
        </w:rPr>
        <w:t>用电子密钥登录“</w:t>
      </w:r>
      <w:r>
        <w:rPr>
          <w:rFonts w:ascii="宋体" w:eastAsia="宋体" w:hAnsi="宋体" w:hint="eastAsia"/>
          <w:kern w:val="2"/>
          <w:sz w:val="21"/>
          <w:szCs w:val="21"/>
          <w:lang w:eastAsia="zh-CN"/>
        </w:rPr>
        <w:t>“深圳市自行采购系统（https://trade.szggzy.com/ggzy/center/#/login）”上传应答文件。如上传过程中遇到问题，可拨打采购公告中的技术支持电话。如多次上传均告失败，请在投标（应答）截止时间之前携带加密后的电子应答文件送达至</w:t>
      </w:r>
      <w:r>
        <w:rPr>
          <w:rFonts w:ascii="宋体" w:eastAsia="宋体" w:hAnsi="宋体" w:hint="eastAsia"/>
          <w:b/>
          <w:bCs/>
          <w:kern w:val="2"/>
          <w:sz w:val="21"/>
          <w:szCs w:val="21"/>
          <w:lang w:eastAsia="zh-CN"/>
        </w:rPr>
        <w:t>深圳公共资源交易中心（深圳交易集团有限公司政府采购业务分公司）3楼服务大厅（地址：深圳市南山区沙河西路3185号南山智谷A座深圳交易集团总部大楼）</w:t>
      </w:r>
      <w:r>
        <w:rPr>
          <w:rFonts w:ascii="宋体" w:eastAsia="宋体" w:hAnsi="宋体"/>
          <w:b/>
          <w:bCs/>
          <w:kern w:val="2"/>
          <w:sz w:val="21"/>
          <w:szCs w:val="21"/>
          <w:lang w:eastAsia="zh-CN"/>
        </w:rPr>
        <w:t>协助上传</w:t>
      </w:r>
      <w:r>
        <w:rPr>
          <w:rFonts w:ascii="宋体" w:eastAsia="宋体" w:hAnsi="宋体" w:hint="eastAsia"/>
          <w:b/>
          <w:bCs/>
          <w:kern w:val="2"/>
          <w:sz w:val="21"/>
          <w:szCs w:val="21"/>
          <w:lang w:eastAsia="zh-CN"/>
        </w:rPr>
        <w:t>，</w:t>
      </w:r>
      <w:r>
        <w:rPr>
          <w:rFonts w:ascii="宋体" w:eastAsia="宋体" w:hAnsi="宋体"/>
          <w:b/>
          <w:bCs/>
          <w:kern w:val="2"/>
          <w:sz w:val="21"/>
          <w:szCs w:val="21"/>
          <w:lang w:eastAsia="zh-CN"/>
        </w:rPr>
        <w:t>但上传过程</w:t>
      </w:r>
      <w:r>
        <w:rPr>
          <w:rFonts w:ascii="宋体" w:eastAsia="宋体" w:hAnsi="宋体" w:hint="eastAsia"/>
          <w:b/>
          <w:bCs/>
          <w:kern w:val="2"/>
          <w:sz w:val="21"/>
          <w:szCs w:val="21"/>
          <w:lang w:eastAsia="zh-CN"/>
        </w:rPr>
        <w:t>中</w:t>
      </w:r>
      <w:r>
        <w:rPr>
          <w:rFonts w:ascii="宋体" w:eastAsia="宋体" w:hAnsi="宋体"/>
          <w:b/>
          <w:bCs/>
          <w:kern w:val="2"/>
          <w:sz w:val="21"/>
          <w:szCs w:val="21"/>
          <w:lang w:eastAsia="zh-CN"/>
        </w:rPr>
        <w:t>投标</w:t>
      </w:r>
      <w:r>
        <w:rPr>
          <w:rFonts w:ascii="宋体" w:eastAsia="宋体" w:hAnsi="宋体" w:hint="eastAsia"/>
          <w:b/>
          <w:bCs/>
          <w:kern w:val="2"/>
          <w:sz w:val="21"/>
          <w:szCs w:val="21"/>
          <w:lang w:eastAsia="zh-CN"/>
        </w:rPr>
        <w:t>（应答）</w:t>
      </w:r>
      <w:r>
        <w:rPr>
          <w:rFonts w:ascii="宋体" w:eastAsia="宋体" w:hAnsi="宋体"/>
          <w:b/>
          <w:bCs/>
          <w:kern w:val="2"/>
          <w:sz w:val="21"/>
          <w:szCs w:val="21"/>
          <w:lang w:eastAsia="zh-CN"/>
        </w:rPr>
        <w:t>截止时间到达仍无法上传成功的，由</w:t>
      </w:r>
      <w:r>
        <w:rPr>
          <w:rFonts w:ascii="宋体" w:eastAsia="宋体" w:hAnsi="宋体" w:hint="eastAsia"/>
          <w:b/>
          <w:bCs/>
          <w:kern w:val="2"/>
          <w:sz w:val="21"/>
          <w:szCs w:val="21"/>
          <w:lang w:eastAsia="zh-CN"/>
        </w:rPr>
        <w:t>供应商</w:t>
      </w:r>
      <w:r>
        <w:rPr>
          <w:rFonts w:ascii="宋体" w:eastAsia="宋体" w:hAnsi="宋体"/>
          <w:b/>
          <w:bCs/>
          <w:kern w:val="2"/>
          <w:sz w:val="21"/>
          <w:szCs w:val="21"/>
          <w:lang w:eastAsia="zh-CN"/>
        </w:rPr>
        <w:t>自行负责</w:t>
      </w:r>
      <w:r>
        <w:rPr>
          <w:rFonts w:ascii="宋体" w:eastAsia="宋体" w:hAnsi="宋体" w:hint="eastAsia"/>
          <w:kern w:val="2"/>
          <w:sz w:val="21"/>
          <w:szCs w:val="21"/>
          <w:lang w:eastAsia="zh-CN"/>
        </w:rPr>
        <w:t>。</w:t>
      </w:r>
    </w:p>
    <w:p>
      <w:pPr>
        <w:widowControl w:val="0"/>
        <w:ind w:firstLine="412" w:firstLineChars="196"/>
        <w:jc w:val="both"/>
        <w:rPr>
          <w:rFonts w:ascii="宋体" w:eastAsia="宋体" w:hAnsi="宋体" w:hint="eastAsia"/>
          <w:kern w:val="2"/>
          <w:sz w:val="21"/>
          <w:lang w:eastAsia="zh-CN"/>
        </w:rPr>
      </w:pPr>
      <w:r>
        <w:rPr>
          <w:rFonts w:ascii="宋体" w:eastAsia="宋体" w:hAnsi="宋体" w:hint="eastAsia"/>
          <w:kern w:val="2"/>
          <w:sz w:val="21"/>
          <w:lang w:eastAsia="zh-CN"/>
        </w:rPr>
        <w:t>25.2政府集中采购机构可以按本通用条款第1</w:t>
      </w:r>
      <w:r>
        <w:rPr>
          <w:rFonts w:ascii="宋体" w:eastAsia="宋体" w:hAnsi="宋体"/>
          <w:kern w:val="2"/>
          <w:sz w:val="21"/>
          <w:lang w:eastAsia="zh-CN"/>
        </w:rPr>
        <w:t>1</w:t>
      </w:r>
      <w:r>
        <w:rPr>
          <w:rFonts w:ascii="宋体" w:eastAsia="宋体" w:hAnsi="宋体" w:hint="eastAsia"/>
          <w:kern w:val="2"/>
          <w:sz w:val="21"/>
          <w:lang w:eastAsia="zh-CN"/>
        </w:rPr>
        <w:t>条规定，通过修改谈判文件自行决定酌情延长谈判截止日期。在此情况下，政府集中采购机构、采购人和供应商受谈判截止期制约的所有权利和义务均应延长至新的截止期。</w:t>
      </w:r>
    </w:p>
    <w:p>
      <w:pPr>
        <w:widowControl w:val="0"/>
        <w:ind w:firstLine="412" w:firstLineChars="196"/>
        <w:jc w:val="both"/>
        <w:rPr>
          <w:rFonts w:ascii="宋体" w:eastAsia="宋体" w:hAnsi="宋体" w:hint="eastAsia"/>
          <w:kern w:val="2"/>
          <w:sz w:val="21"/>
          <w:lang w:eastAsia="zh-CN"/>
        </w:rPr>
      </w:pPr>
      <w:r>
        <w:rPr>
          <w:rFonts w:ascii="宋体" w:eastAsia="宋体" w:hAnsi="宋体" w:hint="eastAsia"/>
          <w:kern w:val="2"/>
          <w:sz w:val="21"/>
          <w:lang w:eastAsia="zh-CN"/>
        </w:rPr>
        <w:t>25</w:t>
      </w:r>
      <w:r>
        <w:rPr>
          <w:rFonts w:ascii="宋体" w:eastAsia="宋体" w:hAnsi="宋体"/>
          <w:kern w:val="2"/>
          <w:sz w:val="21"/>
          <w:lang w:eastAsia="zh-CN"/>
        </w:rPr>
        <w:t>.</w:t>
      </w:r>
      <w:r>
        <w:rPr>
          <w:rFonts w:ascii="宋体" w:eastAsia="宋体" w:hAnsi="宋体" w:hint="eastAsia"/>
          <w:kern w:val="2"/>
          <w:sz w:val="21"/>
          <w:lang w:eastAsia="zh-CN"/>
        </w:rPr>
        <w:t>3谈判截止时间以后不得上传应答文件。</w:t>
      </w:r>
    </w:p>
    <w:p>
      <w:pPr>
        <w:widowControl w:val="0"/>
        <w:jc w:val="both"/>
        <w:rPr>
          <w:rFonts w:ascii="黑体" w:eastAsia="黑体" w:hAnsi="宋体" w:hint="eastAsia"/>
          <w:kern w:val="2"/>
          <w:lang w:eastAsia="zh-CN"/>
        </w:rPr>
      </w:pPr>
      <w:r>
        <w:rPr>
          <w:rFonts w:ascii="黑体" w:eastAsia="黑体" w:hAnsi="宋体"/>
          <w:kern w:val="2"/>
          <w:lang w:eastAsia="zh-CN"/>
        </w:rPr>
        <w:t>26</w:t>
      </w:r>
      <w:r>
        <w:rPr>
          <w:rFonts w:ascii="黑体" w:eastAsia="黑体" w:hAnsi="宋体" w:hint="eastAsia"/>
          <w:kern w:val="2"/>
          <w:lang w:eastAsia="zh-CN"/>
        </w:rPr>
        <w:t>．应答</w:t>
      </w:r>
      <w:r>
        <w:rPr>
          <w:rFonts w:ascii="黑体" w:eastAsia="黑体" w:hAnsi="宋体"/>
          <w:kern w:val="2"/>
          <w:lang w:eastAsia="zh-CN"/>
        </w:rPr>
        <w:t>文件的修改和撤销</w:t>
      </w:r>
    </w:p>
    <w:p>
      <w:pPr>
        <w:widowControl w:val="0"/>
        <w:ind w:firstLine="412" w:firstLineChars="196"/>
        <w:jc w:val="both"/>
        <w:rPr>
          <w:rFonts w:ascii="宋体" w:eastAsia="宋体" w:hAnsi="宋体" w:hint="eastAsia"/>
          <w:kern w:val="2"/>
          <w:sz w:val="21"/>
          <w:lang w:eastAsia="zh-CN"/>
        </w:rPr>
      </w:pPr>
      <w:r>
        <w:rPr>
          <w:rFonts w:ascii="宋体" w:eastAsia="宋体" w:hAnsi="宋体"/>
          <w:kern w:val="2"/>
          <w:sz w:val="21"/>
          <w:lang w:eastAsia="zh-CN"/>
        </w:rPr>
        <w:t>26.</w:t>
      </w:r>
      <w:r>
        <w:rPr>
          <w:rFonts w:ascii="宋体" w:eastAsia="宋体" w:hAnsi="宋体" w:hint="eastAsia"/>
          <w:kern w:val="2"/>
          <w:sz w:val="21"/>
          <w:lang w:eastAsia="zh-CN"/>
        </w:rPr>
        <w:t>1供应商</w:t>
      </w:r>
      <w:r>
        <w:rPr>
          <w:rFonts w:ascii="宋体" w:eastAsia="宋体" w:hAnsi="宋体"/>
          <w:kern w:val="2"/>
          <w:sz w:val="21"/>
          <w:lang w:eastAsia="zh-CN"/>
        </w:rPr>
        <w:t>在提交</w:t>
      </w:r>
      <w:r>
        <w:rPr>
          <w:rFonts w:ascii="宋体" w:eastAsia="宋体" w:hAnsi="宋体" w:hint="eastAsia"/>
          <w:kern w:val="2"/>
          <w:sz w:val="21"/>
          <w:lang w:eastAsia="zh-CN"/>
        </w:rPr>
        <w:t>应答</w:t>
      </w:r>
      <w:r>
        <w:rPr>
          <w:rFonts w:ascii="宋体" w:eastAsia="宋体" w:hAnsi="宋体"/>
          <w:kern w:val="2"/>
          <w:sz w:val="21"/>
          <w:lang w:eastAsia="zh-CN"/>
        </w:rPr>
        <w:t>文件后可对其</w:t>
      </w:r>
      <w:r>
        <w:rPr>
          <w:rFonts w:ascii="宋体" w:eastAsia="宋体" w:hAnsi="宋体" w:hint="eastAsia"/>
          <w:kern w:val="2"/>
          <w:sz w:val="21"/>
          <w:lang w:eastAsia="zh-CN"/>
        </w:rPr>
        <w:t>应答</w:t>
      </w:r>
      <w:r>
        <w:rPr>
          <w:rFonts w:ascii="宋体" w:eastAsia="宋体" w:hAnsi="宋体"/>
          <w:kern w:val="2"/>
          <w:sz w:val="21"/>
          <w:lang w:eastAsia="zh-CN"/>
        </w:rPr>
        <w:t>文件进行修改</w:t>
      </w:r>
      <w:r>
        <w:rPr>
          <w:rFonts w:ascii="宋体" w:eastAsia="宋体" w:hAnsi="宋体" w:hint="eastAsia"/>
          <w:kern w:val="2"/>
          <w:sz w:val="21"/>
          <w:lang w:eastAsia="zh-CN"/>
        </w:rPr>
        <w:t>并重新上传应答文件</w:t>
      </w:r>
      <w:r>
        <w:rPr>
          <w:rFonts w:ascii="宋体" w:eastAsia="宋体" w:hAnsi="宋体"/>
          <w:kern w:val="2"/>
          <w:sz w:val="21"/>
          <w:lang w:eastAsia="zh-CN"/>
        </w:rPr>
        <w:t>或</w:t>
      </w:r>
      <w:r>
        <w:rPr>
          <w:rFonts w:ascii="宋体" w:eastAsia="宋体" w:hAnsi="宋体" w:hint="eastAsia"/>
          <w:kern w:val="2"/>
          <w:sz w:val="21"/>
          <w:lang w:eastAsia="zh-CN"/>
        </w:rPr>
        <w:t>在网上进行</w:t>
      </w:r>
      <w:r>
        <w:rPr>
          <w:rFonts w:ascii="宋体" w:eastAsia="宋体" w:hAnsi="宋体"/>
          <w:kern w:val="2"/>
          <w:sz w:val="21"/>
          <w:lang w:eastAsia="zh-CN"/>
        </w:rPr>
        <w:t>撤销</w:t>
      </w:r>
      <w:r>
        <w:rPr>
          <w:rFonts w:ascii="宋体" w:eastAsia="宋体" w:hAnsi="宋体" w:hint="eastAsia"/>
          <w:kern w:val="2"/>
          <w:sz w:val="21"/>
          <w:lang w:eastAsia="zh-CN"/>
        </w:rPr>
        <w:t>应答的操作</w:t>
      </w:r>
      <w:r>
        <w:rPr>
          <w:rFonts w:ascii="宋体" w:eastAsia="宋体" w:hAnsi="宋体"/>
          <w:kern w:val="2"/>
          <w:sz w:val="21"/>
          <w:lang w:eastAsia="zh-CN"/>
        </w:rPr>
        <w:t>。</w:t>
      </w:r>
    </w:p>
    <w:p>
      <w:pPr>
        <w:widowControl w:val="0"/>
        <w:ind w:firstLine="412" w:firstLineChars="196"/>
        <w:jc w:val="both"/>
        <w:rPr>
          <w:rFonts w:ascii="宋体" w:eastAsia="宋体" w:hAnsi="宋体" w:hint="eastAsia"/>
          <w:kern w:val="2"/>
          <w:sz w:val="21"/>
          <w:lang w:eastAsia="zh-CN"/>
        </w:rPr>
      </w:pPr>
      <w:r>
        <w:rPr>
          <w:rFonts w:ascii="宋体" w:eastAsia="宋体" w:hAnsi="宋体"/>
          <w:kern w:val="2"/>
          <w:sz w:val="21"/>
          <w:lang w:eastAsia="zh-CN"/>
        </w:rPr>
        <w:t>26.</w:t>
      </w:r>
      <w:r>
        <w:rPr>
          <w:rFonts w:ascii="宋体" w:eastAsia="宋体" w:hAnsi="宋体" w:hint="eastAsia"/>
          <w:kern w:val="2"/>
          <w:sz w:val="21"/>
          <w:lang w:eastAsia="zh-CN"/>
        </w:rPr>
        <w:t>2</w:t>
      </w:r>
      <w:bookmarkStart w:id="64" w:name="_Hlk72663776"/>
      <w:r>
        <w:rPr>
          <w:rFonts w:ascii="宋体" w:eastAsia="宋体" w:hAnsi="宋体" w:hint="eastAsia"/>
          <w:kern w:val="2"/>
          <w:sz w:val="21"/>
          <w:lang w:eastAsia="zh-CN"/>
        </w:rPr>
        <w:t>谈判</w:t>
      </w:r>
      <w:r>
        <w:rPr>
          <w:rFonts w:ascii="宋体" w:eastAsia="宋体" w:hAnsi="宋体"/>
          <w:kern w:val="2"/>
          <w:sz w:val="21"/>
          <w:lang w:eastAsia="zh-CN"/>
        </w:rPr>
        <w:t>截止时间以后不</w:t>
      </w:r>
      <w:r>
        <w:rPr>
          <w:rFonts w:ascii="宋体" w:eastAsia="宋体" w:hAnsi="宋体" w:hint="eastAsia"/>
          <w:kern w:val="2"/>
          <w:sz w:val="21"/>
          <w:lang w:eastAsia="zh-CN"/>
        </w:rPr>
        <w:t>能通过网上政府采购系统</w:t>
      </w:r>
      <w:r>
        <w:rPr>
          <w:rFonts w:ascii="宋体" w:eastAsia="宋体" w:hAnsi="宋体"/>
          <w:kern w:val="2"/>
          <w:sz w:val="21"/>
          <w:lang w:eastAsia="zh-CN"/>
        </w:rPr>
        <w:t>修改</w:t>
      </w:r>
      <w:r>
        <w:rPr>
          <w:rFonts w:ascii="宋体" w:eastAsia="宋体" w:hAnsi="宋体" w:hint="eastAsia"/>
          <w:kern w:val="2"/>
          <w:sz w:val="21"/>
          <w:lang w:eastAsia="zh-CN"/>
        </w:rPr>
        <w:t>应答</w:t>
      </w:r>
      <w:r>
        <w:rPr>
          <w:rFonts w:ascii="宋体" w:eastAsia="宋体" w:hAnsi="宋体"/>
          <w:kern w:val="2"/>
          <w:sz w:val="21"/>
          <w:lang w:eastAsia="zh-CN"/>
        </w:rPr>
        <w:t>文件。</w:t>
      </w:r>
      <w:bookmarkEnd w:id="64"/>
    </w:p>
    <w:p>
      <w:pPr>
        <w:widowControl w:val="0"/>
        <w:ind w:firstLine="412" w:firstLineChars="196"/>
        <w:jc w:val="both"/>
        <w:rPr>
          <w:rFonts w:ascii="宋体" w:eastAsia="宋体" w:hAnsi="宋体" w:hint="eastAsia"/>
          <w:kern w:val="2"/>
          <w:sz w:val="21"/>
          <w:lang w:eastAsia="zh-CN"/>
        </w:rPr>
      </w:pPr>
      <w:r>
        <w:rPr>
          <w:rFonts w:ascii="宋体" w:eastAsia="宋体" w:hAnsi="宋体"/>
          <w:kern w:val="2"/>
          <w:sz w:val="21"/>
          <w:lang w:eastAsia="zh-CN"/>
        </w:rPr>
        <w:t>26.</w:t>
      </w:r>
      <w:r>
        <w:rPr>
          <w:rFonts w:ascii="宋体" w:eastAsia="宋体" w:hAnsi="宋体" w:hint="eastAsia"/>
          <w:kern w:val="2"/>
          <w:sz w:val="21"/>
          <w:lang w:eastAsia="zh-CN"/>
        </w:rPr>
        <w:t>3从应答截止期至供应商在应答文件中确定的谈判应答有效期之间的这段时间内，供应商不得撤回其谈判应答。</w:t>
      </w:r>
    </w:p>
    <w:p>
      <w:pPr>
        <w:widowControl w:val="0"/>
        <w:ind w:firstLine="412" w:firstLineChars="196"/>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2</w:t>
      </w:r>
      <w:r>
        <w:rPr>
          <w:rFonts w:ascii="宋体" w:eastAsia="宋体" w:hAnsi="宋体"/>
          <w:kern w:val="2"/>
          <w:sz w:val="21"/>
          <w:szCs w:val="21"/>
          <w:lang w:eastAsia="zh-CN"/>
        </w:rPr>
        <w:t>6</w:t>
      </w:r>
      <w:r>
        <w:rPr>
          <w:rFonts w:ascii="宋体" w:eastAsia="宋体" w:hAnsi="宋体" w:hint="eastAsia"/>
          <w:kern w:val="2"/>
          <w:sz w:val="21"/>
          <w:szCs w:val="21"/>
          <w:lang w:eastAsia="zh-CN"/>
        </w:rPr>
        <w:t>.4政府集中采购机构不退还应答文件。</w:t>
      </w:r>
      <w:bookmarkEnd w:id="63"/>
    </w:p>
    <w:p>
      <w:pPr>
        <w:keepNext/>
        <w:keepLines/>
        <w:widowControl w:val="0"/>
        <w:adjustRightInd w:val="0"/>
        <w:spacing w:before="260" w:after="260" w:line="240" w:lineRule="auto"/>
        <w:jc w:val="center"/>
        <w:textAlignment w:val="baseline"/>
        <w:outlineLvl w:val="1"/>
        <w:rPr>
          <w:rFonts w:ascii="宋体" w:eastAsia="宋体" w:hAnsi="宋体" w:hint="eastAsia"/>
          <w:b/>
          <w:bCs/>
          <w:szCs w:val="20"/>
          <w:lang w:eastAsia="zh-CN"/>
        </w:rPr>
      </w:pPr>
      <w:r>
        <w:rPr>
          <w:rFonts w:ascii="宋体" w:eastAsia="宋体" w:hAnsi="宋体" w:hint="eastAsia"/>
          <w:b/>
          <w:bCs/>
          <w:szCs w:val="20"/>
          <w:lang w:eastAsia="zh-CN"/>
        </w:rPr>
        <w:t>五、谈判</w:t>
      </w:r>
    </w:p>
    <w:p>
      <w:pPr>
        <w:widowControl w:val="0"/>
        <w:jc w:val="both"/>
        <w:rPr>
          <w:rFonts w:ascii="黑体" w:eastAsia="黑体" w:hAnsi="宋体" w:hint="eastAsia"/>
          <w:kern w:val="2"/>
          <w:lang w:eastAsia="zh-CN"/>
        </w:rPr>
      </w:pPr>
      <w:bookmarkStart w:id="65" w:name="_Toc78703964"/>
      <w:r>
        <w:rPr>
          <w:rFonts w:ascii="黑体" w:eastAsia="黑体" w:hAnsi="宋体"/>
          <w:kern w:val="2"/>
          <w:lang w:eastAsia="zh-CN"/>
        </w:rPr>
        <w:t>27.</w:t>
      </w:r>
      <w:r>
        <w:rPr>
          <w:rFonts w:ascii="黑体" w:eastAsia="黑体" w:hAnsi="宋体" w:hint="eastAsia"/>
          <w:kern w:val="2"/>
          <w:lang w:eastAsia="zh-CN"/>
        </w:rPr>
        <w:t>谈判</w:t>
      </w:r>
      <w:bookmarkEnd w:id="65"/>
      <w:r>
        <w:rPr>
          <w:rFonts w:ascii="黑体" w:eastAsia="黑体" w:hAnsi="宋体" w:hint="eastAsia"/>
          <w:kern w:val="2"/>
          <w:lang w:eastAsia="zh-CN"/>
        </w:rPr>
        <w:t>要求</w:t>
      </w:r>
    </w:p>
    <w:p>
      <w:pPr>
        <w:widowControl w:val="0"/>
        <w:tabs>
          <w:tab w:val="left" w:pos="-1080"/>
        </w:tabs>
        <w:wordWrap w:val="0"/>
        <w:ind w:firstLine="420" w:firstLineChars="200"/>
        <w:jc w:val="both"/>
        <w:rPr>
          <w:rFonts w:ascii="宋体" w:eastAsia="宋体" w:hAnsi="宋体" w:hint="eastAsia"/>
          <w:kern w:val="2"/>
          <w:sz w:val="21"/>
          <w:lang w:eastAsia="zh-CN"/>
        </w:rPr>
      </w:pPr>
      <w:r>
        <w:rPr>
          <w:rFonts w:ascii="宋体" w:eastAsia="宋体" w:hAnsi="宋体"/>
          <w:kern w:val="2"/>
          <w:sz w:val="21"/>
          <w:lang w:eastAsia="zh-CN"/>
        </w:rPr>
        <w:t>27</w:t>
      </w:r>
      <w:r>
        <w:rPr>
          <w:rFonts w:ascii="宋体" w:eastAsia="宋体" w:hAnsi="宋体" w:hint="eastAsia"/>
          <w:kern w:val="2"/>
          <w:sz w:val="21"/>
          <w:lang w:eastAsia="zh-CN"/>
        </w:rPr>
        <w:t>.1供应商须在谈判当日的谈判时间至解密截止时间内进行解密，逾期未解密的作应答无效处理。解密方法：登录“深圳市自行采购系统（https://trade.szggzy.com/ggzy/center/#/login）”，使用本单位制作电子应答文件同一个电子密钥进行在线解密、查询开标情况。本项目谈判小组将于谈判应答文件提交截止时间到后一定时间内即开始进行谈判。</w:t>
      </w:r>
    </w:p>
    <w:p>
      <w:pPr>
        <w:widowControl w:val="0"/>
        <w:ind w:firstLine="412" w:firstLineChars="196"/>
        <w:jc w:val="both"/>
        <w:rPr>
          <w:rFonts w:ascii="宋体" w:eastAsia="宋体" w:hAnsi="宋体" w:hint="eastAsia"/>
          <w:kern w:val="2"/>
          <w:sz w:val="21"/>
          <w:lang w:eastAsia="zh-CN"/>
        </w:rPr>
      </w:pPr>
      <w:r>
        <w:rPr>
          <w:rFonts w:ascii="宋体" w:eastAsia="宋体" w:hAnsi="宋体"/>
          <w:kern w:val="2"/>
          <w:sz w:val="21"/>
          <w:lang w:eastAsia="zh-CN"/>
        </w:rPr>
        <w:t>27</w:t>
      </w:r>
      <w:r>
        <w:rPr>
          <w:rFonts w:ascii="宋体" w:eastAsia="宋体" w:hAnsi="宋体" w:hint="eastAsia"/>
          <w:kern w:val="2"/>
          <w:sz w:val="21"/>
          <w:lang w:eastAsia="zh-CN"/>
        </w:rPr>
        <w:t>.2</w:t>
      </w:r>
      <w:r>
        <w:rPr>
          <w:rFonts w:ascii="宋体" w:eastAsia="宋体" w:hAnsi="宋体" w:hint="eastAsia"/>
          <w:kern w:val="2"/>
          <w:sz w:val="21"/>
          <w:szCs w:val="21"/>
          <w:lang w:eastAsia="zh-CN"/>
        </w:rPr>
        <w:t>政府集中采购机构将在满足开标条件（①解密时间结束，解密后的供应商数量满足开标要求或②解密时间结束前所有供应商均完成投标</w:t>
      </w:r>
      <w:r>
        <w:rPr>
          <w:rFonts w:ascii="宋体" w:eastAsia="宋体" w:hAnsi="宋体" w:hint="eastAsia"/>
          <w:kern w:val="2"/>
          <w:sz w:val="21"/>
          <w:lang w:eastAsia="zh-CN"/>
        </w:rPr>
        <w:t>（应答）</w:t>
      </w:r>
      <w:r>
        <w:rPr>
          <w:rFonts w:ascii="宋体" w:eastAsia="宋体" w:hAnsi="宋体" w:hint="eastAsia"/>
          <w:kern w:val="2"/>
          <w:sz w:val="21"/>
          <w:szCs w:val="21"/>
          <w:lang w:eastAsia="zh-CN"/>
        </w:rPr>
        <w:t>文件解密）后，对投标（应答）文件进行开标，并在网上公布开标结果。</w:t>
      </w:r>
    </w:p>
    <w:p>
      <w:pPr>
        <w:widowControl w:val="0"/>
        <w:ind w:firstLine="412" w:firstLineChars="196"/>
        <w:jc w:val="both"/>
        <w:rPr>
          <w:rFonts w:ascii="宋体" w:eastAsia="宋体" w:hAnsi="宋体" w:hint="eastAsia"/>
          <w:kern w:val="2"/>
          <w:sz w:val="21"/>
          <w:lang w:eastAsia="zh-CN"/>
        </w:rPr>
      </w:pPr>
      <w:r>
        <w:rPr>
          <w:rFonts w:ascii="宋体" w:eastAsia="宋体" w:hAnsi="宋体"/>
          <w:kern w:val="2"/>
          <w:sz w:val="21"/>
          <w:lang w:eastAsia="zh-CN"/>
        </w:rPr>
        <w:t>27</w:t>
      </w:r>
      <w:r>
        <w:rPr>
          <w:rFonts w:ascii="宋体" w:eastAsia="宋体" w:hAnsi="宋体" w:hint="eastAsia"/>
          <w:kern w:val="2"/>
          <w:sz w:val="21"/>
          <w:lang w:eastAsia="zh-CN"/>
        </w:rPr>
        <w:t>.3评审委员会（谈判小组成员）由采购人代表和评审专家组成，成员人数应当为</w:t>
      </w:r>
      <w:r>
        <w:rPr>
          <w:rFonts w:ascii="宋体" w:eastAsia="宋体" w:hAnsi="宋体"/>
          <w:kern w:val="2"/>
          <w:sz w:val="21"/>
          <w:lang w:eastAsia="zh-CN"/>
        </w:rPr>
        <w:t>3</w:t>
      </w:r>
      <w:r>
        <w:rPr>
          <w:rFonts w:ascii="宋体" w:eastAsia="宋体" w:hAnsi="宋体" w:hint="eastAsia"/>
          <w:kern w:val="2"/>
          <w:sz w:val="21"/>
          <w:lang w:eastAsia="zh-CN"/>
        </w:rPr>
        <w:t>人以上单数，其中评审专家（谈判小组成员）不得少于成员总数的三分之二。</w:t>
      </w:r>
    </w:p>
    <w:p>
      <w:pPr>
        <w:widowControl w:val="0"/>
        <w:jc w:val="both"/>
        <w:rPr>
          <w:rFonts w:ascii="黑体" w:eastAsia="黑体" w:hAnsi="宋体" w:hint="eastAsia"/>
          <w:kern w:val="2"/>
          <w:lang w:eastAsia="zh-CN"/>
        </w:rPr>
      </w:pPr>
      <w:r>
        <w:rPr>
          <w:rFonts w:ascii="黑体" w:eastAsia="黑体" w:hAnsi="宋体"/>
          <w:kern w:val="2"/>
          <w:lang w:eastAsia="zh-CN"/>
        </w:rPr>
        <w:t>28.</w:t>
      </w:r>
      <w:r>
        <w:rPr>
          <w:rFonts w:ascii="黑体" w:eastAsia="黑体" w:hAnsi="宋体" w:hint="eastAsia"/>
          <w:kern w:val="2"/>
          <w:lang w:eastAsia="zh-CN"/>
        </w:rPr>
        <w:t>谈判应答文件的审查</w:t>
      </w:r>
    </w:p>
    <w:p>
      <w:pPr>
        <w:widowControl w:val="0"/>
        <w:tabs>
          <w:tab w:val="left" w:pos="-1080"/>
        </w:tabs>
        <w:ind w:firstLine="420" w:firstLineChars="200"/>
        <w:jc w:val="both"/>
        <w:rPr>
          <w:rFonts w:ascii="宋体" w:eastAsia="宋体" w:hAnsi="宋体" w:hint="eastAsia"/>
          <w:b/>
          <w:bCs/>
          <w:kern w:val="2"/>
          <w:sz w:val="21"/>
          <w:lang w:eastAsia="zh-CN"/>
        </w:rPr>
      </w:pPr>
      <w:r>
        <w:rPr>
          <w:rFonts w:ascii="宋体" w:eastAsia="宋体" w:hAnsi="宋体"/>
          <w:kern w:val="2"/>
          <w:sz w:val="21"/>
          <w:lang w:eastAsia="zh-CN"/>
        </w:rPr>
        <w:t>28</w:t>
      </w:r>
      <w:r>
        <w:rPr>
          <w:rFonts w:ascii="宋体" w:eastAsia="宋体" w:hAnsi="宋体" w:hint="eastAsia"/>
          <w:kern w:val="2"/>
          <w:sz w:val="21"/>
          <w:lang w:eastAsia="zh-CN"/>
        </w:rPr>
        <w:t>.1 谈判前，谈判小组将对谈判应答文件进行审查，</w:t>
      </w:r>
      <w:r>
        <w:rPr>
          <w:rFonts w:ascii="宋体" w:eastAsia="宋体" w:hAnsi="宋体" w:hint="eastAsia"/>
          <w:b/>
          <w:bCs/>
          <w:kern w:val="2"/>
          <w:sz w:val="21"/>
          <w:lang w:eastAsia="zh-CN"/>
        </w:rPr>
        <w:t>当谈判应答文件出现下列情况之一的将视为无效，按应答无效处理，不得进入谈判：</w:t>
      </w:r>
    </w:p>
    <w:p>
      <w:pPr>
        <w:widowControl w:val="0"/>
        <w:tabs>
          <w:tab w:val="left" w:pos="-1080"/>
        </w:tabs>
        <w:ind w:firstLine="420" w:firstLineChars="200"/>
        <w:jc w:val="both"/>
        <w:rPr>
          <w:rFonts w:ascii="宋体" w:eastAsia="宋体" w:hAnsi="宋体" w:hint="eastAsia"/>
          <w:b/>
          <w:kern w:val="2"/>
          <w:sz w:val="21"/>
          <w:lang w:eastAsia="zh-CN"/>
        </w:rPr>
      </w:pPr>
      <w:r>
        <w:rPr>
          <w:rFonts w:ascii="宋体" w:eastAsia="宋体" w:hAnsi="宋体" w:hint="eastAsia"/>
          <w:b/>
          <w:kern w:val="2"/>
          <w:sz w:val="21"/>
          <w:lang w:eastAsia="zh-CN"/>
        </w:rPr>
        <w:t>具体内容见《资格性审查表》。</w:t>
      </w:r>
    </w:p>
    <w:p>
      <w:pPr>
        <w:widowControl w:val="0"/>
        <w:jc w:val="both"/>
        <w:rPr>
          <w:rFonts w:ascii="黑体" w:eastAsia="黑体" w:hAnsi="宋体" w:hint="eastAsia"/>
          <w:kern w:val="2"/>
          <w:lang w:eastAsia="zh-CN"/>
        </w:rPr>
      </w:pPr>
      <w:bookmarkStart w:id="66" w:name="_Toc78703965"/>
      <w:r>
        <w:rPr>
          <w:rFonts w:ascii="黑体" w:eastAsia="黑体" w:hAnsi="宋体"/>
          <w:kern w:val="2"/>
          <w:lang w:eastAsia="zh-CN"/>
        </w:rPr>
        <w:t>29.</w:t>
      </w:r>
      <w:r>
        <w:rPr>
          <w:rFonts w:ascii="黑体" w:eastAsia="黑体" w:hAnsi="宋体" w:hint="eastAsia"/>
          <w:kern w:val="2"/>
          <w:lang w:eastAsia="zh-CN"/>
        </w:rPr>
        <w:t>谈判应答文件的澄清或修改</w:t>
      </w:r>
      <w:bookmarkEnd w:id="66"/>
    </w:p>
    <w:p>
      <w:pPr>
        <w:widowControl w:val="0"/>
        <w:tabs>
          <w:tab w:val="left" w:pos="-1080"/>
        </w:tabs>
        <w:ind w:firstLine="420" w:firstLineChars="200"/>
        <w:jc w:val="both"/>
        <w:rPr>
          <w:rFonts w:ascii="宋体" w:eastAsia="宋体" w:hAnsi="宋体" w:hint="eastAsia"/>
          <w:kern w:val="2"/>
          <w:sz w:val="21"/>
          <w:lang w:eastAsia="zh-CN"/>
        </w:rPr>
      </w:pPr>
      <w:r>
        <w:rPr>
          <w:rFonts w:ascii="宋体" w:eastAsia="宋体" w:hAnsi="宋体"/>
          <w:kern w:val="2"/>
          <w:sz w:val="21"/>
          <w:lang w:eastAsia="zh-CN"/>
        </w:rPr>
        <w:t>29</w:t>
      </w:r>
      <w:r>
        <w:rPr>
          <w:rFonts w:ascii="宋体" w:eastAsia="宋体" w:hAnsi="宋体" w:hint="eastAsia"/>
          <w:kern w:val="2"/>
          <w:sz w:val="21"/>
          <w:lang w:eastAsia="zh-CN"/>
        </w:rPr>
        <w:t>.1谈判小组可以要求供应商对谈判应答文件含义不明确的内容作必要的澄清或者说明，供应商应进行澄清、说明。</w:t>
      </w:r>
    </w:p>
    <w:p>
      <w:pPr>
        <w:widowControl w:val="0"/>
        <w:tabs>
          <w:tab w:val="left" w:pos="-1080"/>
        </w:tabs>
        <w:ind w:firstLine="420" w:firstLineChars="200"/>
        <w:jc w:val="both"/>
        <w:rPr>
          <w:rFonts w:ascii="宋体" w:eastAsia="宋体" w:hAnsi="宋体" w:hint="eastAsia"/>
          <w:kern w:val="2"/>
          <w:sz w:val="21"/>
          <w:lang w:eastAsia="zh-CN"/>
        </w:rPr>
      </w:pPr>
      <w:r>
        <w:rPr>
          <w:rFonts w:ascii="宋体" w:eastAsia="宋体" w:hAnsi="宋体"/>
          <w:kern w:val="2"/>
          <w:sz w:val="21"/>
          <w:lang w:eastAsia="zh-CN"/>
        </w:rPr>
        <w:t>29.2</w:t>
      </w:r>
      <w:r>
        <w:rPr>
          <w:rFonts w:ascii="宋体" w:eastAsia="宋体" w:hAnsi="宋体" w:hint="eastAsia"/>
          <w:kern w:val="2"/>
          <w:sz w:val="21"/>
          <w:lang w:eastAsia="zh-CN"/>
        </w:rPr>
        <w:t>允许供应商在谈判结束之前根据谈判小组提出的内容进行澄清、修改或完善，或对方案进行相应的调整。</w:t>
      </w:r>
    </w:p>
    <w:p>
      <w:pPr>
        <w:widowControl w:val="0"/>
        <w:jc w:val="both"/>
        <w:rPr>
          <w:rFonts w:ascii="黑体" w:eastAsia="黑体" w:hAnsi="宋体" w:hint="eastAsia"/>
          <w:kern w:val="2"/>
          <w:lang w:eastAsia="zh-CN"/>
        </w:rPr>
      </w:pPr>
      <w:bookmarkStart w:id="67" w:name="_Toc78703966"/>
      <w:r>
        <w:rPr>
          <w:rFonts w:ascii="黑体" w:eastAsia="黑体" w:hAnsi="宋体"/>
          <w:kern w:val="2"/>
          <w:lang w:eastAsia="zh-CN"/>
        </w:rPr>
        <w:t>30.</w:t>
      </w:r>
      <w:r>
        <w:rPr>
          <w:rFonts w:ascii="黑体" w:eastAsia="黑体" w:hAnsi="宋体" w:hint="eastAsia"/>
          <w:kern w:val="2"/>
          <w:lang w:eastAsia="zh-CN"/>
        </w:rPr>
        <w:t>谈判方式及程序</w:t>
      </w:r>
      <w:bookmarkEnd w:id="67"/>
    </w:p>
    <w:p>
      <w:pPr>
        <w:widowControl w:val="0"/>
        <w:tabs>
          <w:tab w:val="left" w:pos="-1080"/>
        </w:tabs>
        <w:ind w:firstLine="420" w:firstLineChars="200"/>
        <w:jc w:val="both"/>
        <w:rPr>
          <w:rFonts w:ascii="宋体" w:eastAsia="宋体" w:hAnsi="宋体" w:hint="eastAsia"/>
          <w:kern w:val="2"/>
          <w:sz w:val="21"/>
          <w:lang w:eastAsia="zh-CN"/>
        </w:rPr>
      </w:pPr>
      <w:r>
        <w:rPr>
          <w:rFonts w:ascii="宋体" w:eastAsia="宋体" w:hAnsi="宋体"/>
          <w:kern w:val="2"/>
          <w:sz w:val="21"/>
          <w:szCs w:val="21"/>
          <w:lang w:eastAsia="zh-CN"/>
        </w:rPr>
        <w:t>30</w:t>
      </w:r>
      <w:r>
        <w:rPr>
          <w:rFonts w:ascii="宋体" w:eastAsia="宋体" w:hAnsi="宋体" w:hint="eastAsia"/>
          <w:kern w:val="2"/>
          <w:sz w:val="21"/>
          <w:szCs w:val="21"/>
          <w:lang w:eastAsia="zh-CN"/>
        </w:rPr>
        <w:t>.1谈判方式为</w:t>
      </w:r>
      <w:r>
        <w:rPr>
          <w:rFonts w:ascii="宋体" w:eastAsia="宋体" w:hAnsi="宋体" w:hint="eastAsia"/>
          <w:b/>
          <w:color w:val="FF0000"/>
          <w:kern w:val="2"/>
          <w:sz w:val="21"/>
          <w:szCs w:val="21"/>
          <w:lang w:eastAsia="zh-CN"/>
        </w:rPr>
        <w:t>网下谈判</w:t>
      </w:r>
      <w:r>
        <w:rPr>
          <w:rFonts w:ascii="宋体" w:eastAsia="宋体" w:hAnsi="宋体" w:hint="eastAsia"/>
          <w:kern w:val="2"/>
          <w:sz w:val="21"/>
          <w:szCs w:val="21"/>
          <w:lang w:eastAsia="zh-CN"/>
        </w:rPr>
        <w:t>，谈判程序如下：</w:t>
      </w:r>
    </w:p>
    <w:p>
      <w:pPr>
        <w:widowControl w:val="0"/>
        <w:tabs>
          <w:tab w:val="left" w:pos="-1080"/>
        </w:tabs>
        <w:ind w:firstLine="420" w:firstLineChars="200"/>
        <w:jc w:val="both"/>
        <w:rPr>
          <w:rFonts w:ascii="宋体" w:eastAsia="宋体" w:hAnsi="宋体" w:hint="eastAsia"/>
          <w:kern w:val="2"/>
          <w:sz w:val="21"/>
          <w:lang w:eastAsia="zh-CN"/>
        </w:rPr>
      </w:pPr>
      <w:r>
        <w:rPr>
          <w:rFonts w:ascii="宋体" w:eastAsia="宋体" w:hAnsi="宋体"/>
          <w:kern w:val="2"/>
          <w:sz w:val="21"/>
          <w:lang w:eastAsia="zh-CN"/>
        </w:rPr>
        <w:t>30</w:t>
      </w:r>
      <w:r>
        <w:rPr>
          <w:rFonts w:ascii="宋体" w:eastAsia="宋体" w:hAnsi="宋体" w:hint="eastAsia"/>
          <w:kern w:val="2"/>
          <w:sz w:val="21"/>
          <w:lang w:eastAsia="zh-CN"/>
        </w:rPr>
        <w:t>.2参加谈判的供应商谈判代表和谈判小组成员到谈判现场填写谈判供应商签到表，并交验身份证明文件。</w:t>
      </w:r>
      <w:r>
        <w:rPr>
          <w:rFonts w:ascii="宋体" w:eastAsia="宋体" w:hAnsi="宋体" w:hint="eastAsia"/>
          <w:color w:val="FF0000"/>
          <w:kern w:val="2"/>
          <w:sz w:val="21"/>
          <w:lang w:eastAsia="zh-CN"/>
        </w:rPr>
        <w:t>身份证明文件指被授权的谈判代表的身份证原件(非中国国籍管辖范围人员，可以提供公安部门认可的身份证明材料)；如被授权的谈判代表不是法定代表人（负责人），也不是谈判应答文件签署授权委托书中列明的可以对谈判应答文件的修改和补充的授权委托代理人，则需同时提供法定代表人（负责人）证明书（加盖公章）、法人授权委托书（加盖公章，授权委托内容至少应当包括授权其在本项目谈判组织实施过程中对谈判应答文件进行修改和补充）、被授权的谈判代表身份证原件作为身份证明文件。</w:t>
      </w:r>
    </w:p>
    <w:p>
      <w:pPr>
        <w:widowControl w:val="0"/>
        <w:tabs>
          <w:tab w:val="left" w:pos="-1080"/>
        </w:tabs>
        <w:ind w:firstLine="420" w:firstLineChars="200"/>
        <w:jc w:val="both"/>
        <w:rPr>
          <w:rFonts w:ascii="宋体" w:eastAsia="宋体" w:hAnsi="宋体" w:hint="eastAsia"/>
          <w:kern w:val="2"/>
          <w:sz w:val="21"/>
          <w:lang w:eastAsia="zh-CN"/>
        </w:rPr>
      </w:pPr>
      <w:r>
        <w:rPr>
          <w:rFonts w:ascii="宋体" w:eastAsia="宋体" w:hAnsi="宋体"/>
          <w:kern w:val="2"/>
          <w:sz w:val="21"/>
          <w:lang w:eastAsia="zh-CN"/>
        </w:rPr>
        <w:t>30.</w:t>
      </w:r>
      <w:r>
        <w:rPr>
          <w:rFonts w:ascii="宋体" w:eastAsia="宋体" w:hAnsi="宋体" w:hint="eastAsia"/>
          <w:kern w:val="2"/>
          <w:sz w:val="21"/>
          <w:lang w:eastAsia="zh-CN"/>
        </w:rPr>
        <w:t>3谈判主持人将在谈判现场宣布谈判规则和谈判纪律。</w:t>
      </w:r>
    </w:p>
    <w:p>
      <w:pPr>
        <w:widowControl w:val="0"/>
        <w:tabs>
          <w:tab w:val="left" w:pos="-1080"/>
        </w:tabs>
        <w:ind w:firstLine="420" w:firstLineChars="200"/>
        <w:jc w:val="both"/>
        <w:rPr>
          <w:rFonts w:ascii="宋体" w:eastAsia="宋体" w:hAnsi="宋体" w:hint="eastAsia"/>
          <w:kern w:val="2"/>
          <w:sz w:val="21"/>
          <w:lang w:eastAsia="zh-CN"/>
        </w:rPr>
      </w:pPr>
      <w:r>
        <w:rPr>
          <w:rFonts w:ascii="宋体" w:eastAsia="宋体" w:hAnsi="宋体"/>
          <w:kern w:val="2"/>
          <w:sz w:val="21"/>
          <w:lang w:eastAsia="zh-CN"/>
        </w:rPr>
        <w:t>30.</w:t>
      </w:r>
      <w:r>
        <w:rPr>
          <w:rFonts w:ascii="宋体" w:eastAsia="宋体" w:hAnsi="宋体" w:hint="eastAsia"/>
          <w:kern w:val="2"/>
          <w:sz w:val="21"/>
          <w:lang w:eastAsia="zh-CN"/>
        </w:rPr>
        <w:t>4在谈判中，谈判小组将就服务方案、报价及其它相关事项跟供应商进行谈判。采购文件有实质性变更的，谈判小组应当通过深圳交易集团有限公司政府采购业务分公司书面告知所有参加谈判的供应商。</w:t>
      </w:r>
    </w:p>
    <w:p>
      <w:pPr>
        <w:widowControl w:val="0"/>
        <w:tabs>
          <w:tab w:val="left" w:pos="-1080"/>
        </w:tabs>
        <w:ind w:firstLine="420" w:firstLineChars="200"/>
        <w:jc w:val="both"/>
        <w:rPr>
          <w:rFonts w:ascii="宋体" w:eastAsia="宋体" w:hAnsi="宋体" w:hint="eastAsia"/>
          <w:kern w:val="2"/>
          <w:sz w:val="21"/>
          <w:lang w:eastAsia="zh-CN"/>
        </w:rPr>
      </w:pPr>
      <w:r>
        <w:rPr>
          <w:rFonts w:ascii="宋体" w:eastAsia="宋体" w:hAnsi="宋体"/>
          <w:kern w:val="2"/>
          <w:sz w:val="21"/>
          <w:lang w:eastAsia="zh-CN"/>
        </w:rPr>
        <w:t>30.</w:t>
      </w:r>
      <w:r>
        <w:rPr>
          <w:rFonts w:ascii="宋体" w:eastAsia="宋体" w:hAnsi="宋体" w:hint="eastAsia"/>
          <w:kern w:val="2"/>
          <w:sz w:val="21"/>
          <w:lang w:eastAsia="zh-CN"/>
        </w:rPr>
        <w:t>5谈判小组所有成员集中与单一供应商分别进行谈判，谈判应不少于三轮。谈判小组将在每一轮谈判前向所有供应商公布各供应商最新的承诺及报价排名，但不得透露每一家供应商的具体报价及技术资料。应答文件中的报价即为供应商的第一轮报价；最后一轮谈判时供应商谈判代表将获得提示（提示为最后一轮谈判），供应商谈判代表应在规定的时间内对应答文件进行最后更改及书面承诺（含最终报价）。</w:t>
      </w:r>
    </w:p>
    <w:p>
      <w:pPr>
        <w:widowControl w:val="0"/>
        <w:tabs>
          <w:tab w:val="left" w:pos="-1080"/>
        </w:tabs>
        <w:ind w:firstLine="420" w:firstLineChars="200"/>
        <w:jc w:val="both"/>
        <w:rPr>
          <w:rFonts w:ascii="宋体" w:eastAsia="宋体" w:hAnsi="宋体" w:hint="eastAsia"/>
          <w:kern w:val="2"/>
          <w:sz w:val="21"/>
          <w:lang w:eastAsia="zh-CN"/>
        </w:rPr>
      </w:pPr>
      <w:r>
        <w:rPr>
          <w:rFonts w:ascii="宋体" w:eastAsia="宋体" w:hAnsi="宋体"/>
          <w:kern w:val="2"/>
          <w:sz w:val="21"/>
          <w:lang w:eastAsia="zh-CN"/>
        </w:rPr>
        <w:t>30.</w:t>
      </w:r>
      <w:r>
        <w:rPr>
          <w:rFonts w:ascii="宋体" w:eastAsia="宋体" w:hAnsi="宋体" w:hint="eastAsia"/>
          <w:kern w:val="2"/>
          <w:sz w:val="21"/>
          <w:lang w:eastAsia="zh-CN"/>
        </w:rPr>
        <w:t>6谈判结束后，谈判小组根据供应商提供的谈判应答文件、谈判过程中产生的相关资料，对供应商谈判应答文件进行评估与比较，提出书面评审意见。</w:t>
      </w:r>
    </w:p>
    <w:p>
      <w:pPr>
        <w:widowControl w:val="0"/>
        <w:tabs>
          <w:tab w:val="left" w:pos="-1080"/>
        </w:tabs>
        <w:ind w:firstLine="420" w:firstLineChars="200"/>
        <w:jc w:val="both"/>
        <w:rPr>
          <w:rFonts w:ascii="宋体" w:eastAsia="宋体" w:hAnsi="宋体" w:hint="eastAsia"/>
          <w:kern w:val="2"/>
          <w:sz w:val="21"/>
          <w:lang w:eastAsia="zh-CN"/>
        </w:rPr>
      </w:pPr>
      <w:r>
        <w:rPr>
          <w:rFonts w:ascii="宋体" w:eastAsia="宋体" w:hAnsi="宋体"/>
          <w:kern w:val="2"/>
          <w:sz w:val="21"/>
          <w:lang w:eastAsia="zh-CN"/>
        </w:rPr>
        <w:t>30</w:t>
      </w:r>
      <w:r>
        <w:rPr>
          <w:rFonts w:ascii="宋体" w:eastAsia="宋体" w:hAnsi="宋体" w:hint="eastAsia"/>
          <w:kern w:val="2"/>
          <w:sz w:val="21"/>
          <w:lang w:eastAsia="zh-CN"/>
        </w:rPr>
        <w:t>.7谈判小组将对谈判过程进行记录，以存档备查。</w:t>
      </w:r>
    </w:p>
    <w:p>
      <w:pPr>
        <w:widowControl w:val="0"/>
        <w:tabs>
          <w:tab w:val="left" w:pos="-1080"/>
        </w:tabs>
        <w:ind w:firstLine="420" w:firstLineChars="200"/>
        <w:jc w:val="both"/>
        <w:rPr>
          <w:rFonts w:ascii="宋体" w:eastAsia="宋体" w:hAnsi="宋体" w:hint="eastAsia"/>
          <w:b/>
          <w:bCs/>
          <w:kern w:val="2"/>
          <w:sz w:val="21"/>
          <w:lang w:eastAsia="zh-CN"/>
        </w:rPr>
      </w:pPr>
    </w:p>
    <w:p>
      <w:pPr>
        <w:keepNext/>
        <w:keepLines/>
        <w:widowControl w:val="0"/>
        <w:adjustRightInd w:val="0"/>
        <w:snapToGrid w:val="0"/>
        <w:jc w:val="center"/>
        <w:outlineLvl w:val="1"/>
        <w:rPr>
          <w:rFonts w:ascii="Cambria" w:eastAsia="宋体" w:hAnsi="Cambria"/>
          <w:b/>
          <w:bCs/>
          <w:kern w:val="2"/>
          <w:sz w:val="28"/>
          <w:szCs w:val="28"/>
          <w:lang w:eastAsia="zh-CN"/>
        </w:rPr>
      </w:pPr>
      <w:r>
        <w:rPr>
          <w:rFonts w:ascii="Cambria" w:eastAsia="宋体" w:hAnsi="Cambria" w:cstheme="majorBidi" w:hint="eastAsia"/>
          <w:b/>
          <w:bCs/>
          <w:kern w:val="2"/>
          <w:sz w:val="28"/>
          <w:szCs w:val="28"/>
          <w:lang w:eastAsia="zh-CN"/>
        </w:rPr>
        <w:t>六、成交</w:t>
      </w:r>
    </w:p>
    <w:p>
      <w:pPr>
        <w:widowControl w:val="0"/>
        <w:jc w:val="both"/>
        <w:rPr>
          <w:rFonts w:ascii="黑体" w:eastAsia="黑体" w:hAnsi="宋体" w:hint="eastAsia"/>
          <w:kern w:val="2"/>
          <w:lang w:eastAsia="zh-CN"/>
        </w:rPr>
      </w:pPr>
      <w:bookmarkStart w:id="68" w:name="_Toc78703968"/>
      <w:r>
        <w:rPr>
          <w:rFonts w:ascii="黑体" w:eastAsia="黑体" w:hAnsi="宋体"/>
          <w:kern w:val="2"/>
          <w:lang w:eastAsia="zh-CN"/>
        </w:rPr>
        <w:t>31.</w:t>
      </w:r>
      <w:r>
        <w:rPr>
          <w:rFonts w:ascii="黑体" w:eastAsia="黑体" w:hAnsi="宋体" w:hint="eastAsia"/>
          <w:kern w:val="2"/>
          <w:lang w:eastAsia="zh-CN"/>
        </w:rPr>
        <w:t>应答无效</w:t>
      </w:r>
    </w:p>
    <w:p>
      <w:pPr>
        <w:widowControl w:val="0"/>
        <w:tabs>
          <w:tab w:val="left" w:pos="-1080"/>
        </w:tabs>
        <w:ind w:firstLine="420" w:firstLineChars="200"/>
        <w:jc w:val="both"/>
        <w:rPr>
          <w:rFonts w:ascii="宋体" w:eastAsia="宋体" w:hAnsi="宋体" w:hint="eastAsia"/>
          <w:b/>
          <w:bCs/>
          <w:kern w:val="2"/>
          <w:sz w:val="21"/>
          <w:lang w:eastAsia="zh-CN"/>
        </w:rPr>
      </w:pPr>
      <w:r>
        <w:rPr>
          <w:rFonts w:ascii="宋体" w:eastAsia="宋体" w:hAnsi="宋体"/>
          <w:b/>
          <w:bCs/>
          <w:kern w:val="2"/>
          <w:sz w:val="21"/>
          <w:lang w:eastAsia="zh-CN"/>
        </w:rPr>
        <w:t>31</w:t>
      </w:r>
      <w:r>
        <w:rPr>
          <w:rFonts w:ascii="宋体" w:eastAsia="宋体" w:hAnsi="宋体" w:hint="eastAsia"/>
          <w:b/>
          <w:bCs/>
          <w:kern w:val="2"/>
          <w:sz w:val="21"/>
          <w:lang w:eastAsia="zh-CN"/>
        </w:rPr>
        <w:t>.1有下列情形之一的，该供应商的谈判作应答无效处理：</w:t>
      </w:r>
    </w:p>
    <w:p>
      <w:pPr>
        <w:widowControl w:val="0"/>
        <w:tabs>
          <w:tab w:val="left" w:pos="-1080"/>
        </w:tabs>
        <w:ind w:firstLine="420" w:firstLineChars="200"/>
        <w:jc w:val="both"/>
        <w:rPr>
          <w:rFonts w:ascii="宋体" w:eastAsia="宋体" w:hAnsi="宋体" w:hint="eastAsia"/>
          <w:b/>
          <w:kern w:val="2"/>
          <w:sz w:val="21"/>
          <w:lang w:eastAsia="zh-CN"/>
        </w:rPr>
      </w:pPr>
      <w:r>
        <w:rPr>
          <w:rFonts w:ascii="宋体" w:eastAsia="宋体" w:hAnsi="宋体" w:hint="eastAsia"/>
          <w:b/>
          <w:kern w:val="2"/>
          <w:sz w:val="21"/>
          <w:lang w:eastAsia="zh-CN"/>
        </w:rPr>
        <w:t>具体内容见</w:t>
      </w:r>
      <w:r>
        <w:rPr>
          <w:rFonts w:eastAsia="宋体" w:hint="eastAsia"/>
          <w:kern w:val="2"/>
          <w:sz w:val="21"/>
          <w:lang w:eastAsia="zh-CN"/>
        </w:rPr>
        <w:t>《</w:t>
      </w:r>
      <w:r>
        <w:rPr>
          <w:rFonts w:eastAsia="宋体" w:hint="eastAsia"/>
          <w:b/>
          <w:bCs/>
          <w:kern w:val="2"/>
          <w:sz w:val="21"/>
          <w:lang w:eastAsia="zh-CN"/>
        </w:rPr>
        <w:t>资格性审查表</w:t>
      </w:r>
      <w:r>
        <w:rPr>
          <w:rFonts w:eastAsia="宋体" w:hint="eastAsia"/>
          <w:kern w:val="2"/>
          <w:sz w:val="21"/>
          <w:lang w:eastAsia="zh-CN"/>
        </w:rPr>
        <w:t>》、</w:t>
      </w:r>
      <w:r>
        <w:rPr>
          <w:rFonts w:ascii="宋体" w:eastAsia="宋体" w:hAnsi="宋体" w:hint="eastAsia"/>
          <w:b/>
          <w:kern w:val="2"/>
          <w:sz w:val="21"/>
          <w:lang w:eastAsia="zh-CN"/>
        </w:rPr>
        <w:t>《符合性审查表》。</w:t>
      </w:r>
    </w:p>
    <w:p>
      <w:pPr>
        <w:widowControl w:val="0"/>
        <w:tabs>
          <w:tab w:val="left" w:pos="-1080"/>
        </w:tabs>
        <w:ind w:firstLine="420" w:firstLineChars="200"/>
        <w:jc w:val="both"/>
        <w:rPr>
          <w:rFonts w:ascii="宋体" w:eastAsia="宋体" w:hAnsi="宋体" w:hint="eastAsia"/>
          <w:b/>
          <w:kern w:val="2"/>
          <w:sz w:val="21"/>
          <w:lang w:eastAsia="zh-CN"/>
        </w:rPr>
      </w:pPr>
      <w:bookmarkStart w:id="69" w:name="_Hlk72665028"/>
      <w:r>
        <w:rPr>
          <w:rFonts w:ascii="宋体" w:eastAsia="宋体" w:hAnsi="宋体" w:hint="eastAsia"/>
          <w:b/>
          <w:kern w:val="2"/>
          <w:sz w:val="21"/>
          <w:lang w:eastAsia="zh-CN"/>
        </w:rPr>
        <w:t>注：《资格性审查表》、《符合性审查表》的所有条款均为应答无效条款，对不属于应答无效条款所列的其它情形，除法律法规另有规定外，不得作为应答无效的理由。供应商若有一条审查不通过则按应答无效处理。</w:t>
      </w:r>
      <w:bookmarkEnd w:id="69"/>
    </w:p>
    <w:p>
      <w:pPr>
        <w:widowControl w:val="0"/>
        <w:jc w:val="both"/>
        <w:rPr>
          <w:rFonts w:ascii="黑体" w:eastAsia="黑体" w:hAnsi="宋体" w:hint="eastAsia"/>
          <w:kern w:val="2"/>
          <w:lang w:eastAsia="zh-CN"/>
        </w:rPr>
      </w:pPr>
      <w:r>
        <w:rPr>
          <w:rFonts w:ascii="黑体" w:eastAsia="黑体" w:hAnsi="宋体"/>
          <w:kern w:val="2"/>
          <w:lang w:eastAsia="zh-CN"/>
        </w:rPr>
        <w:t>32.</w:t>
      </w:r>
      <w:bookmarkEnd w:id="68"/>
      <w:r>
        <w:rPr>
          <w:rFonts w:ascii="黑体" w:eastAsia="黑体" w:hAnsi="宋体" w:hint="eastAsia"/>
          <w:kern w:val="2"/>
          <w:lang w:eastAsia="zh-CN"/>
        </w:rPr>
        <w:t>成交</w:t>
      </w:r>
    </w:p>
    <w:p>
      <w:pPr>
        <w:widowControl w:val="0"/>
        <w:tabs>
          <w:tab w:val="left" w:pos="-1080"/>
        </w:tabs>
        <w:ind w:firstLine="420" w:firstLineChars="200"/>
        <w:jc w:val="both"/>
        <w:rPr>
          <w:rFonts w:ascii="宋体" w:eastAsia="宋体" w:hAnsi="宋体" w:hint="eastAsia"/>
          <w:kern w:val="2"/>
          <w:sz w:val="21"/>
          <w:lang w:eastAsia="zh-CN"/>
        </w:rPr>
      </w:pPr>
      <w:r>
        <w:rPr>
          <w:rFonts w:ascii="宋体" w:eastAsia="宋体" w:hAnsi="宋体"/>
          <w:kern w:val="2"/>
          <w:sz w:val="21"/>
          <w:lang w:eastAsia="zh-CN"/>
        </w:rPr>
        <w:t>32</w:t>
      </w:r>
      <w:r>
        <w:rPr>
          <w:rFonts w:ascii="宋体" w:eastAsia="宋体" w:hAnsi="宋体" w:hint="eastAsia"/>
          <w:kern w:val="2"/>
          <w:sz w:val="21"/>
          <w:lang w:eastAsia="zh-CN"/>
        </w:rPr>
        <w:t>.1谈判小组依据本须知对谈判应答文件进行评审和比较，综合各家供应商最终的方案、服务和投资等谈判结果并按最低价法/综合评分法[以评审信息为准]进行评审。</w:t>
      </w:r>
      <w:bookmarkStart w:id="70" w:name="评标方法3"/>
    </w:p>
    <w:p>
      <w:pPr>
        <w:widowControl w:val="0"/>
        <w:tabs>
          <w:tab w:val="left" w:pos="-1080"/>
        </w:tabs>
        <w:ind w:firstLine="420" w:firstLineChars="200"/>
        <w:jc w:val="both"/>
        <w:rPr>
          <w:rFonts w:ascii="宋体" w:eastAsia="宋体" w:hAnsi="宋体" w:hint="eastAsia"/>
          <w:kern w:val="2"/>
          <w:sz w:val="21"/>
          <w:lang w:eastAsia="zh-CN"/>
        </w:rPr>
      </w:pPr>
      <w:r>
        <w:rPr>
          <w:rFonts w:ascii="宋体" w:eastAsia="宋体" w:hAnsi="宋体"/>
          <w:kern w:val="2"/>
          <w:sz w:val="21"/>
          <w:lang w:eastAsia="zh-CN"/>
        </w:rPr>
        <w:t>最低价法，是指</w:t>
      </w:r>
      <w:r>
        <w:rPr>
          <w:rFonts w:ascii="宋体" w:eastAsia="宋体" w:hAnsi="宋体" w:hint="eastAsia"/>
          <w:kern w:val="2"/>
          <w:sz w:val="21"/>
          <w:lang w:eastAsia="zh-CN"/>
        </w:rPr>
        <w:t>应答文件</w:t>
      </w:r>
      <w:r>
        <w:rPr>
          <w:rFonts w:ascii="宋体" w:eastAsia="宋体" w:hAnsi="宋体"/>
          <w:kern w:val="2"/>
          <w:sz w:val="21"/>
          <w:lang w:eastAsia="zh-CN"/>
        </w:rPr>
        <w:t>满足</w:t>
      </w:r>
      <w:r>
        <w:rPr>
          <w:rFonts w:ascii="宋体" w:eastAsia="宋体" w:hAnsi="宋体" w:hint="eastAsia"/>
          <w:kern w:val="2"/>
          <w:sz w:val="21"/>
          <w:lang w:eastAsia="zh-CN"/>
        </w:rPr>
        <w:t>谈判</w:t>
      </w:r>
      <w:r>
        <w:rPr>
          <w:rFonts w:ascii="宋体" w:eastAsia="宋体" w:hAnsi="宋体"/>
          <w:kern w:val="2"/>
          <w:sz w:val="21"/>
          <w:lang w:eastAsia="zh-CN"/>
        </w:rPr>
        <w:t>文件实质性要求，</w:t>
      </w:r>
      <w:r>
        <w:rPr>
          <w:rFonts w:ascii="宋体" w:eastAsia="宋体" w:hAnsi="宋体" w:hint="eastAsia"/>
          <w:kern w:val="2"/>
          <w:sz w:val="21"/>
          <w:lang w:eastAsia="zh-CN"/>
        </w:rPr>
        <w:t>按照报价由低到高的顺序，以报价最低的供应商作为成交供应商的评审方法。</w:t>
      </w:r>
    </w:p>
    <w:bookmarkEnd w:id="70"/>
    <w:p>
      <w:pPr>
        <w:widowControl w:val="0"/>
        <w:tabs>
          <w:tab w:val="left" w:pos="-1080"/>
        </w:tabs>
        <w:ind w:firstLine="420" w:firstLineChars="200"/>
        <w:jc w:val="both"/>
        <w:rPr>
          <w:rFonts w:ascii="宋体" w:eastAsia="宋体" w:hAnsi="宋体" w:hint="eastAsia"/>
          <w:bCs/>
          <w:kern w:val="2"/>
          <w:sz w:val="21"/>
          <w:szCs w:val="21"/>
          <w:lang w:eastAsia="zh-CN"/>
        </w:rPr>
      </w:pPr>
      <w:r>
        <w:rPr>
          <w:rFonts w:ascii="宋体" w:eastAsia="宋体" w:hAnsi="宋体"/>
          <w:kern w:val="2"/>
          <w:sz w:val="21"/>
          <w:lang w:eastAsia="zh-CN"/>
        </w:rPr>
        <w:t>综合评分法，是指</w:t>
      </w:r>
      <w:r>
        <w:rPr>
          <w:rFonts w:ascii="宋体" w:eastAsia="宋体" w:hAnsi="宋体" w:hint="eastAsia"/>
          <w:kern w:val="2"/>
          <w:sz w:val="21"/>
          <w:lang w:eastAsia="zh-CN"/>
        </w:rPr>
        <w:t>应答</w:t>
      </w:r>
      <w:r>
        <w:rPr>
          <w:rFonts w:ascii="宋体" w:eastAsia="宋体" w:hAnsi="宋体"/>
          <w:kern w:val="2"/>
          <w:sz w:val="21"/>
          <w:lang w:eastAsia="zh-CN"/>
        </w:rPr>
        <w:t>文件满足</w:t>
      </w:r>
      <w:r>
        <w:rPr>
          <w:rFonts w:ascii="宋体" w:eastAsia="宋体" w:hAnsi="宋体" w:hint="eastAsia"/>
          <w:kern w:val="2"/>
          <w:sz w:val="21"/>
          <w:lang w:eastAsia="zh-CN"/>
        </w:rPr>
        <w:t>谈判</w:t>
      </w:r>
      <w:r>
        <w:rPr>
          <w:rFonts w:ascii="宋体" w:eastAsia="宋体" w:hAnsi="宋体"/>
          <w:kern w:val="2"/>
          <w:sz w:val="21"/>
          <w:lang w:eastAsia="zh-CN"/>
        </w:rPr>
        <w:t>文件全部实</w:t>
      </w:r>
      <w:r>
        <w:rPr>
          <w:rFonts w:eastAsia="宋体"/>
          <w:kern w:val="2"/>
          <w:sz w:val="21"/>
          <w:szCs w:val="21"/>
          <w:lang w:eastAsia="zh-CN"/>
        </w:rPr>
        <w:t>质性要求，且按照评审因素的量化指标评审得分最高的</w:t>
      </w:r>
      <w:r>
        <w:rPr>
          <w:rFonts w:eastAsia="宋体" w:hint="eastAsia"/>
          <w:kern w:val="2"/>
          <w:sz w:val="21"/>
          <w:szCs w:val="21"/>
          <w:lang w:eastAsia="zh-CN"/>
        </w:rPr>
        <w:t>供应商</w:t>
      </w:r>
      <w:r>
        <w:rPr>
          <w:rFonts w:eastAsia="宋体"/>
          <w:kern w:val="2"/>
          <w:sz w:val="21"/>
          <w:szCs w:val="21"/>
          <w:lang w:eastAsia="zh-CN"/>
        </w:rPr>
        <w:t>为</w:t>
      </w:r>
      <w:r>
        <w:rPr>
          <w:rFonts w:eastAsia="宋体" w:hint="eastAsia"/>
          <w:kern w:val="2"/>
          <w:sz w:val="21"/>
          <w:szCs w:val="21"/>
          <w:lang w:eastAsia="zh-CN"/>
        </w:rPr>
        <w:t>成交</w:t>
      </w:r>
      <w:r>
        <w:rPr>
          <w:rFonts w:ascii="宋体" w:eastAsia="宋体" w:hAnsi="宋体" w:hint="eastAsia"/>
          <w:bCs/>
          <w:kern w:val="2"/>
          <w:sz w:val="21"/>
          <w:szCs w:val="21"/>
          <w:lang w:eastAsia="zh-CN"/>
        </w:rPr>
        <w:t>候选</w:t>
      </w:r>
      <w:r>
        <w:rPr>
          <w:rFonts w:eastAsia="宋体" w:hint="eastAsia"/>
          <w:kern w:val="2"/>
          <w:sz w:val="21"/>
          <w:szCs w:val="21"/>
          <w:lang w:eastAsia="zh-CN"/>
        </w:rPr>
        <w:t>供应商</w:t>
      </w:r>
      <w:r>
        <w:rPr>
          <w:rFonts w:eastAsia="宋体"/>
          <w:kern w:val="2"/>
          <w:sz w:val="21"/>
          <w:szCs w:val="21"/>
          <w:lang w:eastAsia="zh-CN"/>
        </w:rPr>
        <w:t>的评</w:t>
      </w:r>
      <w:r>
        <w:rPr>
          <w:rFonts w:eastAsia="宋体" w:hint="eastAsia"/>
          <w:kern w:val="2"/>
          <w:sz w:val="21"/>
          <w:szCs w:val="21"/>
          <w:lang w:eastAsia="zh-CN"/>
        </w:rPr>
        <w:t>审</w:t>
      </w:r>
      <w:r>
        <w:rPr>
          <w:rFonts w:eastAsia="宋体"/>
          <w:kern w:val="2"/>
          <w:sz w:val="21"/>
          <w:szCs w:val="21"/>
          <w:lang w:eastAsia="zh-CN"/>
        </w:rPr>
        <w:t>方法。</w:t>
      </w:r>
    </w:p>
    <w:p>
      <w:pPr>
        <w:widowControl w:val="0"/>
        <w:tabs>
          <w:tab w:val="left" w:pos="-1080"/>
        </w:tabs>
        <w:ind w:firstLine="420" w:firstLineChars="200"/>
        <w:jc w:val="both"/>
        <w:rPr>
          <w:rFonts w:ascii="宋体" w:eastAsia="宋体" w:hAnsi="宋体" w:hint="eastAsia"/>
          <w:kern w:val="2"/>
          <w:sz w:val="21"/>
          <w:lang w:eastAsia="zh-CN"/>
        </w:rPr>
      </w:pPr>
      <w:r>
        <w:rPr>
          <w:rFonts w:ascii="宋体" w:eastAsia="宋体" w:hAnsi="宋体"/>
          <w:kern w:val="2"/>
          <w:sz w:val="21"/>
          <w:lang w:eastAsia="zh-CN"/>
        </w:rPr>
        <w:t>32</w:t>
      </w:r>
      <w:r>
        <w:rPr>
          <w:rFonts w:ascii="宋体" w:eastAsia="宋体" w:hAnsi="宋体" w:hint="eastAsia"/>
          <w:kern w:val="2"/>
          <w:sz w:val="21"/>
          <w:lang w:eastAsia="zh-CN"/>
        </w:rPr>
        <w:t>.2谈判小组向政府集中采购机构提交书面评审报告，并受采购人委托直接确定成交供应商。</w:t>
      </w:r>
    </w:p>
    <w:p>
      <w:pPr>
        <w:widowControl w:val="0"/>
        <w:jc w:val="both"/>
        <w:rPr>
          <w:rFonts w:ascii="黑体" w:eastAsia="黑体" w:hAnsi="宋体" w:hint="eastAsia"/>
          <w:kern w:val="2"/>
          <w:lang w:eastAsia="zh-CN"/>
        </w:rPr>
      </w:pPr>
      <w:r>
        <w:rPr>
          <w:rFonts w:ascii="黑体" w:eastAsia="黑体" w:hAnsi="宋体"/>
          <w:kern w:val="2"/>
          <w:lang w:eastAsia="zh-CN"/>
        </w:rPr>
        <w:t>33</w:t>
      </w:r>
      <w:r>
        <w:rPr>
          <w:rFonts w:ascii="黑体" w:eastAsia="黑体" w:hAnsi="宋体" w:hint="eastAsia"/>
          <w:kern w:val="2"/>
          <w:lang w:eastAsia="zh-CN"/>
        </w:rPr>
        <w:t>.谈判结果公示</w:t>
      </w:r>
    </w:p>
    <w:p>
      <w:pPr>
        <w:widowControl w:val="0"/>
        <w:wordWrap w:val="0"/>
        <w:ind w:firstLine="412" w:firstLineChars="196"/>
        <w:jc w:val="both"/>
        <w:rPr>
          <w:rFonts w:ascii="宋体" w:eastAsia="宋体" w:hAnsi="宋体" w:hint="eastAsia"/>
          <w:kern w:val="2"/>
          <w:sz w:val="21"/>
          <w:szCs w:val="21"/>
          <w:lang w:eastAsia="zh-CN"/>
        </w:rPr>
      </w:pPr>
      <w:r>
        <w:rPr>
          <w:rFonts w:ascii="宋体" w:eastAsia="宋体" w:hAnsi="宋体"/>
          <w:kern w:val="2"/>
          <w:sz w:val="21"/>
          <w:lang w:eastAsia="zh-CN"/>
        </w:rPr>
        <w:t>33</w:t>
      </w:r>
      <w:r>
        <w:rPr>
          <w:rFonts w:ascii="宋体" w:eastAsia="宋体" w:hAnsi="宋体" w:hint="eastAsia"/>
          <w:kern w:val="2"/>
          <w:sz w:val="21"/>
          <w:lang w:eastAsia="zh-CN"/>
        </w:rPr>
        <w:t>.1</w:t>
      </w:r>
      <w:r>
        <w:rPr>
          <w:rFonts w:ascii="宋体" w:eastAsia="宋体" w:hAnsi="宋体" w:hint="eastAsia"/>
          <w:kern w:val="2"/>
          <w:sz w:val="21"/>
          <w:szCs w:val="21"/>
          <w:lang w:eastAsia="zh-CN"/>
        </w:rPr>
        <w:t>为体现“公开、公平、公正”的原则，谈判结束后经采购人确认评审结果，政府集中采购机构将在</w:t>
      </w:r>
      <w:r>
        <w:rPr>
          <w:rFonts w:ascii="宋体" w:eastAsia="宋体" w:hAnsi="宋体" w:hint="eastAsia"/>
          <w:b/>
          <w:bCs/>
          <w:kern w:val="2"/>
          <w:sz w:val="21"/>
          <w:szCs w:val="21"/>
          <w:lang w:eastAsia="zh-CN"/>
        </w:rPr>
        <w:t>“深圳交易集团（深圳公共资源交易中心）官网https://www.szexgrp.com/jyfw/zfcg-view.html?id=zfcg”</w:t>
      </w:r>
      <w:r>
        <w:rPr>
          <w:rFonts w:ascii="宋体" w:eastAsia="宋体" w:hAnsi="宋体" w:hint="eastAsia"/>
          <w:kern w:val="2"/>
          <w:sz w:val="21"/>
          <w:szCs w:val="21"/>
          <w:lang w:eastAsia="zh-CN"/>
        </w:rPr>
        <w:t>上发布成交结果公告。结果公告公示内容包含:采购人名称、项目名称、预算金额、采购方式、成交供应商名称、成交金额。供应商如对评审结果有异议，</w:t>
      </w:r>
      <w:r>
        <w:rPr>
          <w:rFonts w:ascii="宋体" w:eastAsia="宋体" w:hAnsi="宋体"/>
          <w:kern w:val="2"/>
          <w:sz w:val="21"/>
          <w:szCs w:val="21"/>
          <w:lang w:eastAsia="zh-CN"/>
        </w:rPr>
        <w:t>可在发布公示日期起</w:t>
      </w:r>
      <w:r>
        <w:rPr>
          <w:rFonts w:ascii="宋体" w:eastAsia="宋体" w:hAnsi="宋体" w:hint="eastAsia"/>
          <w:kern w:val="2"/>
          <w:sz w:val="21"/>
          <w:szCs w:val="21"/>
          <w:lang w:eastAsia="zh-CN"/>
        </w:rPr>
        <w:t>七</w:t>
      </w:r>
      <w:r>
        <w:rPr>
          <w:rFonts w:ascii="宋体" w:eastAsia="宋体" w:hAnsi="宋体"/>
          <w:kern w:val="2"/>
          <w:sz w:val="21"/>
          <w:szCs w:val="21"/>
          <w:lang w:eastAsia="zh-CN"/>
        </w:rPr>
        <w:t>个工作日内向</w:t>
      </w:r>
      <w:r>
        <w:rPr>
          <w:rFonts w:ascii="宋体" w:eastAsia="宋体" w:hAnsi="宋体" w:hint="eastAsia"/>
          <w:kern w:val="2"/>
          <w:sz w:val="21"/>
          <w:szCs w:val="21"/>
          <w:lang w:eastAsia="zh-CN"/>
        </w:rPr>
        <w:t>政府集中采购机构</w:t>
      </w:r>
      <w:r>
        <w:rPr>
          <w:rFonts w:ascii="宋体" w:eastAsia="宋体" w:hAnsi="宋体"/>
          <w:kern w:val="2"/>
          <w:sz w:val="21"/>
          <w:szCs w:val="21"/>
          <w:lang w:eastAsia="zh-CN"/>
        </w:rPr>
        <w:t>提出。 监督电话：</w:t>
      </w:r>
      <w:r>
        <w:rPr>
          <w:rFonts w:ascii="宋体" w:eastAsia="宋体" w:hAnsi="宋体" w:hint="eastAsia"/>
          <w:kern w:val="2"/>
          <w:sz w:val="21"/>
          <w:szCs w:val="21"/>
          <w:lang w:eastAsia="zh-CN"/>
        </w:rPr>
        <w:t>0755-86500050</w:t>
      </w:r>
      <w:r>
        <w:rPr>
          <w:rFonts w:ascii="宋体" w:eastAsia="宋体" w:hAnsi="宋体"/>
          <w:kern w:val="2"/>
          <w:sz w:val="21"/>
          <w:szCs w:val="21"/>
          <w:lang w:eastAsia="zh-CN"/>
        </w:rPr>
        <w:t>。</w:t>
      </w:r>
      <w:r>
        <w:rPr>
          <w:rFonts w:ascii="宋体" w:eastAsia="宋体" w:hAnsi="宋体" w:hint="eastAsia"/>
          <w:kern w:val="2"/>
          <w:sz w:val="21"/>
          <w:szCs w:val="21"/>
          <w:lang w:eastAsia="zh-CN"/>
        </w:rPr>
        <w:t>若在公示期内未提出质疑，则视为认同该评审结果。</w:t>
      </w:r>
    </w:p>
    <w:p>
      <w:pPr>
        <w:widowControl w:val="0"/>
        <w:tabs>
          <w:tab w:val="left" w:pos="-1080"/>
        </w:tabs>
        <w:ind w:firstLine="420" w:firstLineChars="200"/>
        <w:jc w:val="both"/>
        <w:rPr>
          <w:rFonts w:ascii="宋体" w:eastAsia="宋体" w:hAnsi="宋体" w:hint="eastAsia"/>
          <w:kern w:val="2"/>
          <w:sz w:val="21"/>
          <w:lang w:eastAsia="zh-CN"/>
        </w:rPr>
      </w:pPr>
      <w:r>
        <w:rPr>
          <w:rFonts w:ascii="宋体" w:eastAsia="宋体" w:hAnsi="宋体"/>
          <w:kern w:val="2"/>
          <w:sz w:val="21"/>
          <w:lang w:eastAsia="zh-CN"/>
        </w:rPr>
        <w:t>33</w:t>
      </w:r>
      <w:r>
        <w:rPr>
          <w:rFonts w:ascii="宋体" w:eastAsia="宋体" w:hAnsi="宋体" w:hint="eastAsia"/>
          <w:kern w:val="2"/>
          <w:sz w:val="21"/>
          <w:lang w:eastAsia="zh-CN"/>
        </w:rPr>
        <w:t>.2质疑、投诉供应商应保证质疑、投诉内容的真实性和可靠性，并承担相应的法律责任。</w:t>
      </w:r>
    </w:p>
    <w:p>
      <w:pPr>
        <w:widowControl w:val="0"/>
        <w:jc w:val="both"/>
        <w:rPr>
          <w:rFonts w:ascii="黑体" w:eastAsia="黑体" w:hAnsi="宋体" w:hint="eastAsia"/>
          <w:kern w:val="2"/>
          <w:lang w:eastAsia="zh-CN"/>
        </w:rPr>
      </w:pPr>
      <w:bookmarkStart w:id="71" w:name="_Toc78703971"/>
      <w:r>
        <w:rPr>
          <w:rFonts w:ascii="黑体" w:eastAsia="黑体" w:hAnsi="宋体"/>
          <w:kern w:val="2"/>
          <w:lang w:eastAsia="zh-CN"/>
        </w:rPr>
        <w:t>34.</w:t>
      </w:r>
      <w:r>
        <w:rPr>
          <w:rFonts w:ascii="黑体" w:eastAsia="黑体" w:hAnsi="宋体" w:hint="eastAsia"/>
          <w:kern w:val="2"/>
          <w:lang w:eastAsia="zh-CN"/>
        </w:rPr>
        <w:t>成交通知书</w:t>
      </w:r>
      <w:bookmarkEnd w:id="71"/>
    </w:p>
    <w:p>
      <w:pPr>
        <w:widowControl w:val="0"/>
        <w:ind w:firstLine="412" w:firstLineChars="196"/>
        <w:jc w:val="both"/>
        <w:rPr>
          <w:rFonts w:ascii="宋体" w:eastAsia="宋体" w:hAnsi="宋体" w:hint="eastAsia"/>
          <w:kern w:val="2"/>
          <w:sz w:val="21"/>
          <w:szCs w:val="21"/>
          <w:lang w:eastAsia="zh-CN"/>
        </w:rPr>
      </w:pPr>
      <w:r>
        <w:rPr>
          <w:rFonts w:ascii="宋体" w:eastAsia="宋体" w:hAnsi="宋体"/>
          <w:kern w:val="2"/>
          <w:sz w:val="21"/>
          <w:lang w:eastAsia="zh-CN"/>
        </w:rPr>
        <w:t>34</w:t>
      </w:r>
      <w:r>
        <w:rPr>
          <w:rFonts w:ascii="宋体" w:eastAsia="宋体" w:hAnsi="宋体" w:hint="eastAsia"/>
          <w:kern w:val="2"/>
          <w:sz w:val="21"/>
          <w:lang w:eastAsia="zh-CN"/>
        </w:rPr>
        <w:t>.1采购结果公告公布以后,</w:t>
      </w:r>
      <w:r>
        <w:rPr>
          <w:rFonts w:ascii="宋体" w:eastAsia="宋体" w:hAnsi="宋体" w:hint="eastAsia"/>
          <w:kern w:val="2"/>
          <w:sz w:val="21"/>
          <w:szCs w:val="21"/>
          <w:lang w:eastAsia="zh-CN"/>
        </w:rPr>
        <w:t xml:space="preserve"> 公示期内无有效质疑投诉,成交供应商和采购人可自行在</w:t>
      </w:r>
      <w:r>
        <w:rPr>
          <w:rFonts w:ascii="宋体" w:eastAsia="宋体" w:hAnsi="宋体" w:hint="eastAsia"/>
          <w:b/>
          <w:bCs/>
          <w:kern w:val="2"/>
          <w:sz w:val="21"/>
          <w:szCs w:val="21"/>
          <w:lang w:eastAsia="zh-CN"/>
        </w:rPr>
        <w:t>“深圳市自行采购系统（https://trade.szggzy.com/ggzy/center/#/login）”上打印《中标（成交）通知书》</w:t>
      </w:r>
      <w:r>
        <w:rPr>
          <w:rFonts w:ascii="宋体" w:eastAsia="宋体" w:hAnsi="宋体" w:hint="eastAsia"/>
          <w:kern w:val="2"/>
          <w:sz w:val="21"/>
          <w:szCs w:val="21"/>
          <w:lang w:eastAsia="zh-CN"/>
        </w:rPr>
        <w:t>。</w:t>
      </w:r>
    </w:p>
    <w:p>
      <w:pPr>
        <w:widowControl w:val="0"/>
        <w:ind w:firstLine="412" w:firstLineChars="196"/>
        <w:jc w:val="both"/>
        <w:rPr>
          <w:rFonts w:ascii="宋体" w:eastAsia="宋体" w:hAnsi="宋体" w:hint="eastAsia"/>
          <w:kern w:val="2"/>
          <w:sz w:val="21"/>
          <w:szCs w:val="21"/>
          <w:lang w:eastAsia="zh-CN"/>
        </w:rPr>
      </w:pPr>
      <w:r>
        <w:rPr>
          <w:rFonts w:ascii="宋体" w:eastAsia="宋体" w:hAnsi="宋体"/>
          <w:kern w:val="2"/>
          <w:sz w:val="21"/>
          <w:szCs w:val="21"/>
          <w:lang w:eastAsia="zh-CN"/>
        </w:rPr>
        <w:t>34.2</w:t>
      </w:r>
      <w:r>
        <w:rPr>
          <w:rFonts w:ascii="宋体" w:eastAsia="宋体" w:hAnsi="宋体" w:hint="eastAsia"/>
          <w:kern w:val="2"/>
          <w:sz w:val="21"/>
          <w:szCs w:val="21"/>
          <w:lang w:eastAsia="zh-CN"/>
        </w:rPr>
        <w:t>成交通知书是合同的重要组成部分。</w:t>
      </w:r>
    </w:p>
    <w:p>
      <w:pPr>
        <w:widowControl w:val="0"/>
        <w:ind w:firstLine="412" w:firstLineChars="196"/>
        <w:jc w:val="both"/>
        <w:rPr>
          <w:rFonts w:ascii="宋体" w:eastAsia="宋体" w:hAnsi="宋体" w:hint="eastAsia"/>
          <w:kern w:val="2"/>
          <w:sz w:val="21"/>
          <w:szCs w:val="21"/>
          <w:lang w:eastAsia="zh-CN"/>
        </w:rPr>
      </w:pPr>
      <w:r>
        <w:rPr>
          <w:rFonts w:ascii="宋体" w:eastAsia="宋体" w:hAnsi="宋体"/>
          <w:kern w:val="2"/>
          <w:sz w:val="21"/>
          <w:szCs w:val="21"/>
          <w:lang w:eastAsia="zh-CN"/>
        </w:rPr>
        <w:t>34</w:t>
      </w:r>
      <w:r>
        <w:rPr>
          <w:rFonts w:ascii="宋体" w:eastAsia="宋体" w:hAnsi="宋体" w:hint="eastAsia"/>
          <w:kern w:val="2"/>
          <w:sz w:val="21"/>
          <w:szCs w:val="21"/>
          <w:lang w:eastAsia="zh-CN"/>
        </w:rPr>
        <w:t>.3因质疑投诉或其它原因导致项目结果变更或采购终止的，政府集中采购机构有权吊销成交通知书。</w:t>
      </w:r>
    </w:p>
    <w:p>
      <w:pPr>
        <w:widowControl w:val="0"/>
        <w:ind w:firstLine="412" w:firstLineChars="196"/>
        <w:jc w:val="both"/>
        <w:rPr>
          <w:rFonts w:ascii="宋体" w:eastAsia="宋体" w:hAnsi="宋体" w:hint="eastAsia"/>
          <w:kern w:val="2"/>
          <w:sz w:val="21"/>
          <w:szCs w:val="21"/>
          <w:lang w:eastAsia="zh-CN"/>
        </w:rPr>
      </w:pPr>
    </w:p>
    <w:p>
      <w:pPr>
        <w:keepNext/>
        <w:keepLines/>
        <w:widowControl w:val="0"/>
        <w:adjustRightInd w:val="0"/>
        <w:snapToGrid w:val="0"/>
        <w:jc w:val="center"/>
        <w:outlineLvl w:val="1"/>
        <w:rPr>
          <w:rFonts w:ascii="Cambria" w:eastAsia="宋体" w:hAnsi="Cambria"/>
          <w:b/>
          <w:bCs/>
          <w:kern w:val="2"/>
          <w:sz w:val="28"/>
          <w:szCs w:val="28"/>
          <w:lang w:eastAsia="zh-CN"/>
        </w:rPr>
      </w:pPr>
      <w:r>
        <w:rPr>
          <w:rFonts w:ascii="Cambria" w:eastAsia="宋体" w:hAnsi="Cambria" w:cstheme="majorBidi" w:hint="eastAsia"/>
          <w:b/>
          <w:bCs/>
          <w:kern w:val="2"/>
          <w:sz w:val="28"/>
          <w:szCs w:val="28"/>
          <w:lang w:eastAsia="zh-CN"/>
        </w:rPr>
        <w:t>七、合同的授予与备案</w:t>
      </w:r>
    </w:p>
    <w:p>
      <w:pPr>
        <w:widowControl w:val="0"/>
        <w:jc w:val="both"/>
        <w:rPr>
          <w:rFonts w:ascii="黑体" w:eastAsia="黑体" w:hAnsi="宋体" w:hint="eastAsia"/>
          <w:kern w:val="2"/>
          <w:lang w:eastAsia="zh-CN"/>
        </w:rPr>
      </w:pPr>
      <w:bookmarkStart w:id="72" w:name="_Toc73521674"/>
      <w:bookmarkStart w:id="73" w:name="_Toc100052408"/>
      <w:bookmarkStart w:id="74" w:name="_Toc73521586"/>
      <w:bookmarkStart w:id="75" w:name="_Toc73517679"/>
      <w:bookmarkStart w:id="76" w:name="_Toc73518157"/>
      <w:r>
        <w:rPr>
          <w:rFonts w:ascii="黑体" w:eastAsia="黑体" w:hAnsi="宋体"/>
          <w:kern w:val="2"/>
          <w:lang w:eastAsia="zh-CN"/>
        </w:rPr>
        <w:t>35</w:t>
      </w:r>
      <w:r>
        <w:rPr>
          <w:rFonts w:ascii="黑体" w:eastAsia="黑体" w:hAnsi="宋体" w:hint="eastAsia"/>
          <w:kern w:val="2"/>
          <w:lang w:eastAsia="zh-CN"/>
        </w:rPr>
        <w:t>．合同授予标准</w:t>
      </w:r>
      <w:bookmarkEnd w:id="72"/>
      <w:bookmarkEnd w:id="73"/>
      <w:bookmarkEnd w:id="74"/>
      <w:bookmarkEnd w:id="75"/>
      <w:bookmarkEnd w:id="76"/>
    </w:p>
    <w:p>
      <w:pPr>
        <w:widowControl w:val="0"/>
        <w:ind w:firstLine="412" w:firstLineChars="196"/>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本项目的合同将授予经本谈判文件规定评审确定的成交供应商。</w:t>
      </w:r>
    </w:p>
    <w:p>
      <w:pPr>
        <w:widowControl w:val="0"/>
        <w:jc w:val="both"/>
        <w:rPr>
          <w:rFonts w:ascii="黑体" w:eastAsia="黑体" w:hAnsi="宋体" w:hint="eastAsia"/>
          <w:kern w:val="2"/>
          <w:lang w:eastAsia="zh-CN"/>
        </w:rPr>
      </w:pPr>
      <w:bookmarkStart w:id="77" w:name="_Toc73517680"/>
      <w:bookmarkStart w:id="78" w:name="_Toc73521675"/>
      <w:bookmarkStart w:id="79" w:name="_Toc100052409"/>
      <w:bookmarkStart w:id="80" w:name="_Toc73521587"/>
      <w:bookmarkStart w:id="81" w:name="_Toc73518158"/>
      <w:r>
        <w:rPr>
          <w:rFonts w:ascii="黑体" w:eastAsia="黑体" w:hAnsi="宋体"/>
          <w:kern w:val="2"/>
          <w:lang w:eastAsia="zh-CN"/>
        </w:rPr>
        <w:t>36</w:t>
      </w:r>
      <w:r>
        <w:rPr>
          <w:rFonts w:ascii="黑体" w:eastAsia="黑体" w:hAnsi="宋体" w:hint="eastAsia"/>
          <w:kern w:val="2"/>
          <w:lang w:eastAsia="zh-CN"/>
        </w:rPr>
        <w:t>．</w:t>
      </w:r>
      <w:bookmarkEnd w:id="77"/>
      <w:bookmarkEnd w:id="78"/>
      <w:bookmarkEnd w:id="79"/>
      <w:bookmarkEnd w:id="80"/>
      <w:bookmarkEnd w:id="81"/>
      <w:r>
        <w:rPr>
          <w:rFonts w:ascii="黑体" w:eastAsia="黑体" w:hAnsi="宋体" w:hint="eastAsia"/>
          <w:kern w:val="2"/>
          <w:lang w:eastAsia="zh-CN"/>
        </w:rPr>
        <w:t>接受和拒绝任何或所有应答的权力</w:t>
      </w:r>
    </w:p>
    <w:p>
      <w:pPr>
        <w:widowControl w:val="0"/>
        <w:ind w:firstLine="412" w:firstLineChars="196"/>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政府集中采购机构和采购人保留在谈判截止时间之前任何时候接受或拒绝任何应答或所有应答，以及宣布谈判无效的权力，对受影响的供应商不承担任何责任，也无义务向受影响的供应商解释采取这一行动的理由。</w:t>
      </w:r>
    </w:p>
    <w:p>
      <w:pPr>
        <w:widowControl w:val="0"/>
        <w:jc w:val="both"/>
        <w:rPr>
          <w:rFonts w:ascii="黑体" w:eastAsia="黑体" w:hAnsi="宋体" w:hint="eastAsia"/>
          <w:kern w:val="2"/>
          <w:lang w:eastAsia="zh-CN"/>
        </w:rPr>
      </w:pPr>
      <w:bookmarkStart w:id="82" w:name="_Toc73521589"/>
      <w:bookmarkStart w:id="83" w:name="_Toc73518160"/>
      <w:bookmarkStart w:id="84" w:name="_Toc100052410"/>
      <w:bookmarkStart w:id="85" w:name="_Toc73521677"/>
      <w:bookmarkStart w:id="86" w:name="_Toc73517682"/>
      <w:r>
        <w:rPr>
          <w:rFonts w:ascii="黑体" w:eastAsia="黑体" w:hAnsi="宋体"/>
          <w:kern w:val="2"/>
          <w:lang w:eastAsia="zh-CN"/>
        </w:rPr>
        <w:t>37</w:t>
      </w:r>
      <w:r>
        <w:rPr>
          <w:rFonts w:ascii="黑体" w:eastAsia="黑体" w:hAnsi="宋体" w:hint="eastAsia"/>
          <w:kern w:val="2"/>
          <w:lang w:eastAsia="zh-CN"/>
        </w:rPr>
        <w:t>．合同的签订</w:t>
      </w:r>
      <w:bookmarkEnd w:id="82"/>
      <w:bookmarkEnd w:id="83"/>
      <w:bookmarkEnd w:id="84"/>
      <w:bookmarkEnd w:id="85"/>
      <w:bookmarkEnd w:id="86"/>
    </w:p>
    <w:p>
      <w:pPr>
        <w:widowControl w:val="0"/>
        <w:ind w:firstLine="412" w:firstLineChars="196"/>
        <w:jc w:val="both"/>
        <w:rPr>
          <w:rFonts w:ascii="宋体" w:eastAsia="宋体" w:hAnsi="宋体" w:hint="eastAsia"/>
          <w:kern w:val="2"/>
          <w:sz w:val="21"/>
          <w:szCs w:val="21"/>
          <w:lang w:eastAsia="zh-CN"/>
        </w:rPr>
      </w:pPr>
      <w:r>
        <w:rPr>
          <w:rFonts w:ascii="宋体" w:eastAsia="宋体" w:hAnsi="宋体"/>
          <w:kern w:val="2"/>
          <w:sz w:val="21"/>
          <w:szCs w:val="21"/>
          <w:lang w:eastAsia="zh-CN"/>
        </w:rPr>
        <w:t>37</w:t>
      </w:r>
      <w:r>
        <w:rPr>
          <w:rFonts w:ascii="宋体" w:eastAsia="宋体" w:hAnsi="宋体" w:hint="eastAsia"/>
          <w:kern w:val="2"/>
          <w:sz w:val="21"/>
          <w:szCs w:val="21"/>
          <w:lang w:eastAsia="zh-CN"/>
        </w:rPr>
        <w:t>.1成交供应商将于成交通知书发出之日起十个工作日内，按照采购文件和谈判应答内容与采购人签订政府采购合同；合同的实质性内容应当符合谈判文件的规定；</w:t>
      </w:r>
    </w:p>
    <w:p>
      <w:pPr>
        <w:widowControl w:val="0"/>
        <w:ind w:firstLine="412" w:firstLineChars="196"/>
        <w:jc w:val="both"/>
        <w:rPr>
          <w:rFonts w:ascii="宋体" w:eastAsia="宋体" w:hAnsi="宋体" w:hint="eastAsia"/>
          <w:kern w:val="2"/>
          <w:sz w:val="21"/>
          <w:szCs w:val="21"/>
          <w:lang w:eastAsia="zh-CN"/>
        </w:rPr>
      </w:pPr>
      <w:r>
        <w:rPr>
          <w:rFonts w:ascii="宋体" w:eastAsia="宋体" w:hAnsi="宋体"/>
          <w:kern w:val="2"/>
          <w:sz w:val="21"/>
          <w:szCs w:val="21"/>
          <w:lang w:eastAsia="zh-CN"/>
        </w:rPr>
        <w:t>37</w:t>
      </w:r>
      <w:r>
        <w:rPr>
          <w:rFonts w:ascii="宋体" w:eastAsia="宋体" w:hAnsi="宋体" w:hint="eastAsia"/>
          <w:kern w:val="2"/>
          <w:sz w:val="21"/>
          <w:szCs w:val="21"/>
          <w:lang w:eastAsia="zh-CN"/>
        </w:rPr>
        <w:t>.2成交供应商应当按照合同约定履行义务，完成成交项目，不得将成交项目转让（转包）给他人。</w:t>
      </w:r>
    </w:p>
    <w:p>
      <w:pPr>
        <w:widowControl w:val="0"/>
        <w:jc w:val="both"/>
        <w:rPr>
          <w:rFonts w:ascii="黑体" w:eastAsia="黑体" w:hAnsi="宋体" w:hint="eastAsia"/>
          <w:kern w:val="2"/>
          <w:lang w:eastAsia="zh-CN"/>
        </w:rPr>
      </w:pPr>
      <w:bookmarkStart w:id="87" w:name="_Toc73517683"/>
      <w:bookmarkStart w:id="88" w:name="_Toc73521678"/>
      <w:bookmarkStart w:id="89" w:name="_Toc73518161"/>
      <w:bookmarkStart w:id="90" w:name="_Toc73521590"/>
      <w:bookmarkStart w:id="91" w:name="_Toc100052411"/>
      <w:r>
        <w:rPr>
          <w:rFonts w:ascii="黑体" w:eastAsia="黑体" w:hAnsi="宋体"/>
          <w:kern w:val="2"/>
          <w:lang w:eastAsia="zh-CN"/>
        </w:rPr>
        <w:t>38</w:t>
      </w:r>
      <w:r>
        <w:rPr>
          <w:rFonts w:ascii="黑体" w:eastAsia="黑体" w:hAnsi="宋体" w:hint="eastAsia"/>
          <w:kern w:val="2"/>
          <w:lang w:eastAsia="zh-CN"/>
        </w:rPr>
        <w:t>．履约担保</w:t>
      </w:r>
      <w:bookmarkEnd w:id="87"/>
      <w:bookmarkEnd w:id="88"/>
      <w:bookmarkEnd w:id="89"/>
      <w:bookmarkEnd w:id="90"/>
      <w:bookmarkEnd w:id="91"/>
    </w:p>
    <w:p>
      <w:pPr>
        <w:widowControl w:val="0"/>
        <w:ind w:firstLine="412" w:firstLineChars="196"/>
        <w:jc w:val="both"/>
        <w:rPr>
          <w:rFonts w:ascii="宋体" w:eastAsia="宋体" w:hAnsi="宋体" w:hint="eastAsia"/>
          <w:kern w:val="2"/>
          <w:sz w:val="21"/>
          <w:szCs w:val="21"/>
          <w:lang w:eastAsia="zh-CN"/>
        </w:rPr>
      </w:pPr>
      <w:r>
        <w:rPr>
          <w:rFonts w:ascii="宋体" w:eastAsia="宋体" w:hAnsi="宋体"/>
          <w:kern w:val="2"/>
          <w:sz w:val="21"/>
          <w:szCs w:val="21"/>
          <w:lang w:eastAsia="zh-CN"/>
        </w:rPr>
        <w:t>38</w:t>
      </w:r>
      <w:r>
        <w:rPr>
          <w:rFonts w:ascii="宋体" w:eastAsia="宋体" w:hAnsi="宋体" w:hint="eastAsia"/>
          <w:kern w:val="2"/>
          <w:sz w:val="21"/>
          <w:szCs w:val="21"/>
          <w:lang w:eastAsia="zh-CN"/>
        </w:rPr>
        <w:t>.1在签订项目合同的同时，成交供应商应按“对谈判须知条款的补充内容”中规定的金额向采购人提交履约担保；</w:t>
      </w:r>
    </w:p>
    <w:p>
      <w:pPr>
        <w:widowControl w:val="0"/>
        <w:ind w:firstLine="412" w:firstLineChars="196"/>
        <w:jc w:val="both"/>
        <w:rPr>
          <w:rFonts w:ascii="宋体" w:eastAsia="宋体" w:hAnsi="宋体" w:hint="eastAsia"/>
          <w:kern w:val="2"/>
          <w:sz w:val="21"/>
          <w:szCs w:val="21"/>
          <w:lang w:eastAsia="zh-CN"/>
        </w:rPr>
      </w:pPr>
      <w:r>
        <w:rPr>
          <w:rFonts w:ascii="宋体" w:eastAsia="宋体" w:hAnsi="宋体"/>
          <w:kern w:val="2"/>
          <w:sz w:val="21"/>
          <w:szCs w:val="21"/>
          <w:lang w:eastAsia="zh-CN"/>
        </w:rPr>
        <w:t>38</w:t>
      </w:r>
      <w:r>
        <w:rPr>
          <w:rFonts w:ascii="宋体" w:eastAsia="宋体" w:hAnsi="宋体" w:hint="eastAsia"/>
          <w:kern w:val="2"/>
          <w:sz w:val="21"/>
          <w:szCs w:val="21"/>
          <w:lang w:eastAsia="zh-CN"/>
        </w:rPr>
        <w:t>.2，允许供应商自主选择以支票、汇票、本票、保函等非现金方式提交履约担保；</w:t>
      </w:r>
      <w:r>
        <w:rPr>
          <w:rFonts w:eastAsia="宋体" w:hint="eastAsia"/>
          <w:kern w:val="2"/>
          <w:sz w:val="21"/>
          <w:lang w:eastAsia="zh-CN"/>
        </w:rPr>
        <w:t>成交供应商</w:t>
      </w:r>
      <w:r>
        <w:rPr>
          <w:rFonts w:eastAsia="宋体"/>
          <w:kern w:val="2"/>
          <w:sz w:val="21"/>
          <w:lang w:eastAsia="zh-CN"/>
        </w:rPr>
        <w:t>提交履约</w:t>
      </w:r>
      <w:r>
        <w:rPr>
          <w:rFonts w:eastAsia="宋体" w:hint="eastAsia"/>
          <w:kern w:val="2"/>
          <w:sz w:val="21"/>
          <w:lang w:eastAsia="zh-CN"/>
        </w:rPr>
        <w:t>担保不是</w:t>
      </w:r>
      <w:r>
        <w:rPr>
          <w:rFonts w:eastAsia="宋体"/>
          <w:kern w:val="2"/>
          <w:sz w:val="21"/>
          <w:lang w:eastAsia="zh-CN"/>
        </w:rPr>
        <w:t>合同签订的</w:t>
      </w:r>
      <w:r>
        <w:rPr>
          <w:rFonts w:eastAsia="宋体" w:hint="eastAsia"/>
          <w:kern w:val="2"/>
          <w:sz w:val="21"/>
          <w:lang w:eastAsia="zh-CN"/>
        </w:rPr>
        <w:t>前提</w:t>
      </w:r>
      <w:r>
        <w:rPr>
          <w:rFonts w:eastAsia="宋体"/>
          <w:kern w:val="2"/>
          <w:sz w:val="21"/>
          <w:lang w:eastAsia="zh-CN"/>
        </w:rPr>
        <w:t>条件，不要求</w:t>
      </w:r>
      <w:r>
        <w:rPr>
          <w:rFonts w:eastAsia="宋体" w:hint="eastAsia"/>
          <w:kern w:val="2"/>
          <w:sz w:val="21"/>
          <w:lang w:eastAsia="zh-CN"/>
        </w:rPr>
        <w:t>成交供应商</w:t>
      </w:r>
      <w:r>
        <w:rPr>
          <w:rFonts w:eastAsia="宋体"/>
          <w:kern w:val="2"/>
          <w:sz w:val="21"/>
          <w:lang w:eastAsia="zh-CN"/>
        </w:rPr>
        <w:t>提供除法律、法规明确规定外的其他担保</w:t>
      </w:r>
      <w:r>
        <w:rPr>
          <w:rFonts w:eastAsia="宋体" w:hint="eastAsia"/>
          <w:kern w:val="2"/>
          <w:sz w:val="21"/>
          <w:lang w:eastAsia="zh-CN"/>
        </w:rPr>
        <w:t>。</w:t>
      </w:r>
    </w:p>
    <w:p>
      <w:pPr>
        <w:widowControl w:val="0"/>
        <w:jc w:val="both"/>
        <w:rPr>
          <w:rFonts w:ascii="黑体" w:eastAsia="黑体" w:hAnsi="宋体" w:hint="eastAsia"/>
          <w:kern w:val="2"/>
          <w:lang w:eastAsia="zh-CN"/>
        </w:rPr>
      </w:pPr>
      <w:r>
        <w:rPr>
          <w:rFonts w:ascii="黑体" w:eastAsia="黑体" w:hAnsi="宋体"/>
          <w:kern w:val="2"/>
          <w:lang w:eastAsia="zh-CN"/>
        </w:rPr>
        <w:t>39</w:t>
      </w:r>
      <w:r>
        <w:rPr>
          <w:rFonts w:ascii="黑体" w:eastAsia="黑体" w:hAnsi="宋体" w:hint="eastAsia"/>
          <w:kern w:val="2"/>
          <w:lang w:eastAsia="zh-CN"/>
        </w:rPr>
        <w:t>. 合同备案</w:t>
      </w:r>
    </w:p>
    <w:p>
      <w:pPr>
        <w:widowControl w:val="0"/>
        <w:ind w:firstLine="412" w:firstLineChars="196"/>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采购人与成交供应商应自成交通知书发出之日起10个工作日内签订采购合同，并按采购人内控制度规定提交备案。</w:t>
      </w:r>
    </w:p>
    <w:p>
      <w:pPr>
        <w:widowControl w:val="0"/>
        <w:jc w:val="both"/>
        <w:rPr>
          <w:rFonts w:ascii="黑体" w:eastAsia="黑体" w:hAnsi="宋体" w:hint="eastAsia"/>
          <w:kern w:val="2"/>
          <w:lang w:eastAsia="zh-CN"/>
        </w:rPr>
      </w:pPr>
      <w:r>
        <w:rPr>
          <w:rFonts w:ascii="黑体" w:eastAsia="黑体" w:hAnsi="宋体" w:hint="eastAsia"/>
          <w:kern w:val="2"/>
          <w:lang w:eastAsia="zh-CN"/>
        </w:rPr>
        <w:t>4</w:t>
      </w:r>
      <w:r>
        <w:rPr>
          <w:rFonts w:ascii="黑体" w:eastAsia="黑体" w:hAnsi="宋体"/>
          <w:kern w:val="2"/>
          <w:lang w:eastAsia="zh-CN"/>
        </w:rPr>
        <w:t>0</w:t>
      </w:r>
      <w:r>
        <w:rPr>
          <w:rFonts w:ascii="黑体" w:eastAsia="黑体" w:hAnsi="宋体" w:hint="eastAsia"/>
          <w:kern w:val="2"/>
          <w:lang w:eastAsia="zh-CN"/>
        </w:rPr>
        <w:t>. 合同变更</w:t>
      </w:r>
    </w:p>
    <w:p>
      <w:pPr>
        <w:widowControl w:val="0"/>
        <w:ind w:firstLine="412" w:firstLineChars="196"/>
        <w:jc w:val="both"/>
        <w:rPr>
          <w:rFonts w:ascii="宋体" w:eastAsia="宋体" w:hAnsi="宋体" w:hint="eastAsia"/>
          <w:kern w:val="2"/>
          <w:sz w:val="21"/>
          <w:szCs w:val="21"/>
          <w:lang w:eastAsia="zh-CN"/>
        </w:rPr>
      </w:pPr>
      <w:bookmarkStart w:id="92" w:name="_Hlk72666335"/>
      <w:r>
        <w:rPr>
          <w:rFonts w:ascii="宋体" w:eastAsia="宋体" w:hAnsi="宋体" w:hint="eastAsia"/>
          <w:kern w:val="2"/>
          <w:sz w:val="21"/>
          <w:szCs w:val="21"/>
          <w:lang w:eastAsia="zh-CN"/>
        </w:rPr>
        <w:t>合同变更事宜参照《深圳市财政局关于优化政府采购合同备案的通知》（深财发保〔2022〕2号）相关规定执行。</w:t>
      </w:r>
    </w:p>
    <w:p>
      <w:pPr>
        <w:widowControl w:val="0"/>
        <w:jc w:val="both"/>
        <w:rPr>
          <w:rFonts w:ascii="黑体" w:eastAsia="黑体" w:hAnsi="宋体" w:hint="eastAsia"/>
          <w:kern w:val="2"/>
          <w:lang w:eastAsia="zh-CN"/>
        </w:rPr>
      </w:pPr>
      <w:r>
        <w:rPr>
          <w:rFonts w:ascii="黑体" w:eastAsia="黑体" w:hAnsi="宋体" w:hint="eastAsia"/>
          <w:kern w:val="2"/>
          <w:lang w:eastAsia="zh-CN"/>
        </w:rPr>
        <w:t>4</w:t>
      </w:r>
      <w:r>
        <w:rPr>
          <w:rFonts w:ascii="黑体" w:eastAsia="黑体" w:hAnsi="宋体"/>
          <w:kern w:val="2"/>
          <w:lang w:eastAsia="zh-CN"/>
        </w:rPr>
        <w:t>1</w:t>
      </w:r>
      <w:r>
        <w:rPr>
          <w:rFonts w:ascii="黑体" w:eastAsia="黑体" w:hAnsi="宋体" w:hint="eastAsia"/>
          <w:kern w:val="2"/>
          <w:lang w:eastAsia="zh-CN"/>
        </w:rPr>
        <w:t>. 项目验收</w:t>
      </w:r>
    </w:p>
    <w:p>
      <w:pPr>
        <w:widowControl/>
        <w:ind w:right="176" w:firstLine="420"/>
        <w:jc w:val="left"/>
        <w:rPr>
          <w:rFonts w:ascii="宋体" w:eastAsia="宋体" w:hAnsi="宋体" w:hint="eastAsia"/>
          <w:kern w:val="2"/>
          <w:sz w:val="21"/>
          <w:lang w:eastAsia="zh-CN"/>
        </w:rPr>
      </w:pPr>
      <w:r>
        <w:rPr>
          <w:rFonts w:ascii="宋体" w:eastAsia="宋体" w:hAnsi="宋体" w:hint="eastAsia"/>
          <w:kern w:val="2"/>
          <w:sz w:val="21"/>
          <w:lang w:eastAsia="zh-CN"/>
        </w:rPr>
        <w:t>4</w:t>
      </w:r>
      <w:r>
        <w:rPr>
          <w:rFonts w:ascii="宋体" w:eastAsia="宋体" w:hAnsi="宋体"/>
          <w:kern w:val="2"/>
          <w:sz w:val="21"/>
          <w:lang w:eastAsia="zh-CN"/>
        </w:rPr>
        <w:t>1</w:t>
      </w:r>
      <w:r>
        <w:rPr>
          <w:rFonts w:ascii="宋体" w:eastAsia="宋体" w:hAnsi="宋体" w:hint="eastAsia"/>
          <w:kern w:val="2"/>
          <w:sz w:val="21"/>
          <w:lang w:eastAsia="zh-CN"/>
        </w:rPr>
        <w:t>.1采购人应当按照谈判文件和合同规定的标准和方法，及时组织验收。</w:t>
      </w:r>
      <w:r>
        <w:rPr>
          <w:rFonts w:ascii="宋体" w:eastAsia="宋体" w:hAnsi="宋体"/>
          <w:kern w:val="2"/>
          <w:sz w:val="21"/>
          <w:lang w:eastAsia="zh-CN"/>
        </w:rPr>
        <w:t xml:space="preserve"> </w:t>
      </w:r>
    </w:p>
    <w:p>
      <w:pPr>
        <w:widowControl w:val="0"/>
        <w:jc w:val="both"/>
        <w:rPr>
          <w:rFonts w:ascii="黑体" w:eastAsia="黑体" w:hAnsi="宋体" w:hint="eastAsia"/>
          <w:kern w:val="2"/>
          <w:lang w:eastAsia="zh-CN"/>
        </w:rPr>
      </w:pPr>
      <w:r>
        <w:rPr>
          <w:rFonts w:ascii="黑体" w:eastAsia="黑体" w:hAnsi="宋体"/>
          <w:kern w:val="2"/>
          <w:lang w:eastAsia="zh-CN"/>
        </w:rPr>
        <w:t>42</w:t>
      </w:r>
      <w:r>
        <w:rPr>
          <w:rFonts w:ascii="黑体" w:eastAsia="黑体" w:hAnsi="宋体" w:hint="eastAsia"/>
          <w:kern w:val="2"/>
          <w:lang w:eastAsia="zh-CN"/>
        </w:rPr>
        <w:t>. 宣传</w:t>
      </w:r>
    </w:p>
    <w:p>
      <w:pPr>
        <w:widowControl w:val="0"/>
        <w:ind w:left="240" w:firstLine="412" w:leftChars="100" w:firstLineChars="196"/>
        <w:jc w:val="both"/>
        <w:rPr>
          <w:rFonts w:ascii="宋体" w:eastAsia="宋体" w:hAnsi="宋体" w:hint="eastAsia"/>
          <w:kern w:val="2"/>
          <w:sz w:val="21"/>
          <w:lang w:eastAsia="zh-CN"/>
        </w:rPr>
      </w:pPr>
      <w:r>
        <w:rPr>
          <w:rFonts w:ascii="宋体" w:eastAsia="宋体" w:hAnsi="宋体" w:hint="eastAsia"/>
          <w:kern w:val="2"/>
          <w:sz w:val="21"/>
          <w:lang w:eastAsia="zh-CN"/>
        </w:rPr>
        <w:t>凡与自行采购活动有关的宣传或广告，若当中提及自行采购，</w:t>
      </w:r>
      <w:r>
        <w:rPr>
          <w:rFonts w:ascii="宋体" w:eastAsia="宋体" w:hAnsi="宋体"/>
          <w:kern w:val="2"/>
          <w:sz w:val="21"/>
          <w:lang w:eastAsia="zh-CN"/>
        </w:rPr>
        <w:t>必须事先将具体对外宣传方案报</w:t>
      </w:r>
      <w:r>
        <w:rPr>
          <w:rFonts w:ascii="宋体" w:eastAsia="宋体" w:hAnsi="宋体" w:hint="eastAsia"/>
          <w:kern w:val="2"/>
          <w:sz w:val="21"/>
          <w:szCs w:val="21"/>
          <w:lang w:eastAsia="zh-CN"/>
        </w:rPr>
        <w:t>采购人预算主管部门</w:t>
      </w:r>
      <w:r>
        <w:rPr>
          <w:rFonts w:ascii="宋体" w:eastAsia="宋体" w:hAnsi="宋体"/>
          <w:kern w:val="2"/>
          <w:sz w:val="21"/>
          <w:lang w:eastAsia="zh-CN"/>
        </w:rPr>
        <w:t>，并征得其同意。对外市场宣传包括但不限于以下形式：</w:t>
      </w:r>
    </w:p>
    <w:p>
      <w:pPr>
        <w:widowControl w:val="0"/>
        <w:ind w:left="240" w:firstLine="412" w:leftChars="100" w:firstLineChars="196"/>
        <w:jc w:val="both"/>
        <w:rPr>
          <w:rFonts w:ascii="宋体" w:eastAsia="宋体" w:hAnsi="宋体" w:hint="eastAsia"/>
          <w:kern w:val="2"/>
          <w:sz w:val="21"/>
          <w:lang w:eastAsia="zh-CN"/>
        </w:rPr>
      </w:pPr>
      <w:r>
        <w:rPr>
          <w:rFonts w:ascii="宋体" w:eastAsia="宋体" w:hAnsi="宋体"/>
          <w:kern w:val="2"/>
          <w:sz w:val="21"/>
          <w:lang w:eastAsia="zh-CN"/>
        </w:rPr>
        <w:t>a.名片、宣传册、广告标语等；</w:t>
      </w:r>
    </w:p>
    <w:p>
      <w:pPr>
        <w:widowControl w:val="0"/>
        <w:ind w:left="240" w:firstLine="412" w:leftChars="100" w:firstLineChars="196"/>
        <w:jc w:val="both"/>
        <w:rPr>
          <w:rFonts w:ascii="宋体" w:eastAsia="宋体" w:hAnsi="宋体" w:hint="eastAsia"/>
          <w:kern w:val="2"/>
          <w:sz w:val="21"/>
          <w:lang w:eastAsia="zh-CN"/>
        </w:rPr>
      </w:pPr>
      <w:r>
        <w:rPr>
          <w:rFonts w:ascii="宋体" w:eastAsia="宋体" w:hAnsi="宋体"/>
          <w:kern w:val="2"/>
          <w:sz w:val="21"/>
          <w:lang w:eastAsia="zh-CN"/>
        </w:rPr>
        <w:t>b.案例介绍、推广等；</w:t>
      </w:r>
    </w:p>
    <w:p>
      <w:pPr>
        <w:widowControl w:val="0"/>
        <w:ind w:left="240" w:firstLine="412" w:leftChars="100" w:firstLineChars="196"/>
        <w:jc w:val="both"/>
        <w:rPr>
          <w:rFonts w:ascii="宋体" w:eastAsia="宋体" w:hAnsi="宋体" w:hint="eastAsia"/>
          <w:kern w:val="2"/>
          <w:sz w:val="21"/>
          <w:lang w:eastAsia="zh-CN"/>
        </w:rPr>
      </w:pPr>
      <w:r>
        <w:rPr>
          <w:rFonts w:ascii="宋体" w:eastAsia="宋体" w:hAnsi="宋体" w:hint="eastAsia"/>
          <w:kern w:val="2"/>
          <w:sz w:val="21"/>
          <w:lang w:eastAsia="zh-CN"/>
        </w:rPr>
        <w:t>c.工作</w:t>
      </w:r>
      <w:r>
        <w:rPr>
          <w:rFonts w:ascii="宋体" w:eastAsia="宋体" w:hAnsi="宋体"/>
          <w:kern w:val="2"/>
          <w:sz w:val="21"/>
          <w:lang w:eastAsia="zh-CN"/>
        </w:rPr>
        <w:t>人员向其他消费群体宣传。</w:t>
      </w:r>
    </w:p>
    <w:p>
      <w:pPr>
        <w:widowControl w:val="0"/>
        <w:jc w:val="both"/>
        <w:rPr>
          <w:rFonts w:ascii="黑体" w:eastAsia="黑体" w:hAnsi="宋体" w:hint="eastAsia"/>
          <w:kern w:val="2"/>
          <w:lang w:eastAsia="zh-CN"/>
        </w:rPr>
      </w:pPr>
      <w:r>
        <w:rPr>
          <w:rFonts w:ascii="黑体" w:eastAsia="黑体" w:hAnsi="宋体"/>
          <w:kern w:val="2"/>
          <w:lang w:eastAsia="zh-CN"/>
        </w:rPr>
        <w:t>43</w:t>
      </w:r>
      <w:r>
        <w:rPr>
          <w:rFonts w:ascii="黑体" w:eastAsia="黑体" w:hAnsi="宋体" w:hint="eastAsia"/>
          <w:kern w:val="2"/>
          <w:lang w:eastAsia="zh-CN"/>
        </w:rPr>
        <w:t>. 供应商违法责任</w:t>
      </w:r>
    </w:p>
    <w:p>
      <w:pPr>
        <w:widowControl w:val="0"/>
        <w:ind w:firstLine="412" w:firstLineChars="196"/>
        <w:jc w:val="both"/>
        <w:rPr>
          <w:rFonts w:ascii="宋体" w:eastAsia="宋体" w:hAnsi="宋体" w:hint="eastAsia"/>
          <w:kern w:val="2"/>
          <w:sz w:val="21"/>
          <w:szCs w:val="21"/>
          <w:lang w:eastAsia="zh-CN"/>
        </w:rPr>
      </w:pPr>
      <w:r>
        <w:rPr>
          <w:rFonts w:ascii="宋体" w:eastAsia="宋体" w:hAnsi="宋体"/>
          <w:kern w:val="2"/>
          <w:sz w:val="21"/>
          <w:szCs w:val="21"/>
          <w:lang w:eastAsia="zh-CN"/>
        </w:rPr>
        <w:t>43.1</w:t>
      </w:r>
      <w:r>
        <w:rPr>
          <w:rFonts w:ascii="宋体" w:eastAsia="宋体" w:hAnsi="宋体" w:hint="eastAsia"/>
          <w:kern w:val="2"/>
          <w:sz w:val="21"/>
          <w:szCs w:val="21"/>
          <w:lang w:eastAsia="zh-CN"/>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pPr>
        <w:widowControl w:val="0"/>
        <w:ind w:firstLine="412" w:firstLineChars="196"/>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（1）在采购活动中应当回避而未回避的；</w:t>
      </w:r>
    </w:p>
    <w:p>
      <w:pPr>
        <w:widowControl w:val="0"/>
        <w:ind w:firstLine="412" w:firstLineChars="196"/>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（2）未按本条例规定签订、履行采购合同，造成严重后果的；</w:t>
      </w:r>
    </w:p>
    <w:p>
      <w:pPr>
        <w:widowControl w:val="0"/>
        <w:ind w:firstLine="412" w:firstLineChars="196"/>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（3）隐瞒真实情况，提供虚假资料的；</w:t>
      </w:r>
    </w:p>
    <w:p>
      <w:pPr>
        <w:widowControl w:val="0"/>
        <w:ind w:firstLine="412" w:firstLineChars="196"/>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（4）以非法手段排斥其他供应商参与竞争的；</w:t>
      </w:r>
    </w:p>
    <w:p>
      <w:pPr>
        <w:widowControl w:val="0"/>
        <w:ind w:firstLine="412" w:firstLineChars="196"/>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（5）与其他采购参加人串通投标（谈判）的；</w:t>
      </w:r>
    </w:p>
    <w:p>
      <w:pPr>
        <w:widowControl w:val="0"/>
        <w:ind w:firstLine="412" w:firstLineChars="196"/>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（6）恶意投诉的；</w:t>
      </w:r>
    </w:p>
    <w:p>
      <w:pPr>
        <w:widowControl w:val="0"/>
        <w:ind w:firstLine="412" w:firstLineChars="196"/>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（7）向采购项目相关人行贿或者提供其他不当利益的；</w:t>
      </w:r>
    </w:p>
    <w:p>
      <w:pPr>
        <w:widowControl w:val="0"/>
        <w:ind w:firstLine="412" w:firstLineChars="196"/>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（8）阻碍、抗拒主管部门监督检查的；</w:t>
      </w:r>
    </w:p>
    <w:p>
      <w:pPr>
        <w:widowControl w:val="0"/>
        <w:ind w:firstLine="412" w:firstLineChars="196"/>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（9）其他违反本条例规定的行为。</w:t>
      </w:r>
    </w:p>
    <w:p>
      <w:pPr>
        <w:widowControl w:val="0"/>
        <w:ind w:firstLine="412" w:firstLineChars="196"/>
        <w:jc w:val="both"/>
        <w:rPr>
          <w:rFonts w:ascii="宋体" w:eastAsia="宋体" w:hAnsi="宋体" w:hint="eastAsia"/>
          <w:kern w:val="2"/>
          <w:sz w:val="21"/>
          <w:szCs w:val="21"/>
          <w:lang w:eastAsia="zh-CN"/>
        </w:rPr>
      </w:pPr>
      <w:r>
        <w:rPr>
          <w:rFonts w:ascii="宋体" w:eastAsia="宋体" w:hAnsi="宋体"/>
          <w:kern w:val="2"/>
          <w:sz w:val="21"/>
          <w:szCs w:val="21"/>
          <w:lang w:eastAsia="zh-CN"/>
        </w:rPr>
        <w:t xml:space="preserve">43.2 </w:t>
      </w:r>
      <w:r>
        <w:rPr>
          <w:rFonts w:ascii="宋体" w:eastAsia="宋体" w:hAnsi="宋体" w:hint="eastAsia"/>
          <w:kern w:val="2"/>
          <w:sz w:val="21"/>
          <w:szCs w:val="21"/>
          <w:lang w:eastAsia="zh-CN"/>
        </w:rPr>
        <w:t>根据《深圳市财政局关于调整政府采购投标（响应）保证金管理政策的通知 》（深财购〔2021〕51 号）的要求，供应商在政府采购活动中出现《深圳经济特区政府采购条例实施细则》</w:t>
      </w:r>
      <w:bookmarkStart w:id="93" w:name="_Hlk72440717"/>
      <w:r>
        <w:rPr>
          <w:rFonts w:ascii="宋体" w:eastAsia="宋体" w:hAnsi="宋体" w:hint="eastAsia"/>
          <w:kern w:val="2"/>
          <w:sz w:val="21"/>
          <w:szCs w:val="21"/>
          <w:lang w:eastAsia="zh-CN"/>
        </w:rPr>
        <w:t>第八十条所列情形的</w:t>
      </w:r>
      <w:bookmarkEnd w:id="93"/>
      <w:r>
        <w:rPr>
          <w:rFonts w:ascii="宋体" w:eastAsia="宋体" w:hAnsi="宋体" w:hint="eastAsia"/>
          <w:kern w:val="2"/>
          <w:sz w:val="21"/>
          <w:szCs w:val="21"/>
          <w:lang w:eastAsia="zh-CN"/>
        </w:rPr>
        <w:t>，政府集中采购机构或采购人不予退还其交纳的谈判保证金，情节严重的，并由主管部门记入供应商诚信档案，予以通报：</w:t>
      </w:r>
    </w:p>
    <w:p>
      <w:pPr>
        <w:widowControl w:val="0"/>
        <w:ind w:firstLine="412" w:firstLineChars="196"/>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（1</w:t>
      </w:r>
      <w:r>
        <w:rPr>
          <w:rFonts w:ascii="宋体" w:eastAsia="宋体" w:hAnsi="宋体"/>
          <w:kern w:val="2"/>
          <w:sz w:val="21"/>
          <w:szCs w:val="21"/>
          <w:lang w:eastAsia="zh-CN"/>
        </w:rPr>
        <w:t>）</w:t>
      </w:r>
      <w:r>
        <w:rPr>
          <w:rFonts w:ascii="宋体" w:eastAsia="宋体" w:hAnsi="宋体" w:hint="eastAsia"/>
          <w:kern w:val="2"/>
          <w:sz w:val="21"/>
          <w:szCs w:val="21"/>
          <w:lang w:eastAsia="zh-CN"/>
        </w:rPr>
        <w:t>谈判</w:t>
      </w:r>
      <w:r>
        <w:rPr>
          <w:rFonts w:ascii="宋体" w:eastAsia="宋体" w:hAnsi="宋体"/>
          <w:kern w:val="2"/>
          <w:sz w:val="21"/>
          <w:szCs w:val="21"/>
          <w:lang w:eastAsia="zh-CN"/>
        </w:rPr>
        <w:t>截止</w:t>
      </w:r>
      <w:r>
        <w:rPr>
          <w:rFonts w:ascii="宋体" w:eastAsia="宋体" w:hAnsi="宋体" w:hint="eastAsia"/>
          <w:kern w:val="2"/>
          <w:sz w:val="21"/>
          <w:szCs w:val="21"/>
          <w:lang w:eastAsia="zh-CN"/>
        </w:rPr>
        <w:t>时间</w:t>
      </w:r>
      <w:r>
        <w:rPr>
          <w:rFonts w:ascii="宋体" w:eastAsia="宋体" w:hAnsi="宋体"/>
          <w:kern w:val="2"/>
          <w:sz w:val="21"/>
          <w:szCs w:val="21"/>
          <w:lang w:eastAsia="zh-CN"/>
        </w:rPr>
        <w:t>后，撤销</w:t>
      </w:r>
      <w:r>
        <w:rPr>
          <w:rFonts w:ascii="宋体" w:eastAsia="宋体" w:hAnsi="宋体" w:hint="eastAsia"/>
          <w:kern w:val="2"/>
          <w:sz w:val="21"/>
          <w:szCs w:val="21"/>
          <w:lang w:eastAsia="zh-CN"/>
        </w:rPr>
        <w:t>应答</w:t>
      </w:r>
      <w:r>
        <w:rPr>
          <w:rFonts w:ascii="宋体" w:eastAsia="宋体" w:hAnsi="宋体"/>
          <w:kern w:val="2"/>
          <w:sz w:val="21"/>
          <w:szCs w:val="21"/>
          <w:lang w:eastAsia="zh-CN"/>
        </w:rPr>
        <w:t>的；</w:t>
      </w:r>
    </w:p>
    <w:p>
      <w:pPr>
        <w:widowControl w:val="0"/>
        <w:ind w:firstLine="412" w:firstLineChars="196"/>
        <w:jc w:val="both"/>
        <w:rPr>
          <w:rFonts w:ascii="宋体" w:eastAsia="宋体" w:hAnsi="宋体" w:hint="eastAsia"/>
          <w:kern w:val="2"/>
          <w:sz w:val="21"/>
          <w:szCs w:val="21"/>
          <w:lang w:eastAsia="zh-CN"/>
        </w:rPr>
      </w:pPr>
      <w:r>
        <w:rPr>
          <w:rFonts w:ascii="宋体" w:eastAsia="宋体" w:hAnsi="宋体"/>
          <w:kern w:val="2"/>
          <w:sz w:val="21"/>
          <w:szCs w:val="21"/>
          <w:lang w:eastAsia="zh-CN"/>
        </w:rPr>
        <w:t>（</w:t>
      </w:r>
      <w:r>
        <w:rPr>
          <w:rFonts w:ascii="宋体" w:eastAsia="宋体" w:hAnsi="宋体" w:hint="eastAsia"/>
          <w:kern w:val="2"/>
          <w:sz w:val="21"/>
          <w:szCs w:val="21"/>
          <w:lang w:eastAsia="zh-CN"/>
        </w:rPr>
        <w:t>2</w:t>
      </w:r>
      <w:r>
        <w:rPr>
          <w:rFonts w:ascii="宋体" w:eastAsia="宋体" w:hAnsi="宋体"/>
          <w:kern w:val="2"/>
          <w:sz w:val="21"/>
          <w:szCs w:val="21"/>
          <w:lang w:eastAsia="zh-CN"/>
        </w:rPr>
        <w:t>）</w:t>
      </w:r>
      <w:r>
        <w:rPr>
          <w:rFonts w:ascii="宋体" w:eastAsia="宋体" w:hAnsi="宋体" w:hint="eastAsia"/>
          <w:kern w:val="2"/>
          <w:sz w:val="21"/>
          <w:szCs w:val="21"/>
          <w:lang w:eastAsia="zh-CN"/>
        </w:rPr>
        <w:t>成交</w:t>
      </w:r>
      <w:r>
        <w:rPr>
          <w:rFonts w:ascii="宋体" w:eastAsia="宋体" w:hAnsi="宋体"/>
          <w:kern w:val="2"/>
          <w:sz w:val="21"/>
          <w:szCs w:val="21"/>
          <w:lang w:eastAsia="zh-CN"/>
        </w:rPr>
        <w:t>后无正当理由未在规定期限内签订合同的；</w:t>
      </w:r>
    </w:p>
    <w:p>
      <w:pPr>
        <w:widowControl w:val="0"/>
        <w:ind w:firstLine="412" w:firstLineChars="196"/>
        <w:jc w:val="both"/>
        <w:rPr>
          <w:rFonts w:ascii="宋体" w:eastAsia="宋体" w:hAnsi="宋体" w:hint="eastAsia"/>
          <w:kern w:val="2"/>
          <w:sz w:val="21"/>
          <w:szCs w:val="21"/>
          <w:lang w:eastAsia="zh-CN"/>
        </w:rPr>
      </w:pPr>
      <w:r>
        <w:rPr>
          <w:rFonts w:ascii="宋体" w:eastAsia="宋体" w:hAnsi="宋体"/>
          <w:kern w:val="2"/>
          <w:sz w:val="21"/>
          <w:szCs w:val="21"/>
          <w:lang w:eastAsia="zh-CN"/>
        </w:rPr>
        <w:t>（</w:t>
      </w:r>
      <w:r>
        <w:rPr>
          <w:rFonts w:ascii="宋体" w:eastAsia="宋体" w:hAnsi="宋体" w:hint="eastAsia"/>
          <w:kern w:val="2"/>
          <w:sz w:val="21"/>
          <w:szCs w:val="21"/>
          <w:lang w:eastAsia="zh-CN"/>
        </w:rPr>
        <w:t>3</w:t>
      </w:r>
      <w:r>
        <w:rPr>
          <w:rFonts w:ascii="宋体" w:eastAsia="宋体" w:hAnsi="宋体"/>
          <w:kern w:val="2"/>
          <w:sz w:val="21"/>
          <w:szCs w:val="21"/>
          <w:lang w:eastAsia="zh-CN"/>
        </w:rPr>
        <w:t>）将</w:t>
      </w:r>
      <w:r>
        <w:rPr>
          <w:rFonts w:ascii="宋体" w:eastAsia="宋体" w:hAnsi="宋体" w:hint="eastAsia"/>
          <w:kern w:val="2"/>
          <w:sz w:val="21"/>
          <w:szCs w:val="21"/>
          <w:lang w:eastAsia="zh-CN"/>
        </w:rPr>
        <w:t>成交</w:t>
      </w:r>
      <w:r>
        <w:rPr>
          <w:rFonts w:ascii="宋体" w:eastAsia="宋体" w:hAnsi="宋体"/>
          <w:kern w:val="2"/>
          <w:sz w:val="21"/>
          <w:szCs w:val="21"/>
          <w:lang w:eastAsia="zh-CN"/>
        </w:rPr>
        <w:t>项目转让给他人或者在</w:t>
      </w:r>
      <w:r>
        <w:rPr>
          <w:rFonts w:ascii="宋体" w:eastAsia="宋体" w:hAnsi="宋体" w:hint="eastAsia"/>
          <w:kern w:val="2"/>
          <w:sz w:val="21"/>
          <w:szCs w:val="21"/>
          <w:lang w:eastAsia="zh-CN"/>
        </w:rPr>
        <w:t>应答</w:t>
      </w:r>
      <w:r>
        <w:rPr>
          <w:rFonts w:ascii="宋体" w:eastAsia="宋体" w:hAnsi="宋体"/>
          <w:kern w:val="2"/>
          <w:sz w:val="21"/>
          <w:szCs w:val="21"/>
          <w:lang w:eastAsia="zh-CN"/>
        </w:rPr>
        <w:t>文件中未说明且未经采购人、政府集中采购机构同意，将</w:t>
      </w:r>
      <w:r>
        <w:rPr>
          <w:rFonts w:ascii="宋体" w:eastAsia="宋体" w:hAnsi="宋体" w:hint="eastAsia"/>
          <w:kern w:val="2"/>
          <w:sz w:val="21"/>
          <w:szCs w:val="21"/>
          <w:lang w:eastAsia="zh-CN"/>
        </w:rPr>
        <w:t>成交</w:t>
      </w:r>
      <w:r>
        <w:rPr>
          <w:rFonts w:ascii="宋体" w:eastAsia="宋体" w:hAnsi="宋体"/>
          <w:kern w:val="2"/>
          <w:sz w:val="21"/>
          <w:szCs w:val="21"/>
          <w:lang w:eastAsia="zh-CN"/>
        </w:rPr>
        <w:t>项目分包给他人的；</w:t>
      </w:r>
    </w:p>
    <w:p>
      <w:pPr>
        <w:widowControl w:val="0"/>
        <w:ind w:firstLine="412" w:firstLineChars="196"/>
        <w:jc w:val="both"/>
        <w:rPr>
          <w:rFonts w:ascii="宋体" w:eastAsia="宋体" w:hAnsi="宋体" w:hint="eastAsia"/>
          <w:kern w:val="2"/>
          <w:sz w:val="21"/>
          <w:szCs w:val="21"/>
          <w:lang w:eastAsia="zh-CN"/>
        </w:rPr>
      </w:pPr>
      <w:r>
        <w:rPr>
          <w:rFonts w:ascii="宋体" w:eastAsia="宋体" w:hAnsi="宋体"/>
          <w:kern w:val="2"/>
          <w:sz w:val="21"/>
          <w:szCs w:val="21"/>
          <w:lang w:eastAsia="zh-CN"/>
        </w:rPr>
        <w:t>（</w:t>
      </w:r>
      <w:r>
        <w:rPr>
          <w:rFonts w:ascii="宋体" w:eastAsia="宋体" w:hAnsi="宋体" w:hint="eastAsia"/>
          <w:kern w:val="2"/>
          <w:sz w:val="21"/>
          <w:szCs w:val="21"/>
          <w:lang w:eastAsia="zh-CN"/>
        </w:rPr>
        <w:t>4</w:t>
      </w:r>
      <w:r>
        <w:rPr>
          <w:rFonts w:ascii="宋体" w:eastAsia="宋体" w:hAnsi="宋体"/>
          <w:kern w:val="2"/>
          <w:sz w:val="21"/>
          <w:szCs w:val="21"/>
          <w:lang w:eastAsia="zh-CN"/>
        </w:rPr>
        <w:t>）拒绝履行合同义务的</w:t>
      </w:r>
      <w:r>
        <w:rPr>
          <w:rFonts w:ascii="宋体" w:eastAsia="宋体" w:hAnsi="宋体" w:hint="eastAsia"/>
          <w:kern w:val="2"/>
          <w:sz w:val="21"/>
          <w:szCs w:val="21"/>
          <w:lang w:eastAsia="zh-CN"/>
        </w:rPr>
        <w:t>。</w:t>
      </w:r>
    </w:p>
    <w:p>
      <w:pPr>
        <w:keepNext/>
        <w:keepLines/>
        <w:widowControl w:val="0"/>
        <w:adjustRightInd w:val="0"/>
        <w:snapToGrid w:val="0"/>
        <w:jc w:val="center"/>
        <w:outlineLvl w:val="1"/>
        <w:rPr>
          <w:rFonts w:ascii="Cambria" w:eastAsia="宋体" w:hAnsi="Cambria"/>
          <w:b/>
          <w:bCs/>
          <w:kern w:val="2"/>
          <w:sz w:val="28"/>
          <w:szCs w:val="28"/>
          <w:lang w:eastAsia="zh-CN"/>
        </w:rPr>
      </w:pPr>
      <w:r>
        <w:rPr>
          <w:rFonts w:ascii="Cambria" w:eastAsia="宋体" w:hAnsi="Cambria" w:cstheme="majorBidi" w:hint="eastAsia"/>
          <w:b/>
          <w:bCs/>
          <w:kern w:val="2"/>
          <w:sz w:val="28"/>
          <w:szCs w:val="28"/>
          <w:lang w:eastAsia="zh-CN"/>
        </w:rPr>
        <w:t>八、质疑处理</w:t>
      </w:r>
    </w:p>
    <w:p>
      <w:pPr>
        <w:widowControl w:val="0"/>
        <w:jc w:val="both"/>
        <w:rPr>
          <w:rFonts w:ascii="黑体" w:eastAsia="黑体" w:hAnsi="宋体" w:hint="eastAsia"/>
          <w:kern w:val="2"/>
          <w:lang w:eastAsia="zh-CN"/>
        </w:rPr>
      </w:pPr>
      <w:r>
        <w:rPr>
          <w:rFonts w:ascii="黑体" w:eastAsia="黑体" w:hAnsi="宋体"/>
          <w:kern w:val="2"/>
          <w:lang w:eastAsia="zh-CN"/>
        </w:rPr>
        <w:t>44</w:t>
      </w:r>
      <w:r>
        <w:rPr>
          <w:rFonts w:ascii="黑体" w:eastAsia="黑体" w:hAnsi="宋体" w:hint="eastAsia"/>
          <w:kern w:val="2"/>
          <w:lang w:eastAsia="zh-CN"/>
        </w:rPr>
        <w:t>.质疑提出与答复</w:t>
      </w:r>
    </w:p>
    <w:p>
      <w:pPr>
        <w:widowControl w:val="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 xml:space="preserve">    </w:t>
      </w:r>
      <w:r>
        <w:rPr>
          <w:rFonts w:ascii="宋体" w:eastAsia="宋体" w:hAnsi="宋体"/>
          <w:kern w:val="2"/>
          <w:sz w:val="21"/>
          <w:szCs w:val="21"/>
          <w:lang w:eastAsia="zh-CN"/>
        </w:rPr>
        <w:t>44</w:t>
      </w:r>
      <w:r>
        <w:rPr>
          <w:rFonts w:ascii="宋体" w:eastAsia="宋体" w:hAnsi="宋体" w:hint="eastAsia"/>
          <w:kern w:val="2"/>
          <w:sz w:val="21"/>
          <w:szCs w:val="21"/>
          <w:lang w:eastAsia="zh-CN"/>
        </w:rPr>
        <w:t>.1提出质疑</w:t>
      </w:r>
    </w:p>
    <w:p>
      <w:pPr>
        <w:widowControl w:val="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 xml:space="preserve">    参与政府采购活动的供应商认为自己的权益在采购活动中受到损害的，应当自知道或者应当知道其权益受到损害之日起七个工作日内向采购人、政府集中采购机构以书面形式提出质疑。</w:t>
      </w:r>
    </w:p>
    <w:p>
      <w:pPr>
        <w:widowControl w:val="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 xml:space="preserve">    </w:t>
      </w:r>
      <w:r>
        <w:rPr>
          <w:rFonts w:ascii="宋体" w:eastAsia="宋体" w:hAnsi="宋体"/>
          <w:kern w:val="2"/>
          <w:sz w:val="21"/>
          <w:szCs w:val="21"/>
          <w:lang w:eastAsia="zh-CN"/>
        </w:rPr>
        <w:t>44</w:t>
      </w:r>
      <w:r>
        <w:rPr>
          <w:rFonts w:ascii="宋体" w:eastAsia="宋体" w:hAnsi="宋体" w:hint="eastAsia"/>
          <w:kern w:val="2"/>
          <w:sz w:val="21"/>
          <w:szCs w:val="21"/>
          <w:lang w:eastAsia="zh-CN"/>
        </w:rPr>
        <w:t>.2</w:t>
      </w:r>
      <w:r>
        <w:rPr>
          <w:rFonts w:ascii="宋体" w:eastAsia="宋体" w:hAnsi="宋体"/>
          <w:kern w:val="2"/>
          <w:sz w:val="21"/>
          <w:szCs w:val="21"/>
          <w:lang w:eastAsia="zh-CN"/>
        </w:rPr>
        <w:t>法律依据</w:t>
      </w:r>
    </w:p>
    <w:p>
      <w:pPr>
        <w:widowControl w:val="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 xml:space="preserve">    《中华人民共和国政府采购法》、《中华人民共和国政府采购法实施条例》、</w:t>
      </w:r>
      <w:r>
        <w:rPr>
          <w:rFonts w:ascii="宋体" w:eastAsia="宋体" w:hAnsi="宋体"/>
          <w:kern w:val="2"/>
          <w:sz w:val="21"/>
          <w:szCs w:val="21"/>
          <w:lang w:eastAsia="zh-CN"/>
        </w:rPr>
        <w:t>《</w:t>
      </w:r>
      <w:r>
        <w:rPr>
          <w:rFonts w:ascii="宋体" w:eastAsia="宋体" w:hAnsi="宋体" w:hint="eastAsia"/>
          <w:kern w:val="2"/>
          <w:sz w:val="21"/>
          <w:szCs w:val="21"/>
          <w:lang w:eastAsia="zh-CN"/>
        </w:rPr>
        <w:t>深圳经济特区政府采购</w:t>
      </w:r>
      <w:r>
        <w:rPr>
          <w:rFonts w:ascii="宋体" w:eastAsia="宋体" w:hAnsi="宋体"/>
          <w:kern w:val="2"/>
          <w:sz w:val="21"/>
          <w:szCs w:val="21"/>
          <w:lang w:eastAsia="zh-CN"/>
        </w:rPr>
        <w:t>条例</w:t>
      </w:r>
      <w:r>
        <w:rPr>
          <w:rFonts w:ascii="宋体" w:eastAsia="宋体" w:hAnsi="宋体" w:hint="eastAsia"/>
          <w:kern w:val="2"/>
          <w:sz w:val="21"/>
          <w:szCs w:val="21"/>
          <w:lang w:eastAsia="zh-CN"/>
        </w:rPr>
        <w:t>》、《深圳经济特区政府采购条例实施细则》、《政府采购质疑和投诉办法》（财政部令第94号）和其他有关法律法规规定。</w:t>
      </w:r>
    </w:p>
    <w:p>
      <w:pPr>
        <w:widowControl w:val="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 xml:space="preserve">  </w:t>
      </w:r>
      <w:r>
        <w:rPr>
          <w:rFonts w:ascii="宋体" w:eastAsia="宋体" w:hAnsi="宋体" w:hint="eastAsia"/>
          <w:color w:val="FF0000"/>
          <w:kern w:val="2"/>
          <w:sz w:val="21"/>
          <w:szCs w:val="21"/>
          <w:lang w:eastAsia="zh-CN"/>
        </w:rPr>
        <w:t xml:space="preserve">  </w:t>
      </w:r>
      <w:r>
        <w:rPr>
          <w:rFonts w:ascii="宋体" w:eastAsia="宋体" w:hAnsi="宋体"/>
          <w:kern w:val="2"/>
          <w:sz w:val="21"/>
          <w:szCs w:val="21"/>
          <w:lang w:eastAsia="zh-CN"/>
        </w:rPr>
        <w:t>44</w:t>
      </w:r>
      <w:r>
        <w:rPr>
          <w:rFonts w:ascii="宋体" w:eastAsia="宋体" w:hAnsi="宋体" w:hint="eastAsia"/>
          <w:kern w:val="2"/>
          <w:sz w:val="21"/>
          <w:szCs w:val="21"/>
          <w:lang w:eastAsia="zh-CN"/>
        </w:rPr>
        <w:t>.3质疑条件</w:t>
      </w:r>
    </w:p>
    <w:p>
      <w:pPr>
        <w:widowControl w:val="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 xml:space="preserve">    </w:t>
      </w:r>
      <w:r>
        <w:rPr>
          <w:rFonts w:ascii="宋体" w:eastAsia="宋体" w:hAnsi="宋体"/>
          <w:kern w:val="2"/>
          <w:sz w:val="21"/>
          <w:szCs w:val="21"/>
          <w:lang w:eastAsia="zh-CN"/>
        </w:rPr>
        <w:t>44</w:t>
      </w:r>
      <w:r>
        <w:rPr>
          <w:rFonts w:ascii="宋体" w:eastAsia="宋体" w:hAnsi="宋体" w:hint="eastAsia"/>
          <w:kern w:val="2"/>
          <w:sz w:val="21"/>
          <w:szCs w:val="21"/>
          <w:lang w:eastAsia="zh-CN"/>
        </w:rPr>
        <w:t>.3.1提出质疑的供应商应当是参与所质疑项目采购活动的供应商；</w:t>
      </w:r>
    </w:p>
    <w:p>
      <w:pPr>
        <w:widowControl w:val="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 xml:space="preserve">    </w:t>
      </w:r>
      <w:bookmarkStart w:id="94" w:name="_Hlk72666302"/>
      <w:r>
        <w:rPr>
          <w:rFonts w:ascii="宋体" w:eastAsia="宋体" w:hAnsi="宋体"/>
          <w:kern w:val="2"/>
          <w:sz w:val="21"/>
          <w:szCs w:val="21"/>
          <w:lang w:eastAsia="zh-CN"/>
        </w:rPr>
        <w:t>44</w:t>
      </w:r>
      <w:r>
        <w:rPr>
          <w:rFonts w:ascii="宋体" w:eastAsia="宋体" w:hAnsi="宋体" w:hint="eastAsia"/>
          <w:kern w:val="2"/>
          <w:sz w:val="21"/>
          <w:szCs w:val="21"/>
          <w:lang w:eastAsia="zh-CN"/>
        </w:rPr>
        <w:t>.3.2应当在法定质疑期内一次性提出针对同一采购程序环节的质疑，法定质疑期为自知道或应当知道权益受到损害之日起7个工作日内。应当知道其权益受到损害之日是指：对招标（谈判）文件的质疑，为招标（谈判）文件公布之日；对采购过程的质疑，为各采购程序环节结束之日；对中标(成交)结果以及评审委员会（谈判小组）组成人员的质疑，为中标（成交）结果公示之日；</w:t>
      </w:r>
      <w:bookmarkEnd w:id="94"/>
    </w:p>
    <w:p>
      <w:pPr>
        <w:widowControl w:val="0"/>
        <w:ind w:firstLine="420"/>
        <w:jc w:val="both"/>
        <w:rPr>
          <w:rFonts w:ascii="宋体" w:eastAsia="宋体" w:hAnsi="宋体" w:hint="eastAsia"/>
          <w:kern w:val="2"/>
          <w:sz w:val="21"/>
          <w:szCs w:val="21"/>
          <w:lang w:eastAsia="zh-CN"/>
        </w:rPr>
      </w:pPr>
      <w:r>
        <w:rPr>
          <w:rFonts w:ascii="宋体" w:eastAsia="宋体" w:hAnsi="宋体"/>
          <w:kern w:val="2"/>
          <w:sz w:val="21"/>
          <w:szCs w:val="21"/>
          <w:lang w:eastAsia="zh-CN"/>
        </w:rPr>
        <w:t>44</w:t>
      </w:r>
      <w:r>
        <w:rPr>
          <w:rFonts w:ascii="宋体" w:eastAsia="宋体" w:hAnsi="宋体" w:hint="eastAsia"/>
          <w:kern w:val="2"/>
          <w:sz w:val="21"/>
          <w:szCs w:val="21"/>
          <w:lang w:eastAsia="zh-CN"/>
        </w:rPr>
        <w:t>.3.3应提交书面质疑函，质疑函应当包括以下内容：</w:t>
      </w:r>
      <w:r>
        <w:rPr>
          <w:rFonts w:ascii="宋体" w:eastAsia="宋体" w:hAnsi="宋体"/>
          <w:kern w:val="2"/>
          <w:sz w:val="21"/>
          <w:szCs w:val="21"/>
          <w:lang w:eastAsia="zh-CN"/>
        </w:rPr>
        <w:t xml:space="preserve"> </w:t>
      </w:r>
    </w:p>
    <w:p>
      <w:pPr>
        <w:widowControl w:val="0"/>
        <w:ind w:firstLine="42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（1）供应商的名称（或者姓名）、地址、邮编、邮箱、联系人及联系电话；</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（2）质疑项目的名称、编号；</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（3）具体、明确的质疑对象、质疑事项和质疑请求；</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（4）因质疑事项而受损害的权益；</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（5）事实依据；</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（6）必要的法律依据；</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（7）提出质疑的日期。</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供应商为自然人的，应当由本人签字；供应商为法人或者其他组织的，应当由法定代表人（负责人），或者其授权代理人签字或者盖章，并加盖公章。</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kern w:val="2"/>
          <w:sz w:val="21"/>
          <w:szCs w:val="21"/>
          <w:lang w:eastAsia="zh-CN"/>
        </w:rPr>
        <w:t>44</w:t>
      </w:r>
      <w:r>
        <w:rPr>
          <w:rFonts w:ascii="宋体" w:eastAsia="宋体" w:hAnsi="宋体" w:hint="eastAsia"/>
          <w:kern w:val="2"/>
          <w:sz w:val="21"/>
          <w:szCs w:val="21"/>
          <w:lang w:eastAsia="zh-CN"/>
        </w:rPr>
        <w:t>.4提交</w:t>
      </w:r>
      <w:r>
        <w:rPr>
          <w:rFonts w:ascii="宋体" w:eastAsia="宋体" w:hAnsi="宋体"/>
          <w:kern w:val="2"/>
          <w:sz w:val="21"/>
          <w:szCs w:val="21"/>
          <w:lang w:eastAsia="zh-CN"/>
        </w:rPr>
        <w:t>材料</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供应商质疑实行实名制。供应商为自然人的，应当提交本人身份证复印件；供应商为法人或者其他组织的，应当根据自身性质提交营业执照复印件或者其他证明文件（如事业单位法人证书等）复印件。</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供应商可以委托代理人进行质疑。</w:t>
      </w:r>
      <w:r>
        <w:rPr>
          <w:rFonts w:ascii="宋体" w:eastAsia="宋体" w:hAnsi="宋体"/>
          <w:kern w:val="2"/>
          <w:sz w:val="21"/>
          <w:szCs w:val="21"/>
          <w:lang w:eastAsia="zh-CN"/>
        </w:rPr>
        <w:t>其授权委托书应当载明代理人的姓名或者名称、代理事项、具体权限、期限和相关事项。供应商为自然人的，应当由本人签字；供应商为法人或者其他组织的，应当由法定代表人、主要负责人签字或者盖章，并加盖公章。</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kern w:val="2"/>
          <w:sz w:val="21"/>
          <w:szCs w:val="21"/>
          <w:lang w:eastAsia="zh-CN"/>
        </w:rPr>
        <w:t>44</w:t>
      </w:r>
      <w:r>
        <w:rPr>
          <w:rFonts w:ascii="宋体" w:eastAsia="宋体" w:hAnsi="宋体" w:hint="eastAsia"/>
          <w:kern w:val="2"/>
          <w:sz w:val="21"/>
          <w:szCs w:val="21"/>
          <w:lang w:eastAsia="zh-CN"/>
        </w:rPr>
        <w:t>.5收文地点</w:t>
      </w:r>
    </w:p>
    <w:p>
      <w:pPr>
        <w:widowControl w:val="0"/>
        <w:ind w:firstLine="420" w:firstLineChars="200"/>
        <w:jc w:val="both"/>
        <w:rPr>
          <w:rFonts w:ascii="宋体" w:eastAsia="宋体" w:hAnsi="宋体" w:hint="eastAsia"/>
          <w:b/>
          <w:bCs/>
          <w:kern w:val="2"/>
          <w:sz w:val="21"/>
          <w:szCs w:val="21"/>
          <w:lang w:eastAsia="zh-CN"/>
        </w:rPr>
      </w:pPr>
      <w:r>
        <w:rPr>
          <w:rFonts w:ascii="宋体" w:eastAsia="宋体" w:hAnsi="宋体" w:hint="eastAsia"/>
          <w:b/>
          <w:bCs/>
          <w:kern w:val="2"/>
          <w:sz w:val="21"/>
          <w:szCs w:val="21"/>
          <w:lang w:eastAsia="zh-CN"/>
        </w:rPr>
        <w:t>地址：深圳公共资源交易中心（深圳交易集团有限公司政府采购业务分公司）深圳市南山区沙河西路3185号南山智谷A座（深圳交易集团总部大楼）27楼，质疑咨询电话：0755-86500050。</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kern w:val="2"/>
          <w:sz w:val="21"/>
          <w:szCs w:val="21"/>
          <w:lang w:eastAsia="zh-CN"/>
        </w:rPr>
        <w:t>44</w:t>
      </w:r>
      <w:r>
        <w:rPr>
          <w:rFonts w:ascii="宋体" w:eastAsia="宋体" w:hAnsi="宋体" w:hint="eastAsia"/>
          <w:kern w:val="2"/>
          <w:sz w:val="21"/>
          <w:szCs w:val="21"/>
          <w:lang w:eastAsia="zh-CN"/>
        </w:rPr>
        <w:t>.6收文办理</w:t>
      </w:r>
      <w:r>
        <w:rPr>
          <w:rFonts w:ascii="宋体" w:eastAsia="宋体" w:hAnsi="宋体"/>
          <w:kern w:val="2"/>
          <w:sz w:val="21"/>
          <w:szCs w:val="21"/>
          <w:lang w:eastAsia="zh-CN"/>
        </w:rPr>
        <w:t>程序</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kern w:val="2"/>
          <w:sz w:val="21"/>
          <w:szCs w:val="21"/>
          <w:lang w:eastAsia="zh-CN"/>
        </w:rPr>
        <w:t>44</w:t>
      </w:r>
      <w:r>
        <w:rPr>
          <w:rFonts w:ascii="宋体" w:eastAsia="宋体" w:hAnsi="宋体" w:hint="eastAsia"/>
          <w:kern w:val="2"/>
          <w:sz w:val="21"/>
          <w:szCs w:val="21"/>
          <w:lang w:eastAsia="zh-CN"/>
        </w:rPr>
        <w:t>.6.1供应商提交的质疑符合受理条件的，政府集中采购机构自收到质疑材料之日起即为受理，应当向供应商出具质疑函收文回执并可以要求其递交质疑的法定代表人（负责人）或者授权代理人签署质疑文书送达地址确认书。</w:t>
      </w:r>
    </w:p>
    <w:p>
      <w:pPr>
        <w:widowControl w:val="0"/>
        <w:ind w:firstLine="420" w:firstLineChars="200"/>
        <w:jc w:val="both"/>
        <w:rPr>
          <w:rFonts w:ascii="仿宋" w:eastAsia="仿宋" w:hAnsi="仿宋" w:hint="eastAsia"/>
          <w:kern w:val="2"/>
          <w:sz w:val="28"/>
          <w:szCs w:val="28"/>
          <w:lang w:eastAsia="zh-CN"/>
        </w:rPr>
      </w:pPr>
      <w:r>
        <w:rPr>
          <w:rFonts w:ascii="宋体" w:eastAsia="宋体" w:hAnsi="宋体"/>
          <w:kern w:val="2"/>
          <w:sz w:val="21"/>
          <w:szCs w:val="21"/>
          <w:lang w:eastAsia="zh-CN"/>
        </w:rPr>
        <w:t>44</w:t>
      </w:r>
      <w:r>
        <w:rPr>
          <w:rFonts w:ascii="宋体" w:eastAsia="宋体" w:hAnsi="宋体" w:hint="eastAsia"/>
          <w:kern w:val="2"/>
          <w:sz w:val="21"/>
          <w:szCs w:val="21"/>
          <w:lang w:eastAsia="zh-CN"/>
        </w:rPr>
        <w:t>.6.2供应商提交的质疑材料不符合质疑条件的，视情况处理：</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供应商提交的质疑材料不全或者未按要求签字或者盖章的，政府集中采购机构应当一次性告知供应商需补正的内容和补正期限。</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供应商提交的质疑存在下列情形之一的，不予受理：</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（1）质疑主体不满足要求的；</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（2）供应商自身权益未受到损害的；</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（3）供应商未在法定质疑期限内提出质疑的；</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（4）质疑材料不全或者未按要求签字或者盖章的情况下，要求补正后，逾期未补正或者补正后仍不符合规定的；</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（5）其他不符合受理条件情形的。</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质疑事项不予受理的，政府集中采购机构应当向供应商出具不符合质疑条件告知书。</w:t>
      </w:r>
    </w:p>
    <w:p>
      <w:pPr>
        <w:widowControl w:val="0"/>
        <w:jc w:val="both"/>
        <w:rPr>
          <w:rFonts w:ascii="宋体" w:eastAsia="宋体" w:hAnsi="宋体" w:hint="eastAsia"/>
          <w:kern w:val="2"/>
          <w:sz w:val="21"/>
          <w:szCs w:val="21"/>
          <w:lang w:eastAsia="zh-CN"/>
        </w:rPr>
      </w:pPr>
      <w:r>
        <w:rPr>
          <w:rFonts w:ascii="宋体" w:eastAsia="宋体" w:hAnsi="宋体" w:hint="eastAsia"/>
          <w:color w:val="FF0000"/>
          <w:kern w:val="2"/>
          <w:sz w:val="21"/>
          <w:szCs w:val="21"/>
          <w:lang w:eastAsia="zh-CN"/>
        </w:rPr>
        <w:t xml:space="preserve">  </w:t>
      </w:r>
      <w:r>
        <w:rPr>
          <w:rFonts w:ascii="宋体" w:eastAsia="宋体" w:hAnsi="宋体" w:hint="eastAsia"/>
          <w:kern w:val="2"/>
          <w:sz w:val="21"/>
          <w:szCs w:val="21"/>
          <w:lang w:eastAsia="zh-CN"/>
        </w:rPr>
        <w:t xml:space="preserve">  </w:t>
      </w:r>
      <w:r>
        <w:rPr>
          <w:rFonts w:ascii="宋体" w:eastAsia="宋体" w:hAnsi="宋体"/>
          <w:kern w:val="2"/>
          <w:sz w:val="21"/>
          <w:szCs w:val="21"/>
          <w:lang w:eastAsia="zh-CN"/>
        </w:rPr>
        <w:t>44</w:t>
      </w:r>
      <w:r>
        <w:rPr>
          <w:rFonts w:ascii="宋体" w:eastAsia="宋体" w:hAnsi="宋体" w:hint="eastAsia"/>
          <w:kern w:val="2"/>
          <w:sz w:val="21"/>
          <w:szCs w:val="21"/>
          <w:lang w:eastAsia="zh-CN"/>
        </w:rPr>
        <w:t>.7质疑答复时限</w:t>
      </w:r>
    </w:p>
    <w:p>
      <w:pPr>
        <w:widowControl w:val="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 xml:space="preserve">    自收文之日起七个工作日内。</w:t>
      </w:r>
    </w:p>
    <w:p>
      <w:pPr>
        <w:widowControl w:val="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 xml:space="preserve">    </w:t>
      </w:r>
      <w:r>
        <w:rPr>
          <w:rFonts w:ascii="宋体" w:eastAsia="宋体" w:hAnsi="宋体"/>
          <w:kern w:val="2"/>
          <w:sz w:val="21"/>
          <w:szCs w:val="21"/>
          <w:lang w:eastAsia="zh-CN"/>
        </w:rPr>
        <w:t>44</w:t>
      </w:r>
      <w:r>
        <w:rPr>
          <w:rFonts w:ascii="宋体" w:eastAsia="宋体" w:hAnsi="宋体" w:hint="eastAsia"/>
          <w:kern w:val="2"/>
          <w:sz w:val="21"/>
          <w:szCs w:val="21"/>
          <w:lang w:eastAsia="zh-CN"/>
        </w:rPr>
        <w:t>.8投诉</w:t>
      </w:r>
    </w:p>
    <w:p>
      <w:pPr>
        <w:widowControl w:val="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 xml:space="preserve">    对质疑答复不满意或者未在规定时间内答复的，提出质疑的供应商可以在答复期满后15个工作日内向本项目预算主管单位投诉。</w:t>
      </w:r>
    </w:p>
    <w:p>
      <w:pPr>
        <w:widowControl w:val="0"/>
        <w:jc w:val="both"/>
        <w:rPr>
          <w:rFonts w:ascii="黑体" w:eastAsia="黑体" w:hAnsi="宋体" w:hint="eastAsia"/>
          <w:kern w:val="2"/>
          <w:lang w:eastAsia="zh-CN"/>
        </w:rPr>
      </w:pPr>
      <w:r>
        <w:rPr>
          <w:rFonts w:ascii="黑体" w:eastAsia="黑体" w:hAnsi="宋体"/>
          <w:kern w:val="2"/>
          <w:lang w:eastAsia="zh-CN"/>
        </w:rPr>
        <w:t>45</w:t>
      </w:r>
      <w:r>
        <w:rPr>
          <w:rFonts w:ascii="黑体" w:eastAsia="黑体" w:hAnsi="宋体" w:hint="eastAsia"/>
          <w:kern w:val="2"/>
          <w:lang w:eastAsia="zh-CN"/>
        </w:rPr>
        <w:t>. 质疑后续处理</w:t>
      </w:r>
    </w:p>
    <w:p>
      <w:pPr>
        <w:widowControl w:val="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 xml:space="preserve">    </w:t>
      </w:r>
      <w:r>
        <w:rPr>
          <w:rFonts w:ascii="宋体" w:eastAsia="宋体" w:hAnsi="宋体"/>
          <w:kern w:val="2"/>
          <w:sz w:val="21"/>
          <w:szCs w:val="21"/>
          <w:lang w:eastAsia="zh-CN"/>
        </w:rPr>
        <w:t>45</w:t>
      </w:r>
      <w:r>
        <w:rPr>
          <w:rFonts w:ascii="宋体" w:eastAsia="宋体" w:hAnsi="宋体" w:hint="eastAsia"/>
          <w:kern w:val="2"/>
          <w:sz w:val="21"/>
          <w:szCs w:val="21"/>
          <w:lang w:eastAsia="zh-CN"/>
        </w:rPr>
        <w:t>.1供应商质疑不成立，或者成立但未对中标、成交结果构成影响的，继续开展采购活动。</w:t>
      </w:r>
    </w:p>
    <w:p>
      <w:pPr>
        <w:widowControl w:val="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 xml:space="preserve">    </w:t>
      </w:r>
      <w:r>
        <w:rPr>
          <w:rFonts w:ascii="宋体" w:eastAsia="宋体" w:hAnsi="宋体"/>
          <w:kern w:val="2"/>
          <w:sz w:val="21"/>
          <w:szCs w:val="21"/>
          <w:lang w:eastAsia="zh-CN"/>
        </w:rPr>
        <w:t>45</w:t>
      </w:r>
      <w:r>
        <w:rPr>
          <w:rFonts w:ascii="宋体" w:eastAsia="宋体" w:hAnsi="宋体" w:hint="eastAsia"/>
          <w:kern w:val="2"/>
          <w:sz w:val="21"/>
          <w:szCs w:val="21"/>
          <w:lang w:eastAsia="zh-CN"/>
        </w:rPr>
        <w:t>.2供应商质疑成立且影响或者可能影响中标、成交结果的，按照下列情况处理：（1）对谈判文件提出的质疑，依法通过澄清或者修改可以继续开展采购活动的，澄清或者修改谈判文件后继续开展采购活动；否则应当修改谈判文件后重新开展采购活动。（2）对采购过程、中标或者成交结果提出的质疑，合格供应商符合法定数量时，可以从合格的中标或者成交候选人中另行确定中标、成交供应商的，应当依法另行确定中标、成交供应商；否则应当重新开展采购活动。</w:t>
      </w:r>
      <w:bookmarkEnd w:id="92"/>
    </w:p>
    <w:p>
      <w:pPr>
        <w:widowControl w:val="0"/>
        <w:jc w:val="center"/>
        <w:rPr>
          <w:rFonts w:eastAsia="宋体"/>
          <w:kern w:val="2"/>
          <w:sz w:val="21"/>
          <w:lang w:eastAsia="zh-CN"/>
        </w:rPr>
      </w:pPr>
      <w:r>
        <w:rPr>
          <w:rFonts w:eastAsia="宋体"/>
          <w:kern w:val="2"/>
          <w:sz w:val="21"/>
          <w:lang w:eastAsia="zh-CN"/>
        </w:rPr>
        <w:t>---- END ----</w:t>
      </w:r>
    </w:p>
    <w:p>
      <w:pPr>
        <w:widowControl w:val="0"/>
        <w:spacing w:line="360" w:lineRule="auto"/>
        <w:ind w:firstLine="560"/>
        <w:jc w:val="left"/>
        <w:rPr>
          <w:rFonts w:eastAsia="宋体"/>
          <w:kern w:val="2"/>
          <w:sz w:val="21"/>
          <w:lang w:eastAsia="zh-CN"/>
        </w:rPr>
      </w:pPr>
    </w:p>
    <w:p>
      <w:pPr>
        <w:widowControl w:val="0"/>
        <w:spacing w:line="360" w:lineRule="auto"/>
        <w:ind w:firstLine="560"/>
        <w:jc w:val="left"/>
        <w:rPr>
          <w:rFonts w:eastAsia="宋体"/>
          <w:kern w:val="2"/>
          <w:sz w:val="21"/>
          <w:lang w:eastAsia="zh-CN"/>
        </w:rPr>
      </w:pPr>
    </w:p>
    <w:p>
      <w:pPr>
        <w:widowControl w:val="0"/>
        <w:spacing w:line="360" w:lineRule="auto"/>
        <w:ind w:firstLine="560"/>
        <w:jc w:val="left"/>
        <w:rPr>
          <w:rFonts w:eastAsia="宋体"/>
          <w:kern w:val="2"/>
          <w:sz w:val="21"/>
          <w:lang w:eastAsia="zh-CN"/>
        </w:rPr>
      </w:pPr>
    </w:p>
    <w:p>
      <w:pPr>
        <w:widowControl w:val="0"/>
        <w:spacing w:line="360" w:lineRule="auto"/>
        <w:ind w:firstLine="560"/>
        <w:jc w:val="left"/>
        <w:rPr>
          <w:rFonts w:eastAsia="宋体"/>
          <w:kern w:val="2"/>
          <w:sz w:val="21"/>
          <w:lang w:eastAsia="zh-CN"/>
        </w:rPr>
      </w:pPr>
    </w:p>
    <w:p>
      <w:pPr>
        <w:widowControl w:val="0"/>
        <w:jc w:val="both"/>
        <w:rPr>
          <w:rFonts w:eastAsia="宋体"/>
          <w:kern w:val="2"/>
          <w:sz w:val="21"/>
          <w:lang w:eastAsia="zh-CN"/>
        </w:rPr>
        <w:sectPr>
          <w:pgSz w:w="11907" w:h="16840"/>
          <w:pgMar w:top="1440" w:right="1797" w:bottom="1440" w:left="1797" w:header="851" w:footer="992" w:gutter="0"/>
          <w:cols w:num="1" w:space="425"/>
          <w:titlePg/>
          <w:docGrid w:linePitch="462" w:charSpace="0"/>
        </w:sectPr>
      </w:pPr>
    </w:p>
    <w:p>
      <w:pPr>
        <w:pBdr>
          <w:top w:val="none" w:sz="0" w:space="0" w:color="auto"/>
          <w:left w:val="single" w:sz="6" w:space="0" w:color="DDDDDD"/>
          <w:bottom w:val="none" w:sz="0" w:space="0" w:color="auto"/>
          <w:right w:val="single" w:sz="6" w:space="0" w:color="DDDDDD"/>
        </w:pBdr>
        <w:spacing w:before="0" w:after="0" w:line="648" w:lineRule="atLeast"/>
        <w:ind w:left="15" w:right="15"/>
        <w:jc w:val="center"/>
        <w:outlineLvl w:val="0"/>
        <w:rPr>
          <w:rFonts w:ascii="FangSong" w:eastAsia="FangSong" w:hAnsi="FangSong" w:cs="FangSong"/>
          <w:b/>
          <w:bCs/>
          <w:color w:val="000000"/>
          <w:sz w:val="48"/>
          <w:szCs w:val="48"/>
          <w:lang w:val="en" w:eastAsia="en"/>
        </w:rPr>
      </w:pPr>
      <w:r>
        <w:rPr>
          <w:rFonts w:ascii="FangSong" w:eastAsia="FangSong" w:hAnsi="FangSong" w:cs="FangSong"/>
          <w:b/>
          <w:bCs/>
          <w:color w:val="000000"/>
          <w:sz w:val="48"/>
          <w:szCs w:val="48"/>
          <w:lang w:val="en" w:eastAsia="en"/>
        </w:rPr>
        <w:t>投标文件格式</w:t>
      </w:r>
    </w:p>
    <w:p>
      <w:pPr>
        <w:pBdr>
          <w:top w:val="none" w:sz="0" w:space="0" w:color="auto"/>
          <w:left w:val="none" w:sz="0" w:space="0" w:color="auto"/>
          <w:bottom w:val="none" w:sz="0" w:space="0" w:color="auto"/>
          <w:right w:val="none" w:sz="0" w:space="0" w:color="auto"/>
        </w:pBdr>
        <w:spacing w:before="0" w:after="0" w:line="504" w:lineRule="atLeast"/>
        <w:ind w:left="15" w:right="15"/>
        <w:jc w:val="center"/>
        <w:rPr>
          <w:rFonts w:ascii="FangSong" w:eastAsia="FangSong" w:hAnsi="FangSong" w:cs="FangSong"/>
          <w:b/>
          <w:bCs/>
          <w:color w:val="333333"/>
          <w:sz w:val="28"/>
          <w:szCs w:val="28"/>
          <w:lang w:val="en" w:eastAsia="en"/>
        </w:rPr>
      </w:pPr>
      <w:r>
        <w:rPr>
          <w:rFonts w:ascii="FangSong" w:eastAsia="FangSong" w:hAnsi="FangSong" w:cs="FangSong"/>
          <w:b/>
          <w:bCs/>
          <w:color w:val="333333"/>
          <w:sz w:val="28"/>
          <w:szCs w:val="28"/>
          <w:lang w:val="en" w:eastAsia="en"/>
        </w:rPr>
        <w:t>盐田科技大厦福彩办公区域物业管理服务项目</w:t>
      </w:r>
    </w:p>
    <w:tbl>
      <w:tblPr>
        <w:tblStyle w:val="typotable"/>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
      <w:tblGrid>
        <w:gridCol w:w="1644"/>
        <w:gridCol w:w="7492"/>
      </w:tblGrid>
      <w:tr>
        <w:tblPrEx>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Ex>
        <w:trPr>
          <w:tblHeader/>
        </w:trPr>
        <w:tc>
          <w:tcPr>
            <w:tcW w:w="9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序号</w:t>
            </w:r>
          </w:p>
        </w:tc>
        <w:tc>
          <w:tcPr>
            <w:tcW w:w="41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文件夹/文件名称</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应答书</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2</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采购应答及履约承诺函</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3</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供应商情况及资格证明文件</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4</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分项报价清单</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5</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经验评价</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6</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谈判应答文件签署授权委托书</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7</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法定代表人（负责人）证明书</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8</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投标人认为需要加以说明的其他内容（格式自定）</w:t>
            </w:r>
          </w:p>
        </w:tc>
      </w:tr>
    </w:tbl>
    <w:p>
      <w:pPr>
        <w:pBdr>
          <w:top w:val="none" w:sz="0" w:space="0" w:color="auto"/>
          <w:left w:val="none" w:sz="0" w:space="0" w:color="auto"/>
          <w:bottom w:val="none" w:sz="0" w:space="0" w:color="auto"/>
          <w:right w:val="none" w:sz="0" w:space="0" w:color="auto"/>
        </w:pBdr>
        <w:spacing w:line="432" w:lineRule="atLeast"/>
        <w:rPr>
          <w:rFonts w:ascii="FangSong" w:eastAsia="FangSong" w:hAnsi="FangSong" w:cs="FangSong"/>
          <w:b/>
          <w:bCs/>
          <w:color w:val="333333"/>
          <w:lang w:val="en" w:eastAsia="en"/>
        </w:rPr>
        <w:sectPr>
          <w:pgMar w:header="708" w:footer="708"/>
          <w:cols w:space="708"/>
        </w:sectPr>
      </w:pPr>
    </w:p>
    <w:p>
      <w:pPr>
        <w:pBdr>
          <w:top w:val="none" w:sz="0" w:space="0" w:color="auto"/>
          <w:left w:val="single" w:sz="6" w:space="0" w:color="DDDDDD"/>
          <w:bottom w:val="none" w:sz="0" w:space="0" w:color="auto"/>
          <w:right w:val="single" w:sz="6" w:space="0" w:color="DDDDDD"/>
        </w:pBdr>
        <w:spacing w:before="0" w:after="0" w:line="648" w:lineRule="atLeast"/>
        <w:ind w:left="15" w:right="15"/>
        <w:jc w:val="center"/>
        <w:outlineLvl w:val="0"/>
        <w:rPr>
          <w:rFonts w:ascii="FangSong" w:eastAsia="FangSong" w:hAnsi="FangSong" w:cs="FangSong"/>
          <w:b/>
          <w:bCs/>
          <w:color w:val="000000"/>
          <w:sz w:val="48"/>
          <w:szCs w:val="48"/>
          <w:lang w:val="en" w:eastAsia="en"/>
        </w:rPr>
      </w:pPr>
      <w:r>
        <w:rPr>
          <w:rFonts w:ascii="FangSong" w:eastAsia="FangSong" w:hAnsi="FangSong" w:cs="FangSong"/>
          <w:b/>
          <w:bCs/>
          <w:color w:val="000000"/>
          <w:sz w:val="48"/>
          <w:szCs w:val="48"/>
          <w:lang w:val="en" w:eastAsia="en"/>
        </w:rPr>
        <w:t>评标办法附表</w:t>
      </w:r>
    </w:p>
    <w:p>
      <w:pPr>
        <w:pBdr>
          <w:top w:val="none" w:sz="0" w:space="0" w:color="auto"/>
          <w:left w:val="none" w:sz="0" w:space="0" w:color="auto"/>
          <w:bottom w:val="none" w:sz="0" w:space="0" w:color="auto"/>
          <w:right w:val="none" w:sz="0" w:space="0" w:color="auto"/>
        </w:pBdr>
        <w:spacing w:before="0" w:after="288" w:line="432" w:lineRule="atLeast"/>
        <w:ind w:left="15" w:right="15"/>
        <w:rPr>
          <w:rFonts w:ascii="Microsoft YaHei" w:eastAsia="Microsoft YaHei" w:hAnsi="Microsoft YaHei" w:cs="Microsoft YaHei"/>
          <w:color w:val="333333"/>
          <w:lang w:val="en" w:eastAsia="en"/>
        </w:rPr>
      </w:pPr>
      <w:r>
        <w:rPr>
          <w:rFonts w:ascii="FangSong" w:eastAsia="FangSong" w:hAnsi="FangSong" w:cs="FangSong"/>
          <w:b/>
          <w:bCs/>
          <w:color w:val="333333"/>
          <w:sz w:val="28"/>
          <w:szCs w:val="28"/>
          <w:lang w:val="en" w:eastAsia="en"/>
        </w:rPr>
        <w:t>1.标段基本信息</w:t>
      </w:r>
    </w:p>
    <w:p>
      <w:pPr>
        <w:pBdr>
          <w:top w:val="none" w:sz="0" w:space="0" w:color="auto"/>
          <w:left w:val="none" w:sz="0" w:space="0" w:color="auto"/>
          <w:bottom w:val="none" w:sz="0" w:space="0" w:color="auto"/>
          <w:right w:val="none" w:sz="0" w:space="0" w:color="auto"/>
        </w:pBdr>
        <w:spacing w:after="0" w:line="432" w:lineRule="atLeast"/>
        <w:ind w:left="15" w:right="15"/>
        <w:rPr>
          <w:rFonts w:ascii="FangSong" w:eastAsia="FangSong" w:hAnsi="FangSong" w:cs="FangSong"/>
          <w:color w:val="333333"/>
          <w:lang w:val="en" w:eastAsia="en"/>
        </w:rPr>
      </w:pPr>
      <w:r>
        <w:rPr>
          <w:rFonts w:ascii="FangSong" w:eastAsia="FangSong" w:hAnsi="FangSong" w:cs="FangSong"/>
          <w:color w:val="333333"/>
          <w:lang w:val="en" w:eastAsia="en"/>
        </w:rPr>
        <w:t>标段编号：</w:t>
      </w:r>
      <w:r>
        <w:rPr>
          <w:rFonts w:ascii="Microsoft YaHei" w:eastAsia="Microsoft YaHei" w:hAnsi="Microsoft YaHei" w:cs="Microsoft YaHei"/>
          <w:color w:val="333333"/>
          <w:lang w:val="en" w:eastAsia="en"/>
        </w:rPr>
        <w:t xml:space="preserve"> </w:t>
      </w:r>
      <w:r>
        <w:rPr>
          <w:rFonts w:ascii="FangSong" w:eastAsia="FangSong" w:hAnsi="FangSong" w:cs="FangSong"/>
          <w:color w:val="333333"/>
          <w:u w:val="single" w:color="333333"/>
          <w:lang w:val="en" w:eastAsia="en"/>
        </w:rPr>
        <w:t>SZZXCG-2025-00074-001</w:t>
      </w:r>
      <w:r>
        <w:rPr>
          <w:rFonts w:ascii="FangSong" w:eastAsia="FangSong" w:hAnsi="FangSong" w:cs="FangSong"/>
          <w:color w:val="333333"/>
          <w:u w:val="single" w:color="333333"/>
          <w:lang w:val="en" w:eastAsia="en"/>
        </w:rPr>
        <w:br/>
      </w:r>
      <w:r>
        <w:rPr>
          <w:rFonts w:ascii="FangSong" w:eastAsia="FangSong" w:hAnsi="FangSong" w:cs="FangSong"/>
          <w:color w:val="333333"/>
          <w:lang w:val="en" w:eastAsia="en"/>
        </w:rPr>
        <w:t>标段名称：</w:t>
      </w:r>
      <w:r>
        <w:rPr>
          <w:rFonts w:ascii="Microsoft YaHei" w:eastAsia="Microsoft YaHei" w:hAnsi="Microsoft YaHei" w:cs="Microsoft YaHei"/>
          <w:color w:val="333333"/>
          <w:lang w:val="en" w:eastAsia="en"/>
        </w:rPr>
        <w:t xml:space="preserve"> </w:t>
      </w:r>
      <w:r>
        <w:rPr>
          <w:rFonts w:ascii="FangSong" w:eastAsia="FangSong" w:hAnsi="FangSong" w:cs="FangSong"/>
          <w:color w:val="333333"/>
          <w:u w:val="single" w:color="333333"/>
          <w:lang w:val="en" w:eastAsia="en"/>
        </w:rPr>
        <w:t>盐田科技大厦福彩办公区域物业管理服务项目</w:t>
      </w:r>
      <w:r>
        <w:rPr>
          <w:rFonts w:ascii="FangSong" w:eastAsia="FangSong" w:hAnsi="FangSong" w:cs="FangSong"/>
          <w:color w:val="333333"/>
          <w:u w:val="single" w:color="333333"/>
          <w:lang w:val="en" w:eastAsia="en"/>
        </w:rPr>
        <w:br/>
      </w:r>
    </w:p>
    <w:p>
      <w:pPr>
        <w:keepLines/>
        <w:pBdr>
          <w:top w:val="none" w:sz="0" w:space="0" w:color="auto"/>
          <w:left w:val="none" w:sz="0" w:space="0" w:color="auto"/>
          <w:bottom w:val="none" w:sz="0" w:space="0" w:color="auto"/>
          <w:right w:val="none" w:sz="0" w:space="0" w:color="auto"/>
        </w:pBdr>
        <w:spacing w:before="0" w:after="0" w:line="432" w:lineRule="atLeast"/>
        <w:ind w:left="15" w:right="15"/>
        <w:rPr>
          <w:rFonts w:ascii="Microsoft YaHei" w:eastAsia="Microsoft YaHei" w:hAnsi="Microsoft YaHei" w:cs="Microsoft YaHei"/>
          <w:color w:val="333333"/>
          <w:lang w:val="en" w:eastAsia="en"/>
        </w:rPr>
      </w:pPr>
    </w:p>
    <w:p>
      <w:pPr>
        <w:pBdr>
          <w:top w:val="none" w:sz="0" w:space="0" w:color="auto"/>
          <w:left w:val="none" w:sz="0" w:space="0" w:color="auto"/>
          <w:bottom w:val="none" w:sz="0" w:space="0" w:color="auto"/>
          <w:right w:val="none" w:sz="0" w:space="0" w:color="auto"/>
        </w:pBdr>
        <w:spacing w:before="0" w:after="288" w:line="432" w:lineRule="atLeast"/>
        <w:ind w:left="15" w:right="15"/>
        <w:rPr>
          <w:rFonts w:ascii="Microsoft YaHei" w:eastAsia="Microsoft YaHei" w:hAnsi="Microsoft YaHei" w:cs="Microsoft YaHei"/>
          <w:color w:val="333333"/>
          <w:lang w:val="en" w:eastAsia="en"/>
        </w:rPr>
      </w:pPr>
      <w:r>
        <w:rPr>
          <w:rFonts w:ascii="FangSong" w:eastAsia="FangSong" w:hAnsi="FangSong" w:cs="FangSong"/>
          <w:b/>
          <w:bCs/>
          <w:color w:val="333333"/>
          <w:sz w:val="28"/>
          <w:szCs w:val="28"/>
          <w:lang w:val="en" w:eastAsia="en"/>
        </w:rPr>
        <w:t>2.入围参数</w:t>
      </w:r>
    </w:p>
    <w:p>
      <w:pPr>
        <w:keepLines/>
        <w:pBdr>
          <w:top w:val="none" w:sz="0" w:space="0" w:color="auto"/>
          <w:left w:val="none" w:sz="0" w:space="0" w:color="auto"/>
          <w:bottom w:val="none" w:sz="0" w:space="0" w:color="auto"/>
          <w:right w:val="none" w:sz="0" w:space="0" w:color="auto"/>
        </w:pBdr>
        <w:spacing w:before="0" w:after="0" w:line="432" w:lineRule="atLeast"/>
        <w:ind w:left="15" w:right="15"/>
        <w:rPr>
          <w:rFonts w:ascii="Microsoft YaHei" w:eastAsia="Microsoft YaHei" w:hAnsi="Microsoft YaHei" w:cs="Microsoft YaHei"/>
          <w:color w:val="333333"/>
          <w:lang w:val="en" w:eastAsia="en"/>
        </w:rPr>
      </w:pPr>
      <w:r>
        <w:rPr>
          <w:rFonts w:ascii="FangSong" w:eastAsia="FangSong" w:hAnsi="FangSong" w:cs="FangSong"/>
          <w:color w:val="333333"/>
          <w:lang w:val="en" w:eastAsia="en"/>
        </w:rPr>
        <w:t>是否过多投标人淘汰：</w:t>
      </w:r>
      <w:r>
        <w:rPr>
          <w:rFonts w:ascii="Microsoft YaHei" w:eastAsia="Microsoft YaHei" w:hAnsi="Microsoft YaHei" w:cs="Microsoft YaHei"/>
          <w:color w:val="333333"/>
          <w:lang w:val="en" w:eastAsia="en"/>
        </w:rPr>
        <w:t xml:space="preserve"> </w:t>
      </w:r>
      <w:r>
        <w:rPr>
          <w:rFonts w:ascii="FangSong" w:eastAsia="FangSong" w:hAnsi="FangSong" w:cs="FangSong"/>
          <w:color w:val="333333"/>
          <w:lang w:val="en" w:eastAsia="en"/>
        </w:rPr>
        <w:t>否</w:t>
      </w:r>
    </w:p>
    <w:p>
      <w:pPr>
        <w:pBdr>
          <w:top w:val="none" w:sz="0" w:space="0" w:color="auto"/>
          <w:left w:val="none" w:sz="0" w:space="0" w:color="auto"/>
          <w:bottom w:val="none" w:sz="0" w:space="0" w:color="auto"/>
          <w:right w:val="none" w:sz="0" w:space="0" w:color="auto"/>
        </w:pBdr>
        <w:spacing w:before="0" w:after="288" w:line="432" w:lineRule="atLeast"/>
        <w:ind w:left="15" w:right="15"/>
        <w:rPr>
          <w:rFonts w:ascii="Microsoft YaHei" w:eastAsia="Microsoft YaHei" w:hAnsi="Microsoft YaHei" w:cs="Microsoft YaHei"/>
          <w:color w:val="333333"/>
          <w:lang w:val="en" w:eastAsia="en"/>
        </w:rPr>
      </w:pPr>
      <w:r>
        <w:rPr>
          <w:rFonts w:ascii="FangSong" w:eastAsia="FangSong" w:hAnsi="FangSong" w:cs="FangSong"/>
          <w:b/>
          <w:bCs/>
          <w:color w:val="333333"/>
          <w:sz w:val="28"/>
          <w:szCs w:val="28"/>
          <w:lang w:val="en" w:eastAsia="en"/>
        </w:rPr>
        <w:t>3.评审步骤</w:t>
      </w:r>
    </w:p>
    <w:tbl>
      <w:tblPr>
        <w:tblStyle w:val="typotable0"/>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
      <w:tblGrid>
        <w:gridCol w:w="1305"/>
        <w:gridCol w:w="7831"/>
      </w:tblGrid>
      <w:tr>
        <w:tblPrEx>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Ex>
        <w:trPr>
          <w:cantSplit/>
          <w:tblHeader/>
        </w:trPr>
        <w:tc>
          <w:tcPr>
            <w:tcW w:w="5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序号</w:t>
            </w:r>
          </w:p>
        </w:tc>
        <w:tc>
          <w:tcPr>
            <w:tcW w:w="30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评审步骤</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资格评审</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2</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资格及符合性审查</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3</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报价修正</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4</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谈判磋商</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5</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投标报价排名</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6</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推荐中标候选人</w:t>
            </w:r>
          </w:p>
        </w:tc>
      </w:tr>
    </w:tbl>
    <w:p>
      <w:pPr>
        <w:pBdr>
          <w:top w:val="none" w:sz="0" w:space="0" w:color="auto"/>
          <w:left w:val="none" w:sz="0" w:space="0" w:color="auto"/>
          <w:bottom w:val="none" w:sz="0" w:space="0" w:color="auto"/>
          <w:right w:val="none" w:sz="0" w:space="0" w:color="auto"/>
        </w:pBdr>
        <w:spacing w:after="0" w:line="432" w:lineRule="atLeast"/>
        <w:ind w:left="15" w:right="15"/>
        <w:rPr>
          <w:rFonts w:ascii="Microsoft YaHei" w:eastAsia="Microsoft YaHei" w:hAnsi="Microsoft YaHei" w:cs="Microsoft YaHei"/>
          <w:color w:val="333333"/>
          <w:lang w:val="en" w:eastAsia="en"/>
        </w:rPr>
      </w:pPr>
    </w:p>
    <w:p>
      <w:pPr>
        <w:pBdr>
          <w:top w:val="none" w:sz="0" w:space="0" w:color="auto"/>
          <w:left w:val="none" w:sz="0" w:space="0" w:color="auto"/>
          <w:bottom w:val="none" w:sz="0" w:space="0" w:color="auto"/>
          <w:right w:val="none" w:sz="0" w:space="0" w:color="auto"/>
        </w:pBdr>
        <w:spacing w:before="0" w:after="288" w:line="432" w:lineRule="atLeast"/>
        <w:ind w:left="15" w:right="15"/>
        <w:rPr>
          <w:rFonts w:ascii="Microsoft YaHei" w:eastAsia="Microsoft YaHei" w:hAnsi="Microsoft YaHei" w:cs="Microsoft YaHei"/>
          <w:color w:val="333333"/>
          <w:lang w:val="en" w:eastAsia="en"/>
        </w:rPr>
      </w:pPr>
      <w:r>
        <w:rPr>
          <w:rFonts w:ascii="FangSong" w:eastAsia="FangSong" w:hAnsi="FangSong" w:cs="FangSong"/>
          <w:b/>
          <w:bCs/>
          <w:color w:val="333333"/>
          <w:sz w:val="28"/>
          <w:szCs w:val="28"/>
          <w:lang w:val="en" w:eastAsia="en"/>
        </w:rPr>
        <w:t>4.评审条款</w:t>
      </w:r>
    </w:p>
    <w:p>
      <w:pPr>
        <w:pBdr>
          <w:top w:val="none" w:sz="0" w:space="0" w:color="auto"/>
          <w:left w:val="none" w:sz="0" w:space="0" w:color="auto"/>
          <w:bottom w:val="none" w:sz="0" w:space="0" w:color="auto"/>
          <w:right w:val="none" w:sz="0" w:space="0" w:color="auto"/>
        </w:pBdr>
        <w:spacing w:line="432" w:lineRule="atLeast"/>
        <w:ind w:left="15" w:right="15"/>
        <w:rPr>
          <w:rFonts w:ascii="FangSong" w:eastAsia="FangSong" w:hAnsi="FangSong" w:cs="FangSong"/>
          <w:color w:val="333333"/>
          <w:lang w:val="en" w:eastAsia="en"/>
        </w:rPr>
      </w:pPr>
      <w:r>
        <w:rPr>
          <w:rFonts w:ascii="FangSong" w:eastAsia="FangSong" w:hAnsi="FangSong" w:cs="FangSong"/>
          <w:color w:val="333333"/>
          <w:lang w:val="en" w:eastAsia="en"/>
        </w:rPr>
        <w:t>中标候选人：</w:t>
      </w:r>
      <w:r>
        <w:rPr>
          <w:rFonts w:ascii="Microsoft YaHei" w:eastAsia="Microsoft YaHei" w:hAnsi="Microsoft YaHei" w:cs="Microsoft YaHei"/>
          <w:color w:val="333333"/>
          <w:lang w:val="en" w:eastAsia="en"/>
        </w:rPr>
        <w:t xml:space="preserve"> </w:t>
      </w:r>
      <w:r>
        <w:rPr>
          <w:rFonts w:ascii="FangSong" w:eastAsia="FangSong" w:hAnsi="FangSong" w:cs="FangSong"/>
          <w:color w:val="333333"/>
          <w:lang w:val="en" w:eastAsia="en"/>
        </w:rPr>
        <w:t>委托评标委员会直接定标</w:t>
      </w:r>
      <w:r>
        <w:rPr>
          <w:rFonts w:ascii="FangSong" w:eastAsia="FangSong" w:hAnsi="FangSong" w:cs="FangSong"/>
          <w:color w:val="333333"/>
          <w:lang w:val="en" w:eastAsia="en"/>
        </w:rPr>
        <w:br/>
      </w:r>
      <w:r>
        <w:rPr>
          <w:rFonts w:ascii="FangSong" w:eastAsia="FangSong" w:hAnsi="FangSong" w:cs="FangSong"/>
          <w:color w:val="333333"/>
          <w:lang w:val="en" w:eastAsia="en"/>
        </w:rPr>
        <w:br/>
      </w:r>
      <w:r>
        <w:rPr>
          <w:rFonts w:ascii="FangSong" w:eastAsia="FangSong" w:hAnsi="FangSong" w:cs="FangSong"/>
          <w:b/>
          <w:bCs/>
          <w:color w:val="000000"/>
          <w:lang w:val="en" w:eastAsia="en"/>
        </w:rPr>
        <w:t>4.1 资格评审</w:t>
      </w:r>
      <w:r>
        <w:rPr>
          <w:rFonts w:ascii="FangSong" w:eastAsia="FangSong" w:hAnsi="FangSong" w:cs="FangSong"/>
          <w:b/>
          <w:bCs/>
          <w:color w:val="000000"/>
          <w:lang w:val="en" w:eastAsia="en"/>
        </w:rPr>
        <w:br/>
      </w:r>
      <w:r>
        <w:rPr>
          <w:rFonts w:ascii="FangSong" w:eastAsia="FangSong" w:hAnsi="FangSong" w:cs="FangSong"/>
          <w:color w:val="333333"/>
          <w:lang w:val="en" w:eastAsia="en"/>
        </w:rPr>
        <w:t>汇总规则：</w:t>
      </w:r>
      <w:r>
        <w:rPr>
          <w:rFonts w:ascii="Microsoft YaHei" w:eastAsia="Microsoft YaHei" w:hAnsi="Microsoft YaHei" w:cs="Microsoft YaHei"/>
          <w:color w:val="333333"/>
          <w:lang w:val="en" w:eastAsia="en"/>
        </w:rPr>
        <w:t xml:space="preserve"> </w:t>
      </w:r>
      <w:r>
        <w:rPr>
          <w:rFonts w:ascii="FangSong" w:eastAsia="FangSong" w:hAnsi="FangSong" w:cs="FangSong"/>
          <w:color w:val="333333"/>
          <w:lang w:val="en" w:eastAsia="en"/>
        </w:rPr>
        <w:t>按分项自动汇总并发起否决投标</w:t>
      </w:r>
      <w:r>
        <w:rPr>
          <w:rFonts w:ascii="Microsoft YaHei" w:eastAsia="Microsoft YaHei" w:hAnsi="Microsoft YaHei" w:cs="Microsoft YaHei"/>
          <w:color w:val="333333"/>
          <w:lang w:val="en" w:eastAsia="en"/>
        </w:rPr>
        <w:t xml:space="preserve"> </w:t>
      </w:r>
    </w:p>
    <w:tbl>
      <w:tblPr>
        <w:tblStyle w:val="typotable0"/>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
      <w:tblGrid>
        <w:gridCol w:w="1612"/>
        <w:gridCol w:w="3762"/>
        <w:gridCol w:w="3762"/>
      </w:tblGrid>
      <w:tr>
        <w:tblPrEx>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Ex>
        <w:trPr>
          <w:cantSplit/>
          <w:tblHeader/>
        </w:trPr>
        <w:tc>
          <w:tcPr>
            <w:tcW w:w="75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序号</w:t>
            </w:r>
          </w:p>
        </w:tc>
        <w:tc>
          <w:tcPr>
            <w:tcW w:w="175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评审要素</w:t>
            </w:r>
          </w:p>
        </w:tc>
        <w:tc>
          <w:tcPr>
            <w:tcW w:w="175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评审标准</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资质要求</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供应商不符合项目资格要求，或未提交相应的资格证明资料（详见谈判公告供应商资格要求，即申请人的资格要求）；</w:t>
            </w:r>
            <w:r>
              <w:rPr>
                <w:rFonts w:ascii="FangSong" w:eastAsia="FangSong" w:hAnsi="FangSong" w:cs="FangSong"/>
                <w:color w:val="666666"/>
                <w:lang w:val="en" w:eastAsia="en"/>
              </w:rPr>
              <w:br/>
            </w:r>
            <w:r>
              <w:rPr>
                <w:rFonts w:ascii="FangSong" w:eastAsia="FangSong" w:hAnsi="FangSong" w:cs="FangSong"/>
                <w:color w:val="666666"/>
                <w:lang w:val="en" w:eastAsia="en"/>
              </w:rPr>
              <w:t>供应商缺席谈判的；</w:t>
            </w:r>
          </w:p>
        </w:tc>
      </w:tr>
    </w:tbl>
    <w:p>
      <w:pPr>
        <w:pBdr>
          <w:top w:val="none" w:sz="0" w:space="0" w:color="auto"/>
          <w:left w:val="none" w:sz="0" w:space="0" w:color="auto"/>
          <w:bottom w:val="none" w:sz="0" w:space="0" w:color="auto"/>
          <w:right w:val="none" w:sz="0" w:space="0" w:color="auto"/>
        </w:pBdr>
        <w:spacing w:line="240" w:lineRule="atLeast"/>
        <w:ind w:left="15" w:right="15"/>
        <w:rPr>
          <w:rFonts w:ascii="FangSong" w:eastAsia="FangSong" w:hAnsi="FangSong" w:cs="FangSong"/>
          <w:b/>
          <w:bCs/>
          <w:color w:val="000000"/>
          <w:lang w:val="en" w:eastAsia="en"/>
        </w:rPr>
      </w:pPr>
      <w:r>
        <w:rPr>
          <w:rFonts w:ascii="FangSong" w:eastAsia="FangSong" w:hAnsi="FangSong" w:cs="FangSong"/>
          <w:b/>
          <w:bCs/>
          <w:color w:val="000000"/>
          <w:lang w:val="en" w:eastAsia="en"/>
        </w:rPr>
        <w:t>4.2 资格及符合性审查</w:t>
      </w:r>
      <w:r>
        <w:rPr>
          <w:rFonts w:ascii="FangSong" w:eastAsia="FangSong" w:hAnsi="FangSong" w:cs="FangSong"/>
          <w:b/>
          <w:bCs/>
          <w:color w:val="000000"/>
          <w:lang w:val="en" w:eastAsia="en"/>
        </w:rPr>
        <w:br/>
      </w:r>
      <w:r>
        <w:rPr>
          <w:rFonts w:ascii="FangSong" w:eastAsia="FangSong" w:hAnsi="FangSong" w:cs="FangSong"/>
          <w:color w:val="333333"/>
          <w:lang w:val="en" w:eastAsia="en"/>
        </w:rPr>
        <w:t>汇总规则：</w:t>
      </w:r>
      <w:r>
        <w:rPr>
          <w:rFonts w:ascii="Microsoft YaHei" w:eastAsia="Microsoft YaHei" w:hAnsi="Microsoft YaHei" w:cs="Microsoft YaHei"/>
          <w:color w:val="333333"/>
          <w:lang w:val="en" w:eastAsia="en"/>
        </w:rPr>
        <w:t xml:space="preserve"> </w:t>
      </w:r>
      <w:r>
        <w:rPr>
          <w:rFonts w:ascii="FangSong" w:eastAsia="FangSong" w:hAnsi="FangSong" w:cs="FangSong"/>
          <w:color w:val="333333"/>
          <w:lang w:val="en" w:eastAsia="en"/>
        </w:rPr>
        <w:t>按分项自动汇总并发起否决投标</w:t>
      </w:r>
      <w:r>
        <w:rPr>
          <w:rFonts w:ascii="Microsoft YaHei" w:eastAsia="Microsoft YaHei" w:hAnsi="Microsoft YaHei" w:cs="Microsoft YaHei"/>
          <w:color w:val="333333"/>
          <w:lang w:val="en" w:eastAsia="en"/>
        </w:rPr>
        <w:t xml:space="preserve"> </w:t>
      </w:r>
    </w:p>
    <w:tbl>
      <w:tblPr>
        <w:tblStyle w:val="typotable0"/>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
      <w:tblGrid>
        <w:gridCol w:w="1612"/>
        <w:gridCol w:w="3762"/>
        <w:gridCol w:w="3762"/>
      </w:tblGrid>
      <w:tr>
        <w:tblPrEx>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Ex>
        <w:trPr>
          <w:cantSplit/>
          <w:tblHeader/>
        </w:trPr>
        <w:tc>
          <w:tcPr>
            <w:tcW w:w="75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序号</w:t>
            </w:r>
          </w:p>
        </w:tc>
        <w:tc>
          <w:tcPr>
            <w:tcW w:w="175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评审要素</w:t>
            </w:r>
          </w:p>
        </w:tc>
        <w:tc>
          <w:tcPr>
            <w:tcW w:w="175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评审标准</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不得将一个包的内容拆开进行应答；</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2</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不得以他人的名义参与谈判、相互串通进行谈判、以行贿手段谋取成交或者以其他弄虚作假方式谈判；</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3</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不得对同一项目提供两套以上的应答方案（谈判文件另有规定的除外）；</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4</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分项报价或谈判应答总价不得高于相应的预算金额（或设定的预算金额下的最高限价）；</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5</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谈判小组认为谈判供应商的报价明显低于其他通过符合性审查谈判供应商的报价，有可能影响产品质量或者不能诚信履约的，应当要求其在谈判现场合理的时间内提供书面说明，必要时提交相关证明材料；在此情况下，谈判供应商仍不能证明其报价合理性的（谈判小组成员对谈判供应商提供的说明材料判断不一致的，按照“少数服从多数”的原则确定谈判小组的意见）；</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6</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所投货物、服务在技术、商务等方面没有实质性满足谈判文件要求的（是否实质性满足谈判文件要求，由谈判小组根据实质性条款响应情况做出评判，若谈判文件未设置实质性条款，不得据此做应答无效处理）；</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7</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未按谈判文件所提供的样式填写《应答书》；未按谈判文件所提供的《采购应答及履约承诺函》进行承诺或不符合承诺的；未按谈判文件对应答文件组成的要求提供应答文件；</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8</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采购标的所投产品货物清单报价等任意一类有缺漏项或响应不全，或者对谈判文件规定的项目需求内容或者需求数量进行修改，谈判小组判定谈判响应不满足谈判需求；</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9</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谈判应答附有采购人或谈判小组不能接受的条件；</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应答文件电子文档不得带病毒；</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11</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应答文件用不属于本公司的电子密钥进行加密或应答文件未按时解密的；</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12</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法律、法规、规章、规范性文件规定的其他情形。</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p>
        </w:tc>
      </w:tr>
    </w:tbl>
    <w:p>
      <w:pPr>
        <w:keepLines/>
        <w:pBdr>
          <w:top w:val="none" w:sz="0" w:space="0" w:color="auto"/>
          <w:left w:val="none" w:sz="0" w:space="0" w:color="auto"/>
          <w:bottom w:val="none" w:sz="0" w:space="0" w:color="auto"/>
          <w:right w:val="none" w:sz="0" w:space="0" w:color="auto"/>
        </w:pBdr>
        <w:spacing w:before="0" w:line="432" w:lineRule="atLeast"/>
        <w:ind w:left="15" w:right="15"/>
        <w:rPr>
          <w:rFonts w:ascii="Microsoft YaHei" w:eastAsia="Microsoft YaHei" w:hAnsi="Microsoft YaHei" w:cs="Microsoft YaHei"/>
          <w:color w:val="333333"/>
          <w:lang w:val="en" w:eastAsia="en"/>
        </w:rPr>
      </w:pPr>
      <w:r>
        <w:rPr>
          <w:rFonts w:ascii="FangSong" w:eastAsia="FangSong" w:hAnsi="FangSong" w:cs="FangSong"/>
          <w:b/>
          <w:bCs/>
          <w:color w:val="000000"/>
          <w:lang w:val="en" w:eastAsia="en"/>
        </w:rPr>
        <w:t>4.5 投标报价排名</w:t>
      </w:r>
      <w:r>
        <w:rPr>
          <w:rFonts w:ascii="Microsoft YaHei" w:eastAsia="Microsoft YaHei" w:hAnsi="Microsoft YaHei" w:cs="Microsoft YaHei"/>
          <w:color w:val="333333"/>
          <w:lang w:val="en" w:eastAsia="en"/>
        </w:rPr>
        <w:t xml:space="preserve"> </w:t>
      </w:r>
    </w:p>
    <w:p>
      <w:pPr>
        <w:keepLines/>
        <w:pBdr>
          <w:top w:val="none" w:sz="0" w:space="0" w:color="auto"/>
          <w:left w:val="none" w:sz="0" w:space="0" w:color="auto"/>
          <w:bottom w:val="none" w:sz="0" w:space="0" w:color="auto"/>
          <w:right w:val="none" w:sz="0" w:space="0" w:color="auto"/>
        </w:pBdr>
        <w:spacing w:before="0" w:after="0" w:line="432" w:lineRule="atLeast"/>
        <w:ind w:left="15" w:right="15"/>
        <w:rPr>
          <w:rFonts w:ascii="Microsoft YaHei" w:eastAsia="Microsoft YaHei" w:hAnsi="Microsoft YaHei" w:cs="Microsoft YaHei"/>
          <w:color w:val="333333"/>
          <w:lang w:val="en" w:eastAsia="en"/>
        </w:rPr>
      </w:pPr>
      <w:r>
        <w:rPr>
          <w:rFonts w:ascii="FangSong" w:eastAsia="FangSong" w:hAnsi="FangSong" w:cs="FangSong"/>
          <w:color w:val="333333"/>
          <w:lang w:val="en" w:eastAsia="en"/>
        </w:rPr>
        <w:t>4.5.1 投标总价参与最终投标报价排名</w:t>
      </w:r>
      <w:r>
        <w:rPr>
          <w:rFonts w:ascii="FangSong" w:eastAsia="FangSong" w:hAnsi="FangSong" w:cs="FangSong"/>
          <w:color w:val="333333"/>
          <w:lang w:val="en" w:eastAsia="en"/>
        </w:rPr>
        <w:br/>
      </w:r>
      <w:r>
        <w:rPr>
          <w:rFonts w:ascii="FangSong" w:eastAsia="FangSong" w:hAnsi="FangSong" w:cs="FangSong"/>
          <w:color w:val="333333"/>
          <w:lang w:val="en" w:eastAsia="en"/>
        </w:rPr>
        <w:t>报价打分方式：</w:t>
      </w:r>
      <w:r>
        <w:rPr>
          <w:rFonts w:ascii="Microsoft YaHei" w:eastAsia="Microsoft YaHei" w:hAnsi="Microsoft YaHei" w:cs="Microsoft YaHei"/>
          <w:color w:val="333333"/>
          <w:lang w:val="en" w:eastAsia="en"/>
        </w:rPr>
        <w:t xml:space="preserve"> </w:t>
      </w:r>
      <w:r>
        <w:rPr>
          <w:rFonts w:ascii="FangSong" w:eastAsia="FangSong" w:hAnsi="FangSong" w:cs="FangSong"/>
          <w:color w:val="333333"/>
          <w:lang w:val="en" w:eastAsia="en"/>
        </w:rPr>
        <w:t>自动算分（内插法）</w:t>
      </w:r>
      <w:r>
        <w:rPr>
          <w:rFonts w:ascii="FangSong" w:eastAsia="FangSong" w:hAnsi="FangSong" w:cs="FangSong"/>
          <w:color w:val="333333"/>
          <w:lang w:val="en" w:eastAsia="en"/>
        </w:rPr>
        <w:br/>
      </w:r>
      <w:r>
        <w:rPr>
          <w:rFonts w:ascii="FangSong" w:eastAsia="FangSong" w:hAnsi="FangSong" w:cs="FangSong"/>
          <w:color w:val="333333"/>
          <w:lang w:val="en" w:eastAsia="en"/>
        </w:rPr>
        <w:t>评标价计算公式：评标价=投标函中的投标报价（有修正投标报价的取修正后的投标报价）</w:t>
      </w:r>
    </w:p>
    <w:sectPr>
      <w:pgMar w:header="708" w:footer="708"/>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4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隶书">
    <w:panose1 w:val="0201050906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长城仿宋">
    <w:altName w:val="仿宋"/>
    <w:panose1 w:val="00000000000000000000"/>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文鼎粗黑">
    <w:altName w:val="黑体"/>
    <w:panose1 w:val="00000000000000000000"/>
    <w:charset w:val="86"/>
    <w:family w:val="modern"/>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9" w:usb3="00000000" w:csb0="000001FF" w:csb1="00000000"/>
  </w:font>
  <w:font w:name="Cambria">
    <w:panose1 w:val="02040503050406030204"/>
    <w:charset w:val="00"/>
    <w:family w:val="roman"/>
    <w:pitch w:val="default"/>
    <w:sig w:usb0="E00006FF" w:usb1="420024FF" w:usb2="02000000" w:usb3="00000000" w:csb0="2000019F" w:csb1="00000000"/>
  </w:font>
  <w:font w:name="ˎ̥">
    <w:altName w:val="微软雅黑"/>
    <w:panose1 w:val="00000000000000000000"/>
    <w:charset w:val="00"/>
    <w:family w:val="auto"/>
    <w:pitch w:val="default"/>
    <w:sig w:usb0="00000000" w:usb1="00000000" w:usb2="00000000" w:usb3="00000000" w:csb0="00040001" w:csb1="00000000"/>
  </w:font>
  <w:font w:name="??">
    <w:altName w:val="微软雅黑"/>
    <w:panose1 w:val="00000000000000000000"/>
    <w:charset w:val="01"/>
    <w:family w:val="auto"/>
    <w:pitch w:val="default"/>
    <w:sig w:usb0="00000000" w:usb1="00000000" w:usb2="00000000" w:usb3="00000000" w:csb0="00040001" w:csb1="00000000"/>
  </w:font>
  <w:font w:name="汉仪细等线简">
    <w:altName w:val="宋体"/>
    <w:panose1 w:val="00000000000000000000"/>
    <w:charset w:val="86"/>
    <w:family w:val="modern"/>
    <w:pitch w:val="default"/>
    <w:sig w:usb0="00000000" w:usb1="00000000" w:usb2="00000012" w:usb3="00000000" w:csb0="00040000" w:csb1="00000000"/>
  </w:font>
  <w:font w:name="H Yb 2gj">
    <w:altName w:val="宋体"/>
    <w:panose1 w:val="00000000000000000000"/>
    <w:charset w:val="86"/>
    <w:family w:val="auto"/>
    <w:pitch w:val="default"/>
    <w:sig w:usb0="00000000" w:usb1="00000000" w:usb2="00000010" w:usb3="00000000" w:csb0="00040000"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微软雅黑">
    <w:panose1 w:val="020B0503020204020204"/>
    <w:charset w:val="86"/>
    <w:family w:val="swiss"/>
    <w:pitch w:val="default"/>
    <w:sig w:usb0="80000287" w:usb1="2ACF3C50" w:usb2="00000016" w:usb3="00000000" w:csb0="0004001F" w:csb1="00000000"/>
  </w:font>
  <w:font w:name="PMingLiU">
    <w:altName w:val="Microsoft JhengHei UI"/>
    <w:panose1 w:val="02010601000101010101"/>
    <w:charset w:val="88"/>
    <w:family w:val="roman"/>
    <w:pitch w:val="default"/>
    <w:sig w:usb0="00000000" w:usb1="00000000" w:usb2="00000016" w:usb3="00000000" w:csb0="00100001" w:csb1="00000000"/>
  </w:font>
  <w:font w:name="Microsoft YaHei UI">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5</w:t>
    </w:r>
    <w:r>
      <w:rPr>
        <w:rStyle w:val="PageNumber"/>
      </w:rPr>
      <w:fldChar w:fldCharType="end"/>
    </w:r>
  </w:p>
  <w:p>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framePr w:wrap="around" w:vAnchor="text" w:hAnchor="margin" w:xAlign="center" w:y="1"/>
      <w:rPr>
        <w:rStyle w:val="PageNumber"/>
      </w:rPr>
    </w:pPr>
    <w:r>
      <w:t xml:space="preserve">- </w:t>
    </w:r>
    <w:r>
      <w:fldChar w:fldCharType="begin"/>
    </w:r>
    <w:r>
      <w:instrText xml:space="preserve"> PAGE </w:instrText>
    </w:r>
    <w:r>
      <w:fldChar w:fldCharType="separate"/>
    </w:r>
    <w:r>
      <w:t>25</w:t>
    </w:r>
    <w:r>
      <w:fldChar w:fldCharType="end"/>
    </w:r>
    <w:r>
      <w:t xml:space="preserve"> -</w:t>
    </w:r>
  </w:p>
  <w:p>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tabs>
        <w:tab w:val="center" w:pos="4153"/>
        <w:tab w:val="right" w:pos="8306"/>
      </w:tabs>
      <w:snapToGrid w:val="0"/>
      <w:jc w:val="left"/>
      <w:rPr>
        <w:sz w:val="18"/>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jc w:val="both"/>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none" w:sz="0" w:space="1" w:color="auto"/>
        <w:left w:val="none" w:sz="0" w:space="4" w:color="auto"/>
        <w:bottom w:val="none" w:sz="0" w:space="1" w:color="auto"/>
        <w:right w:val="none" w:sz="0" w:space="4" w:color="auto"/>
      </w:pBdr>
      <w:tabs>
        <w:tab w:val="center" w:pos="4153"/>
        <w:tab w:val="right" w:pos="8306"/>
      </w:tabs>
      <w:snapToGrid w:val="0"/>
      <w:rPr>
        <w:sz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9358C2E"/>
    <w:multiLevelType w:val="singleLevel"/>
    <w:tmpl w:val="B9358C2E"/>
    <w:lvl w:ilvl="0">
      <w:start w:val="2"/>
      <w:numFmt w:val="decimal"/>
      <w:suff w:val="nothing"/>
      <w:lvlText w:val="%1、"/>
      <w:lvlJc w:val="left"/>
    </w:lvl>
  </w:abstractNum>
  <w:abstractNum w:abstractNumId="1">
    <w:nsid w:val="E36F13BE"/>
    <w:multiLevelType w:val="singleLevel"/>
    <w:tmpl w:val="E36F13BE"/>
    <w:lvl w:ilvl="0">
      <w:start w:val="3"/>
      <w:numFmt w:val="chineseCounting"/>
      <w:suff w:val="nothing"/>
      <w:lvlText w:val="%1、"/>
      <w:lvlJc w:val="left"/>
      <w:rPr>
        <w:rFonts w:hint="eastAsia"/>
      </w:rPr>
    </w:lvl>
  </w:abstractNum>
  <w:abstractNum w:abstractNumId="2">
    <w:nsid w:val="EFAB0616"/>
    <w:multiLevelType w:val="singleLevel"/>
    <w:tmpl w:val="EFAB0616"/>
    <w:lvl w:ilvl="0">
      <w:start w:val="1"/>
      <w:numFmt w:val="chineseCounting"/>
      <w:suff w:val="nothing"/>
      <w:lvlText w:val="（%1）"/>
      <w:lvlJc w:val="left"/>
      <w:rPr>
        <w:rFonts w:hint="eastAsia"/>
      </w:rPr>
    </w:lvl>
  </w:abstractNum>
  <w:abstractNum w:abstractNumId="3">
    <w:nsid w:val="3CDC2820"/>
    <w:multiLevelType w:val="singleLevel"/>
    <w:tmpl w:val="3CDC2820"/>
    <w:lvl w:ilvl="0">
      <w:start w:val="8"/>
      <w:numFmt w:val="chineseCounting"/>
      <w:suff w:val="nothing"/>
      <w:lvlText w:val="（%1）"/>
      <w:lvlJc w:val="left"/>
      <w:rPr>
        <w:rFonts w:hint="eastAsia"/>
      </w:r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Heading3"/>
    <w:next w:val="Normal"/>
    <w:link w:val="1"/>
    <w:autoRedefine/>
    <w:qFormat/>
    <w:pPr>
      <w:spacing w:before="340" w:after="330" w:line="360" w:lineRule="auto"/>
      <w:jc w:val="center"/>
      <w:outlineLvl w:val="0"/>
    </w:pPr>
    <w:rPr>
      <w:rFonts w:eastAsia="黑体"/>
      <w:kern w:val="44"/>
      <w:szCs w:val="44"/>
    </w:rPr>
  </w:style>
  <w:style w:type="paragraph" w:styleId="Heading2">
    <w:name w:val="heading 2"/>
    <w:basedOn w:val="Heading3"/>
    <w:next w:val="Heading4"/>
    <w:link w:val="2"/>
    <w:autoRedefine/>
    <w:qFormat/>
    <w:pPr>
      <w:adjustRightInd w:val="0"/>
      <w:jc w:val="center"/>
      <w:textAlignment w:val="baseline"/>
      <w:outlineLvl w:val="1"/>
    </w:pPr>
    <w:rPr>
      <w:kern w:val="0"/>
      <w:sz w:val="24"/>
      <w:szCs w:val="20"/>
    </w:rPr>
  </w:style>
  <w:style w:type="paragraph" w:styleId="Heading3">
    <w:name w:val="heading 3"/>
    <w:basedOn w:val="Heading4"/>
    <w:next w:val="Normal"/>
    <w:link w:val="3"/>
    <w:autoRedefine/>
    <w:uiPriority w:val="9"/>
    <w:qFormat/>
    <w:pPr>
      <w:spacing w:before="260" w:after="260" w:line="240" w:lineRule="auto"/>
      <w:outlineLvl w:val="2"/>
    </w:pPr>
    <w:rPr>
      <w:rFonts w:ascii="宋体" w:eastAsia="宋体" w:hAnsi="宋体"/>
      <w:szCs w:val="32"/>
    </w:rPr>
  </w:style>
  <w:style w:type="paragraph" w:styleId="Heading4">
    <w:name w:val="heading 4"/>
    <w:basedOn w:val="Normal"/>
    <w:next w:val="Normal"/>
    <w:link w:val="4"/>
    <w:autoRedefine/>
    <w:qFormat/>
    <w:pPr>
      <w:keepNext/>
      <w:keepLines/>
      <w:widowControl w:val="0"/>
      <w:spacing w:before="280" w:after="290" w:line="376" w:lineRule="auto"/>
      <w:jc w:val="both"/>
      <w:outlineLvl w:val="3"/>
    </w:pPr>
    <w:rPr>
      <w:rFonts w:ascii="Arial" w:eastAsia="黑体" w:hAnsi="Arial"/>
      <w:b/>
      <w:bCs/>
      <w:kern w:val="2"/>
      <w:sz w:val="28"/>
      <w:szCs w:val="28"/>
      <w:lang w:eastAsia="zh-CN"/>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a"/>
    <w:autoRedefine/>
    <w:uiPriority w:val="99"/>
    <w:qFormat/>
    <w:pPr>
      <w:widowControl w:val="0"/>
      <w:pBdr>
        <w:bottom w:val="single" w:sz="6" w:space="1" w:color="auto"/>
      </w:pBdr>
      <w:tabs>
        <w:tab w:val="center" w:pos="4153"/>
        <w:tab w:val="right" w:pos="8306"/>
      </w:tabs>
      <w:snapToGrid w:val="0"/>
      <w:jc w:val="center"/>
    </w:pPr>
    <w:rPr>
      <w:rFonts w:eastAsia="宋体"/>
      <w:kern w:val="2"/>
      <w:sz w:val="18"/>
      <w:szCs w:val="18"/>
      <w:lang w:eastAsia="zh-CN"/>
    </w:rPr>
  </w:style>
  <w:style w:type="character" w:customStyle="1" w:styleId="a">
    <w:name w:val="页眉 字符"/>
    <w:link w:val="Header"/>
    <w:autoRedefine/>
    <w:uiPriority w:val="99"/>
    <w:qFormat/>
    <w:rPr>
      <w:rFonts w:eastAsia="宋体"/>
      <w:kern w:val="2"/>
      <w:sz w:val="18"/>
      <w:szCs w:val="18"/>
      <w:lang w:eastAsia="zh-CN"/>
    </w:rPr>
  </w:style>
  <w:style w:type="paragraph" w:styleId="Footer">
    <w:name w:val="footer"/>
    <w:basedOn w:val="Normal"/>
    <w:link w:val="a0"/>
    <w:autoRedefine/>
    <w:qFormat/>
    <w:pPr>
      <w:widowControl w:val="0"/>
      <w:tabs>
        <w:tab w:val="center" w:pos="4153"/>
        <w:tab w:val="right" w:pos="8306"/>
      </w:tabs>
      <w:snapToGrid w:val="0"/>
    </w:pPr>
    <w:rPr>
      <w:rFonts w:eastAsia="宋体"/>
      <w:kern w:val="2"/>
      <w:sz w:val="18"/>
      <w:szCs w:val="18"/>
      <w:lang w:eastAsia="zh-CN"/>
    </w:rPr>
  </w:style>
  <w:style w:type="character" w:customStyle="1" w:styleId="a0">
    <w:name w:val="页脚 字符"/>
    <w:link w:val="Footer"/>
    <w:autoRedefine/>
    <w:qFormat/>
    <w:rPr>
      <w:rFonts w:eastAsia="宋体"/>
      <w:kern w:val="2"/>
      <w:sz w:val="18"/>
      <w:szCs w:val="18"/>
      <w:lang w:eastAsia="zh-CN"/>
    </w:rPr>
  </w:style>
  <w:style w:type="character" w:styleId="PageNumber">
    <w:name w:val="page number"/>
    <w:basedOn w:val="DefaultParagraphFont"/>
    <w:autoRedefine/>
    <w:qFormat/>
  </w:style>
  <w:style w:type="paragraph" w:styleId="NormalWeb">
    <w:name w:val="Normal (Web)"/>
    <w:basedOn w:val="Normal"/>
    <w:autoRedefine/>
    <w:uiPriority w:val="99"/>
    <w:qFormat/>
    <w:pPr>
      <w:widowControl w:val="0"/>
      <w:spacing w:beforeAutospacing="1" w:afterAutospacing="1"/>
    </w:pPr>
    <w:rPr>
      <w:rFonts w:eastAsia="宋体"/>
      <w:lang w:eastAsia="zh-CN"/>
    </w:rPr>
  </w:style>
  <w:style w:type="paragraph" w:styleId="PlainText">
    <w:name w:val="Plain Text"/>
    <w:basedOn w:val="Normal"/>
    <w:link w:val="a1"/>
    <w:autoRedefine/>
    <w:qFormat/>
    <w:pPr>
      <w:widowControl w:val="0"/>
      <w:jc w:val="both"/>
    </w:pPr>
    <w:rPr>
      <w:rFonts w:ascii="宋体" w:eastAsia="宋体" w:hAnsi="Courier New"/>
      <w:kern w:val="2"/>
      <w:sz w:val="21"/>
      <w:szCs w:val="20"/>
      <w:lang w:eastAsia="zh-CN"/>
    </w:rPr>
  </w:style>
  <w:style w:type="character" w:customStyle="1" w:styleId="a1">
    <w:name w:val="纯文本 字符"/>
    <w:link w:val="PlainText"/>
    <w:autoRedefine/>
    <w:qFormat/>
    <w:rPr>
      <w:rFonts w:ascii="宋体" w:eastAsia="宋体" w:hAnsi="Courier New"/>
      <w:kern w:val="2"/>
      <w:sz w:val="21"/>
      <w:lang w:eastAsia="zh-CN"/>
    </w:rPr>
  </w:style>
  <w:style w:type="character" w:customStyle="1" w:styleId="4">
    <w:name w:val="标题 4 字符"/>
    <w:link w:val="Heading4"/>
    <w:autoRedefine/>
    <w:qFormat/>
    <w:rPr>
      <w:rFonts w:ascii="Arial" w:eastAsia="黑体" w:hAnsi="Arial"/>
      <w:b/>
      <w:bCs/>
      <w:kern w:val="2"/>
      <w:sz w:val="28"/>
      <w:szCs w:val="28"/>
      <w:lang w:eastAsia="zh-CN"/>
    </w:rPr>
  </w:style>
  <w:style w:type="character" w:customStyle="1" w:styleId="3">
    <w:name w:val="标题 3 字符"/>
    <w:link w:val="Heading3"/>
    <w:autoRedefine/>
    <w:uiPriority w:val="9"/>
    <w:qFormat/>
    <w:rPr>
      <w:rFonts w:ascii="宋体" w:eastAsia="宋体" w:hAnsi="宋体"/>
      <w:b/>
      <w:bCs/>
      <w:kern w:val="2"/>
      <w:sz w:val="28"/>
      <w:szCs w:val="32"/>
      <w:lang w:eastAsia="zh-CN"/>
    </w:rPr>
  </w:style>
  <w:style w:type="character" w:customStyle="1" w:styleId="2">
    <w:name w:val="标题 2 字符"/>
    <w:link w:val="Heading2"/>
    <w:autoRedefine/>
    <w:qFormat/>
    <w:rPr>
      <w:rFonts w:ascii="宋体" w:eastAsia="宋体" w:hAnsi="宋体"/>
      <w:b/>
      <w:bCs/>
      <w:sz w:val="24"/>
      <w:lang w:eastAsia="zh-CN"/>
    </w:rPr>
  </w:style>
  <w:style w:type="character" w:customStyle="1" w:styleId="1">
    <w:name w:val="标题 1 字符"/>
    <w:link w:val="Heading1"/>
    <w:autoRedefine/>
    <w:qFormat/>
    <w:rPr>
      <w:rFonts w:ascii="宋体" w:eastAsia="黑体" w:hAnsi="宋体"/>
      <w:b/>
      <w:bCs/>
      <w:kern w:val="44"/>
      <w:sz w:val="28"/>
      <w:szCs w:val="44"/>
      <w:lang w:eastAsia="zh-CN"/>
    </w:rPr>
  </w:style>
  <w:style w:type="paragraph" w:styleId="NormalIndent">
    <w:name w:val="Normal Indent"/>
    <w:basedOn w:val="Normal"/>
    <w:link w:val="a2"/>
    <w:autoRedefine/>
    <w:qFormat/>
    <w:pPr>
      <w:widowControl w:val="0"/>
      <w:ind w:firstLine="420"/>
      <w:jc w:val="both"/>
    </w:pPr>
    <w:rPr>
      <w:rFonts w:eastAsia="宋体"/>
      <w:kern w:val="2"/>
      <w:sz w:val="21"/>
      <w:szCs w:val="20"/>
      <w:lang w:eastAsia="zh-CN"/>
    </w:rPr>
  </w:style>
  <w:style w:type="character" w:customStyle="1" w:styleId="a2">
    <w:name w:val="正文缩进 字符"/>
    <w:link w:val="NormalIndent"/>
    <w:autoRedefine/>
    <w:qFormat/>
    <w:rPr>
      <w:rFonts w:eastAsia="宋体"/>
      <w:kern w:val="2"/>
      <w:sz w:val="21"/>
      <w:lang w:eastAsia="zh-CN"/>
    </w:rPr>
  </w:style>
  <w:style w:type="character" w:customStyle="1" w:styleId="count">
    <w:name w:val="count"/>
    <w:basedOn w:val="DefaultParagraphFont"/>
    <w:autoRedefine/>
    <w:qFormat/>
  </w:style>
  <w:style w:type="table" w:styleId="TableGrid">
    <w:name w:val="Table Grid"/>
    <w:basedOn w:val="TableNormal"/>
    <w:autoRedefine/>
    <w:qFormat/>
    <w:pPr>
      <w:widowControl w:val="0"/>
      <w:jc w:val="both"/>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next w:val="BodyText2"/>
    <w:link w:val="a3"/>
    <w:autoRedefine/>
    <w:qFormat/>
    <w:pPr>
      <w:widowControl w:val="0"/>
      <w:spacing w:line="360" w:lineRule="auto"/>
      <w:jc w:val="both"/>
    </w:pPr>
    <w:rPr>
      <w:rFonts w:eastAsia="宋体"/>
      <w:b/>
      <w:bCs/>
      <w:kern w:val="2"/>
      <w:lang w:eastAsia="zh-CN"/>
    </w:rPr>
  </w:style>
  <w:style w:type="paragraph" w:styleId="BodyText2">
    <w:name w:val="Body Text 2"/>
    <w:basedOn w:val="Normal"/>
    <w:link w:val="20"/>
    <w:autoRedefine/>
    <w:qFormat/>
    <w:pPr>
      <w:widowControl w:val="0"/>
      <w:spacing w:line="360" w:lineRule="auto"/>
      <w:jc w:val="both"/>
    </w:pPr>
    <w:rPr>
      <w:rFonts w:eastAsia="宋体"/>
      <w:kern w:val="2"/>
      <w:lang w:eastAsia="zh-CN"/>
    </w:rPr>
  </w:style>
  <w:style w:type="character" w:customStyle="1" w:styleId="20">
    <w:name w:val="正文文本 2 字符"/>
    <w:link w:val="BodyText2"/>
    <w:autoRedefine/>
    <w:qFormat/>
    <w:rPr>
      <w:rFonts w:eastAsia="宋体"/>
      <w:kern w:val="2"/>
      <w:sz w:val="24"/>
      <w:szCs w:val="24"/>
      <w:lang w:eastAsia="zh-CN"/>
    </w:rPr>
  </w:style>
  <w:style w:type="character" w:customStyle="1" w:styleId="a3">
    <w:name w:val="正文文本 字符"/>
    <w:link w:val="BodyText"/>
    <w:autoRedefine/>
    <w:qFormat/>
    <w:rPr>
      <w:rFonts w:eastAsia="宋体"/>
      <w:b/>
      <w:bCs/>
      <w:kern w:val="2"/>
      <w:sz w:val="24"/>
      <w:szCs w:val="24"/>
      <w:lang w:eastAsia="zh-CN"/>
    </w:rPr>
  </w:style>
  <w:style w:type="character" w:customStyle="1" w:styleId="3Char">
    <w:name w:val="标题 3 Char"/>
    <w:autoRedefine/>
    <w:qFormat/>
    <w:rPr>
      <w:rFonts w:ascii="黑体" w:eastAsia="黑体"/>
      <w:bCs/>
      <w:sz w:val="30"/>
    </w:rPr>
  </w:style>
  <w:style w:type="table" w:customStyle="1" w:styleId="10">
    <w:name w:val="网格型1"/>
    <w:basedOn w:val="TableNormal"/>
    <w:autoRedefine/>
    <w:qFormat/>
    <w:pPr>
      <w:widowControl w:val="0"/>
      <w:jc w:val="both"/>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a4"/>
    <w:qFormat/>
    <w:pPr>
      <w:widowControl w:val="0"/>
      <w:spacing w:line="360" w:lineRule="auto"/>
      <w:ind w:firstLine="420" w:firstLineChars="200"/>
      <w:jc w:val="both"/>
    </w:pPr>
    <w:rPr>
      <w:rFonts w:eastAsia="宋体"/>
      <w:kern w:val="2"/>
      <w:sz w:val="21"/>
      <w:lang w:eastAsia="zh-CN"/>
    </w:rPr>
  </w:style>
  <w:style w:type="character" w:customStyle="1" w:styleId="a4">
    <w:name w:val="正文文本缩进 字符"/>
    <w:link w:val="BodyTextIndent"/>
    <w:autoRedefine/>
    <w:qFormat/>
    <w:rPr>
      <w:rFonts w:eastAsia="宋体"/>
      <w:kern w:val="2"/>
      <w:sz w:val="21"/>
      <w:szCs w:val="24"/>
      <w:lang w:eastAsia="zh-CN"/>
    </w:rPr>
  </w:style>
  <w:style w:type="table" w:customStyle="1" w:styleId="typotable">
    <w:name w:val="typo_table"/>
    <w:basedOn w:val="TableNormal"/>
    <w:tblPr/>
  </w:style>
  <w:style w:type="paragraph" w:customStyle="1" w:styleId="typoh1">
    <w:name w:val="typo_h1"/>
    <w:basedOn w:val="Normal"/>
    <w:pPr>
      <w:spacing w:line="648" w:lineRule="atLeast"/>
    </w:pPr>
    <w:rPr>
      <w:rFonts w:ascii="Microsoft YaHei" w:eastAsia="Microsoft YaHei" w:hAnsi="Microsoft YaHei" w:cs="Microsoft YaHei"/>
      <w:color w:val="333333"/>
      <w:sz w:val="48"/>
      <w:szCs w:val="48"/>
    </w:rPr>
  </w:style>
  <w:style w:type="character" w:customStyle="1" w:styleId="base">
    <w:name w:val="base"/>
    <w:basedOn w:val="DefaultParagraphFont"/>
    <w:rPr>
      <w:rFonts w:ascii="FangSong" w:eastAsia="FangSong" w:hAnsi="FangSong" w:cs="FangSong"/>
      <w:b/>
      <w:bCs/>
      <w:sz w:val="28"/>
      <w:szCs w:val="28"/>
    </w:rPr>
  </w:style>
  <w:style w:type="paragraph" w:customStyle="1" w:styleId="typop">
    <w:name w:val="typo_p"/>
    <w:basedOn w:val="Normal"/>
    <w:pPr>
      <w:spacing w:line="432" w:lineRule="atLeast"/>
    </w:pPr>
    <w:rPr>
      <w:rFonts w:ascii="Microsoft YaHei" w:eastAsia="Microsoft YaHei" w:hAnsi="Microsoft YaHei" w:cs="Microsoft YaHei"/>
      <w:color w:val="333333"/>
    </w:rPr>
  </w:style>
  <w:style w:type="character" w:customStyle="1" w:styleId="span">
    <w:name w:val="span"/>
    <w:basedOn w:val="DefaultParagraphFont"/>
    <w:rPr>
      <w:rFonts w:ascii="FangSong" w:eastAsia="FangSong" w:hAnsi="FangSong" w:cs="FangSong"/>
    </w:rPr>
  </w:style>
  <w:style w:type="character" w:customStyle="1" w:styleId="underline">
    <w:name w:val="underline"/>
    <w:basedOn w:val="DefaultParagraphFont"/>
  </w:style>
  <w:style w:type="paragraph" w:customStyle="1" w:styleId="div">
    <w:name w:val="div"/>
    <w:basedOn w:val="Normal"/>
    <w:pPr>
      <w:keepLines/>
      <w:spacing w:line="432" w:lineRule="atLeast"/>
    </w:pPr>
    <w:rPr>
      <w:rFonts w:ascii="Microsoft YaHei" w:eastAsia="Microsoft YaHei" w:hAnsi="Microsoft YaHei" w:cs="Microsoft YaHei"/>
      <w:color w:val="333333"/>
    </w:rPr>
  </w:style>
  <w:style w:type="character" w:customStyle="1" w:styleId="step-methodsstep-itemlabel">
    <w:name w:val="step-methods_step-item_label"/>
    <w:basedOn w:val="DefaultParagraphFont"/>
  </w:style>
  <w:style w:type="table" w:customStyle="1" w:styleId="typotable0">
    <w:name w:val="typo_table_0"/>
    <w:basedOn w:val="TableNormal"/>
    <w:tblPr/>
  </w:style>
  <w:style w:type="character" w:customStyle="1" w:styleId="strong">
    <w:name w:val="strong"/>
    <w:basedOn w:val="DefaultParagraphFont"/>
    <w:rPr>
      <w:b/>
      <w:bCs/>
      <w:color w:val="00000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3.xml" /><Relationship Id="rId9"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